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A04E4" w14:textId="430CEE80" w:rsidR="003A6F1C" w:rsidRPr="00DE0BBF" w:rsidRDefault="003A6F1C" w:rsidP="00DE0BBF">
      <w:pPr>
        <w:pStyle w:val="Title"/>
      </w:pPr>
      <w:r w:rsidRPr="00DE0BBF">
        <w:rPr>
          <w:rStyle w:val="TitleChar"/>
          <w:b/>
        </w:rPr>
        <w:t>PRODUCT</w:t>
      </w:r>
      <w:r w:rsidR="00DE0BBF" w:rsidRPr="00DE0BBF">
        <w:t xml:space="preserve"> </w:t>
      </w:r>
      <w:r w:rsidRPr="00DE0BBF">
        <w:rPr>
          <w:rStyle w:val="TitleChar"/>
          <w:b/>
        </w:rPr>
        <w:t>INFORMATION</w:t>
      </w:r>
      <w:r w:rsidR="007E74E3" w:rsidRPr="00DE0BBF">
        <w:rPr>
          <w:rStyle w:val="TitleChar"/>
          <w:b/>
        </w:rPr>
        <w:br/>
      </w:r>
      <w:r w:rsidR="00384E9C" w:rsidRPr="00DE0BBF">
        <w:rPr>
          <w:rStyle w:val="TitleChar"/>
          <w:b/>
        </w:rPr>
        <w:t>KEYTRUDA</w:t>
      </w:r>
      <w:r w:rsidRPr="00DE0BBF">
        <w:t>®</w:t>
      </w:r>
    </w:p>
    <w:p w14:paraId="428A5F7E" w14:textId="77777777" w:rsidR="003A6F1C" w:rsidRPr="00DE0BBF" w:rsidRDefault="00384E9C" w:rsidP="00DE0BBF">
      <w:pPr>
        <w:jc w:val="center"/>
        <w:rPr>
          <w:rStyle w:val="Strong"/>
        </w:rPr>
      </w:pPr>
      <w:proofErr w:type="spellStart"/>
      <w:proofErr w:type="gramStart"/>
      <w:r w:rsidRPr="00DE0BBF">
        <w:rPr>
          <w:rStyle w:val="Strong"/>
        </w:rPr>
        <w:t>pembrolizumab</w:t>
      </w:r>
      <w:proofErr w:type="spellEnd"/>
      <w:proofErr w:type="gramEnd"/>
      <w:r w:rsidR="00A95EB5" w:rsidRPr="00DE0BBF">
        <w:rPr>
          <w:rStyle w:val="Strong"/>
        </w:rPr>
        <w:t xml:space="preserve"> (</w:t>
      </w:r>
      <w:proofErr w:type="spellStart"/>
      <w:r w:rsidR="00A95EB5" w:rsidRPr="00DE0BBF">
        <w:rPr>
          <w:rStyle w:val="Strong"/>
        </w:rPr>
        <w:t>rch</w:t>
      </w:r>
      <w:proofErr w:type="spellEnd"/>
      <w:r w:rsidR="00A95EB5" w:rsidRPr="00DE0BBF">
        <w:rPr>
          <w:rStyle w:val="Strong"/>
        </w:rPr>
        <w:t>)</w:t>
      </w:r>
    </w:p>
    <w:p w14:paraId="71CD8EDF" w14:textId="77777777" w:rsidR="003A6F1C" w:rsidRPr="00A97420" w:rsidRDefault="00491C60" w:rsidP="00D0407F">
      <w:pPr>
        <w:pStyle w:val="Heading1"/>
      </w:pPr>
      <w:r w:rsidRPr="00A97420">
        <w:t>NAME OF THE MEDICINE</w:t>
      </w:r>
    </w:p>
    <w:p w14:paraId="75EEEACF" w14:textId="77777777" w:rsidR="00195AC4" w:rsidRPr="00A97420" w:rsidRDefault="00170122">
      <w:pPr>
        <w:rPr>
          <w:rFonts w:cs="Arial"/>
        </w:rPr>
      </w:pPr>
      <w:proofErr w:type="gramStart"/>
      <w:r>
        <w:rPr>
          <w:rFonts w:cs="Arial"/>
        </w:rPr>
        <w:t>p</w:t>
      </w:r>
      <w:r w:rsidRPr="00A97420">
        <w:rPr>
          <w:rFonts w:cs="Arial"/>
        </w:rPr>
        <w:t>embrolizumab</w:t>
      </w:r>
      <w:proofErr w:type="gramEnd"/>
      <w:r>
        <w:rPr>
          <w:rFonts w:cs="Arial"/>
        </w:rPr>
        <w:t xml:space="preserve"> </w:t>
      </w:r>
      <w:r w:rsidR="00A95EB5">
        <w:rPr>
          <w:rFonts w:cs="Arial"/>
        </w:rPr>
        <w:t>(rch)</w:t>
      </w:r>
    </w:p>
    <w:p w14:paraId="112D6ED4" w14:textId="77777777" w:rsidR="00EA73BB" w:rsidRPr="00A97420" w:rsidRDefault="00EA73BB">
      <w:pPr>
        <w:rPr>
          <w:rFonts w:cs="Arial"/>
        </w:rPr>
      </w:pPr>
      <w:r w:rsidRPr="00A97420">
        <w:rPr>
          <w:rFonts w:cs="Arial"/>
        </w:rPr>
        <w:t xml:space="preserve">CAS No.: </w:t>
      </w:r>
      <w:r w:rsidR="00EB2EF5" w:rsidRPr="00A97420">
        <w:rPr>
          <w:rFonts w:cs="Arial"/>
        </w:rPr>
        <w:t>1374853-91-4</w:t>
      </w:r>
    </w:p>
    <w:p w14:paraId="2CBC4C2A" w14:textId="77777777" w:rsidR="00704668" w:rsidRPr="00A97420" w:rsidRDefault="00704668" w:rsidP="00704668">
      <w:pPr>
        <w:rPr>
          <w:rFonts w:cs="Arial"/>
        </w:rPr>
      </w:pPr>
      <w:proofErr w:type="spellStart"/>
      <w:r w:rsidRPr="00A97420">
        <w:rPr>
          <w:rFonts w:cs="Arial"/>
        </w:rPr>
        <w:t>Pharmacotherapeutic</w:t>
      </w:r>
      <w:proofErr w:type="spellEnd"/>
      <w:r w:rsidRPr="00A97420">
        <w:rPr>
          <w:rFonts w:cs="Arial"/>
        </w:rPr>
        <w:t xml:space="preserve"> group: Antineoplastic agents, monoclonal antibodies</w:t>
      </w:r>
    </w:p>
    <w:p w14:paraId="4EC2A419" w14:textId="77777777" w:rsidR="00704668" w:rsidRPr="00A97420" w:rsidRDefault="00704668" w:rsidP="00704668">
      <w:pPr>
        <w:rPr>
          <w:rFonts w:cs="Arial"/>
        </w:rPr>
      </w:pPr>
      <w:r w:rsidRPr="00A97420">
        <w:rPr>
          <w:rFonts w:cs="Arial"/>
        </w:rPr>
        <w:t xml:space="preserve">ATC code: </w:t>
      </w:r>
      <w:r w:rsidR="0024740E" w:rsidRPr="0024740E">
        <w:rPr>
          <w:rFonts w:cs="Arial"/>
        </w:rPr>
        <w:t>L01XC18</w:t>
      </w:r>
      <w:r w:rsidRPr="00A97420">
        <w:rPr>
          <w:rFonts w:cs="Arial"/>
        </w:rPr>
        <w:t>.</w:t>
      </w:r>
    </w:p>
    <w:p w14:paraId="1C1E3FCE" w14:textId="77777777" w:rsidR="00491C60" w:rsidRPr="00A97420" w:rsidRDefault="00491C60" w:rsidP="00A818AD">
      <w:pPr>
        <w:pStyle w:val="Heading1"/>
      </w:pPr>
      <w:r w:rsidRPr="00A97420">
        <w:t>DESCRIPTION</w:t>
      </w:r>
    </w:p>
    <w:p w14:paraId="4F828AD1" w14:textId="77777777" w:rsidR="00E3526D" w:rsidRDefault="00E3526D" w:rsidP="00E3526D">
      <w:pPr>
        <w:rPr>
          <w:rFonts w:cs="Arial"/>
        </w:rPr>
      </w:pPr>
      <w:r w:rsidRPr="00A97420">
        <w:rPr>
          <w:rFonts w:cs="Arial"/>
          <w:color w:val="000000"/>
          <w:szCs w:val="22"/>
        </w:rPr>
        <w:t>KEYTRUDA (pembrolizumab) is a selective humanized monoclonal antibody designed to block the interaction between PD-1 and its ligands, PD-L1 and PD-L2. Pembrolizumab is an IgG4 kappa immunoglobulin with an approximate molecular weight of 149 kDa.</w:t>
      </w:r>
      <w:r w:rsidRPr="00A97420">
        <w:rPr>
          <w:rFonts w:cs="Arial"/>
        </w:rPr>
        <w:t xml:space="preserve"> Pembrolizumab is produced in Chinese hamster ovary cells by recombinant DNA technology.</w:t>
      </w:r>
    </w:p>
    <w:p w14:paraId="4B7F6F4E" w14:textId="77777777" w:rsidR="00054A4E" w:rsidRPr="00844F93" w:rsidRDefault="00170122" w:rsidP="008F0CEF">
      <w:pPr>
        <w:pStyle w:val="Heading2"/>
      </w:pPr>
      <w:r>
        <w:t xml:space="preserve">KEYTRUDA </w:t>
      </w:r>
      <w:r w:rsidR="00A95EB5">
        <w:t xml:space="preserve">50 mg powder </w:t>
      </w:r>
      <w:r w:rsidR="00054A4E">
        <w:t xml:space="preserve">for </w:t>
      </w:r>
      <w:r w:rsidR="00A95EB5">
        <w:t>injection</w:t>
      </w:r>
    </w:p>
    <w:p w14:paraId="72DDF05B" w14:textId="77777777" w:rsidR="00C63ACA" w:rsidRDefault="00C63ACA" w:rsidP="00D46F08">
      <w:pPr>
        <w:rPr>
          <w:rFonts w:cs="Arial"/>
        </w:rPr>
      </w:pPr>
      <w:r>
        <w:rPr>
          <w:rFonts w:cs="Arial"/>
        </w:rPr>
        <w:t xml:space="preserve">KEYTRUDA </w:t>
      </w:r>
      <w:r w:rsidR="00A95EB5">
        <w:rPr>
          <w:rFonts w:cs="Arial"/>
        </w:rPr>
        <w:t xml:space="preserve">50 mg </w:t>
      </w:r>
      <w:r>
        <w:rPr>
          <w:rFonts w:cs="Arial"/>
        </w:rPr>
        <w:t xml:space="preserve">powder for </w:t>
      </w:r>
      <w:r w:rsidR="00A95EB5">
        <w:rPr>
          <w:rFonts w:cs="Arial"/>
        </w:rPr>
        <w:t>injection</w:t>
      </w:r>
      <w:r>
        <w:rPr>
          <w:rFonts w:cs="Arial"/>
        </w:rPr>
        <w:t xml:space="preserve"> is a sterile, preservative-free</w:t>
      </w:r>
      <w:r w:rsidR="00595510">
        <w:rPr>
          <w:rFonts w:cs="Arial"/>
        </w:rPr>
        <w:t>,</w:t>
      </w:r>
      <w:r>
        <w:rPr>
          <w:rFonts w:cs="Arial"/>
        </w:rPr>
        <w:t xml:space="preserve"> </w:t>
      </w:r>
      <w:proofErr w:type="gramStart"/>
      <w:r>
        <w:rPr>
          <w:rFonts w:cs="Arial"/>
        </w:rPr>
        <w:t>white</w:t>
      </w:r>
      <w:proofErr w:type="gramEnd"/>
      <w:r>
        <w:rPr>
          <w:rFonts w:cs="Arial"/>
        </w:rPr>
        <w:t xml:space="preserve"> to off-white lyophilised powder.</w:t>
      </w:r>
    </w:p>
    <w:p w14:paraId="475AB7E9" w14:textId="77777777" w:rsidR="00D46F08" w:rsidRPr="00A97420" w:rsidRDefault="00D46F08" w:rsidP="00D46F08">
      <w:pPr>
        <w:rPr>
          <w:rFonts w:cs="Arial"/>
        </w:rPr>
      </w:pPr>
      <w:r w:rsidRPr="00A97420">
        <w:rPr>
          <w:rFonts w:cs="Arial"/>
        </w:rPr>
        <w:t>One vial contains 50 mg of pembrolizumab.</w:t>
      </w:r>
    </w:p>
    <w:p w14:paraId="7E4E5236" w14:textId="77777777" w:rsidR="00D46F08" w:rsidRDefault="00D46F08" w:rsidP="00D46F08">
      <w:pPr>
        <w:rPr>
          <w:rFonts w:cs="Arial"/>
        </w:rPr>
      </w:pPr>
      <w:r w:rsidRPr="00A97420">
        <w:rPr>
          <w:rFonts w:cs="Arial"/>
        </w:rPr>
        <w:t>After reconstitution, 1 mL of solution contains 25 mg of pembrolizumab.</w:t>
      </w:r>
    </w:p>
    <w:p w14:paraId="1DB4E964" w14:textId="77777777" w:rsidR="00170122" w:rsidRPr="00A97420" w:rsidRDefault="00170122" w:rsidP="00D46F08">
      <w:pPr>
        <w:rPr>
          <w:rFonts w:cs="Arial"/>
        </w:rPr>
      </w:pPr>
      <w:r>
        <w:rPr>
          <w:rFonts w:cs="Arial"/>
        </w:rPr>
        <w:t xml:space="preserve">Not for direct infusion or injection (see </w:t>
      </w:r>
      <w:r w:rsidRPr="00170122">
        <w:rPr>
          <w:rFonts w:cs="Arial"/>
          <w:b/>
          <w:i/>
        </w:rPr>
        <w:t>DOSAGE AND ADMINISTRATION</w:t>
      </w:r>
      <w:r>
        <w:rPr>
          <w:rFonts w:cs="Arial"/>
        </w:rPr>
        <w:t>).</w:t>
      </w:r>
    </w:p>
    <w:p w14:paraId="4B07ABB7" w14:textId="77777777" w:rsidR="00054A4E" w:rsidRPr="00844F93" w:rsidRDefault="00170122" w:rsidP="008F0CEF">
      <w:pPr>
        <w:pStyle w:val="Heading2"/>
      </w:pPr>
      <w:r>
        <w:t xml:space="preserve">KEYTRUDA </w:t>
      </w:r>
      <w:r w:rsidR="00A95EB5">
        <w:t>100 mg/4 mL concentrated injection</w:t>
      </w:r>
    </w:p>
    <w:p w14:paraId="0053592F" w14:textId="77777777" w:rsidR="00C63ACA" w:rsidRDefault="00C63ACA" w:rsidP="00D46F08">
      <w:pPr>
        <w:rPr>
          <w:rFonts w:cs="Arial"/>
        </w:rPr>
      </w:pPr>
      <w:r>
        <w:rPr>
          <w:rFonts w:cs="Arial"/>
        </w:rPr>
        <w:t xml:space="preserve">KEYTRUDA </w:t>
      </w:r>
      <w:r w:rsidR="009F4BBE">
        <w:rPr>
          <w:rFonts w:cs="Arial"/>
        </w:rPr>
        <w:t xml:space="preserve">100 mg/4 mL </w:t>
      </w:r>
      <w:r w:rsidR="00A95EB5">
        <w:rPr>
          <w:rFonts w:cs="Arial"/>
        </w:rPr>
        <w:t>concentrated injection</w:t>
      </w:r>
      <w:r>
        <w:rPr>
          <w:rFonts w:cs="Arial"/>
        </w:rPr>
        <w:t xml:space="preserve"> is a sterile</w:t>
      </w:r>
      <w:r w:rsidR="00595510">
        <w:rPr>
          <w:rFonts w:cs="Arial"/>
        </w:rPr>
        <w:t>,</w:t>
      </w:r>
      <w:r>
        <w:rPr>
          <w:rFonts w:cs="Arial"/>
        </w:rPr>
        <w:t xml:space="preserve"> preservative-free</w:t>
      </w:r>
      <w:r w:rsidR="00595510">
        <w:rPr>
          <w:rFonts w:cs="Arial"/>
        </w:rPr>
        <w:t>,</w:t>
      </w:r>
      <w:r>
        <w:rPr>
          <w:rFonts w:cs="Arial"/>
        </w:rPr>
        <w:t xml:space="preserve"> clear to slightly opalescent, colourless to slightly yellow solution.</w:t>
      </w:r>
    </w:p>
    <w:p w14:paraId="1891216A" w14:textId="77777777" w:rsidR="00054A4E" w:rsidRDefault="00054A4E" w:rsidP="00D46F08">
      <w:pPr>
        <w:rPr>
          <w:rFonts w:cs="Arial"/>
        </w:rPr>
      </w:pPr>
      <w:r>
        <w:rPr>
          <w:rFonts w:cs="Arial"/>
        </w:rPr>
        <w:t xml:space="preserve">One vial contains </w:t>
      </w:r>
      <w:r w:rsidR="00844F93">
        <w:rPr>
          <w:rFonts w:cs="Arial"/>
        </w:rPr>
        <w:t xml:space="preserve">100 mg </w:t>
      </w:r>
      <w:r>
        <w:rPr>
          <w:rFonts w:cs="Arial"/>
        </w:rPr>
        <w:t>of pembrolizumab</w:t>
      </w:r>
      <w:r w:rsidR="00844F93">
        <w:rPr>
          <w:rFonts w:cs="Arial"/>
        </w:rPr>
        <w:t xml:space="preserve"> in 4 mL of solution</w:t>
      </w:r>
      <w:r>
        <w:rPr>
          <w:rFonts w:cs="Arial"/>
        </w:rPr>
        <w:t>.</w:t>
      </w:r>
    </w:p>
    <w:p w14:paraId="12BBA1F9" w14:textId="77777777" w:rsidR="00170122" w:rsidRDefault="00170122" w:rsidP="00D46F08">
      <w:pPr>
        <w:rPr>
          <w:rFonts w:cs="Arial"/>
        </w:rPr>
      </w:pPr>
      <w:r>
        <w:rPr>
          <w:rFonts w:cs="Arial"/>
        </w:rPr>
        <w:t xml:space="preserve">Not for direct infusion or injection (see </w:t>
      </w:r>
      <w:r w:rsidRPr="00170122">
        <w:rPr>
          <w:rFonts w:cs="Arial"/>
          <w:b/>
          <w:i/>
        </w:rPr>
        <w:t>DOSAGE AND ADMINISTRATION</w:t>
      </w:r>
      <w:r>
        <w:rPr>
          <w:rFonts w:cs="Arial"/>
        </w:rPr>
        <w:t>).</w:t>
      </w:r>
    </w:p>
    <w:p w14:paraId="45CCEA11" w14:textId="77777777" w:rsidR="00D46F08" w:rsidRPr="004172BA" w:rsidRDefault="00D46F08" w:rsidP="00EE12B4">
      <w:pPr>
        <w:pStyle w:val="Heading2"/>
        <w:rPr>
          <w:rFonts w:ascii="Arial" w:hAnsi="Arial" w:cs="Arial"/>
        </w:rPr>
      </w:pPr>
      <w:r w:rsidRPr="004172BA">
        <w:rPr>
          <w:rFonts w:ascii="Arial" w:hAnsi="Arial" w:cs="Arial"/>
        </w:rPr>
        <w:t>List of excipients</w:t>
      </w:r>
    </w:p>
    <w:p w14:paraId="613C73A1" w14:textId="77777777" w:rsidR="00AB082B" w:rsidRDefault="00EB5E79" w:rsidP="00D46F08">
      <w:pPr>
        <w:rPr>
          <w:rFonts w:cs="Arial"/>
        </w:rPr>
      </w:pPr>
      <w:r>
        <w:rPr>
          <w:rFonts w:cs="Arial"/>
        </w:rPr>
        <w:t>H</w:t>
      </w:r>
      <w:r w:rsidR="00D46F08" w:rsidRPr="004172BA">
        <w:rPr>
          <w:rFonts w:cs="Arial"/>
        </w:rPr>
        <w:t>istidine</w:t>
      </w:r>
    </w:p>
    <w:p w14:paraId="672CBF14" w14:textId="77777777" w:rsidR="00A95EB5" w:rsidRDefault="00A95EB5" w:rsidP="00D46F08">
      <w:pPr>
        <w:rPr>
          <w:rFonts w:cs="Arial"/>
        </w:rPr>
      </w:pPr>
      <w:r>
        <w:rPr>
          <w:rFonts w:cs="Arial"/>
        </w:rPr>
        <w:t>Histidine hydrochloride monohydrate</w:t>
      </w:r>
    </w:p>
    <w:p w14:paraId="3AAB4911" w14:textId="77777777" w:rsidR="00D46F08" w:rsidRPr="00C55BB4" w:rsidRDefault="00D46F08" w:rsidP="00D46F08">
      <w:pPr>
        <w:rPr>
          <w:rFonts w:cs="Arial"/>
        </w:rPr>
      </w:pPr>
      <w:r w:rsidRPr="00C55BB4">
        <w:rPr>
          <w:rFonts w:cs="Arial"/>
        </w:rPr>
        <w:t>Sucrose</w:t>
      </w:r>
    </w:p>
    <w:p w14:paraId="581EF31B" w14:textId="77777777" w:rsidR="00D46F08" w:rsidRPr="00343CB7" w:rsidRDefault="00D46F08" w:rsidP="00D46F08">
      <w:pPr>
        <w:rPr>
          <w:rFonts w:cs="Arial"/>
        </w:rPr>
      </w:pPr>
      <w:r w:rsidRPr="00343CB7">
        <w:rPr>
          <w:rFonts w:cs="Arial"/>
        </w:rPr>
        <w:t>Polysorbate-80</w:t>
      </w:r>
    </w:p>
    <w:p w14:paraId="36613C29" w14:textId="77777777" w:rsidR="00FF4074" w:rsidRPr="009F14D7" w:rsidRDefault="00C63ACA" w:rsidP="00D46F08">
      <w:pPr>
        <w:rPr>
          <w:rFonts w:cs="Arial"/>
        </w:rPr>
      </w:pPr>
      <w:r>
        <w:rPr>
          <w:rFonts w:cs="Arial"/>
        </w:rPr>
        <w:t>Water for Injection</w:t>
      </w:r>
      <w:r w:rsidR="00A95EB5">
        <w:rPr>
          <w:rFonts w:cs="Arial"/>
        </w:rPr>
        <w:t>s</w:t>
      </w:r>
    </w:p>
    <w:p w14:paraId="4B4DB335" w14:textId="77777777" w:rsidR="003A6F1C" w:rsidRPr="00B93124" w:rsidRDefault="00491C60">
      <w:pPr>
        <w:pStyle w:val="Heading1"/>
      </w:pPr>
      <w:r w:rsidRPr="00187C95">
        <w:t>PHARMACOLOGY</w:t>
      </w:r>
    </w:p>
    <w:p w14:paraId="7EE0C893" w14:textId="77777777" w:rsidR="000B179B" w:rsidRPr="004172BA" w:rsidRDefault="000B179B" w:rsidP="00EE12B4">
      <w:pPr>
        <w:pStyle w:val="Heading2"/>
        <w:rPr>
          <w:rFonts w:ascii="Arial" w:hAnsi="Arial" w:cs="Arial"/>
        </w:rPr>
      </w:pPr>
      <w:r w:rsidRPr="004172BA">
        <w:rPr>
          <w:rFonts w:ascii="Arial" w:hAnsi="Arial" w:cs="Arial"/>
        </w:rPr>
        <w:t>Pharmacology and pharmacological actions</w:t>
      </w:r>
    </w:p>
    <w:p w14:paraId="107BA4D1" w14:textId="49157509" w:rsidR="00EA73BB" w:rsidRPr="009F14D7" w:rsidRDefault="00440A35" w:rsidP="000B179B">
      <w:pPr>
        <w:rPr>
          <w:rFonts w:cs="Arial"/>
        </w:rPr>
      </w:pPr>
      <w:r w:rsidRPr="004172BA">
        <w:rPr>
          <w:rFonts w:cs="Arial"/>
        </w:rPr>
        <w:t>PD-1 is an immune-checkpoint receptor that limits the activity of T lymphocytes in peripheral tissues. The PD-1 pathway is an immune control checkpoint that may be engaged by tumour cells to inhibit active T-cell immune surveillance. KEYTRUDA is a high affinity antibody against PD-1, which</w:t>
      </w:r>
      <w:r w:rsidRPr="00C55BB4">
        <w:rPr>
          <w:rFonts w:cs="Arial"/>
        </w:rPr>
        <w:t xml:space="preserve"> exerts ligand blockade of the PD-1 pathway, including PD-L1 and PD-L2, on antigen presenting or tumour cells. By inhibiting the PD-1 receptor from binding to its ligands, KEYTRUDA reactivates tumour-specific cytotoxic T lymphocytes in the tumour micr</w:t>
      </w:r>
      <w:r w:rsidRPr="00343CB7">
        <w:rPr>
          <w:rFonts w:cs="Arial"/>
        </w:rPr>
        <w:t>oenvironment and reactivates anti-tumour immunity.</w:t>
      </w:r>
    </w:p>
    <w:p w14:paraId="1BA32C31" w14:textId="77777777" w:rsidR="00440A35" w:rsidRPr="00431AB6" w:rsidRDefault="00440A35" w:rsidP="000B179B">
      <w:pPr>
        <w:rPr>
          <w:rFonts w:cs="Arial"/>
        </w:rPr>
      </w:pPr>
      <w:r w:rsidRPr="00A04553">
        <w:rPr>
          <w:rFonts w:cs="Arial"/>
        </w:rPr>
        <w:lastRenderedPageBreak/>
        <w:t xml:space="preserve">In peripheral blood of patients who received KEYTRUDA 2 mg/kg every 3 weeks or 10 mg/kg every 2 weeks or 3 weeks, an increased percentage of activated (i.e., HLA-DR+) CD4+ and CD8+ </w:t>
      </w:r>
      <w:r w:rsidRPr="00431AB6">
        <w:rPr>
          <w:rFonts w:cs="Arial"/>
        </w:rPr>
        <w:t>T-cells was observed after treatment at all doses and schedules without an increase in the circulating T-lymphocyte number.</w:t>
      </w:r>
    </w:p>
    <w:p w14:paraId="6AA9344E" w14:textId="77777777" w:rsidR="00EA73BB" w:rsidRPr="004172BA" w:rsidRDefault="00F73353" w:rsidP="00EE12B4">
      <w:pPr>
        <w:pStyle w:val="Heading2"/>
        <w:rPr>
          <w:rFonts w:ascii="Arial" w:hAnsi="Arial" w:cs="Arial"/>
        </w:rPr>
      </w:pPr>
      <w:r w:rsidRPr="004172BA">
        <w:rPr>
          <w:rFonts w:ascii="Arial" w:hAnsi="Arial" w:cs="Arial"/>
        </w:rPr>
        <w:t>Pharmacokinetics</w:t>
      </w:r>
    </w:p>
    <w:p w14:paraId="78489057" w14:textId="772E1680" w:rsidR="00EA73BB" w:rsidRPr="009F14D7" w:rsidRDefault="00440A35" w:rsidP="008476E9">
      <w:pPr>
        <w:pStyle w:val="Body"/>
        <w:keepNext/>
        <w:keepLines/>
        <w:ind w:firstLine="0"/>
        <w:jc w:val="both"/>
        <w:rPr>
          <w:rFonts w:eastAsia="Times New Roman" w:cs="Arial"/>
          <w:sz w:val="22"/>
          <w:lang w:val="en-AU" w:eastAsia="en-AU"/>
        </w:rPr>
      </w:pPr>
      <w:r w:rsidRPr="004172BA">
        <w:rPr>
          <w:rFonts w:eastAsia="Times New Roman" w:cs="Arial"/>
          <w:sz w:val="22"/>
          <w:lang w:val="en-AU" w:eastAsia="en-AU"/>
        </w:rPr>
        <w:t xml:space="preserve">The pharmacokinetics of pembrolizumab </w:t>
      </w:r>
      <w:r w:rsidR="0088687F">
        <w:rPr>
          <w:rFonts w:eastAsia="Times New Roman" w:cs="Arial"/>
          <w:sz w:val="22"/>
          <w:lang w:val="en-AU" w:eastAsia="en-AU"/>
        </w:rPr>
        <w:t>was</w:t>
      </w:r>
      <w:r w:rsidR="0088687F" w:rsidRPr="004172BA">
        <w:rPr>
          <w:rFonts w:eastAsia="Times New Roman" w:cs="Arial"/>
          <w:sz w:val="22"/>
          <w:lang w:val="en-AU" w:eastAsia="en-AU"/>
        </w:rPr>
        <w:t xml:space="preserve"> </w:t>
      </w:r>
      <w:r w:rsidRPr="004172BA">
        <w:rPr>
          <w:rFonts w:eastAsia="Times New Roman" w:cs="Arial"/>
          <w:sz w:val="22"/>
          <w:lang w:val="en-AU" w:eastAsia="en-AU"/>
        </w:rPr>
        <w:t xml:space="preserve">studied in </w:t>
      </w:r>
      <w:r w:rsidR="0088687F">
        <w:rPr>
          <w:rFonts w:eastAsia="Times New Roman" w:cs="Arial"/>
          <w:sz w:val="22"/>
          <w:lang w:val="en-AU" w:eastAsia="en-AU"/>
        </w:rPr>
        <w:t>2188</w:t>
      </w:r>
      <w:r w:rsidR="0088687F" w:rsidRPr="004172BA">
        <w:rPr>
          <w:rFonts w:eastAsia="Times New Roman" w:cs="Arial"/>
          <w:sz w:val="22"/>
          <w:lang w:val="en-AU" w:eastAsia="en-AU"/>
        </w:rPr>
        <w:t xml:space="preserve"> </w:t>
      </w:r>
      <w:r w:rsidRPr="004172BA">
        <w:rPr>
          <w:rFonts w:eastAsia="Times New Roman" w:cs="Arial"/>
          <w:sz w:val="22"/>
          <w:lang w:val="en-AU" w:eastAsia="en-AU"/>
        </w:rPr>
        <w:t>patients with metastatic or unresectable mela</w:t>
      </w:r>
      <w:r w:rsidRPr="00343CB7">
        <w:rPr>
          <w:rFonts w:eastAsia="Times New Roman" w:cs="Arial"/>
          <w:sz w:val="22"/>
          <w:lang w:val="en-AU" w:eastAsia="en-AU"/>
        </w:rPr>
        <w:t>noma</w:t>
      </w:r>
      <w:r w:rsidR="00D96B6C">
        <w:rPr>
          <w:rFonts w:eastAsia="Times New Roman" w:cs="Arial"/>
          <w:sz w:val="22"/>
          <w:lang w:val="en-AU" w:eastAsia="en-AU"/>
        </w:rPr>
        <w:t>, NSCLC,</w:t>
      </w:r>
      <w:r w:rsidRPr="00343CB7">
        <w:rPr>
          <w:rFonts w:eastAsia="Times New Roman" w:cs="Arial"/>
          <w:sz w:val="22"/>
          <w:lang w:val="en-AU" w:eastAsia="en-AU"/>
        </w:rPr>
        <w:t xml:space="preserve"> or</w:t>
      </w:r>
      <w:r w:rsidR="0088687F">
        <w:rPr>
          <w:rFonts w:eastAsia="Times New Roman" w:cs="Arial"/>
          <w:sz w:val="22"/>
          <w:lang w:val="en-AU" w:eastAsia="en-AU"/>
        </w:rPr>
        <w:t xml:space="preserve"> other</w:t>
      </w:r>
      <w:r w:rsidRPr="00343CB7">
        <w:rPr>
          <w:rFonts w:eastAsia="Times New Roman" w:cs="Arial"/>
          <w:sz w:val="22"/>
          <w:lang w:val="en-AU" w:eastAsia="en-AU"/>
        </w:rPr>
        <w:t xml:space="preserve"> carcinoma</w:t>
      </w:r>
      <w:r w:rsidR="00D96B6C">
        <w:rPr>
          <w:rFonts w:eastAsia="Times New Roman" w:cs="Arial"/>
          <w:sz w:val="22"/>
          <w:lang w:val="en-AU" w:eastAsia="en-AU"/>
        </w:rPr>
        <w:t>s</w:t>
      </w:r>
      <w:r w:rsidRPr="009F14D7">
        <w:rPr>
          <w:rFonts w:eastAsia="Times New Roman" w:cs="Arial"/>
          <w:sz w:val="22"/>
          <w:lang w:val="en-AU" w:eastAsia="en-AU"/>
        </w:rPr>
        <w:t xml:space="preserve"> who received doses in the range of 1 to 10 mg/kg every 2 or 3 weeks.</w:t>
      </w:r>
      <w:r w:rsidR="009A50DA" w:rsidRPr="009A50DA">
        <w:rPr>
          <w:rFonts w:eastAsia="Times New Roman" w:cs="Arial"/>
          <w:sz w:val="22"/>
          <w:lang w:val="en-AU" w:eastAsia="en-AU"/>
        </w:rPr>
        <w:t xml:space="preserve"> </w:t>
      </w:r>
      <w:r w:rsidR="009A50DA" w:rsidRPr="00DF0B9D">
        <w:rPr>
          <w:rFonts w:eastAsia="Times New Roman" w:cs="Arial"/>
          <w:sz w:val="22"/>
          <w:lang w:val="en-AU" w:eastAsia="en-AU"/>
        </w:rPr>
        <w:t>The pharmacokinetics of pembrolizumab was consistent across indications.</w:t>
      </w:r>
    </w:p>
    <w:p w14:paraId="4209E559" w14:textId="77777777" w:rsidR="00427333" w:rsidRPr="004172BA" w:rsidRDefault="00427333" w:rsidP="00EE12B4">
      <w:pPr>
        <w:pStyle w:val="Heading2"/>
        <w:rPr>
          <w:rFonts w:ascii="Arial" w:hAnsi="Arial" w:cs="Arial"/>
        </w:rPr>
      </w:pPr>
      <w:r w:rsidRPr="004172BA">
        <w:rPr>
          <w:rFonts w:ascii="Arial" w:hAnsi="Arial" w:cs="Arial"/>
        </w:rPr>
        <w:t>Absorption</w:t>
      </w:r>
    </w:p>
    <w:p w14:paraId="10B066F2" w14:textId="77777777" w:rsidR="00440A35" w:rsidRPr="004172BA" w:rsidRDefault="00440A35" w:rsidP="008476E9">
      <w:pPr>
        <w:pStyle w:val="Body"/>
        <w:ind w:firstLine="0"/>
        <w:jc w:val="both"/>
        <w:rPr>
          <w:rFonts w:eastAsia="Times New Roman" w:cs="Arial"/>
          <w:sz w:val="22"/>
          <w:lang w:val="en-AU" w:eastAsia="en-AU"/>
        </w:rPr>
      </w:pPr>
      <w:r w:rsidRPr="004172BA">
        <w:rPr>
          <w:rFonts w:eastAsia="Times New Roman" w:cs="Arial"/>
          <w:sz w:val="22"/>
          <w:lang w:val="en-AU" w:eastAsia="en-AU"/>
        </w:rPr>
        <w:t>KEYTRUDA is dosed via the IV route and therefore is immediately and completely bioavailable.</w:t>
      </w:r>
    </w:p>
    <w:p w14:paraId="2F102E01" w14:textId="77777777" w:rsidR="00440A35" w:rsidRPr="004172BA" w:rsidRDefault="00440A35" w:rsidP="00EE12B4">
      <w:pPr>
        <w:pStyle w:val="Heading2"/>
        <w:rPr>
          <w:rFonts w:ascii="Arial" w:hAnsi="Arial" w:cs="Arial"/>
        </w:rPr>
      </w:pPr>
      <w:r w:rsidRPr="004172BA">
        <w:rPr>
          <w:rFonts w:ascii="Arial" w:hAnsi="Arial" w:cs="Arial"/>
        </w:rPr>
        <w:t>Distribution</w:t>
      </w:r>
    </w:p>
    <w:p w14:paraId="1AC1A113" w14:textId="77777777" w:rsidR="00440A35" w:rsidRPr="004172BA" w:rsidRDefault="00440A35" w:rsidP="008476E9">
      <w:pPr>
        <w:pStyle w:val="Body"/>
        <w:ind w:firstLine="0"/>
        <w:jc w:val="both"/>
        <w:rPr>
          <w:rFonts w:eastAsia="Times New Roman" w:cs="Arial"/>
          <w:sz w:val="22"/>
          <w:lang w:val="en-AU" w:eastAsia="en-AU"/>
        </w:rPr>
      </w:pPr>
      <w:r w:rsidRPr="004172BA">
        <w:rPr>
          <w:rFonts w:eastAsia="Times New Roman" w:cs="Arial"/>
          <w:sz w:val="22"/>
          <w:lang w:val="en-AU" w:eastAsia="en-AU"/>
        </w:rPr>
        <w:t>Consistent with a limited extravascular distribution, the volume of distribution of pembrolizumab at steady state is small (~</w:t>
      </w:r>
      <w:r w:rsidR="008953B5">
        <w:rPr>
          <w:rFonts w:eastAsia="Times New Roman" w:cs="Arial"/>
          <w:sz w:val="22"/>
          <w:lang w:val="en-AU" w:eastAsia="en-AU"/>
        </w:rPr>
        <w:t>7</w:t>
      </w:r>
      <w:r w:rsidR="0088687F">
        <w:rPr>
          <w:rFonts w:eastAsia="Times New Roman" w:cs="Arial"/>
          <w:sz w:val="22"/>
          <w:lang w:val="en-AU" w:eastAsia="en-AU"/>
        </w:rPr>
        <w:t>.5</w:t>
      </w:r>
      <w:r w:rsidRPr="004172BA">
        <w:rPr>
          <w:rFonts w:eastAsia="Times New Roman" w:cs="Arial"/>
          <w:sz w:val="22"/>
          <w:lang w:val="en-AU" w:eastAsia="en-AU"/>
        </w:rPr>
        <w:t xml:space="preserve">L; CV: </w:t>
      </w:r>
      <w:r w:rsidR="0088687F">
        <w:rPr>
          <w:rFonts w:eastAsia="Times New Roman" w:cs="Arial"/>
          <w:sz w:val="22"/>
          <w:lang w:val="en-AU" w:eastAsia="en-AU"/>
        </w:rPr>
        <w:t>21</w:t>
      </w:r>
      <w:r w:rsidRPr="004172BA">
        <w:rPr>
          <w:rFonts w:eastAsia="Times New Roman" w:cs="Arial"/>
          <w:sz w:val="22"/>
          <w:lang w:val="en-AU" w:eastAsia="en-AU"/>
        </w:rPr>
        <w:t xml:space="preserve">%). As an antibody, pembrolizumab </w:t>
      </w:r>
      <w:r w:rsidR="008F0962" w:rsidRPr="004172BA">
        <w:rPr>
          <w:rFonts w:eastAsia="Times New Roman" w:cs="Arial"/>
          <w:sz w:val="22"/>
          <w:lang w:val="en-AU" w:eastAsia="en-AU"/>
        </w:rPr>
        <w:t>is not expected to</w:t>
      </w:r>
      <w:r w:rsidRPr="004172BA">
        <w:rPr>
          <w:rFonts w:eastAsia="Times New Roman" w:cs="Arial"/>
          <w:sz w:val="22"/>
          <w:lang w:val="en-AU" w:eastAsia="en-AU"/>
        </w:rPr>
        <w:t xml:space="preserve"> bind to plasma proteins in a specific manner.</w:t>
      </w:r>
    </w:p>
    <w:p w14:paraId="56AC5A89" w14:textId="77777777" w:rsidR="00440A35" w:rsidRPr="004172BA" w:rsidRDefault="00440A35" w:rsidP="00EE12B4">
      <w:pPr>
        <w:pStyle w:val="Heading2"/>
        <w:rPr>
          <w:rFonts w:ascii="Arial" w:hAnsi="Arial" w:cs="Arial"/>
        </w:rPr>
      </w:pPr>
      <w:r w:rsidRPr="004172BA">
        <w:rPr>
          <w:rFonts w:ascii="Arial" w:hAnsi="Arial" w:cs="Arial"/>
        </w:rPr>
        <w:t>Metabolism</w:t>
      </w:r>
    </w:p>
    <w:p w14:paraId="2D1A1170" w14:textId="77777777" w:rsidR="00440A35" w:rsidRPr="004172BA" w:rsidRDefault="00440A35" w:rsidP="008476E9">
      <w:pPr>
        <w:pStyle w:val="Body"/>
        <w:ind w:firstLine="0"/>
        <w:jc w:val="both"/>
        <w:rPr>
          <w:rFonts w:eastAsia="Times New Roman" w:cs="Arial"/>
          <w:sz w:val="22"/>
          <w:lang w:val="en-AU" w:eastAsia="en-AU"/>
        </w:rPr>
      </w:pPr>
      <w:r w:rsidRPr="004172BA">
        <w:rPr>
          <w:rFonts w:eastAsia="Times New Roman" w:cs="Arial"/>
          <w:sz w:val="22"/>
          <w:lang w:val="en-AU" w:eastAsia="en-AU"/>
        </w:rPr>
        <w:t>Pembrolizumab is catabolised through non-specific pathways; metabolism does not contribute to its clearance.</w:t>
      </w:r>
    </w:p>
    <w:p w14:paraId="2F321F88" w14:textId="77777777" w:rsidR="00440A35" w:rsidRPr="004172BA" w:rsidRDefault="00440A35" w:rsidP="00EE12B4">
      <w:pPr>
        <w:pStyle w:val="Heading2"/>
        <w:rPr>
          <w:rFonts w:ascii="Arial" w:hAnsi="Arial" w:cs="Arial"/>
        </w:rPr>
      </w:pPr>
      <w:r w:rsidRPr="004172BA">
        <w:rPr>
          <w:rFonts w:ascii="Arial" w:hAnsi="Arial" w:cs="Arial"/>
        </w:rPr>
        <w:t>Elimination</w:t>
      </w:r>
    </w:p>
    <w:p w14:paraId="30F067C5" w14:textId="77777777" w:rsidR="00440A35" w:rsidRPr="009F14D7" w:rsidRDefault="00440A35" w:rsidP="008476E9">
      <w:pPr>
        <w:pStyle w:val="Body"/>
        <w:ind w:firstLine="0"/>
        <w:jc w:val="both"/>
        <w:rPr>
          <w:rFonts w:eastAsia="Times New Roman" w:cs="Arial"/>
          <w:sz w:val="22"/>
          <w:lang w:val="en-AU" w:eastAsia="en-AU"/>
        </w:rPr>
      </w:pPr>
      <w:r w:rsidRPr="004172BA">
        <w:rPr>
          <w:rFonts w:eastAsia="Times New Roman" w:cs="Arial"/>
          <w:sz w:val="22"/>
          <w:lang w:val="en-AU" w:eastAsia="en-AU"/>
        </w:rPr>
        <w:t xml:space="preserve">The systemic clearance of pembrolizumab is ~0.2 L/day (CV: </w:t>
      </w:r>
      <w:r w:rsidR="00D96B6C">
        <w:rPr>
          <w:rFonts w:eastAsia="Times New Roman" w:cs="Arial"/>
          <w:sz w:val="22"/>
          <w:lang w:val="en-AU" w:eastAsia="en-AU"/>
        </w:rPr>
        <w:t>37</w:t>
      </w:r>
      <w:r w:rsidRPr="004172BA">
        <w:rPr>
          <w:rFonts w:eastAsia="Times New Roman" w:cs="Arial"/>
          <w:sz w:val="22"/>
          <w:lang w:val="en-AU" w:eastAsia="en-AU"/>
        </w:rPr>
        <w:t>%) and the terminal half-life (t</w:t>
      </w:r>
      <w:r w:rsidRPr="004172BA">
        <w:rPr>
          <w:rFonts w:eastAsia="Times New Roman" w:cs="Arial"/>
          <w:sz w:val="22"/>
          <w:vertAlign w:val="subscript"/>
          <w:lang w:val="en-AU" w:eastAsia="en-AU"/>
        </w:rPr>
        <w:t>½</w:t>
      </w:r>
      <w:r w:rsidRPr="004172BA">
        <w:rPr>
          <w:rFonts w:eastAsia="Times New Roman" w:cs="Arial"/>
          <w:sz w:val="22"/>
          <w:lang w:val="en-AU" w:eastAsia="en-AU"/>
        </w:rPr>
        <w:t>) is ~</w:t>
      </w:r>
      <w:r w:rsidR="00D96B6C">
        <w:rPr>
          <w:rFonts w:eastAsia="Times New Roman" w:cs="Arial"/>
          <w:sz w:val="22"/>
          <w:lang w:val="en-AU" w:eastAsia="en-AU"/>
        </w:rPr>
        <w:t>2</w:t>
      </w:r>
      <w:r w:rsidR="0088687F">
        <w:rPr>
          <w:rFonts w:eastAsia="Times New Roman" w:cs="Arial"/>
          <w:sz w:val="22"/>
          <w:lang w:val="en-AU" w:eastAsia="en-AU"/>
        </w:rPr>
        <w:t>6</w:t>
      </w:r>
      <w:r w:rsidR="00D96B6C" w:rsidRPr="004172BA">
        <w:rPr>
          <w:rFonts w:eastAsia="Times New Roman" w:cs="Arial"/>
          <w:sz w:val="22"/>
          <w:lang w:val="en-AU" w:eastAsia="en-AU"/>
        </w:rPr>
        <w:t xml:space="preserve"> </w:t>
      </w:r>
      <w:r w:rsidRPr="004172BA">
        <w:rPr>
          <w:rFonts w:eastAsia="Times New Roman" w:cs="Arial"/>
          <w:sz w:val="22"/>
          <w:lang w:val="en-AU" w:eastAsia="en-AU"/>
        </w:rPr>
        <w:t xml:space="preserve">days (CV: </w:t>
      </w:r>
      <w:r w:rsidR="0088687F">
        <w:rPr>
          <w:rFonts w:eastAsia="Times New Roman" w:cs="Arial"/>
          <w:sz w:val="22"/>
          <w:lang w:val="en-AU" w:eastAsia="en-AU"/>
        </w:rPr>
        <w:t>39</w:t>
      </w:r>
      <w:r w:rsidRPr="009F14D7">
        <w:rPr>
          <w:rFonts w:eastAsia="Times New Roman" w:cs="Arial"/>
          <w:sz w:val="22"/>
          <w:lang w:val="en-AU" w:eastAsia="en-AU"/>
        </w:rPr>
        <w:t>%).</w:t>
      </w:r>
    </w:p>
    <w:p w14:paraId="5D496515" w14:textId="77777777" w:rsidR="000B4EB3" w:rsidRDefault="00F00824" w:rsidP="008476E9">
      <w:pPr>
        <w:pStyle w:val="Body"/>
        <w:ind w:firstLine="0"/>
        <w:jc w:val="both"/>
        <w:rPr>
          <w:rFonts w:eastAsia="Times New Roman" w:cs="Arial"/>
          <w:sz w:val="22"/>
          <w:lang w:val="en-AU" w:eastAsia="en-AU"/>
        </w:rPr>
      </w:pPr>
      <w:r w:rsidRPr="00D8643B">
        <w:rPr>
          <w:rFonts w:eastAsia="Times New Roman" w:cs="Arial"/>
          <w:sz w:val="22"/>
          <w:lang w:val="en-AU" w:eastAsia="en-AU"/>
        </w:rPr>
        <w:t xml:space="preserve">Exposure to </w:t>
      </w:r>
      <w:proofErr w:type="spellStart"/>
      <w:r w:rsidRPr="00D8643B">
        <w:rPr>
          <w:rFonts w:eastAsia="Times New Roman" w:cs="Arial"/>
          <w:sz w:val="22"/>
          <w:lang w:val="en-AU" w:eastAsia="en-AU"/>
        </w:rPr>
        <w:t>pembrolizumab</w:t>
      </w:r>
      <w:proofErr w:type="spellEnd"/>
      <w:r w:rsidRPr="00D8643B">
        <w:rPr>
          <w:rFonts w:eastAsia="Times New Roman" w:cs="Arial"/>
          <w:sz w:val="22"/>
          <w:lang w:val="en-AU" w:eastAsia="en-AU"/>
        </w:rPr>
        <w:t xml:space="preserve"> as expresse</w:t>
      </w:r>
      <w:r w:rsidRPr="00B93124">
        <w:rPr>
          <w:rFonts w:eastAsia="Times New Roman" w:cs="Arial"/>
          <w:sz w:val="22"/>
          <w:lang w:val="en-AU" w:eastAsia="en-AU"/>
        </w:rPr>
        <w:t>d by peak concentration (C</w:t>
      </w:r>
      <w:r w:rsidRPr="00B93124">
        <w:rPr>
          <w:rFonts w:eastAsia="Times New Roman" w:cs="Arial"/>
          <w:sz w:val="22"/>
          <w:vertAlign w:val="subscript"/>
          <w:lang w:val="en-AU" w:eastAsia="en-AU"/>
        </w:rPr>
        <w:t>max</w:t>
      </w:r>
      <w:r w:rsidRPr="00B93124">
        <w:rPr>
          <w:rFonts w:eastAsia="Times New Roman" w:cs="Arial"/>
          <w:sz w:val="22"/>
          <w:lang w:val="en-AU" w:eastAsia="en-AU"/>
        </w:rPr>
        <w:t xml:space="preserve">) or area under the plasma concentration time curve (AUC) increased dose proportionally within the dose range for efficacy. Upon repeated dosing, the clearance of pembrolizumab was found to be independent of time, and systemic </w:t>
      </w:r>
      <w:r w:rsidRPr="00A04553">
        <w:rPr>
          <w:rFonts w:eastAsia="Times New Roman" w:cs="Arial"/>
          <w:sz w:val="22"/>
          <w:lang w:val="en-AU" w:eastAsia="en-AU"/>
        </w:rPr>
        <w:t>accumulation was approximately 2.</w:t>
      </w:r>
      <w:r w:rsidR="00D96B6C">
        <w:rPr>
          <w:rFonts w:eastAsia="Times New Roman" w:cs="Arial"/>
          <w:sz w:val="22"/>
          <w:lang w:val="en-AU" w:eastAsia="en-AU"/>
        </w:rPr>
        <w:t>2</w:t>
      </w:r>
      <w:r w:rsidRPr="00431AB6">
        <w:rPr>
          <w:rFonts w:eastAsia="Times New Roman" w:cs="Arial"/>
          <w:sz w:val="22"/>
          <w:lang w:val="en-AU" w:eastAsia="en-AU"/>
        </w:rPr>
        <w:t>-fold when administered every 3 weeks.</w:t>
      </w:r>
      <w:r w:rsidRPr="0019477B">
        <w:rPr>
          <w:rFonts w:eastAsia="Times New Roman" w:cs="Arial"/>
          <w:sz w:val="22"/>
          <w:lang w:val="en-AU" w:eastAsia="en-AU"/>
        </w:rPr>
        <w:t xml:space="preserve"> </w:t>
      </w:r>
      <w:r w:rsidR="00D96B6C">
        <w:rPr>
          <w:rFonts w:eastAsia="Times New Roman" w:cs="Arial"/>
          <w:sz w:val="22"/>
          <w:lang w:val="en-AU" w:eastAsia="en-AU"/>
        </w:rPr>
        <w:t>Near s</w:t>
      </w:r>
      <w:r w:rsidR="00D96B6C" w:rsidRPr="00EE12B4">
        <w:rPr>
          <w:rFonts w:eastAsia="Times New Roman" w:cs="Arial"/>
          <w:sz w:val="22"/>
          <w:lang w:val="en-AU" w:eastAsia="en-AU"/>
        </w:rPr>
        <w:t>teady</w:t>
      </w:r>
      <w:r w:rsidRPr="00EE12B4">
        <w:rPr>
          <w:rFonts w:eastAsia="Times New Roman" w:cs="Arial"/>
          <w:sz w:val="22"/>
          <w:lang w:val="en-AU" w:eastAsia="en-AU"/>
        </w:rPr>
        <w:t xml:space="preserve">-state concentrations of pembrolizumab were </w:t>
      </w:r>
      <w:r w:rsidR="00D96B6C">
        <w:rPr>
          <w:rFonts w:eastAsia="Times New Roman" w:cs="Arial"/>
          <w:sz w:val="22"/>
          <w:lang w:val="en-AU" w:eastAsia="en-AU"/>
        </w:rPr>
        <w:t>achieved</w:t>
      </w:r>
      <w:r w:rsidR="00D96B6C" w:rsidRPr="00EE12B4">
        <w:rPr>
          <w:rFonts w:eastAsia="Times New Roman" w:cs="Arial"/>
          <w:sz w:val="22"/>
          <w:lang w:val="en-AU" w:eastAsia="en-AU"/>
        </w:rPr>
        <w:t xml:space="preserve"> </w:t>
      </w:r>
      <w:r w:rsidRPr="00EE12B4">
        <w:rPr>
          <w:rFonts w:eastAsia="Times New Roman" w:cs="Arial"/>
          <w:sz w:val="22"/>
          <w:lang w:val="en-AU" w:eastAsia="en-AU"/>
        </w:rPr>
        <w:t xml:space="preserve">by </w:t>
      </w:r>
      <w:r w:rsidR="00D96B6C">
        <w:rPr>
          <w:rFonts w:eastAsia="Times New Roman" w:cs="Arial"/>
          <w:sz w:val="22"/>
          <w:lang w:val="en-AU" w:eastAsia="en-AU"/>
        </w:rPr>
        <w:t>1</w:t>
      </w:r>
      <w:r w:rsidR="0088687F">
        <w:rPr>
          <w:rFonts w:eastAsia="Times New Roman" w:cs="Arial"/>
          <w:sz w:val="22"/>
          <w:lang w:val="en-AU" w:eastAsia="en-AU"/>
        </w:rPr>
        <w:t>8</w:t>
      </w:r>
      <w:r w:rsidR="00D96B6C" w:rsidRPr="00EE12B4">
        <w:rPr>
          <w:rFonts w:eastAsia="Times New Roman" w:cs="Arial"/>
          <w:sz w:val="22"/>
          <w:lang w:val="en-AU" w:eastAsia="en-AU"/>
        </w:rPr>
        <w:t xml:space="preserve"> </w:t>
      </w:r>
      <w:r w:rsidRPr="00EE12B4">
        <w:rPr>
          <w:rFonts w:eastAsia="Times New Roman" w:cs="Arial"/>
          <w:sz w:val="22"/>
          <w:lang w:val="en-AU" w:eastAsia="en-AU"/>
        </w:rPr>
        <w:t xml:space="preserve">weeks; the </w:t>
      </w:r>
      <w:r w:rsidR="0088687F">
        <w:rPr>
          <w:rFonts w:eastAsia="Times New Roman" w:cs="Arial"/>
          <w:sz w:val="22"/>
          <w:lang w:val="en-AU" w:eastAsia="en-AU"/>
        </w:rPr>
        <w:t>median</w:t>
      </w:r>
      <w:r w:rsidRPr="00EE12B4">
        <w:rPr>
          <w:rFonts w:eastAsia="Times New Roman" w:cs="Arial"/>
          <w:sz w:val="22"/>
          <w:lang w:val="en-AU" w:eastAsia="en-AU"/>
        </w:rPr>
        <w:t xml:space="preserve"> C</w:t>
      </w:r>
      <w:r w:rsidRPr="00EE12B4">
        <w:rPr>
          <w:rFonts w:eastAsia="Times New Roman" w:cs="Arial"/>
          <w:sz w:val="22"/>
          <w:vertAlign w:val="subscript"/>
          <w:lang w:val="en-AU" w:eastAsia="en-AU"/>
        </w:rPr>
        <w:t>min</w:t>
      </w:r>
      <w:r w:rsidRPr="00EE12B4">
        <w:rPr>
          <w:rFonts w:eastAsia="Times New Roman" w:cs="Arial"/>
          <w:sz w:val="22"/>
          <w:lang w:val="en-AU" w:eastAsia="en-AU"/>
        </w:rPr>
        <w:t xml:space="preserve"> </w:t>
      </w:r>
      <w:r w:rsidR="00D96B6C">
        <w:rPr>
          <w:rFonts w:eastAsia="Times New Roman" w:cs="Arial"/>
          <w:sz w:val="22"/>
          <w:lang w:val="en-AU" w:eastAsia="en-AU"/>
        </w:rPr>
        <w:t>1</w:t>
      </w:r>
      <w:r w:rsidR="0088687F">
        <w:rPr>
          <w:rFonts w:eastAsia="Times New Roman" w:cs="Arial"/>
          <w:sz w:val="22"/>
          <w:lang w:val="en-AU" w:eastAsia="en-AU"/>
        </w:rPr>
        <w:t>8</w:t>
      </w:r>
      <w:r w:rsidR="00D96B6C">
        <w:rPr>
          <w:rFonts w:eastAsia="Times New Roman" w:cs="Arial"/>
          <w:sz w:val="22"/>
          <w:lang w:val="en-AU" w:eastAsia="en-AU"/>
        </w:rPr>
        <w:t xml:space="preserve"> weeks </w:t>
      </w:r>
      <w:r w:rsidR="009A50DA">
        <w:rPr>
          <w:rFonts w:eastAsia="Times New Roman" w:cs="Arial"/>
          <w:sz w:val="22"/>
          <w:lang w:val="en-AU" w:eastAsia="en-AU"/>
        </w:rPr>
        <w:t>is</w:t>
      </w:r>
      <w:r w:rsidR="00D96B6C">
        <w:rPr>
          <w:rFonts w:eastAsia="Times New Roman" w:cs="Arial"/>
          <w:sz w:val="22"/>
          <w:lang w:val="en-AU" w:eastAsia="en-AU"/>
        </w:rPr>
        <w:t xml:space="preserve"> </w:t>
      </w:r>
      <w:proofErr w:type="gramStart"/>
      <w:r w:rsidR="0088687F">
        <w:rPr>
          <w:rFonts w:eastAsia="Times New Roman" w:cs="Arial"/>
          <w:sz w:val="22"/>
          <w:lang w:val="en-AU" w:eastAsia="en-AU"/>
        </w:rPr>
        <w:t>22.8</w:t>
      </w:r>
      <w:r w:rsidR="00D96B6C" w:rsidRPr="00362DC6">
        <w:rPr>
          <w:rFonts w:eastAsia="Times New Roman" w:cs="Arial"/>
          <w:sz w:val="22"/>
          <w:lang w:val="en-AU" w:eastAsia="en-AU"/>
        </w:rPr>
        <w:t xml:space="preserve"> </w:t>
      </w:r>
      <w:r w:rsidRPr="00362DC6">
        <w:rPr>
          <w:rFonts w:eastAsia="Times New Roman" w:cs="Arial"/>
          <w:sz w:val="22"/>
          <w:lang w:val="en-AU" w:eastAsia="en-AU"/>
        </w:rPr>
        <w:t xml:space="preserve">µg/mL </w:t>
      </w:r>
      <w:r w:rsidR="0088687F">
        <w:rPr>
          <w:rFonts w:eastAsia="Times New Roman" w:cs="Arial"/>
          <w:sz w:val="22"/>
          <w:lang w:val="en-AU" w:eastAsia="en-AU"/>
        </w:rPr>
        <w:t xml:space="preserve">at a dose </w:t>
      </w:r>
      <w:r w:rsidRPr="00362DC6">
        <w:rPr>
          <w:rFonts w:eastAsia="Times New Roman" w:cs="Arial"/>
          <w:sz w:val="22"/>
          <w:lang w:val="en-AU" w:eastAsia="en-AU"/>
        </w:rPr>
        <w:t>of 2 mg/kg</w:t>
      </w:r>
      <w:proofErr w:type="gramEnd"/>
      <w:r w:rsidRPr="00362DC6">
        <w:rPr>
          <w:rFonts w:eastAsia="Times New Roman" w:cs="Arial"/>
          <w:sz w:val="22"/>
          <w:lang w:val="en-AU" w:eastAsia="en-AU"/>
        </w:rPr>
        <w:t xml:space="preserve"> every 3 weeks.</w:t>
      </w:r>
    </w:p>
    <w:p w14:paraId="7044C46F" w14:textId="6005E5AF" w:rsidR="00ED2919" w:rsidRPr="00362DC6" w:rsidRDefault="00ED2919" w:rsidP="008476E9">
      <w:pPr>
        <w:pStyle w:val="Body"/>
        <w:ind w:firstLine="0"/>
        <w:jc w:val="both"/>
        <w:rPr>
          <w:rFonts w:eastAsia="Times New Roman" w:cs="Arial"/>
          <w:sz w:val="22"/>
          <w:lang w:val="en-AU" w:eastAsia="en-AU"/>
        </w:rPr>
      </w:pPr>
      <w:r>
        <w:rPr>
          <w:rFonts w:eastAsia="Times New Roman" w:cs="Arial"/>
          <w:sz w:val="22"/>
          <w:lang w:val="en-AU" w:eastAsia="en-AU"/>
        </w:rPr>
        <w:t xml:space="preserve">Following administration of </w:t>
      </w:r>
      <w:proofErr w:type="spellStart"/>
      <w:r>
        <w:rPr>
          <w:rFonts w:eastAsia="Times New Roman" w:cs="Arial"/>
          <w:sz w:val="22"/>
          <w:lang w:val="en-AU" w:eastAsia="en-AU"/>
        </w:rPr>
        <w:t>pembrolizumab</w:t>
      </w:r>
      <w:proofErr w:type="spellEnd"/>
      <w:r>
        <w:rPr>
          <w:rFonts w:eastAsia="Times New Roman" w:cs="Arial"/>
          <w:sz w:val="22"/>
          <w:lang w:val="en-AU" w:eastAsia="en-AU"/>
        </w:rPr>
        <w:t xml:space="preserve"> 200 mg every 3 weeks in patients with cHL, the observed median C</w:t>
      </w:r>
      <w:r w:rsidRPr="00664605">
        <w:rPr>
          <w:rFonts w:eastAsia="Times New Roman" w:cs="Arial"/>
          <w:sz w:val="22"/>
          <w:vertAlign w:val="subscript"/>
          <w:lang w:val="en-AU" w:eastAsia="en-AU"/>
        </w:rPr>
        <w:t>min</w:t>
      </w:r>
      <w:r>
        <w:rPr>
          <w:rFonts w:eastAsia="Times New Roman" w:cs="Arial"/>
          <w:sz w:val="22"/>
          <w:lang w:val="en-AU" w:eastAsia="en-AU"/>
        </w:rPr>
        <w:t xml:space="preserve"> at steady-state was up to 40% higher than that in other tumour types treated with the same dosage; however, the range of trough concentrations is similar. There are no notable differences in the median C</w:t>
      </w:r>
      <w:r w:rsidRPr="00664605">
        <w:rPr>
          <w:rFonts w:eastAsia="Times New Roman" w:cs="Arial"/>
          <w:sz w:val="22"/>
          <w:vertAlign w:val="subscript"/>
          <w:lang w:val="en-AU" w:eastAsia="en-AU"/>
        </w:rPr>
        <w:t>max</w:t>
      </w:r>
      <w:r>
        <w:rPr>
          <w:rFonts w:eastAsia="Times New Roman" w:cs="Arial"/>
          <w:sz w:val="22"/>
          <w:lang w:val="en-AU" w:eastAsia="en-AU"/>
        </w:rPr>
        <w:t xml:space="preserve"> between cHL and other tumour types. Based on available safety data in cHL and other tumour types, these differences are not considered clinically meaningful.</w:t>
      </w:r>
    </w:p>
    <w:p w14:paraId="625A566F" w14:textId="77777777" w:rsidR="00440A35" w:rsidRPr="004172BA" w:rsidRDefault="00440A35" w:rsidP="00EE12B4">
      <w:pPr>
        <w:pStyle w:val="Heading2"/>
        <w:rPr>
          <w:rFonts w:ascii="Arial" w:hAnsi="Arial" w:cs="Arial"/>
        </w:rPr>
      </w:pPr>
      <w:r w:rsidRPr="004172BA">
        <w:rPr>
          <w:rFonts w:ascii="Arial" w:hAnsi="Arial" w:cs="Arial"/>
        </w:rPr>
        <w:t>Special populations</w:t>
      </w:r>
    </w:p>
    <w:p w14:paraId="3EB2BCDC" w14:textId="5C2986B4" w:rsidR="00440A35" w:rsidRPr="00B93124" w:rsidRDefault="00440A35" w:rsidP="008476E9">
      <w:pPr>
        <w:pStyle w:val="Body"/>
        <w:ind w:firstLine="0"/>
        <w:jc w:val="both"/>
        <w:rPr>
          <w:rFonts w:eastAsia="Times New Roman" w:cs="Arial"/>
          <w:sz w:val="22"/>
          <w:lang w:val="en-AU" w:eastAsia="en-AU"/>
        </w:rPr>
      </w:pPr>
      <w:r w:rsidRPr="004172BA">
        <w:rPr>
          <w:rFonts w:eastAsia="Times New Roman" w:cs="Arial"/>
          <w:sz w:val="22"/>
          <w:lang w:val="en-AU" w:eastAsia="en-AU"/>
        </w:rPr>
        <w:t xml:space="preserve">The effects of various covariates on the pharmacokinetics of pembrolizumab were assessed in population pharmacokinetic analyses. </w:t>
      </w:r>
      <w:r w:rsidRPr="00343CB7">
        <w:rPr>
          <w:rFonts w:eastAsia="Times New Roman" w:cs="Arial"/>
          <w:sz w:val="22"/>
          <w:lang w:val="en-AU" w:eastAsia="en-AU"/>
        </w:rPr>
        <w:t>The following factors had no clinically important effect on the clearance of pembrolizumab: age (range 1</w:t>
      </w:r>
      <w:r w:rsidR="00D96B6C">
        <w:rPr>
          <w:rFonts w:eastAsia="Times New Roman" w:cs="Arial"/>
          <w:sz w:val="22"/>
          <w:lang w:val="en-AU" w:eastAsia="en-AU"/>
        </w:rPr>
        <w:t>5</w:t>
      </w:r>
      <w:r w:rsidRPr="009F14D7">
        <w:rPr>
          <w:rFonts w:eastAsia="Times New Roman" w:cs="Arial"/>
          <w:sz w:val="22"/>
          <w:lang w:val="en-AU" w:eastAsia="en-AU"/>
        </w:rPr>
        <w:t>-94 years), gender</w:t>
      </w:r>
      <w:r w:rsidR="00D96B6C">
        <w:rPr>
          <w:rFonts w:eastAsia="Times New Roman" w:cs="Arial"/>
          <w:sz w:val="22"/>
          <w:lang w:val="en-AU" w:eastAsia="en-AU"/>
        </w:rPr>
        <w:t>, race</w:t>
      </w:r>
      <w:r w:rsidRPr="009F14D7">
        <w:rPr>
          <w:rFonts w:eastAsia="Times New Roman" w:cs="Arial"/>
          <w:sz w:val="22"/>
          <w:lang w:val="en-AU" w:eastAsia="en-AU"/>
        </w:rPr>
        <w:t>,</w:t>
      </w:r>
      <w:r w:rsidRPr="00187C95">
        <w:rPr>
          <w:rFonts w:eastAsia="Times New Roman" w:cs="Arial"/>
          <w:sz w:val="22"/>
          <w:lang w:val="en-AU" w:eastAsia="en-AU"/>
        </w:rPr>
        <w:t xml:space="preserve"> mild or moderate renal impairment, mild </w:t>
      </w:r>
      <w:r w:rsidRPr="00D8643B">
        <w:rPr>
          <w:rFonts w:eastAsia="Times New Roman" w:cs="Arial"/>
          <w:sz w:val="22"/>
          <w:lang w:val="en-AU" w:eastAsia="en-AU"/>
        </w:rPr>
        <w:t>hepatic impairment, and tumour burden.</w:t>
      </w:r>
      <w:r w:rsidR="009A50DA">
        <w:rPr>
          <w:rFonts w:eastAsia="Times New Roman" w:cs="Arial"/>
          <w:sz w:val="22"/>
          <w:lang w:val="en-AU" w:eastAsia="en-AU"/>
        </w:rPr>
        <w:t xml:space="preserve"> </w:t>
      </w:r>
      <w:r w:rsidR="009A50DA" w:rsidRPr="00DF0B9D">
        <w:rPr>
          <w:rFonts w:eastAsia="Times New Roman" w:cs="Arial"/>
          <w:sz w:val="22"/>
          <w:lang w:val="en-AU" w:eastAsia="en-AU"/>
        </w:rPr>
        <w:t>The relationship between body weight and clearance supports the use of either fixed dose or body weight-based dosing to provide adequate and similar control of exposure.</w:t>
      </w:r>
    </w:p>
    <w:p w14:paraId="3CD69DEA" w14:textId="77777777" w:rsidR="00440A35" w:rsidRPr="004172BA" w:rsidRDefault="00440A35" w:rsidP="00EE12B4">
      <w:pPr>
        <w:pStyle w:val="Heading2"/>
        <w:rPr>
          <w:rFonts w:ascii="Arial" w:hAnsi="Arial" w:cs="Arial"/>
        </w:rPr>
      </w:pPr>
      <w:r w:rsidRPr="004172BA">
        <w:rPr>
          <w:rFonts w:ascii="Arial" w:hAnsi="Arial" w:cs="Arial"/>
        </w:rPr>
        <w:t>Renal Impairment</w:t>
      </w:r>
    </w:p>
    <w:p w14:paraId="1074F5B9" w14:textId="77777777" w:rsidR="00440A35" w:rsidRPr="00EE12B4" w:rsidRDefault="007B4A4F" w:rsidP="008476E9">
      <w:pPr>
        <w:pStyle w:val="Body"/>
        <w:ind w:firstLine="0"/>
        <w:jc w:val="both"/>
        <w:rPr>
          <w:rFonts w:eastAsia="Times New Roman" w:cs="Arial"/>
          <w:sz w:val="22"/>
          <w:lang w:val="en-AU" w:eastAsia="en-AU"/>
        </w:rPr>
      </w:pPr>
      <w:r w:rsidRPr="004172BA">
        <w:rPr>
          <w:rFonts w:eastAsia="Times New Roman" w:cs="Arial"/>
          <w:sz w:val="22"/>
          <w:lang w:val="en-AU" w:eastAsia="en-AU"/>
        </w:rPr>
        <w:t>The effect of renal impairment on the clearance of pembrolizumab was evaluated by population pharmacokinetic analys</w:t>
      </w:r>
      <w:r w:rsidR="00D96B6C">
        <w:rPr>
          <w:rFonts w:eastAsia="Times New Roman" w:cs="Arial"/>
          <w:sz w:val="22"/>
          <w:lang w:val="en-AU" w:eastAsia="en-AU"/>
        </w:rPr>
        <w:t>i</w:t>
      </w:r>
      <w:r w:rsidRPr="004172BA">
        <w:rPr>
          <w:rFonts w:eastAsia="Times New Roman" w:cs="Arial"/>
          <w:sz w:val="22"/>
          <w:lang w:val="en-AU" w:eastAsia="en-AU"/>
        </w:rPr>
        <w:t>s in patients with mild (GFR &lt;90 and ≥60 mL/min/1.73 m</w:t>
      </w:r>
      <w:r w:rsidRPr="004172BA">
        <w:rPr>
          <w:rFonts w:eastAsia="Times New Roman" w:cs="Arial"/>
          <w:sz w:val="22"/>
          <w:vertAlign w:val="superscript"/>
          <w:lang w:val="en-AU" w:eastAsia="en-AU"/>
        </w:rPr>
        <w:t>2</w:t>
      </w:r>
      <w:r w:rsidRPr="004172BA">
        <w:rPr>
          <w:rFonts w:eastAsia="Times New Roman" w:cs="Arial"/>
          <w:sz w:val="22"/>
          <w:lang w:val="en-AU" w:eastAsia="en-AU"/>
        </w:rPr>
        <w:t>) or moderate (GFR &lt;60 and ≥30 mL/min/1.73 m</w:t>
      </w:r>
      <w:r w:rsidRPr="004172BA">
        <w:rPr>
          <w:rFonts w:eastAsia="Times New Roman" w:cs="Arial"/>
          <w:sz w:val="22"/>
          <w:vertAlign w:val="superscript"/>
          <w:lang w:val="en-AU" w:eastAsia="en-AU"/>
        </w:rPr>
        <w:t>2</w:t>
      </w:r>
      <w:r w:rsidRPr="00343CB7">
        <w:rPr>
          <w:rFonts w:eastAsia="Times New Roman" w:cs="Arial"/>
          <w:sz w:val="22"/>
          <w:lang w:val="en-AU" w:eastAsia="en-AU"/>
        </w:rPr>
        <w:t>) renal impairment compared to patients with normal (GFR ≥90 mL/min/1.73 m</w:t>
      </w:r>
      <w:r w:rsidRPr="00343CB7">
        <w:rPr>
          <w:rFonts w:eastAsia="Times New Roman" w:cs="Arial"/>
          <w:sz w:val="22"/>
          <w:vertAlign w:val="superscript"/>
          <w:lang w:val="en-AU" w:eastAsia="en-AU"/>
        </w:rPr>
        <w:t>2</w:t>
      </w:r>
      <w:r w:rsidRPr="00D8643B">
        <w:rPr>
          <w:rFonts w:eastAsia="Times New Roman" w:cs="Arial"/>
          <w:sz w:val="22"/>
          <w:lang w:val="en-AU" w:eastAsia="en-AU"/>
        </w:rPr>
        <w:t>) renal functio</w:t>
      </w:r>
      <w:r w:rsidRPr="00B93124">
        <w:rPr>
          <w:rFonts w:eastAsia="Times New Roman" w:cs="Arial"/>
          <w:sz w:val="22"/>
          <w:lang w:val="en-AU" w:eastAsia="en-AU"/>
        </w:rPr>
        <w:t xml:space="preserve">n. No clinically important differences in the clearance of pembrolizumab were found between patients with mild or moderate renal impairment and patients </w:t>
      </w:r>
      <w:r w:rsidRPr="00B93124">
        <w:rPr>
          <w:rFonts w:eastAsia="Times New Roman" w:cs="Arial"/>
          <w:sz w:val="22"/>
          <w:lang w:val="en-AU" w:eastAsia="en-AU"/>
        </w:rPr>
        <w:lastRenderedPageBreak/>
        <w:t>with normal renal function. KEYTRUDA has not been studied in patients with severe (GFR &lt;30 and ≥15 mL/m</w:t>
      </w:r>
      <w:r w:rsidRPr="00A04553">
        <w:rPr>
          <w:rFonts w:eastAsia="Times New Roman" w:cs="Arial"/>
          <w:sz w:val="22"/>
          <w:lang w:val="en-AU" w:eastAsia="en-AU"/>
        </w:rPr>
        <w:t>in/1.73 m</w:t>
      </w:r>
      <w:r w:rsidRPr="00431AB6">
        <w:rPr>
          <w:rFonts w:eastAsia="Times New Roman" w:cs="Arial"/>
          <w:sz w:val="22"/>
          <w:vertAlign w:val="superscript"/>
          <w:lang w:val="en-AU" w:eastAsia="en-AU"/>
        </w:rPr>
        <w:t>2</w:t>
      </w:r>
      <w:r w:rsidRPr="00431AB6">
        <w:rPr>
          <w:rFonts w:eastAsia="Times New Roman" w:cs="Arial"/>
          <w:sz w:val="22"/>
          <w:lang w:val="en-AU" w:eastAsia="en-AU"/>
        </w:rPr>
        <w:t xml:space="preserve">) renal impairment </w:t>
      </w:r>
      <w:r w:rsidRPr="00431AB6">
        <w:rPr>
          <w:rFonts w:eastAsia="Times New Roman" w:cs="Arial"/>
          <w:i/>
          <w:sz w:val="22"/>
          <w:lang w:val="en-AU" w:eastAsia="en-AU"/>
        </w:rPr>
        <w:t>[See DOSAGE AND ADMINISTRATION]</w:t>
      </w:r>
      <w:r w:rsidRPr="00EE12B4">
        <w:rPr>
          <w:rFonts w:eastAsia="Times New Roman" w:cs="Arial"/>
          <w:sz w:val="22"/>
          <w:lang w:val="en-AU" w:eastAsia="en-AU"/>
        </w:rPr>
        <w:t>.</w:t>
      </w:r>
      <w:r w:rsidR="00440A35" w:rsidRPr="00EE12B4">
        <w:rPr>
          <w:rFonts w:eastAsia="Times New Roman" w:cs="Arial"/>
          <w:sz w:val="22"/>
          <w:lang w:val="en-AU" w:eastAsia="en-AU"/>
        </w:rPr>
        <w:tab/>
      </w:r>
    </w:p>
    <w:p w14:paraId="0A768E86" w14:textId="77777777" w:rsidR="00440A35" w:rsidRPr="004172BA" w:rsidRDefault="00440A35" w:rsidP="00EE12B4">
      <w:pPr>
        <w:pStyle w:val="Heading2"/>
        <w:rPr>
          <w:rFonts w:ascii="Arial" w:hAnsi="Arial" w:cs="Arial"/>
        </w:rPr>
      </w:pPr>
      <w:r w:rsidRPr="004172BA">
        <w:rPr>
          <w:rFonts w:ascii="Arial" w:hAnsi="Arial" w:cs="Arial"/>
        </w:rPr>
        <w:t>Hepatic Impairment</w:t>
      </w:r>
    </w:p>
    <w:p w14:paraId="01465BE9" w14:textId="77777777" w:rsidR="00D058F6" w:rsidRPr="00431AB6" w:rsidRDefault="007B4A4F" w:rsidP="008476E9">
      <w:pPr>
        <w:pStyle w:val="Body"/>
        <w:ind w:firstLine="0"/>
        <w:jc w:val="both"/>
        <w:rPr>
          <w:rFonts w:eastAsia="Times New Roman" w:cs="Arial"/>
          <w:sz w:val="22"/>
          <w:lang w:val="en-AU" w:eastAsia="en-AU"/>
        </w:rPr>
      </w:pPr>
      <w:r w:rsidRPr="004172BA">
        <w:rPr>
          <w:rFonts w:eastAsia="Times New Roman" w:cs="Arial"/>
          <w:sz w:val="22"/>
          <w:lang w:val="en-AU" w:eastAsia="en-AU"/>
        </w:rPr>
        <w:t xml:space="preserve">The effect of hepatic impairment on the clearance of pembrolizumab was evaluated by population pharmacokinetic </w:t>
      </w:r>
      <w:r w:rsidRPr="00343CB7">
        <w:rPr>
          <w:rFonts w:eastAsia="Times New Roman" w:cs="Arial"/>
          <w:sz w:val="22"/>
          <w:lang w:val="en-AU" w:eastAsia="en-AU"/>
        </w:rPr>
        <w:t>analys</w:t>
      </w:r>
      <w:r w:rsidR="00D96B6C">
        <w:rPr>
          <w:rFonts w:eastAsia="Times New Roman" w:cs="Arial"/>
          <w:sz w:val="22"/>
          <w:lang w:val="en-AU" w:eastAsia="en-AU"/>
        </w:rPr>
        <w:t>i</w:t>
      </w:r>
      <w:r w:rsidRPr="00343CB7">
        <w:rPr>
          <w:rFonts w:eastAsia="Times New Roman" w:cs="Arial"/>
          <w:sz w:val="22"/>
          <w:lang w:val="en-AU" w:eastAsia="en-AU"/>
        </w:rPr>
        <w:t xml:space="preserve">s </w:t>
      </w:r>
      <w:r w:rsidRPr="009F14D7">
        <w:rPr>
          <w:rFonts w:eastAsia="Times New Roman" w:cs="Arial"/>
          <w:sz w:val="22"/>
          <w:lang w:val="en-AU" w:eastAsia="en-AU"/>
        </w:rPr>
        <w:t>in patients with mild hepatic impairment (total bilirubin (TB) 1.0 to 1.5 x ULN or AST &gt;ULN as defined using the National Cancer Institute criteria of hepatic dysfunction</w:t>
      </w:r>
      <w:r w:rsidRPr="00D8643B">
        <w:rPr>
          <w:rFonts w:eastAsia="Times New Roman" w:cs="Arial"/>
          <w:sz w:val="22"/>
          <w:lang w:val="en-AU" w:eastAsia="en-AU"/>
        </w:rPr>
        <w:t>) compared to patients with normal hepatic function (TB and AST ≤ULN</w:t>
      </w:r>
      <w:r w:rsidRPr="00AE1EF9">
        <w:rPr>
          <w:rFonts w:eastAsia="Times New Roman" w:cs="Arial"/>
          <w:sz w:val="22"/>
          <w:lang w:val="en-AU" w:eastAsia="en-AU"/>
        </w:rPr>
        <w:t xml:space="preserve">). No clinically important differences in the clearance of pembrolizumab were found between patients with mild hepatic impairment and normal hepatic function. KEYTRUDA has </w:t>
      </w:r>
      <w:r w:rsidRPr="00A04553">
        <w:rPr>
          <w:rFonts w:eastAsia="Times New Roman" w:cs="Arial"/>
          <w:sz w:val="22"/>
          <w:lang w:val="en-AU" w:eastAsia="en-AU"/>
        </w:rPr>
        <w:t xml:space="preserve">not been studied in patients with moderate (TB &gt;1.5 to 3 x ULN and any AST) or severe (TB &gt;3 x ULN and any AST) hepatic impairment </w:t>
      </w:r>
      <w:r w:rsidRPr="00431AB6">
        <w:rPr>
          <w:rFonts w:eastAsia="Times New Roman" w:cs="Arial"/>
          <w:i/>
          <w:sz w:val="22"/>
          <w:lang w:val="en-AU" w:eastAsia="en-AU"/>
        </w:rPr>
        <w:t>[See DOSAGE AND ADMINISTRATION]</w:t>
      </w:r>
      <w:r w:rsidR="00BE663E" w:rsidRPr="00431AB6">
        <w:rPr>
          <w:rFonts w:eastAsia="Times New Roman" w:cs="Arial"/>
          <w:sz w:val="22"/>
          <w:lang w:val="en-AU" w:eastAsia="en-AU"/>
        </w:rPr>
        <w:t>.</w:t>
      </w:r>
    </w:p>
    <w:p w14:paraId="0340BA16" w14:textId="77777777" w:rsidR="003A6F1C" w:rsidRPr="00EE12B4" w:rsidRDefault="00491C60" w:rsidP="00491C60">
      <w:pPr>
        <w:pStyle w:val="Heading1"/>
      </w:pPr>
      <w:r w:rsidRPr="00EE12B4">
        <w:t>CLINICAL TRIALS</w:t>
      </w:r>
    </w:p>
    <w:p w14:paraId="652F998F" w14:textId="77777777" w:rsidR="00D058F6" w:rsidRPr="00EE12B4" w:rsidRDefault="00D058F6" w:rsidP="00D2086F">
      <w:pPr>
        <w:pStyle w:val="Heading2"/>
        <w:spacing w:before="0" w:after="0"/>
        <w:rPr>
          <w:rFonts w:ascii="Arial" w:hAnsi="Arial" w:cs="Arial"/>
        </w:rPr>
      </w:pPr>
      <w:r w:rsidRPr="00EE12B4">
        <w:rPr>
          <w:rFonts w:ascii="Arial" w:hAnsi="Arial" w:cs="Arial"/>
        </w:rPr>
        <w:t>Clinical Studies in Unresectable or Metastatic Melanoma</w:t>
      </w:r>
    </w:p>
    <w:p w14:paraId="6E22F7CC" w14:textId="77777777" w:rsidR="00D96B6C" w:rsidRPr="00D96B6C" w:rsidRDefault="00D96B6C" w:rsidP="008F0CEF">
      <w:pPr>
        <w:pStyle w:val="Heading3"/>
      </w:pPr>
      <w:r w:rsidRPr="008F0CEF">
        <w:t>KEYNOTE-006: Controlled trial in melanoma patients naïve to treatment with ipilim</w:t>
      </w:r>
      <w:r w:rsidRPr="00D96B6C">
        <w:t>umab</w:t>
      </w:r>
    </w:p>
    <w:p w14:paraId="4E892D77" w14:textId="77777777" w:rsidR="00D96B6C" w:rsidRPr="00D96B6C" w:rsidRDefault="00D96B6C" w:rsidP="00D96B6C">
      <w:pPr>
        <w:autoSpaceDE w:val="0"/>
        <w:autoSpaceDN w:val="0"/>
        <w:adjustRightInd w:val="0"/>
        <w:rPr>
          <w:rFonts w:cs="Arial"/>
          <w:noProof/>
          <w:szCs w:val="22"/>
        </w:rPr>
      </w:pPr>
      <w:r w:rsidRPr="00D96B6C">
        <w:rPr>
          <w:rFonts w:cs="Arial"/>
          <w:noProof/>
          <w:szCs w:val="22"/>
        </w:rPr>
        <w:t>The safety and efficacy of KEYTRUDA were investigated in KEYNOTE 006, a multicenter, controlled, Phase III study for the treatment of unresectable or metastatic melanoma in patients who were naïve to ipilimumab and who received no or one prior systemic therapy. Patients were randomized (1:1:1) to receive KEYTRUDA at a dose of 10 mg/kg every 2 (n=279) or 3 weeks (n=277) or ipilimumab (n=278). Randomization was stratified by line of therapy, ECOG performance status, and PD-L1 expression status. The study excluded patients with autoimmune disease or those receiving immunosuppression; previous severe hypersensitivity to other monoclonal antibodies; and HIV, hepatitis B or hepatitis C infection. Patients with BRAF V600E mutant melanoma were not required to have received prior BRAF inhibitor therapy.</w:t>
      </w:r>
    </w:p>
    <w:p w14:paraId="18DFDE6F" w14:textId="77777777" w:rsidR="000B4EB3" w:rsidRDefault="00D96B6C" w:rsidP="00D96B6C">
      <w:pPr>
        <w:autoSpaceDE w:val="0"/>
        <w:autoSpaceDN w:val="0"/>
        <w:adjustRightInd w:val="0"/>
        <w:rPr>
          <w:rFonts w:cs="Arial"/>
          <w:noProof/>
          <w:szCs w:val="22"/>
        </w:rPr>
      </w:pPr>
      <w:r w:rsidRPr="00D96B6C">
        <w:rPr>
          <w:rFonts w:cs="Arial"/>
          <w:noProof/>
          <w:szCs w:val="22"/>
        </w:rPr>
        <w:t xml:space="preserve">Patients were treated with KEYTRUDA until disease progression or unacceptable toxicity. Clinically stable patients with initial evidence of disease progression were permitted to remain on treatment until disease progression was confirmed. Assessment of </w:t>
      </w:r>
      <w:r w:rsidR="0088687F">
        <w:rPr>
          <w:rFonts w:cs="Arial"/>
          <w:noProof/>
          <w:szCs w:val="22"/>
        </w:rPr>
        <w:t>tumour</w:t>
      </w:r>
      <w:r w:rsidRPr="00D96B6C">
        <w:rPr>
          <w:rFonts w:cs="Arial"/>
          <w:noProof/>
          <w:szCs w:val="22"/>
        </w:rPr>
        <w:t xml:space="preserve"> status was performed at 12 weeks, then every 6 weeks through week 48, followed by every 12 weeks thereafter.</w:t>
      </w:r>
    </w:p>
    <w:p w14:paraId="4D821130" w14:textId="63B7AFCB" w:rsidR="00D96B6C" w:rsidRPr="00D96B6C" w:rsidRDefault="00D96B6C" w:rsidP="00D96B6C">
      <w:pPr>
        <w:autoSpaceDE w:val="0"/>
        <w:autoSpaceDN w:val="0"/>
        <w:adjustRightInd w:val="0"/>
        <w:rPr>
          <w:rFonts w:cs="Arial"/>
          <w:noProof/>
          <w:szCs w:val="22"/>
        </w:rPr>
      </w:pPr>
      <w:r w:rsidRPr="00D96B6C">
        <w:rPr>
          <w:rFonts w:cs="Arial"/>
          <w:noProof/>
          <w:szCs w:val="22"/>
        </w:rPr>
        <w:t>Of the 834 patients in KEYNOTE-006, 60% were male, 44% were ≥65 years (median age was 62 years [range 18-89]) and 98% were white. Sixty-six percent had no prior systemic therapies and thus received study therapy as first-line treatment whereas 34% had one prior therapy and thus received study therapy as second-line treatment. Thirty-one percent had an ECOG PS of 1 and 69% had an ECOG PS of 0. Eighty</w:t>
      </w:r>
      <w:r w:rsidR="00355028">
        <w:rPr>
          <w:rFonts w:cs="Arial"/>
          <w:noProof/>
          <w:szCs w:val="22"/>
        </w:rPr>
        <w:t xml:space="preserve"> </w:t>
      </w:r>
      <w:r w:rsidRPr="00D96B6C">
        <w:rPr>
          <w:rFonts w:cs="Arial"/>
          <w:noProof/>
          <w:szCs w:val="22"/>
        </w:rPr>
        <w:t xml:space="preserve">percent of patients were PD-L1 positive (PD-L1 membrane expression in ≥1% of cells within </w:t>
      </w:r>
      <w:r w:rsidR="0088687F">
        <w:rPr>
          <w:rFonts w:cs="Arial"/>
          <w:noProof/>
          <w:szCs w:val="22"/>
        </w:rPr>
        <w:t>tumour</w:t>
      </w:r>
      <w:r w:rsidRPr="00D96B6C">
        <w:rPr>
          <w:rFonts w:cs="Arial"/>
          <w:noProof/>
          <w:szCs w:val="22"/>
        </w:rPr>
        <w:t xml:space="preserve"> nests as assessed prospectively by an immunohistochemistry research assay with the 22C3 anti PD L1 antibody) and 18% were PD-L1 negative. Sixty-</w:t>
      </w:r>
      <w:r w:rsidR="00355028">
        <w:rPr>
          <w:rFonts w:cs="Arial"/>
          <w:noProof/>
          <w:szCs w:val="22"/>
        </w:rPr>
        <w:t>five</w:t>
      </w:r>
      <w:r w:rsidRPr="00D96B6C">
        <w:rPr>
          <w:rFonts w:cs="Arial"/>
          <w:noProof/>
          <w:szCs w:val="22"/>
        </w:rPr>
        <w:t xml:space="preserve"> percent of patients had M1c stage, 32% had elevated LDH and 9% had brain metastases. BRAF mutations were reported in 302 (36%) patients. Among patients with BRAF mutant </w:t>
      </w:r>
      <w:r w:rsidR="0088687F">
        <w:rPr>
          <w:rFonts w:cs="Arial"/>
          <w:noProof/>
          <w:szCs w:val="22"/>
        </w:rPr>
        <w:t>tumour</w:t>
      </w:r>
      <w:r w:rsidRPr="00D96B6C">
        <w:rPr>
          <w:rFonts w:cs="Arial"/>
          <w:noProof/>
          <w:szCs w:val="22"/>
        </w:rPr>
        <w:t>s, 139 (46%) were previously treated with a BRAF inhibitor. Baseline characteristics were well-balanced across treatment arms.</w:t>
      </w:r>
    </w:p>
    <w:p w14:paraId="7B299369" w14:textId="77777777" w:rsidR="00D96B6C" w:rsidRPr="00D96B6C" w:rsidRDefault="00D96B6C" w:rsidP="00D96B6C">
      <w:pPr>
        <w:autoSpaceDE w:val="0"/>
        <w:autoSpaceDN w:val="0"/>
        <w:adjustRightInd w:val="0"/>
        <w:rPr>
          <w:rFonts w:cs="Arial"/>
          <w:noProof/>
          <w:szCs w:val="22"/>
        </w:rPr>
      </w:pPr>
      <w:r w:rsidRPr="00D96B6C">
        <w:rPr>
          <w:rFonts w:cs="Arial"/>
          <w:noProof/>
          <w:szCs w:val="22"/>
        </w:rPr>
        <w:t xml:space="preserve">The primary efficacy outcome measures were overall survival (OS) and progression free survival (PFS; as assessed by Integrated Radiology and Oncology Assessment [IRO] review using Response Evaluation Criteria in Solid </w:t>
      </w:r>
      <w:r w:rsidR="0088687F">
        <w:rPr>
          <w:rFonts w:cs="Arial"/>
          <w:noProof/>
          <w:szCs w:val="22"/>
        </w:rPr>
        <w:t>Tumour</w:t>
      </w:r>
      <w:r w:rsidRPr="00D96B6C">
        <w:rPr>
          <w:rFonts w:cs="Arial"/>
          <w:noProof/>
          <w:szCs w:val="22"/>
        </w:rPr>
        <w:t>s [RECIST 1.1]). Secondary efficacy outcome measures were overall response rate (ORR) and response duration. Table 1 summarizes key efficacy measures, and the Kaplan-Meier curves for OS and PFS are shown in Figures 1 and 2.</w:t>
      </w:r>
    </w:p>
    <w:p w14:paraId="6FFBD97F" w14:textId="1DBF8680" w:rsidR="00D96B6C" w:rsidRPr="00D96B6C" w:rsidRDefault="00D96B6C" w:rsidP="008F0CEF">
      <w:pPr>
        <w:pStyle w:val="Caption"/>
        <w:rPr>
          <w:highlight w:val="yellow"/>
        </w:rPr>
      </w:pPr>
      <w:r w:rsidRPr="00D96B6C">
        <w:lastRenderedPageBreak/>
        <w:t>Table 1: Response to KEYTRU</w:t>
      </w:r>
      <w:r w:rsidR="008F0CEF">
        <w:t xml:space="preserve">DA 10 mg/kg every 2 or 3 weeks </w:t>
      </w:r>
      <w:r w:rsidRPr="00D96B6C">
        <w:t xml:space="preserve">in patients with </w:t>
      </w:r>
      <w:proofErr w:type="spellStart"/>
      <w:r w:rsidR="0034622F">
        <w:t>ipilimumab</w:t>
      </w:r>
      <w:proofErr w:type="spellEnd"/>
      <w:r w:rsidR="0034622F">
        <w:t>-</w:t>
      </w:r>
      <w:r w:rsidRPr="00D96B6C">
        <w:t>naïve advanced melanoma in KEYNOTE-006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1: Response to KEYTRUDA 10 mg/kg every 2 or 3 weeks in patients with ipilimumab-naïve advanced melanoma in KEYNOTE-006"/>
      </w:tblPr>
      <w:tblGrid>
        <w:gridCol w:w="3479"/>
        <w:gridCol w:w="2111"/>
        <w:gridCol w:w="2111"/>
        <w:gridCol w:w="2154"/>
      </w:tblGrid>
      <w:tr w:rsidR="00D96B6C" w:rsidRPr="00D96B6C" w14:paraId="421E5191" w14:textId="77777777" w:rsidTr="00E25368">
        <w:trPr>
          <w:tblHeader/>
          <w:jc w:val="center"/>
        </w:trPr>
        <w:tc>
          <w:tcPr>
            <w:tcW w:w="1765" w:type="pct"/>
            <w:shd w:val="clear" w:color="auto" w:fill="auto"/>
          </w:tcPr>
          <w:p w14:paraId="2BD3DD7E" w14:textId="77777777" w:rsidR="00D96B6C" w:rsidRPr="00D96B6C" w:rsidRDefault="00D96B6C" w:rsidP="008F0CEF">
            <w:pPr>
              <w:suppressAutoHyphens w:val="0"/>
              <w:autoSpaceDE w:val="0"/>
              <w:autoSpaceDN w:val="0"/>
              <w:adjustRightInd w:val="0"/>
              <w:rPr>
                <w:rFonts w:cs="Arial"/>
                <w:b/>
                <w:szCs w:val="22"/>
              </w:rPr>
            </w:pPr>
            <w:r w:rsidRPr="00D96B6C">
              <w:rPr>
                <w:rFonts w:cs="Arial"/>
                <w:b/>
                <w:bCs/>
                <w:szCs w:val="22"/>
              </w:rPr>
              <w:t>Endpoint</w:t>
            </w:r>
          </w:p>
        </w:tc>
        <w:tc>
          <w:tcPr>
            <w:tcW w:w="1071" w:type="pct"/>
          </w:tcPr>
          <w:p w14:paraId="79E4E417" w14:textId="77777777" w:rsidR="00D96B6C" w:rsidRPr="00D96B6C" w:rsidRDefault="00D96B6C" w:rsidP="008F0CEF">
            <w:pPr>
              <w:suppressAutoHyphens w:val="0"/>
              <w:autoSpaceDE w:val="0"/>
              <w:autoSpaceDN w:val="0"/>
              <w:adjustRightInd w:val="0"/>
              <w:jc w:val="center"/>
              <w:rPr>
                <w:rFonts w:cs="Arial"/>
                <w:b/>
                <w:szCs w:val="22"/>
              </w:rPr>
            </w:pPr>
            <w:r w:rsidRPr="00D96B6C">
              <w:rPr>
                <w:rFonts w:cs="Arial"/>
                <w:b/>
                <w:szCs w:val="22"/>
              </w:rPr>
              <w:t>KEYTRUDA</w:t>
            </w:r>
          </w:p>
          <w:p w14:paraId="5D0F44D5" w14:textId="77777777" w:rsidR="00D96B6C" w:rsidRPr="00D96B6C" w:rsidRDefault="00D96B6C" w:rsidP="008F0CEF">
            <w:pPr>
              <w:suppressAutoHyphens w:val="0"/>
              <w:autoSpaceDE w:val="0"/>
              <w:autoSpaceDN w:val="0"/>
              <w:adjustRightInd w:val="0"/>
              <w:jc w:val="center"/>
              <w:rPr>
                <w:rFonts w:cs="Arial"/>
                <w:b/>
                <w:szCs w:val="22"/>
              </w:rPr>
            </w:pPr>
            <w:r w:rsidRPr="00D96B6C">
              <w:rPr>
                <w:rFonts w:cs="Arial"/>
                <w:b/>
                <w:szCs w:val="22"/>
              </w:rPr>
              <w:t>10 mg/kg every 3 weeks</w:t>
            </w:r>
          </w:p>
          <w:p w14:paraId="2DD09099" w14:textId="77777777" w:rsidR="00D96B6C" w:rsidRPr="00D96B6C" w:rsidRDefault="00D96B6C" w:rsidP="008F0CEF">
            <w:pPr>
              <w:suppressAutoHyphens w:val="0"/>
              <w:autoSpaceDE w:val="0"/>
              <w:autoSpaceDN w:val="0"/>
              <w:adjustRightInd w:val="0"/>
              <w:jc w:val="center"/>
              <w:rPr>
                <w:rFonts w:cs="Arial"/>
                <w:b/>
                <w:szCs w:val="22"/>
              </w:rPr>
            </w:pPr>
            <w:r w:rsidRPr="00D96B6C">
              <w:rPr>
                <w:rFonts w:cs="Arial"/>
                <w:b/>
                <w:szCs w:val="22"/>
              </w:rPr>
              <w:t>n=277</w:t>
            </w:r>
          </w:p>
        </w:tc>
        <w:tc>
          <w:tcPr>
            <w:tcW w:w="1071" w:type="pct"/>
          </w:tcPr>
          <w:p w14:paraId="354802AB" w14:textId="77777777" w:rsidR="00D96B6C" w:rsidRPr="00D96B6C" w:rsidRDefault="00D96B6C" w:rsidP="008F0CEF">
            <w:pPr>
              <w:suppressAutoHyphens w:val="0"/>
              <w:autoSpaceDE w:val="0"/>
              <w:autoSpaceDN w:val="0"/>
              <w:adjustRightInd w:val="0"/>
              <w:jc w:val="center"/>
              <w:rPr>
                <w:rFonts w:cs="Arial"/>
                <w:b/>
                <w:szCs w:val="22"/>
              </w:rPr>
            </w:pPr>
            <w:r w:rsidRPr="00D96B6C">
              <w:rPr>
                <w:rFonts w:cs="Arial"/>
                <w:b/>
                <w:szCs w:val="22"/>
              </w:rPr>
              <w:t>KEYTRUDA</w:t>
            </w:r>
          </w:p>
          <w:p w14:paraId="269B1FBB" w14:textId="77777777" w:rsidR="00D96B6C" w:rsidRPr="00D96B6C" w:rsidRDefault="00D96B6C" w:rsidP="008F0CEF">
            <w:pPr>
              <w:suppressAutoHyphens w:val="0"/>
              <w:autoSpaceDE w:val="0"/>
              <w:autoSpaceDN w:val="0"/>
              <w:adjustRightInd w:val="0"/>
              <w:jc w:val="center"/>
              <w:rPr>
                <w:rFonts w:cs="Arial"/>
                <w:b/>
                <w:szCs w:val="22"/>
              </w:rPr>
            </w:pPr>
            <w:r w:rsidRPr="00D96B6C">
              <w:rPr>
                <w:rFonts w:cs="Arial"/>
                <w:b/>
                <w:szCs w:val="22"/>
              </w:rPr>
              <w:t>10 mg/kg every 2 weeks</w:t>
            </w:r>
          </w:p>
          <w:p w14:paraId="281D18F5" w14:textId="77777777" w:rsidR="00D96B6C" w:rsidRPr="00D96B6C" w:rsidRDefault="00D96B6C" w:rsidP="008F0CEF">
            <w:pPr>
              <w:suppressAutoHyphens w:val="0"/>
              <w:autoSpaceDE w:val="0"/>
              <w:autoSpaceDN w:val="0"/>
              <w:adjustRightInd w:val="0"/>
              <w:jc w:val="center"/>
              <w:rPr>
                <w:rFonts w:cs="Arial"/>
                <w:b/>
                <w:szCs w:val="22"/>
              </w:rPr>
            </w:pPr>
            <w:r w:rsidRPr="00D96B6C">
              <w:rPr>
                <w:rFonts w:cs="Arial"/>
                <w:b/>
                <w:szCs w:val="22"/>
              </w:rPr>
              <w:t>n=279</w:t>
            </w:r>
          </w:p>
        </w:tc>
        <w:tc>
          <w:tcPr>
            <w:tcW w:w="1093" w:type="pct"/>
          </w:tcPr>
          <w:p w14:paraId="7F53488A" w14:textId="77777777" w:rsidR="00D96B6C" w:rsidRPr="00D96B6C" w:rsidRDefault="00D96B6C" w:rsidP="008F0CEF">
            <w:pPr>
              <w:suppressAutoHyphens w:val="0"/>
              <w:autoSpaceDE w:val="0"/>
              <w:autoSpaceDN w:val="0"/>
              <w:adjustRightInd w:val="0"/>
              <w:jc w:val="center"/>
              <w:rPr>
                <w:rFonts w:cs="Arial"/>
                <w:b/>
                <w:szCs w:val="22"/>
              </w:rPr>
            </w:pPr>
            <w:r w:rsidRPr="00D96B6C">
              <w:rPr>
                <w:rFonts w:cs="Arial"/>
                <w:b/>
                <w:szCs w:val="22"/>
              </w:rPr>
              <w:t>Ipilimumab</w:t>
            </w:r>
          </w:p>
          <w:p w14:paraId="3912D8A9" w14:textId="77777777" w:rsidR="00D96B6C" w:rsidRPr="00D96B6C" w:rsidRDefault="00D96B6C" w:rsidP="008F0CEF">
            <w:pPr>
              <w:suppressAutoHyphens w:val="0"/>
              <w:autoSpaceDE w:val="0"/>
              <w:autoSpaceDN w:val="0"/>
              <w:adjustRightInd w:val="0"/>
              <w:jc w:val="center"/>
              <w:rPr>
                <w:rFonts w:cs="Arial"/>
                <w:b/>
                <w:szCs w:val="22"/>
              </w:rPr>
            </w:pPr>
          </w:p>
          <w:p w14:paraId="230E8EE8" w14:textId="77777777" w:rsidR="00D96B6C" w:rsidRPr="00D96B6C" w:rsidRDefault="00D96B6C" w:rsidP="008F0CEF">
            <w:pPr>
              <w:suppressAutoHyphens w:val="0"/>
              <w:autoSpaceDE w:val="0"/>
              <w:autoSpaceDN w:val="0"/>
              <w:adjustRightInd w:val="0"/>
              <w:jc w:val="center"/>
              <w:rPr>
                <w:rFonts w:cs="Arial"/>
                <w:b/>
                <w:szCs w:val="22"/>
              </w:rPr>
            </w:pPr>
          </w:p>
          <w:p w14:paraId="008D2703" w14:textId="77777777" w:rsidR="00D96B6C" w:rsidRPr="00D96B6C" w:rsidRDefault="00D96B6C" w:rsidP="008F0CEF">
            <w:pPr>
              <w:suppressAutoHyphens w:val="0"/>
              <w:autoSpaceDE w:val="0"/>
              <w:autoSpaceDN w:val="0"/>
              <w:adjustRightInd w:val="0"/>
              <w:jc w:val="center"/>
              <w:rPr>
                <w:rFonts w:cs="Arial"/>
                <w:b/>
                <w:szCs w:val="22"/>
              </w:rPr>
            </w:pPr>
            <w:r w:rsidRPr="00D96B6C">
              <w:rPr>
                <w:rFonts w:cs="Arial"/>
                <w:b/>
                <w:szCs w:val="22"/>
              </w:rPr>
              <w:t>n=278</w:t>
            </w:r>
          </w:p>
        </w:tc>
      </w:tr>
      <w:tr w:rsidR="00D96B6C" w:rsidRPr="00D96B6C" w14:paraId="117DE345" w14:textId="77777777" w:rsidTr="00D96B6C">
        <w:trPr>
          <w:jc w:val="center"/>
        </w:trPr>
        <w:tc>
          <w:tcPr>
            <w:tcW w:w="1765" w:type="pct"/>
            <w:shd w:val="clear" w:color="auto" w:fill="auto"/>
          </w:tcPr>
          <w:p w14:paraId="202BF95A" w14:textId="77777777" w:rsidR="00D96B6C" w:rsidRPr="00D96B6C" w:rsidRDefault="00D96B6C" w:rsidP="008F0CEF">
            <w:pPr>
              <w:suppressAutoHyphens w:val="0"/>
              <w:autoSpaceDE w:val="0"/>
              <w:autoSpaceDN w:val="0"/>
              <w:adjustRightInd w:val="0"/>
              <w:rPr>
                <w:rFonts w:cs="Arial"/>
                <w:b/>
                <w:bCs/>
                <w:szCs w:val="22"/>
              </w:rPr>
            </w:pPr>
            <w:r w:rsidRPr="00D96B6C">
              <w:rPr>
                <w:rFonts w:cs="Arial"/>
                <w:b/>
                <w:bCs/>
                <w:szCs w:val="22"/>
              </w:rPr>
              <w:t>OS</w:t>
            </w:r>
          </w:p>
        </w:tc>
        <w:tc>
          <w:tcPr>
            <w:tcW w:w="1071" w:type="pct"/>
          </w:tcPr>
          <w:p w14:paraId="5209B02F" w14:textId="77777777" w:rsidR="00D96B6C" w:rsidRPr="00D96B6C" w:rsidRDefault="00D96B6C" w:rsidP="008F0CEF">
            <w:pPr>
              <w:suppressAutoHyphens w:val="0"/>
              <w:autoSpaceDE w:val="0"/>
              <w:autoSpaceDN w:val="0"/>
              <w:adjustRightInd w:val="0"/>
              <w:rPr>
                <w:rFonts w:cs="Arial"/>
                <w:b/>
                <w:bCs/>
                <w:szCs w:val="22"/>
              </w:rPr>
            </w:pPr>
          </w:p>
        </w:tc>
        <w:tc>
          <w:tcPr>
            <w:tcW w:w="1071" w:type="pct"/>
          </w:tcPr>
          <w:p w14:paraId="58B8E7A5" w14:textId="77777777" w:rsidR="00D96B6C" w:rsidRPr="00D96B6C" w:rsidRDefault="00D96B6C" w:rsidP="008F0CEF">
            <w:pPr>
              <w:suppressAutoHyphens w:val="0"/>
              <w:autoSpaceDE w:val="0"/>
              <w:autoSpaceDN w:val="0"/>
              <w:adjustRightInd w:val="0"/>
              <w:rPr>
                <w:rFonts w:cs="Arial"/>
                <w:b/>
                <w:bCs/>
                <w:szCs w:val="22"/>
              </w:rPr>
            </w:pPr>
          </w:p>
        </w:tc>
        <w:tc>
          <w:tcPr>
            <w:tcW w:w="1093" w:type="pct"/>
          </w:tcPr>
          <w:p w14:paraId="489B8659" w14:textId="77777777" w:rsidR="00D96B6C" w:rsidRPr="00D96B6C" w:rsidRDefault="00D96B6C" w:rsidP="008F0CEF">
            <w:pPr>
              <w:suppressAutoHyphens w:val="0"/>
              <w:autoSpaceDE w:val="0"/>
              <w:autoSpaceDN w:val="0"/>
              <w:adjustRightInd w:val="0"/>
              <w:rPr>
                <w:rFonts w:cs="Arial"/>
                <w:b/>
                <w:bCs/>
                <w:szCs w:val="22"/>
              </w:rPr>
            </w:pPr>
          </w:p>
        </w:tc>
      </w:tr>
      <w:tr w:rsidR="00D96B6C" w:rsidRPr="00D96B6C" w14:paraId="671CB960" w14:textId="77777777" w:rsidTr="00D96B6C">
        <w:trPr>
          <w:jc w:val="center"/>
        </w:trPr>
        <w:tc>
          <w:tcPr>
            <w:tcW w:w="1765" w:type="pct"/>
            <w:shd w:val="clear" w:color="auto" w:fill="auto"/>
          </w:tcPr>
          <w:p w14:paraId="258486DD" w14:textId="77777777" w:rsidR="00D96B6C" w:rsidRPr="00D96B6C" w:rsidRDefault="00D96B6C" w:rsidP="008F0CEF">
            <w:pPr>
              <w:suppressAutoHyphens w:val="0"/>
              <w:autoSpaceDE w:val="0"/>
              <w:autoSpaceDN w:val="0"/>
              <w:adjustRightInd w:val="0"/>
              <w:ind w:left="150"/>
              <w:rPr>
                <w:rFonts w:cs="Arial"/>
                <w:bCs/>
                <w:szCs w:val="22"/>
              </w:rPr>
            </w:pPr>
            <w:r w:rsidRPr="00D96B6C">
              <w:rPr>
                <w:rFonts w:cs="Arial"/>
                <w:bCs/>
                <w:szCs w:val="22"/>
              </w:rPr>
              <w:t>Number (%) of patients with event</w:t>
            </w:r>
          </w:p>
        </w:tc>
        <w:tc>
          <w:tcPr>
            <w:tcW w:w="1071" w:type="pct"/>
          </w:tcPr>
          <w:p w14:paraId="683699FC"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92 (33%)</w:t>
            </w:r>
          </w:p>
        </w:tc>
        <w:tc>
          <w:tcPr>
            <w:tcW w:w="1071" w:type="pct"/>
          </w:tcPr>
          <w:p w14:paraId="11BE4040"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85 (3</w:t>
            </w:r>
            <w:r w:rsidR="00355028">
              <w:rPr>
                <w:rFonts w:cs="Arial"/>
                <w:bCs/>
                <w:szCs w:val="22"/>
              </w:rPr>
              <w:t>0</w:t>
            </w:r>
            <w:r w:rsidRPr="00D96B6C">
              <w:rPr>
                <w:rFonts w:cs="Arial"/>
                <w:bCs/>
                <w:szCs w:val="22"/>
              </w:rPr>
              <w:t>%)</w:t>
            </w:r>
          </w:p>
        </w:tc>
        <w:tc>
          <w:tcPr>
            <w:tcW w:w="1093" w:type="pct"/>
          </w:tcPr>
          <w:p w14:paraId="4AB399B6"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112 (40%)</w:t>
            </w:r>
          </w:p>
        </w:tc>
      </w:tr>
      <w:tr w:rsidR="00D96B6C" w:rsidRPr="00D96B6C" w14:paraId="4AEAD34D" w14:textId="77777777" w:rsidTr="00D96B6C">
        <w:trPr>
          <w:jc w:val="center"/>
        </w:trPr>
        <w:tc>
          <w:tcPr>
            <w:tcW w:w="1765" w:type="pct"/>
            <w:shd w:val="clear" w:color="auto" w:fill="auto"/>
          </w:tcPr>
          <w:p w14:paraId="5400850B" w14:textId="77777777" w:rsidR="00D96B6C" w:rsidRPr="00D96B6C" w:rsidRDefault="00D96B6C" w:rsidP="008F0CEF">
            <w:pPr>
              <w:suppressAutoHyphens w:val="0"/>
              <w:autoSpaceDE w:val="0"/>
              <w:autoSpaceDN w:val="0"/>
              <w:adjustRightInd w:val="0"/>
              <w:ind w:left="150"/>
              <w:rPr>
                <w:rFonts w:cs="Arial"/>
                <w:bCs/>
                <w:szCs w:val="22"/>
              </w:rPr>
            </w:pPr>
            <w:r w:rsidRPr="00D96B6C">
              <w:rPr>
                <w:rFonts w:cs="Arial"/>
                <w:bCs/>
                <w:szCs w:val="22"/>
              </w:rPr>
              <w:t>Hazard ratio</w:t>
            </w:r>
            <w:r w:rsidRPr="00D96B6C">
              <w:rPr>
                <w:rFonts w:cs="Arial"/>
                <w:bCs/>
                <w:szCs w:val="22"/>
                <w:vertAlign w:val="superscript"/>
              </w:rPr>
              <w:t>†</w:t>
            </w:r>
            <w:r w:rsidRPr="00D96B6C">
              <w:rPr>
                <w:rFonts w:cs="Arial"/>
                <w:bCs/>
                <w:szCs w:val="22"/>
              </w:rPr>
              <w:t xml:space="preserve"> (95% CI)</w:t>
            </w:r>
            <w:r w:rsidRPr="00D96B6C">
              <w:rPr>
                <w:rFonts w:cs="Arial"/>
                <w:bCs/>
                <w:szCs w:val="22"/>
                <w:vertAlign w:val="superscript"/>
              </w:rPr>
              <w:t xml:space="preserve"> </w:t>
            </w:r>
          </w:p>
        </w:tc>
        <w:tc>
          <w:tcPr>
            <w:tcW w:w="1071" w:type="pct"/>
          </w:tcPr>
          <w:p w14:paraId="32FCE9CA"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0.69 (0.52, 0.90)</w:t>
            </w:r>
          </w:p>
        </w:tc>
        <w:tc>
          <w:tcPr>
            <w:tcW w:w="1071" w:type="pct"/>
          </w:tcPr>
          <w:p w14:paraId="2BA1A85A"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0.63 (0.47, 0.83)</w:t>
            </w:r>
          </w:p>
        </w:tc>
        <w:tc>
          <w:tcPr>
            <w:tcW w:w="1093" w:type="pct"/>
          </w:tcPr>
          <w:p w14:paraId="73C4407C"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w:t>
            </w:r>
          </w:p>
        </w:tc>
      </w:tr>
      <w:tr w:rsidR="00D96B6C" w:rsidRPr="00D96B6C" w14:paraId="0B1C6D0F" w14:textId="77777777" w:rsidTr="00D96B6C">
        <w:trPr>
          <w:jc w:val="center"/>
        </w:trPr>
        <w:tc>
          <w:tcPr>
            <w:tcW w:w="1765" w:type="pct"/>
            <w:shd w:val="clear" w:color="auto" w:fill="auto"/>
          </w:tcPr>
          <w:p w14:paraId="2DB90D5C" w14:textId="77777777" w:rsidR="00D96B6C" w:rsidRPr="00D96B6C" w:rsidRDefault="00D96B6C" w:rsidP="008F0CEF">
            <w:pPr>
              <w:suppressAutoHyphens w:val="0"/>
              <w:autoSpaceDE w:val="0"/>
              <w:autoSpaceDN w:val="0"/>
              <w:adjustRightInd w:val="0"/>
              <w:ind w:left="150"/>
              <w:rPr>
                <w:rFonts w:cs="Arial"/>
                <w:bCs/>
                <w:szCs w:val="22"/>
              </w:rPr>
            </w:pPr>
            <w:r w:rsidRPr="00D96B6C">
              <w:rPr>
                <w:rFonts w:cs="Arial"/>
                <w:bCs/>
                <w:szCs w:val="22"/>
              </w:rPr>
              <w:t>p-Value</w:t>
            </w:r>
            <w:r w:rsidRPr="00D96B6C">
              <w:rPr>
                <w:rFonts w:cs="Arial"/>
                <w:bCs/>
                <w:szCs w:val="22"/>
                <w:vertAlign w:val="superscript"/>
              </w:rPr>
              <w:t>‡</w:t>
            </w:r>
          </w:p>
        </w:tc>
        <w:tc>
          <w:tcPr>
            <w:tcW w:w="1071" w:type="pct"/>
          </w:tcPr>
          <w:p w14:paraId="2F425AD7"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0.00358</w:t>
            </w:r>
          </w:p>
        </w:tc>
        <w:tc>
          <w:tcPr>
            <w:tcW w:w="1071" w:type="pct"/>
          </w:tcPr>
          <w:p w14:paraId="1FA3AA79"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0.00052</w:t>
            </w:r>
          </w:p>
        </w:tc>
        <w:tc>
          <w:tcPr>
            <w:tcW w:w="1093" w:type="pct"/>
          </w:tcPr>
          <w:p w14:paraId="64CF988E"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w:t>
            </w:r>
          </w:p>
        </w:tc>
      </w:tr>
      <w:tr w:rsidR="00D96B6C" w:rsidRPr="00D96B6C" w14:paraId="0F4B2902" w14:textId="77777777" w:rsidTr="00D96B6C">
        <w:trPr>
          <w:jc w:val="center"/>
        </w:trPr>
        <w:tc>
          <w:tcPr>
            <w:tcW w:w="1765" w:type="pct"/>
            <w:shd w:val="clear" w:color="auto" w:fill="auto"/>
          </w:tcPr>
          <w:p w14:paraId="5C909A62" w14:textId="77777777" w:rsidR="00D96B6C" w:rsidRPr="00D96B6C" w:rsidRDefault="00D96B6C" w:rsidP="008F0CEF">
            <w:pPr>
              <w:suppressAutoHyphens w:val="0"/>
              <w:autoSpaceDE w:val="0"/>
              <w:autoSpaceDN w:val="0"/>
              <w:adjustRightInd w:val="0"/>
              <w:ind w:left="150"/>
              <w:rPr>
                <w:rFonts w:cs="Arial"/>
                <w:bCs/>
                <w:szCs w:val="22"/>
              </w:rPr>
            </w:pPr>
            <w:r w:rsidRPr="00D96B6C">
              <w:rPr>
                <w:rFonts w:cs="Arial"/>
                <w:bCs/>
                <w:szCs w:val="22"/>
              </w:rPr>
              <w:t>Median in months (95% CI)</w:t>
            </w:r>
          </w:p>
        </w:tc>
        <w:tc>
          <w:tcPr>
            <w:tcW w:w="1071" w:type="pct"/>
          </w:tcPr>
          <w:p w14:paraId="327F9BD0"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Not reached</w:t>
            </w:r>
          </w:p>
          <w:p w14:paraId="648937DA"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(NA, NA)</w:t>
            </w:r>
          </w:p>
        </w:tc>
        <w:tc>
          <w:tcPr>
            <w:tcW w:w="1071" w:type="pct"/>
          </w:tcPr>
          <w:p w14:paraId="7F30965C"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Not reached</w:t>
            </w:r>
          </w:p>
          <w:p w14:paraId="06054468"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(NA, NA)</w:t>
            </w:r>
          </w:p>
        </w:tc>
        <w:tc>
          <w:tcPr>
            <w:tcW w:w="1093" w:type="pct"/>
          </w:tcPr>
          <w:p w14:paraId="131DFC5C"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Not reached</w:t>
            </w:r>
          </w:p>
          <w:p w14:paraId="00672034"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(13, NA)</w:t>
            </w:r>
          </w:p>
        </w:tc>
      </w:tr>
      <w:tr w:rsidR="00D96B6C" w:rsidRPr="00D96B6C" w14:paraId="4ECEC3F7" w14:textId="77777777" w:rsidTr="00D96B6C">
        <w:trPr>
          <w:jc w:val="center"/>
        </w:trPr>
        <w:tc>
          <w:tcPr>
            <w:tcW w:w="1765" w:type="pct"/>
            <w:shd w:val="clear" w:color="auto" w:fill="auto"/>
          </w:tcPr>
          <w:p w14:paraId="5170FB75" w14:textId="77777777" w:rsidR="00D96B6C" w:rsidRPr="00D96B6C" w:rsidRDefault="00D96B6C" w:rsidP="008F0CEF">
            <w:pPr>
              <w:suppressAutoHyphens w:val="0"/>
              <w:autoSpaceDE w:val="0"/>
              <w:autoSpaceDN w:val="0"/>
              <w:adjustRightInd w:val="0"/>
              <w:rPr>
                <w:rFonts w:cs="Arial"/>
                <w:b/>
                <w:bCs/>
                <w:szCs w:val="22"/>
              </w:rPr>
            </w:pPr>
            <w:r w:rsidRPr="00D96B6C">
              <w:rPr>
                <w:rFonts w:cs="Arial"/>
                <w:b/>
                <w:bCs/>
                <w:szCs w:val="22"/>
              </w:rPr>
              <w:t>PFS by IRO*</w:t>
            </w:r>
          </w:p>
        </w:tc>
        <w:tc>
          <w:tcPr>
            <w:tcW w:w="1071" w:type="pct"/>
          </w:tcPr>
          <w:p w14:paraId="766B9584" w14:textId="77777777" w:rsidR="00D96B6C" w:rsidRPr="00D96B6C" w:rsidRDefault="00D96B6C" w:rsidP="008F0CEF">
            <w:pPr>
              <w:suppressAutoHyphens w:val="0"/>
              <w:autoSpaceDE w:val="0"/>
              <w:autoSpaceDN w:val="0"/>
              <w:adjustRightInd w:val="0"/>
              <w:rPr>
                <w:rFonts w:cs="Arial"/>
                <w:b/>
                <w:bCs/>
                <w:szCs w:val="22"/>
              </w:rPr>
            </w:pPr>
          </w:p>
        </w:tc>
        <w:tc>
          <w:tcPr>
            <w:tcW w:w="1071" w:type="pct"/>
          </w:tcPr>
          <w:p w14:paraId="1853EF74" w14:textId="77777777" w:rsidR="00D96B6C" w:rsidRPr="00D96B6C" w:rsidRDefault="00D96B6C" w:rsidP="008F0CEF">
            <w:pPr>
              <w:suppressAutoHyphens w:val="0"/>
              <w:autoSpaceDE w:val="0"/>
              <w:autoSpaceDN w:val="0"/>
              <w:adjustRightInd w:val="0"/>
              <w:rPr>
                <w:rFonts w:cs="Arial"/>
                <w:b/>
                <w:bCs/>
                <w:szCs w:val="22"/>
              </w:rPr>
            </w:pPr>
          </w:p>
        </w:tc>
        <w:tc>
          <w:tcPr>
            <w:tcW w:w="1093" w:type="pct"/>
          </w:tcPr>
          <w:p w14:paraId="6715EA6A" w14:textId="77777777" w:rsidR="00D96B6C" w:rsidRPr="00D96B6C" w:rsidRDefault="00D96B6C" w:rsidP="008F0CEF">
            <w:pPr>
              <w:suppressAutoHyphens w:val="0"/>
              <w:autoSpaceDE w:val="0"/>
              <w:autoSpaceDN w:val="0"/>
              <w:adjustRightInd w:val="0"/>
              <w:rPr>
                <w:rFonts w:cs="Arial"/>
                <w:b/>
                <w:bCs/>
                <w:szCs w:val="22"/>
              </w:rPr>
            </w:pPr>
          </w:p>
        </w:tc>
      </w:tr>
      <w:tr w:rsidR="00D96B6C" w:rsidRPr="00D96B6C" w14:paraId="55FF2362" w14:textId="77777777" w:rsidTr="00D96B6C">
        <w:trPr>
          <w:jc w:val="center"/>
        </w:trPr>
        <w:tc>
          <w:tcPr>
            <w:tcW w:w="1765" w:type="pct"/>
            <w:shd w:val="clear" w:color="auto" w:fill="auto"/>
          </w:tcPr>
          <w:p w14:paraId="6D40C44D" w14:textId="77777777" w:rsidR="00D96B6C" w:rsidRPr="00D96B6C" w:rsidRDefault="00D96B6C" w:rsidP="008F0CEF">
            <w:pPr>
              <w:suppressAutoHyphens w:val="0"/>
              <w:autoSpaceDE w:val="0"/>
              <w:autoSpaceDN w:val="0"/>
              <w:adjustRightInd w:val="0"/>
              <w:ind w:left="150"/>
              <w:rPr>
                <w:rFonts w:cs="Arial"/>
                <w:bCs/>
                <w:szCs w:val="22"/>
              </w:rPr>
            </w:pPr>
            <w:r w:rsidRPr="00D96B6C">
              <w:rPr>
                <w:rFonts w:cs="Arial"/>
                <w:bCs/>
                <w:szCs w:val="22"/>
              </w:rPr>
              <w:t>Number (%) of patients with event</w:t>
            </w:r>
          </w:p>
        </w:tc>
        <w:tc>
          <w:tcPr>
            <w:tcW w:w="1071" w:type="pct"/>
          </w:tcPr>
          <w:p w14:paraId="68B7BB8D"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157 (57%)</w:t>
            </w:r>
          </w:p>
        </w:tc>
        <w:tc>
          <w:tcPr>
            <w:tcW w:w="1071" w:type="pct"/>
          </w:tcPr>
          <w:p w14:paraId="6BA2FA8B"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157 (56%)</w:t>
            </w:r>
          </w:p>
        </w:tc>
        <w:tc>
          <w:tcPr>
            <w:tcW w:w="1093" w:type="pct"/>
          </w:tcPr>
          <w:p w14:paraId="66729D08"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188 (68%)</w:t>
            </w:r>
          </w:p>
        </w:tc>
      </w:tr>
      <w:tr w:rsidR="00D96B6C" w:rsidRPr="00D96B6C" w14:paraId="0E00EBCE" w14:textId="77777777" w:rsidTr="00D96B6C">
        <w:trPr>
          <w:jc w:val="center"/>
        </w:trPr>
        <w:tc>
          <w:tcPr>
            <w:tcW w:w="1765" w:type="pct"/>
            <w:shd w:val="clear" w:color="auto" w:fill="auto"/>
          </w:tcPr>
          <w:p w14:paraId="37FD3A86" w14:textId="77777777" w:rsidR="00D96B6C" w:rsidRPr="00D96B6C" w:rsidRDefault="00D96B6C" w:rsidP="008F0CEF">
            <w:pPr>
              <w:suppressAutoHyphens w:val="0"/>
              <w:autoSpaceDE w:val="0"/>
              <w:autoSpaceDN w:val="0"/>
              <w:adjustRightInd w:val="0"/>
              <w:ind w:left="150"/>
              <w:rPr>
                <w:rFonts w:cs="Arial"/>
                <w:bCs/>
                <w:szCs w:val="22"/>
              </w:rPr>
            </w:pPr>
            <w:r w:rsidRPr="00D96B6C">
              <w:rPr>
                <w:rFonts w:cs="Arial"/>
                <w:bCs/>
                <w:szCs w:val="22"/>
              </w:rPr>
              <w:t>Hazard ratio</w:t>
            </w:r>
            <w:r w:rsidRPr="00D96B6C">
              <w:rPr>
                <w:rFonts w:cs="Arial"/>
                <w:bCs/>
                <w:szCs w:val="22"/>
                <w:vertAlign w:val="superscript"/>
              </w:rPr>
              <w:t>†</w:t>
            </w:r>
            <w:r w:rsidRPr="00D96B6C">
              <w:rPr>
                <w:rFonts w:cs="Arial"/>
                <w:bCs/>
                <w:szCs w:val="22"/>
              </w:rPr>
              <w:t xml:space="preserve"> (95% CI)</w:t>
            </w:r>
            <w:r w:rsidRPr="00D96B6C">
              <w:rPr>
                <w:rFonts w:cs="Arial"/>
                <w:bCs/>
                <w:szCs w:val="22"/>
                <w:vertAlign w:val="superscript"/>
              </w:rPr>
              <w:t xml:space="preserve"> </w:t>
            </w:r>
          </w:p>
        </w:tc>
        <w:tc>
          <w:tcPr>
            <w:tcW w:w="1071" w:type="pct"/>
          </w:tcPr>
          <w:p w14:paraId="08BAEAF1"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0.58 (0.47, 0.72)</w:t>
            </w:r>
          </w:p>
        </w:tc>
        <w:tc>
          <w:tcPr>
            <w:tcW w:w="1071" w:type="pct"/>
          </w:tcPr>
          <w:p w14:paraId="05D3E53D"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0.58 (0.46, 0.72)</w:t>
            </w:r>
          </w:p>
        </w:tc>
        <w:tc>
          <w:tcPr>
            <w:tcW w:w="1093" w:type="pct"/>
          </w:tcPr>
          <w:p w14:paraId="2D0E05CA"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w:t>
            </w:r>
          </w:p>
        </w:tc>
      </w:tr>
      <w:tr w:rsidR="00D96B6C" w:rsidRPr="00D96B6C" w14:paraId="14D3AA2B" w14:textId="77777777" w:rsidTr="00D96B6C">
        <w:trPr>
          <w:jc w:val="center"/>
        </w:trPr>
        <w:tc>
          <w:tcPr>
            <w:tcW w:w="1765" w:type="pct"/>
            <w:shd w:val="clear" w:color="auto" w:fill="auto"/>
          </w:tcPr>
          <w:p w14:paraId="5462F402" w14:textId="77777777" w:rsidR="00D96B6C" w:rsidRPr="00D96B6C" w:rsidRDefault="00D96B6C" w:rsidP="008F0CEF">
            <w:pPr>
              <w:suppressAutoHyphens w:val="0"/>
              <w:autoSpaceDE w:val="0"/>
              <w:autoSpaceDN w:val="0"/>
              <w:adjustRightInd w:val="0"/>
              <w:ind w:left="150"/>
              <w:rPr>
                <w:rFonts w:cs="Arial"/>
                <w:bCs/>
                <w:szCs w:val="22"/>
              </w:rPr>
            </w:pPr>
            <w:r w:rsidRPr="00D96B6C">
              <w:rPr>
                <w:rFonts w:cs="Arial"/>
                <w:bCs/>
                <w:szCs w:val="22"/>
              </w:rPr>
              <w:t>p-Value</w:t>
            </w:r>
            <w:r w:rsidRPr="00D96B6C">
              <w:rPr>
                <w:rFonts w:cs="Arial"/>
                <w:bCs/>
                <w:szCs w:val="22"/>
                <w:vertAlign w:val="superscript"/>
              </w:rPr>
              <w:t>‡</w:t>
            </w:r>
          </w:p>
        </w:tc>
        <w:tc>
          <w:tcPr>
            <w:tcW w:w="1071" w:type="pct"/>
          </w:tcPr>
          <w:p w14:paraId="7337D713"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&lt;0.00001</w:t>
            </w:r>
          </w:p>
        </w:tc>
        <w:tc>
          <w:tcPr>
            <w:tcW w:w="1071" w:type="pct"/>
          </w:tcPr>
          <w:p w14:paraId="4042F8C0"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&lt;0.00001</w:t>
            </w:r>
          </w:p>
        </w:tc>
        <w:tc>
          <w:tcPr>
            <w:tcW w:w="1093" w:type="pct"/>
          </w:tcPr>
          <w:p w14:paraId="644DB989"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w:t>
            </w:r>
          </w:p>
        </w:tc>
      </w:tr>
      <w:tr w:rsidR="00D96B6C" w:rsidRPr="00D96B6C" w14:paraId="52232A02" w14:textId="77777777" w:rsidTr="00D96B6C">
        <w:trPr>
          <w:jc w:val="center"/>
        </w:trPr>
        <w:tc>
          <w:tcPr>
            <w:tcW w:w="1765" w:type="pct"/>
            <w:shd w:val="clear" w:color="auto" w:fill="auto"/>
          </w:tcPr>
          <w:p w14:paraId="1733EE98" w14:textId="77777777" w:rsidR="00D96B6C" w:rsidRPr="00D96B6C" w:rsidRDefault="00D96B6C" w:rsidP="008F0CEF">
            <w:pPr>
              <w:suppressAutoHyphens w:val="0"/>
              <w:autoSpaceDE w:val="0"/>
              <w:autoSpaceDN w:val="0"/>
              <w:adjustRightInd w:val="0"/>
              <w:ind w:left="150"/>
              <w:rPr>
                <w:rFonts w:cs="Arial"/>
                <w:bCs/>
                <w:szCs w:val="22"/>
              </w:rPr>
            </w:pPr>
            <w:r w:rsidRPr="00D96B6C">
              <w:rPr>
                <w:rFonts w:cs="Arial"/>
                <w:bCs/>
                <w:szCs w:val="22"/>
              </w:rPr>
              <w:t>Median in months (95% CI)</w:t>
            </w:r>
          </w:p>
        </w:tc>
        <w:tc>
          <w:tcPr>
            <w:tcW w:w="1071" w:type="pct"/>
          </w:tcPr>
          <w:p w14:paraId="3E54EED2"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4.1 (2.9, 6.9)</w:t>
            </w:r>
          </w:p>
        </w:tc>
        <w:tc>
          <w:tcPr>
            <w:tcW w:w="1071" w:type="pct"/>
          </w:tcPr>
          <w:p w14:paraId="5B5AD191"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5.5 (3.4, 6.9)</w:t>
            </w:r>
          </w:p>
        </w:tc>
        <w:tc>
          <w:tcPr>
            <w:tcW w:w="1093" w:type="pct"/>
          </w:tcPr>
          <w:p w14:paraId="46269B5D"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2.8 (2.8, 2.9)</w:t>
            </w:r>
          </w:p>
        </w:tc>
      </w:tr>
      <w:tr w:rsidR="00D96B6C" w:rsidRPr="00D96B6C" w14:paraId="275BE36D" w14:textId="77777777" w:rsidTr="00D96B6C">
        <w:trPr>
          <w:jc w:val="center"/>
        </w:trPr>
        <w:tc>
          <w:tcPr>
            <w:tcW w:w="1765" w:type="pct"/>
            <w:shd w:val="clear" w:color="auto" w:fill="auto"/>
          </w:tcPr>
          <w:p w14:paraId="2A0F65CB" w14:textId="77777777" w:rsidR="00D96B6C" w:rsidRPr="00D96B6C" w:rsidRDefault="00D96B6C" w:rsidP="008F0CEF">
            <w:pPr>
              <w:suppressAutoHyphens w:val="0"/>
              <w:autoSpaceDE w:val="0"/>
              <w:autoSpaceDN w:val="0"/>
              <w:adjustRightInd w:val="0"/>
              <w:rPr>
                <w:rFonts w:cs="Arial"/>
                <w:szCs w:val="22"/>
              </w:rPr>
            </w:pPr>
            <w:r w:rsidRPr="00D96B6C">
              <w:rPr>
                <w:rFonts w:cs="Arial"/>
                <w:b/>
                <w:bCs/>
                <w:szCs w:val="22"/>
              </w:rPr>
              <w:t>Best overall response by IRO*</w:t>
            </w:r>
          </w:p>
        </w:tc>
        <w:tc>
          <w:tcPr>
            <w:tcW w:w="1071" w:type="pct"/>
          </w:tcPr>
          <w:p w14:paraId="2BC0F922" w14:textId="77777777" w:rsidR="00D96B6C" w:rsidRPr="00D96B6C" w:rsidRDefault="00D96B6C" w:rsidP="008F0CEF">
            <w:pPr>
              <w:suppressAutoHyphens w:val="0"/>
              <w:autoSpaceDE w:val="0"/>
              <w:autoSpaceDN w:val="0"/>
              <w:adjustRightInd w:val="0"/>
              <w:jc w:val="center"/>
              <w:rPr>
                <w:rFonts w:cs="Arial"/>
                <w:bCs/>
                <w:szCs w:val="22"/>
              </w:rPr>
            </w:pPr>
          </w:p>
        </w:tc>
        <w:tc>
          <w:tcPr>
            <w:tcW w:w="1071" w:type="pct"/>
          </w:tcPr>
          <w:p w14:paraId="252265C5" w14:textId="77777777" w:rsidR="00D96B6C" w:rsidRPr="00D96B6C" w:rsidRDefault="00D96B6C" w:rsidP="008F0CEF">
            <w:pPr>
              <w:suppressAutoHyphens w:val="0"/>
              <w:autoSpaceDE w:val="0"/>
              <w:autoSpaceDN w:val="0"/>
              <w:adjustRightInd w:val="0"/>
              <w:jc w:val="center"/>
              <w:rPr>
                <w:rFonts w:cs="Arial"/>
                <w:bCs/>
                <w:szCs w:val="22"/>
              </w:rPr>
            </w:pPr>
          </w:p>
        </w:tc>
        <w:tc>
          <w:tcPr>
            <w:tcW w:w="1093" w:type="pct"/>
          </w:tcPr>
          <w:p w14:paraId="33A6F6EE" w14:textId="77777777" w:rsidR="00D96B6C" w:rsidRPr="00D96B6C" w:rsidRDefault="00D96B6C" w:rsidP="008F0CEF">
            <w:pPr>
              <w:suppressAutoHyphens w:val="0"/>
              <w:autoSpaceDE w:val="0"/>
              <w:autoSpaceDN w:val="0"/>
              <w:adjustRightInd w:val="0"/>
              <w:jc w:val="center"/>
              <w:rPr>
                <w:rFonts w:cs="Arial"/>
                <w:bCs/>
                <w:szCs w:val="22"/>
              </w:rPr>
            </w:pPr>
          </w:p>
        </w:tc>
      </w:tr>
      <w:tr w:rsidR="00D96B6C" w:rsidRPr="00D96B6C" w14:paraId="62F0EDE2" w14:textId="77777777" w:rsidTr="00D96B6C">
        <w:trPr>
          <w:jc w:val="center"/>
        </w:trPr>
        <w:tc>
          <w:tcPr>
            <w:tcW w:w="1765" w:type="pct"/>
            <w:shd w:val="clear" w:color="auto" w:fill="auto"/>
          </w:tcPr>
          <w:p w14:paraId="0B3093B5" w14:textId="77777777" w:rsidR="00D96B6C" w:rsidRPr="00D96B6C" w:rsidRDefault="00D96B6C" w:rsidP="008F0CEF">
            <w:pPr>
              <w:suppressAutoHyphens w:val="0"/>
              <w:autoSpaceDE w:val="0"/>
              <w:autoSpaceDN w:val="0"/>
              <w:adjustRightInd w:val="0"/>
              <w:ind w:left="150"/>
              <w:rPr>
                <w:rFonts w:cs="Arial"/>
                <w:szCs w:val="22"/>
              </w:rPr>
            </w:pPr>
            <w:r w:rsidRPr="00D96B6C">
              <w:rPr>
                <w:rFonts w:cs="Arial"/>
                <w:bCs/>
                <w:szCs w:val="22"/>
              </w:rPr>
              <w:t>ORR % (95% CI)</w:t>
            </w:r>
          </w:p>
        </w:tc>
        <w:tc>
          <w:tcPr>
            <w:tcW w:w="1071" w:type="pct"/>
          </w:tcPr>
          <w:p w14:paraId="619F48B0"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33% (27, 39)</w:t>
            </w:r>
          </w:p>
        </w:tc>
        <w:tc>
          <w:tcPr>
            <w:tcW w:w="1071" w:type="pct"/>
          </w:tcPr>
          <w:p w14:paraId="36B48225"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34% (28, 40)</w:t>
            </w:r>
          </w:p>
        </w:tc>
        <w:tc>
          <w:tcPr>
            <w:tcW w:w="1093" w:type="pct"/>
          </w:tcPr>
          <w:p w14:paraId="45F1A919"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12% (8, 16)</w:t>
            </w:r>
          </w:p>
        </w:tc>
      </w:tr>
      <w:tr w:rsidR="00D96B6C" w:rsidRPr="00D96B6C" w14:paraId="6DDC6A82" w14:textId="77777777" w:rsidTr="00D96B6C">
        <w:trPr>
          <w:jc w:val="center"/>
        </w:trPr>
        <w:tc>
          <w:tcPr>
            <w:tcW w:w="1765" w:type="pct"/>
            <w:shd w:val="clear" w:color="auto" w:fill="auto"/>
          </w:tcPr>
          <w:p w14:paraId="4FE2F415" w14:textId="77777777" w:rsidR="00D96B6C" w:rsidRPr="00D96B6C" w:rsidRDefault="00D96B6C" w:rsidP="008F0CEF">
            <w:pPr>
              <w:suppressAutoHyphens w:val="0"/>
              <w:autoSpaceDE w:val="0"/>
              <w:autoSpaceDN w:val="0"/>
              <w:adjustRightInd w:val="0"/>
              <w:ind w:left="431"/>
              <w:rPr>
                <w:rFonts w:cs="Arial"/>
                <w:bCs/>
                <w:szCs w:val="22"/>
              </w:rPr>
            </w:pPr>
            <w:r w:rsidRPr="00D96B6C">
              <w:rPr>
                <w:rFonts w:cs="Arial"/>
                <w:bCs/>
                <w:szCs w:val="22"/>
              </w:rPr>
              <w:t>Complete response %</w:t>
            </w:r>
          </w:p>
        </w:tc>
        <w:tc>
          <w:tcPr>
            <w:tcW w:w="1071" w:type="pct"/>
          </w:tcPr>
          <w:p w14:paraId="50BAA291"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6%</w:t>
            </w:r>
          </w:p>
        </w:tc>
        <w:tc>
          <w:tcPr>
            <w:tcW w:w="1071" w:type="pct"/>
          </w:tcPr>
          <w:p w14:paraId="22FB85D2"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5%</w:t>
            </w:r>
          </w:p>
        </w:tc>
        <w:tc>
          <w:tcPr>
            <w:tcW w:w="1093" w:type="pct"/>
          </w:tcPr>
          <w:p w14:paraId="26498768"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1%</w:t>
            </w:r>
          </w:p>
        </w:tc>
      </w:tr>
      <w:tr w:rsidR="00D96B6C" w:rsidRPr="00D96B6C" w14:paraId="69025D98" w14:textId="77777777" w:rsidTr="00D96B6C">
        <w:trPr>
          <w:jc w:val="center"/>
        </w:trPr>
        <w:tc>
          <w:tcPr>
            <w:tcW w:w="1765" w:type="pct"/>
            <w:shd w:val="clear" w:color="auto" w:fill="auto"/>
          </w:tcPr>
          <w:p w14:paraId="3BEEF33D" w14:textId="77777777" w:rsidR="00D96B6C" w:rsidRPr="00D96B6C" w:rsidRDefault="00D96B6C" w:rsidP="008F0CEF">
            <w:pPr>
              <w:suppressAutoHyphens w:val="0"/>
              <w:autoSpaceDE w:val="0"/>
              <w:autoSpaceDN w:val="0"/>
              <w:adjustRightInd w:val="0"/>
              <w:ind w:left="431"/>
              <w:rPr>
                <w:rFonts w:cs="Arial"/>
                <w:bCs/>
                <w:szCs w:val="22"/>
              </w:rPr>
            </w:pPr>
            <w:r w:rsidRPr="00D96B6C">
              <w:rPr>
                <w:rFonts w:cs="Arial"/>
                <w:bCs/>
                <w:szCs w:val="22"/>
              </w:rPr>
              <w:t>Partial response %</w:t>
            </w:r>
          </w:p>
        </w:tc>
        <w:tc>
          <w:tcPr>
            <w:tcW w:w="1071" w:type="pct"/>
          </w:tcPr>
          <w:p w14:paraId="58F6484B"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27%</w:t>
            </w:r>
          </w:p>
        </w:tc>
        <w:tc>
          <w:tcPr>
            <w:tcW w:w="1071" w:type="pct"/>
          </w:tcPr>
          <w:p w14:paraId="7B405CFA"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29%</w:t>
            </w:r>
          </w:p>
        </w:tc>
        <w:tc>
          <w:tcPr>
            <w:tcW w:w="1093" w:type="pct"/>
          </w:tcPr>
          <w:p w14:paraId="6F3BED0F"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10%</w:t>
            </w:r>
          </w:p>
        </w:tc>
      </w:tr>
      <w:tr w:rsidR="00D96B6C" w:rsidRPr="00D96B6C" w14:paraId="2722C2CE" w14:textId="77777777" w:rsidTr="00D96B6C">
        <w:trPr>
          <w:jc w:val="center"/>
        </w:trPr>
        <w:tc>
          <w:tcPr>
            <w:tcW w:w="1765" w:type="pct"/>
            <w:shd w:val="clear" w:color="auto" w:fill="auto"/>
          </w:tcPr>
          <w:p w14:paraId="1ACD87E2" w14:textId="77777777" w:rsidR="00D96B6C" w:rsidRPr="00D96B6C" w:rsidRDefault="00D96B6C" w:rsidP="008F0CEF">
            <w:pPr>
              <w:suppressAutoHyphens w:val="0"/>
              <w:autoSpaceDE w:val="0"/>
              <w:autoSpaceDN w:val="0"/>
              <w:adjustRightInd w:val="0"/>
              <w:rPr>
                <w:rFonts w:cs="Arial"/>
                <w:bCs/>
                <w:szCs w:val="22"/>
              </w:rPr>
            </w:pPr>
            <w:r w:rsidRPr="00D96B6C">
              <w:rPr>
                <w:rFonts w:cs="Arial"/>
                <w:b/>
                <w:bCs/>
                <w:szCs w:val="22"/>
              </w:rPr>
              <w:t>Response duration</w:t>
            </w:r>
            <w:r w:rsidRPr="00D96B6C">
              <w:rPr>
                <w:rFonts w:cs="Arial"/>
                <w:b/>
                <w:bCs/>
                <w:szCs w:val="22"/>
                <w:vertAlign w:val="superscript"/>
              </w:rPr>
              <w:t>§</w:t>
            </w:r>
            <w:r w:rsidRPr="00D96B6C">
              <w:rPr>
                <w:rFonts w:cs="Arial"/>
                <w:b/>
                <w:bCs/>
                <w:szCs w:val="22"/>
              </w:rPr>
              <w:t xml:space="preserve"> by IRO*</w:t>
            </w:r>
          </w:p>
        </w:tc>
        <w:tc>
          <w:tcPr>
            <w:tcW w:w="1071" w:type="pct"/>
          </w:tcPr>
          <w:p w14:paraId="59E29FA6" w14:textId="77777777" w:rsidR="00D96B6C" w:rsidRPr="00D96B6C" w:rsidRDefault="00D96B6C" w:rsidP="008F0CEF">
            <w:pPr>
              <w:suppressAutoHyphens w:val="0"/>
              <w:autoSpaceDE w:val="0"/>
              <w:autoSpaceDN w:val="0"/>
              <w:adjustRightInd w:val="0"/>
              <w:jc w:val="center"/>
              <w:rPr>
                <w:rFonts w:cs="Arial"/>
                <w:bCs/>
                <w:szCs w:val="22"/>
              </w:rPr>
            </w:pPr>
          </w:p>
        </w:tc>
        <w:tc>
          <w:tcPr>
            <w:tcW w:w="1071" w:type="pct"/>
          </w:tcPr>
          <w:p w14:paraId="66138622" w14:textId="77777777" w:rsidR="00D96B6C" w:rsidRPr="00D96B6C" w:rsidRDefault="00D96B6C" w:rsidP="008F0CEF">
            <w:pPr>
              <w:suppressAutoHyphens w:val="0"/>
              <w:autoSpaceDE w:val="0"/>
              <w:autoSpaceDN w:val="0"/>
              <w:adjustRightInd w:val="0"/>
              <w:jc w:val="center"/>
              <w:rPr>
                <w:rFonts w:cs="Arial"/>
                <w:bCs/>
                <w:szCs w:val="22"/>
              </w:rPr>
            </w:pPr>
          </w:p>
        </w:tc>
        <w:tc>
          <w:tcPr>
            <w:tcW w:w="1093" w:type="pct"/>
          </w:tcPr>
          <w:p w14:paraId="160DB699" w14:textId="77777777" w:rsidR="00D96B6C" w:rsidRPr="00D96B6C" w:rsidRDefault="00D96B6C" w:rsidP="008F0CEF">
            <w:pPr>
              <w:suppressAutoHyphens w:val="0"/>
              <w:autoSpaceDE w:val="0"/>
              <w:autoSpaceDN w:val="0"/>
              <w:adjustRightInd w:val="0"/>
              <w:jc w:val="center"/>
              <w:rPr>
                <w:rFonts w:cs="Arial"/>
                <w:bCs/>
                <w:szCs w:val="22"/>
              </w:rPr>
            </w:pPr>
          </w:p>
        </w:tc>
      </w:tr>
      <w:tr w:rsidR="00D96B6C" w:rsidRPr="00D96B6C" w14:paraId="23DBB9BC" w14:textId="77777777" w:rsidTr="00D96B6C">
        <w:trPr>
          <w:jc w:val="center"/>
        </w:trPr>
        <w:tc>
          <w:tcPr>
            <w:tcW w:w="1765" w:type="pct"/>
            <w:shd w:val="clear" w:color="auto" w:fill="auto"/>
          </w:tcPr>
          <w:p w14:paraId="7B982DA7" w14:textId="77777777" w:rsidR="00D96B6C" w:rsidRPr="00D96B6C" w:rsidRDefault="00D96B6C" w:rsidP="008F0CEF">
            <w:pPr>
              <w:suppressAutoHyphens w:val="0"/>
              <w:autoSpaceDE w:val="0"/>
              <w:autoSpaceDN w:val="0"/>
              <w:adjustRightInd w:val="0"/>
              <w:ind w:left="150"/>
              <w:rPr>
                <w:rFonts w:cs="Arial"/>
                <w:bCs/>
                <w:szCs w:val="22"/>
              </w:rPr>
            </w:pPr>
            <w:r w:rsidRPr="00D96B6C">
              <w:rPr>
                <w:rFonts w:cs="Arial"/>
                <w:bCs/>
                <w:szCs w:val="22"/>
              </w:rPr>
              <w:t>Median in months (range)</w:t>
            </w:r>
          </w:p>
        </w:tc>
        <w:tc>
          <w:tcPr>
            <w:tcW w:w="1071" w:type="pct"/>
          </w:tcPr>
          <w:p w14:paraId="3FDA9C1F" w14:textId="77777777" w:rsidR="000B4EB3" w:rsidRDefault="00D96B6C" w:rsidP="008F0CEF">
            <w:pPr>
              <w:suppressAutoHyphens w:val="0"/>
              <w:autoSpaceDE w:val="0"/>
              <w:autoSpaceDN w:val="0"/>
              <w:adjustRightInd w:val="0"/>
              <w:jc w:val="center"/>
              <w:rPr>
                <w:rFonts w:cs="Arial"/>
                <w:bCs/>
                <w:szCs w:val="22"/>
              </w:rPr>
            </w:pPr>
            <w:r w:rsidRPr="00D96B6C">
              <w:rPr>
                <w:rFonts w:cs="Arial"/>
                <w:bCs/>
                <w:szCs w:val="22"/>
              </w:rPr>
              <w:t>Not reached</w:t>
            </w:r>
          </w:p>
          <w:p w14:paraId="1163591C" w14:textId="5F64FA13"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(1.4+, 8.1+)</w:t>
            </w:r>
          </w:p>
        </w:tc>
        <w:tc>
          <w:tcPr>
            <w:tcW w:w="1071" w:type="pct"/>
          </w:tcPr>
          <w:p w14:paraId="2B5E4344" w14:textId="77777777" w:rsidR="00D96B6C" w:rsidRPr="00D96B6C" w:rsidRDefault="00D96B6C" w:rsidP="008F0CEF">
            <w:pPr>
              <w:suppressAutoHyphens w:val="0"/>
              <w:autoSpaceDE w:val="0"/>
              <w:autoSpaceDN w:val="0"/>
              <w:adjustRightInd w:val="0"/>
              <w:jc w:val="center"/>
              <w:rPr>
                <w:rFonts w:cs="Arial"/>
                <w:szCs w:val="22"/>
              </w:rPr>
            </w:pPr>
            <w:r w:rsidRPr="00D96B6C">
              <w:rPr>
                <w:rFonts w:cs="Arial"/>
                <w:szCs w:val="22"/>
              </w:rPr>
              <w:t>8.3</w:t>
            </w:r>
          </w:p>
          <w:p w14:paraId="5A47551A"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szCs w:val="22"/>
              </w:rPr>
              <w:t>(1.4+, 8.3)</w:t>
            </w:r>
          </w:p>
        </w:tc>
        <w:tc>
          <w:tcPr>
            <w:tcW w:w="1093" w:type="pct"/>
          </w:tcPr>
          <w:p w14:paraId="71FA19F0" w14:textId="77777777" w:rsidR="000B4EB3" w:rsidRDefault="00D96B6C" w:rsidP="008F0CEF">
            <w:pPr>
              <w:suppressAutoHyphens w:val="0"/>
              <w:autoSpaceDE w:val="0"/>
              <w:autoSpaceDN w:val="0"/>
              <w:adjustRightInd w:val="0"/>
              <w:jc w:val="center"/>
              <w:rPr>
                <w:rFonts w:cs="Arial"/>
                <w:bCs/>
                <w:szCs w:val="22"/>
              </w:rPr>
            </w:pPr>
            <w:r w:rsidRPr="00D96B6C">
              <w:rPr>
                <w:rFonts w:cs="Arial"/>
                <w:bCs/>
                <w:szCs w:val="22"/>
              </w:rPr>
              <w:t>Not reached</w:t>
            </w:r>
          </w:p>
          <w:p w14:paraId="66F01829" w14:textId="40A41659"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(1.1+, 7.9+)</w:t>
            </w:r>
          </w:p>
        </w:tc>
      </w:tr>
      <w:tr w:rsidR="00D96B6C" w:rsidRPr="00D96B6C" w14:paraId="29B8A550" w14:textId="77777777" w:rsidTr="00D96B6C">
        <w:trPr>
          <w:jc w:val="center"/>
        </w:trPr>
        <w:tc>
          <w:tcPr>
            <w:tcW w:w="1765" w:type="pct"/>
            <w:shd w:val="clear" w:color="auto" w:fill="auto"/>
          </w:tcPr>
          <w:p w14:paraId="3F7116CC" w14:textId="77777777" w:rsidR="00D96B6C" w:rsidRPr="00D96B6C" w:rsidRDefault="00D96B6C" w:rsidP="008F0CEF">
            <w:pPr>
              <w:suppressAutoHyphens w:val="0"/>
              <w:autoSpaceDE w:val="0"/>
              <w:autoSpaceDN w:val="0"/>
              <w:adjustRightInd w:val="0"/>
              <w:ind w:left="150"/>
              <w:rPr>
                <w:rFonts w:cs="Arial"/>
                <w:bCs/>
                <w:szCs w:val="22"/>
              </w:rPr>
            </w:pPr>
            <w:r w:rsidRPr="00D96B6C">
              <w:rPr>
                <w:rFonts w:cs="Arial"/>
                <w:bCs/>
                <w:szCs w:val="22"/>
              </w:rPr>
              <w:t>% ongoing</w:t>
            </w:r>
          </w:p>
        </w:tc>
        <w:tc>
          <w:tcPr>
            <w:tcW w:w="1071" w:type="pct"/>
          </w:tcPr>
          <w:p w14:paraId="70845E1B" w14:textId="77777777" w:rsidR="00D96B6C" w:rsidRPr="00D96B6C" w:rsidRDefault="00D96B6C" w:rsidP="008F0CEF">
            <w:pPr>
              <w:tabs>
                <w:tab w:val="left" w:pos="1120"/>
              </w:tabs>
              <w:suppressAutoHyphens w:val="0"/>
              <w:autoSpaceDE w:val="0"/>
              <w:autoSpaceDN w:val="0"/>
              <w:adjustRightInd w:val="0"/>
              <w:jc w:val="center"/>
              <w:rPr>
                <w:rFonts w:cs="Arial"/>
                <w:bCs/>
                <w:szCs w:val="22"/>
              </w:rPr>
            </w:pPr>
            <w:r w:rsidRPr="00D96B6C">
              <w:rPr>
                <w:rFonts w:cs="Arial"/>
                <w:bCs/>
                <w:szCs w:val="22"/>
              </w:rPr>
              <w:t>97%</w:t>
            </w:r>
          </w:p>
        </w:tc>
        <w:tc>
          <w:tcPr>
            <w:tcW w:w="1071" w:type="pct"/>
          </w:tcPr>
          <w:p w14:paraId="211B3563"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89%</w:t>
            </w:r>
          </w:p>
        </w:tc>
        <w:tc>
          <w:tcPr>
            <w:tcW w:w="1093" w:type="pct"/>
          </w:tcPr>
          <w:p w14:paraId="2BDBC8F2" w14:textId="77777777" w:rsidR="00D96B6C" w:rsidRPr="00D96B6C" w:rsidRDefault="00D96B6C" w:rsidP="008F0CEF">
            <w:pPr>
              <w:suppressAutoHyphens w:val="0"/>
              <w:autoSpaceDE w:val="0"/>
              <w:autoSpaceDN w:val="0"/>
              <w:adjustRightInd w:val="0"/>
              <w:jc w:val="center"/>
              <w:rPr>
                <w:rFonts w:cs="Arial"/>
                <w:bCs/>
                <w:szCs w:val="22"/>
              </w:rPr>
            </w:pPr>
            <w:r w:rsidRPr="00D96B6C">
              <w:rPr>
                <w:rFonts w:cs="Arial"/>
                <w:bCs/>
                <w:szCs w:val="22"/>
              </w:rPr>
              <w:t>88%</w:t>
            </w:r>
          </w:p>
        </w:tc>
      </w:tr>
    </w:tbl>
    <w:p w14:paraId="2BAAA6C9" w14:textId="75DDC42F" w:rsidR="00D96B6C" w:rsidRPr="00D96B6C" w:rsidRDefault="00D96B6C" w:rsidP="008F0CEF">
      <w:pPr>
        <w:pStyle w:val="Footer"/>
        <w:keepNext w:val="0"/>
        <w:suppressAutoHyphens w:val="0"/>
      </w:pPr>
      <w:r w:rsidRPr="00D96B6C">
        <w:t>*</w:t>
      </w:r>
      <w:r w:rsidR="008F0CEF">
        <w:t xml:space="preserve"> </w:t>
      </w:r>
      <w:r w:rsidRPr="00D96B6C">
        <w:t>IRO = Independent radiology plus oncologist review using RECIST 1.1</w:t>
      </w:r>
    </w:p>
    <w:p w14:paraId="4CCD33C0" w14:textId="77777777" w:rsidR="00D96B6C" w:rsidRPr="00D96B6C" w:rsidRDefault="00D96B6C" w:rsidP="008F0CEF">
      <w:pPr>
        <w:pStyle w:val="Footer"/>
        <w:keepNext w:val="0"/>
        <w:suppressAutoHyphens w:val="0"/>
      </w:pPr>
      <w:r w:rsidRPr="00D96B6C">
        <w:rPr>
          <w:vertAlign w:val="superscript"/>
        </w:rPr>
        <w:t>†</w:t>
      </w:r>
      <w:r w:rsidRPr="00D96B6C">
        <w:tab/>
        <w:t>Hazard ratio (KEYTRUDA compared to ipilimumab) based on the stratified Cox proportional hazard model</w:t>
      </w:r>
    </w:p>
    <w:p w14:paraId="07E99AF2" w14:textId="77777777" w:rsidR="000B4EB3" w:rsidRDefault="00D96B6C" w:rsidP="008F0CEF">
      <w:pPr>
        <w:pStyle w:val="Footer"/>
        <w:keepNext w:val="0"/>
        <w:suppressAutoHyphens w:val="0"/>
      </w:pPr>
      <w:r w:rsidRPr="00D96B6C">
        <w:rPr>
          <w:vertAlign w:val="superscript"/>
        </w:rPr>
        <w:t>‡</w:t>
      </w:r>
      <w:r w:rsidR="008F0CEF">
        <w:t xml:space="preserve"> </w:t>
      </w:r>
      <w:r w:rsidRPr="00D96B6C">
        <w:t>Based on stratified Log rank test</w:t>
      </w:r>
    </w:p>
    <w:p w14:paraId="0252217E" w14:textId="22C20294" w:rsidR="00D96B6C" w:rsidRPr="00D96B6C" w:rsidRDefault="00D96B6C" w:rsidP="008F0CEF">
      <w:pPr>
        <w:pStyle w:val="Footer"/>
        <w:keepNext w:val="0"/>
        <w:suppressAutoHyphens w:val="0"/>
      </w:pPr>
      <w:r w:rsidRPr="00D96B6C">
        <w:rPr>
          <w:b/>
          <w:vertAlign w:val="superscript"/>
        </w:rPr>
        <w:t>§</w:t>
      </w:r>
      <w:r w:rsidR="008F0CEF">
        <w:rPr>
          <w:b/>
          <w:vertAlign w:val="superscript"/>
        </w:rPr>
        <w:t xml:space="preserve"> </w:t>
      </w:r>
      <w:r w:rsidRPr="00D96B6C">
        <w:t>Based on patients with a best overall response as confirmed complete or partial response</w:t>
      </w:r>
    </w:p>
    <w:p w14:paraId="23DB9A32" w14:textId="77777777" w:rsidR="00D96B6C" w:rsidRPr="00D96B6C" w:rsidRDefault="00D96B6C" w:rsidP="008F0CEF">
      <w:pPr>
        <w:pStyle w:val="Footer"/>
        <w:keepNext w:val="0"/>
        <w:suppressAutoHyphens w:val="0"/>
      </w:pPr>
      <w:r w:rsidRPr="00D96B6C">
        <w:t>NA = not available</w:t>
      </w:r>
    </w:p>
    <w:p w14:paraId="7F84C4A3" w14:textId="1A1A0BF2" w:rsidR="00D96B6C" w:rsidRPr="008F0CEF" w:rsidRDefault="00D96B6C" w:rsidP="008F0CEF">
      <w:pPr>
        <w:pStyle w:val="Caption"/>
      </w:pPr>
      <w:r w:rsidRPr="008F0CEF">
        <w:lastRenderedPageBreak/>
        <w:t>Figure 1: Kaplan-Meier curve for overall survival by treatment arm in</w:t>
      </w:r>
      <w:r w:rsidR="008F0CEF" w:rsidRPr="008F0CEF">
        <w:t xml:space="preserve"> </w:t>
      </w:r>
      <w:r w:rsidRPr="008F0CEF">
        <w:t>KEYNOTE-006 (intent to treat population)</w:t>
      </w:r>
    </w:p>
    <w:p w14:paraId="23789E7F" w14:textId="77777777" w:rsidR="00D96B6C" w:rsidRPr="00D96B6C" w:rsidRDefault="00D96B6C" w:rsidP="00D96B6C">
      <w:pPr>
        <w:autoSpaceDE w:val="0"/>
        <w:autoSpaceDN w:val="0"/>
        <w:adjustRightInd w:val="0"/>
        <w:rPr>
          <w:rFonts w:cs="Arial"/>
          <w:noProof/>
          <w:szCs w:val="22"/>
        </w:rPr>
      </w:pPr>
      <w:r w:rsidRPr="00D96B6C">
        <w:rPr>
          <w:rFonts w:cs="Arial"/>
          <w:noProof/>
          <w:szCs w:val="22"/>
        </w:rPr>
        <w:drawing>
          <wp:inline distT="0" distB="0" distL="0" distR="0" wp14:anchorId="2CA4D38C" wp14:editId="3F240CFF">
            <wp:extent cx="5340985" cy="2719070"/>
            <wp:effectExtent l="0" t="0" r="0" b="5080"/>
            <wp:docPr id="2" name="Picture 2" descr="Figure 1: Kaplan-Meier curve for overall survival by treatment arm in KEYNOTE-006 (intent to 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818" t="15062" r="1454" b="19415"/>
                    <a:stretch>
                      <a:fillRect/>
                    </a:stretch>
                  </pic:blipFill>
                  <pic:spPr bwMode="auto">
                    <a:xfrm>
                      <a:off x="0" y="0"/>
                      <a:ext cx="5340985" cy="2719070"/>
                    </a:xfrm>
                    <a:prstGeom prst="rect">
                      <a:avLst/>
                    </a:prstGeom>
                    <a:noFill/>
                    <a:ln>
                      <a:noFill/>
                    </a:ln>
                  </pic:spPr>
                </pic:pic>
              </a:graphicData>
            </a:graphic>
          </wp:inline>
        </w:drawing>
      </w:r>
    </w:p>
    <w:p w14:paraId="34878E51" w14:textId="77777777" w:rsidR="00D96B6C" w:rsidRPr="00D96B6C" w:rsidRDefault="00D96B6C" w:rsidP="00E25368">
      <w:pPr>
        <w:pStyle w:val="Caption"/>
      </w:pPr>
      <w:r w:rsidRPr="00D96B6C">
        <w:t>Figure 2: Kaplan-Meier curve for progression-free survival (based on IRO) by treatment arm in KEYNOTE-006 (intent to treat population)</w:t>
      </w:r>
    </w:p>
    <w:p w14:paraId="6B1D5EF8" w14:textId="77777777" w:rsidR="00D96B6C" w:rsidRPr="00D96B6C" w:rsidRDefault="00D96B6C" w:rsidP="00D96B6C">
      <w:pPr>
        <w:autoSpaceDE w:val="0"/>
        <w:autoSpaceDN w:val="0"/>
        <w:adjustRightInd w:val="0"/>
        <w:rPr>
          <w:rFonts w:cs="Arial"/>
          <w:noProof/>
          <w:szCs w:val="22"/>
        </w:rPr>
      </w:pPr>
      <w:r w:rsidRPr="00D96B6C">
        <w:rPr>
          <w:rFonts w:cs="Arial"/>
          <w:noProof/>
          <w:szCs w:val="22"/>
        </w:rPr>
        <w:drawing>
          <wp:inline distT="0" distB="0" distL="0" distR="0" wp14:anchorId="7574532A" wp14:editId="2F639A93">
            <wp:extent cx="5306695" cy="2751455"/>
            <wp:effectExtent l="0" t="0" r="8255" b="0"/>
            <wp:docPr id="3" name="Picture 3" descr="Figure 2: Kaplan-Meier curve for progression-free survival (based on IRO) by treatment arm in KEYNOTE-006 (intent to 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l="818" t="15886" r="1819" b="18945"/>
                    <a:stretch>
                      <a:fillRect/>
                    </a:stretch>
                  </pic:blipFill>
                  <pic:spPr bwMode="auto">
                    <a:xfrm>
                      <a:off x="0" y="0"/>
                      <a:ext cx="5306695" cy="2751455"/>
                    </a:xfrm>
                    <a:prstGeom prst="rect">
                      <a:avLst/>
                    </a:prstGeom>
                    <a:noFill/>
                    <a:ln>
                      <a:noFill/>
                    </a:ln>
                  </pic:spPr>
                </pic:pic>
              </a:graphicData>
            </a:graphic>
          </wp:inline>
        </w:drawing>
      </w:r>
    </w:p>
    <w:p w14:paraId="29CC71A4" w14:textId="77777777" w:rsidR="00D96B6C" w:rsidRPr="00D96B6C" w:rsidRDefault="00D96B6C" w:rsidP="00DC14B3">
      <w:pPr>
        <w:pStyle w:val="Heading4"/>
        <w:rPr>
          <w:i/>
          <w:noProof/>
        </w:rPr>
      </w:pPr>
      <w:r w:rsidRPr="00D96B6C">
        <w:rPr>
          <w:i/>
          <w:noProof/>
        </w:rPr>
        <w:t>Sub-population analysis by BRAF mutation status</w:t>
      </w:r>
    </w:p>
    <w:p w14:paraId="23305900" w14:textId="77777777" w:rsidR="00D96B6C" w:rsidRPr="00D96B6C" w:rsidRDefault="00D96B6C" w:rsidP="00D96B6C">
      <w:pPr>
        <w:autoSpaceDE w:val="0"/>
        <w:autoSpaceDN w:val="0"/>
        <w:adjustRightInd w:val="0"/>
        <w:rPr>
          <w:rFonts w:cs="Arial"/>
          <w:noProof/>
          <w:szCs w:val="22"/>
        </w:rPr>
      </w:pPr>
      <w:r w:rsidRPr="00D96B6C">
        <w:rPr>
          <w:rFonts w:cs="Arial"/>
          <w:noProof/>
          <w:szCs w:val="22"/>
        </w:rPr>
        <w:t>A subgroup analysis of KEYNOTE 006 in patients who were BRAF wild type, BRAF mutant without prior BRAF treatment and BRAF mutant with prior BRAF treatment was performed. The PFS hazard ratios (HRs) (pooled KEYTRUDA [10 mg/kg every 2 or 3 weeks] vs. ipilimumab) were 0.57 (95% CI: 0.45, 0.73) for BRAF wild type, 0.50 (95% CI: 0.32, 0.77) for BRAF mutant without prior BRAF treatment, and 0.73 (95% CI: 0.48, 1.11) for BRAF mutant with prior BRAF treatment. The OS HRs for pooled KEYTRUDA vs. ipilimumab were 0.61 (0.46, 0.82) for BRAF wild type, 0.69 (0.33, 1.45) for BRAF mutant without prior BRAF treatment, and 0.75 (0.45, 1.26) for BRAF mutant with prior BRAF treatment. ORR for pooled KEYTRUDA vs. ipilimumab was 34% vs. 13% for BRAF wild type, 41% vs. 13% for BRAF mutant without prior BRAF treatment, and 21% vs. 6% for BRAF mutant with prior BRAF treatment.</w:t>
      </w:r>
    </w:p>
    <w:p w14:paraId="0F6E2EA7" w14:textId="77777777" w:rsidR="00D96B6C" w:rsidRPr="00D96B6C" w:rsidRDefault="00D96B6C" w:rsidP="00DC14B3">
      <w:pPr>
        <w:pStyle w:val="Heading4"/>
        <w:rPr>
          <w:i/>
          <w:noProof/>
        </w:rPr>
      </w:pPr>
      <w:r w:rsidRPr="00D96B6C">
        <w:rPr>
          <w:i/>
          <w:noProof/>
        </w:rPr>
        <w:t>Sub-population analysis by PD-L1 status</w:t>
      </w:r>
    </w:p>
    <w:p w14:paraId="11007D42" w14:textId="77777777" w:rsidR="00D96B6C" w:rsidRDefault="00D96B6C" w:rsidP="00D96B6C">
      <w:pPr>
        <w:autoSpaceDE w:val="0"/>
        <w:autoSpaceDN w:val="0"/>
        <w:adjustRightInd w:val="0"/>
        <w:rPr>
          <w:rFonts w:cs="Arial"/>
          <w:noProof/>
          <w:szCs w:val="22"/>
        </w:rPr>
      </w:pPr>
      <w:r w:rsidRPr="00D96B6C">
        <w:rPr>
          <w:rFonts w:cs="Arial"/>
          <w:noProof/>
          <w:szCs w:val="22"/>
        </w:rPr>
        <w:t xml:space="preserve">A subgroup analysis of KEYNOTE 006 in patients who were PD L1 positive vs. PD L1 negative was performed. The PFS HRs (pooled KEYTRUDA [10 mg/kg every 2 or 3 weeks] vs. ipilimumab) </w:t>
      </w:r>
      <w:r w:rsidRPr="00D96B6C">
        <w:rPr>
          <w:rFonts w:cs="Arial"/>
          <w:noProof/>
          <w:szCs w:val="22"/>
        </w:rPr>
        <w:lastRenderedPageBreak/>
        <w:t>were 0.53 (95% CI: 0.43, 0.65) for PD L1 positive patients and 0.73 (95% CI: 0.47, 1.11) for PD L1 negative patients. The OS HRs for pooled KEYTRUDA vs. ipilimumab were 0.56 (95% CI: 0.43, 0.73) for PD L1 positive patients and 0.95 (95% CI: 0.56, 1.62) for PD L1 negative patients.</w:t>
      </w:r>
    </w:p>
    <w:p w14:paraId="3EA1A67E" w14:textId="73FD43CA" w:rsidR="00D96B6C" w:rsidRPr="00D96B6C" w:rsidRDefault="00D96B6C" w:rsidP="00DC14B3">
      <w:pPr>
        <w:pStyle w:val="Heading3"/>
      </w:pPr>
      <w:r w:rsidRPr="00D96B6C">
        <w:t>KEYNOTE-002: Controlled trial in melanoma patients previously treated with ipilimumab</w:t>
      </w:r>
    </w:p>
    <w:p w14:paraId="5A7D1094" w14:textId="77777777" w:rsidR="00D96B6C" w:rsidRPr="00D96B6C" w:rsidRDefault="00D96B6C" w:rsidP="00D96B6C">
      <w:pPr>
        <w:autoSpaceDE w:val="0"/>
        <w:autoSpaceDN w:val="0"/>
        <w:adjustRightInd w:val="0"/>
        <w:rPr>
          <w:rFonts w:cs="Arial"/>
          <w:i/>
          <w:noProof/>
          <w:szCs w:val="22"/>
        </w:rPr>
      </w:pPr>
      <w:r w:rsidRPr="00D96B6C">
        <w:rPr>
          <w:rFonts w:cs="Arial"/>
          <w:noProof/>
          <w:szCs w:val="22"/>
        </w:rPr>
        <w:t>The safety and efficacy of KEYTRUDA were investigated in KEYNOTE</w:t>
      </w:r>
      <w:r w:rsidRPr="00D96B6C">
        <w:rPr>
          <w:rFonts w:cs="Arial"/>
          <w:noProof/>
          <w:szCs w:val="22"/>
        </w:rPr>
        <w:noBreakHyphen/>
        <w:t>002, a multicenter, controlled study for the treatment of unresectable or metastatic melanoma in patients previously treated with ipilimumab and if BRAF V600 mutation-positive, a BRAF or MEK inhibitor. Patients were randomized (1:1:1) to receive KEYTRUDA</w:t>
      </w:r>
      <w:r w:rsidRPr="00D96B6C" w:rsidDel="00383700">
        <w:rPr>
          <w:rFonts w:cs="Arial"/>
          <w:noProof/>
          <w:szCs w:val="22"/>
        </w:rPr>
        <w:t xml:space="preserve"> </w:t>
      </w:r>
      <w:r w:rsidRPr="00D96B6C">
        <w:rPr>
          <w:rFonts w:cs="Arial"/>
          <w:noProof/>
          <w:szCs w:val="22"/>
        </w:rPr>
        <w:t>at a dose of 2 (n=180) or 10 mg/kg (n=181) every 3 weeks or chemotherapy (n=179; including dacarbazine, temozolamide, carboplatin, paclitaxel, or carboplatin+paclitaxel). The study excluded patients with autoimmune disease or those receiving immunosuppression; a history of severe or life-threatening immune-mediated adverse reactions from treatment with ipilimumab, defined as any Grade 4 toxicity or Grade 3 toxicity requiring corticosteroid treatment (greater than 10 mg/day prednisone or equivalent dose) for greater than 12 weeks; previous severe hypersensitivity to other monoclonal antibodies; a history of pneumonitis or interstitial lung disease; HIV, Hepatitis B or Hepatitis C infection.</w:t>
      </w:r>
    </w:p>
    <w:p w14:paraId="7ED179F9" w14:textId="77777777" w:rsidR="00D96B6C" w:rsidRPr="00D96B6C" w:rsidRDefault="00D96B6C" w:rsidP="00D96B6C">
      <w:pPr>
        <w:autoSpaceDE w:val="0"/>
        <w:autoSpaceDN w:val="0"/>
        <w:adjustRightInd w:val="0"/>
        <w:rPr>
          <w:rFonts w:cs="Arial"/>
          <w:noProof/>
          <w:szCs w:val="22"/>
        </w:rPr>
      </w:pPr>
      <w:r w:rsidRPr="00D96B6C">
        <w:rPr>
          <w:rFonts w:cs="Arial"/>
          <w:noProof/>
          <w:szCs w:val="22"/>
        </w:rPr>
        <w:t>Patients were treated with KEYTRUDA</w:t>
      </w:r>
      <w:r w:rsidRPr="00D96B6C" w:rsidDel="00383700">
        <w:rPr>
          <w:rFonts w:cs="Arial"/>
          <w:noProof/>
          <w:szCs w:val="22"/>
        </w:rPr>
        <w:t xml:space="preserve"> </w:t>
      </w:r>
      <w:r w:rsidRPr="00D96B6C">
        <w:rPr>
          <w:rFonts w:cs="Arial"/>
          <w:noProof/>
          <w:szCs w:val="22"/>
        </w:rPr>
        <w:t>until disease progression or unacceptable toxicity. Clinically stable patients with initial evidence of disease progression were permitted to remain on treatment until disease progression was confirmed. Assessment of tumour status was performed at 12 weeks, then every 6 weeks through Week 48, followed by every 12 weeks thereafter. Patients on chemotherapy who experienced independently-verified progression of disease after the first scheduled disease assessment were able to crossover and receive 2 mg/kg or 10 mg/kg of KEYTRUDA every 3 weeks in a double-blind fashion.</w:t>
      </w:r>
    </w:p>
    <w:p w14:paraId="71D59043" w14:textId="77777777" w:rsidR="00D96B6C" w:rsidRPr="00D96B6C" w:rsidRDefault="00D96B6C" w:rsidP="00D96B6C">
      <w:pPr>
        <w:autoSpaceDE w:val="0"/>
        <w:autoSpaceDN w:val="0"/>
        <w:adjustRightInd w:val="0"/>
        <w:rPr>
          <w:rFonts w:cs="Arial"/>
          <w:noProof/>
          <w:szCs w:val="22"/>
        </w:rPr>
      </w:pPr>
      <w:r w:rsidRPr="00D96B6C">
        <w:rPr>
          <w:rFonts w:cs="Arial"/>
          <w:noProof/>
          <w:szCs w:val="22"/>
        </w:rPr>
        <w:t>Of the 540 patients in KEYNOTE</w:t>
      </w:r>
      <w:r w:rsidRPr="00D96B6C">
        <w:rPr>
          <w:rFonts w:cs="Arial"/>
          <w:noProof/>
          <w:szCs w:val="22"/>
        </w:rPr>
        <w:noBreakHyphen/>
        <w:t>002, 61% were male, 43% were ≥65 years (median age was 62 years [range 15-89]) and 98% were white. Eighty-two percent of patients had M1c stage, 73% had at least two and 32% had three or more prior systemic therapies for advanced melanoma. Forty-five percent had an ECOG PS of 1, 40% had elevated LDH and 23% had a BRAF mutated tumour. Baseline characteristics were well-balanced across treatment arms.</w:t>
      </w:r>
    </w:p>
    <w:p w14:paraId="5939C0D5" w14:textId="77777777" w:rsidR="00D96B6C" w:rsidRPr="00D96B6C" w:rsidRDefault="00D96B6C" w:rsidP="00D96B6C">
      <w:pPr>
        <w:autoSpaceDE w:val="0"/>
        <w:autoSpaceDN w:val="0"/>
        <w:adjustRightInd w:val="0"/>
        <w:rPr>
          <w:rFonts w:cs="Arial"/>
          <w:noProof/>
          <w:szCs w:val="22"/>
        </w:rPr>
      </w:pPr>
      <w:r w:rsidRPr="00D96B6C">
        <w:rPr>
          <w:rFonts w:cs="Arial"/>
          <w:noProof/>
          <w:szCs w:val="22"/>
        </w:rPr>
        <w:t>The primary efficacy outcome measures were PFS (as assessed by IRO review using RECIST 1.1) and overall survival (OS). Secondary efficacy outcome measures were PFS as assessed by Investigator using RECIST 1.1, ORR and response duration. Table 2 summarizes key efficacy measures in patients previously treated with ipilimumab, and the Kaplan-Meier curve for PFS is shown in Figure 3. OS data were not mature at the time of the PFS analysis. There was no statistically significant difference between KEYTRUDA and chemotherapy in the preliminary OS analysis that was not adjusted for the potentially confounding effects of crossover. Of the patients randomized to the chemotherapy arm, 48% crossed over and subsequently received treatment with KEYTRUDA.</w:t>
      </w:r>
    </w:p>
    <w:p w14:paraId="17A78C57" w14:textId="34470B4D" w:rsidR="00D96B6C" w:rsidRPr="00D96B6C" w:rsidRDefault="00D96B6C" w:rsidP="00DC14B3">
      <w:pPr>
        <w:pStyle w:val="Caption"/>
        <w:suppressAutoHyphens w:val="0"/>
      </w:pPr>
      <w:r w:rsidRPr="00D96B6C">
        <w:t>Table 2: Response to KEYTRUDA 2 m</w:t>
      </w:r>
      <w:r w:rsidR="00E25368">
        <w:t xml:space="preserve">g/kg or 10 mg/kg every 3 weeks </w:t>
      </w:r>
      <w:r w:rsidRPr="00D96B6C">
        <w:t xml:space="preserve">in patients with </w:t>
      </w:r>
      <w:proofErr w:type="spellStart"/>
      <w:r w:rsidRPr="00D96B6C">
        <w:t>unresectable</w:t>
      </w:r>
      <w:proofErr w:type="spellEnd"/>
      <w:r w:rsidRPr="00D96B6C">
        <w:t xml:space="preserve"> or metastatic melanoma in KEYNOTE-002</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2: Response to KEYTRUDA 2 mg/kg or 10 mg/kg every 3 weeks in patients with unresectable or metastatic melanoma in KEYNOTE-002"/>
      </w:tblPr>
      <w:tblGrid>
        <w:gridCol w:w="3528"/>
        <w:gridCol w:w="2250"/>
        <w:gridCol w:w="2180"/>
        <w:gridCol w:w="2038"/>
      </w:tblGrid>
      <w:tr w:rsidR="00D96B6C" w:rsidRPr="00D96B6C" w14:paraId="46940162" w14:textId="77777777" w:rsidTr="00E25368">
        <w:trPr>
          <w:tblHeader/>
          <w:jc w:val="center"/>
        </w:trPr>
        <w:tc>
          <w:tcPr>
            <w:tcW w:w="3528" w:type="dxa"/>
            <w:shd w:val="clear" w:color="auto" w:fill="auto"/>
          </w:tcPr>
          <w:p w14:paraId="7E9FC974" w14:textId="77777777" w:rsidR="00D96B6C" w:rsidRPr="00D96B6C" w:rsidRDefault="00D96B6C" w:rsidP="00DC14B3">
            <w:pPr>
              <w:tabs>
                <w:tab w:val="left" w:pos="567"/>
              </w:tabs>
              <w:suppressAutoHyphens w:val="0"/>
              <w:autoSpaceDE w:val="0"/>
              <w:autoSpaceDN w:val="0"/>
              <w:adjustRightInd w:val="0"/>
              <w:spacing w:line="260" w:lineRule="exact"/>
              <w:rPr>
                <w:rFonts w:cs="Arial"/>
                <w:b/>
                <w:lang w:val="en-GB" w:eastAsia="en-US"/>
              </w:rPr>
            </w:pPr>
            <w:r w:rsidRPr="00D96B6C">
              <w:rPr>
                <w:rFonts w:cs="Arial"/>
                <w:b/>
                <w:bCs/>
                <w:lang w:val="en-GB" w:eastAsia="en-US"/>
              </w:rPr>
              <w:t>Endpoint</w:t>
            </w:r>
          </w:p>
        </w:tc>
        <w:tc>
          <w:tcPr>
            <w:tcW w:w="2250" w:type="dxa"/>
          </w:tcPr>
          <w:p w14:paraId="530058F5"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
                <w:lang w:val="en-GB" w:eastAsia="en-US"/>
              </w:rPr>
            </w:pPr>
            <w:r w:rsidRPr="00D96B6C">
              <w:rPr>
                <w:rFonts w:cs="Arial"/>
                <w:b/>
                <w:lang w:val="en-GB" w:eastAsia="en-US"/>
              </w:rPr>
              <w:t>KEYTRUDA</w:t>
            </w:r>
          </w:p>
          <w:p w14:paraId="4F61858C"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
                <w:lang w:val="en-GB" w:eastAsia="en-US"/>
              </w:rPr>
            </w:pPr>
            <w:r w:rsidRPr="00D96B6C">
              <w:rPr>
                <w:rFonts w:cs="Arial"/>
                <w:b/>
                <w:lang w:val="en-GB" w:eastAsia="en-US"/>
              </w:rPr>
              <w:t>2 mg/kg every 3 weeks</w:t>
            </w:r>
          </w:p>
          <w:p w14:paraId="6B4D1DD4"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
                <w:lang w:val="en-GB" w:eastAsia="en-US"/>
              </w:rPr>
            </w:pPr>
            <w:r w:rsidRPr="00D96B6C">
              <w:rPr>
                <w:rFonts w:cs="Arial"/>
                <w:b/>
                <w:lang w:val="en-GB" w:eastAsia="en-US"/>
              </w:rPr>
              <w:t>n=180</w:t>
            </w:r>
          </w:p>
        </w:tc>
        <w:tc>
          <w:tcPr>
            <w:tcW w:w="2180" w:type="dxa"/>
          </w:tcPr>
          <w:p w14:paraId="087E4348"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
                <w:lang w:val="en-GB" w:eastAsia="en-US"/>
              </w:rPr>
            </w:pPr>
            <w:r w:rsidRPr="00D96B6C">
              <w:rPr>
                <w:rFonts w:cs="Arial"/>
                <w:b/>
                <w:lang w:val="en-GB" w:eastAsia="en-US"/>
              </w:rPr>
              <w:t>KEYTRUDA</w:t>
            </w:r>
          </w:p>
          <w:p w14:paraId="6EE7DEF8"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
                <w:lang w:val="en-GB" w:eastAsia="en-US"/>
              </w:rPr>
            </w:pPr>
            <w:r w:rsidRPr="00D96B6C">
              <w:rPr>
                <w:rFonts w:cs="Arial"/>
                <w:b/>
                <w:lang w:val="en-GB" w:eastAsia="en-US"/>
              </w:rPr>
              <w:t>10 mg/kg every 3 weeks</w:t>
            </w:r>
          </w:p>
          <w:p w14:paraId="5061CAAD"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
                <w:lang w:val="en-GB" w:eastAsia="en-US"/>
              </w:rPr>
            </w:pPr>
            <w:r w:rsidRPr="00D96B6C">
              <w:rPr>
                <w:rFonts w:cs="Arial"/>
                <w:b/>
                <w:lang w:val="en-GB" w:eastAsia="en-US"/>
              </w:rPr>
              <w:t>n=181</w:t>
            </w:r>
          </w:p>
        </w:tc>
        <w:tc>
          <w:tcPr>
            <w:tcW w:w="2038" w:type="dxa"/>
          </w:tcPr>
          <w:p w14:paraId="52A92EFB"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
                <w:lang w:val="en-GB" w:eastAsia="en-US"/>
              </w:rPr>
            </w:pPr>
            <w:r w:rsidRPr="00D96B6C">
              <w:rPr>
                <w:rFonts w:cs="Arial"/>
                <w:b/>
                <w:lang w:val="en-GB" w:eastAsia="en-US"/>
              </w:rPr>
              <w:t>Chemotherapy</w:t>
            </w:r>
          </w:p>
          <w:p w14:paraId="795ED811"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
                <w:lang w:val="en-GB" w:eastAsia="en-US"/>
              </w:rPr>
            </w:pPr>
            <w:r w:rsidRPr="00D96B6C">
              <w:rPr>
                <w:rFonts w:cs="Arial"/>
                <w:b/>
                <w:lang w:val="en-GB" w:eastAsia="en-US"/>
              </w:rPr>
              <w:t>n=179</w:t>
            </w:r>
          </w:p>
        </w:tc>
      </w:tr>
      <w:tr w:rsidR="00D96B6C" w:rsidRPr="00D96B6C" w14:paraId="393281DD" w14:textId="77777777" w:rsidTr="00D96B6C">
        <w:trPr>
          <w:jc w:val="center"/>
        </w:trPr>
        <w:tc>
          <w:tcPr>
            <w:tcW w:w="3528" w:type="dxa"/>
            <w:shd w:val="clear" w:color="auto" w:fill="auto"/>
          </w:tcPr>
          <w:p w14:paraId="3705D429" w14:textId="77777777" w:rsidR="00D96B6C" w:rsidRPr="00D96B6C" w:rsidRDefault="00D96B6C" w:rsidP="00DC14B3">
            <w:pPr>
              <w:tabs>
                <w:tab w:val="left" w:pos="567"/>
              </w:tabs>
              <w:suppressAutoHyphens w:val="0"/>
              <w:autoSpaceDE w:val="0"/>
              <w:autoSpaceDN w:val="0"/>
              <w:adjustRightInd w:val="0"/>
              <w:spacing w:before="30" w:after="30" w:line="260" w:lineRule="exact"/>
              <w:ind w:left="160" w:right="1" w:hanging="160"/>
              <w:rPr>
                <w:rFonts w:cs="Arial"/>
                <w:b/>
                <w:bCs/>
                <w:lang w:val="en-GB" w:eastAsia="en-US"/>
              </w:rPr>
            </w:pPr>
            <w:r w:rsidRPr="00D96B6C">
              <w:rPr>
                <w:rFonts w:cs="Arial"/>
                <w:b/>
                <w:bCs/>
                <w:lang w:val="en-GB" w:eastAsia="en-US"/>
              </w:rPr>
              <w:t>PFS by</w:t>
            </w:r>
            <w:r w:rsidRPr="00D96B6C">
              <w:rPr>
                <w:rFonts w:cs="Arial"/>
                <w:b/>
                <w:bCs/>
                <w:vertAlign w:val="superscript"/>
                <w:lang w:val="en-GB" w:eastAsia="en-US"/>
              </w:rPr>
              <w:t xml:space="preserve"> </w:t>
            </w:r>
            <w:r w:rsidRPr="00D96B6C">
              <w:rPr>
                <w:rFonts w:cs="Arial"/>
                <w:b/>
                <w:bCs/>
                <w:lang w:val="en-GB" w:eastAsia="en-US"/>
              </w:rPr>
              <w:t>IRO*</w:t>
            </w:r>
          </w:p>
        </w:tc>
        <w:tc>
          <w:tcPr>
            <w:tcW w:w="2250" w:type="dxa"/>
          </w:tcPr>
          <w:p w14:paraId="75A8EE46"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p>
        </w:tc>
        <w:tc>
          <w:tcPr>
            <w:tcW w:w="2180" w:type="dxa"/>
          </w:tcPr>
          <w:p w14:paraId="6CC9FB46"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p>
        </w:tc>
        <w:tc>
          <w:tcPr>
            <w:tcW w:w="2038" w:type="dxa"/>
          </w:tcPr>
          <w:p w14:paraId="1BB99269"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p>
        </w:tc>
      </w:tr>
      <w:tr w:rsidR="00D96B6C" w:rsidRPr="00D96B6C" w14:paraId="076A10EB" w14:textId="77777777" w:rsidTr="00D96B6C">
        <w:trPr>
          <w:jc w:val="center"/>
        </w:trPr>
        <w:tc>
          <w:tcPr>
            <w:tcW w:w="3528" w:type="dxa"/>
            <w:shd w:val="clear" w:color="auto" w:fill="auto"/>
          </w:tcPr>
          <w:p w14:paraId="61ACCC35" w14:textId="77777777" w:rsidR="00D96B6C" w:rsidRPr="00D96B6C" w:rsidRDefault="00D96B6C" w:rsidP="00DC14B3">
            <w:pPr>
              <w:tabs>
                <w:tab w:val="left" w:pos="567"/>
              </w:tabs>
              <w:suppressAutoHyphens w:val="0"/>
              <w:autoSpaceDE w:val="0"/>
              <w:autoSpaceDN w:val="0"/>
              <w:adjustRightInd w:val="0"/>
              <w:spacing w:line="260" w:lineRule="exact"/>
              <w:ind w:left="150"/>
              <w:rPr>
                <w:rFonts w:cs="Arial"/>
                <w:bCs/>
                <w:lang w:val="en-GB" w:eastAsia="en-US"/>
              </w:rPr>
            </w:pPr>
            <w:r w:rsidRPr="00D96B6C">
              <w:rPr>
                <w:rFonts w:cs="Arial"/>
                <w:bCs/>
                <w:lang w:val="en-GB" w:eastAsia="en-US"/>
              </w:rPr>
              <w:t>Number (%) of patients with event</w:t>
            </w:r>
          </w:p>
        </w:tc>
        <w:tc>
          <w:tcPr>
            <w:tcW w:w="2250" w:type="dxa"/>
          </w:tcPr>
          <w:p w14:paraId="3D22EDB0"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129 (72%)</w:t>
            </w:r>
          </w:p>
        </w:tc>
        <w:tc>
          <w:tcPr>
            <w:tcW w:w="2180" w:type="dxa"/>
          </w:tcPr>
          <w:p w14:paraId="00054A04"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126 (70%)</w:t>
            </w:r>
          </w:p>
        </w:tc>
        <w:tc>
          <w:tcPr>
            <w:tcW w:w="2038" w:type="dxa"/>
          </w:tcPr>
          <w:p w14:paraId="65F51D18"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155 (87%)</w:t>
            </w:r>
          </w:p>
        </w:tc>
      </w:tr>
      <w:tr w:rsidR="00D96B6C" w:rsidRPr="00D96B6C" w14:paraId="3D7CFBFE" w14:textId="77777777" w:rsidTr="00D96B6C">
        <w:trPr>
          <w:jc w:val="center"/>
        </w:trPr>
        <w:tc>
          <w:tcPr>
            <w:tcW w:w="3528" w:type="dxa"/>
            <w:shd w:val="clear" w:color="auto" w:fill="auto"/>
          </w:tcPr>
          <w:p w14:paraId="0B17B7A1" w14:textId="77777777" w:rsidR="00D96B6C" w:rsidRPr="00D96B6C" w:rsidRDefault="00D96B6C" w:rsidP="00DC14B3">
            <w:pPr>
              <w:tabs>
                <w:tab w:val="left" w:pos="567"/>
              </w:tabs>
              <w:suppressAutoHyphens w:val="0"/>
              <w:autoSpaceDE w:val="0"/>
              <w:autoSpaceDN w:val="0"/>
              <w:adjustRightInd w:val="0"/>
              <w:spacing w:line="260" w:lineRule="exact"/>
              <w:ind w:left="150"/>
              <w:rPr>
                <w:rFonts w:cs="Arial"/>
                <w:bCs/>
                <w:lang w:val="en-GB" w:eastAsia="en-US"/>
              </w:rPr>
            </w:pPr>
            <w:r w:rsidRPr="00D96B6C">
              <w:rPr>
                <w:rFonts w:cs="Arial"/>
                <w:bCs/>
                <w:lang w:val="en-GB" w:eastAsia="en-US"/>
              </w:rPr>
              <w:t>Hazard ratio</w:t>
            </w:r>
            <w:r w:rsidRPr="00D96B6C">
              <w:rPr>
                <w:rFonts w:cs="Arial"/>
                <w:bCs/>
                <w:vertAlign w:val="superscript"/>
                <w:lang w:val="en-GB" w:eastAsia="en-US"/>
              </w:rPr>
              <w:t>†</w:t>
            </w:r>
            <w:r w:rsidRPr="00D96B6C">
              <w:rPr>
                <w:rFonts w:cs="Arial"/>
                <w:bCs/>
                <w:lang w:val="en-GB" w:eastAsia="en-US"/>
              </w:rPr>
              <w:t xml:space="preserve"> (95% CI)</w:t>
            </w:r>
            <w:r w:rsidRPr="00D96B6C">
              <w:rPr>
                <w:rFonts w:cs="Arial"/>
                <w:bCs/>
                <w:vertAlign w:val="superscript"/>
                <w:lang w:val="en-GB" w:eastAsia="en-US"/>
              </w:rPr>
              <w:t xml:space="preserve"> </w:t>
            </w:r>
          </w:p>
        </w:tc>
        <w:tc>
          <w:tcPr>
            <w:tcW w:w="2250" w:type="dxa"/>
          </w:tcPr>
          <w:p w14:paraId="27EC4E11"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highlight w:val="yellow"/>
                <w:lang w:val="en-GB" w:eastAsia="en-US"/>
              </w:rPr>
            </w:pPr>
            <w:r w:rsidRPr="00D96B6C">
              <w:rPr>
                <w:rFonts w:cs="Arial"/>
                <w:bCs/>
                <w:lang w:val="en-GB" w:eastAsia="en-US"/>
              </w:rPr>
              <w:t>0.57 (0.45, 0.73)</w:t>
            </w:r>
          </w:p>
        </w:tc>
        <w:tc>
          <w:tcPr>
            <w:tcW w:w="2180" w:type="dxa"/>
          </w:tcPr>
          <w:p w14:paraId="2F7BACF5"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highlight w:val="yellow"/>
                <w:lang w:val="en-GB" w:eastAsia="en-US"/>
              </w:rPr>
            </w:pPr>
            <w:r w:rsidRPr="00D96B6C">
              <w:rPr>
                <w:rFonts w:cs="Arial"/>
                <w:bCs/>
                <w:lang w:val="en-GB" w:eastAsia="en-US"/>
              </w:rPr>
              <w:t>0.50 (0.39, 0.64)</w:t>
            </w:r>
          </w:p>
        </w:tc>
        <w:tc>
          <w:tcPr>
            <w:tcW w:w="2038" w:type="dxa"/>
          </w:tcPr>
          <w:p w14:paraId="36A6F11F"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highlight w:val="yellow"/>
                <w:lang w:val="en-GB" w:eastAsia="en-US"/>
              </w:rPr>
            </w:pPr>
            <w:r w:rsidRPr="00D96B6C">
              <w:rPr>
                <w:rFonts w:cs="Arial"/>
                <w:bCs/>
                <w:lang w:val="en-GB" w:eastAsia="en-US"/>
              </w:rPr>
              <w:t>---</w:t>
            </w:r>
          </w:p>
        </w:tc>
      </w:tr>
      <w:tr w:rsidR="00D96B6C" w:rsidRPr="00D96B6C" w14:paraId="24CD1031" w14:textId="77777777" w:rsidTr="00D96B6C">
        <w:trPr>
          <w:jc w:val="center"/>
        </w:trPr>
        <w:tc>
          <w:tcPr>
            <w:tcW w:w="3528" w:type="dxa"/>
            <w:shd w:val="clear" w:color="auto" w:fill="auto"/>
          </w:tcPr>
          <w:p w14:paraId="7EDC0EEB" w14:textId="77777777" w:rsidR="00D96B6C" w:rsidRPr="00D96B6C" w:rsidRDefault="00D96B6C" w:rsidP="00DC14B3">
            <w:pPr>
              <w:tabs>
                <w:tab w:val="left" w:pos="567"/>
              </w:tabs>
              <w:suppressAutoHyphens w:val="0"/>
              <w:autoSpaceDE w:val="0"/>
              <w:autoSpaceDN w:val="0"/>
              <w:adjustRightInd w:val="0"/>
              <w:spacing w:line="260" w:lineRule="exact"/>
              <w:ind w:left="150"/>
              <w:rPr>
                <w:rFonts w:cs="Arial"/>
                <w:bCs/>
                <w:lang w:val="en-GB" w:eastAsia="en-US"/>
              </w:rPr>
            </w:pPr>
            <w:r w:rsidRPr="00D96B6C">
              <w:rPr>
                <w:rFonts w:cs="Arial"/>
                <w:bCs/>
                <w:lang w:val="en-GB" w:eastAsia="en-US"/>
              </w:rPr>
              <w:lastRenderedPageBreak/>
              <w:t>p-Value</w:t>
            </w:r>
            <w:r w:rsidRPr="00D96B6C">
              <w:rPr>
                <w:rFonts w:cs="Arial"/>
                <w:bCs/>
                <w:vertAlign w:val="superscript"/>
                <w:lang w:val="en-GB" w:eastAsia="en-US"/>
              </w:rPr>
              <w:t>‡</w:t>
            </w:r>
          </w:p>
        </w:tc>
        <w:tc>
          <w:tcPr>
            <w:tcW w:w="2250" w:type="dxa"/>
          </w:tcPr>
          <w:p w14:paraId="5B3550CB"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&lt;0.0001</w:t>
            </w:r>
          </w:p>
        </w:tc>
        <w:tc>
          <w:tcPr>
            <w:tcW w:w="2180" w:type="dxa"/>
          </w:tcPr>
          <w:p w14:paraId="27696C84"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&lt;0.0001</w:t>
            </w:r>
          </w:p>
        </w:tc>
        <w:tc>
          <w:tcPr>
            <w:tcW w:w="2038" w:type="dxa"/>
          </w:tcPr>
          <w:p w14:paraId="1274C598"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w:t>
            </w:r>
          </w:p>
        </w:tc>
      </w:tr>
      <w:tr w:rsidR="00D96B6C" w:rsidRPr="00D96B6C" w14:paraId="20BA2F2F" w14:textId="77777777" w:rsidTr="00D96B6C">
        <w:trPr>
          <w:jc w:val="center"/>
        </w:trPr>
        <w:tc>
          <w:tcPr>
            <w:tcW w:w="3528" w:type="dxa"/>
            <w:shd w:val="clear" w:color="auto" w:fill="auto"/>
          </w:tcPr>
          <w:p w14:paraId="69F2F593" w14:textId="77777777" w:rsidR="00D96B6C" w:rsidRPr="00D96B6C" w:rsidRDefault="00D96B6C" w:rsidP="00DC14B3">
            <w:pPr>
              <w:tabs>
                <w:tab w:val="left" w:pos="567"/>
              </w:tabs>
              <w:suppressAutoHyphens w:val="0"/>
              <w:autoSpaceDE w:val="0"/>
              <w:autoSpaceDN w:val="0"/>
              <w:adjustRightInd w:val="0"/>
              <w:spacing w:line="260" w:lineRule="exact"/>
              <w:ind w:left="150"/>
              <w:rPr>
                <w:rFonts w:cs="Arial"/>
                <w:bCs/>
                <w:lang w:val="en-GB" w:eastAsia="en-US"/>
              </w:rPr>
            </w:pPr>
            <w:r w:rsidRPr="00D96B6C">
              <w:rPr>
                <w:rFonts w:cs="Arial"/>
                <w:bCs/>
                <w:lang w:val="en-GB" w:eastAsia="en-US"/>
              </w:rPr>
              <w:t>Median in months (95% CI)</w:t>
            </w:r>
          </w:p>
        </w:tc>
        <w:tc>
          <w:tcPr>
            <w:tcW w:w="2250" w:type="dxa"/>
          </w:tcPr>
          <w:p w14:paraId="28C3F713"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2.9 (2.8, 3.8)</w:t>
            </w:r>
          </w:p>
        </w:tc>
        <w:tc>
          <w:tcPr>
            <w:tcW w:w="2180" w:type="dxa"/>
          </w:tcPr>
          <w:p w14:paraId="00EA523F"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2.9 (2.8, 4.7)</w:t>
            </w:r>
          </w:p>
        </w:tc>
        <w:tc>
          <w:tcPr>
            <w:tcW w:w="2038" w:type="dxa"/>
          </w:tcPr>
          <w:p w14:paraId="3861F329"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2.7 (2.5, 2.8)</w:t>
            </w:r>
          </w:p>
        </w:tc>
      </w:tr>
      <w:tr w:rsidR="00D96B6C" w:rsidRPr="00D96B6C" w14:paraId="6CB0A0AB" w14:textId="77777777" w:rsidTr="00D96B6C">
        <w:trPr>
          <w:jc w:val="center"/>
        </w:trPr>
        <w:tc>
          <w:tcPr>
            <w:tcW w:w="3528" w:type="dxa"/>
            <w:shd w:val="clear" w:color="auto" w:fill="auto"/>
          </w:tcPr>
          <w:p w14:paraId="21B0E15D" w14:textId="77777777" w:rsidR="00D96B6C" w:rsidRPr="00D96B6C" w:rsidRDefault="00D96B6C" w:rsidP="00DC14B3">
            <w:pPr>
              <w:tabs>
                <w:tab w:val="left" w:pos="567"/>
              </w:tabs>
              <w:suppressAutoHyphens w:val="0"/>
              <w:autoSpaceDE w:val="0"/>
              <w:autoSpaceDN w:val="0"/>
              <w:adjustRightInd w:val="0"/>
              <w:spacing w:line="260" w:lineRule="exact"/>
              <w:ind w:left="150"/>
              <w:rPr>
                <w:rFonts w:cs="Arial"/>
                <w:bCs/>
                <w:lang w:val="en-GB" w:eastAsia="en-US"/>
              </w:rPr>
            </w:pPr>
            <w:r w:rsidRPr="00D96B6C">
              <w:rPr>
                <w:rFonts w:cs="Arial"/>
                <w:bCs/>
                <w:lang w:val="en-GB" w:eastAsia="en-US"/>
              </w:rPr>
              <w:t>Mean in months (95% CI)</w:t>
            </w:r>
            <w:r w:rsidRPr="00D96B6C">
              <w:rPr>
                <w:rFonts w:cs="Arial"/>
                <w:bCs/>
                <w:vertAlign w:val="superscript"/>
                <w:lang w:val="en-GB" w:eastAsia="en-US"/>
              </w:rPr>
              <w:t xml:space="preserve"> §</w:t>
            </w:r>
          </w:p>
        </w:tc>
        <w:tc>
          <w:tcPr>
            <w:tcW w:w="2250" w:type="dxa"/>
          </w:tcPr>
          <w:p w14:paraId="19C2649C"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5.4 (4.7, 6.0)</w:t>
            </w:r>
          </w:p>
        </w:tc>
        <w:tc>
          <w:tcPr>
            <w:tcW w:w="2180" w:type="dxa"/>
          </w:tcPr>
          <w:p w14:paraId="519A7483"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5.8 (5.1, 6.4)</w:t>
            </w:r>
          </w:p>
        </w:tc>
        <w:tc>
          <w:tcPr>
            <w:tcW w:w="2038" w:type="dxa"/>
          </w:tcPr>
          <w:p w14:paraId="2D749624"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3.6 (3.2, 4.1)</w:t>
            </w:r>
          </w:p>
        </w:tc>
      </w:tr>
      <w:tr w:rsidR="00D96B6C" w:rsidRPr="00D96B6C" w14:paraId="3F25370A" w14:textId="77777777" w:rsidTr="00D96B6C">
        <w:trPr>
          <w:jc w:val="center"/>
        </w:trPr>
        <w:tc>
          <w:tcPr>
            <w:tcW w:w="3528" w:type="dxa"/>
            <w:shd w:val="clear" w:color="auto" w:fill="auto"/>
          </w:tcPr>
          <w:p w14:paraId="4F10A5CC" w14:textId="77777777" w:rsidR="00D96B6C" w:rsidRPr="00D96B6C" w:rsidRDefault="00D96B6C" w:rsidP="00DC14B3">
            <w:pPr>
              <w:tabs>
                <w:tab w:val="left" w:pos="567"/>
              </w:tabs>
              <w:suppressAutoHyphens w:val="0"/>
              <w:autoSpaceDE w:val="0"/>
              <w:autoSpaceDN w:val="0"/>
              <w:adjustRightInd w:val="0"/>
              <w:spacing w:before="30" w:after="30" w:line="260" w:lineRule="exact"/>
              <w:ind w:left="160" w:right="1" w:hanging="160"/>
              <w:rPr>
                <w:rFonts w:cs="Arial"/>
                <w:b/>
                <w:bCs/>
                <w:lang w:val="en-GB" w:eastAsia="en-US"/>
              </w:rPr>
            </w:pPr>
            <w:r w:rsidRPr="00D96B6C">
              <w:rPr>
                <w:rFonts w:cs="Arial"/>
                <w:b/>
                <w:bCs/>
                <w:lang w:val="en-GB" w:eastAsia="en-US"/>
              </w:rPr>
              <w:t>PFS</w:t>
            </w:r>
            <w:r w:rsidRPr="00D96B6C">
              <w:rPr>
                <w:rFonts w:cs="Arial"/>
                <w:bCs/>
                <w:vertAlign w:val="superscript"/>
                <w:lang w:val="en-GB" w:eastAsia="en-US"/>
              </w:rPr>
              <w:t xml:space="preserve"> </w:t>
            </w:r>
            <w:r w:rsidRPr="00D96B6C">
              <w:rPr>
                <w:rFonts w:cs="Arial"/>
                <w:b/>
                <w:bCs/>
                <w:lang w:val="en-GB" w:eastAsia="en-US"/>
              </w:rPr>
              <w:t>by INV</w:t>
            </w:r>
            <w:r w:rsidRPr="00D96B6C">
              <w:rPr>
                <w:rFonts w:cs="Arial"/>
                <w:bCs/>
                <w:vertAlign w:val="superscript"/>
                <w:lang w:val="en-GB" w:eastAsia="en-US"/>
              </w:rPr>
              <w:t>¶</w:t>
            </w:r>
          </w:p>
        </w:tc>
        <w:tc>
          <w:tcPr>
            <w:tcW w:w="2250" w:type="dxa"/>
          </w:tcPr>
          <w:p w14:paraId="4CB56FAE"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p>
        </w:tc>
        <w:tc>
          <w:tcPr>
            <w:tcW w:w="2180" w:type="dxa"/>
          </w:tcPr>
          <w:p w14:paraId="678A479E"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p>
        </w:tc>
        <w:tc>
          <w:tcPr>
            <w:tcW w:w="2038" w:type="dxa"/>
          </w:tcPr>
          <w:p w14:paraId="3EEA5755"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p>
        </w:tc>
      </w:tr>
      <w:tr w:rsidR="00D96B6C" w:rsidRPr="00D96B6C" w14:paraId="3ABAAAB5" w14:textId="77777777" w:rsidTr="00D96B6C">
        <w:trPr>
          <w:jc w:val="center"/>
        </w:trPr>
        <w:tc>
          <w:tcPr>
            <w:tcW w:w="3528" w:type="dxa"/>
            <w:shd w:val="clear" w:color="auto" w:fill="auto"/>
          </w:tcPr>
          <w:p w14:paraId="11BD4856" w14:textId="77777777" w:rsidR="00D96B6C" w:rsidRPr="00D96B6C" w:rsidRDefault="00D96B6C" w:rsidP="00DC14B3">
            <w:pPr>
              <w:tabs>
                <w:tab w:val="left" w:pos="567"/>
              </w:tabs>
              <w:suppressAutoHyphens w:val="0"/>
              <w:autoSpaceDE w:val="0"/>
              <w:autoSpaceDN w:val="0"/>
              <w:adjustRightInd w:val="0"/>
              <w:spacing w:line="260" w:lineRule="exact"/>
              <w:ind w:left="150"/>
              <w:rPr>
                <w:rFonts w:cs="Arial"/>
                <w:bCs/>
                <w:lang w:val="en-GB" w:eastAsia="en-US"/>
              </w:rPr>
            </w:pPr>
            <w:r w:rsidRPr="00D96B6C">
              <w:rPr>
                <w:rFonts w:cs="Arial"/>
                <w:bCs/>
                <w:lang w:val="en-GB" w:eastAsia="en-US"/>
              </w:rPr>
              <w:t>Number (%) of patients with event</w:t>
            </w:r>
          </w:p>
        </w:tc>
        <w:tc>
          <w:tcPr>
            <w:tcW w:w="2250" w:type="dxa"/>
          </w:tcPr>
          <w:p w14:paraId="258CCC95"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122 (68%)</w:t>
            </w:r>
          </w:p>
        </w:tc>
        <w:tc>
          <w:tcPr>
            <w:tcW w:w="2180" w:type="dxa"/>
          </w:tcPr>
          <w:p w14:paraId="25913298"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112 (62%)</w:t>
            </w:r>
          </w:p>
        </w:tc>
        <w:tc>
          <w:tcPr>
            <w:tcW w:w="2038" w:type="dxa"/>
          </w:tcPr>
          <w:p w14:paraId="4E4EA91D"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157 (88%)</w:t>
            </w:r>
          </w:p>
        </w:tc>
      </w:tr>
      <w:tr w:rsidR="00D96B6C" w:rsidRPr="00D96B6C" w14:paraId="7D9406BD" w14:textId="77777777" w:rsidTr="00D96B6C">
        <w:trPr>
          <w:jc w:val="center"/>
        </w:trPr>
        <w:tc>
          <w:tcPr>
            <w:tcW w:w="3528" w:type="dxa"/>
            <w:shd w:val="clear" w:color="auto" w:fill="auto"/>
          </w:tcPr>
          <w:p w14:paraId="2633AE2F" w14:textId="77777777" w:rsidR="00D96B6C" w:rsidRPr="00D96B6C" w:rsidRDefault="00D96B6C" w:rsidP="00DC14B3">
            <w:pPr>
              <w:tabs>
                <w:tab w:val="left" w:pos="567"/>
              </w:tabs>
              <w:suppressAutoHyphens w:val="0"/>
              <w:autoSpaceDE w:val="0"/>
              <w:autoSpaceDN w:val="0"/>
              <w:adjustRightInd w:val="0"/>
              <w:spacing w:line="260" w:lineRule="exact"/>
              <w:ind w:left="150"/>
              <w:rPr>
                <w:rFonts w:cs="Arial"/>
                <w:bCs/>
                <w:lang w:val="en-GB" w:eastAsia="en-US"/>
              </w:rPr>
            </w:pPr>
            <w:r w:rsidRPr="00D96B6C">
              <w:rPr>
                <w:rFonts w:cs="Arial"/>
                <w:bCs/>
                <w:lang w:val="en-GB" w:eastAsia="en-US"/>
              </w:rPr>
              <w:t>Hazard ratio</w:t>
            </w:r>
            <w:r w:rsidRPr="00D96B6C">
              <w:rPr>
                <w:rFonts w:cs="Arial"/>
                <w:bCs/>
                <w:vertAlign w:val="superscript"/>
                <w:lang w:val="en-GB" w:eastAsia="en-US"/>
              </w:rPr>
              <w:t>†</w:t>
            </w:r>
            <w:r w:rsidRPr="00D96B6C">
              <w:rPr>
                <w:rFonts w:cs="Arial"/>
                <w:bCs/>
                <w:lang w:val="en-GB" w:eastAsia="en-US"/>
              </w:rPr>
              <w:t xml:space="preserve"> (95% CI)</w:t>
            </w:r>
            <w:r w:rsidRPr="00D96B6C">
              <w:rPr>
                <w:rFonts w:cs="Arial"/>
                <w:bCs/>
                <w:vertAlign w:val="superscript"/>
                <w:lang w:val="en-GB" w:eastAsia="en-US"/>
              </w:rPr>
              <w:t xml:space="preserve"> </w:t>
            </w:r>
          </w:p>
        </w:tc>
        <w:tc>
          <w:tcPr>
            <w:tcW w:w="2250" w:type="dxa"/>
          </w:tcPr>
          <w:p w14:paraId="27ADFF0B"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0.49 (0.38, 0.62)</w:t>
            </w:r>
          </w:p>
        </w:tc>
        <w:tc>
          <w:tcPr>
            <w:tcW w:w="2180" w:type="dxa"/>
          </w:tcPr>
          <w:p w14:paraId="591E04CA"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0.41 (0.32, 0.52)</w:t>
            </w:r>
          </w:p>
        </w:tc>
        <w:tc>
          <w:tcPr>
            <w:tcW w:w="2038" w:type="dxa"/>
          </w:tcPr>
          <w:p w14:paraId="6FAA9145"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w:t>
            </w:r>
          </w:p>
        </w:tc>
      </w:tr>
      <w:tr w:rsidR="00D96B6C" w:rsidRPr="00D96B6C" w14:paraId="16E78500" w14:textId="77777777" w:rsidTr="00D96B6C">
        <w:trPr>
          <w:jc w:val="center"/>
        </w:trPr>
        <w:tc>
          <w:tcPr>
            <w:tcW w:w="3528" w:type="dxa"/>
            <w:shd w:val="clear" w:color="auto" w:fill="auto"/>
          </w:tcPr>
          <w:p w14:paraId="32D37879" w14:textId="77777777" w:rsidR="00D96B6C" w:rsidRPr="00D96B6C" w:rsidRDefault="00D96B6C" w:rsidP="00DC14B3">
            <w:pPr>
              <w:tabs>
                <w:tab w:val="left" w:pos="567"/>
              </w:tabs>
              <w:suppressAutoHyphens w:val="0"/>
              <w:autoSpaceDE w:val="0"/>
              <w:autoSpaceDN w:val="0"/>
              <w:adjustRightInd w:val="0"/>
              <w:spacing w:line="260" w:lineRule="exact"/>
              <w:ind w:left="150"/>
              <w:rPr>
                <w:rFonts w:cs="Arial"/>
                <w:bCs/>
                <w:lang w:val="en-GB" w:eastAsia="en-US"/>
              </w:rPr>
            </w:pPr>
            <w:r w:rsidRPr="00D96B6C">
              <w:rPr>
                <w:rFonts w:cs="Arial"/>
                <w:bCs/>
                <w:lang w:val="en-GB" w:eastAsia="en-US"/>
              </w:rPr>
              <w:t>p-Value</w:t>
            </w:r>
            <w:r w:rsidRPr="00D96B6C">
              <w:rPr>
                <w:rFonts w:cs="Arial"/>
                <w:bCs/>
                <w:vertAlign w:val="superscript"/>
                <w:lang w:val="en-GB" w:eastAsia="en-US"/>
              </w:rPr>
              <w:t>‡</w:t>
            </w:r>
          </w:p>
        </w:tc>
        <w:tc>
          <w:tcPr>
            <w:tcW w:w="2250" w:type="dxa"/>
          </w:tcPr>
          <w:p w14:paraId="75C17E83"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&lt;0.0001</w:t>
            </w:r>
          </w:p>
        </w:tc>
        <w:tc>
          <w:tcPr>
            <w:tcW w:w="2180" w:type="dxa"/>
          </w:tcPr>
          <w:p w14:paraId="1B1F6F83"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&lt;0.0001</w:t>
            </w:r>
          </w:p>
        </w:tc>
        <w:tc>
          <w:tcPr>
            <w:tcW w:w="2038" w:type="dxa"/>
          </w:tcPr>
          <w:p w14:paraId="2005BB1A"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w:t>
            </w:r>
          </w:p>
        </w:tc>
      </w:tr>
      <w:tr w:rsidR="00D96B6C" w:rsidRPr="00D96B6C" w14:paraId="605CC902" w14:textId="77777777" w:rsidTr="00D96B6C">
        <w:trPr>
          <w:jc w:val="center"/>
        </w:trPr>
        <w:tc>
          <w:tcPr>
            <w:tcW w:w="3528" w:type="dxa"/>
            <w:shd w:val="clear" w:color="auto" w:fill="auto"/>
          </w:tcPr>
          <w:p w14:paraId="4AE61F73" w14:textId="77777777" w:rsidR="00D96B6C" w:rsidRPr="00D96B6C" w:rsidRDefault="00D96B6C" w:rsidP="00DC14B3">
            <w:pPr>
              <w:tabs>
                <w:tab w:val="left" w:pos="567"/>
              </w:tabs>
              <w:suppressAutoHyphens w:val="0"/>
              <w:autoSpaceDE w:val="0"/>
              <w:autoSpaceDN w:val="0"/>
              <w:adjustRightInd w:val="0"/>
              <w:spacing w:line="260" w:lineRule="exact"/>
              <w:ind w:left="150"/>
              <w:rPr>
                <w:rFonts w:cs="Arial"/>
                <w:bCs/>
                <w:lang w:val="en-GB" w:eastAsia="en-US"/>
              </w:rPr>
            </w:pPr>
            <w:r w:rsidRPr="00D96B6C">
              <w:rPr>
                <w:rFonts w:cs="Arial"/>
                <w:bCs/>
                <w:lang w:val="en-GB" w:eastAsia="en-US"/>
              </w:rPr>
              <w:t>Median in months (95% CI)</w:t>
            </w:r>
          </w:p>
        </w:tc>
        <w:tc>
          <w:tcPr>
            <w:tcW w:w="2250" w:type="dxa"/>
          </w:tcPr>
          <w:p w14:paraId="79515F6F"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3.7 (2.9, 5.4)</w:t>
            </w:r>
          </w:p>
        </w:tc>
        <w:tc>
          <w:tcPr>
            <w:tcW w:w="2180" w:type="dxa"/>
          </w:tcPr>
          <w:p w14:paraId="41C70B4D"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5.4 (3.8, 6.8)</w:t>
            </w:r>
          </w:p>
        </w:tc>
        <w:tc>
          <w:tcPr>
            <w:tcW w:w="2038" w:type="dxa"/>
          </w:tcPr>
          <w:p w14:paraId="0C096B0F"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2.6 (2.4, 2.8)</w:t>
            </w:r>
          </w:p>
        </w:tc>
      </w:tr>
      <w:tr w:rsidR="00D96B6C" w:rsidRPr="00D96B6C" w14:paraId="72013F8C" w14:textId="77777777" w:rsidTr="00D96B6C">
        <w:trPr>
          <w:jc w:val="center"/>
        </w:trPr>
        <w:tc>
          <w:tcPr>
            <w:tcW w:w="3528" w:type="dxa"/>
            <w:shd w:val="clear" w:color="auto" w:fill="auto"/>
          </w:tcPr>
          <w:p w14:paraId="62983228" w14:textId="77777777" w:rsidR="00D96B6C" w:rsidRPr="00D96B6C" w:rsidRDefault="00D96B6C" w:rsidP="00DC14B3">
            <w:pPr>
              <w:tabs>
                <w:tab w:val="left" w:pos="567"/>
              </w:tabs>
              <w:suppressAutoHyphens w:val="0"/>
              <w:autoSpaceDE w:val="0"/>
              <w:autoSpaceDN w:val="0"/>
              <w:adjustRightInd w:val="0"/>
              <w:spacing w:line="260" w:lineRule="exact"/>
              <w:ind w:left="150"/>
              <w:rPr>
                <w:rFonts w:cs="Arial"/>
                <w:bCs/>
                <w:lang w:val="en-GB" w:eastAsia="en-US"/>
              </w:rPr>
            </w:pPr>
            <w:r w:rsidRPr="00D96B6C">
              <w:rPr>
                <w:rFonts w:cs="Arial"/>
                <w:bCs/>
                <w:lang w:val="en-GB" w:eastAsia="en-US"/>
              </w:rPr>
              <w:t>Mean in months (95% CI)</w:t>
            </w:r>
            <w:r w:rsidRPr="00D96B6C">
              <w:rPr>
                <w:rFonts w:cs="Arial"/>
                <w:bCs/>
                <w:vertAlign w:val="superscript"/>
                <w:lang w:val="en-GB" w:eastAsia="en-US"/>
              </w:rPr>
              <w:t xml:space="preserve"> §</w:t>
            </w:r>
          </w:p>
        </w:tc>
        <w:tc>
          <w:tcPr>
            <w:tcW w:w="2250" w:type="dxa"/>
          </w:tcPr>
          <w:p w14:paraId="03C91FF9"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5.8 (5.2, 6.4)</w:t>
            </w:r>
          </w:p>
        </w:tc>
        <w:tc>
          <w:tcPr>
            <w:tcW w:w="2180" w:type="dxa"/>
          </w:tcPr>
          <w:p w14:paraId="55DC3519"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6.5 (5.8, 7.1)</w:t>
            </w:r>
          </w:p>
        </w:tc>
        <w:tc>
          <w:tcPr>
            <w:tcW w:w="2038" w:type="dxa"/>
          </w:tcPr>
          <w:p w14:paraId="7BEDEF46"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3.7 (3.2, 4.1)</w:t>
            </w:r>
          </w:p>
        </w:tc>
      </w:tr>
      <w:tr w:rsidR="00D96B6C" w:rsidRPr="00D96B6C" w14:paraId="5EC023E2" w14:textId="77777777" w:rsidTr="00D96B6C">
        <w:trPr>
          <w:jc w:val="center"/>
        </w:trPr>
        <w:tc>
          <w:tcPr>
            <w:tcW w:w="3528" w:type="dxa"/>
            <w:shd w:val="clear" w:color="auto" w:fill="auto"/>
          </w:tcPr>
          <w:p w14:paraId="34EFC616" w14:textId="77777777" w:rsidR="00D96B6C" w:rsidRPr="00D96B6C" w:rsidRDefault="00D96B6C" w:rsidP="00DC14B3">
            <w:pPr>
              <w:tabs>
                <w:tab w:val="left" w:pos="567"/>
              </w:tabs>
              <w:suppressAutoHyphens w:val="0"/>
              <w:autoSpaceDE w:val="0"/>
              <w:autoSpaceDN w:val="0"/>
              <w:adjustRightInd w:val="0"/>
              <w:spacing w:line="260" w:lineRule="exact"/>
              <w:rPr>
                <w:rFonts w:cs="Arial"/>
                <w:lang w:val="en-GB" w:eastAsia="en-US"/>
              </w:rPr>
            </w:pPr>
            <w:r w:rsidRPr="00D96B6C">
              <w:rPr>
                <w:rFonts w:cs="Arial"/>
                <w:b/>
                <w:bCs/>
                <w:lang w:val="en-GB" w:eastAsia="en-US"/>
              </w:rPr>
              <w:t>Best overall response by IRO*</w:t>
            </w:r>
          </w:p>
        </w:tc>
        <w:tc>
          <w:tcPr>
            <w:tcW w:w="2250" w:type="dxa"/>
          </w:tcPr>
          <w:p w14:paraId="6D8F06F1"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p>
        </w:tc>
        <w:tc>
          <w:tcPr>
            <w:tcW w:w="2180" w:type="dxa"/>
          </w:tcPr>
          <w:p w14:paraId="230A3A4C"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p>
        </w:tc>
        <w:tc>
          <w:tcPr>
            <w:tcW w:w="2038" w:type="dxa"/>
          </w:tcPr>
          <w:p w14:paraId="5A6B3AEB"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p>
        </w:tc>
      </w:tr>
      <w:tr w:rsidR="00D96B6C" w:rsidRPr="00D96B6C" w14:paraId="5F649027" w14:textId="77777777" w:rsidTr="00D96B6C">
        <w:trPr>
          <w:jc w:val="center"/>
        </w:trPr>
        <w:tc>
          <w:tcPr>
            <w:tcW w:w="3528" w:type="dxa"/>
            <w:shd w:val="clear" w:color="auto" w:fill="auto"/>
          </w:tcPr>
          <w:p w14:paraId="0C2D7F21" w14:textId="77777777" w:rsidR="00D96B6C" w:rsidRPr="00D96B6C" w:rsidRDefault="00D96B6C" w:rsidP="00DC14B3">
            <w:pPr>
              <w:tabs>
                <w:tab w:val="left" w:pos="567"/>
              </w:tabs>
              <w:suppressAutoHyphens w:val="0"/>
              <w:autoSpaceDE w:val="0"/>
              <w:autoSpaceDN w:val="0"/>
              <w:adjustRightInd w:val="0"/>
              <w:spacing w:line="260" w:lineRule="exact"/>
              <w:ind w:left="150"/>
              <w:rPr>
                <w:rFonts w:cs="Arial"/>
                <w:lang w:val="en-GB" w:eastAsia="en-US"/>
              </w:rPr>
            </w:pPr>
            <w:r w:rsidRPr="00D96B6C">
              <w:rPr>
                <w:rFonts w:cs="Arial"/>
                <w:bCs/>
                <w:lang w:val="en-GB" w:eastAsia="en-US"/>
              </w:rPr>
              <w:t>ORR % (95% CI)</w:t>
            </w:r>
          </w:p>
        </w:tc>
        <w:tc>
          <w:tcPr>
            <w:tcW w:w="2250" w:type="dxa"/>
          </w:tcPr>
          <w:p w14:paraId="4872C94A"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21% (15, 28)</w:t>
            </w:r>
          </w:p>
        </w:tc>
        <w:tc>
          <w:tcPr>
            <w:tcW w:w="2180" w:type="dxa"/>
          </w:tcPr>
          <w:p w14:paraId="76A0ED7A"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25% (19, 32)</w:t>
            </w:r>
          </w:p>
        </w:tc>
        <w:tc>
          <w:tcPr>
            <w:tcW w:w="2038" w:type="dxa"/>
          </w:tcPr>
          <w:p w14:paraId="16C35A1C" w14:textId="77777777" w:rsidR="00D96B6C" w:rsidRPr="00D96B6C" w:rsidRDefault="00355028" w:rsidP="00DC14B3">
            <w:pPr>
              <w:tabs>
                <w:tab w:val="left" w:pos="567"/>
              </w:tabs>
              <w:suppressAutoHyphens w:val="0"/>
              <w:autoSpaceDE w:val="0"/>
              <w:autoSpaceDN w:val="0"/>
              <w:adjustRightInd w:val="0"/>
              <w:spacing w:line="260" w:lineRule="exact"/>
              <w:jc w:val="center"/>
              <w:rPr>
                <w:rFonts w:cs="Arial"/>
                <w:bCs/>
                <w:lang w:val="en-GB" w:eastAsia="en-US"/>
              </w:rPr>
            </w:pPr>
            <w:r>
              <w:rPr>
                <w:rFonts w:cs="Arial"/>
                <w:bCs/>
                <w:lang w:val="en-GB" w:eastAsia="en-US"/>
              </w:rPr>
              <w:t>4</w:t>
            </w:r>
            <w:r w:rsidR="00D96B6C" w:rsidRPr="00D96B6C">
              <w:rPr>
                <w:rFonts w:cs="Arial"/>
                <w:bCs/>
                <w:lang w:val="en-GB" w:eastAsia="en-US"/>
              </w:rPr>
              <w:t>% (2, 9)</w:t>
            </w:r>
          </w:p>
        </w:tc>
      </w:tr>
      <w:tr w:rsidR="00D96B6C" w:rsidRPr="00D96B6C" w14:paraId="7DBC1F09" w14:textId="77777777" w:rsidTr="00D96B6C">
        <w:trPr>
          <w:jc w:val="center"/>
        </w:trPr>
        <w:tc>
          <w:tcPr>
            <w:tcW w:w="3528" w:type="dxa"/>
            <w:shd w:val="clear" w:color="auto" w:fill="auto"/>
          </w:tcPr>
          <w:p w14:paraId="2FFB19E9" w14:textId="77777777" w:rsidR="00D96B6C" w:rsidRPr="00D96B6C" w:rsidRDefault="00D96B6C" w:rsidP="00DC14B3">
            <w:pPr>
              <w:tabs>
                <w:tab w:val="left" w:pos="567"/>
              </w:tabs>
              <w:suppressAutoHyphens w:val="0"/>
              <w:autoSpaceDE w:val="0"/>
              <w:autoSpaceDN w:val="0"/>
              <w:adjustRightInd w:val="0"/>
              <w:spacing w:line="260" w:lineRule="exact"/>
              <w:ind w:left="431"/>
              <w:rPr>
                <w:rFonts w:cs="Arial"/>
                <w:bCs/>
                <w:lang w:val="en-GB" w:eastAsia="en-US"/>
              </w:rPr>
            </w:pPr>
            <w:r w:rsidRPr="00D96B6C">
              <w:rPr>
                <w:rFonts w:cs="Arial"/>
                <w:bCs/>
                <w:lang w:val="en-GB" w:eastAsia="en-US"/>
              </w:rPr>
              <w:t>Complete response %</w:t>
            </w:r>
          </w:p>
        </w:tc>
        <w:tc>
          <w:tcPr>
            <w:tcW w:w="2250" w:type="dxa"/>
          </w:tcPr>
          <w:p w14:paraId="4F1DCF25"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2%</w:t>
            </w:r>
          </w:p>
        </w:tc>
        <w:tc>
          <w:tcPr>
            <w:tcW w:w="2180" w:type="dxa"/>
          </w:tcPr>
          <w:p w14:paraId="45A08D91"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3%</w:t>
            </w:r>
          </w:p>
        </w:tc>
        <w:tc>
          <w:tcPr>
            <w:tcW w:w="2038" w:type="dxa"/>
          </w:tcPr>
          <w:p w14:paraId="3B63C653"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0%</w:t>
            </w:r>
          </w:p>
        </w:tc>
      </w:tr>
      <w:tr w:rsidR="00D96B6C" w:rsidRPr="00D96B6C" w14:paraId="60A59B82" w14:textId="77777777" w:rsidTr="00D96B6C">
        <w:trPr>
          <w:jc w:val="center"/>
        </w:trPr>
        <w:tc>
          <w:tcPr>
            <w:tcW w:w="3528" w:type="dxa"/>
            <w:shd w:val="clear" w:color="auto" w:fill="auto"/>
          </w:tcPr>
          <w:p w14:paraId="34FFA803" w14:textId="77777777" w:rsidR="00D96B6C" w:rsidRPr="00D96B6C" w:rsidRDefault="00D96B6C" w:rsidP="00DC14B3">
            <w:pPr>
              <w:tabs>
                <w:tab w:val="left" w:pos="567"/>
              </w:tabs>
              <w:suppressAutoHyphens w:val="0"/>
              <w:autoSpaceDE w:val="0"/>
              <w:autoSpaceDN w:val="0"/>
              <w:adjustRightInd w:val="0"/>
              <w:spacing w:line="260" w:lineRule="exact"/>
              <w:ind w:left="431"/>
              <w:rPr>
                <w:rFonts w:cs="Arial"/>
                <w:bCs/>
                <w:lang w:val="en-GB" w:eastAsia="en-US"/>
              </w:rPr>
            </w:pPr>
            <w:r w:rsidRPr="00D96B6C">
              <w:rPr>
                <w:rFonts w:cs="Arial"/>
                <w:bCs/>
                <w:lang w:val="en-GB" w:eastAsia="en-US"/>
              </w:rPr>
              <w:t>Partial response %</w:t>
            </w:r>
          </w:p>
        </w:tc>
        <w:tc>
          <w:tcPr>
            <w:tcW w:w="2250" w:type="dxa"/>
          </w:tcPr>
          <w:p w14:paraId="4EDD4BC9"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19%</w:t>
            </w:r>
          </w:p>
        </w:tc>
        <w:tc>
          <w:tcPr>
            <w:tcW w:w="2180" w:type="dxa"/>
          </w:tcPr>
          <w:p w14:paraId="1AB14FEA"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23%</w:t>
            </w:r>
          </w:p>
        </w:tc>
        <w:tc>
          <w:tcPr>
            <w:tcW w:w="2038" w:type="dxa"/>
          </w:tcPr>
          <w:p w14:paraId="1F537B15" w14:textId="77777777" w:rsidR="00D96B6C" w:rsidRPr="00D96B6C" w:rsidRDefault="00355028" w:rsidP="00DC14B3">
            <w:pPr>
              <w:tabs>
                <w:tab w:val="left" w:pos="567"/>
              </w:tabs>
              <w:suppressAutoHyphens w:val="0"/>
              <w:autoSpaceDE w:val="0"/>
              <w:autoSpaceDN w:val="0"/>
              <w:adjustRightInd w:val="0"/>
              <w:spacing w:line="260" w:lineRule="exact"/>
              <w:jc w:val="center"/>
              <w:rPr>
                <w:rFonts w:cs="Arial"/>
                <w:bCs/>
                <w:lang w:val="en-GB" w:eastAsia="en-US"/>
              </w:rPr>
            </w:pPr>
            <w:r>
              <w:rPr>
                <w:rFonts w:cs="Arial"/>
                <w:bCs/>
                <w:lang w:val="en-GB" w:eastAsia="en-US"/>
              </w:rPr>
              <w:t>4</w:t>
            </w:r>
            <w:r w:rsidR="00D96B6C" w:rsidRPr="00D96B6C">
              <w:rPr>
                <w:rFonts w:cs="Arial"/>
                <w:bCs/>
                <w:lang w:val="en-GB" w:eastAsia="en-US"/>
              </w:rPr>
              <w:t>%</w:t>
            </w:r>
          </w:p>
        </w:tc>
      </w:tr>
      <w:tr w:rsidR="00D96B6C" w:rsidRPr="00D96B6C" w14:paraId="035E7AC6" w14:textId="77777777" w:rsidTr="00D96B6C">
        <w:trPr>
          <w:jc w:val="center"/>
        </w:trPr>
        <w:tc>
          <w:tcPr>
            <w:tcW w:w="3528" w:type="dxa"/>
            <w:shd w:val="clear" w:color="auto" w:fill="auto"/>
          </w:tcPr>
          <w:p w14:paraId="4C4BC3FC" w14:textId="77777777" w:rsidR="00D96B6C" w:rsidRPr="00D96B6C" w:rsidRDefault="00D96B6C" w:rsidP="00DC14B3">
            <w:pPr>
              <w:tabs>
                <w:tab w:val="left" w:pos="567"/>
              </w:tabs>
              <w:suppressAutoHyphens w:val="0"/>
              <w:autoSpaceDE w:val="0"/>
              <w:autoSpaceDN w:val="0"/>
              <w:adjustRightInd w:val="0"/>
              <w:spacing w:line="260" w:lineRule="exact"/>
              <w:rPr>
                <w:rFonts w:cs="Arial"/>
                <w:bCs/>
                <w:lang w:val="en-GB" w:eastAsia="en-US"/>
              </w:rPr>
            </w:pPr>
            <w:r w:rsidRPr="00D96B6C">
              <w:rPr>
                <w:rFonts w:cs="Arial"/>
                <w:b/>
                <w:bCs/>
                <w:lang w:val="en-GB" w:eastAsia="en-US"/>
              </w:rPr>
              <w:t>Response duration</w:t>
            </w:r>
            <w:r w:rsidRPr="00D96B6C">
              <w:rPr>
                <w:rFonts w:cs="Arial"/>
                <w:b/>
                <w:bCs/>
                <w:vertAlign w:val="superscript"/>
                <w:lang w:val="en-GB" w:eastAsia="en-US"/>
              </w:rPr>
              <w:t>#</w:t>
            </w:r>
            <w:r w:rsidRPr="00D96B6C">
              <w:rPr>
                <w:rFonts w:cs="Arial"/>
                <w:b/>
                <w:bCs/>
                <w:lang w:val="en-GB" w:eastAsia="en-US"/>
              </w:rPr>
              <w:t xml:space="preserve"> by IRO*</w:t>
            </w:r>
          </w:p>
        </w:tc>
        <w:tc>
          <w:tcPr>
            <w:tcW w:w="2250" w:type="dxa"/>
          </w:tcPr>
          <w:p w14:paraId="11AA7AC2"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p>
        </w:tc>
        <w:tc>
          <w:tcPr>
            <w:tcW w:w="2180" w:type="dxa"/>
          </w:tcPr>
          <w:p w14:paraId="543420A5"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p>
        </w:tc>
        <w:tc>
          <w:tcPr>
            <w:tcW w:w="2038" w:type="dxa"/>
          </w:tcPr>
          <w:p w14:paraId="6ED52E4F"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p>
        </w:tc>
      </w:tr>
      <w:tr w:rsidR="00D96B6C" w:rsidRPr="00D96B6C" w14:paraId="0BF1BB8E" w14:textId="77777777" w:rsidTr="00D96B6C">
        <w:trPr>
          <w:jc w:val="center"/>
        </w:trPr>
        <w:tc>
          <w:tcPr>
            <w:tcW w:w="3528" w:type="dxa"/>
            <w:shd w:val="clear" w:color="auto" w:fill="auto"/>
          </w:tcPr>
          <w:p w14:paraId="5A98AAF6" w14:textId="77777777" w:rsidR="00D96B6C" w:rsidRPr="00D96B6C" w:rsidRDefault="00D96B6C" w:rsidP="00DC14B3">
            <w:pPr>
              <w:tabs>
                <w:tab w:val="left" w:pos="567"/>
              </w:tabs>
              <w:suppressAutoHyphens w:val="0"/>
              <w:autoSpaceDE w:val="0"/>
              <w:autoSpaceDN w:val="0"/>
              <w:adjustRightInd w:val="0"/>
              <w:spacing w:line="260" w:lineRule="exact"/>
              <w:ind w:left="150"/>
              <w:rPr>
                <w:rFonts w:cs="Arial"/>
                <w:bCs/>
                <w:lang w:val="en-GB" w:eastAsia="en-US"/>
              </w:rPr>
            </w:pPr>
            <w:r w:rsidRPr="00D96B6C">
              <w:rPr>
                <w:rFonts w:cs="Arial"/>
                <w:bCs/>
                <w:lang w:val="en-GB" w:eastAsia="en-US"/>
              </w:rPr>
              <w:t>Median in months (range)</w:t>
            </w:r>
          </w:p>
        </w:tc>
        <w:tc>
          <w:tcPr>
            <w:tcW w:w="2250" w:type="dxa"/>
          </w:tcPr>
          <w:p w14:paraId="54048EFD" w14:textId="77777777" w:rsidR="000B4EB3"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Not reached</w:t>
            </w:r>
          </w:p>
          <w:p w14:paraId="0BA20CF0" w14:textId="27E9EBB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(1.4+, 11.5+)</w:t>
            </w:r>
          </w:p>
        </w:tc>
        <w:tc>
          <w:tcPr>
            <w:tcW w:w="2180" w:type="dxa"/>
          </w:tcPr>
          <w:p w14:paraId="4FBEA0D7" w14:textId="77777777" w:rsidR="000B4EB3" w:rsidRDefault="00D96B6C" w:rsidP="00DC14B3">
            <w:pPr>
              <w:tabs>
                <w:tab w:val="left" w:pos="567"/>
              </w:tabs>
              <w:suppressAutoHyphens w:val="0"/>
              <w:autoSpaceDE w:val="0"/>
              <w:autoSpaceDN w:val="0"/>
              <w:adjustRightInd w:val="0"/>
              <w:spacing w:line="260" w:lineRule="exact"/>
              <w:jc w:val="center"/>
              <w:rPr>
                <w:rFonts w:cs="Arial"/>
                <w:lang w:val="en-GB" w:eastAsia="en-US"/>
              </w:rPr>
            </w:pPr>
            <w:r w:rsidRPr="00D96B6C">
              <w:rPr>
                <w:rFonts w:cs="Arial"/>
                <w:lang w:val="en-GB" w:eastAsia="en-US"/>
              </w:rPr>
              <w:t>Not reached</w:t>
            </w:r>
          </w:p>
          <w:p w14:paraId="6D55A2DE" w14:textId="4DEE7300"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lang w:val="en-GB" w:eastAsia="en-US"/>
              </w:rPr>
              <w:t>(1.2+, 11.1+)</w:t>
            </w:r>
          </w:p>
        </w:tc>
        <w:tc>
          <w:tcPr>
            <w:tcW w:w="2038" w:type="dxa"/>
          </w:tcPr>
          <w:p w14:paraId="09561856"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8.5</w:t>
            </w:r>
          </w:p>
          <w:p w14:paraId="46F04E1E"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(1.6+, 9.5)</w:t>
            </w:r>
          </w:p>
        </w:tc>
      </w:tr>
      <w:tr w:rsidR="00D96B6C" w:rsidRPr="00D96B6C" w14:paraId="063236FC" w14:textId="77777777" w:rsidTr="00D96B6C">
        <w:trPr>
          <w:jc w:val="center"/>
        </w:trPr>
        <w:tc>
          <w:tcPr>
            <w:tcW w:w="3528" w:type="dxa"/>
            <w:shd w:val="clear" w:color="auto" w:fill="auto"/>
          </w:tcPr>
          <w:p w14:paraId="53B4E437" w14:textId="77777777" w:rsidR="00D96B6C" w:rsidRPr="00D96B6C" w:rsidRDefault="00D96B6C" w:rsidP="00DC14B3">
            <w:pPr>
              <w:tabs>
                <w:tab w:val="left" w:pos="567"/>
              </w:tabs>
              <w:suppressAutoHyphens w:val="0"/>
              <w:autoSpaceDE w:val="0"/>
              <w:autoSpaceDN w:val="0"/>
              <w:adjustRightInd w:val="0"/>
              <w:spacing w:line="260" w:lineRule="exact"/>
              <w:ind w:left="150"/>
              <w:rPr>
                <w:rFonts w:cs="Arial"/>
                <w:bCs/>
                <w:lang w:val="en-GB" w:eastAsia="en-US"/>
              </w:rPr>
            </w:pPr>
            <w:r w:rsidRPr="00D96B6C">
              <w:rPr>
                <w:rFonts w:cs="Arial"/>
                <w:bCs/>
                <w:lang w:val="en-GB" w:eastAsia="en-US"/>
              </w:rPr>
              <w:t>% ongoing</w:t>
            </w:r>
          </w:p>
        </w:tc>
        <w:tc>
          <w:tcPr>
            <w:tcW w:w="2250" w:type="dxa"/>
          </w:tcPr>
          <w:p w14:paraId="5DA40392" w14:textId="77777777" w:rsidR="00D96B6C" w:rsidRPr="00D96B6C" w:rsidRDefault="00D96B6C" w:rsidP="00DC14B3">
            <w:pPr>
              <w:tabs>
                <w:tab w:val="left" w:pos="567"/>
                <w:tab w:val="left" w:pos="1120"/>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87%</w:t>
            </w:r>
          </w:p>
        </w:tc>
        <w:tc>
          <w:tcPr>
            <w:tcW w:w="2180" w:type="dxa"/>
          </w:tcPr>
          <w:p w14:paraId="7829DFF6"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80%</w:t>
            </w:r>
          </w:p>
        </w:tc>
        <w:tc>
          <w:tcPr>
            <w:tcW w:w="2038" w:type="dxa"/>
          </w:tcPr>
          <w:p w14:paraId="7981DE18" w14:textId="77777777" w:rsidR="00D96B6C" w:rsidRPr="00D96B6C" w:rsidRDefault="00D96B6C" w:rsidP="00DC14B3">
            <w:pPr>
              <w:tabs>
                <w:tab w:val="left" w:pos="567"/>
              </w:tabs>
              <w:suppressAutoHyphens w:val="0"/>
              <w:autoSpaceDE w:val="0"/>
              <w:autoSpaceDN w:val="0"/>
              <w:adjustRightInd w:val="0"/>
              <w:spacing w:line="260" w:lineRule="exact"/>
              <w:jc w:val="center"/>
              <w:rPr>
                <w:rFonts w:cs="Arial"/>
                <w:bCs/>
                <w:lang w:val="en-GB" w:eastAsia="en-US"/>
              </w:rPr>
            </w:pPr>
            <w:r w:rsidRPr="00D96B6C">
              <w:rPr>
                <w:rFonts w:cs="Arial"/>
                <w:bCs/>
                <w:lang w:val="en-GB" w:eastAsia="en-US"/>
              </w:rPr>
              <w:t>63%</w:t>
            </w:r>
          </w:p>
        </w:tc>
      </w:tr>
    </w:tbl>
    <w:p w14:paraId="4F740330" w14:textId="7111BB7A" w:rsidR="00D96B6C" w:rsidRPr="00D96B6C" w:rsidRDefault="0045789A" w:rsidP="0045789A">
      <w:pPr>
        <w:pStyle w:val="Footer"/>
        <w:keepNext w:val="0"/>
        <w:suppressAutoHyphens w:val="0"/>
        <w:rPr>
          <w:lang w:val="en-GB" w:eastAsia="en-US"/>
        </w:rPr>
      </w:pPr>
      <w:r>
        <w:rPr>
          <w:lang w:val="en-GB" w:eastAsia="en-US"/>
        </w:rPr>
        <w:t xml:space="preserve">* </w:t>
      </w:r>
      <w:r w:rsidR="00D96B6C" w:rsidRPr="00D96B6C">
        <w:rPr>
          <w:lang w:val="en-GB" w:eastAsia="en-US"/>
        </w:rPr>
        <w:t>IRO = Independent radiology plus oncologist review using RECIST 1.1</w:t>
      </w:r>
    </w:p>
    <w:p w14:paraId="30AB37A2" w14:textId="4B62BD02" w:rsidR="00D96B6C" w:rsidRPr="00D96B6C" w:rsidRDefault="00D96B6C" w:rsidP="0045789A">
      <w:pPr>
        <w:pStyle w:val="Footer"/>
        <w:keepNext w:val="0"/>
        <w:suppressAutoHyphens w:val="0"/>
        <w:rPr>
          <w:lang w:val="en-GB" w:eastAsia="en-US"/>
        </w:rPr>
      </w:pPr>
      <w:r w:rsidRPr="00D96B6C">
        <w:rPr>
          <w:vertAlign w:val="superscript"/>
          <w:lang w:val="en-GB" w:eastAsia="en-US"/>
        </w:rPr>
        <w:t>†</w:t>
      </w:r>
      <w:r w:rsidR="0045789A">
        <w:rPr>
          <w:vertAlign w:val="superscript"/>
          <w:lang w:val="en-GB" w:eastAsia="en-US"/>
        </w:rPr>
        <w:t xml:space="preserve"> </w:t>
      </w:r>
      <w:r w:rsidRPr="00D96B6C">
        <w:rPr>
          <w:lang w:val="en-GB" w:eastAsia="en-US"/>
        </w:rPr>
        <w:tab/>
        <w:t>Hazard ratio (KEYTRUDA compared to chemotherapy) based on the stratified Cox proportional hazard model</w:t>
      </w:r>
    </w:p>
    <w:p w14:paraId="62A890AE" w14:textId="77777777" w:rsidR="000B4EB3" w:rsidRDefault="00D96B6C" w:rsidP="0045789A">
      <w:pPr>
        <w:pStyle w:val="Footer"/>
        <w:keepNext w:val="0"/>
        <w:suppressAutoHyphens w:val="0"/>
        <w:rPr>
          <w:lang w:val="en-GB" w:eastAsia="en-US"/>
        </w:rPr>
      </w:pPr>
      <w:r w:rsidRPr="00D96B6C">
        <w:rPr>
          <w:vertAlign w:val="superscript"/>
          <w:lang w:val="en-GB" w:eastAsia="en-US"/>
        </w:rPr>
        <w:t>‡</w:t>
      </w:r>
      <w:r w:rsidR="0045789A">
        <w:rPr>
          <w:vertAlign w:val="superscript"/>
          <w:lang w:val="en-GB" w:eastAsia="en-US"/>
        </w:rPr>
        <w:t xml:space="preserve"> </w:t>
      </w:r>
      <w:r w:rsidRPr="00D96B6C">
        <w:rPr>
          <w:lang w:val="en-GB" w:eastAsia="en-US"/>
        </w:rPr>
        <w:t>Based on stratified Log rank test</w:t>
      </w:r>
    </w:p>
    <w:p w14:paraId="1EDDC476" w14:textId="5F2D29C7" w:rsidR="00D96B6C" w:rsidRPr="00D96B6C" w:rsidRDefault="00D96B6C" w:rsidP="0045789A">
      <w:pPr>
        <w:pStyle w:val="Footer"/>
        <w:keepNext w:val="0"/>
        <w:suppressAutoHyphens w:val="0"/>
        <w:rPr>
          <w:lang w:val="en-GB" w:eastAsia="en-US"/>
        </w:rPr>
      </w:pPr>
      <w:r w:rsidRPr="00D96B6C">
        <w:rPr>
          <w:vertAlign w:val="superscript"/>
          <w:lang w:val="en-GB" w:eastAsia="en-US"/>
        </w:rPr>
        <w:t>§</w:t>
      </w:r>
      <w:r w:rsidR="0045789A">
        <w:rPr>
          <w:vertAlign w:val="superscript"/>
          <w:lang w:val="en-GB" w:eastAsia="en-US"/>
        </w:rPr>
        <w:t xml:space="preserve"> </w:t>
      </w:r>
      <w:r w:rsidRPr="00D96B6C">
        <w:rPr>
          <w:lang w:val="en-GB" w:eastAsia="en-US"/>
        </w:rPr>
        <w:t>Restricted mean progression free survival time based on follow up of 12 months</w:t>
      </w:r>
    </w:p>
    <w:p w14:paraId="3CC6A8C7" w14:textId="35CB0F4B" w:rsidR="00D96B6C" w:rsidRPr="00D96B6C" w:rsidRDefault="00D96B6C" w:rsidP="0045789A">
      <w:pPr>
        <w:pStyle w:val="Footer"/>
        <w:keepNext w:val="0"/>
        <w:suppressAutoHyphens w:val="0"/>
        <w:rPr>
          <w:lang w:val="en-GB" w:eastAsia="en-US"/>
        </w:rPr>
      </w:pPr>
      <w:r w:rsidRPr="00D96B6C">
        <w:rPr>
          <w:vertAlign w:val="superscript"/>
          <w:lang w:val="en-GB" w:eastAsia="en-US"/>
        </w:rPr>
        <w:t>¶</w:t>
      </w:r>
      <w:r w:rsidR="0045789A">
        <w:rPr>
          <w:vertAlign w:val="superscript"/>
          <w:lang w:val="en-GB" w:eastAsia="en-US"/>
        </w:rPr>
        <w:t xml:space="preserve"> </w:t>
      </w:r>
      <w:r w:rsidRPr="00D96B6C">
        <w:rPr>
          <w:lang w:val="en-GB" w:eastAsia="en-US"/>
        </w:rPr>
        <w:t>INV = Investigator assessment using RECIST 1.1</w:t>
      </w:r>
    </w:p>
    <w:p w14:paraId="2C459FD4" w14:textId="5DA260D4" w:rsidR="00D96B6C" w:rsidRPr="00D96B6C" w:rsidRDefault="00D96B6C" w:rsidP="0045789A">
      <w:pPr>
        <w:pStyle w:val="Footer"/>
        <w:keepNext w:val="0"/>
        <w:suppressAutoHyphens w:val="0"/>
        <w:rPr>
          <w:lang w:val="en-GB" w:eastAsia="en-US"/>
        </w:rPr>
      </w:pPr>
      <w:r w:rsidRPr="00D96B6C">
        <w:rPr>
          <w:vertAlign w:val="superscript"/>
          <w:lang w:val="en-GB" w:eastAsia="en-US"/>
        </w:rPr>
        <w:t>#</w:t>
      </w:r>
      <w:r w:rsidR="0045789A">
        <w:rPr>
          <w:vertAlign w:val="superscript"/>
          <w:lang w:val="en-GB" w:eastAsia="en-US"/>
        </w:rPr>
        <w:t xml:space="preserve"> </w:t>
      </w:r>
      <w:proofErr w:type="gramStart"/>
      <w:r w:rsidRPr="00D96B6C">
        <w:rPr>
          <w:lang w:val="en-GB" w:eastAsia="en-US"/>
        </w:rPr>
        <w:t>Based</w:t>
      </w:r>
      <w:proofErr w:type="gramEnd"/>
      <w:r w:rsidRPr="00D96B6C">
        <w:rPr>
          <w:lang w:val="en-GB" w:eastAsia="en-US"/>
        </w:rPr>
        <w:t xml:space="preserve"> on patients with a best overall response as confirmed complete or partial response</w:t>
      </w:r>
    </w:p>
    <w:p w14:paraId="06115113" w14:textId="77777777" w:rsidR="00D96B6C" w:rsidRPr="00D96B6C" w:rsidRDefault="00D96B6C" w:rsidP="0045789A">
      <w:pPr>
        <w:pStyle w:val="Caption"/>
      </w:pPr>
      <w:r w:rsidRPr="00D96B6C">
        <w:lastRenderedPageBreak/>
        <w:t>Figure 3: Kaplan-Meier curve for progression free survival (based on IRO) by treatment arm in KEYNOTE-002 (intent to treat population)</w:t>
      </w:r>
    </w:p>
    <w:p w14:paraId="615FFD33" w14:textId="77777777" w:rsidR="00D96B6C" w:rsidRPr="00D96B6C" w:rsidRDefault="00D96B6C" w:rsidP="0045789A">
      <w:pPr>
        <w:suppressAutoHyphens w:val="0"/>
        <w:jc w:val="center"/>
        <w:rPr>
          <w:rFonts w:cs="Arial"/>
        </w:rPr>
      </w:pPr>
      <w:r w:rsidRPr="00D96B6C">
        <w:rPr>
          <w:rFonts w:cs="Arial"/>
          <w:noProof/>
        </w:rPr>
        <w:drawing>
          <wp:inline distT="0" distB="0" distL="0" distR="0" wp14:anchorId="08DB4415" wp14:editId="5B1C1814">
            <wp:extent cx="5429250" cy="3105150"/>
            <wp:effectExtent l="0" t="0" r="0" b="0"/>
            <wp:docPr id="6" name="Picture 4" descr="Figure 3: Kaplan-Meier curve for progression free survival (based on IRO) by treatment arm in KEYNOTE-002 (intent to 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l="1283" t="5396" b="21368"/>
                    <a:stretch>
                      <a:fillRect/>
                    </a:stretch>
                  </pic:blipFill>
                  <pic:spPr bwMode="auto">
                    <a:xfrm>
                      <a:off x="0" y="0"/>
                      <a:ext cx="5429250" cy="3105150"/>
                    </a:xfrm>
                    <a:prstGeom prst="rect">
                      <a:avLst/>
                    </a:prstGeom>
                    <a:noFill/>
                    <a:ln>
                      <a:noFill/>
                    </a:ln>
                  </pic:spPr>
                </pic:pic>
              </a:graphicData>
            </a:graphic>
          </wp:inline>
        </w:drawing>
      </w:r>
    </w:p>
    <w:p w14:paraId="7707DCD5" w14:textId="77777777" w:rsidR="00D96B6C" w:rsidRPr="00D14980" w:rsidRDefault="00D96B6C" w:rsidP="0045789A">
      <w:pPr>
        <w:pStyle w:val="Heading3"/>
      </w:pPr>
      <w:r w:rsidRPr="00D96B6C">
        <w:rPr>
          <w:lang w:val="en-US" w:eastAsia="en-US"/>
        </w:rPr>
        <w:t>KEYNOTE-001: Open label study in melanoma patients</w:t>
      </w:r>
    </w:p>
    <w:p w14:paraId="03AFD5B6" w14:textId="7B36AECD" w:rsidR="000903B2" w:rsidRPr="009F14D7" w:rsidRDefault="000903B2" w:rsidP="00555F36">
      <w:pPr>
        <w:pStyle w:val="BodyText1"/>
        <w:ind w:firstLine="0"/>
        <w:jc w:val="both"/>
        <w:rPr>
          <w:rFonts w:ascii="Arial" w:hAnsi="Arial" w:cs="Arial"/>
          <w:sz w:val="22"/>
          <w:szCs w:val="22"/>
        </w:rPr>
      </w:pPr>
      <w:r w:rsidRPr="00D8643B">
        <w:rPr>
          <w:rFonts w:ascii="Arial" w:hAnsi="Arial" w:cs="Arial"/>
          <w:sz w:val="22"/>
          <w:szCs w:val="22"/>
        </w:rPr>
        <w:t xml:space="preserve">The safety and efficacy of KEYTRUDA were </w:t>
      </w:r>
      <w:r w:rsidR="00D96B6C">
        <w:rPr>
          <w:rFonts w:ascii="Arial" w:hAnsi="Arial" w:cs="Arial"/>
          <w:sz w:val="22"/>
          <w:szCs w:val="22"/>
        </w:rPr>
        <w:t xml:space="preserve">also </w:t>
      </w:r>
      <w:r w:rsidRPr="00AE1EF9">
        <w:rPr>
          <w:rFonts w:ascii="Arial" w:hAnsi="Arial" w:cs="Arial"/>
          <w:sz w:val="22"/>
          <w:szCs w:val="22"/>
        </w:rPr>
        <w:t xml:space="preserve">investigated in an uncontrolled, open-label study for the treatment of unresectable or metastatic melanoma. Efficacy was evaluated for </w:t>
      </w:r>
      <w:r w:rsidR="00D96B6C">
        <w:rPr>
          <w:rFonts w:ascii="Arial" w:hAnsi="Arial" w:cs="Arial"/>
          <w:sz w:val="22"/>
          <w:szCs w:val="22"/>
        </w:rPr>
        <w:t>276</w:t>
      </w:r>
      <w:r w:rsidR="00D96B6C" w:rsidRPr="00A04553">
        <w:rPr>
          <w:rFonts w:ascii="Arial" w:hAnsi="Arial" w:cs="Arial"/>
          <w:sz w:val="22"/>
          <w:szCs w:val="22"/>
        </w:rPr>
        <w:t xml:space="preserve"> </w:t>
      </w:r>
      <w:r w:rsidRPr="00431AB6">
        <w:rPr>
          <w:rFonts w:ascii="Arial" w:hAnsi="Arial" w:cs="Arial"/>
          <w:sz w:val="22"/>
          <w:szCs w:val="22"/>
        </w:rPr>
        <w:t xml:space="preserve">patients from </w:t>
      </w:r>
      <w:r w:rsidR="00D96B6C">
        <w:rPr>
          <w:rFonts w:ascii="Arial" w:hAnsi="Arial" w:cs="Arial"/>
          <w:sz w:val="22"/>
          <w:szCs w:val="22"/>
        </w:rPr>
        <w:t>two</w:t>
      </w:r>
      <w:r w:rsidRPr="00431AB6">
        <w:rPr>
          <w:rFonts w:ascii="Arial" w:hAnsi="Arial" w:cs="Arial"/>
          <w:sz w:val="22"/>
          <w:szCs w:val="22"/>
        </w:rPr>
        <w:t xml:space="preserve"> defined cohorts of </w:t>
      </w:r>
      <w:r w:rsidR="00D96B6C">
        <w:rPr>
          <w:rFonts w:ascii="Arial" w:hAnsi="Arial" w:cs="Arial"/>
          <w:sz w:val="22"/>
          <w:szCs w:val="22"/>
        </w:rPr>
        <w:t>KEYNOTE-</w:t>
      </w:r>
      <w:r w:rsidR="00D96B6C" w:rsidRPr="00431AB6">
        <w:rPr>
          <w:rFonts w:ascii="Arial" w:hAnsi="Arial" w:cs="Arial"/>
          <w:sz w:val="22"/>
          <w:szCs w:val="22"/>
        </w:rPr>
        <w:t>001</w:t>
      </w:r>
      <w:r w:rsidR="00D96B6C">
        <w:rPr>
          <w:rFonts w:ascii="Arial" w:hAnsi="Arial" w:cs="Arial"/>
          <w:sz w:val="22"/>
          <w:szCs w:val="22"/>
        </w:rPr>
        <w:t>, one which included patients</w:t>
      </w:r>
      <w:r w:rsidRPr="00EE12B4">
        <w:rPr>
          <w:rFonts w:ascii="Arial" w:hAnsi="Arial" w:cs="Arial"/>
          <w:sz w:val="22"/>
          <w:szCs w:val="22"/>
        </w:rPr>
        <w:t xml:space="preserve"> previously treated with ipilimumab</w:t>
      </w:r>
      <w:r w:rsidR="00D96B6C" w:rsidRPr="00D96B6C">
        <w:rPr>
          <w:rFonts w:ascii="Arial" w:hAnsi="Arial" w:cs="Arial"/>
          <w:sz w:val="22"/>
          <w:szCs w:val="22"/>
        </w:rPr>
        <w:t xml:space="preserve"> (and if BRAF V600 mutation-positive, a BRAF or MEK inhibitor) and another with included patients</w:t>
      </w:r>
      <w:r w:rsidRPr="00EE12B4">
        <w:rPr>
          <w:rFonts w:ascii="Arial" w:hAnsi="Arial" w:cs="Arial"/>
          <w:sz w:val="22"/>
          <w:szCs w:val="22"/>
        </w:rPr>
        <w:t xml:space="preserve"> naïve to treatment with ipilimumab</w:t>
      </w:r>
      <w:r w:rsidR="00D96B6C" w:rsidRPr="00D96B6C">
        <w:rPr>
          <w:rFonts w:ascii="Arial" w:hAnsi="Arial" w:cs="Arial"/>
          <w:sz w:val="22"/>
          <w:szCs w:val="22"/>
        </w:rPr>
        <w:t>. Patients were randomized to</w:t>
      </w:r>
      <w:r w:rsidRPr="00362DC6">
        <w:rPr>
          <w:rFonts w:ascii="Arial" w:hAnsi="Arial" w:cs="Arial"/>
          <w:sz w:val="22"/>
          <w:szCs w:val="22"/>
        </w:rPr>
        <w:t xml:space="preserve"> receive</w:t>
      </w:r>
      <w:r w:rsidRPr="00A97420">
        <w:rPr>
          <w:rFonts w:ascii="Arial" w:hAnsi="Arial" w:cs="Arial"/>
          <w:sz w:val="22"/>
          <w:szCs w:val="22"/>
        </w:rPr>
        <w:t xml:space="preserve"> KEYTRUDA at a dose of 2 mg/kg every 3 weeks</w:t>
      </w:r>
      <w:r w:rsidR="00D96B6C">
        <w:rPr>
          <w:rFonts w:ascii="Arial" w:hAnsi="Arial" w:cs="Arial"/>
          <w:sz w:val="22"/>
          <w:szCs w:val="22"/>
        </w:rPr>
        <w:t xml:space="preserve"> or</w:t>
      </w:r>
      <w:r w:rsidRPr="00A97420">
        <w:rPr>
          <w:rFonts w:ascii="Arial" w:hAnsi="Arial" w:cs="Arial"/>
          <w:sz w:val="22"/>
          <w:szCs w:val="22"/>
        </w:rPr>
        <w:t xml:space="preserve"> 10 mg/kg every 3 weeks. The study excluded patients </w:t>
      </w:r>
      <w:r w:rsidR="00C37383" w:rsidRPr="00A97420">
        <w:rPr>
          <w:rFonts w:ascii="Arial" w:hAnsi="Arial" w:cs="Arial"/>
          <w:sz w:val="22"/>
          <w:szCs w:val="22"/>
        </w:rPr>
        <w:t>with autoimmune disease; medical conditions that required immunosuppression; a</w:t>
      </w:r>
      <w:r w:rsidR="00C37383" w:rsidRPr="00AE1EF9">
        <w:rPr>
          <w:rFonts w:ascii="Arial" w:hAnsi="Arial" w:cs="Arial"/>
          <w:sz w:val="22"/>
          <w:szCs w:val="22"/>
        </w:rPr>
        <w:t xml:space="preserve"> history of severe immune-mediated adverse reactions with ipilimumab, defined as any Grade 4 toxicity requiring treatment with corticosteroids or Grade 3 toxicity requiring corticosteroid treatment (greater than 10 mg/day prednisone or equivalent dose) for greater than 12 weeks; medical conditions that required systemic corticosteroids or other immunosuppressive medication; a history of pneumonitis or interstitial lung disease; or any active infection requiring therapy, including HIV, HBV or HCV. </w:t>
      </w:r>
      <w:r w:rsidRPr="00187C95">
        <w:rPr>
          <w:rFonts w:ascii="Arial" w:hAnsi="Arial" w:cs="Arial"/>
          <w:sz w:val="22"/>
          <w:szCs w:val="22"/>
        </w:rPr>
        <w:t>Patients were treated with KEYTRUDA until disease progression</w:t>
      </w:r>
      <w:r w:rsidRPr="00D8643B">
        <w:rPr>
          <w:rFonts w:ascii="Arial" w:hAnsi="Arial" w:cs="Arial"/>
          <w:sz w:val="22"/>
          <w:szCs w:val="22"/>
        </w:rPr>
        <w:t xml:space="preserve"> </w:t>
      </w:r>
      <w:r w:rsidR="00C37383" w:rsidRPr="00AE1EF9">
        <w:rPr>
          <w:rFonts w:ascii="Arial" w:hAnsi="Arial" w:cs="Arial"/>
          <w:sz w:val="22"/>
          <w:szCs w:val="22"/>
        </w:rPr>
        <w:t xml:space="preserve">that was symptomatic, was rapidly progressive, required urgent intervention, </w:t>
      </w:r>
      <w:r w:rsidR="006645E8" w:rsidRPr="00AE1EF9">
        <w:rPr>
          <w:rFonts w:ascii="Arial" w:hAnsi="Arial" w:cs="Arial"/>
          <w:sz w:val="22"/>
          <w:szCs w:val="22"/>
        </w:rPr>
        <w:t xml:space="preserve">or </w:t>
      </w:r>
      <w:r w:rsidR="00C37383" w:rsidRPr="00AE1EF9">
        <w:rPr>
          <w:rFonts w:ascii="Arial" w:hAnsi="Arial" w:cs="Arial"/>
          <w:sz w:val="22"/>
          <w:szCs w:val="22"/>
        </w:rPr>
        <w:t>occurred with a decline in performance status</w:t>
      </w:r>
      <w:r w:rsidR="009957BD" w:rsidRPr="00AE1EF9">
        <w:rPr>
          <w:rFonts w:ascii="Arial" w:hAnsi="Arial" w:cs="Arial"/>
          <w:sz w:val="22"/>
          <w:szCs w:val="22"/>
        </w:rPr>
        <w:t>,</w:t>
      </w:r>
      <w:r w:rsidR="006645E8" w:rsidRPr="00AE1EF9">
        <w:rPr>
          <w:rFonts w:ascii="Arial" w:hAnsi="Arial" w:cs="Arial"/>
          <w:sz w:val="22"/>
          <w:szCs w:val="22"/>
        </w:rPr>
        <w:t xml:space="preserve"> at the discretion of the investigator, </w:t>
      </w:r>
      <w:r w:rsidR="009957BD" w:rsidRPr="00AE1EF9">
        <w:rPr>
          <w:rFonts w:ascii="Arial" w:hAnsi="Arial" w:cs="Arial"/>
          <w:sz w:val="22"/>
          <w:szCs w:val="22"/>
        </w:rPr>
        <w:t>based on</w:t>
      </w:r>
      <w:r w:rsidR="006645E8" w:rsidRPr="00AE1EF9">
        <w:rPr>
          <w:rFonts w:ascii="Arial" w:hAnsi="Arial" w:cs="Arial"/>
          <w:sz w:val="22"/>
          <w:szCs w:val="22"/>
        </w:rPr>
        <w:t xml:space="preserve"> clinical judgment. Patients were also discontinued if disease pr</w:t>
      </w:r>
      <w:r w:rsidR="006645E8" w:rsidRPr="00A04553">
        <w:rPr>
          <w:rFonts w:ascii="Arial" w:hAnsi="Arial" w:cs="Arial"/>
          <w:sz w:val="22"/>
          <w:szCs w:val="22"/>
        </w:rPr>
        <w:t xml:space="preserve">ogression </w:t>
      </w:r>
      <w:r w:rsidR="00C37383" w:rsidRPr="00431AB6">
        <w:rPr>
          <w:rFonts w:ascii="Arial" w:hAnsi="Arial" w:cs="Arial"/>
          <w:sz w:val="22"/>
          <w:szCs w:val="22"/>
        </w:rPr>
        <w:t xml:space="preserve">was confirmed at 4 to 6 weeks with repeat imaging </w:t>
      </w:r>
      <w:r w:rsidRPr="00431AB6">
        <w:rPr>
          <w:rFonts w:ascii="Arial" w:hAnsi="Arial" w:cs="Arial"/>
          <w:sz w:val="22"/>
          <w:szCs w:val="22"/>
        </w:rPr>
        <w:t xml:space="preserve">or </w:t>
      </w:r>
      <w:r w:rsidR="0045789A">
        <w:rPr>
          <w:rFonts w:ascii="Arial" w:hAnsi="Arial" w:cs="Arial"/>
          <w:sz w:val="22"/>
          <w:szCs w:val="22"/>
        </w:rPr>
        <w:t>unacceptable toxicity.</w:t>
      </w:r>
    </w:p>
    <w:p w14:paraId="09587A99" w14:textId="77777777" w:rsidR="000903B2" w:rsidRDefault="000903B2" w:rsidP="00010E35">
      <w:pPr>
        <w:pStyle w:val="BodyText1"/>
        <w:ind w:firstLine="0"/>
        <w:jc w:val="both"/>
        <w:rPr>
          <w:rFonts w:ascii="Arial" w:hAnsi="Arial" w:cs="Arial"/>
          <w:sz w:val="22"/>
          <w:szCs w:val="22"/>
        </w:rPr>
      </w:pPr>
      <w:r w:rsidRPr="00D8643B">
        <w:rPr>
          <w:rFonts w:ascii="Arial" w:hAnsi="Arial" w:cs="Arial"/>
          <w:sz w:val="22"/>
          <w:szCs w:val="22"/>
        </w:rPr>
        <w:t xml:space="preserve">Of the </w:t>
      </w:r>
      <w:r w:rsidR="00D96B6C">
        <w:rPr>
          <w:rFonts w:ascii="Arial" w:hAnsi="Arial" w:cs="Arial"/>
          <w:sz w:val="22"/>
          <w:szCs w:val="22"/>
        </w:rPr>
        <w:t>89</w:t>
      </w:r>
      <w:r w:rsidR="00D96B6C" w:rsidRPr="00AE1EF9">
        <w:rPr>
          <w:rFonts w:ascii="Arial" w:hAnsi="Arial" w:cs="Arial"/>
          <w:sz w:val="22"/>
          <w:szCs w:val="22"/>
        </w:rPr>
        <w:t xml:space="preserve"> </w:t>
      </w:r>
      <w:r w:rsidRPr="00AE1EF9">
        <w:rPr>
          <w:rFonts w:ascii="Arial" w:hAnsi="Arial" w:cs="Arial"/>
          <w:sz w:val="22"/>
          <w:szCs w:val="22"/>
        </w:rPr>
        <w:t>patients receiving 2 mg/kg of KEYTRUDA</w:t>
      </w:r>
      <w:r w:rsidR="00D96B6C" w:rsidRPr="00D96B6C">
        <w:rPr>
          <w:rFonts w:ascii="Arial" w:hAnsi="Arial" w:cs="Arial"/>
          <w:sz w:val="22"/>
          <w:szCs w:val="22"/>
        </w:rPr>
        <w:t xml:space="preserve"> who were previously treated with ipilimumab</w:t>
      </w:r>
      <w:r w:rsidRPr="00AE1EF9">
        <w:rPr>
          <w:rFonts w:ascii="Arial" w:hAnsi="Arial" w:cs="Arial"/>
          <w:sz w:val="22"/>
          <w:szCs w:val="22"/>
        </w:rPr>
        <w:t xml:space="preserve">, </w:t>
      </w:r>
      <w:r w:rsidR="00D96B6C">
        <w:rPr>
          <w:rFonts w:ascii="Arial" w:hAnsi="Arial" w:cs="Arial"/>
          <w:sz w:val="22"/>
          <w:szCs w:val="22"/>
        </w:rPr>
        <w:t>53</w:t>
      </w:r>
      <w:r w:rsidRPr="00D8643B">
        <w:rPr>
          <w:rFonts w:ascii="Arial" w:hAnsi="Arial" w:cs="Arial"/>
          <w:sz w:val="22"/>
          <w:szCs w:val="22"/>
        </w:rPr>
        <w:t xml:space="preserve">% were male, </w:t>
      </w:r>
      <w:r w:rsidR="00D96B6C">
        <w:rPr>
          <w:rFonts w:ascii="Arial" w:hAnsi="Arial" w:cs="Arial"/>
          <w:sz w:val="22"/>
          <w:szCs w:val="22"/>
        </w:rPr>
        <w:t>33</w:t>
      </w:r>
      <w:r w:rsidRPr="00AE1EF9">
        <w:rPr>
          <w:rFonts w:ascii="Arial" w:hAnsi="Arial" w:cs="Arial"/>
          <w:sz w:val="22"/>
          <w:szCs w:val="22"/>
        </w:rPr>
        <w:t xml:space="preserve">% were ≥65 years of age and the median age was </w:t>
      </w:r>
      <w:r w:rsidR="00D96B6C">
        <w:rPr>
          <w:rFonts w:ascii="Arial" w:hAnsi="Arial" w:cs="Arial"/>
          <w:sz w:val="22"/>
          <w:szCs w:val="22"/>
        </w:rPr>
        <w:t>59</w:t>
      </w:r>
      <w:r w:rsidR="00D96B6C" w:rsidRPr="00AE1EF9">
        <w:rPr>
          <w:rFonts w:ascii="Arial" w:hAnsi="Arial" w:cs="Arial"/>
          <w:sz w:val="22"/>
          <w:szCs w:val="22"/>
        </w:rPr>
        <w:t xml:space="preserve"> </w:t>
      </w:r>
      <w:r w:rsidRPr="00AE1EF9">
        <w:rPr>
          <w:rFonts w:ascii="Arial" w:hAnsi="Arial" w:cs="Arial"/>
          <w:sz w:val="22"/>
          <w:szCs w:val="22"/>
        </w:rPr>
        <w:t xml:space="preserve">years (range 18-88). All but </w:t>
      </w:r>
      <w:r w:rsidR="00D96B6C">
        <w:rPr>
          <w:rFonts w:ascii="Arial" w:hAnsi="Arial" w:cs="Arial"/>
          <w:sz w:val="22"/>
          <w:szCs w:val="22"/>
        </w:rPr>
        <w:t>two</w:t>
      </w:r>
      <w:r w:rsidR="00D96B6C" w:rsidRPr="00A04553">
        <w:rPr>
          <w:rFonts w:ascii="Arial" w:hAnsi="Arial" w:cs="Arial"/>
          <w:sz w:val="22"/>
          <w:szCs w:val="22"/>
        </w:rPr>
        <w:t xml:space="preserve"> </w:t>
      </w:r>
      <w:r w:rsidRPr="00A04553">
        <w:rPr>
          <w:rFonts w:ascii="Arial" w:hAnsi="Arial" w:cs="Arial"/>
          <w:sz w:val="22"/>
          <w:szCs w:val="22"/>
        </w:rPr>
        <w:t xml:space="preserve">patients were white. </w:t>
      </w:r>
      <w:r w:rsidR="00D96B6C">
        <w:rPr>
          <w:rFonts w:ascii="Arial" w:hAnsi="Arial" w:cs="Arial"/>
          <w:sz w:val="22"/>
          <w:szCs w:val="22"/>
        </w:rPr>
        <w:t>Eighty-four</w:t>
      </w:r>
      <w:r w:rsidRPr="00A04553">
        <w:rPr>
          <w:rFonts w:ascii="Arial" w:hAnsi="Arial" w:cs="Arial"/>
          <w:sz w:val="22"/>
          <w:szCs w:val="22"/>
        </w:rPr>
        <w:t xml:space="preserve"> percent </w:t>
      </w:r>
      <w:r w:rsidR="00D96B6C">
        <w:rPr>
          <w:rFonts w:ascii="Arial" w:hAnsi="Arial" w:cs="Arial"/>
          <w:sz w:val="22"/>
          <w:szCs w:val="22"/>
        </w:rPr>
        <w:t xml:space="preserve">of patients </w:t>
      </w:r>
      <w:r w:rsidRPr="00A04553">
        <w:rPr>
          <w:rFonts w:ascii="Arial" w:hAnsi="Arial" w:cs="Arial"/>
          <w:sz w:val="22"/>
          <w:szCs w:val="22"/>
        </w:rPr>
        <w:t xml:space="preserve">had M1c stage and </w:t>
      </w:r>
      <w:r w:rsidR="00D96B6C">
        <w:rPr>
          <w:rFonts w:ascii="Arial" w:hAnsi="Arial" w:cs="Arial"/>
          <w:sz w:val="22"/>
          <w:szCs w:val="22"/>
        </w:rPr>
        <w:t>8</w:t>
      </w:r>
      <w:r w:rsidRPr="00431AB6">
        <w:rPr>
          <w:rFonts w:ascii="Arial" w:hAnsi="Arial" w:cs="Arial"/>
          <w:sz w:val="22"/>
          <w:szCs w:val="22"/>
        </w:rPr>
        <w:t>% of patients had a history of brain metastases.</w:t>
      </w:r>
      <w:r w:rsidR="00D96B6C">
        <w:rPr>
          <w:rFonts w:ascii="Arial" w:hAnsi="Arial" w:cs="Arial"/>
          <w:sz w:val="22"/>
          <w:szCs w:val="22"/>
        </w:rPr>
        <w:t xml:space="preserve"> Seventy-eight percent of patients</w:t>
      </w:r>
      <w:r w:rsidRPr="00D8643B">
        <w:rPr>
          <w:rFonts w:ascii="Arial" w:hAnsi="Arial" w:cs="Arial"/>
          <w:sz w:val="22"/>
          <w:szCs w:val="22"/>
        </w:rPr>
        <w:t xml:space="preserve"> had at least two and </w:t>
      </w:r>
      <w:r w:rsidR="00D96B6C">
        <w:rPr>
          <w:rFonts w:ascii="Arial" w:hAnsi="Arial" w:cs="Arial"/>
          <w:sz w:val="22"/>
          <w:szCs w:val="22"/>
        </w:rPr>
        <w:t>35</w:t>
      </w:r>
      <w:r w:rsidRPr="00AE1EF9">
        <w:rPr>
          <w:rFonts w:ascii="Arial" w:hAnsi="Arial" w:cs="Arial"/>
          <w:sz w:val="22"/>
          <w:szCs w:val="22"/>
        </w:rPr>
        <w:t xml:space="preserve">% of patients had three or more prior systemic therapies for advanced melanoma. BRAF mutations were reported in </w:t>
      </w:r>
      <w:r w:rsidR="00D96B6C">
        <w:rPr>
          <w:rFonts w:ascii="Arial" w:hAnsi="Arial" w:cs="Arial"/>
          <w:sz w:val="22"/>
          <w:szCs w:val="22"/>
        </w:rPr>
        <w:t>13</w:t>
      </w:r>
      <w:r w:rsidRPr="00187C95">
        <w:rPr>
          <w:rFonts w:ascii="Arial" w:hAnsi="Arial" w:cs="Arial"/>
          <w:sz w:val="22"/>
          <w:szCs w:val="22"/>
        </w:rPr>
        <w:t>% of the study population.</w:t>
      </w:r>
    </w:p>
    <w:p w14:paraId="720B3A1D" w14:textId="77777777" w:rsidR="00D96B6C" w:rsidRPr="00187C95" w:rsidRDefault="00D96B6C" w:rsidP="00010E35">
      <w:pPr>
        <w:pStyle w:val="BodyText1"/>
        <w:ind w:firstLine="0"/>
        <w:jc w:val="both"/>
        <w:rPr>
          <w:rFonts w:ascii="Arial" w:hAnsi="Arial" w:cs="Arial"/>
          <w:sz w:val="22"/>
          <w:szCs w:val="22"/>
        </w:rPr>
      </w:pPr>
      <w:r>
        <w:rPr>
          <w:rFonts w:ascii="Arial" w:hAnsi="Arial" w:cs="Arial"/>
          <w:sz w:val="22"/>
          <w:szCs w:val="22"/>
        </w:rPr>
        <w:t>Of the 51</w:t>
      </w:r>
      <w:r w:rsidRPr="00D96B6C">
        <w:rPr>
          <w:rFonts w:ascii="Arial" w:hAnsi="Arial" w:cs="Arial"/>
          <w:sz w:val="22"/>
          <w:szCs w:val="22"/>
        </w:rPr>
        <w:t xml:space="preserve"> patients receiving 2 mg/kg of KEYTRUDA who were naïve to treatment with ipilimumab, 63% were male, 35% were ≥65 years of age and the median age was </w:t>
      </w:r>
      <w:r w:rsidR="00355028">
        <w:rPr>
          <w:rFonts w:ascii="Arial" w:hAnsi="Arial" w:cs="Arial"/>
          <w:sz w:val="22"/>
          <w:szCs w:val="22"/>
        </w:rPr>
        <w:t>60</w:t>
      </w:r>
      <w:r w:rsidRPr="00D96B6C">
        <w:rPr>
          <w:rFonts w:ascii="Arial" w:hAnsi="Arial" w:cs="Arial"/>
          <w:sz w:val="22"/>
          <w:szCs w:val="22"/>
        </w:rPr>
        <w:t xml:space="preserve"> years (range 35-80). All but one patient was white. Sixty-three percent of patients had M1c stage and 2% had a history of brain metastases. Forty-five percent had no prior therapies for advanced melanoma. BRAF mutations were reported in 39% of the study population.</w:t>
      </w:r>
    </w:p>
    <w:p w14:paraId="1E8A6203" w14:textId="77777777" w:rsidR="000903B2" w:rsidRPr="004172BA" w:rsidRDefault="000903B2" w:rsidP="00D058F6">
      <w:pPr>
        <w:pStyle w:val="BodyText1"/>
        <w:ind w:firstLine="0"/>
        <w:jc w:val="both"/>
        <w:rPr>
          <w:rFonts w:ascii="Arial" w:hAnsi="Arial" w:cs="Arial"/>
          <w:sz w:val="22"/>
          <w:szCs w:val="22"/>
        </w:rPr>
      </w:pPr>
      <w:r w:rsidRPr="009F14D7">
        <w:rPr>
          <w:rFonts w:ascii="Arial" w:hAnsi="Arial" w:cs="Arial"/>
          <w:sz w:val="22"/>
          <w:szCs w:val="22"/>
        </w:rPr>
        <w:t xml:space="preserve">The primary efficacy outcome measure was </w:t>
      </w:r>
      <w:r w:rsidRPr="00187C95">
        <w:rPr>
          <w:rFonts w:ascii="Arial" w:hAnsi="Arial" w:cs="Arial"/>
          <w:sz w:val="22"/>
          <w:szCs w:val="22"/>
        </w:rPr>
        <w:t xml:space="preserve">ORR as assessed by independent review using confirmed responses and </w:t>
      </w:r>
      <w:r w:rsidRPr="00AE1EF9">
        <w:rPr>
          <w:rFonts w:ascii="Arial" w:hAnsi="Arial" w:cs="Arial"/>
          <w:sz w:val="22"/>
          <w:szCs w:val="22"/>
        </w:rPr>
        <w:t>RECIST 1.1. Secondary efficacy outcome measures were</w:t>
      </w:r>
      <w:r w:rsidRPr="00A04553">
        <w:rPr>
          <w:rFonts w:ascii="Arial" w:hAnsi="Arial" w:cs="Arial"/>
          <w:sz w:val="22"/>
          <w:szCs w:val="22"/>
        </w:rPr>
        <w:t xml:space="preserve"> </w:t>
      </w:r>
      <w:r w:rsidR="003C52B7" w:rsidRPr="003C52B7">
        <w:rPr>
          <w:rFonts w:ascii="Arial" w:hAnsi="Arial" w:cs="Arial"/>
          <w:sz w:val="22"/>
          <w:szCs w:val="22"/>
        </w:rPr>
        <w:t xml:space="preserve">disease </w:t>
      </w:r>
      <w:r w:rsidR="003C52B7" w:rsidRPr="003C52B7">
        <w:rPr>
          <w:rFonts w:ascii="Arial" w:hAnsi="Arial" w:cs="Arial"/>
          <w:sz w:val="22"/>
          <w:szCs w:val="22"/>
        </w:rPr>
        <w:lastRenderedPageBreak/>
        <w:t xml:space="preserve">control rate (DCR; including complete response, partial response and stable disease), </w:t>
      </w:r>
      <w:r w:rsidRPr="00A04553">
        <w:rPr>
          <w:rFonts w:ascii="Arial" w:hAnsi="Arial" w:cs="Arial"/>
          <w:sz w:val="22"/>
          <w:szCs w:val="22"/>
        </w:rPr>
        <w:t>response duration,</w:t>
      </w:r>
      <w:r w:rsidR="007B4A4F" w:rsidRPr="00431AB6">
        <w:rPr>
          <w:rFonts w:ascii="Arial" w:hAnsi="Arial" w:cs="Arial"/>
          <w:sz w:val="22"/>
          <w:szCs w:val="22"/>
        </w:rPr>
        <w:t xml:space="preserve"> </w:t>
      </w:r>
      <w:r w:rsidRPr="0019477B">
        <w:rPr>
          <w:rFonts w:ascii="Arial" w:hAnsi="Arial" w:cs="Arial"/>
          <w:sz w:val="22"/>
          <w:szCs w:val="22"/>
        </w:rPr>
        <w:t>PFS</w:t>
      </w:r>
      <w:r w:rsidR="003C52B7">
        <w:rPr>
          <w:rFonts w:ascii="Arial" w:hAnsi="Arial" w:cs="Arial"/>
          <w:sz w:val="22"/>
          <w:szCs w:val="22"/>
        </w:rPr>
        <w:t>, and OS</w:t>
      </w:r>
      <w:r w:rsidRPr="00EE12B4">
        <w:rPr>
          <w:rFonts w:ascii="Arial" w:hAnsi="Arial" w:cs="Arial"/>
          <w:sz w:val="22"/>
          <w:szCs w:val="22"/>
        </w:rPr>
        <w:t xml:space="preserve">. </w:t>
      </w:r>
      <w:r w:rsidRPr="0066560F">
        <w:rPr>
          <w:rFonts w:ascii="Arial" w:hAnsi="Arial" w:cs="Arial"/>
          <w:sz w:val="22"/>
          <w:szCs w:val="22"/>
          <w:lang w:val="en-AU"/>
        </w:rPr>
        <w:t>Tumour</w:t>
      </w:r>
      <w:r w:rsidRPr="00EE12B4">
        <w:rPr>
          <w:rFonts w:ascii="Arial" w:hAnsi="Arial" w:cs="Arial"/>
          <w:sz w:val="22"/>
          <w:szCs w:val="22"/>
        </w:rPr>
        <w:t xml:space="preserve"> response was assessed at 12-week intervals. Table </w:t>
      </w:r>
      <w:r w:rsidR="003C52B7">
        <w:rPr>
          <w:rFonts w:ascii="Arial" w:hAnsi="Arial" w:cs="Arial"/>
          <w:sz w:val="22"/>
          <w:szCs w:val="22"/>
        </w:rPr>
        <w:t>3</w:t>
      </w:r>
      <w:r w:rsidR="003C52B7" w:rsidRPr="00EE12B4">
        <w:rPr>
          <w:rFonts w:ascii="Arial" w:hAnsi="Arial" w:cs="Arial"/>
          <w:sz w:val="22"/>
          <w:szCs w:val="22"/>
        </w:rPr>
        <w:t xml:space="preserve"> </w:t>
      </w:r>
      <w:proofErr w:type="spellStart"/>
      <w:r w:rsidR="003C52B7" w:rsidRPr="00EE12B4">
        <w:rPr>
          <w:rFonts w:ascii="Arial" w:hAnsi="Arial" w:cs="Arial"/>
          <w:sz w:val="22"/>
          <w:szCs w:val="22"/>
        </w:rPr>
        <w:t>summar</w:t>
      </w:r>
      <w:r w:rsidR="003C52B7">
        <w:rPr>
          <w:rFonts w:ascii="Arial" w:hAnsi="Arial" w:cs="Arial"/>
          <w:sz w:val="22"/>
          <w:szCs w:val="22"/>
        </w:rPr>
        <w:t>ises</w:t>
      </w:r>
      <w:proofErr w:type="spellEnd"/>
      <w:r w:rsidR="003C52B7">
        <w:rPr>
          <w:rFonts w:ascii="Arial" w:hAnsi="Arial" w:cs="Arial"/>
          <w:sz w:val="22"/>
          <w:szCs w:val="22"/>
        </w:rPr>
        <w:t xml:space="preserve"> </w:t>
      </w:r>
      <w:r w:rsidRPr="00C55BB4">
        <w:rPr>
          <w:rFonts w:ascii="Arial" w:hAnsi="Arial" w:cs="Arial"/>
          <w:sz w:val="22"/>
          <w:szCs w:val="22"/>
        </w:rPr>
        <w:t>key efficacy measures in patients previously treated or naïve to treatment with</w:t>
      </w:r>
      <w:r w:rsidR="000B5DAF" w:rsidRPr="00187C95">
        <w:rPr>
          <w:rFonts w:ascii="Arial" w:hAnsi="Arial" w:cs="Arial"/>
        </w:rPr>
        <w:t xml:space="preserve"> </w:t>
      </w:r>
      <w:r w:rsidR="000B5DAF" w:rsidRPr="004172BA">
        <w:rPr>
          <w:rFonts w:ascii="Arial" w:hAnsi="Arial" w:cs="Arial"/>
          <w:sz w:val="22"/>
          <w:szCs w:val="22"/>
        </w:rPr>
        <w:t>ipilimumab, receiving</w:t>
      </w:r>
      <w:r w:rsidRPr="004172BA">
        <w:rPr>
          <w:rFonts w:ascii="Arial" w:hAnsi="Arial" w:cs="Arial"/>
          <w:sz w:val="22"/>
          <w:szCs w:val="22"/>
        </w:rPr>
        <w:t xml:space="preserve"> KEYTRUDA at the recommended dose.</w:t>
      </w:r>
    </w:p>
    <w:p w14:paraId="28880A14" w14:textId="5156C452" w:rsidR="000903B2" w:rsidRPr="00E25368" w:rsidRDefault="000903B2" w:rsidP="00E25368">
      <w:pPr>
        <w:pStyle w:val="Caption"/>
        <w:rPr>
          <w:rStyle w:val="Strong"/>
          <w:b/>
          <w:bCs/>
        </w:rPr>
      </w:pPr>
      <w:r w:rsidRPr="00E25368">
        <w:rPr>
          <w:rStyle w:val="Strong"/>
          <w:b/>
          <w:bCs/>
        </w:rPr>
        <w:t xml:space="preserve">Table </w:t>
      </w:r>
      <w:r w:rsidR="003C52B7" w:rsidRPr="00E25368">
        <w:rPr>
          <w:rStyle w:val="Strong"/>
          <w:b/>
          <w:bCs/>
        </w:rPr>
        <w:t>3</w:t>
      </w:r>
      <w:r w:rsidRPr="00E25368">
        <w:rPr>
          <w:rStyle w:val="Strong"/>
          <w:b/>
          <w:bCs/>
        </w:rPr>
        <w:t xml:space="preserve">: Response to </w:t>
      </w:r>
      <w:r w:rsidR="00E25368" w:rsidRPr="00E25368">
        <w:rPr>
          <w:rStyle w:val="Strong"/>
          <w:b/>
          <w:bCs/>
        </w:rPr>
        <w:t xml:space="preserve">KEYTRUDA 2 mg/kg every 3 Weeks </w:t>
      </w:r>
      <w:r w:rsidRPr="00E25368">
        <w:rPr>
          <w:rStyle w:val="Strong"/>
          <w:b/>
          <w:bCs/>
        </w:rPr>
        <w:t xml:space="preserve">in Patients with </w:t>
      </w:r>
      <w:proofErr w:type="spellStart"/>
      <w:r w:rsidRPr="00E25368">
        <w:rPr>
          <w:rStyle w:val="Strong"/>
          <w:b/>
          <w:bCs/>
        </w:rPr>
        <w:t>Unresectable</w:t>
      </w:r>
      <w:proofErr w:type="spellEnd"/>
      <w:r w:rsidRPr="00E25368">
        <w:rPr>
          <w:rStyle w:val="Strong"/>
          <w:b/>
          <w:bCs/>
        </w:rPr>
        <w:t xml:space="preserve"> or Metastatic Melanoma</w:t>
      </w:r>
      <w:r w:rsidR="003C52B7" w:rsidRPr="00E25368">
        <w:rPr>
          <w:rStyle w:val="Strong"/>
          <w:b/>
          <w:bCs/>
        </w:rPr>
        <w:t xml:space="preserve"> in KEYNOTE-001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3: Response to KEYTRUDA 2 mg/kg every 3 Weeks in Patients with Unresectable or Metastatic Melanoma in KEYNOTE-001"/>
      </w:tblPr>
      <w:tblGrid>
        <w:gridCol w:w="3652"/>
        <w:gridCol w:w="3043"/>
        <w:gridCol w:w="3160"/>
      </w:tblGrid>
      <w:tr w:rsidR="003C52B7" w:rsidRPr="006C2900" w14:paraId="5F5CB8EC" w14:textId="77777777" w:rsidTr="0045789A">
        <w:trPr>
          <w:tblHeader/>
          <w:jc w:val="center"/>
        </w:trPr>
        <w:tc>
          <w:tcPr>
            <w:tcW w:w="1853" w:type="pct"/>
            <w:shd w:val="clear" w:color="auto" w:fill="auto"/>
          </w:tcPr>
          <w:p w14:paraId="05F768C0" w14:textId="77777777" w:rsidR="003C52B7" w:rsidRPr="006C2900" w:rsidRDefault="003C52B7" w:rsidP="006C2900">
            <w:pPr>
              <w:rPr>
                <w:rStyle w:val="Strong"/>
              </w:rPr>
            </w:pPr>
            <w:r w:rsidRPr="006C2900">
              <w:rPr>
                <w:rStyle w:val="Strong"/>
              </w:rPr>
              <w:t>Endpoint</w:t>
            </w:r>
          </w:p>
        </w:tc>
        <w:tc>
          <w:tcPr>
            <w:tcW w:w="1544" w:type="pct"/>
          </w:tcPr>
          <w:p w14:paraId="7F7A4C29" w14:textId="77777777" w:rsidR="003C52B7" w:rsidRPr="006C2900" w:rsidRDefault="003C52B7" w:rsidP="006C2900">
            <w:pPr>
              <w:rPr>
                <w:rStyle w:val="Strong"/>
              </w:rPr>
            </w:pPr>
            <w:r w:rsidRPr="006C2900">
              <w:rPr>
                <w:rStyle w:val="Strong"/>
              </w:rPr>
              <w:t xml:space="preserve">KEYTRUDA 2 mg/kg every 3 weeks in patients previously treated with </w:t>
            </w:r>
            <w:proofErr w:type="spellStart"/>
            <w:r w:rsidRPr="006C2900">
              <w:rPr>
                <w:rStyle w:val="Strong"/>
              </w:rPr>
              <w:t>ipilimumab</w:t>
            </w:r>
            <w:proofErr w:type="spellEnd"/>
          </w:p>
          <w:p w14:paraId="11C8CCDD" w14:textId="77777777" w:rsidR="003C52B7" w:rsidRPr="006C2900" w:rsidRDefault="003C52B7" w:rsidP="006C2900">
            <w:pPr>
              <w:rPr>
                <w:rStyle w:val="Strong"/>
              </w:rPr>
            </w:pPr>
            <w:r w:rsidRPr="006C2900">
              <w:rPr>
                <w:rStyle w:val="Strong"/>
              </w:rPr>
              <w:t>n=89</w:t>
            </w:r>
          </w:p>
        </w:tc>
        <w:tc>
          <w:tcPr>
            <w:tcW w:w="1603" w:type="pct"/>
          </w:tcPr>
          <w:p w14:paraId="5F67F973" w14:textId="77777777" w:rsidR="003C52B7" w:rsidRPr="006C2900" w:rsidRDefault="003C52B7" w:rsidP="006C2900">
            <w:pPr>
              <w:rPr>
                <w:rStyle w:val="Strong"/>
              </w:rPr>
            </w:pPr>
            <w:r w:rsidRPr="006C2900">
              <w:rPr>
                <w:rStyle w:val="Strong"/>
              </w:rPr>
              <w:t xml:space="preserve">KEYTRUDA 2 mg/kg every 3 weeks in patients naïve to treatment with </w:t>
            </w:r>
            <w:proofErr w:type="spellStart"/>
            <w:r w:rsidRPr="006C2900">
              <w:rPr>
                <w:rStyle w:val="Strong"/>
              </w:rPr>
              <w:t>ipilimumab</w:t>
            </w:r>
            <w:proofErr w:type="spellEnd"/>
          </w:p>
          <w:p w14:paraId="32D98F57" w14:textId="77777777" w:rsidR="003C52B7" w:rsidRPr="006C2900" w:rsidRDefault="003C52B7" w:rsidP="006C2900">
            <w:pPr>
              <w:rPr>
                <w:rStyle w:val="Strong"/>
              </w:rPr>
            </w:pPr>
            <w:r w:rsidRPr="006C2900">
              <w:rPr>
                <w:rStyle w:val="Strong"/>
              </w:rPr>
              <w:t>n=51</w:t>
            </w:r>
          </w:p>
        </w:tc>
      </w:tr>
      <w:tr w:rsidR="003C52B7" w:rsidRPr="003C52B7" w14:paraId="591BDF63" w14:textId="77777777" w:rsidTr="00EF1E17">
        <w:trPr>
          <w:jc w:val="center"/>
        </w:trPr>
        <w:tc>
          <w:tcPr>
            <w:tcW w:w="1853" w:type="pct"/>
            <w:shd w:val="clear" w:color="auto" w:fill="auto"/>
          </w:tcPr>
          <w:p w14:paraId="032F180B" w14:textId="77777777" w:rsidR="003C52B7" w:rsidRPr="003C52B7" w:rsidRDefault="003C52B7" w:rsidP="0045789A">
            <w:pPr>
              <w:suppressAutoHyphens w:val="0"/>
              <w:autoSpaceDE w:val="0"/>
              <w:autoSpaceDN w:val="0"/>
              <w:adjustRightInd w:val="0"/>
              <w:rPr>
                <w:rFonts w:cs="Arial"/>
                <w:szCs w:val="22"/>
              </w:rPr>
            </w:pPr>
            <w:r w:rsidRPr="003C52B7">
              <w:rPr>
                <w:rFonts w:cs="Arial"/>
                <w:b/>
                <w:bCs/>
                <w:szCs w:val="22"/>
              </w:rPr>
              <w:t>Best Overall Response* by IRO</w:t>
            </w:r>
            <w:r w:rsidRPr="003C52B7">
              <w:rPr>
                <w:rFonts w:cs="Arial"/>
                <w:bCs/>
                <w:szCs w:val="22"/>
                <w:vertAlign w:val="superscript"/>
              </w:rPr>
              <w:t>†</w:t>
            </w:r>
          </w:p>
        </w:tc>
        <w:tc>
          <w:tcPr>
            <w:tcW w:w="1544" w:type="pct"/>
          </w:tcPr>
          <w:p w14:paraId="40BA1D76" w14:textId="77777777" w:rsidR="003C52B7" w:rsidRPr="003C52B7" w:rsidRDefault="003C52B7" w:rsidP="0045789A">
            <w:pPr>
              <w:suppressAutoHyphens w:val="0"/>
              <w:autoSpaceDE w:val="0"/>
              <w:autoSpaceDN w:val="0"/>
              <w:adjustRightInd w:val="0"/>
              <w:jc w:val="center"/>
              <w:rPr>
                <w:rFonts w:cs="Arial"/>
                <w:bCs/>
                <w:szCs w:val="22"/>
              </w:rPr>
            </w:pPr>
          </w:p>
        </w:tc>
        <w:tc>
          <w:tcPr>
            <w:tcW w:w="1603" w:type="pct"/>
          </w:tcPr>
          <w:p w14:paraId="3F090BF1" w14:textId="77777777" w:rsidR="003C52B7" w:rsidRPr="003C52B7" w:rsidRDefault="003C52B7" w:rsidP="0045789A">
            <w:pPr>
              <w:suppressAutoHyphens w:val="0"/>
              <w:autoSpaceDE w:val="0"/>
              <w:autoSpaceDN w:val="0"/>
              <w:adjustRightInd w:val="0"/>
              <w:jc w:val="center"/>
              <w:rPr>
                <w:rFonts w:cs="Arial"/>
                <w:bCs/>
                <w:szCs w:val="22"/>
              </w:rPr>
            </w:pPr>
          </w:p>
        </w:tc>
      </w:tr>
      <w:tr w:rsidR="003C52B7" w:rsidRPr="003C52B7" w14:paraId="0BE86C23" w14:textId="77777777" w:rsidTr="00EF1E17">
        <w:trPr>
          <w:jc w:val="center"/>
        </w:trPr>
        <w:tc>
          <w:tcPr>
            <w:tcW w:w="1853" w:type="pct"/>
            <w:shd w:val="clear" w:color="auto" w:fill="auto"/>
          </w:tcPr>
          <w:p w14:paraId="1D55B3B5" w14:textId="77777777" w:rsidR="003C52B7" w:rsidRPr="003C52B7" w:rsidRDefault="003C52B7" w:rsidP="0045789A">
            <w:pPr>
              <w:suppressAutoHyphens w:val="0"/>
              <w:autoSpaceDE w:val="0"/>
              <w:autoSpaceDN w:val="0"/>
              <w:adjustRightInd w:val="0"/>
              <w:ind w:left="150"/>
              <w:rPr>
                <w:rFonts w:cs="Arial"/>
                <w:szCs w:val="22"/>
              </w:rPr>
            </w:pPr>
            <w:r w:rsidRPr="003C52B7">
              <w:rPr>
                <w:rFonts w:cs="Arial"/>
                <w:bCs/>
                <w:szCs w:val="22"/>
              </w:rPr>
              <w:t>ORR %, (95% CI)</w:t>
            </w:r>
          </w:p>
        </w:tc>
        <w:tc>
          <w:tcPr>
            <w:tcW w:w="1544" w:type="pct"/>
          </w:tcPr>
          <w:p w14:paraId="7BDBD8F4"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25% (16, 35)</w:t>
            </w:r>
          </w:p>
        </w:tc>
        <w:tc>
          <w:tcPr>
            <w:tcW w:w="1603" w:type="pct"/>
          </w:tcPr>
          <w:p w14:paraId="3C1EFD4E"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33% (21, 48)</w:t>
            </w:r>
          </w:p>
        </w:tc>
      </w:tr>
      <w:tr w:rsidR="003C52B7" w:rsidRPr="003C52B7" w14:paraId="24853CA0" w14:textId="77777777" w:rsidTr="00EF1E17">
        <w:trPr>
          <w:jc w:val="center"/>
        </w:trPr>
        <w:tc>
          <w:tcPr>
            <w:tcW w:w="1853" w:type="pct"/>
            <w:shd w:val="clear" w:color="auto" w:fill="auto"/>
          </w:tcPr>
          <w:p w14:paraId="6E89232C" w14:textId="77777777" w:rsidR="003C52B7" w:rsidRPr="003C52B7" w:rsidRDefault="003C52B7" w:rsidP="0045789A">
            <w:pPr>
              <w:suppressAutoHyphens w:val="0"/>
              <w:autoSpaceDE w:val="0"/>
              <w:autoSpaceDN w:val="0"/>
              <w:adjustRightInd w:val="0"/>
              <w:ind w:left="150"/>
              <w:rPr>
                <w:rFonts w:cs="Arial"/>
                <w:szCs w:val="22"/>
              </w:rPr>
            </w:pPr>
            <w:r w:rsidRPr="003C52B7">
              <w:rPr>
                <w:rFonts w:cs="Arial"/>
                <w:bCs/>
                <w:szCs w:val="22"/>
              </w:rPr>
              <w:t>Disease Control Rate %</w:t>
            </w:r>
            <w:r w:rsidRPr="003C52B7">
              <w:rPr>
                <w:rFonts w:cs="Arial"/>
                <w:bCs/>
                <w:szCs w:val="22"/>
                <w:vertAlign w:val="superscript"/>
              </w:rPr>
              <w:t>‡</w:t>
            </w:r>
          </w:p>
        </w:tc>
        <w:tc>
          <w:tcPr>
            <w:tcW w:w="1544" w:type="pct"/>
          </w:tcPr>
          <w:p w14:paraId="1E17527C"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49%</w:t>
            </w:r>
          </w:p>
        </w:tc>
        <w:tc>
          <w:tcPr>
            <w:tcW w:w="1603" w:type="pct"/>
          </w:tcPr>
          <w:p w14:paraId="7FC4307E"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49%</w:t>
            </w:r>
          </w:p>
        </w:tc>
      </w:tr>
      <w:tr w:rsidR="003C52B7" w:rsidRPr="003C52B7" w14:paraId="60580DA2" w14:textId="77777777" w:rsidTr="00EF1E17">
        <w:trPr>
          <w:jc w:val="center"/>
        </w:trPr>
        <w:tc>
          <w:tcPr>
            <w:tcW w:w="1853" w:type="pct"/>
            <w:shd w:val="clear" w:color="auto" w:fill="auto"/>
          </w:tcPr>
          <w:p w14:paraId="26737A5A" w14:textId="77777777" w:rsidR="003C52B7" w:rsidRPr="003C52B7" w:rsidRDefault="003C52B7" w:rsidP="0045789A">
            <w:pPr>
              <w:suppressAutoHyphens w:val="0"/>
              <w:autoSpaceDE w:val="0"/>
              <w:autoSpaceDN w:val="0"/>
              <w:adjustRightInd w:val="0"/>
              <w:ind w:left="296"/>
              <w:rPr>
                <w:rFonts w:cs="Arial"/>
                <w:bCs/>
                <w:szCs w:val="22"/>
              </w:rPr>
            </w:pPr>
            <w:r w:rsidRPr="003C52B7">
              <w:rPr>
                <w:rFonts w:cs="Arial"/>
                <w:bCs/>
                <w:szCs w:val="22"/>
              </w:rPr>
              <w:t>Complete response</w:t>
            </w:r>
          </w:p>
        </w:tc>
        <w:tc>
          <w:tcPr>
            <w:tcW w:w="1544" w:type="pct"/>
          </w:tcPr>
          <w:p w14:paraId="37299953"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3%</w:t>
            </w:r>
          </w:p>
        </w:tc>
        <w:tc>
          <w:tcPr>
            <w:tcW w:w="1603" w:type="pct"/>
          </w:tcPr>
          <w:p w14:paraId="51EBDBB2"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10%</w:t>
            </w:r>
          </w:p>
        </w:tc>
      </w:tr>
      <w:tr w:rsidR="003C52B7" w:rsidRPr="003C52B7" w14:paraId="098C6E46" w14:textId="77777777" w:rsidTr="00EF1E17">
        <w:trPr>
          <w:jc w:val="center"/>
        </w:trPr>
        <w:tc>
          <w:tcPr>
            <w:tcW w:w="1853" w:type="pct"/>
            <w:shd w:val="clear" w:color="auto" w:fill="auto"/>
          </w:tcPr>
          <w:p w14:paraId="2D0FF51E" w14:textId="77777777" w:rsidR="003C52B7" w:rsidRPr="003C52B7" w:rsidRDefault="003C52B7" w:rsidP="0045789A">
            <w:pPr>
              <w:suppressAutoHyphens w:val="0"/>
              <w:autoSpaceDE w:val="0"/>
              <w:autoSpaceDN w:val="0"/>
              <w:adjustRightInd w:val="0"/>
              <w:ind w:left="296"/>
              <w:rPr>
                <w:rFonts w:cs="Arial"/>
                <w:bCs/>
                <w:szCs w:val="22"/>
              </w:rPr>
            </w:pPr>
            <w:r w:rsidRPr="003C52B7">
              <w:rPr>
                <w:rFonts w:cs="Arial"/>
                <w:bCs/>
                <w:szCs w:val="22"/>
              </w:rPr>
              <w:t>Partial response</w:t>
            </w:r>
          </w:p>
        </w:tc>
        <w:tc>
          <w:tcPr>
            <w:tcW w:w="1544" w:type="pct"/>
          </w:tcPr>
          <w:p w14:paraId="583B3DA3"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21%</w:t>
            </w:r>
          </w:p>
        </w:tc>
        <w:tc>
          <w:tcPr>
            <w:tcW w:w="1603" w:type="pct"/>
          </w:tcPr>
          <w:p w14:paraId="73B889D4"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24%</w:t>
            </w:r>
          </w:p>
        </w:tc>
      </w:tr>
      <w:tr w:rsidR="003C52B7" w:rsidRPr="003C52B7" w14:paraId="7253E1C7" w14:textId="77777777" w:rsidTr="00EF1E17">
        <w:trPr>
          <w:jc w:val="center"/>
        </w:trPr>
        <w:tc>
          <w:tcPr>
            <w:tcW w:w="1853" w:type="pct"/>
            <w:shd w:val="clear" w:color="auto" w:fill="auto"/>
          </w:tcPr>
          <w:p w14:paraId="6B6F2840" w14:textId="77777777" w:rsidR="003C52B7" w:rsidRPr="003C52B7" w:rsidRDefault="003C52B7" w:rsidP="0045789A">
            <w:pPr>
              <w:suppressAutoHyphens w:val="0"/>
              <w:autoSpaceDE w:val="0"/>
              <w:autoSpaceDN w:val="0"/>
              <w:adjustRightInd w:val="0"/>
              <w:ind w:left="296"/>
              <w:rPr>
                <w:rFonts w:cs="Arial"/>
                <w:bCs/>
                <w:szCs w:val="22"/>
              </w:rPr>
            </w:pPr>
            <w:r w:rsidRPr="003C52B7">
              <w:rPr>
                <w:rFonts w:cs="Arial"/>
                <w:bCs/>
                <w:szCs w:val="22"/>
              </w:rPr>
              <w:t>Stable disease</w:t>
            </w:r>
          </w:p>
        </w:tc>
        <w:tc>
          <w:tcPr>
            <w:tcW w:w="1544" w:type="pct"/>
          </w:tcPr>
          <w:p w14:paraId="226821A1"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25%</w:t>
            </w:r>
          </w:p>
        </w:tc>
        <w:tc>
          <w:tcPr>
            <w:tcW w:w="1603" w:type="pct"/>
          </w:tcPr>
          <w:p w14:paraId="0FDED311"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16%</w:t>
            </w:r>
          </w:p>
        </w:tc>
      </w:tr>
      <w:tr w:rsidR="003C52B7" w:rsidRPr="003C52B7" w14:paraId="487088F2" w14:textId="77777777" w:rsidTr="00EF1E17">
        <w:trPr>
          <w:jc w:val="center"/>
        </w:trPr>
        <w:tc>
          <w:tcPr>
            <w:tcW w:w="1853" w:type="pct"/>
            <w:shd w:val="clear" w:color="auto" w:fill="auto"/>
          </w:tcPr>
          <w:p w14:paraId="17098EC0" w14:textId="77777777" w:rsidR="003C52B7" w:rsidRPr="003C52B7" w:rsidRDefault="003C52B7" w:rsidP="0045789A">
            <w:pPr>
              <w:suppressAutoHyphens w:val="0"/>
              <w:autoSpaceDE w:val="0"/>
              <w:autoSpaceDN w:val="0"/>
              <w:adjustRightInd w:val="0"/>
              <w:rPr>
                <w:rFonts w:cs="Arial"/>
                <w:bCs/>
                <w:szCs w:val="22"/>
              </w:rPr>
            </w:pPr>
            <w:r w:rsidRPr="003C52B7">
              <w:rPr>
                <w:rFonts w:cs="Arial"/>
                <w:b/>
                <w:bCs/>
                <w:szCs w:val="22"/>
              </w:rPr>
              <w:t>Response Duration</w:t>
            </w:r>
            <w:r w:rsidRPr="003C52B7">
              <w:rPr>
                <w:rFonts w:cs="Arial"/>
                <w:bCs/>
                <w:sz w:val="18"/>
                <w:szCs w:val="18"/>
                <w:vertAlign w:val="superscript"/>
              </w:rPr>
              <w:t>§</w:t>
            </w:r>
          </w:p>
        </w:tc>
        <w:tc>
          <w:tcPr>
            <w:tcW w:w="1544" w:type="pct"/>
          </w:tcPr>
          <w:p w14:paraId="64B60E2D" w14:textId="77777777" w:rsidR="003C52B7" w:rsidRPr="003C52B7" w:rsidRDefault="003C52B7" w:rsidP="0045789A">
            <w:pPr>
              <w:suppressAutoHyphens w:val="0"/>
              <w:autoSpaceDE w:val="0"/>
              <w:autoSpaceDN w:val="0"/>
              <w:adjustRightInd w:val="0"/>
              <w:jc w:val="center"/>
              <w:rPr>
                <w:rFonts w:cs="Arial"/>
                <w:bCs/>
                <w:szCs w:val="22"/>
              </w:rPr>
            </w:pPr>
          </w:p>
        </w:tc>
        <w:tc>
          <w:tcPr>
            <w:tcW w:w="1603" w:type="pct"/>
          </w:tcPr>
          <w:p w14:paraId="374AB78E" w14:textId="77777777" w:rsidR="003C52B7" w:rsidRPr="003C52B7" w:rsidRDefault="003C52B7" w:rsidP="0045789A">
            <w:pPr>
              <w:suppressAutoHyphens w:val="0"/>
              <w:autoSpaceDE w:val="0"/>
              <w:autoSpaceDN w:val="0"/>
              <w:adjustRightInd w:val="0"/>
              <w:jc w:val="center"/>
              <w:rPr>
                <w:rFonts w:cs="Arial"/>
                <w:bCs/>
                <w:szCs w:val="22"/>
              </w:rPr>
            </w:pPr>
          </w:p>
        </w:tc>
      </w:tr>
      <w:tr w:rsidR="003C52B7" w:rsidRPr="003C52B7" w14:paraId="53F922BF" w14:textId="77777777" w:rsidTr="00EF1E17">
        <w:trPr>
          <w:jc w:val="center"/>
        </w:trPr>
        <w:tc>
          <w:tcPr>
            <w:tcW w:w="1853" w:type="pct"/>
            <w:shd w:val="clear" w:color="auto" w:fill="auto"/>
          </w:tcPr>
          <w:p w14:paraId="204274E5" w14:textId="77777777" w:rsidR="003C52B7" w:rsidRPr="003C52B7" w:rsidRDefault="003C52B7" w:rsidP="0045789A">
            <w:pPr>
              <w:suppressAutoHyphens w:val="0"/>
              <w:autoSpaceDE w:val="0"/>
              <w:autoSpaceDN w:val="0"/>
              <w:adjustRightInd w:val="0"/>
              <w:ind w:left="150"/>
              <w:rPr>
                <w:rFonts w:cs="Arial"/>
                <w:bCs/>
                <w:szCs w:val="22"/>
              </w:rPr>
            </w:pPr>
            <w:r w:rsidRPr="003C52B7">
              <w:rPr>
                <w:rFonts w:cs="Arial"/>
                <w:bCs/>
                <w:szCs w:val="22"/>
              </w:rPr>
              <w:t>Median in months (range)</w:t>
            </w:r>
          </w:p>
        </w:tc>
        <w:tc>
          <w:tcPr>
            <w:tcW w:w="1544" w:type="pct"/>
          </w:tcPr>
          <w:p w14:paraId="308B4BE2"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Not reached (2.8+, 14.3+)</w:t>
            </w:r>
          </w:p>
        </w:tc>
        <w:tc>
          <w:tcPr>
            <w:tcW w:w="1603" w:type="pct"/>
          </w:tcPr>
          <w:p w14:paraId="6AEAFD02"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Not reached (1.6+, 13.8+)</w:t>
            </w:r>
          </w:p>
        </w:tc>
      </w:tr>
      <w:tr w:rsidR="003C52B7" w:rsidRPr="003C52B7" w14:paraId="5AB109BE" w14:textId="77777777" w:rsidTr="00EF1E17">
        <w:trPr>
          <w:jc w:val="center"/>
        </w:trPr>
        <w:tc>
          <w:tcPr>
            <w:tcW w:w="1853" w:type="pct"/>
            <w:shd w:val="clear" w:color="auto" w:fill="auto"/>
          </w:tcPr>
          <w:p w14:paraId="17B6DE51" w14:textId="77777777" w:rsidR="003C52B7" w:rsidRPr="003C52B7" w:rsidRDefault="003C52B7" w:rsidP="0045789A">
            <w:pPr>
              <w:suppressAutoHyphens w:val="0"/>
              <w:autoSpaceDE w:val="0"/>
              <w:autoSpaceDN w:val="0"/>
              <w:adjustRightInd w:val="0"/>
              <w:ind w:left="150"/>
              <w:rPr>
                <w:rFonts w:cs="Arial"/>
                <w:bCs/>
                <w:szCs w:val="22"/>
              </w:rPr>
            </w:pPr>
            <w:r w:rsidRPr="003C52B7">
              <w:rPr>
                <w:rFonts w:cs="Arial"/>
                <w:bCs/>
                <w:szCs w:val="22"/>
              </w:rPr>
              <w:t>% ongoing</w:t>
            </w:r>
          </w:p>
        </w:tc>
        <w:tc>
          <w:tcPr>
            <w:tcW w:w="1544" w:type="pct"/>
          </w:tcPr>
          <w:p w14:paraId="5D7B969A" w14:textId="77777777" w:rsidR="003C52B7" w:rsidRPr="003C52B7" w:rsidRDefault="003C52B7" w:rsidP="0045789A">
            <w:pPr>
              <w:tabs>
                <w:tab w:val="left" w:pos="1120"/>
              </w:tabs>
              <w:suppressAutoHyphens w:val="0"/>
              <w:autoSpaceDE w:val="0"/>
              <w:autoSpaceDN w:val="0"/>
              <w:adjustRightInd w:val="0"/>
              <w:jc w:val="center"/>
              <w:rPr>
                <w:rFonts w:cs="Arial"/>
                <w:bCs/>
                <w:szCs w:val="22"/>
              </w:rPr>
            </w:pPr>
            <w:r w:rsidRPr="003C52B7">
              <w:rPr>
                <w:rFonts w:cs="Arial"/>
                <w:bCs/>
                <w:szCs w:val="22"/>
              </w:rPr>
              <w:t>86%</w:t>
            </w:r>
            <w:r w:rsidRPr="003C52B7">
              <w:rPr>
                <w:rFonts w:cs="Arial"/>
                <w:bCs/>
                <w:szCs w:val="22"/>
                <w:vertAlign w:val="superscript"/>
              </w:rPr>
              <w:t>¶</w:t>
            </w:r>
          </w:p>
        </w:tc>
        <w:tc>
          <w:tcPr>
            <w:tcW w:w="1603" w:type="pct"/>
          </w:tcPr>
          <w:p w14:paraId="694D6F3B" w14:textId="77777777" w:rsidR="003C52B7" w:rsidRPr="003C52B7" w:rsidRDefault="003C52B7" w:rsidP="0045789A">
            <w:pPr>
              <w:tabs>
                <w:tab w:val="left" w:pos="1120"/>
              </w:tabs>
              <w:suppressAutoHyphens w:val="0"/>
              <w:autoSpaceDE w:val="0"/>
              <w:autoSpaceDN w:val="0"/>
              <w:adjustRightInd w:val="0"/>
              <w:jc w:val="center"/>
              <w:rPr>
                <w:rFonts w:cs="Arial"/>
                <w:bCs/>
                <w:szCs w:val="22"/>
              </w:rPr>
            </w:pPr>
            <w:r w:rsidRPr="003C52B7">
              <w:rPr>
                <w:rFonts w:cs="Arial"/>
                <w:bCs/>
                <w:szCs w:val="22"/>
              </w:rPr>
              <w:t>82%</w:t>
            </w:r>
            <w:r w:rsidRPr="003C52B7">
              <w:rPr>
                <w:rFonts w:cs="Arial"/>
                <w:bCs/>
                <w:szCs w:val="22"/>
                <w:vertAlign w:val="superscript"/>
              </w:rPr>
              <w:t>#</w:t>
            </w:r>
          </w:p>
        </w:tc>
      </w:tr>
      <w:tr w:rsidR="003C52B7" w:rsidRPr="003C52B7" w14:paraId="032E5FC9" w14:textId="77777777" w:rsidTr="00EF1E17">
        <w:trPr>
          <w:jc w:val="center"/>
        </w:trPr>
        <w:tc>
          <w:tcPr>
            <w:tcW w:w="1853" w:type="pct"/>
            <w:shd w:val="clear" w:color="auto" w:fill="auto"/>
          </w:tcPr>
          <w:p w14:paraId="54CF99A9" w14:textId="77777777" w:rsidR="003C52B7" w:rsidRPr="003C52B7" w:rsidRDefault="003C52B7" w:rsidP="0045789A">
            <w:pPr>
              <w:suppressAutoHyphens w:val="0"/>
              <w:autoSpaceDE w:val="0"/>
              <w:autoSpaceDN w:val="0"/>
              <w:adjustRightInd w:val="0"/>
              <w:rPr>
                <w:rFonts w:cs="Arial"/>
                <w:b/>
                <w:bCs/>
                <w:szCs w:val="22"/>
              </w:rPr>
            </w:pPr>
            <w:r w:rsidRPr="003C52B7">
              <w:rPr>
                <w:rFonts w:cs="Arial"/>
                <w:b/>
                <w:bCs/>
                <w:szCs w:val="22"/>
              </w:rPr>
              <w:t>PFS</w:t>
            </w:r>
          </w:p>
        </w:tc>
        <w:tc>
          <w:tcPr>
            <w:tcW w:w="1544" w:type="pct"/>
          </w:tcPr>
          <w:p w14:paraId="3B46C7DB" w14:textId="77777777" w:rsidR="003C52B7" w:rsidRPr="003C52B7" w:rsidRDefault="003C52B7" w:rsidP="0045789A">
            <w:pPr>
              <w:suppressAutoHyphens w:val="0"/>
              <w:autoSpaceDE w:val="0"/>
              <w:autoSpaceDN w:val="0"/>
              <w:adjustRightInd w:val="0"/>
              <w:jc w:val="center"/>
              <w:rPr>
                <w:rFonts w:cs="Arial"/>
                <w:bCs/>
                <w:szCs w:val="22"/>
              </w:rPr>
            </w:pPr>
          </w:p>
        </w:tc>
        <w:tc>
          <w:tcPr>
            <w:tcW w:w="1603" w:type="pct"/>
          </w:tcPr>
          <w:p w14:paraId="256DDFC5" w14:textId="77777777" w:rsidR="003C52B7" w:rsidRPr="003C52B7" w:rsidRDefault="003C52B7" w:rsidP="0045789A">
            <w:pPr>
              <w:suppressAutoHyphens w:val="0"/>
              <w:autoSpaceDE w:val="0"/>
              <w:autoSpaceDN w:val="0"/>
              <w:adjustRightInd w:val="0"/>
              <w:jc w:val="center"/>
              <w:rPr>
                <w:rFonts w:cs="Arial"/>
                <w:bCs/>
                <w:szCs w:val="22"/>
              </w:rPr>
            </w:pPr>
          </w:p>
        </w:tc>
      </w:tr>
      <w:tr w:rsidR="003C52B7" w:rsidRPr="003C52B7" w14:paraId="3F3F83FD" w14:textId="77777777" w:rsidTr="00EF1E17">
        <w:trPr>
          <w:jc w:val="center"/>
        </w:trPr>
        <w:tc>
          <w:tcPr>
            <w:tcW w:w="1853" w:type="pct"/>
            <w:shd w:val="clear" w:color="auto" w:fill="auto"/>
          </w:tcPr>
          <w:p w14:paraId="251D65FB" w14:textId="77777777" w:rsidR="003C52B7" w:rsidRPr="003C52B7" w:rsidRDefault="003C52B7" w:rsidP="0045789A">
            <w:pPr>
              <w:suppressAutoHyphens w:val="0"/>
              <w:autoSpaceDE w:val="0"/>
              <w:autoSpaceDN w:val="0"/>
              <w:adjustRightInd w:val="0"/>
              <w:ind w:left="150"/>
              <w:rPr>
                <w:rFonts w:cs="Arial"/>
                <w:bCs/>
                <w:szCs w:val="22"/>
              </w:rPr>
            </w:pPr>
            <w:r w:rsidRPr="003C52B7">
              <w:rPr>
                <w:rFonts w:cs="Arial"/>
                <w:bCs/>
                <w:szCs w:val="22"/>
              </w:rPr>
              <w:t>Median in months (95% CI)</w:t>
            </w:r>
          </w:p>
        </w:tc>
        <w:tc>
          <w:tcPr>
            <w:tcW w:w="1544" w:type="pct"/>
          </w:tcPr>
          <w:p w14:paraId="73DE1E5B"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4.9 (2.8, 8.3)</w:t>
            </w:r>
          </w:p>
        </w:tc>
        <w:tc>
          <w:tcPr>
            <w:tcW w:w="1603" w:type="pct"/>
          </w:tcPr>
          <w:p w14:paraId="2B3F878A"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5.5 (2.8, 14.0)</w:t>
            </w:r>
          </w:p>
        </w:tc>
      </w:tr>
      <w:tr w:rsidR="003C52B7" w:rsidRPr="003C52B7" w14:paraId="5D55502F" w14:textId="77777777" w:rsidTr="00EF1E17">
        <w:trPr>
          <w:jc w:val="center"/>
        </w:trPr>
        <w:tc>
          <w:tcPr>
            <w:tcW w:w="1853" w:type="pct"/>
            <w:shd w:val="clear" w:color="auto" w:fill="auto"/>
          </w:tcPr>
          <w:p w14:paraId="02B74600" w14:textId="77777777" w:rsidR="003C52B7" w:rsidRPr="003C52B7" w:rsidRDefault="003C52B7" w:rsidP="0045789A">
            <w:pPr>
              <w:suppressAutoHyphens w:val="0"/>
              <w:autoSpaceDE w:val="0"/>
              <w:autoSpaceDN w:val="0"/>
              <w:adjustRightInd w:val="0"/>
              <w:ind w:left="150"/>
              <w:rPr>
                <w:rFonts w:cs="Arial"/>
                <w:bCs/>
                <w:szCs w:val="22"/>
              </w:rPr>
            </w:pPr>
            <w:r w:rsidRPr="003C52B7">
              <w:rPr>
                <w:rFonts w:cs="Arial"/>
                <w:bCs/>
                <w:szCs w:val="22"/>
              </w:rPr>
              <w:t>PFS rate at 6 months</w:t>
            </w:r>
          </w:p>
        </w:tc>
        <w:tc>
          <w:tcPr>
            <w:tcW w:w="1544" w:type="pct"/>
          </w:tcPr>
          <w:p w14:paraId="4C050D3F"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43%</w:t>
            </w:r>
          </w:p>
        </w:tc>
        <w:tc>
          <w:tcPr>
            <w:tcW w:w="1603" w:type="pct"/>
          </w:tcPr>
          <w:p w14:paraId="78D9F9E9"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50%</w:t>
            </w:r>
          </w:p>
        </w:tc>
      </w:tr>
      <w:tr w:rsidR="003C52B7" w:rsidRPr="003C52B7" w14:paraId="02E809BE" w14:textId="77777777" w:rsidTr="00EF1E17">
        <w:trPr>
          <w:jc w:val="center"/>
        </w:trPr>
        <w:tc>
          <w:tcPr>
            <w:tcW w:w="1853" w:type="pct"/>
            <w:shd w:val="clear" w:color="auto" w:fill="auto"/>
          </w:tcPr>
          <w:p w14:paraId="2CF21489" w14:textId="77777777" w:rsidR="003C52B7" w:rsidRPr="003C52B7" w:rsidRDefault="003C52B7" w:rsidP="0045789A">
            <w:pPr>
              <w:suppressAutoHyphens w:val="0"/>
              <w:autoSpaceDE w:val="0"/>
              <w:autoSpaceDN w:val="0"/>
              <w:adjustRightInd w:val="0"/>
              <w:rPr>
                <w:rFonts w:cs="Arial"/>
                <w:b/>
                <w:bCs/>
                <w:szCs w:val="22"/>
              </w:rPr>
            </w:pPr>
            <w:r w:rsidRPr="003C52B7">
              <w:rPr>
                <w:rFonts w:cs="Arial"/>
                <w:b/>
                <w:bCs/>
                <w:szCs w:val="22"/>
              </w:rPr>
              <w:t>OS</w:t>
            </w:r>
          </w:p>
        </w:tc>
        <w:tc>
          <w:tcPr>
            <w:tcW w:w="1544" w:type="pct"/>
          </w:tcPr>
          <w:p w14:paraId="5E0A901A" w14:textId="77777777" w:rsidR="003C52B7" w:rsidRPr="003C52B7" w:rsidRDefault="003C52B7" w:rsidP="0045789A">
            <w:pPr>
              <w:suppressAutoHyphens w:val="0"/>
              <w:autoSpaceDE w:val="0"/>
              <w:autoSpaceDN w:val="0"/>
              <w:adjustRightInd w:val="0"/>
              <w:jc w:val="center"/>
              <w:rPr>
                <w:rFonts w:cs="Arial"/>
                <w:bCs/>
                <w:szCs w:val="22"/>
              </w:rPr>
            </w:pPr>
          </w:p>
        </w:tc>
        <w:tc>
          <w:tcPr>
            <w:tcW w:w="1603" w:type="pct"/>
          </w:tcPr>
          <w:p w14:paraId="56472876" w14:textId="77777777" w:rsidR="003C52B7" w:rsidRPr="003C52B7" w:rsidRDefault="003C52B7" w:rsidP="0045789A">
            <w:pPr>
              <w:suppressAutoHyphens w:val="0"/>
              <w:autoSpaceDE w:val="0"/>
              <w:autoSpaceDN w:val="0"/>
              <w:adjustRightInd w:val="0"/>
              <w:jc w:val="center"/>
              <w:rPr>
                <w:rFonts w:cs="Arial"/>
                <w:bCs/>
                <w:szCs w:val="22"/>
              </w:rPr>
            </w:pPr>
          </w:p>
        </w:tc>
      </w:tr>
      <w:tr w:rsidR="003C52B7" w:rsidRPr="003C52B7" w14:paraId="62A70072" w14:textId="77777777" w:rsidTr="00EF1E17">
        <w:trPr>
          <w:jc w:val="center"/>
        </w:trPr>
        <w:tc>
          <w:tcPr>
            <w:tcW w:w="1853" w:type="pct"/>
            <w:shd w:val="clear" w:color="auto" w:fill="auto"/>
          </w:tcPr>
          <w:p w14:paraId="1ACA6D75" w14:textId="77777777" w:rsidR="003C52B7" w:rsidRPr="003C52B7" w:rsidRDefault="003C52B7" w:rsidP="0045789A">
            <w:pPr>
              <w:suppressAutoHyphens w:val="0"/>
              <w:autoSpaceDE w:val="0"/>
              <w:autoSpaceDN w:val="0"/>
              <w:adjustRightInd w:val="0"/>
              <w:ind w:left="150"/>
              <w:rPr>
                <w:rFonts w:cs="Arial"/>
                <w:bCs/>
                <w:szCs w:val="22"/>
              </w:rPr>
            </w:pPr>
            <w:r w:rsidRPr="003C52B7">
              <w:rPr>
                <w:rFonts w:cs="Arial"/>
                <w:bCs/>
                <w:szCs w:val="22"/>
              </w:rPr>
              <w:t>Median in months (95% CI)</w:t>
            </w:r>
          </w:p>
        </w:tc>
        <w:tc>
          <w:tcPr>
            <w:tcW w:w="1544" w:type="pct"/>
          </w:tcPr>
          <w:p w14:paraId="62D5D428"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Not reached (11, not available)</w:t>
            </w:r>
          </w:p>
        </w:tc>
        <w:tc>
          <w:tcPr>
            <w:tcW w:w="1603" w:type="pct"/>
          </w:tcPr>
          <w:p w14:paraId="4038EB48"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Not reached (14, not available)</w:t>
            </w:r>
          </w:p>
        </w:tc>
      </w:tr>
      <w:tr w:rsidR="003C52B7" w:rsidRPr="003C52B7" w14:paraId="42E5BF56" w14:textId="77777777" w:rsidTr="00EF1E17">
        <w:trPr>
          <w:jc w:val="center"/>
        </w:trPr>
        <w:tc>
          <w:tcPr>
            <w:tcW w:w="1853" w:type="pct"/>
            <w:shd w:val="clear" w:color="auto" w:fill="auto"/>
          </w:tcPr>
          <w:p w14:paraId="3BC906B5" w14:textId="77777777" w:rsidR="003C52B7" w:rsidRPr="003C52B7" w:rsidRDefault="003C52B7" w:rsidP="0045789A">
            <w:pPr>
              <w:suppressAutoHyphens w:val="0"/>
              <w:autoSpaceDE w:val="0"/>
              <w:autoSpaceDN w:val="0"/>
              <w:adjustRightInd w:val="0"/>
              <w:ind w:left="150"/>
              <w:rPr>
                <w:rFonts w:cs="Arial"/>
                <w:bCs/>
                <w:szCs w:val="22"/>
              </w:rPr>
            </w:pPr>
            <w:r w:rsidRPr="003C52B7">
              <w:rPr>
                <w:rFonts w:cs="Arial"/>
                <w:bCs/>
                <w:szCs w:val="22"/>
              </w:rPr>
              <w:t>OS rate at 12 months</w:t>
            </w:r>
          </w:p>
        </w:tc>
        <w:tc>
          <w:tcPr>
            <w:tcW w:w="1544" w:type="pct"/>
          </w:tcPr>
          <w:p w14:paraId="2A1319CF"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60%</w:t>
            </w:r>
          </w:p>
        </w:tc>
        <w:tc>
          <w:tcPr>
            <w:tcW w:w="1603" w:type="pct"/>
          </w:tcPr>
          <w:p w14:paraId="39D1DBB0" w14:textId="77777777" w:rsidR="003C52B7" w:rsidRPr="003C52B7" w:rsidRDefault="003C52B7" w:rsidP="0045789A">
            <w:pPr>
              <w:suppressAutoHyphens w:val="0"/>
              <w:autoSpaceDE w:val="0"/>
              <w:autoSpaceDN w:val="0"/>
              <w:adjustRightInd w:val="0"/>
              <w:jc w:val="center"/>
              <w:rPr>
                <w:rFonts w:cs="Arial"/>
                <w:bCs/>
                <w:szCs w:val="22"/>
              </w:rPr>
            </w:pPr>
            <w:r w:rsidRPr="003C52B7">
              <w:rPr>
                <w:rFonts w:cs="Arial"/>
                <w:bCs/>
                <w:szCs w:val="22"/>
              </w:rPr>
              <w:t>72%</w:t>
            </w:r>
          </w:p>
        </w:tc>
      </w:tr>
    </w:tbl>
    <w:p w14:paraId="02EA1C44" w14:textId="713B016A" w:rsidR="003C52B7" w:rsidRPr="0045789A" w:rsidRDefault="003C52B7" w:rsidP="0045789A">
      <w:pPr>
        <w:pStyle w:val="Footer"/>
      </w:pPr>
      <w:r w:rsidRPr="00EE12B4">
        <w:t>*</w:t>
      </w:r>
      <w:r w:rsidR="0045789A">
        <w:t xml:space="preserve"> </w:t>
      </w:r>
      <w:r w:rsidRPr="0045789A">
        <w:t>Includes patients without measurable disease at baseline by independent radiology</w:t>
      </w:r>
    </w:p>
    <w:p w14:paraId="6A4AFDE5" w14:textId="44B8C3FD" w:rsidR="003C52B7" w:rsidRPr="0045789A" w:rsidRDefault="003C52B7" w:rsidP="0045789A">
      <w:pPr>
        <w:pStyle w:val="Footer"/>
      </w:pPr>
      <w:r w:rsidRPr="0045789A">
        <w:t>†</w:t>
      </w:r>
      <w:r w:rsidR="0045789A">
        <w:t xml:space="preserve"> </w:t>
      </w:r>
      <w:r w:rsidRPr="0045789A">
        <w:t>IRO = Independent radiology plus oncologist review using RECIST 1.1</w:t>
      </w:r>
    </w:p>
    <w:p w14:paraId="1C0C1F3A" w14:textId="77777777" w:rsidR="000B4EB3" w:rsidRDefault="003C52B7" w:rsidP="0045789A">
      <w:pPr>
        <w:pStyle w:val="Footer"/>
      </w:pPr>
      <w:r w:rsidRPr="0045789A">
        <w:t>‡</w:t>
      </w:r>
      <w:r w:rsidR="0045789A">
        <w:t xml:space="preserve"> </w:t>
      </w:r>
      <w:r w:rsidRPr="0045789A">
        <w:t>Based on best response of stable disease or better</w:t>
      </w:r>
    </w:p>
    <w:p w14:paraId="12EB60AD" w14:textId="77C357CC" w:rsidR="003C52B7" w:rsidRPr="0045789A" w:rsidRDefault="003C52B7" w:rsidP="0045789A">
      <w:pPr>
        <w:pStyle w:val="Footer"/>
      </w:pPr>
      <w:r w:rsidRPr="0045789A">
        <w:t xml:space="preserve">§ </w:t>
      </w:r>
      <w:r w:rsidRPr="0045789A">
        <w:tab/>
        <w:t xml:space="preserve">Based on patients with a confirmed response by independent review, starting from the date the response was first recorded; n=22 for patients previously treated with </w:t>
      </w:r>
      <w:proofErr w:type="spellStart"/>
      <w:r w:rsidRPr="0045789A">
        <w:t>ipilimumab</w:t>
      </w:r>
      <w:proofErr w:type="spellEnd"/>
      <w:r w:rsidRPr="0045789A">
        <w:t xml:space="preserve">; n=17 for patients naïve to treatment with </w:t>
      </w:r>
      <w:proofErr w:type="spellStart"/>
      <w:r w:rsidRPr="0045789A">
        <w:t>ipilimumab</w:t>
      </w:r>
      <w:proofErr w:type="spellEnd"/>
    </w:p>
    <w:p w14:paraId="6AE88351" w14:textId="0BA6CD22" w:rsidR="003C52B7" w:rsidRPr="0045789A" w:rsidRDefault="003C52B7" w:rsidP="0045789A">
      <w:pPr>
        <w:pStyle w:val="Footer"/>
      </w:pPr>
      <w:r w:rsidRPr="0045789A">
        <w:t>¶</w:t>
      </w:r>
      <w:r w:rsidR="0045789A">
        <w:t xml:space="preserve"> </w:t>
      </w:r>
      <w:r w:rsidRPr="0045789A">
        <w:t>Responders were followed for a minimum of 12 months after initiation of therapy</w:t>
      </w:r>
    </w:p>
    <w:p w14:paraId="7502BCA6" w14:textId="31EA7C14" w:rsidR="003C52B7" w:rsidRPr="0045789A" w:rsidRDefault="003C52B7" w:rsidP="0045789A">
      <w:pPr>
        <w:pStyle w:val="Footer"/>
        <w:tabs>
          <w:tab w:val="left" w:pos="783"/>
        </w:tabs>
      </w:pPr>
      <w:r w:rsidRPr="0045789A">
        <w:t>#</w:t>
      </w:r>
      <w:r w:rsidR="0045789A">
        <w:t xml:space="preserve"> </w:t>
      </w:r>
      <w:r w:rsidRPr="0045789A">
        <w:t>Responders were followed for a minimum of 15 months after initiation of therapy</w:t>
      </w:r>
    </w:p>
    <w:p w14:paraId="3BD54D1D" w14:textId="77777777" w:rsidR="000B4EB3" w:rsidRDefault="000903B2" w:rsidP="008476E9">
      <w:pPr>
        <w:autoSpaceDE w:val="0"/>
        <w:autoSpaceDN w:val="0"/>
        <w:adjustRightInd w:val="0"/>
        <w:rPr>
          <w:rFonts w:cs="Arial"/>
          <w:szCs w:val="22"/>
        </w:rPr>
      </w:pPr>
      <w:r w:rsidRPr="00343CB7">
        <w:rPr>
          <w:rFonts w:cs="Arial"/>
          <w:szCs w:val="22"/>
        </w:rPr>
        <w:t>Results for patients previously treated with ipilimumab (n=</w:t>
      </w:r>
      <w:r w:rsidR="003C52B7">
        <w:rPr>
          <w:rFonts w:cs="Arial"/>
          <w:szCs w:val="22"/>
        </w:rPr>
        <w:t>84</w:t>
      </w:r>
      <w:r w:rsidRPr="004172BA">
        <w:rPr>
          <w:rFonts w:cs="Arial"/>
          <w:szCs w:val="22"/>
        </w:rPr>
        <w:t>) and naïve to treatment with ipilimumab (n=</w:t>
      </w:r>
      <w:r w:rsidR="003C52B7">
        <w:rPr>
          <w:rFonts w:cs="Arial"/>
          <w:szCs w:val="22"/>
        </w:rPr>
        <w:t>52</w:t>
      </w:r>
      <w:r w:rsidRPr="004172BA">
        <w:rPr>
          <w:rFonts w:cs="Arial"/>
          <w:szCs w:val="22"/>
        </w:rPr>
        <w:t xml:space="preserve">) who received 10 mg/kg of KEYTRUDA every 3 weeks were similar to those seen in patients who </w:t>
      </w:r>
      <w:r w:rsidRPr="00343CB7">
        <w:rPr>
          <w:rFonts w:cs="Arial"/>
          <w:szCs w:val="22"/>
        </w:rPr>
        <w:t>received 2 mg/kg of KEYTRUDA every 3 weeks.</w:t>
      </w:r>
    </w:p>
    <w:p w14:paraId="127456CF" w14:textId="1816C020" w:rsidR="006F0F4C" w:rsidRDefault="006F0F4C" w:rsidP="006F0F4C">
      <w:pPr>
        <w:pStyle w:val="Heading2"/>
      </w:pPr>
      <w:r>
        <w:lastRenderedPageBreak/>
        <w:t>Non-Small Cell Lung Carcinoma</w:t>
      </w:r>
    </w:p>
    <w:p w14:paraId="14330D62" w14:textId="77777777" w:rsidR="006F0F4C" w:rsidRPr="00A96C59" w:rsidRDefault="006F0F4C" w:rsidP="0045789A">
      <w:pPr>
        <w:pStyle w:val="Heading3"/>
        <w:rPr>
          <w:rFonts w:eastAsia="Arial,Bold"/>
          <w:lang w:val="en-US"/>
        </w:rPr>
      </w:pPr>
      <w:r w:rsidRPr="00A96C59">
        <w:rPr>
          <w:rFonts w:eastAsia="Arial,Bold"/>
          <w:lang w:val="en-US"/>
        </w:rPr>
        <w:t>KEYNOTE-024: Controlled trial of NSCLC patients naïve to treatment</w:t>
      </w:r>
    </w:p>
    <w:p w14:paraId="05951556" w14:textId="652D3D87" w:rsidR="006F0F4C" w:rsidRPr="006D61A2" w:rsidRDefault="006F0F4C" w:rsidP="006F0F4C">
      <w:pPr>
        <w:tabs>
          <w:tab w:val="clear" w:pos="-720"/>
          <w:tab w:val="clear" w:pos="4513"/>
          <w:tab w:val="clear" w:pos="10348"/>
        </w:tabs>
        <w:suppressAutoHyphens w:val="0"/>
        <w:autoSpaceDE w:val="0"/>
        <w:autoSpaceDN w:val="0"/>
        <w:adjustRightInd w:val="0"/>
        <w:rPr>
          <w:rFonts w:eastAsia="Arial,Bold" w:cs="Arial"/>
          <w:szCs w:val="22"/>
          <w:lang w:val="en-US"/>
        </w:rPr>
      </w:pPr>
      <w:r w:rsidRPr="006D61A2">
        <w:rPr>
          <w:rFonts w:eastAsia="Arial,Bold" w:cs="Arial"/>
          <w:szCs w:val="22"/>
          <w:lang w:val="en-US"/>
        </w:rPr>
        <w:t xml:space="preserve">The efficacy of KEYTRUDA was investigated in KEYNOTE-024, a multicenter, randomized, controlled trial. Key eligibility criteria were metastatic NSCLC, PD-L1 expression </w:t>
      </w:r>
      <w:r>
        <w:rPr>
          <w:rFonts w:eastAsia="Arial,Bold" w:cs="Arial"/>
          <w:szCs w:val="22"/>
          <w:lang w:val="en-US"/>
        </w:rPr>
        <w:t>tumour</w:t>
      </w:r>
      <w:r w:rsidRPr="006D61A2">
        <w:rPr>
          <w:rFonts w:eastAsia="Arial,Bold" w:cs="Arial"/>
          <w:szCs w:val="22"/>
          <w:lang w:val="en-US"/>
        </w:rPr>
        <w:t xml:space="preserve"> proportion score (TPS) of 50% or greater by an immunohistochemistry assay using the PD-L1 IHC 22C3 </w:t>
      </w:r>
      <w:proofErr w:type="spellStart"/>
      <w:r w:rsidRPr="006D61A2">
        <w:rPr>
          <w:rFonts w:eastAsia="Arial,Bold" w:cs="Arial"/>
          <w:szCs w:val="22"/>
          <w:lang w:val="en-US"/>
        </w:rPr>
        <w:t>pharmDx</w:t>
      </w:r>
      <w:proofErr w:type="spellEnd"/>
      <w:r w:rsidRPr="006D61A2">
        <w:rPr>
          <w:rFonts w:eastAsia="Arial,Bold" w:cs="Arial"/>
          <w:szCs w:val="22"/>
          <w:lang w:val="en-US"/>
        </w:rPr>
        <w:t xml:space="preserve"> Kit, and no prior systemic treatment for metastatic NSCLC. Patients with EGFR or ALK genomic </w:t>
      </w:r>
      <w:r>
        <w:rPr>
          <w:rFonts w:eastAsia="Arial,Bold" w:cs="Arial"/>
          <w:szCs w:val="22"/>
          <w:lang w:val="en-US"/>
        </w:rPr>
        <w:t>tumour</w:t>
      </w:r>
      <w:r w:rsidRPr="006D61A2">
        <w:rPr>
          <w:rFonts w:eastAsia="Arial,Bold" w:cs="Arial"/>
          <w:szCs w:val="22"/>
          <w:lang w:val="en-US"/>
        </w:rPr>
        <w:t xml:space="preserve"> aberrations; autoimmune disease that required systemic therapy within 2 years of treatment; a medical condition that required immunosuppression; who had received more than 30 Gy of thoracic radiation within the prior 26 weeks</w:t>
      </w:r>
      <w:r w:rsidRPr="00CF7A02">
        <w:rPr>
          <w:rFonts w:eastAsia="Arial,Bold" w:cs="Arial"/>
          <w:szCs w:val="22"/>
          <w:lang w:val="en-US"/>
        </w:rPr>
        <w:t xml:space="preserve">; </w:t>
      </w:r>
      <w:r w:rsidRPr="00024E2E">
        <w:rPr>
          <w:rFonts w:eastAsia="Arial,Bold" w:cs="Arial"/>
          <w:szCs w:val="22"/>
          <w:lang w:val="en-US"/>
        </w:rPr>
        <w:t xml:space="preserve">with an </w:t>
      </w:r>
      <w:r w:rsidRPr="00024E2E">
        <w:rPr>
          <w:rFonts w:eastAsia="Arial,Bold" w:cs="Arial"/>
          <w:szCs w:val="22"/>
        </w:rPr>
        <w:t>ECOG performance status &gt; 1</w:t>
      </w:r>
      <w:r>
        <w:rPr>
          <w:rFonts w:eastAsia="Arial,Bold" w:cs="Arial"/>
          <w:szCs w:val="22"/>
        </w:rPr>
        <w:t>; with</w:t>
      </w:r>
      <w:r w:rsidRPr="00024E2E">
        <w:rPr>
          <w:rFonts w:eastAsia="Arial,Bold" w:cs="Arial"/>
          <w:szCs w:val="22"/>
        </w:rPr>
        <w:t xml:space="preserve"> significant organ dysfunction; </w:t>
      </w:r>
      <w:r w:rsidRPr="00024E2E">
        <w:rPr>
          <w:rFonts w:eastAsia="Arial,Bold" w:cs="Arial"/>
          <w:szCs w:val="22"/>
          <w:lang w:val="en-US"/>
        </w:rPr>
        <w:t>or with untreated brain metastases</w:t>
      </w:r>
      <w:r w:rsidRPr="006D61A2">
        <w:rPr>
          <w:rFonts w:eastAsia="Arial,Bold" w:cs="Arial"/>
          <w:szCs w:val="22"/>
          <w:lang w:val="en-US"/>
        </w:rPr>
        <w:t xml:space="preserve"> were ineligible. </w:t>
      </w:r>
      <w:r w:rsidRPr="00024E2E">
        <w:rPr>
          <w:rFonts w:eastAsia="Arial,Bold" w:cs="Arial"/>
          <w:szCs w:val="22"/>
        </w:rPr>
        <w:t>Patients with treated brain metastases were eligible if neurologically returned to baseline prior to enrolment</w:t>
      </w:r>
      <w:r w:rsidRPr="00A77DB6">
        <w:rPr>
          <w:rFonts w:eastAsia="Arial,Bold" w:cs="Arial"/>
          <w:szCs w:val="22"/>
        </w:rPr>
        <w:t xml:space="preserve"> and off corticosteroids.</w:t>
      </w:r>
      <w:r>
        <w:rPr>
          <w:rFonts w:eastAsia="Arial,Bold" w:cs="Arial"/>
          <w:szCs w:val="22"/>
        </w:rPr>
        <w:t xml:space="preserve"> </w:t>
      </w:r>
      <w:r w:rsidRPr="006D61A2">
        <w:rPr>
          <w:rFonts w:eastAsia="Arial,Bold" w:cs="Arial"/>
          <w:szCs w:val="22"/>
          <w:lang w:val="en-US"/>
        </w:rPr>
        <w:t xml:space="preserve">Patients were randomized (1:1) to receive KEYTRUDA 200 mg every 3 weeks (n=154) or investigator’s choice platinum-containing chemotherapy (n=151; including </w:t>
      </w:r>
      <w:proofErr w:type="spellStart"/>
      <w:r w:rsidRPr="006D61A2">
        <w:rPr>
          <w:rFonts w:eastAsia="Arial,Bold" w:cs="Arial"/>
          <w:szCs w:val="22"/>
          <w:lang w:val="en-US"/>
        </w:rPr>
        <w:t>pemetrexed+carboplatin</w:t>
      </w:r>
      <w:proofErr w:type="spellEnd"/>
      <w:r w:rsidRPr="006D61A2">
        <w:rPr>
          <w:rFonts w:eastAsia="Arial,Bold" w:cs="Arial"/>
          <w:szCs w:val="22"/>
          <w:lang w:val="en-US"/>
        </w:rPr>
        <w:t xml:space="preserve">, </w:t>
      </w:r>
      <w:proofErr w:type="spellStart"/>
      <w:r w:rsidRPr="006D61A2">
        <w:rPr>
          <w:rFonts w:eastAsia="Arial,Bold" w:cs="Arial"/>
          <w:szCs w:val="22"/>
          <w:lang w:val="en-US"/>
        </w:rPr>
        <w:t>pemetrexed+cisplatin</w:t>
      </w:r>
      <w:proofErr w:type="spellEnd"/>
      <w:r w:rsidRPr="006D61A2">
        <w:rPr>
          <w:rFonts w:eastAsia="Arial,Bold" w:cs="Arial"/>
          <w:szCs w:val="22"/>
          <w:lang w:val="en-US"/>
        </w:rPr>
        <w:t xml:space="preserve">, </w:t>
      </w:r>
      <w:proofErr w:type="spellStart"/>
      <w:r w:rsidRPr="006D61A2">
        <w:rPr>
          <w:rFonts w:eastAsia="Arial,Bold" w:cs="Arial"/>
          <w:szCs w:val="22"/>
          <w:lang w:val="en-US"/>
        </w:rPr>
        <w:t>gemcitabine+cisplatin</w:t>
      </w:r>
      <w:proofErr w:type="spellEnd"/>
      <w:r w:rsidRPr="006D61A2">
        <w:rPr>
          <w:rFonts w:eastAsia="Arial,Bold" w:cs="Arial"/>
          <w:szCs w:val="22"/>
          <w:lang w:val="en-US"/>
        </w:rPr>
        <w:t xml:space="preserve">, </w:t>
      </w:r>
      <w:proofErr w:type="spellStart"/>
      <w:r w:rsidRPr="006D61A2">
        <w:rPr>
          <w:rFonts w:eastAsia="Arial,Bold" w:cs="Arial"/>
          <w:szCs w:val="22"/>
          <w:lang w:val="en-US"/>
        </w:rPr>
        <w:t>gemcitabine+carboplatin</w:t>
      </w:r>
      <w:proofErr w:type="spellEnd"/>
      <w:r w:rsidRPr="006D61A2">
        <w:rPr>
          <w:rFonts w:eastAsia="Arial,Bold" w:cs="Arial"/>
          <w:szCs w:val="22"/>
          <w:lang w:val="en-US"/>
        </w:rPr>
        <w:t xml:space="preserve">, or </w:t>
      </w:r>
      <w:proofErr w:type="spellStart"/>
      <w:r w:rsidRPr="006D61A2">
        <w:rPr>
          <w:rFonts w:eastAsia="Arial,Bold" w:cs="Arial"/>
          <w:szCs w:val="22"/>
          <w:lang w:val="en-US"/>
        </w:rPr>
        <w:t>paclitaxel+carboplatin</w:t>
      </w:r>
      <w:proofErr w:type="spellEnd"/>
      <w:r w:rsidRPr="006D61A2">
        <w:rPr>
          <w:rFonts w:eastAsia="Arial,Bold" w:cs="Arial"/>
          <w:szCs w:val="22"/>
          <w:lang w:val="en-US"/>
        </w:rPr>
        <w:t>. Non-squamous patients could receive pemetrexed maintenance).</w:t>
      </w:r>
      <w:r>
        <w:rPr>
          <w:rFonts w:eastAsia="Arial,Bold" w:cs="Arial"/>
          <w:szCs w:val="22"/>
          <w:lang w:val="en-US"/>
        </w:rPr>
        <w:t xml:space="preserve"> </w:t>
      </w:r>
      <w:r w:rsidRPr="006D61A2">
        <w:rPr>
          <w:rFonts w:eastAsia="Arial,Bold" w:cs="Arial"/>
          <w:szCs w:val="22"/>
          <w:lang w:val="en-US"/>
        </w:rPr>
        <w:t>Patients were treated with KEYTRUDA until unacceptable toxicity or disease progression</w:t>
      </w:r>
      <w:r>
        <w:rPr>
          <w:rFonts w:eastAsia="Arial,Bold" w:cs="Arial"/>
          <w:szCs w:val="22"/>
          <w:lang w:val="en-US"/>
        </w:rPr>
        <w:t>, up to a maximum of 35 treatments (24 months)</w:t>
      </w:r>
      <w:r w:rsidRPr="006D61A2">
        <w:rPr>
          <w:rFonts w:eastAsia="Arial,Bold" w:cs="Arial"/>
          <w:szCs w:val="22"/>
          <w:lang w:val="en-US"/>
        </w:rPr>
        <w:t>. Treatment could continue beyond disease progression if the patient was clinically stable and was considered to be deriving clinical benefit by the investigator</w:t>
      </w:r>
      <w:r w:rsidRPr="001456B6">
        <w:rPr>
          <w:rFonts w:cs="Arial"/>
        </w:rPr>
        <w:t>.</w:t>
      </w:r>
      <w:r w:rsidR="00C34691">
        <w:rPr>
          <w:rFonts w:cs="Arial"/>
        </w:rPr>
        <w:t xml:space="preserve"> </w:t>
      </w:r>
      <w:r w:rsidRPr="006D61A2">
        <w:rPr>
          <w:rFonts w:eastAsia="Arial,Bold" w:cs="Arial"/>
          <w:szCs w:val="22"/>
          <w:lang w:val="en-US"/>
        </w:rPr>
        <w:t xml:space="preserve">Assessment of </w:t>
      </w:r>
      <w:r w:rsidRPr="001C531E">
        <w:rPr>
          <w:rFonts w:eastAsia="Arial,Bold" w:cs="Arial"/>
          <w:szCs w:val="22"/>
          <w:lang w:val="en-GB"/>
        </w:rPr>
        <w:t>tumour</w:t>
      </w:r>
      <w:r w:rsidRPr="006D61A2">
        <w:rPr>
          <w:rFonts w:eastAsia="Arial,Bold" w:cs="Arial"/>
          <w:szCs w:val="22"/>
          <w:lang w:val="en-US"/>
        </w:rPr>
        <w:t xml:space="preserve"> status was performed every 9 weeks. Patients on chemotherapy who experienced independently-verified progression of disease were able to crossover and receive KEYTRUDA.</w:t>
      </w:r>
    </w:p>
    <w:p w14:paraId="5FCD226A" w14:textId="77777777" w:rsidR="006F0F4C" w:rsidRPr="006D61A2" w:rsidRDefault="006F0F4C" w:rsidP="006F0F4C">
      <w:pPr>
        <w:tabs>
          <w:tab w:val="clear" w:pos="-720"/>
          <w:tab w:val="clear" w:pos="4513"/>
          <w:tab w:val="clear" w:pos="10348"/>
        </w:tabs>
        <w:suppressAutoHyphens w:val="0"/>
        <w:autoSpaceDE w:val="0"/>
        <w:autoSpaceDN w:val="0"/>
        <w:adjustRightInd w:val="0"/>
        <w:rPr>
          <w:rFonts w:eastAsia="Arial,Bold" w:cs="Arial"/>
          <w:szCs w:val="22"/>
          <w:lang w:val="en-US"/>
        </w:rPr>
      </w:pPr>
      <w:r w:rsidRPr="006D61A2">
        <w:rPr>
          <w:rFonts w:eastAsia="Arial,Bold" w:cs="Arial"/>
          <w:szCs w:val="22"/>
          <w:lang w:val="en-US"/>
        </w:rPr>
        <w:t>Among the 305 patients in KEYNOTE-024, baseline characteristics were: median age 65 years (54% age 65 or older); 61% male; 82% White and 15% Asian; and 35% and 65% with an ECOG performance status 0 and 1, respectively.</w:t>
      </w:r>
      <w:r w:rsidRPr="00E144C3">
        <w:t xml:space="preserve"> </w:t>
      </w:r>
      <w:r>
        <w:rPr>
          <w:rFonts w:eastAsia="Arial,Bold" w:cs="Arial"/>
          <w:szCs w:val="22"/>
          <w:lang w:val="en-US"/>
        </w:rPr>
        <w:t>S</w:t>
      </w:r>
      <w:r w:rsidRPr="00E144C3">
        <w:rPr>
          <w:rFonts w:eastAsia="Arial,Bold" w:cs="Arial"/>
          <w:szCs w:val="22"/>
          <w:lang w:val="en-US"/>
        </w:rPr>
        <w:t xml:space="preserve">ubjects with ECOG performance status &gt; 1 and subjects with significant organ dysfunction were ineligible. </w:t>
      </w:r>
      <w:r w:rsidRPr="006D61A2">
        <w:rPr>
          <w:rFonts w:eastAsia="Arial,Bold" w:cs="Arial"/>
          <w:szCs w:val="22"/>
          <w:lang w:val="en-US"/>
        </w:rPr>
        <w:t>Disease characteristics were squamous (18%) and non</w:t>
      </w:r>
      <w:r>
        <w:rPr>
          <w:rFonts w:eastAsia="Arial,Bold" w:cs="Arial"/>
          <w:szCs w:val="22"/>
          <w:lang w:val="en-US"/>
        </w:rPr>
        <w:noBreakHyphen/>
      </w:r>
      <w:r w:rsidRPr="006D61A2">
        <w:rPr>
          <w:rFonts w:eastAsia="Arial,Bold" w:cs="Arial"/>
          <w:szCs w:val="22"/>
          <w:lang w:val="en-US"/>
        </w:rPr>
        <w:t>squamous (82%); M1 (99%); and brain metastases (9%).</w:t>
      </w:r>
    </w:p>
    <w:p w14:paraId="45508FD1" w14:textId="77777777" w:rsidR="006F0F4C" w:rsidRDefault="006F0F4C" w:rsidP="006F0F4C">
      <w:pPr>
        <w:tabs>
          <w:tab w:val="clear" w:pos="-720"/>
          <w:tab w:val="clear" w:pos="4513"/>
          <w:tab w:val="clear" w:pos="10348"/>
        </w:tabs>
        <w:suppressAutoHyphens w:val="0"/>
        <w:autoSpaceDE w:val="0"/>
        <w:autoSpaceDN w:val="0"/>
        <w:adjustRightInd w:val="0"/>
        <w:rPr>
          <w:rFonts w:eastAsia="Arial,Bold" w:cs="Arial"/>
          <w:szCs w:val="22"/>
          <w:lang w:val="en-US"/>
        </w:rPr>
      </w:pPr>
      <w:r w:rsidRPr="006D61A2">
        <w:rPr>
          <w:rFonts w:eastAsia="Arial,Bold" w:cs="Arial"/>
          <w:szCs w:val="22"/>
          <w:lang w:val="en-US"/>
        </w:rPr>
        <w:t xml:space="preserve">The primary efficacy outcome measure was PFS as assessed by blinded independent central review </w:t>
      </w:r>
      <w:r>
        <w:rPr>
          <w:rFonts w:eastAsia="Arial,Bold" w:cs="Arial"/>
          <w:szCs w:val="22"/>
          <w:lang w:val="en-US"/>
        </w:rPr>
        <w:t>(</w:t>
      </w:r>
      <w:r w:rsidRPr="006D61A2">
        <w:rPr>
          <w:rFonts w:eastAsia="Arial,Bold" w:cs="Arial"/>
          <w:szCs w:val="22"/>
          <w:lang w:val="en-US"/>
        </w:rPr>
        <w:t>BICR</w:t>
      </w:r>
      <w:r>
        <w:rPr>
          <w:rFonts w:eastAsia="Arial,Bold" w:cs="Arial"/>
          <w:szCs w:val="22"/>
          <w:lang w:val="en-US"/>
        </w:rPr>
        <w:t>)</w:t>
      </w:r>
      <w:r w:rsidRPr="006D61A2">
        <w:rPr>
          <w:rFonts w:eastAsia="Arial,Bold" w:cs="Arial"/>
          <w:szCs w:val="22"/>
          <w:lang w:val="en-US"/>
        </w:rPr>
        <w:t xml:space="preserve"> using RECIST 1.1. Secondary efficacy outcome measures were OS and ORR (as assessed by </w:t>
      </w:r>
      <w:r>
        <w:rPr>
          <w:rFonts w:eastAsia="Arial,Bold" w:cs="Arial"/>
          <w:szCs w:val="22"/>
          <w:lang w:val="en-US"/>
        </w:rPr>
        <w:t>BICR using RECIST 1.1). Table 4</w:t>
      </w:r>
      <w:r w:rsidRPr="006D61A2">
        <w:rPr>
          <w:rFonts w:eastAsia="Arial,Bold" w:cs="Arial"/>
          <w:szCs w:val="22"/>
          <w:lang w:val="en-US"/>
        </w:rPr>
        <w:t xml:space="preserve"> summarizes key efficacy measures for the entire ITT population.</w:t>
      </w:r>
    </w:p>
    <w:p w14:paraId="1F4B784D" w14:textId="77777777" w:rsidR="006F0F4C" w:rsidRPr="00E25368" w:rsidRDefault="006F0F4C" w:rsidP="00E25368">
      <w:pPr>
        <w:pStyle w:val="Caption"/>
        <w:rPr>
          <w:rStyle w:val="Strong"/>
          <w:b/>
          <w:bCs/>
        </w:rPr>
      </w:pPr>
      <w:r w:rsidRPr="00E25368">
        <w:rPr>
          <w:rStyle w:val="Strong"/>
          <w:b/>
          <w:bCs/>
        </w:rPr>
        <w:t>Table 4: Efficacy Results in KEYNOTE-024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4: Efficacy Results in KEYNOTE-024"/>
      </w:tblPr>
      <w:tblGrid>
        <w:gridCol w:w="3937"/>
        <w:gridCol w:w="2958"/>
        <w:gridCol w:w="2960"/>
      </w:tblGrid>
      <w:tr w:rsidR="006F0F4C" w:rsidRPr="003C52B7" w14:paraId="6045807C" w14:textId="77777777" w:rsidTr="00E25368">
        <w:trPr>
          <w:tblHeader/>
          <w:jc w:val="center"/>
        </w:trPr>
        <w:tc>
          <w:tcPr>
            <w:tcW w:w="1997" w:type="pct"/>
            <w:shd w:val="clear" w:color="auto" w:fill="auto"/>
          </w:tcPr>
          <w:p w14:paraId="2D52DBF8" w14:textId="77777777" w:rsidR="006F0F4C" w:rsidRPr="003C52B7" w:rsidRDefault="006F0F4C" w:rsidP="00E25368">
            <w:pPr>
              <w:suppressAutoHyphens w:val="0"/>
              <w:autoSpaceDE w:val="0"/>
              <w:autoSpaceDN w:val="0"/>
              <w:adjustRightInd w:val="0"/>
              <w:rPr>
                <w:rFonts w:cs="Arial"/>
                <w:b/>
                <w:szCs w:val="22"/>
              </w:rPr>
            </w:pPr>
            <w:r w:rsidRPr="003C52B7">
              <w:rPr>
                <w:rFonts w:cs="Arial"/>
                <w:b/>
                <w:bCs/>
                <w:szCs w:val="22"/>
              </w:rPr>
              <w:t>Endpoint</w:t>
            </w:r>
          </w:p>
        </w:tc>
        <w:tc>
          <w:tcPr>
            <w:tcW w:w="1501" w:type="pct"/>
          </w:tcPr>
          <w:p w14:paraId="5ECD8332" w14:textId="77777777" w:rsidR="006F0F4C" w:rsidRPr="003C52B7" w:rsidRDefault="006F0F4C" w:rsidP="00E25368">
            <w:pPr>
              <w:suppressAutoHyphens w:val="0"/>
              <w:autoSpaceDE w:val="0"/>
              <w:autoSpaceDN w:val="0"/>
              <w:adjustRightInd w:val="0"/>
              <w:jc w:val="center"/>
              <w:rPr>
                <w:rFonts w:cs="Arial"/>
                <w:b/>
                <w:szCs w:val="22"/>
              </w:rPr>
            </w:pPr>
            <w:r>
              <w:rPr>
                <w:rFonts w:cs="Arial"/>
                <w:b/>
                <w:szCs w:val="22"/>
              </w:rPr>
              <w:t xml:space="preserve">KEYTRUDA </w:t>
            </w:r>
            <w:r>
              <w:rPr>
                <w:rFonts w:cs="Arial"/>
                <w:b/>
                <w:szCs w:val="22"/>
              </w:rPr>
              <w:br/>
              <w:t>200 mg every 3 weeks</w:t>
            </w:r>
            <w:r>
              <w:rPr>
                <w:rFonts w:cs="Arial"/>
                <w:b/>
                <w:szCs w:val="22"/>
              </w:rPr>
              <w:br/>
              <w:t>n=154</w:t>
            </w:r>
          </w:p>
        </w:tc>
        <w:tc>
          <w:tcPr>
            <w:tcW w:w="1502" w:type="pct"/>
          </w:tcPr>
          <w:p w14:paraId="0D2F07A8" w14:textId="5EE405A3" w:rsidR="006F0F4C" w:rsidRPr="003C52B7" w:rsidRDefault="00E25368" w:rsidP="00E25368">
            <w:pPr>
              <w:suppressAutoHyphens w:val="0"/>
              <w:autoSpaceDE w:val="0"/>
              <w:autoSpaceDN w:val="0"/>
              <w:adjustRightInd w:val="0"/>
              <w:jc w:val="center"/>
              <w:rPr>
                <w:rFonts w:cs="Arial"/>
                <w:b/>
                <w:szCs w:val="22"/>
              </w:rPr>
            </w:pPr>
            <w:r>
              <w:rPr>
                <w:rFonts w:cs="Arial"/>
                <w:b/>
                <w:szCs w:val="22"/>
              </w:rPr>
              <w:t>Chemotherapy</w:t>
            </w:r>
            <w:r w:rsidR="006F0F4C">
              <w:rPr>
                <w:rFonts w:cs="Arial"/>
                <w:b/>
                <w:szCs w:val="22"/>
              </w:rPr>
              <w:br/>
              <w:t>n=151</w:t>
            </w:r>
          </w:p>
        </w:tc>
      </w:tr>
      <w:tr w:rsidR="006F0F4C" w:rsidRPr="003C52B7" w14:paraId="486DF126" w14:textId="77777777" w:rsidTr="00ED6856">
        <w:trPr>
          <w:jc w:val="center"/>
        </w:trPr>
        <w:tc>
          <w:tcPr>
            <w:tcW w:w="1997" w:type="pct"/>
            <w:shd w:val="clear" w:color="auto" w:fill="auto"/>
          </w:tcPr>
          <w:p w14:paraId="655F07AF" w14:textId="77777777" w:rsidR="006F0F4C" w:rsidRPr="006D61A2" w:rsidRDefault="006F0F4C" w:rsidP="00E25368">
            <w:pPr>
              <w:suppressAutoHyphens w:val="0"/>
              <w:autoSpaceDE w:val="0"/>
              <w:autoSpaceDN w:val="0"/>
              <w:adjustRightInd w:val="0"/>
              <w:rPr>
                <w:rFonts w:cs="Arial"/>
                <w:b/>
                <w:szCs w:val="22"/>
              </w:rPr>
            </w:pPr>
            <w:r w:rsidRPr="006D61A2">
              <w:rPr>
                <w:rFonts w:cs="Arial"/>
                <w:b/>
                <w:szCs w:val="22"/>
              </w:rPr>
              <w:t>PFS</w:t>
            </w:r>
            <w:r>
              <w:rPr>
                <w:rFonts w:cs="Arial"/>
                <w:b/>
                <w:szCs w:val="22"/>
              </w:rPr>
              <w:t>*</w:t>
            </w:r>
          </w:p>
        </w:tc>
        <w:tc>
          <w:tcPr>
            <w:tcW w:w="1501" w:type="pct"/>
          </w:tcPr>
          <w:p w14:paraId="09B6C155" w14:textId="77777777" w:rsidR="006F0F4C" w:rsidRPr="003C52B7" w:rsidRDefault="006F0F4C" w:rsidP="00E25368">
            <w:pPr>
              <w:suppressAutoHyphens w:val="0"/>
              <w:autoSpaceDE w:val="0"/>
              <w:autoSpaceDN w:val="0"/>
              <w:adjustRightInd w:val="0"/>
              <w:jc w:val="center"/>
              <w:rPr>
                <w:rFonts w:cs="Arial"/>
                <w:bCs/>
                <w:szCs w:val="22"/>
              </w:rPr>
            </w:pPr>
          </w:p>
        </w:tc>
        <w:tc>
          <w:tcPr>
            <w:tcW w:w="1502" w:type="pct"/>
          </w:tcPr>
          <w:p w14:paraId="43239DEA" w14:textId="77777777" w:rsidR="006F0F4C" w:rsidRPr="003C52B7" w:rsidRDefault="006F0F4C" w:rsidP="00E25368">
            <w:pPr>
              <w:suppressAutoHyphens w:val="0"/>
              <w:autoSpaceDE w:val="0"/>
              <w:autoSpaceDN w:val="0"/>
              <w:adjustRightInd w:val="0"/>
              <w:jc w:val="center"/>
              <w:rPr>
                <w:rFonts w:cs="Arial"/>
                <w:bCs/>
                <w:szCs w:val="22"/>
              </w:rPr>
            </w:pPr>
          </w:p>
        </w:tc>
      </w:tr>
      <w:tr w:rsidR="006F0F4C" w:rsidRPr="003C52B7" w14:paraId="50366893" w14:textId="77777777" w:rsidTr="00ED6856">
        <w:trPr>
          <w:jc w:val="center"/>
        </w:trPr>
        <w:tc>
          <w:tcPr>
            <w:tcW w:w="1997" w:type="pct"/>
            <w:shd w:val="clear" w:color="auto" w:fill="auto"/>
          </w:tcPr>
          <w:p w14:paraId="3CC92229" w14:textId="77777777" w:rsidR="006F0F4C" w:rsidRPr="003C52B7" w:rsidRDefault="006F0F4C" w:rsidP="00E25368">
            <w:pPr>
              <w:suppressAutoHyphens w:val="0"/>
              <w:autoSpaceDE w:val="0"/>
              <w:autoSpaceDN w:val="0"/>
              <w:adjustRightInd w:val="0"/>
              <w:ind w:left="150"/>
              <w:rPr>
                <w:rFonts w:cs="Arial"/>
                <w:szCs w:val="22"/>
              </w:rPr>
            </w:pPr>
            <w:r>
              <w:rPr>
                <w:rFonts w:cs="Arial"/>
                <w:sz w:val="20"/>
                <w:lang w:val="en-US"/>
              </w:rPr>
              <w:t xml:space="preserve">Number (%) of patients with event </w:t>
            </w:r>
          </w:p>
        </w:tc>
        <w:tc>
          <w:tcPr>
            <w:tcW w:w="1501" w:type="pct"/>
          </w:tcPr>
          <w:p w14:paraId="0B305331" w14:textId="77777777" w:rsidR="006F0F4C" w:rsidRPr="003C52B7" w:rsidRDefault="006F0F4C" w:rsidP="00E25368">
            <w:pPr>
              <w:suppressAutoHyphens w:val="0"/>
              <w:autoSpaceDE w:val="0"/>
              <w:autoSpaceDN w:val="0"/>
              <w:adjustRightInd w:val="0"/>
              <w:jc w:val="center"/>
              <w:rPr>
                <w:rFonts w:cs="Arial"/>
                <w:bCs/>
                <w:szCs w:val="22"/>
              </w:rPr>
            </w:pPr>
            <w:r>
              <w:rPr>
                <w:rFonts w:cs="Arial"/>
                <w:sz w:val="20"/>
                <w:lang w:val="en-US"/>
              </w:rPr>
              <w:t>73 (47%)</w:t>
            </w:r>
          </w:p>
        </w:tc>
        <w:tc>
          <w:tcPr>
            <w:tcW w:w="1502" w:type="pct"/>
          </w:tcPr>
          <w:p w14:paraId="57F43F8A" w14:textId="77777777" w:rsidR="006F0F4C" w:rsidRPr="003C52B7" w:rsidRDefault="006F0F4C" w:rsidP="00E25368">
            <w:pPr>
              <w:suppressAutoHyphens w:val="0"/>
              <w:autoSpaceDE w:val="0"/>
              <w:autoSpaceDN w:val="0"/>
              <w:adjustRightInd w:val="0"/>
              <w:jc w:val="center"/>
              <w:rPr>
                <w:rFonts w:cs="Arial"/>
                <w:bCs/>
                <w:szCs w:val="22"/>
              </w:rPr>
            </w:pPr>
            <w:r>
              <w:rPr>
                <w:rFonts w:cs="Arial"/>
                <w:sz w:val="20"/>
                <w:lang w:val="en-US"/>
              </w:rPr>
              <w:t>116 (77%)</w:t>
            </w:r>
          </w:p>
        </w:tc>
      </w:tr>
      <w:tr w:rsidR="006F0F4C" w:rsidRPr="003C52B7" w14:paraId="6150E72C" w14:textId="77777777" w:rsidTr="00ED6856">
        <w:trPr>
          <w:jc w:val="center"/>
        </w:trPr>
        <w:tc>
          <w:tcPr>
            <w:tcW w:w="1997" w:type="pct"/>
            <w:shd w:val="clear" w:color="auto" w:fill="auto"/>
          </w:tcPr>
          <w:p w14:paraId="5256A844" w14:textId="77777777" w:rsidR="006F0F4C" w:rsidRPr="003C52B7" w:rsidRDefault="006F0F4C" w:rsidP="00E25368">
            <w:pPr>
              <w:suppressAutoHyphens w:val="0"/>
              <w:autoSpaceDE w:val="0"/>
              <w:autoSpaceDN w:val="0"/>
              <w:adjustRightInd w:val="0"/>
              <w:ind w:left="150"/>
              <w:rPr>
                <w:rFonts w:cs="Arial"/>
                <w:szCs w:val="22"/>
              </w:rPr>
            </w:pPr>
            <w:r>
              <w:rPr>
                <w:rFonts w:cs="Arial"/>
                <w:sz w:val="20"/>
                <w:lang w:val="en-US"/>
              </w:rPr>
              <w:t>Hazard ratio</w:t>
            </w:r>
            <w:r w:rsidRPr="006D61A2">
              <w:rPr>
                <w:rFonts w:cs="Arial"/>
                <w:bCs/>
                <w:sz w:val="20"/>
                <w:vertAlign w:val="superscript"/>
              </w:rPr>
              <w:t>†</w:t>
            </w:r>
            <w:r>
              <w:rPr>
                <w:rFonts w:cs="Arial"/>
                <w:sz w:val="13"/>
                <w:szCs w:val="13"/>
                <w:lang w:val="en-US"/>
              </w:rPr>
              <w:t xml:space="preserve"> </w:t>
            </w:r>
            <w:r>
              <w:rPr>
                <w:rFonts w:cs="Arial"/>
                <w:sz w:val="20"/>
                <w:lang w:val="en-US"/>
              </w:rPr>
              <w:t>(95% CI)</w:t>
            </w:r>
          </w:p>
        </w:tc>
        <w:tc>
          <w:tcPr>
            <w:tcW w:w="1501" w:type="pct"/>
          </w:tcPr>
          <w:p w14:paraId="618222E0" w14:textId="77777777" w:rsidR="006F0F4C" w:rsidRPr="003C52B7" w:rsidRDefault="006F0F4C" w:rsidP="00E25368">
            <w:pPr>
              <w:suppressAutoHyphens w:val="0"/>
              <w:autoSpaceDE w:val="0"/>
              <w:autoSpaceDN w:val="0"/>
              <w:adjustRightInd w:val="0"/>
              <w:jc w:val="center"/>
              <w:rPr>
                <w:rFonts w:cs="Arial"/>
                <w:bCs/>
                <w:szCs w:val="22"/>
              </w:rPr>
            </w:pPr>
            <w:r>
              <w:rPr>
                <w:rFonts w:cs="Arial"/>
                <w:sz w:val="20"/>
                <w:lang w:val="en-US"/>
              </w:rPr>
              <w:t>0.50 (0.37, 0.68)</w:t>
            </w:r>
          </w:p>
        </w:tc>
        <w:tc>
          <w:tcPr>
            <w:tcW w:w="1502" w:type="pct"/>
          </w:tcPr>
          <w:p w14:paraId="5880D3F9" w14:textId="77777777" w:rsidR="006F0F4C" w:rsidRPr="003C52B7" w:rsidRDefault="006F0F4C" w:rsidP="00E25368">
            <w:pPr>
              <w:suppressAutoHyphens w:val="0"/>
              <w:autoSpaceDE w:val="0"/>
              <w:autoSpaceDN w:val="0"/>
              <w:adjustRightInd w:val="0"/>
              <w:jc w:val="center"/>
              <w:rPr>
                <w:rFonts w:cs="Arial"/>
                <w:bCs/>
                <w:szCs w:val="22"/>
              </w:rPr>
            </w:pPr>
            <w:r>
              <w:rPr>
                <w:rFonts w:cs="Arial"/>
                <w:bCs/>
                <w:szCs w:val="22"/>
              </w:rPr>
              <w:t>---</w:t>
            </w:r>
          </w:p>
        </w:tc>
      </w:tr>
      <w:tr w:rsidR="006F0F4C" w:rsidRPr="003C52B7" w14:paraId="167D495D" w14:textId="77777777" w:rsidTr="00ED6856">
        <w:trPr>
          <w:trHeight w:val="178"/>
          <w:jc w:val="center"/>
        </w:trPr>
        <w:tc>
          <w:tcPr>
            <w:tcW w:w="1997" w:type="pct"/>
            <w:shd w:val="clear" w:color="auto" w:fill="auto"/>
          </w:tcPr>
          <w:p w14:paraId="77C17C84" w14:textId="77777777" w:rsidR="006F0F4C" w:rsidRPr="003C52B7" w:rsidRDefault="006F0F4C" w:rsidP="00E25368">
            <w:pPr>
              <w:suppressAutoHyphens w:val="0"/>
              <w:autoSpaceDE w:val="0"/>
              <w:autoSpaceDN w:val="0"/>
              <w:adjustRightInd w:val="0"/>
              <w:ind w:left="150"/>
              <w:rPr>
                <w:rFonts w:cs="Arial"/>
                <w:bCs/>
                <w:szCs w:val="22"/>
              </w:rPr>
            </w:pPr>
            <w:r>
              <w:rPr>
                <w:rFonts w:cs="Arial"/>
                <w:bCs/>
                <w:szCs w:val="22"/>
              </w:rPr>
              <w:t>p-Value</w:t>
            </w:r>
            <w:r w:rsidRPr="006D61A2">
              <w:rPr>
                <w:rFonts w:cs="Arial"/>
                <w:bCs/>
                <w:sz w:val="20"/>
                <w:vertAlign w:val="superscript"/>
              </w:rPr>
              <w:t>‡</w:t>
            </w:r>
          </w:p>
        </w:tc>
        <w:tc>
          <w:tcPr>
            <w:tcW w:w="1501" w:type="pct"/>
          </w:tcPr>
          <w:p w14:paraId="54D2C59E" w14:textId="77777777" w:rsidR="006F0F4C" w:rsidRPr="003C52B7" w:rsidRDefault="006F0F4C" w:rsidP="00E25368">
            <w:pPr>
              <w:suppressAutoHyphens w:val="0"/>
              <w:autoSpaceDE w:val="0"/>
              <w:autoSpaceDN w:val="0"/>
              <w:adjustRightInd w:val="0"/>
              <w:jc w:val="center"/>
              <w:rPr>
                <w:rFonts w:cs="Arial"/>
                <w:bCs/>
                <w:szCs w:val="22"/>
              </w:rPr>
            </w:pPr>
            <w:r>
              <w:rPr>
                <w:rFonts w:cs="Arial"/>
                <w:bCs/>
                <w:szCs w:val="22"/>
              </w:rPr>
              <w:t>&lt;0.001</w:t>
            </w:r>
          </w:p>
        </w:tc>
        <w:tc>
          <w:tcPr>
            <w:tcW w:w="1502" w:type="pct"/>
          </w:tcPr>
          <w:p w14:paraId="34F42D5E" w14:textId="77777777" w:rsidR="006F0F4C" w:rsidRPr="003C52B7" w:rsidRDefault="006F0F4C" w:rsidP="00E25368">
            <w:pPr>
              <w:suppressAutoHyphens w:val="0"/>
              <w:autoSpaceDE w:val="0"/>
              <w:autoSpaceDN w:val="0"/>
              <w:adjustRightInd w:val="0"/>
              <w:jc w:val="center"/>
              <w:rPr>
                <w:rFonts w:cs="Arial"/>
                <w:bCs/>
                <w:szCs w:val="22"/>
              </w:rPr>
            </w:pPr>
            <w:r>
              <w:rPr>
                <w:rFonts w:cs="Arial"/>
                <w:bCs/>
                <w:szCs w:val="22"/>
              </w:rPr>
              <w:t>---</w:t>
            </w:r>
          </w:p>
        </w:tc>
      </w:tr>
      <w:tr w:rsidR="006F0F4C" w:rsidRPr="003C52B7" w14:paraId="5C3EE518" w14:textId="77777777" w:rsidTr="00ED6856">
        <w:trPr>
          <w:jc w:val="center"/>
        </w:trPr>
        <w:tc>
          <w:tcPr>
            <w:tcW w:w="1997" w:type="pct"/>
            <w:shd w:val="clear" w:color="auto" w:fill="auto"/>
          </w:tcPr>
          <w:p w14:paraId="5F7442EF" w14:textId="77777777" w:rsidR="006F0F4C" w:rsidRPr="003C52B7" w:rsidRDefault="006F0F4C" w:rsidP="00E25368">
            <w:pPr>
              <w:suppressAutoHyphens w:val="0"/>
              <w:autoSpaceDE w:val="0"/>
              <w:autoSpaceDN w:val="0"/>
              <w:adjustRightInd w:val="0"/>
              <w:ind w:left="150"/>
              <w:rPr>
                <w:rFonts w:cs="Arial"/>
                <w:bCs/>
                <w:szCs w:val="22"/>
              </w:rPr>
            </w:pPr>
            <w:r>
              <w:rPr>
                <w:rFonts w:cs="Arial"/>
                <w:bCs/>
                <w:szCs w:val="22"/>
              </w:rPr>
              <w:t>Median in months (95% CI)</w:t>
            </w:r>
          </w:p>
        </w:tc>
        <w:tc>
          <w:tcPr>
            <w:tcW w:w="1501" w:type="pct"/>
          </w:tcPr>
          <w:p w14:paraId="0A38B5FA" w14:textId="77777777" w:rsidR="006F0F4C" w:rsidRPr="003C52B7" w:rsidRDefault="006F0F4C" w:rsidP="00E25368">
            <w:pPr>
              <w:suppressAutoHyphens w:val="0"/>
              <w:autoSpaceDE w:val="0"/>
              <w:autoSpaceDN w:val="0"/>
              <w:adjustRightInd w:val="0"/>
              <w:jc w:val="center"/>
              <w:rPr>
                <w:rFonts w:cs="Arial"/>
                <w:bCs/>
                <w:szCs w:val="22"/>
              </w:rPr>
            </w:pPr>
            <w:r w:rsidRPr="006D61A2">
              <w:rPr>
                <w:rFonts w:cs="Arial"/>
                <w:bCs/>
                <w:szCs w:val="22"/>
              </w:rPr>
              <w:t>10.3 (6.7, NA)</w:t>
            </w:r>
          </w:p>
        </w:tc>
        <w:tc>
          <w:tcPr>
            <w:tcW w:w="1502" w:type="pct"/>
          </w:tcPr>
          <w:p w14:paraId="3CA9E18E" w14:textId="77777777" w:rsidR="006F0F4C" w:rsidRPr="003C52B7" w:rsidRDefault="006F0F4C" w:rsidP="00E25368">
            <w:pPr>
              <w:suppressAutoHyphens w:val="0"/>
              <w:autoSpaceDE w:val="0"/>
              <w:autoSpaceDN w:val="0"/>
              <w:adjustRightInd w:val="0"/>
              <w:jc w:val="center"/>
              <w:rPr>
                <w:rFonts w:cs="Arial"/>
                <w:bCs/>
                <w:szCs w:val="22"/>
              </w:rPr>
            </w:pPr>
            <w:r w:rsidRPr="006D61A2">
              <w:rPr>
                <w:rFonts w:cs="Arial"/>
                <w:bCs/>
                <w:szCs w:val="22"/>
              </w:rPr>
              <w:t>6.0 (4.2, 6.2)</w:t>
            </w:r>
          </w:p>
        </w:tc>
      </w:tr>
      <w:tr w:rsidR="006F0F4C" w:rsidRPr="003C52B7" w14:paraId="4530A087" w14:textId="77777777" w:rsidTr="00ED6856">
        <w:trPr>
          <w:jc w:val="center"/>
        </w:trPr>
        <w:tc>
          <w:tcPr>
            <w:tcW w:w="1997" w:type="pct"/>
            <w:shd w:val="clear" w:color="auto" w:fill="auto"/>
          </w:tcPr>
          <w:p w14:paraId="73E7A1C2" w14:textId="77777777" w:rsidR="006F0F4C" w:rsidRPr="006D61A2" w:rsidRDefault="006F0F4C" w:rsidP="00E25368">
            <w:pPr>
              <w:suppressAutoHyphens w:val="0"/>
              <w:autoSpaceDE w:val="0"/>
              <w:autoSpaceDN w:val="0"/>
              <w:adjustRightInd w:val="0"/>
              <w:rPr>
                <w:rFonts w:cs="Arial"/>
                <w:b/>
                <w:bCs/>
                <w:szCs w:val="22"/>
              </w:rPr>
            </w:pPr>
            <w:r w:rsidRPr="006D61A2">
              <w:rPr>
                <w:rFonts w:cs="Arial"/>
                <w:b/>
                <w:bCs/>
                <w:szCs w:val="22"/>
              </w:rPr>
              <w:t>OS</w:t>
            </w:r>
          </w:p>
        </w:tc>
        <w:tc>
          <w:tcPr>
            <w:tcW w:w="1501" w:type="pct"/>
          </w:tcPr>
          <w:p w14:paraId="183579BA" w14:textId="77777777" w:rsidR="006F0F4C" w:rsidRPr="003C52B7" w:rsidRDefault="006F0F4C" w:rsidP="00E25368">
            <w:pPr>
              <w:suppressAutoHyphens w:val="0"/>
              <w:autoSpaceDE w:val="0"/>
              <w:autoSpaceDN w:val="0"/>
              <w:adjustRightInd w:val="0"/>
              <w:jc w:val="center"/>
              <w:rPr>
                <w:rFonts w:cs="Arial"/>
                <w:bCs/>
                <w:szCs w:val="22"/>
              </w:rPr>
            </w:pPr>
          </w:p>
        </w:tc>
        <w:tc>
          <w:tcPr>
            <w:tcW w:w="1502" w:type="pct"/>
          </w:tcPr>
          <w:p w14:paraId="568B9DC6" w14:textId="77777777" w:rsidR="006F0F4C" w:rsidRPr="003C52B7" w:rsidRDefault="006F0F4C" w:rsidP="00E25368">
            <w:pPr>
              <w:suppressAutoHyphens w:val="0"/>
              <w:autoSpaceDE w:val="0"/>
              <w:autoSpaceDN w:val="0"/>
              <w:adjustRightInd w:val="0"/>
              <w:jc w:val="center"/>
              <w:rPr>
                <w:rFonts w:cs="Arial"/>
                <w:bCs/>
                <w:szCs w:val="22"/>
              </w:rPr>
            </w:pPr>
          </w:p>
        </w:tc>
      </w:tr>
      <w:tr w:rsidR="006F0F4C" w:rsidRPr="003C52B7" w14:paraId="7C71830E" w14:textId="77777777" w:rsidTr="00ED6856">
        <w:trPr>
          <w:jc w:val="center"/>
        </w:trPr>
        <w:tc>
          <w:tcPr>
            <w:tcW w:w="1997" w:type="pct"/>
            <w:shd w:val="clear" w:color="auto" w:fill="auto"/>
          </w:tcPr>
          <w:p w14:paraId="758B2E96" w14:textId="77777777" w:rsidR="006F0F4C" w:rsidRPr="003C52B7" w:rsidRDefault="006F0F4C" w:rsidP="00E25368">
            <w:pPr>
              <w:suppressAutoHyphens w:val="0"/>
              <w:autoSpaceDE w:val="0"/>
              <w:autoSpaceDN w:val="0"/>
              <w:adjustRightInd w:val="0"/>
              <w:ind w:left="150"/>
              <w:rPr>
                <w:rFonts w:cs="Arial"/>
                <w:szCs w:val="22"/>
              </w:rPr>
            </w:pPr>
            <w:r w:rsidRPr="006D61A2">
              <w:rPr>
                <w:rFonts w:cs="Arial"/>
                <w:szCs w:val="22"/>
              </w:rPr>
              <w:t>Number (%) of patients with event</w:t>
            </w:r>
          </w:p>
        </w:tc>
        <w:tc>
          <w:tcPr>
            <w:tcW w:w="1501" w:type="pct"/>
          </w:tcPr>
          <w:p w14:paraId="77871EA2" w14:textId="77777777" w:rsidR="006F0F4C" w:rsidRPr="003C52B7" w:rsidRDefault="006F0F4C" w:rsidP="00E25368">
            <w:pPr>
              <w:suppressAutoHyphens w:val="0"/>
              <w:autoSpaceDE w:val="0"/>
              <w:autoSpaceDN w:val="0"/>
              <w:adjustRightInd w:val="0"/>
              <w:jc w:val="center"/>
              <w:rPr>
                <w:rFonts w:cs="Arial"/>
                <w:bCs/>
                <w:szCs w:val="22"/>
              </w:rPr>
            </w:pPr>
            <w:r w:rsidRPr="00304415">
              <w:rPr>
                <w:rFonts w:cs="Arial"/>
                <w:bCs/>
                <w:szCs w:val="22"/>
              </w:rPr>
              <w:t>44 (29%)</w:t>
            </w:r>
          </w:p>
        </w:tc>
        <w:tc>
          <w:tcPr>
            <w:tcW w:w="1502" w:type="pct"/>
          </w:tcPr>
          <w:p w14:paraId="15AF2D82" w14:textId="77777777" w:rsidR="006F0F4C" w:rsidRPr="003C52B7" w:rsidRDefault="006F0F4C" w:rsidP="00E25368">
            <w:pPr>
              <w:suppressAutoHyphens w:val="0"/>
              <w:autoSpaceDE w:val="0"/>
              <w:autoSpaceDN w:val="0"/>
              <w:adjustRightInd w:val="0"/>
              <w:jc w:val="center"/>
              <w:rPr>
                <w:rFonts w:cs="Arial"/>
                <w:bCs/>
                <w:szCs w:val="22"/>
              </w:rPr>
            </w:pPr>
            <w:r w:rsidRPr="00304415">
              <w:rPr>
                <w:rFonts w:cs="Arial"/>
                <w:bCs/>
                <w:szCs w:val="22"/>
              </w:rPr>
              <w:t>64 (42%)</w:t>
            </w:r>
          </w:p>
        </w:tc>
      </w:tr>
      <w:tr w:rsidR="006F0F4C" w:rsidRPr="003C52B7" w14:paraId="7C295BC5" w14:textId="77777777" w:rsidTr="00ED6856">
        <w:trPr>
          <w:jc w:val="center"/>
        </w:trPr>
        <w:tc>
          <w:tcPr>
            <w:tcW w:w="1997" w:type="pct"/>
            <w:shd w:val="clear" w:color="auto" w:fill="auto"/>
          </w:tcPr>
          <w:p w14:paraId="29BD9E15" w14:textId="77777777" w:rsidR="006F0F4C" w:rsidRPr="003C52B7" w:rsidRDefault="006F0F4C" w:rsidP="00E25368">
            <w:pPr>
              <w:suppressAutoHyphens w:val="0"/>
              <w:autoSpaceDE w:val="0"/>
              <w:autoSpaceDN w:val="0"/>
              <w:adjustRightInd w:val="0"/>
              <w:ind w:left="150"/>
              <w:rPr>
                <w:rFonts w:cs="Arial"/>
                <w:szCs w:val="22"/>
              </w:rPr>
            </w:pPr>
            <w:r w:rsidRPr="006D61A2">
              <w:rPr>
                <w:rFonts w:cs="Arial"/>
                <w:szCs w:val="22"/>
              </w:rPr>
              <w:t>Hazard ratio</w:t>
            </w:r>
            <w:r w:rsidRPr="006D61A2">
              <w:rPr>
                <w:rFonts w:cs="Arial"/>
                <w:szCs w:val="22"/>
                <w:vertAlign w:val="superscript"/>
              </w:rPr>
              <w:t>†</w:t>
            </w:r>
            <w:r w:rsidRPr="006D61A2">
              <w:rPr>
                <w:rFonts w:cs="Arial"/>
                <w:szCs w:val="22"/>
              </w:rPr>
              <w:t xml:space="preserve"> (95% CI)</w:t>
            </w:r>
          </w:p>
        </w:tc>
        <w:tc>
          <w:tcPr>
            <w:tcW w:w="1501" w:type="pct"/>
          </w:tcPr>
          <w:p w14:paraId="6A6657FB" w14:textId="77777777" w:rsidR="006F0F4C" w:rsidRPr="003C52B7" w:rsidRDefault="006F0F4C" w:rsidP="00E25368">
            <w:pPr>
              <w:suppressAutoHyphens w:val="0"/>
              <w:autoSpaceDE w:val="0"/>
              <w:autoSpaceDN w:val="0"/>
              <w:adjustRightInd w:val="0"/>
              <w:jc w:val="center"/>
              <w:rPr>
                <w:rFonts w:cs="Arial"/>
                <w:bCs/>
                <w:szCs w:val="22"/>
              </w:rPr>
            </w:pPr>
            <w:r w:rsidRPr="00304415">
              <w:rPr>
                <w:rFonts w:cs="Arial"/>
                <w:bCs/>
                <w:szCs w:val="22"/>
              </w:rPr>
              <w:t>0.60 (0.41, 0.89)</w:t>
            </w:r>
          </w:p>
        </w:tc>
        <w:tc>
          <w:tcPr>
            <w:tcW w:w="1502" w:type="pct"/>
          </w:tcPr>
          <w:p w14:paraId="734A158B" w14:textId="77777777" w:rsidR="006F0F4C" w:rsidRPr="003C52B7" w:rsidRDefault="006F0F4C" w:rsidP="00E25368">
            <w:pPr>
              <w:suppressAutoHyphens w:val="0"/>
              <w:autoSpaceDE w:val="0"/>
              <w:autoSpaceDN w:val="0"/>
              <w:adjustRightInd w:val="0"/>
              <w:jc w:val="center"/>
              <w:rPr>
                <w:rFonts w:cs="Arial"/>
                <w:bCs/>
                <w:szCs w:val="22"/>
              </w:rPr>
            </w:pPr>
          </w:p>
        </w:tc>
      </w:tr>
      <w:tr w:rsidR="006F0F4C" w:rsidRPr="003C52B7" w14:paraId="00980F42" w14:textId="77777777" w:rsidTr="00ED6856">
        <w:trPr>
          <w:trHeight w:val="178"/>
          <w:jc w:val="center"/>
        </w:trPr>
        <w:tc>
          <w:tcPr>
            <w:tcW w:w="1997" w:type="pct"/>
            <w:shd w:val="clear" w:color="auto" w:fill="auto"/>
          </w:tcPr>
          <w:p w14:paraId="59B29285" w14:textId="77777777" w:rsidR="006F0F4C" w:rsidRPr="003C52B7" w:rsidRDefault="006F0F4C" w:rsidP="00E25368">
            <w:pPr>
              <w:suppressAutoHyphens w:val="0"/>
              <w:autoSpaceDE w:val="0"/>
              <w:autoSpaceDN w:val="0"/>
              <w:adjustRightInd w:val="0"/>
              <w:ind w:left="150"/>
              <w:rPr>
                <w:rFonts w:cs="Arial"/>
                <w:bCs/>
                <w:szCs w:val="22"/>
              </w:rPr>
            </w:pPr>
            <w:r w:rsidRPr="006D61A2">
              <w:rPr>
                <w:rFonts w:cs="Arial"/>
                <w:bCs/>
                <w:szCs w:val="22"/>
              </w:rPr>
              <w:lastRenderedPageBreak/>
              <w:t>p-Value</w:t>
            </w:r>
            <w:r w:rsidRPr="006D61A2">
              <w:rPr>
                <w:rFonts w:cs="Arial"/>
                <w:bCs/>
                <w:szCs w:val="22"/>
                <w:vertAlign w:val="superscript"/>
              </w:rPr>
              <w:t>‡</w:t>
            </w:r>
          </w:p>
        </w:tc>
        <w:tc>
          <w:tcPr>
            <w:tcW w:w="1501" w:type="pct"/>
          </w:tcPr>
          <w:p w14:paraId="32ABDF32" w14:textId="77777777" w:rsidR="006F0F4C" w:rsidRPr="003C52B7" w:rsidRDefault="006F0F4C" w:rsidP="00E25368">
            <w:pPr>
              <w:suppressAutoHyphens w:val="0"/>
              <w:autoSpaceDE w:val="0"/>
              <w:autoSpaceDN w:val="0"/>
              <w:adjustRightInd w:val="0"/>
              <w:jc w:val="center"/>
              <w:rPr>
                <w:rFonts w:cs="Arial"/>
                <w:bCs/>
                <w:szCs w:val="22"/>
              </w:rPr>
            </w:pPr>
            <w:r w:rsidRPr="00304415">
              <w:rPr>
                <w:rFonts w:cs="Arial"/>
                <w:bCs/>
                <w:szCs w:val="22"/>
              </w:rPr>
              <w:t>0.005</w:t>
            </w:r>
          </w:p>
        </w:tc>
        <w:tc>
          <w:tcPr>
            <w:tcW w:w="1502" w:type="pct"/>
          </w:tcPr>
          <w:p w14:paraId="069E43B4" w14:textId="77777777" w:rsidR="006F0F4C" w:rsidRPr="003C52B7" w:rsidRDefault="006F0F4C" w:rsidP="00E25368">
            <w:pPr>
              <w:suppressAutoHyphens w:val="0"/>
              <w:autoSpaceDE w:val="0"/>
              <w:autoSpaceDN w:val="0"/>
              <w:adjustRightInd w:val="0"/>
              <w:jc w:val="center"/>
              <w:rPr>
                <w:rFonts w:cs="Arial"/>
                <w:bCs/>
                <w:szCs w:val="22"/>
              </w:rPr>
            </w:pPr>
          </w:p>
        </w:tc>
      </w:tr>
      <w:tr w:rsidR="006F0F4C" w:rsidRPr="003C52B7" w14:paraId="3513CF80" w14:textId="77777777" w:rsidTr="00ED6856">
        <w:trPr>
          <w:jc w:val="center"/>
        </w:trPr>
        <w:tc>
          <w:tcPr>
            <w:tcW w:w="1997" w:type="pct"/>
            <w:shd w:val="clear" w:color="auto" w:fill="auto"/>
          </w:tcPr>
          <w:p w14:paraId="648E19A9" w14:textId="77777777" w:rsidR="006F0F4C" w:rsidRPr="003C52B7" w:rsidRDefault="006F0F4C" w:rsidP="00E25368">
            <w:pPr>
              <w:suppressAutoHyphens w:val="0"/>
              <w:autoSpaceDE w:val="0"/>
              <w:autoSpaceDN w:val="0"/>
              <w:adjustRightInd w:val="0"/>
              <w:ind w:left="150"/>
              <w:rPr>
                <w:rFonts w:cs="Arial"/>
                <w:bCs/>
                <w:szCs w:val="22"/>
              </w:rPr>
            </w:pPr>
            <w:r w:rsidRPr="006D61A2">
              <w:rPr>
                <w:rFonts w:cs="Arial"/>
                <w:bCs/>
                <w:szCs w:val="22"/>
              </w:rPr>
              <w:t>Median in months (95% CI)</w:t>
            </w:r>
          </w:p>
        </w:tc>
        <w:tc>
          <w:tcPr>
            <w:tcW w:w="1501" w:type="pct"/>
          </w:tcPr>
          <w:p w14:paraId="3A7B5B90" w14:textId="77777777" w:rsidR="006F0F4C" w:rsidRPr="00304415" w:rsidRDefault="006F0F4C" w:rsidP="00E25368">
            <w:pPr>
              <w:suppressAutoHyphens w:val="0"/>
              <w:autoSpaceDE w:val="0"/>
              <w:autoSpaceDN w:val="0"/>
              <w:adjustRightInd w:val="0"/>
              <w:jc w:val="center"/>
              <w:rPr>
                <w:rFonts w:cs="Arial"/>
                <w:bCs/>
                <w:szCs w:val="22"/>
              </w:rPr>
            </w:pPr>
            <w:r w:rsidRPr="00304415">
              <w:rPr>
                <w:rFonts w:cs="Arial"/>
                <w:bCs/>
                <w:szCs w:val="22"/>
              </w:rPr>
              <w:t>Not reached</w:t>
            </w:r>
          </w:p>
          <w:p w14:paraId="29746939" w14:textId="77777777" w:rsidR="006F0F4C" w:rsidRPr="003C52B7" w:rsidRDefault="006F0F4C" w:rsidP="00E25368">
            <w:pPr>
              <w:suppressAutoHyphens w:val="0"/>
              <w:autoSpaceDE w:val="0"/>
              <w:autoSpaceDN w:val="0"/>
              <w:adjustRightInd w:val="0"/>
              <w:jc w:val="center"/>
              <w:rPr>
                <w:rFonts w:cs="Arial"/>
                <w:bCs/>
                <w:szCs w:val="22"/>
              </w:rPr>
            </w:pPr>
            <w:r w:rsidRPr="00304415">
              <w:rPr>
                <w:rFonts w:cs="Arial"/>
                <w:bCs/>
                <w:szCs w:val="22"/>
              </w:rPr>
              <w:t>(NA, NA)</w:t>
            </w:r>
          </w:p>
        </w:tc>
        <w:tc>
          <w:tcPr>
            <w:tcW w:w="1502" w:type="pct"/>
          </w:tcPr>
          <w:p w14:paraId="71F5753D" w14:textId="77777777" w:rsidR="006F0F4C" w:rsidRPr="00304415" w:rsidRDefault="006F0F4C" w:rsidP="00E25368">
            <w:pPr>
              <w:suppressAutoHyphens w:val="0"/>
              <w:autoSpaceDE w:val="0"/>
              <w:autoSpaceDN w:val="0"/>
              <w:adjustRightInd w:val="0"/>
              <w:jc w:val="center"/>
              <w:rPr>
                <w:rFonts w:cs="Arial"/>
                <w:bCs/>
                <w:szCs w:val="22"/>
              </w:rPr>
            </w:pPr>
            <w:r w:rsidRPr="00304415">
              <w:rPr>
                <w:rFonts w:cs="Arial"/>
                <w:bCs/>
                <w:szCs w:val="22"/>
              </w:rPr>
              <w:t>Not reached</w:t>
            </w:r>
          </w:p>
          <w:p w14:paraId="709F9493" w14:textId="77777777" w:rsidR="006F0F4C" w:rsidRPr="003C52B7" w:rsidRDefault="006F0F4C" w:rsidP="00E25368">
            <w:pPr>
              <w:suppressAutoHyphens w:val="0"/>
              <w:autoSpaceDE w:val="0"/>
              <w:autoSpaceDN w:val="0"/>
              <w:adjustRightInd w:val="0"/>
              <w:jc w:val="center"/>
              <w:rPr>
                <w:rFonts w:cs="Arial"/>
                <w:bCs/>
                <w:szCs w:val="22"/>
              </w:rPr>
            </w:pPr>
            <w:r w:rsidRPr="00304415">
              <w:rPr>
                <w:rFonts w:cs="Arial"/>
                <w:bCs/>
                <w:szCs w:val="22"/>
              </w:rPr>
              <w:t>(9.4, NA)</w:t>
            </w:r>
          </w:p>
        </w:tc>
      </w:tr>
      <w:tr w:rsidR="006F0F4C" w:rsidRPr="003C52B7" w14:paraId="1140F4B6" w14:textId="77777777" w:rsidTr="00ED6856">
        <w:trPr>
          <w:jc w:val="center"/>
        </w:trPr>
        <w:tc>
          <w:tcPr>
            <w:tcW w:w="1997" w:type="pct"/>
            <w:shd w:val="clear" w:color="auto" w:fill="auto"/>
          </w:tcPr>
          <w:p w14:paraId="540C4454" w14:textId="77777777" w:rsidR="006F0F4C" w:rsidRPr="003C52B7" w:rsidRDefault="006F0F4C" w:rsidP="00E25368">
            <w:pPr>
              <w:suppressAutoHyphens w:val="0"/>
              <w:autoSpaceDE w:val="0"/>
              <w:autoSpaceDN w:val="0"/>
              <w:adjustRightInd w:val="0"/>
              <w:rPr>
                <w:rFonts w:cs="Arial"/>
                <w:b/>
                <w:bCs/>
                <w:szCs w:val="22"/>
              </w:rPr>
            </w:pPr>
            <w:r>
              <w:rPr>
                <w:rFonts w:cs="Arial"/>
                <w:b/>
                <w:bCs/>
                <w:szCs w:val="22"/>
              </w:rPr>
              <w:t>Objective response rate*</w:t>
            </w:r>
          </w:p>
        </w:tc>
        <w:tc>
          <w:tcPr>
            <w:tcW w:w="1501" w:type="pct"/>
          </w:tcPr>
          <w:p w14:paraId="75A63AC1" w14:textId="77777777" w:rsidR="006F0F4C" w:rsidRPr="003C52B7" w:rsidRDefault="006F0F4C" w:rsidP="00E25368">
            <w:pPr>
              <w:suppressAutoHyphens w:val="0"/>
              <w:autoSpaceDE w:val="0"/>
              <w:autoSpaceDN w:val="0"/>
              <w:adjustRightInd w:val="0"/>
              <w:jc w:val="center"/>
              <w:rPr>
                <w:rFonts w:cs="Arial"/>
                <w:bCs/>
                <w:szCs w:val="22"/>
              </w:rPr>
            </w:pPr>
          </w:p>
        </w:tc>
        <w:tc>
          <w:tcPr>
            <w:tcW w:w="1502" w:type="pct"/>
          </w:tcPr>
          <w:p w14:paraId="05290211" w14:textId="77777777" w:rsidR="006F0F4C" w:rsidRPr="003C52B7" w:rsidRDefault="006F0F4C" w:rsidP="00E25368">
            <w:pPr>
              <w:suppressAutoHyphens w:val="0"/>
              <w:autoSpaceDE w:val="0"/>
              <w:autoSpaceDN w:val="0"/>
              <w:adjustRightInd w:val="0"/>
              <w:jc w:val="center"/>
              <w:rPr>
                <w:rFonts w:cs="Arial"/>
                <w:bCs/>
                <w:szCs w:val="22"/>
              </w:rPr>
            </w:pPr>
          </w:p>
        </w:tc>
      </w:tr>
      <w:tr w:rsidR="006F0F4C" w:rsidRPr="003C52B7" w14:paraId="55BACAAF" w14:textId="77777777" w:rsidTr="00ED6856">
        <w:trPr>
          <w:jc w:val="center"/>
        </w:trPr>
        <w:tc>
          <w:tcPr>
            <w:tcW w:w="1997" w:type="pct"/>
            <w:shd w:val="clear" w:color="auto" w:fill="auto"/>
          </w:tcPr>
          <w:p w14:paraId="03F895E1" w14:textId="77777777" w:rsidR="006F0F4C" w:rsidRPr="003C52B7" w:rsidRDefault="006F0F4C" w:rsidP="00E25368">
            <w:pPr>
              <w:suppressAutoHyphens w:val="0"/>
              <w:autoSpaceDE w:val="0"/>
              <w:autoSpaceDN w:val="0"/>
              <w:adjustRightInd w:val="0"/>
              <w:ind w:left="150"/>
              <w:rPr>
                <w:rFonts w:cs="Arial"/>
                <w:bCs/>
                <w:szCs w:val="22"/>
              </w:rPr>
            </w:pPr>
            <w:r w:rsidRPr="006D61A2">
              <w:rPr>
                <w:rFonts w:cs="Arial"/>
                <w:bCs/>
                <w:szCs w:val="22"/>
              </w:rPr>
              <w:t>ORR % (95% CI)</w:t>
            </w:r>
          </w:p>
        </w:tc>
        <w:tc>
          <w:tcPr>
            <w:tcW w:w="1501" w:type="pct"/>
          </w:tcPr>
          <w:p w14:paraId="729A8F35" w14:textId="77777777" w:rsidR="006F0F4C" w:rsidRPr="003C52B7" w:rsidRDefault="006F0F4C" w:rsidP="00E25368">
            <w:pPr>
              <w:suppressAutoHyphens w:val="0"/>
              <w:autoSpaceDE w:val="0"/>
              <w:autoSpaceDN w:val="0"/>
              <w:adjustRightInd w:val="0"/>
              <w:jc w:val="center"/>
              <w:rPr>
                <w:rFonts w:cs="Arial"/>
                <w:bCs/>
                <w:szCs w:val="22"/>
              </w:rPr>
            </w:pPr>
            <w:r w:rsidRPr="00304415">
              <w:rPr>
                <w:rFonts w:cs="Arial"/>
                <w:bCs/>
                <w:szCs w:val="22"/>
              </w:rPr>
              <w:t>45% (37, 53)</w:t>
            </w:r>
          </w:p>
        </w:tc>
        <w:tc>
          <w:tcPr>
            <w:tcW w:w="1502" w:type="pct"/>
          </w:tcPr>
          <w:p w14:paraId="2E74E67B" w14:textId="77777777" w:rsidR="006F0F4C" w:rsidRPr="003C52B7" w:rsidRDefault="006F0F4C" w:rsidP="00E25368">
            <w:pPr>
              <w:suppressAutoHyphens w:val="0"/>
              <w:autoSpaceDE w:val="0"/>
              <w:autoSpaceDN w:val="0"/>
              <w:adjustRightInd w:val="0"/>
              <w:jc w:val="center"/>
              <w:rPr>
                <w:rFonts w:cs="Arial"/>
                <w:bCs/>
                <w:szCs w:val="22"/>
              </w:rPr>
            </w:pPr>
            <w:r w:rsidRPr="00304415">
              <w:rPr>
                <w:rFonts w:cs="Arial"/>
                <w:bCs/>
                <w:szCs w:val="22"/>
              </w:rPr>
              <w:t>28% (21, 36)</w:t>
            </w:r>
          </w:p>
        </w:tc>
      </w:tr>
      <w:tr w:rsidR="006F0F4C" w:rsidRPr="003C52B7" w14:paraId="56AB4FAA" w14:textId="77777777" w:rsidTr="00ED6856">
        <w:trPr>
          <w:jc w:val="center"/>
        </w:trPr>
        <w:tc>
          <w:tcPr>
            <w:tcW w:w="1997" w:type="pct"/>
            <w:shd w:val="clear" w:color="auto" w:fill="auto"/>
          </w:tcPr>
          <w:p w14:paraId="79FE78C8" w14:textId="77777777" w:rsidR="006F0F4C" w:rsidRPr="003C52B7" w:rsidRDefault="006F0F4C" w:rsidP="00E25368">
            <w:pPr>
              <w:suppressAutoHyphens w:val="0"/>
              <w:autoSpaceDE w:val="0"/>
              <w:autoSpaceDN w:val="0"/>
              <w:adjustRightInd w:val="0"/>
              <w:ind w:left="284"/>
              <w:rPr>
                <w:rFonts w:cs="Arial"/>
                <w:bCs/>
                <w:szCs w:val="22"/>
              </w:rPr>
            </w:pPr>
            <w:r w:rsidRPr="006D61A2">
              <w:rPr>
                <w:rFonts w:cs="Arial"/>
                <w:bCs/>
                <w:szCs w:val="22"/>
              </w:rPr>
              <w:t>Complete response %</w:t>
            </w:r>
          </w:p>
        </w:tc>
        <w:tc>
          <w:tcPr>
            <w:tcW w:w="1501" w:type="pct"/>
          </w:tcPr>
          <w:p w14:paraId="326C8F5C" w14:textId="77777777" w:rsidR="006F0F4C" w:rsidRPr="003C52B7" w:rsidRDefault="006F0F4C" w:rsidP="00E25368">
            <w:pPr>
              <w:suppressAutoHyphens w:val="0"/>
              <w:autoSpaceDE w:val="0"/>
              <w:autoSpaceDN w:val="0"/>
              <w:adjustRightInd w:val="0"/>
              <w:jc w:val="center"/>
              <w:rPr>
                <w:rFonts w:cs="Arial"/>
                <w:bCs/>
                <w:szCs w:val="22"/>
              </w:rPr>
            </w:pPr>
            <w:r>
              <w:rPr>
                <w:rFonts w:cs="Arial"/>
                <w:bCs/>
                <w:szCs w:val="22"/>
              </w:rPr>
              <w:t>4%</w:t>
            </w:r>
          </w:p>
        </w:tc>
        <w:tc>
          <w:tcPr>
            <w:tcW w:w="1502" w:type="pct"/>
          </w:tcPr>
          <w:p w14:paraId="09C49C42" w14:textId="77777777" w:rsidR="006F0F4C" w:rsidRPr="003C52B7" w:rsidRDefault="006F0F4C" w:rsidP="00E25368">
            <w:pPr>
              <w:suppressAutoHyphens w:val="0"/>
              <w:autoSpaceDE w:val="0"/>
              <w:autoSpaceDN w:val="0"/>
              <w:adjustRightInd w:val="0"/>
              <w:jc w:val="center"/>
              <w:rPr>
                <w:rFonts w:cs="Arial"/>
                <w:bCs/>
                <w:szCs w:val="22"/>
              </w:rPr>
            </w:pPr>
            <w:r>
              <w:rPr>
                <w:rFonts w:cs="Arial"/>
                <w:bCs/>
                <w:szCs w:val="22"/>
              </w:rPr>
              <w:t>1%</w:t>
            </w:r>
          </w:p>
        </w:tc>
      </w:tr>
      <w:tr w:rsidR="006F0F4C" w:rsidRPr="003C52B7" w14:paraId="0B332D8D" w14:textId="77777777" w:rsidTr="00ED6856">
        <w:trPr>
          <w:jc w:val="center"/>
        </w:trPr>
        <w:tc>
          <w:tcPr>
            <w:tcW w:w="1997" w:type="pct"/>
            <w:shd w:val="clear" w:color="auto" w:fill="auto"/>
          </w:tcPr>
          <w:p w14:paraId="051C15BC" w14:textId="77777777" w:rsidR="006F0F4C" w:rsidRPr="003C52B7" w:rsidRDefault="006F0F4C" w:rsidP="00E25368">
            <w:pPr>
              <w:suppressAutoHyphens w:val="0"/>
              <w:autoSpaceDE w:val="0"/>
              <w:autoSpaceDN w:val="0"/>
              <w:adjustRightInd w:val="0"/>
              <w:ind w:left="284"/>
              <w:rPr>
                <w:rFonts w:cs="Arial"/>
                <w:bCs/>
                <w:szCs w:val="22"/>
              </w:rPr>
            </w:pPr>
            <w:r w:rsidRPr="006D61A2">
              <w:rPr>
                <w:rFonts w:cs="Arial"/>
                <w:bCs/>
                <w:szCs w:val="22"/>
              </w:rPr>
              <w:t>Partial response %</w:t>
            </w:r>
          </w:p>
        </w:tc>
        <w:tc>
          <w:tcPr>
            <w:tcW w:w="1501" w:type="pct"/>
          </w:tcPr>
          <w:p w14:paraId="217A9322" w14:textId="77777777" w:rsidR="006F0F4C" w:rsidRPr="003C52B7" w:rsidRDefault="006F0F4C" w:rsidP="00E25368">
            <w:pPr>
              <w:suppressAutoHyphens w:val="0"/>
              <w:autoSpaceDE w:val="0"/>
              <w:autoSpaceDN w:val="0"/>
              <w:adjustRightInd w:val="0"/>
              <w:jc w:val="center"/>
              <w:rPr>
                <w:rFonts w:cs="Arial"/>
                <w:bCs/>
                <w:szCs w:val="22"/>
              </w:rPr>
            </w:pPr>
            <w:r>
              <w:rPr>
                <w:rFonts w:cs="Arial"/>
                <w:bCs/>
                <w:szCs w:val="22"/>
              </w:rPr>
              <w:t>41%</w:t>
            </w:r>
          </w:p>
        </w:tc>
        <w:tc>
          <w:tcPr>
            <w:tcW w:w="1502" w:type="pct"/>
          </w:tcPr>
          <w:p w14:paraId="766B3DEA" w14:textId="77777777" w:rsidR="006F0F4C" w:rsidRPr="003C52B7" w:rsidRDefault="006F0F4C" w:rsidP="00E25368">
            <w:pPr>
              <w:suppressAutoHyphens w:val="0"/>
              <w:autoSpaceDE w:val="0"/>
              <w:autoSpaceDN w:val="0"/>
              <w:adjustRightInd w:val="0"/>
              <w:jc w:val="center"/>
              <w:rPr>
                <w:rFonts w:cs="Arial"/>
                <w:bCs/>
                <w:szCs w:val="22"/>
              </w:rPr>
            </w:pPr>
            <w:r>
              <w:rPr>
                <w:rFonts w:cs="Arial"/>
                <w:bCs/>
                <w:szCs w:val="22"/>
              </w:rPr>
              <w:t>27%</w:t>
            </w:r>
          </w:p>
        </w:tc>
      </w:tr>
      <w:tr w:rsidR="006F0F4C" w:rsidRPr="003C52B7" w14:paraId="7324616C" w14:textId="77777777" w:rsidTr="00ED6856">
        <w:trPr>
          <w:jc w:val="center"/>
        </w:trPr>
        <w:tc>
          <w:tcPr>
            <w:tcW w:w="1997" w:type="pct"/>
            <w:shd w:val="clear" w:color="auto" w:fill="auto"/>
          </w:tcPr>
          <w:p w14:paraId="45673125" w14:textId="77777777" w:rsidR="006F0F4C" w:rsidRPr="003C52B7" w:rsidRDefault="006F0F4C" w:rsidP="00E25368">
            <w:pPr>
              <w:suppressAutoHyphens w:val="0"/>
              <w:autoSpaceDE w:val="0"/>
              <w:autoSpaceDN w:val="0"/>
              <w:adjustRightInd w:val="0"/>
              <w:rPr>
                <w:rFonts w:cs="Arial"/>
                <w:b/>
                <w:bCs/>
                <w:szCs w:val="22"/>
              </w:rPr>
            </w:pPr>
            <w:r>
              <w:rPr>
                <w:rFonts w:cs="Arial"/>
                <w:b/>
                <w:bCs/>
                <w:szCs w:val="22"/>
              </w:rPr>
              <w:t>Response Duration</w:t>
            </w:r>
            <w:r w:rsidRPr="006D61A2">
              <w:rPr>
                <w:rFonts w:cs="Arial"/>
                <w:bCs/>
                <w:sz w:val="20"/>
                <w:vertAlign w:val="superscript"/>
              </w:rPr>
              <w:t>§</w:t>
            </w:r>
          </w:p>
        </w:tc>
        <w:tc>
          <w:tcPr>
            <w:tcW w:w="1501" w:type="pct"/>
          </w:tcPr>
          <w:p w14:paraId="22D537C1" w14:textId="77777777" w:rsidR="006F0F4C" w:rsidRPr="003C52B7" w:rsidRDefault="006F0F4C" w:rsidP="00E25368">
            <w:pPr>
              <w:suppressAutoHyphens w:val="0"/>
              <w:autoSpaceDE w:val="0"/>
              <w:autoSpaceDN w:val="0"/>
              <w:adjustRightInd w:val="0"/>
              <w:jc w:val="center"/>
              <w:rPr>
                <w:rFonts w:cs="Arial"/>
                <w:bCs/>
                <w:szCs w:val="22"/>
              </w:rPr>
            </w:pPr>
          </w:p>
        </w:tc>
        <w:tc>
          <w:tcPr>
            <w:tcW w:w="1502" w:type="pct"/>
          </w:tcPr>
          <w:p w14:paraId="68C89C63" w14:textId="77777777" w:rsidR="006F0F4C" w:rsidRPr="003C52B7" w:rsidRDefault="006F0F4C" w:rsidP="00E25368">
            <w:pPr>
              <w:suppressAutoHyphens w:val="0"/>
              <w:autoSpaceDE w:val="0"/>
              <w:autoSpaceDN w:val="0"/>
              <w:adjustRightInd w:val="0"/>
              <w:jc w:val="center"/>
              <w:rPr>
                <w:rFonts w:cs="Arial"/>
                <w:bCs/>
                <w:szCs w:val="22"/>
              </w:rPr>
            </w:pPr>
          </w:p>
        </w:tc>
      </w:tr>
      <w:tr w:rsidR="006F0F4C" w:rsidRPr="003C52B7" w14:paraId="64B28250" w14:textId="77777777" w:rsidTr="00ED6856">
        <w:trPr>
          <w:jc w:val="center"/>
        </w:trPr>
        <w:tc>
          <w:tcPr>
            <w:tcW w:w="1997" w:type="pct"/>
            <w:shd w:val="clear" w:color="auto" w:fill="auto"/>
          </w:tcPr>
          <w:p w14:paraId="55BA55CF" w14:textId="77777777" w:rsidR="006F0F4C" w:rsidRPr="003C52B7" w:rsidRDefault="006F0F4C" w:rsidP="00E25368">
            <w:pPr>
              <w:suppressAutoHyphens w:val="0"/>
              <w:autoSpaceDE w:val="0"/>
              <w:autoSpaceDN w:val="0"/>
              <w:adjustRightInd w:val="0"/>
              <w:ind w:left="150"/>
              <w:rPr>
                <w:rFonts w:cs="Arial"/>
                <w:bCs/>
                <w:szCs w:val="22"/>
              </w:rPr>
            </w:pPr>
            <w:r w:rsidRPr="006D61A2">
              <w:rPr>
                <w:rFonts w:cs="Arial"/>
                <w:bCs/>
                <w:szCs w:val="22"/>
              </w:rPr>
              <w:t>Median in months (range)</w:t>
            </w:r>
          </w:p>
        </w:tc>
        <w:tc>
          <w:tcPr>
            <w:tcW w:w="1501" w:type="pct"/>
          </w:tcPr>
          <w:p w14:paraId="687ABD7D" w14:textId="77777777" w:rsidR="006F0F4C" w:rsidRPr="00304415" w:rsidRDefault="006F0F4C" w:rsidP="00E25368">
            <w:pPr>
              <w:suppressAutoHyphens w:val="0"/>
              <w:autoSpaceDE w:val="0"/>
              <w:autoSpaceDN w:val="0"/>
              <w:adjustRightInd w:val="0"/>
              <w:jc w:val="center"/>
              <w:rPr>
                <w:rFonts w:cs="Arial"/>
                <w:bCs/>
                <w:szCs w:val="22"/>
              </w:rPr>
            </w:pPr>
            <w:r w:rsidRPr="00304415">
              <w:rPr>
                <w:rFonts w:cs="Arial"/>
                <w:bCs/>
                <w:szCs w:val="22"/>
              </w:rPr>
              <w:t>Not reached</w:t>
            </w:r>
          </w:p>
          <w:p w14:paraId="47C455B4" w14:textId="77777777" w:rsidR="006F0F4C" w:rsidRPr="003C52B7" w:rsidRDefault="006F0F4C" w:rsidP="00E25368">
            <w:pPr>
              <w:suppressAutoHyphens w:val="0"/>
              <w:autoSpaceDE w:val="0"/>
              <w:autoSpaceDN w:val="0"/>
              <w:adjustRightInd w:val="0"/>
              <w:jc w:val="center"/>
              <w:rPr>
                <w:rFonts w:cs="Arial"/>
                <w:bCs/>
                <w:szCs w:val="22"/>
              </w:rPr>
            </w:pPr>
            <w:r w:rsidRPr="00304415">
              <w:rPr>
                <w:rFonts w:cs="Arial"/>
                <w:bCs/>
                <w:szCs w:val="22"/>
              </w:rPr>
              <w:t>(1.9+, 14.5+)</w:t>
            </w:r>
          </w:p>
        </w:tc>
        <w:tc>
          <w:tcPr>
            <w:tcW w:w="1502" w:type="pct"/>
          </w:tcPr>
          <w:p w14:paraId="5218A671" w14:textId="77777777" w:rsidR="006F0F4C" w:rsidRPr="00304415" w:rsidRDefault="006F0F4C" w:rsidP="00E25368">
            <w:pPr>
              <w:suppressAutoHyphens w:val="0"/>
              <w:autoSpaceDE w:val="0"/>
              <w:autoSpaceDN w:val="0"/>
              <w:adjustRightInd w:val="0"/>
              <w:jc w:val="center"/>
              <w:rPr>
                <w:rFonts w:cs="Arial"/>
                <w:bCs/>
                <w:szCs w:val="22"/>
              </w:rPr>
            </w:pPr>
            <w:r w:rsidRPr="00304415">
              <w:rPr>
                <w:rFonts w:cs="Arial"/>
                <w:bCs/>
                <w:szCs w:val="22"/>
              </w:rPr>
              <w:t>6.3</w:t>
            </w:r>
          </w:p>
          <w:p w14:paraId="16B624E7" w14:textId="77777777" w:rsidR="006F0F4C" w:rsidRPr="003C52B7" w:rsidRDefault="006F0F4C" w:rsidP="00E25368">
            <w:pPr>
              <w:suppressAutoHyphens w:val="0"/>
              <w:autoSpaceDE w:val="0"/>
              <w:autoSpaceDN w:val="0"/>
              <w:adjustRightInd w:val="0"/>
              <w:jc w:val="center"/>
              <w:rPr>
                <w:rFonts w:cs="Arial"/>
                <w:bCs/>
                <w:szCs w:val="22"/>
              </w:rPr>
            </w:pPr>
            <w:r w:rsidRPr="00304415">
              <w:rPr>
                <w:rFonts w:cs="Arial"/>
                <w:bCs/>
                <w:szCs w:val="22"/>
              </w:rPr>
              <w:t>(2.1+, 12.6+)</w:t>
            </w:r>
          </w:p>
        </w:tc>
      </w:tr>
      <w:tr w:rsidR="006F0F4C" w:rsidRPr="003C52B7" w14:paraId="72697596" w14:textId="77777777" w:rsidTr="00ED6856">
        <w:trPr>
          <w:jc w:val="center"/>
        </w:trPr>
        <w:tc>
          <w:tcPr>
            <w:tcW w:w="1997" w:type="pct"/>
            <w:shd w:val="clear" w:color="auto" w:fill="auto"/>
          </w:tcPr>
          <w:p w14:paraId="2F3E3372" w14:textId="77777777" w:rsidR="006F0F4C" w:rsidRPr="003C52B7" w:rsidRDefault="006F0F4C" w:rsidP="00E25368">
            <w:pPr>
              <w:suppressAutoHyphens w:val="0"/>
              <w:autoSpaceDE w:val="0"/>
              <w:autoSpaceDN w:val="0"/>
              <w:adjustRightInd w:val="0"/>
              <w:ind w:left="150"/>
              <w:rPr>
                <w:rFonts w:cs="Arial"/>
                <w:bCs/>
                <w:szCs w:val="22"/>
              </w:rPr>
            </w:pPr>
            <w:r w:rsidRPr="006D61A2">
              <w:rPr>
                <w:rFonts w:cs="Arial"/>
                <w:bCs/>
                <w:szCs w:val="22"/>
              </w:rPr>
              <w:t>% with duration ≥ 6 months</w:t>
            </w:r>
          </w:p>
        </w:tc>
        <w:tc>
          <w:tcPr>
            <w:tcW w:w="1501" w:type="pct"/>
          </w:tcPr>
          <w:p w14:paraId="004863FA" w14:textId="77777777" w:rsidR="006F0F4C" w:rsidRPr="003C52B7" w:rsidRDefault="006F0F4C" w:rsidP="00E25368">
            <w:pPr>
              <w:suppressAutoHyphens w:val="0"/>
              <w:autoSpaceDE w:val="0"/>
              <w:autoSpaceDN w:val="0"/>
              <w:adjustRightInd w:val="0"/>
              <w:jc w:val="center"/>
              <w:rPr>
                <w:rFonts w:cs="Arial"/>
                <w:bCs/>
                <w:szCs w:val="22"/>
              </w:rPr>
            </w:pPr>
            <w:r w:rsidRPr="00304415">
              <w:rPr>
                <w:rFonts w:cs="Arial"/>
                <w:bCs/>
                <w:szCs w:val="22"/>
              </w:rPr>
              <w:t>88%</w:t>
            </w:r>
            <w:r w:rsidRPr="00304415">
              <w:rPr>
                <w:rFonts w:cs="Arial"/>
                <w:bCs/>
                <w:szCs w:val="22"/>
                <w:vertAlign w:val="superscript"/>
              </w:rPr>
              <w:t>¶</w:t>
            </w:r>
          </w:p>
        </w:tc>
        <w:tc>
          <w:tcPr>
            <w:tcW w:w="1502" w:type="pct"/>
          </w:tcPr>
          <w:p w14:paraId="74300CD6" w14:textId="77777777" w:rsidR="006F0F4C" w:rsidRPr="003C52B7" w:rsidRDefault="006F0F4C" w:rsidP="00E25368">
            <w:pPr>
              <w:suppressAutoHyphens w:val="0"/>
              <w:autoSpaceDE w:val="0"/>
              <w:autoSpaceDN w:val="0"/>
              <w:adjustRightInd w:val="0"/>
              <w:jc w:val="center"/>
              <w:rPr>
                <w:rFonts w:cs="Arial"/>
                <w:bCs/>
                <w:szCs w:val="22"/>
              </w:rPr>
            </w:pPr>
            <w:r w:rsidRPr="00304415">
              <w:rPr>
                <w:rFonts w:cs="Arial"/>
                <w:bCs/>
                <w:szCs w:val="22"/>
              </w:rPr>
              <w:t>59%</w:t>
            </w:r>
            <w:r w:rsidRPr="00304415">
              <w:rPr>
                <w:rFonts w:cs="Arial"/>
                <w:bCs/>
                <w:szCs w:val="22"/>
                <w:vertAlign w:val="superscript"/>
              </w:rPr>
              <w:t>#</w:t>
            </w:r>
          </w:p>
        </w:tc>
      </w:tr>
    </w:tbl>
    <w:p w14:paraId="52D0EFB5" w14:textId="56956E46" w:rsidR="006F0F4C" w:rsidRPr="006D61A2" w:rsidRDefault="00E25368" w:rsidP="00E25368">
      <w:pPr>
        <w:pStyle w:val="Footer"/>
        <w:keepNext w:val="0"/>
      </w:pPr>
      <w:r>
        <w:t xml:space="preserve">* </w:t>
      </w:r>
      <w:r w:rsidR="006F0F4C" w:rsidRPr="006D61A2">
        <w:t>Assessed by BICR using RECIST 1.1</w:t>
      </w:r>
    </w:p>
    <w:p w14:paraId="3488C21B" w14:textId="7183565F" w:rsidR="006F0F4C" w:rsidRPr="006D61A2" w:rsidRDefault="006F0F4C" w:rsidP="00E25368">
      <w:pPr>
        <w:pStyle w:val="Footer"/>
        <w:keepNext w:val="0"/>
      </w:pPr>
      <w:r w:rsidRPr="00304415">
        <w:rPr>
          <w:vertAlign w:val="superscript"/>
        </w:rPr>
        <w:t>†</w:t>
      </w:r>
      <w:r>
        <w:tab/>
      </w:r>
      <w:r w:rsidR="00E25368">
        <w:t xml:space="preserve"> </w:t>
      </w:r>
      <w:r w:rsidRPr="006D61A2">
        <w:t>Hazard ratio (KEYTRUDA compared to chemotherapy) based on the stratified</w:t>
      </w:r>
      <w:r>
        <w:t xml:space="preserve"> </w:t>
      </w:r>
      <w:r w:rsidRPr="006D61A2">
        <w:t>Cox proportional hazard model</w:t>
      </w:r>
    </w:p>
    <w:p w14:paraId="7D8B46FE" w14:textId="7F8C8C95" w:rsidR="006F0F4C" w:rsidRPr="006D61A2" w:rsidRDefault="006F0F4C" w:rsidP="00E25368">
      <w:pPr>
        <w:pStyle w:val="Footer"/>
        <w:keepNext w:val="0"/>
      </w:pPr>
      <w:r w:rsidRPr="00304415">
        <w:rPr>
          <w:vertAlign w:val="superscript"/>
        </w:rPr>
        <w:t>‡</w:t>
      </w:r>
      <w:r w:rsidRPr="006D61A2">
        <w:t>Based on stratified Log rank test</w:t>
      </w:r>
    </w:p>
    <w:p w14:paraId="632F7F86" w14:textId="2C2C3E4D" w:rsidR="006F0F4C" w:rsidRPr="006D61A2" w:rsidRDefault="006F0F4C" w:rsidP="00E25368">
      <w:pPr>
        <w:pStyle w:val="Footer"/>
        <w:keepNext w:val="0"/>
      </w:pPr>
      <w:r w:rsidRPr="00304415">
        <w:rPr>
          <w:vertAlign w:val="superscript"/>
        </w:rPr>
        <w:t>§</w:t>
      </w:r>
      <w:r w:rsidR="00E25368">
        <w:t xml:space="preserve"> </w:t>
      </w:r>
      <w:r w:rsidRPr="006D61A2">
        <w:t>Based on patients with a best overall response as confirmed complete or partial</w:t>
      </w:r>
      <w:r>
        <w:t xml:space="preserve"> </w:t>
      </w:r>
      <w:r w:rsidRPr="006D61A2">
        <w:t>response</w:t>
      </w:r>
    </w:p>
    <w:p w14:paraId="303C1E42" w14:textId="2731FC4E" w:rsidR="006F0F4C" w:rsidRPr="006D61A2" w:rsidRDefault="006F0F4C" w:rsidP="00E25368">
      <w:pPr>
        <w:pStyle w:val="Footer"/>
        <w:keepNext w:val="0"/>
      </w:pPr>
      <w:r w:rsidRPr="00304415">
        <w:rPr>
          <w:vertAlign w:val="superscript"/>
        </w:rPr>
        <w:t>¶</w:t>
      </w:r>
      <w:r w:rsidR="00E25368">
        <w:rPr>
          <w:vertAlign w:val="superscript"/>
        </w:rPr>
        <w:t xml:space="preserve"> </w:t>
      </w:r>
      <w:r w:rsidRPr="006D61A2">
        <w:t>Based on Kaplan-Meier estimates; includes 43 patients with responses of</w:t>
      </w:r>
      <w:r>
        <w:t xml:space="preserve"> </w:t>
      </w:r>
      <w:r w:rsidRPr="006D61A2">
        <w:t>6 months or longer</w:t>
      </w:r>
    </w:p>
    <w:p w14:paraId="0D619702" w14:textId="4449A19F" w:rsidR="006F0F4C" w:rsidRPr="006D61A2" w:rsidRDefault="006F0F4C" w:rsidP="00E25368">
      <w:pPr>
        <w:pStyle w:val="Footer"/>
        <w:keepNext w:val="0"/>
      </w:pPr>
      <w:r w:rsidRPr="00304415">
        <w:rPr>
          <w:vertAlign w:val="superscript"/>
        </w:rPr>
        <w:t>#</w:t>
      </w:r>
      <w:r w:rsidR="00E25368">
        <w:rPr>
          <w:vertAlign w:val="superscript"/>
        </w:rPr>
        <w:t xml:space="preserve"> </w:t>
      </w:r>
      <w:proofErr w:type="gramStart"/>
      <w:r w:rsidRPr="006D61A2">
        <w:t>Based</w:t>
      </w:r>
      <w:proofErr w:type="gramEnd"/>
      <w:r w:rsidRPr="006D61A2">
        <w:t xml:space="preserve"> on Kaplan-Meier estimates; includes 16 patients with responses of</w:t>
      </w:r>
      <w:r>
        <w:t xml:space="preserve"> </w:t>
      </w:r>
      <w:r w:rsidRPr="006D61A2">
        <w:t>6 months or longer</w:t>
      </w:r>
    </w:p>
    <w:p w14:paraId="73EAD0B6" w14:textId="77777777" w:rsidR="006F0F4C" w:rsidRPr="006D61A2" w:rsidRDefault="006F0F4C" w:rsidP="007E3CDB">
      <w:pPr>
        <w:pStyle w:val="Footer"/>
        <w:keepNext w:val="0"/>
        <w:rPr>
          <w:szCs w:val="22"/>
        </w:rPr>
      </w:pPr>
      <w:r w:rsidRPr="006D61A2">
        <w:t>NA = not available</w:t>
      </w:r>
    </w:p>
    <w:p w14:paraId="7E5A2401" w14:textId="77777777" w:rsidR="006F0F4C" w:rsidRPr="00E25368" w:rsidRDefault="006F0F4C" w:rsidP="0045789A">
      <w:pPr>
        <w:pStyle w:val="Caption"/>
        <w:spacing w:before="120" w:after="120"/>
      </w:pPr>
      <w:r w:rsidRPr="00E25368">
        <w:t>Figure 4: Kaplan-Meier Progression-Free Survival by Treatment Arm in KEYNOTE-024 (Intent to Treat Population)</w:t>
      </w:r>
    </w:p>
    <w:p w14:paraId="6324473A" w14:textId="77777777" w:rsidR="006F0F4C" w:rsidRDefault="006F0F4C" w:rsidP="006F0F4C">
      <w:pPr>
        <w:pStyle w:val="BodyText1"/>
        <w:ind w:firstLine="0"/>
        <w:jc w:val="both"/>
        <w:rPr>
          <w:rFonts w:ascii="Arial" w:hAnsi="Arial" w:cs="Arial"/>
          <w:sz w:val="22"/>
          <w:szCs w:val="22"/>
        </w:rPr>
      </w:pPr>
      <w:r w:rsidRPr="00EB57F7">
        <w:rPr>
          <w:noProof/>
          <w:lang w:val="en-AU" w:eastAsia="en-AU"/>
        </w:rPr>
        <w:drawing>
          <wp:inline distT="0" distB="0" distL="0" distR="0" wp14:anchorId="5CD2260E" wp14:editId="03F5A8EB">
            <wp:extent cx="3773010" cy="3178792"/>
            <wp:effectExtent l="0" t="0" r="0" b="3175"/>
            <wp:docPr id="19" name="Picture 19" descr="Figure 4: Kaplan-Meier Progression-Free Survival by Treatment Arm in KEYNOTE-024 (Intent to 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91131" cy="3194059"/>
                    </a:xfrm>
                    <a:prstGeom prst="rect">
                      <a:avLst/>
                    </a:prstGeom>
                    <a:noFill/>
                    <a:ln>
                      <a:noFill/>
                    </a:ln>
                  </pic:spPr>
                </pic:pic>
              </a:graphicData>
            </a:graphic>
          </wp:inline>
        </w:drawing>
      </w:r>
    </w:p>
    <w:p w14:paraId="402E7D3E" w14:textId="77777777" w:rsidR="006F0F4C" w:rsidRPr="00EB57F7" w:rsidRDefault="006F0F4C" w:rsidP="00E25368">
      <w:pPr>
        <w:pStyle w:val="Caption"/>
      </w:pPr>
      <w:r w:rsidRPr="00D96B6C">
        <w:lastRenderedPageBreak/>
        <w:t xml:space="preserve">Figure </w:t>
      </w:r>
      <w:r w:rsidRPr="00EB57F7">
        <w:t>5: Kaplan-Meier Curve for Overall Survival by Treatment Arm in</w:t>
      </w:r>
      <w:r>
        <w:t xml:space="preserve"> </w:t>
      </w:r>
      <w:r w:rsidRPr="00EB57F7">
        <w:t>KEYNOTE-024 (Intent to Treat Population)</w:t>
      </w:r>
    </w:p>
    <w:p w14:paraId="52879AB4" w14:textId="77777777" w:rsidR="006F0F4C" w:rsidRDefault="006F0F4C" w:rsidP="006F0F4C">
      <w:pPr>
        <w:pStyle w:val="BodyText1"/>
        <w:ind w:firstLine="0"/>
        <w:jc w:val="both"/>
        <w:rPr>
          <w:rFonts w:ascii="Arial" w:hAnsi="Arial" w:cs="Arial"/>
          <w:sz w:val="22"/>
          <w:szCs w:val="22"/>
        </w:rPr>
      </w:pPr>
      <w:r w:rsidRPr="00065B21">
        <w:rPr>
          <w:rFonts w:ascii="Arial" w:hAnsi="Arial" w:cs="Arial"/>
          <w:noProof/>
          <w:sz w:val="22"/>
          <w:szCs w:val="22"/>
          <w:lang w:val="en-AU" w:eastAsia="en-AU"/>
        </w:rPr>
        <w:drawing>
          <wp:inline distT="0" distB="0" distL="0" distR="0" wp14:anchorId="0A94DEE2" wp14:editId="6940003E">
            <wp:extent cx="5149049" cy="4262297"/>
            <wp:effectExtent l="0" t="0" r="0" b="5080"/>
            <wp:docPr id="20" name="Picture 20" descr="Figure 5: Kaplan-Meier Curve for Overall Survival by Treatment Arm in KEYNOTE-024 (Intent to 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2458" cy="4265119"/>
                    </a:xfrm>
                    <a:prstGeom prst="rect">
                      <a:avLst/>
                    </a:prstGeom>
                    <a:noFill/>
                    <a:ln>
                      <a:noFill/>
                    </a:ln>
                  </pic:spPr>
                </pic:pic>
              </a:graphicData>
            </a:graphic>
          </wp:inline>
        </w:drawing>
      </w:r>
    </w:p>
    <w:p w14:paraId="2F6B4CBB" w14:textId="77777777" w:rsidR="006F0F4C" w:rsidRPr="00EB57F7" w:rsidRDefault="006F0F4C" w:rsidP="006F0F4C">
      <w:pPr>
        <w:tabs>
          <w:tab w:val="clear" w:pos="-720"/>
          <w:tab w:val="clear" w:pos="4513"/>
          <w:tab w:val="clear" w:pos="10348"/>
        </w:tabs>
        <w:suppressAutoHyphens w:val="0"/>
        <w:autoSpaceDE w:val="0"/>
        <w:autoSpaceDN w:val="0"/>
        <w:adjustRightInd w:val="0"/>
        <w:rPr>
          <w:rFonts w:cs="Arial"/>
          <w:szCs w:val="22"/>
        </w:rPr>
      </w:pPr>
      <w:r w:rsidRPr="00EB57F7">
        <w:rPr>
          <w:rFonts w:cs="Arial"/>
          <w:szCs w:val="22"/>
          <w:lang w:val="en-US"/>
        </w:rPr>
        <w:t>The improved benefit as assessed by PFS, OS, ORR, and response duration for KEYTRUDA as</w:t>
      </w:r>
      <w:r>
        <w:rPr>
          <w:rFonts w:cs="Arial"/>
          <w:szCs w:val="22"/>
          <w:lang w:val="en-US"/>
        </w:rPr>
        <w:t xml:space="preserve"> </w:t>
      </w:r>
      <w:r w:rsidRPr="00EB57F7">
        <w:rPr>
          <w:rFonts w:cs="Arial"/>
          <w:szCs w:val="22"/>
          <w:lang w:val="en-US"/>
        </w:rPr>
        <w:t>compared to chemotherapy in the population studied was associated with improvements in health</w:t>
      </w:r>
      <w:r>
        <w:rPr>
          <w:rFonts w:cs="Arial"/>
          <w:szCs w:val="22"/>
          <w:lang w:val="en-US"/>
        </w:rPr>
        <w:t>-</w:t>
      </w:r>
      <w:r w:rsidRPr="00EB57F7">
        <w:rPr>
          <w:rFonts w:cs="Arial"/>
          <w:szCs w:val="22"/>
          <w:lang w:val="en-US"/>
        </w:rPr>
        <w:t>related</w:t>
      </w:r>
      <w:r>
        <w:rPr>
          <w:rFonts w:cs="Arial"/>
          <w:szCs w:val="22"/>
          <w:lang w:val="en-US"/>
        </w:rPr>
        <w:t xml:space="preserve"> </w:t>
      </w:r>
      <w:r w:rsidRPr="00EB57F7">
        <w:rPr>
          <w:rFonts w:cs="Arial"/>
          <w:szCs w:val="22"/>
          <w:lang w:val="en-US"/>
        </w:rPr>
        <w:t>quality of life (HRQoL). The change from baseline to Week 15 showed a meaningful</w:t>
      </w:r>
      <w:r>
        <w:rPr>
          <w:rFonts w:cs="Arial"/>
          <w:szCs w:val="22"/>
          <w:lang w:val="en-US"/>
        </w:rPr>
        <w:t xml:space="preserve"> </w:t>
      </w:r>
      <w:r w:rsidRPr="00EB57F7">
        <w:rPr>
          <w:rFonts w:cs="Arial"/>
          <w:szCs w:val="22"/>
          <w:lang w:val="en-US"/>
        </w:rPr>
        <w:t>improvement in the European Organization for Research and Treatment of Cancer Quality of Life</w:t>
      </w:r>
      <w:r>
        <w:rPr>
          <w:rFonts w:cs="Arial"/>
          <w:szCs w:val="22"/>
          <w:lang w:val="en-US"/>
        </w:rPr>
        <w:t xml:space="preserve"> </w:t>
      </w:r>
      <w:r w:rsidRPr="00EB57F7">
        <w:rPr>
          <w:rFonts w:cs="Arial"/>
          <w:szCs w:val="22"/>
          <w:lang w:val="en-US"/>
        </w:rPr>
        <w:t>Questionnaire (EORTC QLQ) C30 global health status/QoL score for patients receiving KEYTRUDA</w:t>
      </w:r>
      <w:r>
        <w:rPr>
          <w:rFonts w:cs="Arial"/>
          <w:szCs w:val="22"/>
          <w:lang w:val="en-US"/>
        </w:rPr>
        <w:t xml:space="preserve"> </w:t>
      </w:r>
      <w:r w:rsidRPr="00EB57F7">
        <w:rPr>
          <w:rFonts w:cs="Arial"/>
          <w:szCs w:val="22"/>
          <w:lang w:val="en-US"/>
        </w:rPr>
        <w:t>compared to chemotherapy (difference in LS means = 7.82; 95% CI: 2.85, 12.79; two-sided p=0.002).</w:t>
      </w:r>
      <w:r>
        <w:rPr>
          <w:rFonts w:cs="Arial"/>
          <w:szCs w:val="22"/>
          <w:lang w:val="en-US"/>
        </w:rPr>
        <w:t xml:space="preserve"> </w:t>
      </w:r>
      <w:r w:rsidRPr="00EB57F7">
        <w:rPr>
          <w:rFonts w:cs="Arial"/>
          <w:szCs w:val="22"/>
          <w:lang w:val="en-US"/>
        </w:rPr>
        <w:t>The time to deterioration in the EORTC QLQ-LC13 composite endpoint of cough, dyspnea, and chest</w:t>
      </w:r>
      <w:r>
        <w:rPr>
          <w:rFonts w:cs="Arial"/>
          <w:szCs w:val="22"/>
          <w:lang w:val="en-US"/>
        </w:rPr>
        <w:t xml:space="preserve"> </w:t>
      </w:r>
      <w:r w:rsidRPr="00EB57F7">
        <w:rPr>
          <w:rFonts w:cs="Arial"/>
          <w:szCs w:val="22"/>
          <w:lang w:val="en-US"/>
        </w:rPr>
        <w:t>pain was prolonged for patients receiving KEYTRUDA compared to chemotherapy (HR = 0.66;</w:t>
      </w:r>
      <w:r>
        <w:rPr>
          <w:rFonts w:cs="Arial"/>
          <w:szCs w:val="22"/>
          <w:lang w:val="en-US"/>
        </w:rPr>
        <w:t xml:space="preserve"> </w:t>
      </w:r>
      <w:r w:rsidRPr="00EB57F7">
        <w:rPr>
          <w:rFonts w:cs="Arial"/>
          <w:szCs w:val="22"/>
          <w:lang w:val="en-US"/>
        </w:rPr>
        <w:t>95% CI: 0.44, 0.97; two-sided p=0.029), where deterioration is defined as a confirmed 10-point or</w:t>
      </w:r>
      <w:r>
        <w:rPr>
          <w:rFonts w:cs="Arial"/>
          <w:szCs w:val="22"/>
          <w:lang w:val="en-US"/>
        </w:rPr>
        <w:t xml:space="preserve"> </w:t>
      </w:r>
      <w:r w:rsidRPr="00EB57F7">
        <w:rPr>
          <w:rFonts w:cs="Arial"/>
          <w:szCs w:val="22"/>
          <w:lang w:val="en-US"/>
        </w:rPr>
        <w:t>greater score decrease from baseline in any one of these three symptoms.</w:t>
      </w:r>
    </w:p>
    <w:p w14:paraId="71072026" w14:textId="7DE24940" w:rsidR="006F0F4C" w:rsidRPr="00972C14" w:rsidRDefault="006F0F4C" w:rsidP="00126790">
      <w:pPr>
        <w:pStyle w:val="Heading3"/>
        <w:rPr>
          <w:lang w:val="en-GB"/>
        </w:rPr>
      </w:pPr>
      <w:r>
        <w:rPr>
          <w:lang w:val="en-GB"/>
        </w:rPr>
        <w:t>KEYNOTE-010</w:t>
      </w:r>
      <w:r w:rsidRPr="00B51236">
        <w:rPr>
          <w:lang w:val="en-GB"/>
        </w:rPr>
        <w:t xml:space="preserve">: Controlled trial </w:t>
      </w:r>
      <w:r>
        <w:rPr>
          <w:lang w:val="en-GB"/>
        </w:rPr>
        <w:t>of</w:t>
      </w:r>
      <w:r w:rsidRPr="00B51236">
        <w:rPr>
          <w:lang w:val="en-GB"/>
        </w:rPr>
        <w:t xml:space="preserve"> </w:t>
      </w:r>
      <w:r>
        <w:rPr>
          <w:lang w:val="en-GB"/>
        </w:rPr>
        <w:t>NSCLC</w:t>
      </w:r>
      <w:r w:rsidRPr="00B51236">
        <w:rPr>
          <w:lang w:val="en-GB"/>
        </w:rPr>
        <w:t xml:space="preserve"> </w:t>
      </w:r>
      <w:r w:rsidRPr="00465803">
        <w:rPr>
          <w:lang w:val="en-GB"/>
        </w:rPr>
        <w:t>patients previously treated with</w:t>
      </w:r>
      <w:r w:rsidRPr="00B51236">
        <w:rPr>
          <w:lang w:val="en-GB"/>
        </w:rPr>
        <w:t xml:space="preserve"> </w:t>
      </w:r>
      <w:r>
        <w:rPr>
          <w:lang w:val="en-GB"/>
        </w:rPr>
        <w:t>chemotherapy</w:t>
      </w:r>
    </w:p>
    <w:p w14:paraId="63AEA3D7" w14:textId="77777777" w:rsidR="000B4EB3" w:rsidRDefault="006F0F4C" w:rsidP="006F0F4C">
      <w:pPr>
        <w:rPr>
          <w:rFonts w:cs="Arial"/>
        </w:rPr>
      </w:pPr>
      <w:r w:rsidRPr="00931977">
        <w:rPr>
          <w:rFonts w:cs="Arial"/>
        </w:rPr>
        <w:t xml:space="preserve">The efficacy of KEYTRUDA was investigated in </w:t>
      </w:r>
      <w:r>
        <w:rPr>
          <w:rFonts w:cs="Arial"/>
        </w:rPr>
        <w:t>KEYNOTE-010</w:t>
      </w:r>
      <w:r w:rsidRPr="00931977">
        <w:rPr>
          <w:rFonts w:cs="Arial"/>
        </w:rPr>
        <w:t xml:space="preserve">, a multicenter, randomized, controlled </w:t>
      </w:r>
      <w:r w:rsidRPr="00DD4EE4">
        <w:rPr>
          <w:rFonts w:cs="Arial"/>
        </w:rPr>
        <w:t>trial. Key eligibility criteria were advanced NSCLC that had progressed following platinum-containing</w:t>
      </w:r>
      <w:r w:rsidRPr="0030360F">
        <w:rPr>
          <w:rFonts w:cs="Arial"/>
        </w:rPr>
        <w:t xml:space="preserve"> chemotherapy</w:t>
      </w:r>
      <w:r>
        <w:rPr>
          <w:rFonts w:cs="Arial"/>
        </w:rPr>
        <w:t xml:space="preserve">, and if appropriate, targeted therapy for ALK or EGFR mutations, and </w:t>
      </w:r>
      <w:r w:rsidRPr="0022675E">
        <w:rPr>
          <w:rFonts w:cs="Arial"/>
        </w:rPr>
        <w:t xml:space="preserve">PD-L1 expression </w:t>
      </w:r>
      <w:r>
        <w:rPr>
          <w:rFonts w:cs="Arial"/>
        </w:rPr>
        <w:t xml:space="preserve">TPS of 1% or greater </w:t>
      </w:r>
      <w:r w:rsidRPr="0022675E">
        <w:rPr>
          <w:rFonts w:cs="Arial"/>
        </w:rPr>
        <w:t>by</w:t>
      </w:r>
      <w:r>
        <w:rPr>
          <w:rFonts w:cs="Arial"/>
        </w:rPr>
        <w:t xml:space="preserve"> a clinical trial assay version of the </w:t>
      </w:r>
      <w:r w:rsidRPr="00335DEC">
        <w:rPr>
          <w:rFonts w:cs="Arial"/>
        </w:rPr>
        <w:t>PD</w:t>
      </w:r>
      <w:r>
        <w:rPr>
          <w:rFonts w:cs="Arial"/>
        </w:rPr>
        <w:noBreakHyphen/>
      </w:r>
      <w:r w:rsidRPr="00335DEC">
        <w:rPr>
          <w:rFonts w:cs="Arial"/>
        </w:rPr>
        <w:t xml:space="preserve">L1 IHC 22C3 </w:t>
      </w:r>
      <w:proofErr w:type="spellStart"/>
      <w:r w:rsidRPr="00335DEC">
        <w:rPr>
          <w:rFonts w:cs="Arial"/>
        </w:rPr>
        <w:t>pharmDx</w:t>
      </w:r>
      <w:proofErr w:type="spellEnd"/>
      <w:r w:rsidRPr="00335DEC">
        <w:rPr>
          <w:rFonts w:cs="Arial"/>
        </w:rPr>
        <w:t>™ kit</w:t>
      </w:r>
      <w:r>
        <w:rPr>
          <w:rFonts w:cs="Arial"/>
        </w:rPr>
        <w:t>. P</w:t>
      </w:r>
      <w:r w:rsidRPr="00A6600D">
        <w:rPr>
          <w:rFonts w:cs="Arial"/>
        </w:rPr>
        <w:t>atients with autoimmune disease; a medical condition that required immunosuppression;</w:t>
      </w:r>
      <w:r w:rsidRPr="00A6600D">
        <w:rPr>
          <w:rFonts w:cs="Arial"/>
          <w:noProof/>
        </w:rPr>
        <w:t xml:space="preserve"> who had received more than 30</w:t>
      </w:r>
      <w:r>
        <w:rPr>
          <w:rFonts w:cs="Arial"/>
          <w:noProof/>
        </w:rPr>
        <w:t> </w:t>
      </w:r>
      <w:r w:rsidRPr="00A6600D">
        <w:rPr>
          <w:rFonts w:cs="Arial"/>
          <w:noProof/>
        </w:rPr>
        <w:t>Gy of thoracic radiation within the prior 26</w:t>
      </w:r>
      <w:r>
        <w:rPr>
          <w:rFonts w:cs="Arial"/>
          <w:noProof/>
        </w:rPr>
        <w:t> </w:t>
      </w:r>
      <w:r w:rsidRPr="00A6600D">
        <w:rPr>
          <w:rFonts w:cs="Arial"/>
          <w:noProof/>
        </w:rPr>
        <w:t>weeks</w:t>
      </w:r>
      <w:r>
        <w:rPr>
          <w:rFonts w:cs="Arial"/>
          <w:noProof/>
        </w:rPr>
        <w:t xml:space="preserve">; </w:t>
      </w:r>
      <w:r>
        <w:rPr>
          <w:rFonts w:eastAsia="Arial,Bold" w:cs="Arial"/>
          <w:szCs w:val="22"/>
          <w:lang w:val="en-US"/>
        </w:rPr>
        <w:t>or with untreated brain metastases</w:t>
      </w:r>
      <w:r>
        <w:rPr>
          <w:rFonts w:cs="Arial"/>
          <w:noProof/>
        </w:rPr>
        <w:t xml:space="preserve"> were ineligible.</w:t>
      </w:r>
      <w:r w:rsidRPr="00650568">
        <w:rPr>
          <w:rFonts w:cs="Arial"/>
        </w:rPr>
        <w:t xml:space="preserve"> </w:t>
      </w:r>
      <w:r w:rsidRPr="00C00E43">
        <w:rPr>
          <w:rFonts w:eastAsia="Arial,Bold" w:cs="Arial"/>
          <w:szCs w:val="22"/>
        </w:rPr>
        <w:t xml:space="preserve">Patients with treated brain metastases were </w:t>
      </w:r>
      <w:r w:rsidRPr="00A65F40">
        <w:rPr>
          <w:rFonts w:eastAsia="Arial,Bold" w:cs="Arial"/>
          <w:szCs w:val="22"/>
        </w:rPr>
        <w:t>eligible if neurologically returned to baseline prior to enrolment and off corticosteroids.</w:t>
      </w:r>
      <w:r>
        <w:rPr>
          <w:rFonts w:eastAsia="Arial,Bold" w:cs="Arial"/>
          <w:szCs w:val="22"/>
        </w:rPr>
        <w:t xml:space="preserve"> </w:t>
      </w:r>
      <w:r w:rsidRPr="00A9395F">
        <w:rPr>
          <w:rFonts w:cs="Arial"/>
          <w:noProof/>
        </w:rPr>
        <w:t>Patients</w:t>
      </w:r>
      <w:r w:rsidRPr="00CC13A5">
        <w:rPr>
          <w:rFonts w:cs="Arial"/>
        </w:rPr>
        <w:t xml:space="preserve"> were </w:t>
      </w:r>
      <w:r w:rsidRPr="00CC13A5">
        <w:rPr>
          <w:rFonts w:cs="Arial"/>
          <w:noProof/>
        </w:rPr>
        <w:t xml:space="preserve">randomized (1:1:1) to receive </w:t>
      </w:r>
      <w:r w:rsidRPr="00CC13A5">
        <w:rPr>
          <w:rFonts w:cs="Arial"/>
        </w:rPr>
        <w:t>2 mg/kg (n=</w:t>
      </w:r>
      <w:r>
        <w:rPr>
          <w:rFonts w:cs="Arial"/>
        </w:rPr>
        <w:t>344</w:t>
      </w:r>
      <w:r w:rsidRPr="006936A2">
        <w:rPr>
          <w:rFonts w:cs="Arial"/>
        </w:rPr>
        <w:t>) or 10 mg/kg (n=</w:t>
      </w:r>
      <w:r>
        <w:rPr>
          <w:rFonts w:cs="Arial"/>
        </w:rPr>
        <w:t>346</w:t>
      </w:r>
      <w:r w:rsidRPr="006936A2">
        <w:rPr>
          <w:rFonts w:cs="Arial"/>
        </w:rPr>
        <w:t>) of KEYTRUDA every 3 weeks</w:t>
      </w:r>
      <w:r w:rsidRPr="006936A2">
        <w:rPr>
          <w:rFonts w:cs="Arial"/>
          <w:noProof/>
        </w:rPr>
        <w:t xml:space="preserve"> or </w:t>
      </w:r>
      <w:r>
        <w:rPr>
          <w:rFonts w:cs="Arial"/>
          <w:noProof/>
        </w:rPr>
        <w:t>75 mg/m</w:t>
      </w:r>
      <w:r w:rsidRPr="00CF5AEC">
        <w:rPr>
          <w:rFonts w:cs="Arial"/>
          <w:noProof/>
          <w:vertAlign w:val="superscript"/>
        </w:rPr>
        <w:t>2</w:t>
      </w:r>
      <w:r>
        <w:rPr>
          <w:rFonts w:cs="Arial"/>
          <w:noProof/>
        </w:rPr>
        <w:t xml:space="preserve"> of docetaxel every 3 weeks </w:t>
      </w:r>
      <w:r w:rsidRPr="00B00BA0">
        <w:rPr>
          <w:rFonts w:cs="Arial"/>
          <w:noProof/>
        </w:rPr>
        <w:t>(</w:t>
      </w:r>
      <w:r>
        <w:rPr>
          <w:rFonts w:cs="Arial"/>
          <w:noProof/>
        </w:rPr>
        <w:t>n=343</w:t>
      </w:r>
      <w:r w:rsidRPr="008F25F5">
        <w:rPr>
          <w:rFonts w:cs="Arial"/>
          <w:noProof/>
        </w:rPr>
        <w:t>).</w:t>
      </w:r>
      <w:r w:rsidRPr="002C236F">
        <w:rPr>
          <w:rFonts w:cs="Arial"/>
          <w:noProof/>
        </w:rPr>
        <w:t xml:space="preserve"> </w:t>
      </w:r>
      <w:r w:rsidRPr="00D25DD9">
        <w:rPr>
          <w:rFonts w:eastAsia="Arial,Bold" w:cs="Arial"/>
          <w:szCs w:val="22"/>
        </w:rPr>
        <w:t>Patients were treated with KEYTRUDA until unacceptable toxicity or disease progression, up to a maximum of 35 treatments (24 months).</w:t>
      </w:r>
      <w:r w:rsidRPr="00D25DD9">
        <w:rPr>
          <w:rFonts w:cs="Arial"/>
        </w:rPr>
        <w:t xml:space="preserve"> </w:t>
      </w:r>
      <w:r w:rsidRPr="00A9395F">
        <w:rPr>
          <w:rFonts w:cs="Arial"/>
        </w:rPr>
        <w:t>Assessment of t</w:t>
      </w:r>
      <w:r w:rsidRPr="00CC13A5">
        <w:rPr>
          <w:rFonts w:cs="Arial"/>
        </w:rPr>
        <w:t xml:space="preserve">umour status was performed </w:t>
      </w:r>
      <w:r>
        <w:rPr>
          <w:rFonts w:cs="Arial"/>
        </w:rPr>
        <w:t>every 9 </w:t>
      </w:r>
      <w:r w:rsidRPr="00A9395F">
        <w:rPr>
          <w:rFonts w:cs="Arial"/>
        </w:rPr>
        <w:t>weeks.</w:t>
      </w:r>
    </w:p>
    <w:p w14:paraId="76873AC4" w14:textId="00FC21F0" w:rsidR="006F0F4C" w:rsidRPr="00C019D2" w:rsidRDefault="006F0F4C" w:rsidP="006F0F4C">
      <w:pPr>
        <w:rPr>
          <w:rFonts w:cs="Arial"/>
        </w:rPr>
      </w:pPr>
      <w:r w:rsidRPr="00C019D2">
        <w:rPr>
          <w:rFonts w:cs="Arial"/>
          <w:lang w:val="en-GB"/>
        </w:rPr>
        <w:lastRenderedPageBreak/>
        <w:t xml:space="preserve">Among the 1033 patients in </w:t>
      </w:r>
      <w:r>
        <w:rPr>
          <w:rFonts w:cs="Arial"/>
          <w:lang w:val="en-GB"/>
        </w:rPr>
        <w:t xml:space="preserve">KEYNOTE-010, </w:t>
      </w:r>
      <w:r w:rsidRPr="00C019D2">
        <w:rPr>
          <w:rFonts w:cs="Arial"/>
        </w:rPr>
        <w:t xml:space="preserve">baseline characteristics were: median age 63 years (42% age 65 or older); 61% male; </w:t>
      </w:r>
      <w:r w:rsidRPr="0073420D">
        <w:rPr>
          <w:rFonts w:cs="Arial"/>
        </w:rPr>
        <w:t>72% White and 21%</w:t>
      </w:r>
      <w:r>
        <w:rPr>
          <w:rFonts w:cs="Arial"/>
        </w:rPr>
        <w:t> </w:t>
      </w:r>
      <w:r w:rsidRPr="0073420D">
        <w:rPr>
          <w:rFonts w:cs="Arial"/>
        </w:rPr>
        <w:t>Asian;</w:t>
      </w:r>
      <w:r w:rsidRPr="00C019D2">
        <w:rPr>
          <w:rFonts w:cs="Arial"/>
        </w:rPr>
        <w:t xml:space="preserve"> and 34% and 66% with an ECOG performance status 0 and 1, respectively. Disease characteristics were squamous (21%) and non-squamous (70%); M1 (91%); brain metastases (15%); and the incidence of genomic aberrations was EGFR </w:t>
      </w:r>
      <w:r w:rsidRPr="00DD4EE4">
        <w:rPr>
          <w:rFonts w:cs="Arial"/>
        </w:rPr>
        <w:t xml:space="preserve">(8%) or ALK (1%). </w:t>
      </w:r>
      <w:r w:rsidRPr="00DD4EE4">
        <w:rPr>
          <w:rFonts w:cs="Arial"/>
          <w:color w:val="000000"/>
        </w:rPr>
        <w:t xml:space="preserve">Prior therapy included platinum-doublet regimen (100%); </w:t>
      </w:r>
      <w:r w:rsidRPr="00DD4EE4">
        <w:rPr>
          <w:rFonts w:cs="Arial"/>
        </w:rPr>
        <w:t>patients received one (69%), or two or more (29%) prior therapies</w:t>
      </w:r>
      <w:r w:rsidRPr="00DD4EE4">
        <w:rPr>
          <w:rFonts w:cs="Arial"/>
          <w:color w:val="000000"/>
        </w:rPr>
        <w:t>.</w:t>
      </w:r>
    </w:p>
    <w:p w14:paraId="6C40DB11" w14:textId="529C1588" w:rsidR="006F0F4C" w:rsidRDefault="006F0F4C" w:rsidP="006F0F4C">
      <w:pPr>
        <w:rPr>
          <w:rFonts w:cs="Arial"/>
          <w:lang w:val="en-GB"/>
        </w:rPr>
      </w:pPr>
      <w:r w:rsidRPr="005120FC">
        <w:rPr>
          <w:rFonts w:cs="Arial"/>
          <w:lang w:val="en-GB"/>
        </w:rPr>
        <w:t xml:space="preserve">The primary efficacy outcome measures were OS and PFS as assessed by </w:t>
      </w:r>
      <w:r>
        <w:rPr>
          <w:rFonts w:cs="Arial"/>
          <w:lang w:val="en-GB"/>
        </w:rPr>
        <w:t>an i</w:t>
      </w:r>
      <w:r w:rsidRPr="00DD4EE4">
        <w:rPr>
          <w:rFonts w:cs="Arial"/>
          <w:lang w:val="en-GB"/>
        </w:rPr>
        <w:t>ndependent review committee using RECIST 1.1</w:t>
      </w:r>
      <w:r w:rsidRPr="005120FC">
        <w:rPr>
          <w:rFonts w:cs="Arial"/>
          <w:lang w:val="en-GB"/>
        </w:rPr>
        <w:t>. Secondary efficacy outcome measures were ORR</w:t>
      </w:r>
      <w:r>
        <w:rPr>
          <w:rFonts w:cs="Arial"/>
          <w:lang w:val="en-GB"/>
        </w:rPr>
        <w:t xml:space="preserve"> and response duration. Table 5 summariz</w:t>
      </w:r>
      <w:r w:rsidRPr="005120FC">
        <w:rPr>
          <w:rFonts w:cs="Arial"/>
          <w:lang w:val="en-GB"/>
        </w:rPr>
        <w:t>es key efficacy measures</w:t>
      </w:r>
      <w:r>
        <w:rPr>
          <w:rFonts w:cs="Arial"/>
          <w:lang w:val="en-GB"/>
        </w:rPr>
        <w:t xml:space="preserve"> for the entire ITT population (TPS </w:t>
      </w:r>
      <w:r>
        <w:rPr>
          <w:rFonts w:cs="Arial"/>
          <w:lang w:val="en-GB"/>
        </w:rPr>
        <w:sym w:font="Symbol" w:char="F0B3"/>
      </w:r>
      <w:r>
        <w:rPr>
          <w:rFonts w:cs="Arial"/>
          <w:lang w:val="en-GB"/>
        </w:rPr>
        <w:t xml:space="preserve">1%) and for the subgroup of patients with TPS </w:t>
      </w:r>
      <w:r>
        <w:rPr>
          <w:rFonts w:cs="Arial"/>
          <w:lang w:val="en-GB"/>
        </w:rPr>
        <w:sym w:font="Symbol" w:char="F0B3"/>
      </w:r>
      <w:r>
        <w:rPr>
          <w:rFonts w:cs="Arial"/>
          <w:lang w:val="en-GB"/>
        </w:rPr>
        <w:t xml:space="preserve">50%. </w:t>
      </w:r>
      <w:r w:rsidRPr="00DA38DD">
        <w:rPr>
          <w:rFonts w:cs="Arial"/>
          <w:lang w:val="en-GB"/>
        </w:rPr>
        <w:t>Kaplan-Meier curve</w:t>
      </w:r>
      <w:r>
        <w:rPr>
          <w:rFonts w:cs="Arial"/>
          <w:lang w:val="en-GB"/>
        </w:rPr>
        <w:t>s</w:t>
      </w:r>
      <w:r w:rsidRPr="00DA38DD">
        <w:rPr>
          <w:rFonts w:cs="Arial"/>
          <w:lang w:val="en-GB"/>
        </w:rPr>
        <w:t xml:space="preserve"> for OS </w:t>
      </w:r>
      <w:r>
        <w:rPr>
          <w:rFonts w:cs="Arial"/>
          <w:lang w:val="en-GB"/>
        </w:rPr>
        <w:t xml:space="preserve">(TPS </w:t>
      </w:r>
      <w:r>
        <w:rPr>
          <w:rFonts w:cs="Arial"/>
          <w:lang w:val="en-GB"/>
        </w:rPr>
        <w:sym w:font="Symbol" w:char="F0B3"/>
      </w:r>
      <w:r>
        <w:rPr>
          <w:rFonts w:cs="Arial"/>
          <w:lang w:val="en-GB"/>
        </w:rPr>
        <w:t xml:space="preserve">1% and TPS </w:t>
      </w:r>
      <w:r>
        <w:rPr>
          <w:rFonts w:cs="Arial"/>
          <w:lang w:val="en-GB"/>
        </w:rPr>
        <w:sym w:font="Symbol" w:char="F0B3"/>
      </w:r>
      <w:r>
        <w:rPr>
          <w:rFonts w:cs="Arial"/>
          <w:lang w:val="en-GB"/>
        </w:rPr>
        <w:t>50%) are</w:t>
      </w:r>
      <w:r w:rsidRPr="00DA38DD">
        <w:rPr>
          <w:rFonts w:cs="Arial"/>
          <w:lang w:val="en-GB"/>
        </w:rPr>
        <w:t xml:space="preserve"> shown in Figure</w:t>
      </w:r>
      <w:r>
        <w:rPr>
          <w:rFonts w:cs="Arial"/>
          <w:lang w:val="en-GB"/>
        </w:rPr>
        <w:t>s</w:t>
      </w:r>
      <w:r w:rsidRPr="00DA38DD">
        <w:rPr>
          <w:rFonts w:cs="Arial"/>
          <w:lang w:val="en-GB"/>
        </w:rPr>
        <w:t> </w:t>
      </w:r>
      <w:r>
        <w:rPr>
          <w:rFonts w:cs="Arial"/>
          <w:lang w:val="en-GB"/>
        </w:rPr>
        <w:t>6 and 7</w:t>
      </w:r>
      <w:r w:rsidRPr="00DA38DD">
        <w:rPr>
          <w:rFonts w:cs="Arial"/>
          <w:lang w:val="en-GB"/>
        </w:rPr>
        <w:t>.</w:t>
      </w:r>
    </w:p>
    <w:p w14:paraId="7F6FC018" w14:textId="77777777" w:rsidR="006F0F4C" w:rsidRPr="003265E8" w:rsidRDefault="006F0F4C" w:rsidP="007E3CDB">
      <w:pPr>
        <w:pStyle w:val="Caption"/>
        <w:rPr>
          <w:highlight w:val="yellow"/>
          <w:lang w:val="en-GB"/>
        </w:rPr>
      </w:pPr>
      <w:r w:rsidRPr="003265E8">
        <w:rPr>
          <w:lang w:val="en-GB"/>
        </w:rPr>
        <w:t xml:space="preserve">Table </w:t>
      </w:r>
      <w:r>
        <w:rPr>
          <w:lang w:val="en-GB"/>
        </w:rPr>
        <w:t>5</w:t>
      </w:r>
      <w:r w:rsidRPr="003265E8">
        <w:rPr>
          <w:lang w:val="en-GB"/>
        </w:rPr>
        <w:t>: Response to KEYTRUDA 2 or 10 mg/kg every 3 Weeks in Previously Treated Patients with NSCLC in KEYNOTE-010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5: Response to KEYTRUDA 2 or 10 mg/kg every 3 Weeks in Previously Treated Patients with NSCLC in KEYNOTE-010"/>
      </w:tblPr>
      <w:tblGrid>
        <w:gridCol w:w="3916"/>
        <w:gridCol w:w="1979"/>
        <w:gridCol w:w="1979"/>
        <w:gridCol w:w="1981"/>
      </w:tblGrid>
      <w:tr w:rsidR="006F0F4C" w:rsidRPr="00405AE3" w14:paraId="0E624CA4" w14:textId="77777777" w:rsidTr="007E3CDB">
        <w:trPr>
          <w:trHeight w:val="20"/>
          <w:tblHeader/>
          <w:jc w:val="center"/>
        </w:trPr>
        <w:tc>
          <w:tcPr>
            <w:tcW w:w="1987" w:type="pct"/>
            <w:shd w:val="clear" w:color="auto" w:fill="auto"/>
          </w:tcPr>
          <w:p w14:paraId="7D2958D8" w14:textId="77777777" w:rsidR="006F0F4C" w:rsidRPr="00405AE3" w:rsidRDefault="006F0F4C" w:rsidP="007E3CDB">
            <w:pPr>
              <w:tabs>
                <w:tab w:val="left" w:pos="567"/>
              </w:tabs>
              <w:autoSpaceDE w:val="0"/>
              <w:autoSpaceDN w:val="0"/>
              <w:adjustRightInd w:val="0"/>
              <w:rPr>
                <w:rFonts w:cs="Arial"/>
                <w:b/>
                <w:szCs w:val="16"/>
                <w:lang w:val="en-GB"/>
              </w:rPr>
            </w:pPr>
            <w:r w:rsidRPr="00405AE3">
              <w:rPr>
                <w:rFonts w:cs="Arial"/>
                <w:b/>
                <w:bCs/>
                <w:szCs w:val="16"/>
                <w:lang w:val="en-GB"/>
              </w:rPr>
              <w:t>Endpoint</w:t>
            </w:r>
          </w:p>
        </w:tc>
        <w:tc>
          <w:tcPr>
            <w:tcW w:w="1004" w:type="pct"/>
          </w:tcPr>
          <w:p w14:paraId="36424789" w14:textId="77777777" w:rsidR="006F0F4C" w:rsidRPr="00405AE3" w:rsidRDefault="006F0F4C" w:rsidP="007E3CDB">
            <w:pPr>
              <w:tabs>
                <w:tab w:val="left" w:pos="567"/>
              </w:tabs>
              <w:autoSpaceDE w:val="0"/>
              <w:autoSpaceDN w:val="0"/>
              <w:adjustRightInd w:val="0"/>
              <w:jc w:val="center"/>
              <w:rPr>
                <w:rFonts w:cs="Arial"/>
                <w:b/>
                <w:szCs w:val="16"/>
                <w:lang w:val="en-GB"/>
              </w:rPr>
            </w:pPr>
            <w:r w:rsidRPr="00405AE3">
              <w:rPr>
                <w:rFonts w:cs="Arial"/>
                <w:b/>
                <w:szCs w:val="16"/>
                <w:lang w:val="en-GB"/>
              </w:rPr>
              <w:t>KEYTRUDA</w:t>
            </w:r>
          </w:p>
          <w:p w14:paraId="27BF305B" w14:textId="77777777" w:rsidR="006F0F4C" w:rsidRPr="00405AE3" w:rsidRDefault="006F0F4C" w:rsidP="007E3CDB">
            <w:pPr>
              <w:tabs>
                <w:tab w:val="left" w:pos="567"/>
              </w:tabs>
              <w:autoSpaceDE w:val="0"/>
              <w:autoSpaceDN w:val="0"/>
              <w:adjustRightInd w:val="0"/>
              <w:jc w:val="center"/>
              <w:rPr>
                <w:rFonts w:cs="Arial"/>
                <w:b/>
                <w:szCs w:val="16"/>
                <w:lang w:val="en-GB"/>
              </w:rPr>
            </w:pPr>
            <w:r w:rsidRPr="00405AE3">
              <w:rPr>
                <w:rFonts w:cs="Arial"/>
                <w:b/>
                <w:szCs w:val="16"/>
                <w:lang w:val="en-GB"/>
              </w:rPr>
              <w:t>2 mg/kg every 3 weeks</w:t>
            </w:r>
          </w:p>
        </w:tc>
        <w:tc>
          <w:tcPr>
            <w:tcW w:w="1004" w:type="pct"/>
          </w:tcPr>
          <w:p w14:paraId="6CAEE7E0" w14:textId="77777777" w:rsidR="006F0F4C" w:rsidRPr="00405AE3" w:rsidRDefault="006F0F4C" w:rsidP="007E3CDB">
            <w:pPr>
              <w:tabs>
                <w:tab w:val="left" w:pos="567"/>
              </w:tabs>
              <w:autoSpaceDE w:val="0"/>
              <w:autoSpaceDN w:val="0"/>
              <w:adjustRightInd w:val="0"/>
              <w:jc w:val="center"/>
              <w:rPr>
                <w:rFonts w:cs="Arial"/>
                <w:b/>
                <w:szCs w:val="16"/>
                <w:lang w:val="en-GB"/>
              </w:rPr>
            </w:pPr>
            <w:r w:rsidRPr="00405AE3">
              <w:rPr>
                <w:rFonts w:cs="Arial"/>
                <w:b/>
                <w:szCs w:val="16"/>
                <w:lang w:val="en-GB"/>
              </w:rPr>
              <w:t>KEYTRUDA</w:t>
            </w:r>
          </w:p>
          <w:p w14:paraId="0D026DE5" w14:textId="77777777" w:rsidR="006F0F4C" w:rsidRPr="00405AE3" w:rsidRDefault="006F0F4C" w:rsidP="007E3CDB">
            <w:pPr>
              <w:tabs>
                <w:tab w:val="left" w:pos="567"/>
              </w:tabs>
              <w:autoSpaceDE w:val="0"/>
              <w:autoSpaceDN w:val="0"/>
              <w:adjustRightInd w:val="0"/>
              <w:jc w:val="center"/>
              <w:rPr>
                <w:rFonts w:cs="Arial"/>
                <w:b/>
                <w:szCs w:val="16"/>
                <w:lang w:val="en-GB"/>
              </w:rPr>
            </w:pPr>
            <w:r w:rsidRPr="00405AE3">
              <w:rPr>
                <w:rFonts w:cs="Arial"/>
                <w:b/>
                <w:szCs w:val="16"/>
                <w:lang w:val="en-GB"/>
              </w:rPr>
              <w:t>10</w:t>
            </w:r>
            <w:r>
              <w:rPr>
                <w:rFonts w:cs="Arial"/>
                <w:b/>
                <w:szCs w:val="16"/>
                <w:lang w:val="en-GB"/>
              </w:rPr>
              <w:t> </w:t>
            </w:r>
            <w:r w:rsidRPr="00405AE3">
              <w:rPr>
                <w:rFonts w:cs="Arial"/>
                <w:b/>
                <w:szCs w:val="16"/>
                <w:lang w:val="en-GB"/>
              </w:rPr>
              <w:t>mg/kg every 3 weeks</w:t>
            </w:r>
          </w:p>
        </w:tc>
        <w:tc>
          <w:tcPr>
            <w:tcW w:w="1005" w:type="pct"/>
          </w:tcPr>
          <w:p w14:paraId="313EA4DD" w14:textId="77777777" w:rsidR="006F0F4C" w:rsidRPr="00405AE3" w:rsidRDefault="006F0F4C" w:rsidP="007E3CDB">
            <w:pPr>
              <w:tabs>
                <w:tab w:val="left" w:pos="567"/>
              </w:tabs>
              <w:autoSpaceDE w:val="0"/>
              <w:autoSpaceDN w:val="0"/>
              <w:adjustRightInd w:val="0"/>
              <w:jc w:val="center"/>
              <w:rPr>
                <w:rFonts w:cs="Arial"/>
                <w:b/>
                <w:szCs w:val="16"/>
                <w:lang w:val="en-GB"/>
              </w:rPr>
            </w:pPr>
            <w:r w:rsidRPr="00405AE3">
              <w:rPr>
                <w:rFonts w:cs="Arial"/>
                <w:b/>
                <w:szCs w:val="16"/>
                <w:lang w:val="en-GB"/>
              </w:rPr>
              <w:t>Docetaxel</w:t>
            </w:r>
          </w:p>
          <w:p w14:paraId="4B476E61" w14:textId="77777777" w:rsidR="006F0F4C" w:rsidRPr="00405AE3" w:rsidRDefault="006F0F4C" w:rsidP="007E3CDB">
            <w:pPr>
              <w:tabs>
                <w:tab w:val="left" w:pos="567"/>
              </w:tabs>
              <w:autoSpaceDE w:val="0"/>
              <w:autoSpaceDN w:val="0"/>
              <w:adjustRightInd w:val="0"/>
              <w:jc w:val="center"/>
              <w:rPr>
                <w:rFonts w:cs="Arial"/>
                <w:b/>
                <w:szCs w:val="16"/>
                <w:lang w:val="en-GB"/>
              </w:rPr>
            </w:pPr>
            <w:r w:rsidRPr="00405AE3">
              <w:rPr>
                <w:rFonts w:cs="Arial"/>
                <w:b/>
                <w:szCs w:val="16"/>
                <w:lang w:val="en-GB"/>
              </w:rPr>
              <w:t>75</w:t>
            </w:r>
            <w:r>
              <w:rPr>
                <w:rFonts w:cs="Arial"/>
                <w:b/>
                <w:szCs w:val="16"/>
                <w:lang w:val="en-GB"/>
              </w:rPr>
              <w:t> </w:t>
            </w:r>
            <w:r w:rsidRPr="00405AE3">
              <w:rPr>
                <w:rFonts w:cs="Arial"/>
                <w:b/>
                <w:szCs w:val="16"/>
                <w:lang w:val="en-GB"/>
              </w:rPr>
              <w:t>mg/m</w:t>
            </w:r>
            <w:r w:rsidRPr="00405AE3">
              <w:rPr>
                <w:rFonts w:cs="Arial"/>
                <w:b/>
                <w:szCs w:val="16"/>
                <w:vertAlign w:val="superscript"/>
                <w:lang w:val="en-GB"/>
              </w:rPr>
              <w:t>2</w:t>
            </w:r>
            <w:r w:rsidRPr="00405AE3">
              <w:rPr>
                <w:rFonts w:cs="Arial"/>
                <w:b/>
                <w:szCs w:val="16"/>
                <w:lang w:val="en-GB"/>
              </w:rPr>
              <w:t xml:space="preserve"> every 3 weeks</w:t>
            </w:r>
          </w:p>
        </w:tc>
      </w:tr>
      <w:tr w:rsidR="006F0F4C" w:rsidRPr="00405AE3" w14:paraId="036223F2" w14:textId="77777777" w:rsidTr="00ED6856">
        <w:trPr>
          <w:trHeight w:val="288"/>
          <w:jc w:val="center"/>
        </w:trPr>
        <w:tc>
          <w:tcPr>
            <w:tcW w:w="1987" w:type="pct"/>
            <w:shd w:val="clear" w:color="auto" w:fill="auto"/>
            <w:vAlign w:val="center"/>
          </w:tcPr>
          <w:p w14:paraId="6C22FB67" w14:textId="77777777" w:rsidR="006F0F4C" w:rsidRPr="00405AE3" w:rsidRDefault="006F0F4C" w:rsidP="007E3CDB">
            <w:pPr>
              <w:tabs>
                <w:tab w:val="left" w:pos="567"/>
              </w:tabs>
              <w:autoSpaceDE w:val="0"/>
              <w:autoSpaceDN w:val="0"/>
              <w:adjustRightInd w:val="0"/>
              <w:rPr>
                <w:rFonts w:cs="Arial"/>
                <w:b/>
                <w:bCs/>
                <w:szCs w:val="16"/>
                <w:lang w:val="en-GB"/>
              </w:rPr>
            </w:pPr>
            <w:r>
              <w:rPr>
                <w:rFonts w:cs="Arial"/>
                <w:b/>
                <w:bCs/>
                <w:szCs w:val="16"/>
                <w:lang w:val="en-GB"/>
              </w:rPr>
              <w:t xml:space="preserve">TPS </w:t>
            </w:r>
            <w:r>
              <w:rPr>
                <w:rFonts w:cs="Arial"/>
                <w:b/>
                <w:bCs/>
                <w:szCs w:val="16"/>
                <w:lang w:val="en-GB"/>
              </w:rPr>
              <w:sym w:font="Symbol" w:char="F0B3"/>
            </w:r>
            <w:r>
              <w:rPr>
                <w:rFonts w:cs="Arial"/>
                <w:b/>
                <w:bCs/>
                <w:szCs w:val="16"/>
                <w:lang w:val="en-GB"/>
              </w:rPr>
              <w:t>1%</w:t>
            </w:r>
          </w:p>
        </w:tc>
        <w:tc>
          <w:tcPr>
            <w:tcW w:w="1004" w:type="pct"/>
            <w:vAlign w:val="center"/>
          </w:tcPr>
          <w:p w14:paraId="151397BB" w14:textId="77777777" w:rsidR="006F0F4C" w:rsidRPr="00405AE3" w:rsidRDefault="006F0F4C" w:rsidP="007E3CDB">
            <w:pPr>
              <w:tabs>
                <w:tab w:val="left" w:pos="567"/>
              </w:tabs>
              <w:autoSpaceDE w:val="0"/>
              <w:autoSpaceDN w:val="0"/>
              <w:adjustRightInd w:val="0"/>
              <w:rPr>
                <w:rFonts w:cs="Arial"/>
                <w:b/>
                <w:bCs/>
                <w:szCs w:val="16"/>
                <w:lang w:val="en-GB"/>
              </w:rPr>
            </w:pPr>
          </w:p>
        </w:tc>
        <w:tc>
          <w:tcPr>
            <w:tcW w:w="1004" w:type="pct"/>
            <w:vAlign w:val="center"/>
          </w:tcPr>
          <w:p w14:paraId="2BB09768" w14:textId="77777777" w:rsidR="006F0F4C" w:rsidRPr="00405AE3" w:rsidRDefault="006F0F4C" w:rsidP="007E3CDB">
            <w:pPr>
              <w:tabs>
                <w:tab w:val="left" w:pos="567"/>
              </w:tabs>
              <w:autoSpaceDE w:val="0"/>
              <w:autoSpaceDN w:val="0"/>
              <w:adjustRightInd w:val="0"/>
              <w:rPr>
                <w:rFonts w:cs="Arial"/>
                <w:b/>
                <w:bCs/>
                <w:szCs w:val="16"/>
                <w:lang w:val="en-GB"/>
              </w:rPr>
            </w:pPr>
          </w:p>
        </w:tc>
        <w:tc>
          <w:tcPr>
            <w:tcW w:w="1005" w:type="pct"/>
            <w:vAlign w:val="center"/>
          </w:tcPr>
          <w:p w14:paraId="30AD4CA5" w14:textId="77777777" w:rsidR="006F0F4C" w:rsidRPr="00405AE3" w:rsidRDefault="006F0F4C" w:rsidP="007E3CDB">
            <w:pPr>
              <w:tabs>
                <w:tab w:val="left" w:pos="567"/>
              </w:tabs>
              <w:autoSpaceDE w:val="0"/>
              <w:autoSpaceDN w:val="0"/>
              <w:adjustRightInd w:val="0"/>
              <w:rPr>
                <w:rFonts w:cs="Arial"/>
                <w:b/>
                <w:bCs/>
                <w:szCs w:val="16"/>
                <w:lang w:val="en-GB"/>
              </w:rPr>
            </w:pPr>
          </w:p>
        </w:tc>
      </w:tr>
      <w:tr w:rsidR="006F0F4C" w:rsidRPr="00405AE3" w14:paraId="2D2BC5F2" w14:textId="77777777" w:rsidTr="00ED6856">
        <w:trPr>
          <w:trHeight w:val="20"/>
          <w:jc w:val="center"/>
        </w:trPr>
        <w:tc>
          <w:tcPr>
            <w:tcW w:w="1987" w:type="pct"/>
            <w:shd w:val="clear" w:color="auto" w:fill="auto"/>
          </w:tcPr>
          <w:p w14:paraId="6709B1C2" w14:textId="77777777" w:rsidR="006F0F4C" w:rsidRPr="00405AE3" w:rsidRDefault="006F0F4C" w:rsidP="007E3CDB">
            <w:pPr>
              <w:tabs>
                <w:tab w:val="left" w:pos="567"/>
              </w:tabs>
              <w:autoSpaceDE w:val="0"/>
              <w:autoSpaceDN w:val="0"/>
              <w:adjustRightInd w:val="0"/>
              <w:ind w:left="150"/>
              <w:rPr>
                <w:rFonts w:cs="Arial"/>
                <w:b/>
                <w:bCs/>
                <w:szCs w:val="16"/>
                <w:lang w:val="en-GB"/>
              </w:rPr>
            </w:pPr>
            <w:r w:rsidRPr="00CB5840">
              <w:rPr>
                <w:rFonts w:cs="Arial"/>
                <w:bCs/>
                <w:szCs w:val="16"/>
                <w:lang w:val="en-GB"/>
              </w:rPr>
              <w:t>Number of patients</w:t>
            </w:r>
          </w:p>
        </w:tc>
        <w:tc>
          <w:tcPr>
            <w:tcW w:w="1004" w:type="pct"/>
          </w:tcPr>
          <w:p w14:paraId="79F55E2D"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344</w:t>
            </w:r>
          </w:p>
        </w:tc>
        <w:tc>
          <w:tcPr>
            <w:tcW w:w="1004" w:type="pct"/>
          </w:tcPr>
          <w:p w14:paraId="552AEA78"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346</w:t>
            </w:r>
          </w:p>
        </w:tc>
        <w:tc>
          <w:tcPr>
            <w:tcW w:w="1005" w:type="pct"/>
          </w:tcPr>
          <w:p w14:paraId="6A71DCAD"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343</w:t>
            </w:r>
          </w:p>
        </w:tc>
      </w:tr>
      <w:tr w:rsidR="006F0F4C" w:rsidRPr="00405AE3" w14:paraId="1852CCE6" w14:textId="77777777" w:rsidTr="00ED6856">
        <w:trPr>
          <w:trHeight w:val="20"/>
          <w:jc w:val="center"/>
        </w:trPr>
        <w:tc>
          <w:tcPr>
            <w:tcW w:w="1987" w:type="pct"/>
            <w:shd w:val="clear" w:color="auto" w:fill="auto"/>
          </w:tcPr>
          <w:p w14:paraId="03559A60" w14:textId="77777777" w:rsidR="006F0F4C" w:rsidRPr="00405AE3" w:rsidRDefault="006F0F4C" w:rsidP="007E3CDB">
            <w:pPr>
              <w:tabs>
                <w:tab w:val="left" w:pos="567"/>
              </w:tabs>
              <w:autoSpaceDE w:val="0"/>
              <w:autoSpaceDN w:val="0"/>
              <w:adjustRightInd w:val="0"/>
              <w:rPr>
                <w:rFonts w:cs="Arial"/>
                <w:b/>
                <w:bCs/>
                <w:szCs w:val="16"/>
                <w:lang w:val="en-GB"/>
              </w:rPr>
            </w:pPr>
            <w:r w:rsidRPr="00D75BD7">
              <w:rPr>
                <w:rFonts w:cs="Arial"/>
                <w:b/>
                <w:bCs/>
                <w:szCs w:val="16"/>
                <w:lang w:val="en-GB"/>
              </w:rPr>
              <w:t>OS</w:t>
            </w:r>
          </w:p>
        </w:tc>
        <w:tc>
          <w:tcPr>
            <w:tcW w:w="1004" w:type="pct"/>
          </w:tcPr>
          <w:p w14:paraId="061016F7" w14:textId="77777777" w:rsidR="006F0F4C" w:rsidRPr="00405AE3" w:rsidRDefault="006F0F4C" w:rsidP="007E3CDB">
            <w:pPr>
              <w:tabs>
                <w:tab w:val="left" w:pos="567"/>
              </w:tabs>
              <w:autoSpaceDE w:val="0"/>
              <w:autoSpaceDN w:val="0"/>
              <w:adjustRightInd w:val="0"/>
              <w:jc w:val="center"/>
              <w:rPr>
                <w:rFonts w:cs="Arial"/>
                <w:bCs/>
                <w:szCs w:val="16"/>
                <w:lang w:val="en-GB"/>
              </w:rPr>
            </w:pPr>
          </w:p>
        </w:tc>
        <w:tc>
          <w:tcPr>
            <w:tcW w:w="1004" w:type="pct"/>
          </w:tcPr>
          <w:p w14:paraId="324DBD26" w14:textId="77777777" w:rsidR="006F0F4C" w:rsidRPr="00405AE3" w:rsidRDefault="006F0F4C" w:rsidP="007E3CDB">
            <w:pPr>
              <w:tabs>
                <w:tab w:val="left" w:pos="567"/>
              </w:tabs>
              <w:autoSpaceDE w:val="0"/>
              <w:autoSpaceDN w:val="0"/>
              <w:adjustRightInd w:val="0"/>
              <w:jc w:val="center"/>
              <w:rPr>
                <w:rFonts w:cs="Arial"/>
                <w:bCs/>
                <w:szCs w:val="16"/>
                <w:lang w:val="en-GB"/>
              </w:rPr>
            </w:pPr>
          </w:p>
        </w:tc>
        <w:tc>
          <w:tcPr>
            <w:tcW w:w="1005" w:type="pct"/>
          </w:tcPr>
          <w:p w14:paraId="6B5E3637" w14:textId="77777777" w:rsidR="006F0F4C" w:rsidRPr="00405AE3" w:rsidRDefault="006F0F4C" w:rsidP="007E3CDB">
            <w:pPr>
              <w:tabs>
                <w:tab w:val="left" w:pos="567"/>
              </w:tabs>
              <w:autoSpaceDE w:val="0"/>
              <w:autoSpaceDN w:val="0"/>
              <w:adjustRightInd w:val="0"/>
              <w:jc w:val="center"/>
              <w:rPr>
                <w:rFonts w:cs="Arial"/>
                <w:bCs/>
                <w:szCs w:val="16"/>
                <w:lang w:val="en-GB"/>
              </w:rPr>
            </w:pPr>
          </w:p>
        </w:tc>
      </w:tr>
      <w:tr w:rsidR="006F0F4C" w:rsidRPr="00405AE3" w14:paraId="27DCB6D8" w14:textId="77777777" w:rsidTr="00ED6856">
        <w:trPr>
          <w:trHeight w:val="20"/>
          <w:jc w:val="center"/>
        </w:trPr>
        <w:tc>
          <w:tcPr>
            <w:tcW w:w="1987" w:type="pct"/>
            <w:shd w:val="clear" w:color="auto" w:fill="auto"/>
          </w:tcPr>
          <w:p w14:paraId="3B8B6334" w14:textId="77777777" w:rsidR="006F0F4C" w:rsidRPr="00405AE3" w:rsidRDefault="006F0F4C" w:rsidP="007E3CDB">
            <w:pPr>
              <w:tabs>
                <w:tab w:val="left" w:pos="567"/>
              </w:tabs>
              <w:autoSpaceDE w:val="0"/>
              <w:autoSpaceDN w:val="0"/>
              <w:adjustRightInd w:val="0"/>
              <w:ind w:left="150"/>
              <w:rPr>
                <w:rFonts w:cs="Arial"/>
                <w:b/>
                <w:bCs/>
                <w:szCs w:val="16"/>
                <w:lang w:val="en-GB"/>
              </w:rPr>
            </w:pPr>
            <w:r w:rsidRPr="00372923">
              <w:rPr>
                <w:rFonts w:cs="Arial"/>
                <w:bCs/>
                <w:szCs w:val="16"/>
              </w:rPr>
              <w:t>Number (%) of patients with event</w:t>
            </w:r>
          </w:p>
        </w:tc>
        <w:tc>
          <w:tcPr>
            <w:tcW w:w="1004" w:type="pct"/>
          </w:tcPr>
          <w:p w14:paraId="6D699EF3" w14:textId="77777777" w:rsidR="006F0F4C" w:rsidRPr="00405AE3" w:rsidRDefault="006F0F4C" w:rsidP="007E3CDB">
            <w:pPr>
              <w:tabs>
                <w:tab w:val="left" w:pos="567"/>
              </w:tabs>
              <w:autoSpaceDE w:val="0"/>
              <w:autoSpaceDN w:val="0"/>
              <w:adjustRightInd w:val="0"/>
              <w:jc w:val="center"/>
              <w:rPr>
                <w:rFonts w:cs="Arial"/>
                <w:b/>
                <w:bCs/>
                <w:szCs w:val="16"/>
                <w:lang w:val="en-GB"/>
              </w:rPr>
            </w:pPr>
            <w:r w:rsidRPr="00E15439">
              <w:rPr>
                <w:rFonts w:cs="Arial"/>
                <w:bCs/>
                <w:szCs w:val="16"/>
                <w:lang w:val="en-GB"/>
              </w:rPr>
              <w:t>172 (50%)</w:t>
            </w:r>
          </w:p>
        </w:tc>
        <w:tc>
          <w:tcPr>
            <w:tcW w:w="1004" w:type="pct"/>
          </w:tcPr>
          <w:p w14:paraId="0803C10C" w14:textId="77777777" w:rsidR="006F0F4C" w:rsidRPr="00405AE3" w:rsidRDefault="006F0F4C" w:rsidP="007E3CDB">
            <w:pPr>
              <w:tabs>
                <w:tab w:val="left" w:pos="567"/>
              </w:tabs>
              <w:autoSpaceDE w:val="0"/>
              <w:autoSpaceDN w:val="0"/>
              <w:adjustRightInd w:val="0"/>
              <w:jc w:val="center"/>
              <w:rPr>
                <w:rFonts w:cs="Arial"/>
                <w:b/>
                <w:bCs/>
                <w:szCs w:val="16"/>
                <w:lang w:val="en-GB"/>
              </w:rPr>
            </w:pPr>
            <w:r w:rsidRPr="00E15439">
              <w:rPr>
                <w:rFonts w:cs="Arial"/>
                <w:bCs/>
                <w:szCs w:val="16"/>
                <w:lang w:val="en-GB"/>
              </w:rPr>
              <w:t>156 (45%)</w:t>
            </w:r>
          </w:p>
        </w:tc>
        <w:tc>
          <w:tcPr>
            <w:tcW w:w="1005" w:type="pct"/>
          </w:tcPr>
          <w:p w14:paraId="1311AB13" w14:textId="77777777" w:rsidR="006F0F4C" w:rsidRPr="00405AE3" w:rsidRDefault="006F0F4C" w:rsidP="007E3CDB">
            <w:pPr>
              <w:tabs>
                <w:tab w:val="left" w:pos="567"/>
              </w:tabs>
              <w:autoSpaceDE w:val="0"/>
              <w:autoSpaceDN w:val="0"/>
              <w:adjustRightInd w:val="0"/>
              <w:jc w:val="center"/>
              <w:rPr>
                <w:rFonts w:cs="Arial"/>
                <w:b/>
                <w:bCs/>
                <w:szCs w:val="16"/>
                <w:lang w:val="en-GB"/>
              </w:rPr>
            </w:pPr>
            <w:r w:rsidRPr="00E15439">
              <w:rPr>
                <w:rFonts w:cs="Arial"/>
                <w:bCs/>
                <w:szCs w:val="16"/>
                <w:lang w:val="en-GB"/>
              </w:rPr>
              <w:t>193 (56%)</w:t>
            </w:r>
          </w:p>
        </w:tc>
      </w:tr>
      <w:tr w:rsidR="006F0F4C" w:rsidRPr="00405AE3" w14:paraId="348DD67E" w14:textId="77777777" w:rsidTr="00ED6856">
        <w:trPr>
          <w:trHeight w:val="20"/>
          <w:jc w:val="center"/>
        </w:trPr>
        <w:tc>
          <w:tcPr>
            <w:tcW w:w="1987" w:type="pct"/>
            <w:shd w:val="clear" w:color="auto" w:fill="auto"/>
          </w:tcPr>
          <w:p w14:paraId="595F461F" w14:textId="77777777" w:rsidR="006F0F4C" w:rsidRPr="00405AE3" w:rsidRDefault="006F0F4C" w:rsidP="007E3CDB">
            <w:pPr>
              <w:tabs>
                <w:tab w:val="left" w:pos="567"/>
              </w:tabs>
              <w:autoSpaceDE w:val="0"/>
              <w:autoSpaceDN w:val="0"/>
              <w:adjustRightInd w:val="0"/>
              <w:ind w:left="150"/>
              <w:rPr>
                <w:rFonts w:cs="Arial"/>
                <w:b/>
                <w:bCs/>
                <w:szCs w:val="16"/>
                <w:lang w:val="en-GB"/>
              </w:rPr>
            </w:pPr>
            <w:r w:rsidRPr="00D75BD7">
              <w:rPr>
                <w:rFonts w:cs="Arial"/>
                <w:bCs/>
                <w:szCs w:val="16"/>
                <w:lang w:val="en-GB"/>
              </w:rPr>
              <w:t>Hazard ratio</w:t>
            </w:r>
            <w:r w:rsidRPr="00C362F2">
              <w:rPr>
                <w:rFonts w:cs="Arial"/>
                <w:bCs/>
                <w:szCs w:val="16"/>
                <w:lang w:val="en-GB"/>
              </w:rPr>
              <w:t>*</w:t>
            </w:r>
            <w:r w:rsidRPr="00D75BD7">
              <w:rPr>
                <w:rFonts w:cs="Arial"/>
                <w:bCs/>
                <w:szCs w:val="16"/>
                <w:lang w:val="en-GB"/>
              </w:rPr>
              <w:t xml:space="preserve"> (95% CI)</w:t>
            </w:r>
            <w:r w:rsidRPr="00E14551">
              <w:rPr>
                <w:rFonts w:cs="Arial"/>
                <w:bCs/>
                <w:szCs w:val="16"/>
                <w:lang w:val="en-GB"/>
              </w:rPr>
              <w:t xml:space="preserve"> </w:t>
            </w:r>
          </w:p>
        </w:tc>
        <w:tc>
          <w:tcPr>
            <w:tcW w:w="1004" w:type="pct"/>
          </w:tcPr>
          <w:p w14:paraId="3712024E"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0.71 (0.58, 0.88)</w:t>
            </w:r>
          </w:p>
        </w:tc>
        <w:tc>
          <w:tcPr>
            <w:tcW w:w="1004" w:type="pct"/>
          </w:tcPr>
          <w:p w14:paraId="48EF4B85"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0.61 (0.49, 0.75)</w:t>
            </w:r>
          </w:p>
        </w:tc>
        <w:tc>
          <w:tcPr>
            <w:tcW w:w="1005" w:type="pct"/>
          </w:tcPr>
          <w:p w14:paraId="1F30F759"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w:t>
            </w:r>
          </w:p>
        </w:tc>
      </w:tr>
      <w:tr w:rsidR="006F0F4C" w:rsidRPr="00405AE3" w14:paraId="331ADA90" w14:textId="77777777" w:rsidTr="00ED6856">
        <w:trPr>
          <w:trHeight w:val="20"/>
          <w:jc w:val="center"/>
        </w:trPr>
        <w:tc>
          <w:tcPr>
            <w:tcW w:w="1987" w:type="pct"/>
            <w:shd w:val="clear" w:color="auto" w:fill="auto"/>
          </w:tcPr>
          <w:p w14:paraId="406A6C5A" w14:textId="77777777" w:rsidR="006F0F4C" w:rsidRPr="00405AE3" w:rsidRDefault="006F0F4C" w:rsidP="007E3CDB">
            <w:pPr>
              <w:tabs>
                <w:tab w:val="left" w:pos="567"/>
              </w:tabs>
              <w:autoSpaceDE w:val="0"/>
              <w:autoSpaceDN w:val="0"/>
              <w:adjustRightInd w:val="0"/>
              <w:ind w:left="150"/>
              <w:rPr>
                <w:rFonts w:cs="Arial"/>
                <w:bCs/>
                <w:szCs w:val="16"/>
                <w:lang w:val="en-GB"/>
              </w:rPr>
            </w:pPr>
            <w:r w:rsidRPr="00D75BD7">
              <w:rPr>
                <w:rFonts w:cs="Arial"/>
                <w:bCs/>
                <w:szCs w:val="16"/>
                <w:lang w:val="en-GB"/>
              </w:rPr>
              <w:t>p-Value</w:t>
            </w:r>
            <w:r w:rsidRPr="007975E8">
              <w:rPr>
                <w:rFonts w:cs="Arial"/>
                <w:bCs/>
                <w:szCs w:val="16"/>
                <w:vertAlign w:val="superscript"/>
                <w:lang w:val="en-GB"/>
              </w:rPr>
              <w:t>†</w:t>
            </w:r>
          </w:p>
        </w:tc>
        <w:tc>
          <w:tcPr>
            <w:tcW w:w="1004" w:type="pct"/>
          </w:tcPr>
          <w:p w14:paraId="4DCB8499"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&lt;0.001</w:t>
            </w:r>
          </w:p>
        </w:tc>
        <w:tc>
          <w:tcPr>
            <w:tcW w:w="1004" w:type="pct"/>
          </w:tcPr>
          <w:p w14:paraId="13AABB80"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&lt;0.001</w:t>
            </w:r>
          </w:p>
        </w:tc>
        <w:tc>
          <w:tcPr>
            <w:tcW w:w="1005" w:type="pct"/>
          </w:tcPr>
          <w:p w14:paraId="17E7CFC8"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w:t>
            </w:r>
          </w:p>
        </w:tc>
      </w:tr>
      <w:tr w:rsidR="006F0F4C" w:rsidRPr="00405AE3" w14:paraId="73D78E2F" w14:textId="77777777" w:rsidTr="00ED6856">
        <w:trPr>
          <w:trHeight w:val="20"/>
          <w:jc w:val="center"/>
        </w:trPr>
        <w:tc>
          <w:tcPr>
            <w:tcW w:w="1987" w:type="pct"/>
            <w:shd w:val="clear" w:color="auto" w:fill="auto"/>
          </w:tcPr>
          <w:p w14:paraId="283F94EA" w14:textId="77777777" w:rsidR="006F0F4C" w:rsidRPr="00405AE3" w:rsidRDefault="006F0F4C" w:rsidP="007E3CDB">
            <w:pPr>
              <w:tabs>
                <w:tab w:val="left" w:pos="567"/>
              </w:tabs>
              <w:autoSpaceDE w:val="0"/>
              <w:autoSpaceDN w:val="0"/>
              <w:adjustRightInd w:val="0"/>
              <w:ind w:left="150"/>
              <w:rPr>
                <w:rFonts w:cs="Arial"/>
                <w:bCs/>
                <w:szCs w:val="16"/>
                <w:lang w:val="en-GB"/>
              </w:rPr>
            </w:pPr>
            <w:r w:rsidRPr="00D75BD7">
              <w:rPr>
                <w:rFonts w:cs="Arial"/>
                <w:bCs/>
                <w:szCs w:val="16"/>
                <w:lang w:val="en-GB"/>
              </w:rPr>
              <w:t>Median in months (95% CI)</w:t>
            </w:r>
          </w:p>
        </w:tc>
        <w:tc>
          <w:tcPr>
            <w:tcW w:w="1004" w:type="pct"/>
          </w:tcPr>
          <w:p w14:paraId="2A409D3E"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10.4 (9.4, 11.9)</w:t>
            </w:r>
          </w:p>
        </w:tc>
        <w:tc>
          <w:tcPr>
            <w:tcW w:w="1004" w:type="pct"/>
          </w:tcPr>
          <w:p w14:paraId="0BDD0AE6"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12.7 (10.0, 17.3)</w:t>
            </w:r>
          </w:p>
        </w:tc>
        <w:tc>
          <w:tcPr>
            <w:tcW w:w="1005" w:type="pct"/>
          </w:tcPr>
          <w:p w14:paraId="39F7D5F3"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8.5 (7.5, 9.8)</w:t>
            </w:r>
          </w:p>
        </w:tc>
      </w:tr>
      <w:tr w:rsidR="006F0F4C" w:rsidRPr="00405AE3" w14:paraId="4769E068" w14:textId="77777777" w:rsidTr="00ED6856">
        <w:trPr>
          <w:trHeight w:val="20"/>
          <w:jc w:val="center"/>
        </w:trPr>
        <w:tc>
          <w:tcPr>
            <w:tcW w:w="1987" w:type="pct"/>
            <w:shd w:val="clear" w:color="auto" w:fill="auto"/>
          </w:tcPr>
          <w:p w14:paraId="2F76A925" w14:textId="77777777" w:rsidR="006F0F4C" w:rsidRPr="00405AE3" w:rsidRDefault="006F0F4C" w:rsidP="007E3CDB">
            <w:pPr>
              <w:tabs>
                <w:tab w:val="left" w:pos="567"/>
              </w:tabs>
              <w:autoSpaceDE w:val="0"/>
              <w:autoSpaceDN w:val="0"/>
              <w:adjustRightInd w:val="0"/>
              <w:rPr>
                <w:rFonts w:cs="Arial"/>
                <w:bCs/>
                <w:szCs w:val="16"/>
                <w:lang w:val="en-GB"/>
              </w:rPr>
            </w:pPr>
            <w:r w:rsidRPr="00D75BD7">
              <w:rPr>
                <w:rFonts w:cs="Arial"/>
                <w:b/>
                <w:bCs/>
                <w:szCs w:val="16"/>
                <w:lang w:val="en-GB"/>
              </w:rPr>
              <w:t>PFS</w:t>
            </w:r>
            <w:r w:rsidRPr="007975E8">
              <w:rPr>
                <w:rFonts w:cs="Arial"/>
                <w:b/>
                <w:bCs/>
                <w:szCs w:val="16"/>
                <w:vertAlign w:val="superscript"/>
                <w:lang w:val="en-GB"/>
              </w:rPr>
              <w:t>‡</w:t>
            </w:r>
          </w:p>
        </w:tc>
        <w:tc>
          <w:tcPr>
            <w:tcW w:w="1004" w:type="pct"/>
          </w:tcPr>
          <w:p w14:paraId="7643C4E2" w14:textId="77777777" w:rsidR="006F0F4C" w:rsidRPr="00405AE3" w:rsidRDefault="006F0F4C" w:rsidP="007E3CDB">
            <w:pPr>
              <w:tabs>
                <w:tab w:val="left" w:pos="567"/>
              </w:tabs>
              <w:autoSpaceDE w:val="0"/>
              <w:autoSpaceDN w:val="0"/>
              <w:adjustRightInd w:val="0"/>
              <w:jc w:val="center"/>
              <w:rPr>
                <w:rFonts w:cs="Arial"/>
                <w:bCs/>
                <w:szCs w:val="16"/>
                <w:lang w:val="en-GB"/>
              </w:rPr>
            </w:pPr>
          </w:p>
        </w:tc>
        <w:tc>
          <w:tcPr>
            <w:tcW w:w="1004" w:type="pct"/>
          </w:tcPr>
          <w:p w14:paraId="20E50724" w14:textId="77777777" w:rsidR="006F0F4C" w:rsidRPr="00405AE3" w:rsidRDefault="006F0F4C" w:rsidP="007E3CDB">
            <w:pPr>
              <w:tabs>
                <w:tab w:val="left" w:pos="567"/>
              </w:tabs>
              <w:autoSpaceDE w:val="0"/>
              <w:autoSpaceDN w:val="0"/>
              <w:adjustRightInd w:val="0"/>
              <w:jc w:val="center"/>
              <w:rPr>
                <w:rFonts w:cs="Arial"/>
                <w:bCs/>
                <w:szCs w:val="16"/>
                <w:lang w:val="en-GB"/>
              </w:rPr>
            </w:pPr>
          </w:p>
        </w:tc>
        <w:tc>
          <w:tcPr>
            <w:tcW w:w="1005" w:type="pct"/>
          </w:tcPr>
          <w:p w14:paraId="0D4FBF48" w14:textId="77777777" w:rsidR="006F0F4C" w:rsidRPr="00405AE3" w:rsidRDefault="006F0F4C" w:rsidP="007E3CDB">
            <w:pPr>
              <w:tabs>
                <w:tab w:val="left" w:pos="567"/>
              </w:tabs>
              <w:autoSpaceDE w:val="0"/>
              <w:autoSpaceDN w:val="0"/>
              <w:adjustRightInd w:val="0"/>
              <w:jc w:val="center"/>
              <w:rPr>
                <w:rFonts w:cs="Arial"/>
                <w:bCs/>
                <w:szCs w:val="16"/>
                <w:lang w:val="en-GB"/>
              </w:rPr>
            </w:pPr>
          </w:p>
        </w:tc>
      </w:tr>
      <w:tr w:rsidR="006F0F4C" w:rsidRPr="00405AE3" w14:paraId="32411A43" w14:textId="77777777" w:rsidTr="00ED6856">
        <w:trPr>
          <w:trHeight w:val="20"/>
          <w:jc w:val="center"/>
        </w:trPr>
        <w:tc>
          <w:tcPr>
            <w:tcW w:w="1987" w:type="pct"/>
            <w:shd w:val="clear" w:color="auto" w:fill="auto"/>
          </w:tcPr>
          <w:p w14:paraId="43D2D8E9" w14:textId="77777777" w:rsidR="006F0F4C" w:rsidRPr="00405AE3" w:rsidRDefault="006F0F4C" w:rsidP="007E3CDB">
            <w:pPr>
              <w:tabs>
                <w:tab w:val="left" w:pos="567"/>
              </w:tabs>
              <w:autoSpaceDE w:val="0"/>
              <w:autoSpaceDN w:val="0"/>
              <w:adjustRightInd w:val="0"/>
              <w:ind w:left="150"/>
              <w:rPr>
                <w:rFonts w:cs="Arial"/>
                <w:bCs/>
                <w:szCs w:val="16"/>
                <w:lang w:val="en-GB"/>
              </w:rPr>
            </w:pPr>
            <w:r w:rsidRPr="00372923">
              <w:rPr>
                <w:rFonts w:cs="Arial"/>
                <w:bCs/>
                <w:szCs w:val="16"/>
              </w:rPr>
              <w:t>Number (%) of patients with event</w:t>
            </w:r>
          </w:p>
        </w:tc>
        <w:tc>
          <w:tcPr>
            <w:tcW w:w="1004" w:type="pct"/>
          </w:tcPr>
          <w:p w14:paraId="0AD84867"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266 (77%)</w:t>
            </w:r>
          </w:p>
        </w:tc>
        <w:tc>
          <w:tcPr>
            <w:tcW w:w="1004" w:type="pct"/>
          </w:tcPr>
          <w:p w14:paraId="265E3E28"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255 (74%)</w:t>
            </w:r>
          </w:p>
        </w:tc>
        <w:tc>
          <w:tcPr>
            <w:tcW w:w="1005" w:type="pct"/>
          </w:tcPr>
          <w:p w14:paraId="08835ADA"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257 (75%)</w:t>
            </w:r>
          </w:p>
        </w:tc>
      </w:tr>
      <w:tr w:rsidR="006F0F4C" w:rsidRPr="00405AE3" w14:paraId="5FE02843" w14:textId="77777777" w:rsidTr="00ED6856">
        <w:trPr>
          <w:trHeight w:val="20"/>
          <w:jc w:val="center"/>
        </w:trPr>
        <w:tc>
          <w:tcPr>
            <w:tcW w:w="1987" w:type="pct"/>
            <w:shd w:val="clear" w:color="auto" w:fill="auto"/>
          </w:tcPr>
          <w:p w14:paraId="0699579B" w14:textId="77777777" w:rsidR="006F0F4C" w:rsidRPr="00405AE3" w:rsidRDefault="006F0F4C" w:rsidP="007E3CDB">
            <w:pPr>
              <w:tabs>
                <w:tab w:val="left" w:pos="567"/>
              </w:tabs>
              <w:autoSpaceDE w:val="0"/>
              <w:autoSpaceDN w:val="0"/>
              <w:adjustRightInd w:val="0"/>
              <w:ind w:left="150"/>
              <w:rPr>
                <w:rFonts w:cs="Arial"/>
                <w:b/>
                <w:bCs/>
                <w:szCs w:val="16"/>
                <w:lang w:val="en-GB"/>
              </w:rPr>
            </w:pPr>
            <w:r w:rsidRPr="00D75BD7">
              <w:rPr>
                <w:rFonts w:cs="Arial"/>
                <w:bCs/>
                <w:szCs w:val="16"/>
                <w:lang w:val="en-GB"/>
              </w:rPr>
              <w:t>Hazard ratio</w:t>
            </w:r>
            <w:r w:rsidRPr="004D2A78">
              <w:rPr>
                <w:rFonts w:cs="Arial"/>
                <w:bCs/>
                <w:szCs w:val="16"/>
                <w:lang w:val="en-GB"/>
              </w:rPr>
              <w:t>*</w:t>
            </w:r>
            <w:r w:rsidRPr="00D75BD7">
              <w:rPr>
                <w:rFonts w:cs="Arial"/>
                <w:bCs/>
                <w:szCs w:val="16"/>
                <w:lang w:val="en-GB"/>
              </w:rPr>
              <w:t xml:space="preserve"> (95% CI)</w:t>
            </w:r>
            <w:r w:rsidRPr="003025C1">
              <w:rPr>
                <w:rFonts w:cs="Arial"/>
                <w:bCs/>
                <w:szCs w:val="16"/>
                <w:lang w:val="en-GB"/>
              </w:rPr>
              <w:t xml:space="preserve"> </w:t>
            </w:r>
          </w:p>
        </w:tc>
        <w:tc>
          <w:tcPr>
            <w:tcW w:w="1004" w:type="pct"/>
          </w:tcPr>
          <w:p w14:paraId="43C291ED"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0.88 (0.73, 1.04)</w:t>
            </w:r>
          </w:p>
        </w:tc>
        <w:tc>
          <w:tcPr>
            <w:tcW w:w="1004" w:type="pct"/>
          </w:tcPr>
          <w:p w14:paraId="1A6508EB"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0.79 (0.66, 0.94)</w:t>
            </w:r>
          </w:p>
        </w:tc>
        <w:tc>
          <w:tcPr>
            <w:tcW w:w="1005" w:type="pct"/>
          </w:tcPr>
          <w:p w14:paraId="3113CE5A"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w:t>
            </w:r>
          </w:p>
        </w:tc>
      </w:tr>
      <w:tr w:rsidR="006F0F4C" w:rsidRPr="00405AE3" w14:paraId="2FF5C60B" w14:textId="77777777" w:rsidTr="00ED6856">
        <w:trPr>
          <w:trHeight w:val="20"/>
          <w:jc w:val="center"/>
        </w:trPr>
        <w:tc>
          <w:tcPr>
            <w:tcW w:w="1987" w:type="pct"/>
            <w:shd w:val="clear" w:color="auto" w:fill="auto"/>
          </w:tcPr>
          <w:p w14:paraId="35757CD0" w14:textId="77777777" w:rsidR="006F0F4C" w:rsidRPr="00405AE3" w:rsidRDefault="006F0F4C" w:rsidP="007E3CDB">
            <w:pPr>
              <w:tabs>
                <w:tab w:val="left" w:pos="567"/>
              </w:tabs>
              <w:autoSpaceDE w:val="0"/>
              <w:autoSpaceDN w:val="0"/>
              <w:adjustRightInd w:val="0"/>
              <w:ind w:left="150"/>
              <w:rPr>
                <w:rFonts w:cs="Arial"/>
                <w:bCs/>
                <w:szCs w:val="16"/>
                <w:lang w:val="en-GB"/>
              </w:rPr>
            </w:pPr>
            <w:r w:rsidRPr="00D75BD7">
              <w:rPr>
                <w:rFonts w:cs="Arial"/>
                <w:bCs/>
                <w:szCs w:val="16"/>
                <w:lang w:val="en-GB"/>
              </w:rPr>
              <w:t>p-Value</w:t>
            </w:r>
            <w:r w:rsidRPr="007975E8">
              <w:rPr>
                <w:rFonts w:cs="Arial"/>
                <w:bCs/>
                <w:szCs w:val="16"/>
                <w:vertAlign w:val="superscript"/>
                <w:lang w:val="en-GB"/>
              </w:rPr>
              <w:t>†</w:t>
            </w:r>
          </w:p>
        </w:tc>
        <w:tc>
          <w:tcPr>
            <w:tcW w:w="1004" w:type="pct"/>
          </w:tcPr>
          <w:p w14:paraId="774215AB"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0.068</w:t>
            </w:r>
          </w:p>
        </w:tc>
        <w:tc>
          <w:tcPr>
            <w:tcW w:w="1004" w:type="pct"/>
          </w:tcPr>
          <w:p w14:paraId="3D4646B8"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0.005</w:t>
            </w:r>
          </w:p>
        </w:tc>
        <w:tc>
          <w:tcPr>
            <w:tcW w:w="1005" w:type="pct"/>
          </w:tcPr>
          <w:p w14:paraId="4C13D596"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w:t>
            </w:r>
          </w:p>
        </w:tc>
      </w:tr>
      <w:tr w:rsidR="006F0F4C" w:rsidRPr="00405AE3" w14:paraId="1E4C0122" w14:textId="77777777" w:rsidTr="00ED6856">
        <w:trPr>
          <w:trHeight w:val="20"/>
          <w:jc w:val="center"/>
        </w:trPr>
        <w:tc>
          <w:tcPr>
            <w:tcW w:w="1987" w:type="pct"/>
            <w:shd w:val="clear" w:color="auto" w:fill="auto"/>
          </w:tcPr>
          <w:p w14:paraId="02BB52B7" w14:textId="77777777" w:rsidR="006F0F4C" w:rsidRPr="00405AE3" w:rsidRDefault="006F0F4C" w:rsidP="007E3CDB">
            <w:pPr>
              <w:tabs>
                <w:tab w:val="left" w:pos="567"/>
              </w:tabs>
              <w:autoSpaceDE w:val="0"/>
              <w:autoSpaceDN w:val="0"/>
              <w:adjustRightInd w:val="0"/>
              <w:ind w:left="150"/>
              <w:rPr>
                <w:rFonts w:cs="Arial"/>
                <w:bCs/>
                <w:szCs w:val="16"/>
                <w:lang w:val="en-GB"/>
              </w:rPr>
            </w:pPr>
            <w:r w:rsidRPr="00D75BD7">
              <w:rPr>
                <w:rFonts w:cs="Arial"/>
                <w:bCs/>
                <w:szCs w:val="16"/>
                <w:lang w:val="en-GB"/>
              </w:rPr>
              <w:t>Median in months (95% CI)</w:t>
            </w:r>
          </w:p>
        </w:tc>
        <w:tc>
          <w:tcPr>
            <w:tcW w:w="1004" w:type="pct"/>
          </w:tcPr>
          <w:p w14:paraId="6760EB3A"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3.9 (3.1, 4.1)</w:t>
            </w:r>
          </w:p>
        </w:tc>
        <w:tc>
          <w:tcPr>
            <w:tcW w:w="1004" w:type="pct"/>
          </w:tcPr>
          <w:p w14:paraId="0C2D0B7C"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4.0 (2.6, 4.3)</w:t>
            </w:r>
          </w:p>
        </w:tc>
        <w:tc>
          <w:tcPr>
            <w:tcW w:w="1005" w:type="pct"/>
          </w:tcPr>
          <w:p w14:paraId="371E3E62"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4.0 (3.1, 4.2)</w:t>
            </w:r>
          </w:p>
        </w:tc>
      </w:tr>
      <w:tr w:rsidR="006F0F4C" w:rsidRPr="00405AE3" w14:paraId="709F517C" w14:textId="77777777" w:rsidTr="00ED6856">
        <w:trPr>
          <w:trHeight w:val="20"/>
          <w:jc w:val="center"/>
        </w:trPr>
        <w:tc>
          <w:tcPr>
            <w:tcW w:w="1987" w:type="pct"/>
            <w:shd w:val="clear" w:color="auto" w:fill="auto"/>
          </w:tcPr>
          <w:p w14:paraId="64D42C6C" w14:textId="77777777" w:rsidR="006F0F4C" w:rsidRPr="007975E8" w:rsidRDefault="006F0F4C" w:rsidP="007E3CDB">
            <w:pPr>
              <w:tabs>
                <w:tab w:val="left" w:pos="567"/>
              </w:tabs>
              <w:autoSpaceDE w:val="0"/>
              <w:autoSpaceDN w:val="0"/>
              <w:adjustRightInd w:val="0"/>
              <w:rPr>
                <w:rFonts w:cs="Arial"/>
                <w:b/>
                <w:bCs/>
                <w:szCs w:val="16"/>
                <w:lang w:val="en-GB"/>
              </w:rPr>
            </w:pPr>
            <w:r>
              <w:rPr>
                <w:rFonts w:cs="Arial"/>
                <w:b/>
                <w:bCs/>
                <w:szCs w:val="16"/>
                <w:lang w:val="en-GB"/>
              </w:rPr>
              <w:t>O</w:t>
            </w:r>
            <w:r w:rsidRPr="00D75BD7">
              <w:rPr>
                <w:rFonts w:cs="Arial"/>
                <w:b/>
                <w:bCs/>
                <w:szCs w:val="16"/>
                <w:lang w:val="en-GB"/>
              </w:rPr>
              <w:t>verall response</w:t>
            </w:r>
            <w:r>
              <w:rPr>
                <w:rFonts w:cs="Arial"/>
                <w:b/>
                <w:bCs/>
                <w:szCs w:val="16"/>
                <w:lang w:val="en-GB"/>
              </w:rPr>
              <w:t xml:space="preserve"> rate</w:t>
            </w:r>
            <w:r w:rsidRPr="007975E8">
              <w:rPr>
                <w:rFonts w:cs="Arial"/>
                <w:b/>
                <w:bCs/>
                <w:szCs w:val="16"/>
                <w:vertAlign w:val="superscript"/>
                <w:lang w:val="en-GB"/>
              </w:rPr>
              <w:t>‡</w:t>
            </w:r>
          </w:p>
        </w:tc>
        <w:tc>
          <w:tcPr>
            <w:tcW w:w="1004" w:type="pct"/>
          </w:tcPr>
          <w:p w14:paraId="3AB9187B" w14:textId="77777777" w:rsidR="006F0F4C" w:rsidRPr="00405AE3" w:rsidRDefault="006F0F4C" w:rsidP="007E3CDB">
            <w:pPr>
              <w:tabs>
                <w:tab w:val="left" w:pos="567"/>
              </w:tabs>
              <w:autoSpaceDE w:val="0"/>
              <w:autoSpaceDN w:val="0"/>
              <w:adjustRightInd w:val="0"/>
              <w:jc w:val="center"/>
              <w:rPr>
                <w:rFonts w:cs="Arial"/>
                <w:bCs/>
                <w:szCs w:val="16"/>
                <w:lang w:val="en-GB"/>
              </w:rPr>
            </w:pPr>
          </w:p>
        </w:tc>
        <w:tc>
          <w:tcPr>
            <w:tcW w:w="1004" w:type="pct"/>
          </w:tcPr>
          <w:p w14:paraId="69ECFA14" w14:textId="77777777" w:rsidR="006F0F4C" w:rsidRPr="00405AE3" w:rsidRDefault="006F0F4C" w:rsidP="007E3CDB">
            <w:pPr>
              <w:tabs>
                <w:tab w:val="left" w:pos="567"/>
              </w:tabs>
              <w:autoSpaceDE w:val="0"/>
              <w:autoSpaceDN w:val="0"/>
              <w:adjustRightInd w:val="0"/>
              <w:jc w:val="center"/>
              <w:rPr>
                <w:rFonts w:cs="Arial"/>
                <w:bCs/>
                <w:szCs w:val="16"/>
                <w:lang w:val="en-GB"/>
              </w:rPr>
            </w:pPr>
          </w:p>
        </w:tc>
        <w:tc>
          <w:tcPr>
            <w:tcW w:w="1005" w:type="pct"/>
          </w:tcPr>
          <w:p w14:paraId="4342B179" w14:textId="77777777" w:rsidR="006F0F4C" w:rsidRPr="00405AE3" w:rsidRDefault="006F0F4C" w:rsidP="007E3CDB">
            <w:pPr>
              <w:tabs>
                <w:tab w:val="left" w:pos="567"/>
              </w:tabs>
              <w:autoSpaceDE w:val="0"/>
              <w:autoSpaceDN w:val="0"/>
              <w:adjustRightInd w:val="0"/>
              <w:jc w:val="center"/>
              <w:rPr>
                <w:rFonts w:cs="Arial"/>
                <w:bCs/>
                <w:szCs w:val="16"/>
                <w:lang w:val="en-GB"/>
              </w:rPr>
            </w:pPr>
          </w:p>
        </w:tc>
      </w:tr>
      <w:tr w:rsidR="006F0F4C" w:rsidRPr="00405AE3" w14:paraId="2F467B03" w14:textId="77777777" w:rsidTr="00ED6856">
        <w:trPr>
          <w:trHeight w:val="20"/>
          <w:jc w:val="center"/>
        </w:trPr>
        <w:tc>
          <w:tcPr>
            <w:tcW w:w="1987" w:type="pct"/>
            <w:shd w:val="clear" w:color="auto" w:fill="auto"/>
          </w:tcPr>
          <w:p w14:paraId="2B05FCC8" w14:textId="77777777" w:rsidR="006F0F4C" w:rsidRPr="00405AE3" w:rsidRDefault="006F0F4C" w:rsidP="007E3CDB">
            <w:pPr>
              <w:tabs>
                <w:tab w:val="left" w:pos="567"/>
              </w:tabs>
              <w:autoSpaceDE w:val="0"/>
              <w:autoSpaceDN w:val="0"/>
              <w:adjustRightInd w:val="0"/>
              <w:ind w:left="150"/>
              <w:rPr>
                <w:rFonts w:cs="Arial"/>
                <w:bCs/>
                <w:szCs w:val="16"/>
                <w:lang w:val="en-GB"/>
              </w:rPr>
            </w:pPr>
            <w:r w:rsidRPr="00D75BD7">
              <w:rPr>
                <w:rFonts w:cs="Arial"/>
                <w:bCs/>
                <w:szCs w:val="16"/>
                <w:lang w:val="en-GB"/>
              </w:rPr>
              <w:t>ORR %</w:t>
            </w:r>
            <w:r w:rsidRPr="007975E8">
              <w:rPr>
                <w:rFonts w:cs="Arial"/>
                <w:bCs/>
                <w:szCs w:val="16"/>
                <w:vertAlign w:val="superscript"/>
                <w:lang w:val="en-GB"/>
              </w:rPr>
              <w:t>§</w:t>
            </w:r>
            <w:r w:rsidRPr="00D75BD7">
              <w:rPr>
                <w:rFonts w:cs="Arial"/>
                <w:bCs/>
                <w:szCs w:val="16"/>
                <w:lang w:val="en-GB"/>
              </w:rPr>
              <w:t xml:space="preserve"> (95% CI)</w:t>
            </w:r>
          </w:p>
        </w:tc>
        <w:tc>
          <w:tcPr>
            <w:tcW w:w="1004" w:type="pct"/>
          </w:tcPr>
          <w:p w14:paraId="1FBF4C5D"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18% (14, 23)</w:t>
            </w:r>
          </w:p>
        </w:tc>
        <w:tc>
          <w:tcPr>
            <w:tcW w:w="1004" w:type="pct"/>
          </w:tcPr>
          <w:p w14:paraId="08E15F1C"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18% (15, 23)</w:t>
            </w:r>
          </w:p>
        </w:tc>
        <w:tc>
          <w:tcPr>
            <w:tcW w:w="1005" w:type="pct"/>
          </w:tcPr>
          <w:p w14:paraId="490A680C"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9% (7, 13)</w:t>
            </w:r>
          </w:p>
        </w:tc>
      </w:tr>
      <w:tr w:rsidR="006F0F4C" w:rsidRPr="00B906AC" w14:paraId="10761F39" w14:textId="77777777" w:rsidTr="00ED6856">
        <w:trPr>
          <w:trHeight w:val="20"/>
          <w:jc w:val="center"/>
        </w:trPr>
        <w:tc>
          <w:tcPr>
            <w:tcW w:w="1987" w:type="pct"/>
            <w:shd w:val="clear" w:color="auto" w:fill="auto"/>
          </w:tcPr>
          <w:p w14:paraId="3DE9F616" w14:textId="77777777" w:rsidR="006F0F4C" w:rsidRPr="00B906AC" w:rsidRDefault="006F0F4C" w:rsidP="007E3CDB">
            <w:pPr>
              <w:tabs>
                <w:tab w:val="left" w:pos="567"/>
              </w:tabs>
              <w:autoSpaceDE w:val="0"/>
              <w:autoSpaceDN w:val="0"/>
              <w:adjustRightInd w:val="0"/>
              <w:rPr>
                <w:rFonts w:cs="Arial"/>
                <w:bCs/>
                <w:szCs w:val="16"/>
                <w:lang w:val="en-GB"/>
              </w:rPr>
            </w:pPr>
            <w:r w:rsidRPr="00B906AC">
              <w:rPr>
                <w:rFonts w:cs="Arial"/>
                <w:b/>
                <w:bCs/>
                <w:szCs w:val="16"/>
                <w:lang w:val="en-GB"/>
              </w:rPr>
              <w:t>Response duration</w:t>
            </w:r>
            <w:r w:rsidRPr="00B906AC">
              <w:rPr>
                <w:rFonts w:cs="Arial"/>
                <w:bCs/>
                <w:szCs w:val="16"/>
                <w:vertAlign w:val="superscript"/>
                <w:lang w:val="en-GB"/>
              </w:rPr>
              <w:t>‡,</w:t>
            </w:r>
            <w:r w:rsidRPr="00B906AC">
              <w:rPr>
                <w:rFonts w:cs="Arial"/>
                <w:b/>
                <w:bCs/>
                <w:szCs w:val="16"/>
                <w:vertAlign w:val="superscript"/>
              </w:rPr>
              <w:t>¶</w:t>
            </w:r>
            <w:r>
              <w:rPr>
                <w:rFonts w:cs="Arial"/>
                <w:b/>
                <w:bCs/>
                <w:szCs w:val="16"/>
                <w:vertAlign w:val="superscript"/>
              </w:rPr>
              <w:t>,</w:t>
            </w:r>
            <w:r w:rsidRPr="00AA09D0">
              <w:rPr>
                <w:rFonts w:cs="Arial"/>
                <w:vertAlign w:val="superscript"/>
              </w:rPr>
              <w:t>#</w:t>
            </w:r>
          </w:p>
        </w:tc>
        <w:tc>
          <w:tcPr>
            <w:tcW w:w="1004" w:type="pct"/>
          </w:tcPr>
          <w:p w14:paraId="53927538" w14:textId="77777777" w:rsidR="006F0F4C" w:rsidRPr="00B906AC" w:rsidRDefault="006F0F4C" w:rsidP="007E3CDB">
            <w:pPr>
              <w:tabs>
                <w:tab w:val="left" w:pos="567"/>
              </w:tabs>
              <w:autoSpaceDE w:val="0"/>
              <w:autoSpaceDN w:val="0"/>
              <w:adjustRightInd w:val="0"/>
              <w:jc w:val="center"/>
              <w:rPr>
                <w:rFonts w:cs="Arial"/>
                <w:bCs/>
                <w:szCs w:val="16"/>
                <w:lang w:val="en-GB"/>
              </w:rPr>
            </w:pPr>
          </w:p>
        </w:tc>
        <w:tc>
          <w:tcPr>
            <w:tcW w:w="1004" w:type="pct"/>
          </w:tcPr>
          <w:p w14:paraId="34A7CD45" w14:textId="77777777" w:rsidR="006F0F4C" w:rsidRPr="00B906AC" w:rsidRDefault="006F0F4C" w:rsidP="007E3CDB">
            <w:pPr>
              <w:tabs>
                <w:tab w:val="left" w:pos="567"/>
              </w:tabs>
              <w:autoSpaceDE w:val="0"/>
              <w:autoSpaceDN w:val="0"/>
              <w:adjustRightInd w:val="0"/>
              <w:jc w:val="center"/>
              <w:rPr>
                <w:rFonts w:cs="Arial"/>
                <w:bCs/>
                <w:szCs w:val="16"/>
                <w:lang w:val="en-GB"/>
              </w:rPr>
            </w:pPr>
          </w:p>
        </w:tc>
        <w:tc>
          <w:tcPr>
            <w:tcW w:w="1005" w:type="pct"/>
          </w:tcPr>
          <w:p w14:paraId="247AA76F" w14:textId="77777777" w:rsidR="006F0F4C" w:rsidRPr="00B906AC" w:rsidRDefault="006F0F4C" w:rsidP="007E3CDB">
            <w:pPr>
              <w:tabs>
                <w:tab w:val="left" w:pos="567"/>
              </w:tabs>
              <w:autoSpaceDE w:val="0"/>
              <w:autoSpaceDN w:val="0"/>
              <w:adjustRightInd w:val="0"/>
              <w:jc w:val="center"/>
              <w:rPr>
                <w:rFonts w:cs="Arial"/>
                <w:bCs/>
                <w:szCs w:val="16"/>
                <w:lang w:val="en-GB"/>
              </w:rPr>
            </w:pPr>
          </w:p>
        </w:tc>
      </w:tr>
      <w:tr w:rsidR="006F0F4C" w:rsidRPr="00816100" w14:paraId="1687AF45" w14:textId="77777777" w:rsidTr="00ED6856">
        <w:trPr>
          <w:trHeight w:val="20"/>
          <w:jc w:val="center"/>
        </w:trPr>
        <w:tc>
          <w:tcPr>
            <w:tcW w:w="1987" w:type="pct"/>
            <w:shd w:val="clear" w:color="auto" w:fill="auto"/>
          </w:tcPr>
          <w:p w14:paraId="1E9895A4" w14:textId="77777777" w:rsidR="006F0F4C" w:rsidRPr="00816100" w:rsidRDefault="006F0F4C" w:rsidP="007E3CDB">
            <w:pPr>
              <w:tabs>
                <w:tab w:val="left" w:pos="567"/>
              </w:tabs>
              <w:autoSpaceDE w:val="0"/>
              <w:autoSpaceDN w:val="0"/>
              <w:adjustRightInd w:val="0"/>
              <w:ind w:left="150"/>
              <w:rPr>
                <w:rFonts w:cs="Arial"/>
                <w:bCs/>
                <w:szCs w:val="16"/>
                <w:lang w:val="en-GB"/>
              </w:rPr>
            </w:pPr>
            <w:r w:rsidRPr="00816100">
              <w:rPr>
                <w:rFonts w:cs="Arial"/>
                <w:bCs/>
                <w:szCs w:val="16"/>
                <w:lang w:val="en-GB"/>
              </w:rPr>
              <w:t>Median in months (range)</w:t>
            </w:r>
          </w:p>
        </w:tc>
        <w:tc>
          <w:tcPr>
            <w:tcW w:w="1004" w:type="pct"/>
          </w:tcPr>
          <w:p w14:paraId="5EB17670" w14:textId="77777777" w:rsidR="006F0F4C" w:rsidRPr="00816100" w:rsidRDefault="006F0F4C" w:rsidP="007E3CDB">
            <w:pPr>
              <w:tabs>
                <w:tab w:val="left" w:pos="567"/>
              </w:tabs>
              <w:autoSpaceDE w:val="0"/>
              <w:autoSpaceDN w:val="0"/>
              <w:adjustRightInd w:val="0"/>
              <w:jc w:val="center"/>
              <w:rPr>
                <w:rFonts w:cs="Arial"/>
                <w:bCs/>
                <w:szCs w:val="16"/>
                <w:lang w:val="en-GB"/>
              </w:rPr>
            </w:pPr>
            <w:r w:rsidRPr="00816100">
              <w:rPr>
                <w:rFonts w:cs="Arial"/>
                <w:bCs/>
                <w:szCs w:val="16"/>
                <w:lang w:val="en-GB"/>
              </w:rPr>
              <w:t>Not reached</w:t>
            </w:r>
          </w:p>
          <w:p w14:paraId="591999ED" w14:textId="77777777" w:rsidR="006F0F4C" w:rsidRPr="00816100" w:rsidRDefault="006F0F4C" w:rsidP="007E3CDB">
            <w:pPr>
              <w:tabs>
                <w:tab w:val="left" w:pos="567"/>
              </w:tabs>
              <w:autoSpaceDE w:val="0"/>
              <w:autoSpaceDN w:val="0"/>
              <w:adjustRightInd w:val="0"/>
              <w:jc w:val="center"/>
              <w:rPr>
                <w:rFonts w:cs="Arial"/>
                <w:bCs/>
                <w:szCs w:val="16"/>
                <w:lang w:val="en-GB"/>
              </w:rPr>
            </w:pPr>
            <w:r w:rsidRPr="00816100">
              <w:rPr>
                <w:rFonts w:cs="Arial"/>
                <w:bCs/>
                <w:szCs w:val="16"/>
                <w:lang w:val="en-GB"/>
              </w:rPr>
              <w:t>(0.7+, 20.1+)</w:t>
            </w:r>
          </w:p>
        </w:tc>
        <w:tc>
          <w:tcPr>
            <w:tcW w:w="1004" w:type="pct"/>
          </w:tcPr>
          <w:p w14:paraId="463300E0" w14:textId="77777777" w:rsidR="006F0F4C" w:rsidRPr="00816100" w:rsidRDefault="006F0F4C" w:rsidP="007E3CDB">
            <w:pPr>
              <w:tabs>
                <w:tab w:val="left" w:pos="567"/>
              </w:tabs>
              <w:autoSpaceDE w:val="0"/>
              <w:autoSpaceDN w:val="0"/>
              <w:adjustRightInd w:val="0"/>
              <w:jc w:val="center"/>
              <w:rPr>
                <w:rFonts w:cs="Arial"/>
                <w:bCs/>
                <w:szCs w:val="16"/>
                <w:lang w:val="en-GB"/>
              </w:rPr>
            </w:pPr>
            <w:r w:rsidRPr="00816100">
              <w:rPr>
                <w:rFonts w:cs="Arial"/>
                <w:bCs/>
                <w:szCs w:val="16"/>
                <w:lang w:val="en-GB"/>
              </w:rPr>
              <w:t>Not reached</w:t>
            </w:r>
          </w:p>
          <w:p w14:paraId="2DB55ACE" w14:textId="77777777" w:rsidR="006F0F4C" w:rsidRPr="00816100" w:rsidRDefault="006F0F4C" w:rsidP="007E3CDB">
            <w:pPr>
              <w:tabs>
                <w:tab w:val="left" w:pos="567"/>
              </w:tabs>
              <w:autoSpaceDE w:val="0"/>
              <w:autoSpaceDN w:val="0"/>
              <w:adjustRightInd w:val="0"/>
              <w:jc w:val="center"/>
              <w:rPr>
                <w:rFonts w:cs="Arial"/>
                <w:bCs/>
                <w:szCs w:val="16"/>
                <w:lang w:val="en-GB"/>
              </w:rPr>
            </w:pPr>
            <w:r w:rsidRPr="00816100">
              <w:rPr>
                <w:rFonts w:cs="Arial"/>
                <w:szCs w:val="16"/>
                <w:lang w:val="en-GB"/>
              </w:rPr>
              <w:t>(2.1+, 17.8+)</w:t>
            </w:r>
          </w:p>
        </w:tc>
        <w:tc>
          <w:tcPr>
            <w:tcW w:w="1005" w:type="pct"/>
          </w:tcPr>
          <w:p w14:paraId="21696AFA" w14:textId="77777777" w:rsidR="006F0F4C" w:rsidRPr="00816100" w:rsidRDefault="006F0F4C" w:rsidP="007E3CDB">
            <w:pPr>
              <w:tabs>
                <w:tab w:val="left" w:pos="567"/>
              </w:tabs>
              <w:autoSpaceDE w:val="0"/>
              <w:autoSpaceDN w:val="0"/>
              <w:adjustRightInd w:val="0"/>
              <w:jc w:val="center"/>
              <w:rPr>
                <w:rFonts w:cs="Arial"/>
                <w:bCs/>
                <w:szCs w:val="16"/>
                <w:lang w:val="en-GB"/>
              </w:rPr>
            </w:pPr>
            <w:r w:rsidRPr="00816100">
              <w:rPr>
                <w:rFonts w:cs="Arial"/>
                <w:bCs/>
                <w:szCs w:val="16"/>
                <w:lang w:val="en-GB"/>
              </w:rPr>
              <w:t>6.2</w:t>
            </w:r>
          </w:p>
          <w:p w14:paraId="6439C000" w14:textId="77777777" w:rsidR="006F0F4C" w:rsidRPr="00816100" w:rsidRDefault="006F0F4C" w:rsidP="007E3CDB">
            <w:pPr>
              <w:tabs>
                <w:tab w:val="left" w:pos="567"/>
              </w:tabs>
              <w:autoSpaceDE w:val="0"/>
              <w:autoSpaceDN w:val="0"/>
              <w:adjustRightInd w:val="0"/>
              <w:jc w:val="center"/>
              <w:rPr>
                <w:rFonts w:cs="Arial"/>
                <w:bCs/>
                <w:szCs w:val="16"/>
                <w:lang w:val="en-GB"/>
              </w:rPr>
            </w:pPr>
            <w:r w:rsidRPr="00816100">
              <w:rPr>
                <w:rFonts w:cs="Arial"/>
                <w:bCs/>
                <w:szCs w:val="16"/>
                <w:lang w:val="en-GB"/>
              </w:rPr>
              <w:t>(1.4+, 8.8+)</w:t>
            </w:r>
          </w:p>
        </w:tc>
      </w:tr>
      <w:tr w:rsidR="006F0F4C" w:rsidRPr="00405AE3" w14:paraId="45866E2E" w14:textId="77777777" w:rsidTr="00ED6856">
        <w:trPr>
          <w:trHeight w:val="20"/>
          <w:jc w:val="center"/>
        </w:trPr>
        <w:tc>
          <w:tcPr>
            <w:tcW w:w="1987" w:type="pct"/>
            <w:tcBorders>
              <w:bottom w:val="single" w:sz="4" w:space="0" w:color="auto"/>
            </w:tcBorders>
            <w:shd w:val="clear" w:color="auto" w:fill="auto"/>
          </w:tcPr>
          <w:p w14:paraId="6E5BB9CA" w14:textId="77777777" w:rsidR="006F0F4C" w:rsidRPr="00816100" w:rsidRDefault="006F0F4C" w:rsidP="007E3CDB">
            <w:pPr>
              <w:tabs>
                <w:tab w:val="left" w:pos="567"/>
              </w:tabs>
              <w:autoSpaceDE w:val="0"/>
              <w:autoSpaceDN w:val="0"/>
              <w:adjustRightInd w:val="0"/>
              <w:ind w:left="150"/>
              <w:rPr>
                <w:rFonts w:cs="Arial"/>
                <w:bCs/>
                <w:szCs w:val="16"/>
                <w:lang w:val="en-GB"/>
              </w:rPr>
            </w:pPr>
            <w:r w:rsidRPr="00816100">
              <w:rPr>
                <w:rFonts w:cs="Arial"/>
                <w:bCs/>
                <w:szCs w:val="16"/>
                <w:lang w:val="en-GB"/>
              </w:rPr>
              <w:t>% ongoing</w:t>
            </w:r>
          </w:p>
        </w:tc>
        <w:tc>
          <w:tcPr>
            <w:tcW w:w="1004" w:type="pct"/>
            <w:tcBorders>
              <w:bottom w:val="single" w:sz="4" w:space="0" w:color="auto"/>
            </w:tcBorders>
          </w:tcPr>
          <w:p w14:paraId="4FF35E69" w14:textId="77777777" w:rsidR="006F0F4C" w:rsidRPr="00816100" w:rsidRDefault="006F0F4C" w:rsidP="007E3CDB">
            <w:pPr>
              <w:tabs>
                <w:tab w:val="left" w:pos="567"/>
                <w:tab w:val="left" w:pos="1120"/>
              </w:tabs>
              <w:autoSpaceDE w:val="0"/>
              <w:autoSpaceDN w:val="0"/>
              <w:adjustRightInd w:val="0"/>
              <w:jc w:val="center"/>
              <w:rPr>
                <w:rFonts w:cs="Arial"/>
                <w:bCs/>
                <w:szCs w:val="16"/>
                <w:lang w:val="en-GB"/>
              </w:rPr>
            </w:pPr>
            <w:r w:rsidRPr="00816100">
              <w:rPr>
                <w:rFonts w:cs="Arial"/>
                <w:bCs/>
                <w:szCs w:val="16"/>
                <w:lang w:val="en-GB"/>
              </w:rPr>
              <w:t>73%</w:t>
            </w:r>
          </w:p>
        </w:tc>
        <w:tc>
          <w:tcPr>
            <w:tcW w:w="1004" w:type="pct"/>
            <w:tcBorders>
              <w:bottom w:val="single" w:sz="4" w:space="0" w:color="auto"/>
            </w:tcBorders>
          </w:tcPr>
          <w:p w14:paraId="4679CEDE" w14:textId="77777777" w:rsidR="006F0F4C" w:rsidRPr="00816100" w:rsidRDefault="006F0F4C" w:rsidP="007E3CDB">
            <w:pPr>
              <w:tabs>
                <w:tab w:val="left" w:pos="567"/>
              </w:tabs>
              <w:autoSpaceDE w:val="0"/>
              <w:autoSpaceDN w:val="0"/>
              <w:adjustRightInd w:val="0"/>
              <w:jc w:val="center"/>
              <w:rPr>
                <w:rFonts w:cs="Arial"/>
                <w:bCs/>
                <w:szCs w:val="16"/>
                <w:lang w:val="en-GB"/>
              </w:rPr>
            </w:pPr>
            <w:r w:rsidRPr="00816100">
              <w:rPr>
                <w:rFonts w:cs="Arial"/>
                <w:bCs/>
                <w:szCs w:val="16"/>
                <w:lang w:val="en-GB"/>
              </w:rPr>
              <w:t>72%</w:t>
            </w:r>
          </w:p>
        </w:tc>
        <w:tc>
          <w:tcPr>
            <w:tcW w:w="1005" w:type="pct"/>
            <w:tcBorders>
              <w:bottom w:val="single" w:sz="4" w:space="0" w:color="auto"/>
            </w:tcBorders>
          </w:tcPr>
          <w:p w14:paraId="4A01E3A1"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816100">
              <w:rPr>
                <w:rFonts w:cs="Arial"/>
                <w:bCs/>
                <w:szCs w:val="16"/>
                <w:lang w:val="en-GB"/>
              </w:rPr>
              <w:t>34%</w:t>
            </w:r>
          </w:p>
        </w:tc>
      </w:tr>
      <w:tr w:rsidR="006F0F4C" w:rsidRPr="00405AE3" w14:paraId="705D95B2" w14:textId="77777777" w:rsidTr="00ED6856">
        <w:trPr>
          <w:trHeight w:val="288"/>
          <w:jc w:val="center"/>
        </w:trPr>
        <w:tc>
          <w:tcPr>
            <w:tcW w:w="1987" w:type="pct"/>
            <w:shd w:val="clear" w:color="auto" w:fill="auto"/>
            <w:vAlign w:val="center"/>
          </w:tcPr>
          <w:p w14:paraId="513DBA9E" w14:textId="77777777" w:rsidR="006F0F4C" w:rsidRPr="00405AE3" w:rsidRDefault="006F0F4C" w:rsidP="007E3CDB">
            <w:pPr>
              <w:tabs>
                <w:tab w:val="left" w:pos="567"/>
              </w:tabs>
              <w:autoSpaceDE w:val="0"/>
              <w:autoSpaceDN w:val="0"/>
              <w:adjustRightInd w:val="0"/>
              <w:rPr>
                <w:rFonts w:cs="Arial"/>
                <w:b/>
                <w:bCs/>
                <w:szCs w:val="16"/>
                <w:lang w:val="en-GB"/>
              </w:rPr>
            </w:pPr>
            <w:r>
              <w:rPr>
                <w:rFonts w:cs="Arial"/>
                <w:b/>
                <w:bCs/>
                <w:szCs w:val="16"/>
                <w:lang w:val="en-GB"/>
              </w:rPr>
              <w:lastRenderedPageBreak/>
              <w:t xml:space="preserve">TPS </w:t>
            </w:r>
            <w:r>
              <w:rPr>
                <w:rFonts w:cs="Arial"/>
                <w:b/>
                <w:bCs/>
                <w:szCs w:val="16"/>
                <w:lang w:val="en-GB"/>
              </w:rPr>
              <w:sym w:font="Symbol" w:char="F0B3"/>
            </w:r>
            <w:r>
              <w:rPr>
                <w:rFonts w:cs="Arial"/>
                <w:b/>
                <w:bCs/>
                <w:szCs w:val="16"/>
                <w:lang w:val="en-GB"/>
              </w:rPr>
              <w:t>50%</w:t>
            </w:r>
          </w:p>
        </w:tc>
        <w:tc>
          <w:tcPr>
            <w:tcW w:w="1004" w:type="pct"/>
            <w:vAlign w:val="center"/>
          </w:tcPr>
          <w:p w14:paraId="482D2C6B" w14:textId="77777777" w:rsidR="006F0F4C" w:rsidRPr="00405AE3" w:rsidRDefault="006F0F4C" w:rsidP="007E3CDB">
            <w:pPr>
              <w:tabs>
                <w:tab w:val="left" w:pos="567"/>
              </w:tabs>
              <w:autoSpaceDE w:val="0"/>
              <w:autoSpaceDN w:val="0"/>
              <w:adjustRightInd w:val="0"/>
              <w:rPr>
                <w:rFonts w:cs="Arial"/>
                <w:b/>
                <w:bCs/>
                <w:szCs w:val="16"/>
                <w:lang w:val="en-GB"/>
              </w:rPr>
            </w:pPr>
          </w:p>
        </w:tc>
        <w:tc>
          <w:tcPr>
            <w:tcW w:w="1004" w:type="pct"/>
            <w:vAlign w:val="center"/>
          </w:tcPr>
          <w:p w14:paraId="080DE9BA" w14:textId="77777777" w:rsidR="006F0F4C" w:rsidRPr="00405AE3" w:rsidRDefault="006F0F4C" w:rsidP="007E3CDB">
            <w:pPr>
              <w:tabs>
                <w:tab w:val="left" w:pos="567"/>
              </w:tabs>
              <w:autoSpaceDE w:val="0"/>
              <w:autoSpaceDN w:val="0"/>
              <w:adjustRightInd w:val="0"/>
              <w:rPr>
                <w:rFonts w:cs="Arial"/>
                <w:b/>
                <w:bCs/>
                <w:szCs w:val="16"/>
                <w:lang w:val="en-GB"/>
              </w:rPr>
            </w:pPr>
          </w:p>
        </w:tc>
        <w:tc>
          <w:tcPr>
            <w:tcW w:w="1005" w:type="pct"/>
            <w:vAlign w:val="center"/>
          </w:tcPr>
          <w:p w14:paraId="18CC4AC8" w14:textId="77777777" w:rsidR="006F0F4C" w:rsidRPr="00405AE3" w:rsidRDefault="006F0F4C" w:rsidP="007E3CDB">
            <w:pPr>
              <w:tabs>
                <w:tab w:val="left" w:pos="567"/>
              </w:tabs>
              <w:autoSpaceDE w:val="0"/>
              <w:autoSpaceDN w:val="0"/>
              <w:adjustRightInd w:val="0"/>
              <w:rPr>
                <w:rFonts w:cs="Arial"/>
                <w:b/>
                <w:bCs/>
                <w:szCs w:val="16"/>
                <w:lang w:val="en-GB"/>
              </w:rPr>
            </w:pPr>
          </w:p>
        </w:tc>
      </w:tr>
      <w:tr w:rsidR="006F0F4C" w:rsidRPr="00405AE3" w14:paraId="691A383B" w14:textId="77777777" w:rsidTr="00ED6856">
        <w:trPr>
          <w:trHeight w:val="20"/>
          <w:jc w:val="center"/>
        </w:trPr>
        <w:tc>
          <w:tcPr>
            <w:tcW w:w="1987" w:type="pct"/>
            <w:shd w:val="clear" w:color="auto" w:fill="auto"/>
          </w:tcPr>
          <w:p w14:paraId="5144D2F6" w14:textId="77777777" w:rsidR="006F0F4C" w:rsidRPr="00405AE3" w:rsidRDefault="006F0F4C" w:rsidP="007E3CDB">
            <w:pPr>
              <w:tabs>
                <w:tab w:val="left" w:pos="567"/>
              </w:tabs>
              <w:autoSpaceDE w:val="0"/>
              <w:autoSpaceDN w:val="0"/>
              <w:adjustRightInd w:val="0"/>
              <w:ind w:left="150"/>
              <w:rPr>
                <w:rFonts w:cs="Arial"/>
                <w:bCs/>
                <w:szCs w:val="16"/>
                <w:lang w:val="en-GB"/>
              </w:rPr>
            </w:pPr>
            <w:r w:rsidRPr="00CB5840">
              <w:rPr>
                <w:rFonts w:cs="Arial"/>
                <w:bCs/>
                <w:szCs w:val="16"/>
                <w:lang w:val="en-GB"/>
              </w:rPr>
              <w:t>Number of patients</w:t>
            </w:r>
          </w:p>
        </w:tc>
        <w:tc>
          <w:tcPr>
            <w:tcW w:w="1004" w:type="pct"/>
          </w:tcPr>
          <w:p w14:paraId="585E069A"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139</w:t>
            </w:r>
          </w:p>
        </w:tc>
        <w:tc>
          <w:tcPr>
            <w:tcW w:w="1004" w:type="pct"/>
          </w:tcPr>
          <w:p w14:paraId="2A30169E"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151</w:t>
            </w:r>
          </w:p>
        </w:tc>
        <w:tc>
          <w:tcPr>
            <w:tcW w:w="1005" w:type="pct"/>
          </w:tcPr>
          <w:p w14:paraId="11E0689E"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152</w:t>
            </w:r>
          </w:p>
        </w:tc>
      </w:tr>
      <w:tr w:rsidR="006F0F4C" w:rsidRPr="00405AE3" w14:paraId="02BBE034" w14:textId="77777777" w:rsidTr="00ED6856">
        <w:trPr>
          <w:trHeight w:val="20"/>
          <w:jc w:val="center"/>
        </w:trPr>
        <w:tc>
          <w:tcPr>
            <w:tcW w:w="1987" w:type="pct"/>
            <w:shd w:val="clear" w:color="auto" w:fill="auto"/>
          </w:tcPr>
          <w:p w14:paraId="2DEC3089" w14:textId="77777777" w:rsidR="006F0F4C" w:rsidRPr="00405AE3" w:rsidRDefault="006F0F4C" w:rsidP="007E3CDB">
            <w:pPr>
              <w:tabs>
                <w:tab w:val="left" w:pos="567"/>
              </w:tabs>
              <w:autoSpaceDE w:val="0"/>
              <w:autoSpaceDN w:val="0"/>
              <w:adjustRightInd w:val="0"/>
              <w:rPr>
                <w:rFonts w:cs="Arial"/>
                <w:bCs/>
                <w:szCs w:val="16"/>
                <w:lang w:val="en-GB"/>
              </w:rPr>
            </w:pPr>
            <w:r w:rsidRPr="00D75BD7">
              <w:rPr>
                <w:rFonts w:cs="Arial"/>
                <w:b/>
                <w:bCs/>
                <w:szCs w:val="16"/>
                <w:lang w:val="en-GB"/>
              </w:rPr>
              <w:t>OS</w:t>
            </w:r>
          </w:p>
        </w:tc>
        <w:tc>
          <w:tcPr>
            <w:tcW w:w="1004" w:type="pct"/>
          </w:tcPr>
          <w:p w14:paraId="590ED055" w14:textId="77777777" w:rsidR="006F0F4C" w:rsidRPr="00405AE3" w:rsidRDefault="006F0F4C" w:rsidP="007E3CDB">
            <w:pPr>
              <w:tabs>
                <w:tab w:val="left" w:pos="567"/>
              </w:tabs>
              <w:autoSpaceDE w:val="0"/>
              <w:autoSpaceDN w:val="0"/>
              <w:adjustRightInd w:val="0"/>
              <w:jc w:val="center"/>
              <w:rPr>
                <w:rFonts w:cs="Arial"/>
                <w:bCs/>
                <w:szCs w:val="16"/>
                <w:lang w:val="en-GB"/>
              </w:rPr>
            </w:pPr>
          </w:p>
        </w:tc>
        <w:tc>
          <w:tcPr>
            <w:tcW w:w="1004" w:type="pct"/>
          </w:tcPr>
          <w:p w14:paraId="285B418B" w14:textId="77777777" w:rsidR="006F0F4C" w:rsidRPr="00405AE3" w:rsidRDefault="006F0F4C" w:rsidP="007E3CDB">
            <w:pPr>
              <w:tabs>
                <w:tab w:val="left" w:pos="567"/>
              </w:tabs>
              <w:autoSpaceDE w:val="0"/>
              <w:autoSpaceDN w:val="0"/>
              <w:adjustRightInd w:val="0"/>
              <w:jc w:val="center"/>
              <w:rPr>
                <w:rFonts w:cs="Arial"/>
                <w:bCs/>
                <w:szCs w:val="16"/>
                <w:lang w:val="en-GB"/>
              </w:rPr>
            </w:pPr>
          </w:p>
        </w:tc>
        <w:tc>
          <w:tcPr>
            <w:tcW w:w="1005" w:type="pct"/>
          </w:tcPr>
          <w:p w14:paraId="4FEE4437" w14:textId="77777777" w:rsidR="006F0F4C" w:rsidRPr="00405AE3" w:rsidRDefault="006F0F4C" w:rsidP="007E3CDB">
            <w:pPr>
              <w:tabs>
                <w:tab w:val="left" w:pos="567"/>
              </w:tabs>
              <w:autoSpaceDE w:val="0"/>
              <w:autoSpaceDN w:val="0"/>
              <w:adjustRightInd w:val="0"/>
              <w:jc w:val="center"/>
              <w:rPr>
                <w:rFonts w:cs="Arial"/>
                <w:bCs/>
                <w:szCs w:val="16"/>
                <w:lang w:val="en-GB"/>
              </w:rPr>
            </w:pPr>
          </w:p>
        </w:tc>
      </w:tr>
      <w:tr w:rsidR="006F0F4C" w:rsidRPr="00405AE3" w14:paraId="54BCD159" w14:textId="77777777" w:rsidTr="00ED6856">
        <w:trPr>
          <w:trHeight w:val="20"/>
          <w:jc w:val="center"/>
        </w:trPr>
        <w:tc>
          <w:tcPr>
            <w:tcW w:w="1987" w:type="pct"/>
            <w:shd w:val="clear" w:color="auto" w:fill="auto"/>
          </w:tcPr>
          <w:p w14:paraId="7C94E5C8" w14:textId="77777777" w:rsidR="006F0F4C" w:rsidRPr="00405AE3" w:rsidRDefault="006F0F4C" w:rsidP="007E3CDB">
            <w:pPr>
              <w:tabs>
                <w:tab w:val="left" w:pos="567"/>
              </w:tabs>
              <w:autoSpaceDE w:val="0"/>
              <w:autoSpaceDN w:val="0"/>
              <w:adjustRightInd w:val="0"/>
              <w:ind w:left="150"/>
              <w:rPr>
                <w:rFonts w:cs="Arial"/>
                <w:bCs/>
                <w:szCs w:val="16"/>
                <w:lang w:val="en-GB"/>
              </w:rPr>
            </w:pPr>
            <w:r w:rsidRPr="00372923">
              <w:rPr>
                <w:rFonts w:cs="Arial"/>
                <w:bCs/>
                <w:szCs w:val="16"/>
              </w:rPr>
              <w:t>Number (%) of patients with event</w:t>
            </w:r>
          </w:p>
        </w:tc>
        <w:tc>
          <w:tcPr>
            <w:tcW w:w="1004" w:type="pct"/>
          </w:tcPr>
          <w:p w14:paraId="77402104"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58 (42%)</w:t>
            </w:r>
          </w:p>
        </w:tc>
        <w:tc>
          <w:tcPr>
            <w:tcW w:w="1004" w:type="pct"/>
          </w:tcPr>
          <w:p w14:paraId="723F94DB"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60 (40%)</w:t>
            </w:r>
          </w:p>
        </w:tc>
        <w:tc>
          <w:tcPr>
            <w:tcW w:w="1005" w:type="pct"/>
          </w:tcPr>
          <w:p w14:paraId="0C3E7FE3"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86 (57%)</w:t>
            </w:r>
          </w:p>
        </w:tc>
      </w:tr>
      <w:tr w:rsidR="006F0F4C" w:rsidRPr="00405AE3" w14:paraId="4EA82E18" w14:textId="77777777" w:rsidTr="00ED6856">
        <w:trPr>
          <w:trHeight w:val="20"/>
          <w:jc w:val="center"/>
        </w:trPr>
        <w:tc>
          <w:tcPr>
            <w:tcW w:w="1987" w:type="pct"/>
            <w:shd w:val="clear" w:color="auto" w:fill="auto"/>
          </w:tcPr>
          <w:p w14:paraId="6AB831C6" w14:textId="77777777" w:rsidR="006F0F4C" w:rsidRPr="00405AE3" w:rsidRDefault="006F0F4C" w:rsidP="007E3CDB">
            <w:pPr>
              <w:tabs>
                <w:tab w:val="left" w:pos="567"/>
              </w:tabs>
              <w:autoSpaceDE w:val="0"/>
              <w:autoSpaceDN w:val="0"/>
              <w:adjustRightInd w:val="0"/>
              <w:ind w:left="150"/>
              <w:rPr>
                <w:rFonts w:cs="Arial"/>
                <w:bCs/>
                <w:szCs w:val="16"/>
                <w:lang w:val="en-GB"/>
              </w:rPr>
            </w:pPr>
            <w:r w:rsidRPr="00D75BD7">
              <w:rPr>
                <w:rFonts w:cs="Arial"/>
                <w:bCs/>
                <w:szCs w:val="16"/>
                <w:lang w:val="en-GB"/>
              </w:rPr>
              <w:t>Hazard ratio</w:t>
            </w:r>
            <w:r w:rsidRPr="00C362F2">
              <w:rPr>
                <w:rFonts w:cs="Arial"/>
                <w:bCs/>
                <w:szCs w:val="16"/>
                <w:lang w:val="en-GB"/>
              </w:rPr>
              <w:t>*</w:t>
            </w:r>
            <w:r w:rsidRPr="00D75BD7">
              <w:rPr>
                <w:rFonts w:cs="Arial"/>
                <w:bCs/>
                <w:szCs w:val="16"/>
                <w:lang w:val="en-GB"/>
              </w:rPr>
              <w:t xml:space="preserve"> (95% CI)</w:t>
            </w:r>
            <w:r w:rsidRPr="008534EA">
              <w:rPr>
                <w:rFonts w:cs="Arial"/>
                <w:bCs/>
                <w:szCs w:val="16"/>
                <w:lang w:val="en-GB"/>
              </w:rPr>
              <w:t xml:space="preserve"> </w:t>
            </w:r>
          </w:p>
        </w:tc>
        <w:tc>
          <w:tcPr>
            <w:tcW w:w="1004" w:type="pct"/>
          </w:tcPr>
          <w:p w14:paraId="375A6F18"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0.54 (0.38, 0.77)</w:t>
            </w:r>
          </w:p>
        </w:tc>
        <w:tc>
          <w:tcPr>
            <w:tcW w:w="1004" w:type="pct"/>
          </w:tcPr>
          <w:p w14:paraId="2364B05B"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0.50 (0.36, 0.70)</w:t>
            </w:r>
          </w:p>
        </w:tc>
        <w:tc>
          <w:tcPr>
            <w:tcW w:w="1005" w:type="pct"/>
          </w:tcPr>
          <w:p w14:paraId="68CE5538"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w:t>
            </w:r>
          </w:p>
        </w:tc>
      </w:tr>
      <w:tr w:rsidR="006F0F4C" w:rsidRPr="00405AE3" w14:paraId="0E5759E7" w14:textId="77777777" w:rsidTr="00ED6856">
        <w:trPr>
          <w:trHeight w:val="20"/>
          <w:jc w:val="center"/>
        </w:trPr>
        <w:tc>
          <w:tcPr>
            <w:tcW w:w="1987" w:type="pct"/>
            <w:shd w:val="clear" w:color="auto" w:fill="auto"/>
          </w:tcPr>
          <w:p w14:paraId="24FD2603" w14:textId="77777777" w:rsidR="006F0F4C" w:rsidRPr="00405AE3" w:rsidRDefault="006F0F4C" w:rsidP="007E3CDB">
            <w:pPr>
              <w:tabs>
                <w:tab w:val="left" w:pos="567"/>
              </w:tabs>
              <w:autoSpaceDE w:val="0"/>
              <w:autoSpaceDN w:val="0"/>
              <w:adjustRightInd w:val="0"/>
              <w:ind w:left="150"/>
              <w:rPr>
                <w:rFonts w:cs="Arial"/>
                <w:bCs/>
                <w:szCs w:val="16"/>
                <w:lang w:val="en-GB"/>
              </w:rPr>
            </w:pPr>
            <w:r w:rsidRPr="00D75BD7">
              <w:rPr>
                <w:rFonts w:cs="Arial"/>
                <w:bCs/>
                <w:szCs w:val="16"/>
                <w:lang w:val="en-GB"/>
              </w:rPr>
              <w:t>p-Value</w:t>
            </w:r>
            <w:r w:rsidRPr="00587086">
              <w:rPr>
                <w:rFonts w:cs="Arial"/>
                <w:bCs/>
                <w:szCs w:val="16"/>
                <w:vertAlign w:val="superscript"/>
                <w:lang w:val="en-GB"/>
              </w:rPr>
              <w:t>†</w:t>
            </w:r>
          </w:p>
        </w:tc>
        <w:tc>
          <w:tcPr>
            <w:tcW w:w="1004" w:type="pct"/>
          </w:tcPr>
          <w:p w14:paraId="1EA80C05"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&lt;0.001</w:t>
            </w:r>
          </w:p>
        </w:tc>
        <w:tc>
          <w:tcPr>
            <w:tcW w:w="1004" w:type="pct"/>
          </w:tcPr>
          <w:p w14:paraId="2FE1E7DF"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&lt;0.001</w:t>
            </w:r>
          </w:p>
        </w:tc>
        <w:tc>
          <w:tcPr>
            <w:tcW w:w="1005" w:type="pct"/>
          </w:tcPr>
          <w:p w14:paraId="08891781"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w:t>
            </w:r>
          </w:p>
        </w:tc>
      </w:tr>
      <w:tr w:rsidR="006F0F4C" w:rsidRPr="00405AE3" w14:paraId="4B03E256" w14:textId="77777777" w:rsidTr="00ED6856">
        <w:trPr>
          <w:trHeight w:val="20"/>
          <w:jc w:val="center"/>
        </w:trPr>
        <w:tc>
          <w:tcPr>
            <w:tcW w:w="1987" w:type="pct"/>
            <w:shd w:val="clear" w:color="auto" w:fill="auto"/>
          </w:tcPr>
          <w:p w14:paraId="4820A292" w14:textId="77777777" w:rsidR="006F0F4C" w:rsidRPr="00405AE3" w:rsidRDefault="006F0F4C" w:rsidP="007E3CDB">
            <w:pPr>
              <w:tabs>
                <w:tab w:val="left" w:pos="567"/>
              </w:tabs>
              <w:autoSpaceDE w:val="0"/>
              <w:autoSpaceDN w:val="0"/>
              <w:adjustRightInd w:val="0"/>
              <w:ind w:left="150"/>
              <w:rPr>
                <w:rFonts w:cs="Arial"/>
                <w:bCs/>
                <w:szCs w:val="16"/>
                <w:lang w:val="en-GB"/>
              </w:rPr>
            </w:pPr>
            <w:r w:rsidRPr="00D75BD7">
              <w:rPr>
                <w:rFonts w:cs="Arial"/>
                <w:bCs/>
                <w:szCs w:val="16"/>
                <w:lang w:val="en-GB"/>
              </w:rPr>
              <w:t>Median in months (95% CI)</w:t>
            </w:r>
          </w:p>
        </w:tc>
        <w:tc>
          <w:tcPr>
            <w:tcW w:w="1004" w:type="pct"/>
          </w:tcPr>
          <w:p w14:paraId="2709A8F6"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14.9 (10.4, NA)</w:t>
            </w:r>
          </w:p>
        </w:tc>
        <w:tc>
          <w:tcPr>
            <w:tcW w:w="1004" w:type="pct"/>
          </w:tcPr>
          <w:p w14:paraId="38A3AAC0"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17.3 (11.8, NA)</w:t>
            </w:r>
          </w:p>
        </w:tc>
        <w:tc>
          <w:tcPr>
            <w:tcW w:w="1005" w:type="pct"/>
          </w:tcPr>
          <w:p w14:paraId="79DA693A"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8.2 (6.4, 10.7)</w:t>
            </w:r>
          </w:p>
        </w:tc>
      </w:tr>
      <w:tr w:rsidR="006F0F4C" w:rsidRPr="00405AE3" w14:paraId="1328CFC0" w14:textId="77777777" w:rsidTr="00ED6856">
        <w:trPr>
          <w:trHeight w:val="20"/>
          <w:jc w:val="center"/>
        </w:trPr>
        <w:tc>
          <w:tcPr>
            <w:tcW w:w="1987" w:type="pct"/>
            <w:shd w:val="clear" w:color="auto" w:fill="auto"/>
          </w:tcPr>
          <w:p w14:paraId="6F0ED847" w14:textId="77777777" w:rsidR="006F0F4C" w:rsidRPr="00405AE3" w:rsidRDefault="006F0F4C" w:rsidP="007E3CDB">
            <w:pPr>
              <w:tabs>
                <w:tab w:val="left" w:pos="567"/>
              </w:tabs>
              <w:autoSpaceDE w:val="0"/>
              <w:autoSpaceDN w:val="0"/>
              <w:adjustRightInd w:val="0"/>
              <w:rPr>
                <w:rFonts w:cs="Arial"/>
                <w:bCs/>
                <w:szCs w:val="16"/>
                <w:lang w:val="en-GB"/>
              </w:rPr>
            </w:pPr>
            <w:r w:rsidRPr="00D75BD7">
              <w:rPr>
                <w:rFonts w:cs="Arial"/>
                <w:b/>
                <w:bCs/>
                <w:szCs w:val="16"/>
                <w:lang w:val="en-GB"/>
              </w:rPr>
              <w:t>PFS</w:t>
            </w:r>
            <w:r w:rsidRPr="00587086">
              <w:rPr>
                <w:rFonts w:cs="Arial"/>
                <w:b/>
                <w:bCs/>
                <w:szCs w:val="16"/>
                <w:vertAlign w:val="superscript"/>
                <w:lang w:val="en-GB"/>
              </w:rPr>
              <w:t>‡</w:t>
            </w:r>
          </w:p>
        </w:tc>
        <w:tc>
          <w:tcPr>
            <w:tcW w:w="1004" w:type="pct"/>
          </w:tcPr>
          <w:p w14:paraId="278C103C" w14:textId="77777777" w:rsidR="006F0F4C" w:rsidRPr="00405AE3" w:rsidRDefault="006F0F4C" w:rsidP="007E3CDB">
            <w:pPr>
              <w:tabs>
                <w:tab w:val="left" w:pos="567"/>
              </w:tabs>
              <w:autoSpaceDE w:val="0"/>
              <w:autoSpaceDN w:val="0"/>
              <w:adjustRightInd w:val="0"/>
              <w:jc w:val="center"/>
              <w:rPr>
                <w:rFonts w:cs="Arial"/>
                <w:bCs/>
                <w:szCs w:val="16"/>
                <w:lang w:val="en-GB"/>
              </w:rPr>
            </w:pPr>
          </w:p>
        </w:tc>
        <w:tc>
          <w:tcPr>
            <w:tcW w:w="1004" w:type="pct"/>
          </w:tcPr>
          <w:p w14:paraId="43578B9D" w14:textId="77777777" w:rsidR="006F0F4C" w:rsidRPr="00405AE3" w:rsidRDefault="006F0F4C" w:rsidP="007E3CDB">
            <w:pPr>
              <w:tabs>
                <w:tab w:val="left" w:pos="567"/>
              </w:tabs>
              <w:autoSpaceDE w:val="0"/>
              <w:autoSpaceDN w:val="0"/>
              <w:adjustRightInd w:val="0"/>
              <w:jc w:val="center"/>
              <w:rPr>
                <w:rFonts w:cs="Arial"/>
                <w:bCs/>
                <w:szCs w:val="16"/>
                <w:lang w:val="en-GB"/>
              </w:rPr>
            </w:pPr>
          </w:p>
        </w:tc>
        <w:tc>
          <w:tcPr>
            <w:tcW w:w="1005" w:type="pct"/>
          </w:tcPr>
          <w:p w14:paraId="1093DA42" w14:textId="77777777" w:rsidR="006F0F4C" w:rsidRPr="00405AE3" w:rsidRDefault="006F0F4C" w:rsidP="007E3CDB">
            <w:pPr>
              <w:tabs>
                <w:tab w:val="left" w:pos="567"/>
              </w:tabs>
              <w:autoSpaceDE w:val="0"/>
              <w:autoSpaceDN w:val="0"/>
              <w:adjustRightInd w:val="0"/>
              <w:jc w:val="center"/>
              <w:rPr>
                <w:rFonts w:cs="Arial"/>
                <w:bCs/>
                <w:szCs w:val="16"/>
                <w:lang w:val="en-GB"/>
              </w:rPr>
            </w:pPr>
          </w:p>
        </w:tc>
      </w:tr>
      <w:tr w:rsidR="006F0F4C" w:rsidRPr="00405AE3" w14:paraId="3075998A" w14:textId="77777777" w:rsidTr="00ED6856">
        <w:trPr>
          <w:trHeight w:val="20"/>
          <w:jc w:val="center"/>
        </w:trPr>
        <w:tc>
          <w:tcPr>
            <w:tcW w:w="1987" w:type="pct"/>
            <w:shd w:val="clear" w:color="auto" w:fill="auto"/>
          </w:tcPr>
          <w:p w14:paraId="1FB6ADF4" w14:textId="77777777" w:rsidR="006F0F4C" w:rsidRPr="00405AE3" w:rsidRDefault="006F0F4C" w:rsidP="007E3CDB">
            <w:pPr>
              <w:tabs>
                <w:tab w:val="left" w:pos="567"/>
              </w:tabs>
              <w:autoSpaceDE w:val="0"/>
              <w:autoSpaceDN w:val="0"/>
              <w:adjustRightInd w:val="0"/>
              <w:ind w:left="150"/>
              <w:rPr>
                <w:rFonts w:cs="Arial"/>
                <w:bCs/>
                <w:szCs w:val="16"/>
                <w:lang w:val="en-GB"/>
              </w:rPr>
            </w:pPr>
            <w:r w:rsidRPr="00372923">
              <w:rPr>
                <w:rFonts w:cs="Arial"/>
                <w:bCs/>
                <w:szCs w:val="16"/>
              </w:rPr>
              <w:t>Number (%) of patients with event</w:t>
            </w:r>
          </w:p>
        </w:tc>
        <w:tc>
          <w:tcPr>
            <w:tcW w:w="1004" w:type="pct"/>
          </w:tcPr>
          <w:p w14:paraId="3E3C1BC5"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89 (64%)</w:t>
            </w:r>
          </w:p>
        </w:tc>
        <w:tc>
          <w:tcPr>
            <w:tcW w:w="1004" w:type="pct"/>
          </w:tcPr>
          <w:p w14:paraId="23021BE6"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97 (64%)</w:t>
            </w:r>
          </w:p>
        </w:tc>
        <w:tc>
          <w:tcPr>
            <w:tcW w:w="1005" w:type="pct"/>
          </w:tcPr>
          <w:p w14:paraId="22F51D66"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118 (78%)</w:t>
            </w:r>
          </w:p>
        </w:tc>
      </w:tr>
      <w:tr w:rsidR="006F0F4C" w:rsidRPr="00405AE3" w14:paraId="55531BE0" w14:textId="77777777" w:rsidTr="00ED6856">
        <w:trPr>
          <w:trHeight w:val="20"/>
          <w:jc w:val="center"/>
        </w:trPr>
        <w:tc>
          <w:tcPr>
            <w:tcW w:w="1987" w:type="pct"/>
            <w:shd w:val="clear" w:color="auto" w:fill="auto"/>
          </w:tcPr>
          <w:p w14:paraId="2A90018D" w14:textId="77777777" w:rsidR="006F0F4C" w:rsidRPr="00405AE3" w:rsidRDefault="006F0F4C" w:rsidP="007E3CDB">
            <w:pPr>
              <w:tabs>
                <w:tab w:val="left" w:pos="567"/>
              </w:tabs>
              <w:autoSpaceDE w:val="0"/>
              <w:autoSpaceDN w:val="0"/>
              <w:adjustRightInd w:val="0"/>
              <w:ind w:left="150"/>
              <w:rPr>
                <w:rFonts w:cs="Arial"/>
                <w:bCs/>
                <w:szCs w:val="16"/>
                <w:lang w:val="en-GB"/>
              </w:rPr>
            </w:pPr>
            <w:r w:rsidRPr="00D75BD7">
              <w:rPr>
                <w:rFonts w:cs="Arial"/>
                <w:bCs/>
                <w:szCs w:val="16"/>
                <w:lang w:val="en-GB"/>
              </w:rPr>
              <w:t>Hazard ratio</w:t>
            </w:r>
            <w:r w:rsidRPr="004D2A78">
              <w:rPr>
                <w:rFonts w:cs="Arial"/>
                <w:bCs/>
                <w:szCs w:val="16"/>
                <w:lang w:val="en-GB"/>
              </w:rPr>
              <w:t>*</w:t>
            </w:r>
            <w:r w:rsidRPr="00D75BD7">
              <w:rPr>
                <w:rFonts w:cs="Arial"/>
                <w:bCs/>
                <w:szCs w:val="16"/>
                <w:lang w:val="en-GB"/>
              </w:rPr>
              <w:t xml:space="preserve"> (95% CI)</w:t>
            </w:r>
            <w:r w:rsidRPr="008534EA">
              <w:rPr>
                <w:rFonts w:cs="Arial"/>
                <w:bCs/>
                <w:szCs w:val="16"/>
                <w:lang w:val="en-GB"/>
              </w:rPr>
              <w:t xml:space="preserve"> </w:t>
            </w:r>
          </w:p>
        </w:tc>
        <w:tc>
          <w:tcPr>
            <w:tcW w:w="1004" w:type="pct"/>
          </w:tcPr>
          <w:p w14:paraId="71983D76"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0.58 (0.43, 0.77)</w:t>
            </w:r>
          </w:p>
        </w:tc>
        <w:tc>
          <w:tcPr>
            <w:tcW w:w="1004" w:type="pct"/>
          </w:tcPr>
          <w:p w14:paraId="787ABD64"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0.59 (0.45, 0.78)</w:t>
            </w:r>
          </w:p>
        </w:tc>
        <w:tc>
          <w:tcPr>
            <w:tcW w:w="1005" w:type="pct"/>
          </w:tcPr>
          <w:p w14:paraId="17C0AA54"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w:t>
            </w:r>
          </w:p>
        </w:tc>
      </w:tr>
      <w:tr w:rsidR="006F0F4C" w:rsidRPr="00405AE3" w14:paraId="5FA66935" w14:textId="77777777" w:rsidTr="00ED6856">
        <w:trPr>
          <w:trHeight w:val="20"/>
          <w:jc w:val="center"/>
        </w:trPr>
        <w:tc>
          <w:tcPr>
            <w:tcW w:w="1987" w:type="pct"/>
            <w:shd w:val="clear" w:color="auto" w:fill="auto"/>
          </w:tcPr>
          <w:p w14:paraId="70614587" w14:textId="77777777" w:rsidR="006F0F4C" w:rsidRPr="00405AE3" w:rsidRDefault="006F0F4C" w:rsidP="007E3CDB">
            <w:pPr>
              <w:tabs>
                <w:tab w:val="left" w:pos="567"/>
              </w:tabs>
              <w:autoSpaceDE w:val="0"/>
              <w:autoSpaceDN w:val="0"/>
              <w:adjustRightInd w:val="0"/>
              <w:ind w:left="150"/>
              <w:rPr>
                <w:rFonts w:cs="Arial"/>
                <w:bCs/>
                <w:szCs w:val="16"/>
                <w:lang w:val="en-GB"/>
              </w:rPr>
            </w:pPr>
            <w:r w:rsidRPr="00D75BD7">
              <w:rPr>
                <w:rFonts w:cs="Arial"/>
                <w:bCs/>
                <w:szCs w:val="16"/>
                <w:lang w:val="en-GB"/>
              </w:rPr>
              <w:t>p-Value</w:t>
            </w:r>
            <w:r w:rsidRPr="00587086">
              <w:rPr>
                <w:rFonts w:cs="Arial"/>
                <w:bCs/>
                <w:szCs w:val="16"/>
                <w:vertAlign w:val="superscript"/>
                <w:lang w:val="en-GB"/>
              </w:rPr>
              <w:t>†</w:t>
            </w:r>
          </w:p>
        </w:tc>
        <w:tc>
          <w:tcPr>
            <w:tcW w:w="1004" w:type="pct"/>
          </w:tcPr>
          <w:p w14:paraId="5EB52E1F"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&lt;0.001</w:t>
            </w:r>
          </w:p>
        </w:tc>
        <w:tc>
          <w:tcPr>
            <w:tcW w:w="1004" w:type="pct"/>
          </w:tcPr>
          <w:p w14:paraId="67B7529F"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&lt;0.001</w:t>
            </w:r>
          </w:p>
        </w:tc>
        <w:tc>
          <w:tcPr>
            <w:tcW w:w="1005" w:type="pct"/>
          </w:tcPr>
          <w:p w14:paraId="7EE98529"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w:t>
            </w:r>
          </w:p>
        </w:tc>
      </w:tr>
      <w:tr w:rsidR="006F0F4C" w:rsidRPr="00405AE3" w14:paraId="291B899D" w14:textId="77777777" w:rsidTr="00ED6856">
        <w:trPr>
          <w:trHeight w:val="20"/>
          <w:jc w:val="center"/>
        </w:trPr>
        <w:tc>
          <w:tcPr>
            <w:tcW w:w="1987" w:type="pct"/>
            <w:shd w:val="clear" w:color="auto" w:fill="auto"/>
          </w:tcPr>
          <w:p w14:paraId="0E1F0514" w14:textId="77777777" w:rsidR="006F0F4C" w:rsidRPr="00D75BD7" w:rsidRDefault="006F0F4C" w:rsidP="007E3CDB">
            <w:pPr>
              <w:tabs>
                <w:tab w:val="left" w:pos="567"/>
              </w:tabs>
              <w:autoSpaceDE w:val="0"/>
              <w:autoSpaceDN w:val="0"/>
              <w:adjustRightInd w:val="0"/>
              <w:ind w:left="150"/>
              <w:rPr>
                <w:rFonts w:cs="Arial"/>
                <w:bCs/>
                <w:szCs w:val="16"/>
                <w:lang w:val="en-GB"/>
              </w:rPr>
            </w:pPr>
            <w:r w:rsidRPr="00D75BD7">
              <w:rPr>
                <w:rFonts w:cs="Arial"/>
                <w:bCs/>
                <w:szCs w:val="16"/>
                <w:lang w:val="en-GB"/>
              </w:rPr>
              <w:t>Median in months (95% CI)</w:t>
            </w:r>
          </w:p>
        </w:tc>
        <w:tc>
          <w:tcPr>
            <w:tcW w:w="1004" w:type="pct"/>
          </w:tcPr>
          <w:p w14:paraId="5712762E" w14:textId="77777777" w:rsidR="006F0F4C" w:rsidRPr="00E15439"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5.2 (4.0, 6.5)</w:t>
            </w:r>
          </w:p>
        </w:tc>
        <w:tc>
          <w:tcPr>
            <w:tcW w:w="1004" w:type="pct"/>
          </w:tcPr>
          <w:p w14:paraId="7A4C991A" w14:textId="77777777" w:rsidR="006F0F4C" w:rsidRPr="00E15439"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5.2 (4.1, 8.1)</w:t>
            </w:r>
          </w:p>
        </w:tc>
        <w:tc>
          <w:tcPr>
            <w:tcW w:w="1005" w:type="pct"/>
          </w:tcPr>
          <w:p w14:paraId="679A64D7" w14:textId="77777777" w:rsidR="006F0F4C" w:rsidRPr="00E15439" w:rsidRDefault="006F0F4C" w:rsidP="007E3CDB">
            <w:pPr>
              <w:tabs>
                <w:tab w:val="left" w:pos="567"/>
              </w:tabs>
              <w:autoSpaceDE w:val="0"/>
              <w:autoSpaceDN w:val="0"/>
              <w:adjustRightInd w:val="0"/>
              <w:jc w:val="center"/>
              <w:rPr>
                <w:rFonts w:cs="Arial"/>
                <w:bCs/>
                <w:szCs w:val="16"/>
                <w:lang w:val="en-GB"/>
              </w:rPr>
            </w:pPr>
            <w:r w:rsidRPr="00E15439">
              <w:rPr>
                <w:rFonts w:cs="Arial"/>
                <w:bCs/>
                <w:szCs w:val="16"/>
                <w:lang w:val="en-GB"/>
              </w:rPr>
              <w:t>4.1 (3.6, 4.3)</w:t>
            </w:r>
          </w:p>
        </w:tc>
      </w:tr>
      <w:tr w:rsidR="006F0F4C" w:rsidRPr="00CB7E84" w14:paraId="65377582" w14:textId="77777777" w:rsidTr="00ED6856">
        <w:trPr>
          <w:trHeight w:val="20"/>
          <w:jc w:val="center"/>
        </w:trPr>
        <w:tc>
          <w:tcPr>
            <w:tcW w:w="1987" w:type="pct"/>
            <w:shd w:val="clear" w:color="auto" w:fill="auto"/>
          </w:tcPr>
          <w:p w14:paraId="207B0907" w14:textId="77777777" w:rsidR="006F0F4C" w:rsidRPr="00D75BD7" w:rsidRDefault="006F0F4C" w:rsidP="007E3CDB">
            <w:pPr>
              <w:tabs>
                <w:tab w:val="left" w:pos="567"/>
              </w:tabs>
              <w:autoSpaceDE w:val="0"/>
              <w:autoSpaceDN w:val="0"/>
              <w:adjustRightInd w:val="0"/>
              <w:rPr>
                <w:rFonts w:cs="Arial"/>
                <w:szCs w:val="16"/>
                <w:lang w:val="en-GB"/>
              </w:rPr>
            </w:pPr>
            <w:r>
              <w:rPr>
                <w:rFonts w:cs="Arial"/>
                <w:b/>
                <w:bCs/>
                <w:szCs w:val="16"/>
                <w:lang w:val="en-GB"/>
              </w:rPr>
              <w:t>O</w:t>
            </w:r>
            <w:r w:rsidRPr="00D75BD7">
              <w:rPr>
                <w:rFonts w:cs="Arial"/>
                <w:b/>
                <w:bCs/>
                <w:szCs w:val="16"/>
                <w:lang w:val="en-GB"/>
              </w:rPr>
              <w:t>verall response</w:t>
            </w:r>
            <w:r>
              <w:rPr>
                <w:rFonts w:cs="Arial"/>
                <w:b/>
                <w:bCs/>
                <w:szCs w:val="16"/>
                <w:lang w:val="en-GB"/>
              </w:rPr>
              <w:t xml:space="preserve"> rate</w:t>
            </w:r>
            <w:r w:rsidRPr="00D75BD7">
              <w:rPr>
                <w:rFonts w:cs="Arial"/>
                <w:bCs/>
                <w:szCs w:val="16"/>
                <w:vertAlign w:val="superscript"/>
                <w:lang w:val="en-GB"/>
              </w:rPr>
              <w:t>‡</w:t>
            </w:r>
          </w:p>
        </w:tc>
        <w:tc>
          <w:tcPr>
            <w:tcW w:w="1004" w:type="pct"/>
          </w:tcPr>
          <w:p w14:paraId="2B1625D7" w14:textId="77777777" w:rsidR="006F0F4C" w:rsidRPr="00E15439" w:rsidRDefault="006F0F4C" w:rsidP="007E3CDB">
            <w:pPr>
              <w:tabs>
                <w:tab w:val="left" w:pos="567"/>
              </w:tabs>
              <w:autoSpaceDE w:val="0"/>
              <w:autoSpaceDN w:val="0"/>
              <w:adjustRightInd w:val="0"/>
              <w:jc w:val="center"/>
              <w:rPr>
                <w:rFonts w:cs="Arial"/>
                <w:bCs/>
                <w:szCs w:val="16"/>
                <w:lang w:val="en-GB"/>
              </w:rPr>
            </w:pPr>
          </w:p>
        </w:tc>
        <w:tc>
          <w:tcPr>
            <w:tcW w:w="1004" w:type="pct"/>
          </w:tcPr>
          <w:p w14:paraId="0BB669D9" w14:textId="77777777" w:rsidR="006F0F4C" w:rsidRPr="00E15439" w:rsidRDefault="006F0F4C" w:rsidP="007E3CDB">
            <w:pPr>
              <w:tabs>
                <w:tab w:val="left" w:pos="567"/>
              </w:tabs>
              <w:autoSpaceDE w:val="0"/>
              <w:autoSpaceDN w:val="0"/>
              <w:adjustRightInd w:val="0"/>
              <w:jc w:val="center"/>
              <w:rPr>
                <w:rFonts w:cs="Arial"/>
                <w:bCs/>
                <w:szCs w:val="16"/>
                <w:lang w:val="en-GB"/>
              </w:rPr>
            </w:pPr>
          </w:p>
        </w:tc>
        <w:tc>
          <w:tcPr>
            <w:tcW w:w="1005" w:type="pct"/>
          </w:tcPr>
          <w:p w14:paraId="70075AE8" w14:textId="77777777" w:rsidR="006F0F4C" w:rsidRPr="00E15439" w:rsidRDefault="006F0F4C" w:rsidP="007E3CDB">
            <w:pPr>
              <w:tabs>
                <w:tab w:val="left" w:pos="567"/>
              </w:tabs>
              <w:autoSpaceDE w:val="0"/>
              <w:autoSpaceDN w:val="0"/>
              <w:adjustRightInd w:val="0"/>
              <w:jc w:val="center"/>
              <w:rPr>
                <w:rFonts w:cs="Arial"/>
                <w:bCs/>
                <w:szCs w:val="16"/>
                <w:lang w:val="en-GB"/>
              </w:rPr>
            </w:pPr>
          </w:p>
        </w:tc>
      </w:tr>
      <w:tr w:rsidR="006F0F4C" w:rsidRPr="00CB7E84" w14:paraId="23D12FF7" w14:textId="77777777" w:rsidTr="00ED6856">
        <w:trPr>
          <w:trHeight w:val="20"/>
          <w:jc w:val="center"/>
        </w:trPr>
        <w:tc>
          <w:tcPr>
            <w:tcW w:w="1987" w:type="pct"/>
            <w:shd w:val="clear" w:color="auto" w:fill="auto"/>
          </w:tcPr>
          <w:p w14:paraId="1BA3E667" w14:textId="77777777" w:rsidR="006F0F4C" w:rsidRPr="00E14551" w:rsidRDefault="006F0F4C" w:rsidP="007E3CDB">
            <w:pPr>
              <w:tabs>
                <w:tab w:val="left" w:pos="567"/>
              </w:tabs>
              <w:autoSpaceDE w:val="0"/>
              <w:autoSpaceDN w:val="0"/>
              <w:adjustRightInd w:val="0"/>
              <w:ind w:left="150"/>
              <w:rPr>
                <w:rFonts w:cs="Arial"/>
                <w:bCs/>
                <w:szCs w:val="16"/>
                <w:lang w:val="en-GB"/>
              </w:rPr>
            </w:pPr>
            <w:r w:rsidRPr="00D75BD7">
              <w:rPr>
                <w:rFonts w:cs="Arial"/>
                <w:bCs/>
                <w:szCs w:val="16"/>
                <w:lang w:val="en-GB"/>
              </w:rPr>
              <w:t>ORR %</w:t>
            </w:r>
            <w:r w:rsidRPr="00227713">
              <w:rPr>
                <w:rFonts w:cs="Arial"/>
                <w:bCs/>
                <w:szCs w:val="16"/>
                <w:vertAlign w:val="superscript"/>
                <w:lang w:val="en-GB"/>
              </w:rPr>
              <w:t>§</w:t>
            </w:r>
            <w:r w:rsidRPr="00D75BD7">
              <w:rPr>
                <w:rFonts w:cs="Arial"/>
                <w:bCs/>
                <w:szCs w:val="16"/>
                <w:lang w:val="en-GB"/>
              </w:rPr>
              <w:t xml:space="preserve"> (95% CI)</w:t>
            </w:r>
          </w:p>
        </w:tc>
        <w:tc>
          <w:tcPr>
            <w:tcW w:w="1004" w:type="pct"/>
          </w:tcPr>
          <w:p w14:paraId="79CABFA7" w14:textId="77777777" w:rsidR="006F0F4C" w:rsidRPr="00461566" w:rsidRDefault="006F0F4C" w:rsidP="007E3CDB">
            <w:pPr>
              <w:tabs>
                <w:tab w:val="left" w:pos="567"/>
              </w:tabs>
              <w:autoSpaceDE w:val="0"/>
              <w:autoSpaceDN w:val="0"/>
              <w:adjustRightInd w:val="0"/>
              <w:jc w:val="center"/>
              <w:rPr>
                <w:rFonts w:cs="Arial"/>
                <w:bCs/>
                <w:szCs w:val="16"/>
                <w:lang w:val="en-GB"/>
              </w:rPr>
            </w:pPr>
            <w:r w:rsidRPr="00461566">
              <w:rPr>
                <w:rFonts w:cs="Arial"/>
                <w:bCs/>
                <w:szCs w:val="16"/>
                <w:lang w:val="en-GB"/>
              </w:rPr>
              <w:t>30% (23, 39)</w:t>
            </w:r>
          </w:p>
        </w:tc>
        <w:tc>
          <w:tcPr>
            <w:tcW w:w="1004" w:type="pct"/>
          </w:tcPr>
          <w:p w14:paraId="72275962" w14:textId="77777777" w:rsidR="006F0F4C" w:rsidRPr="00461566" w:rsidRDefault="006F0F4C" w:rsidP="007E3CDB">
            <w:pPr>
              <w:tabs>
                <w:tab w:val="left" w:pos="567"/>
              </w:tabs>
              <w:autoSpaceDE w:val="0"/>
              <w:autoSpaceDN w:val="0"/>
              <w:adjustRightInd w:val="0"/>
              <w:jc w:val="center"/>
              <w:rPr>
                <w:rFonts w:cs="Arial"/>
                <w:bCs/>
                <w:szCs w:val="16"/>
                <w:lang w:val="en-GB"/>
              </w:rPr>
            </w:pPr>
            <w:r w:rsidRPr="00461566">
              <w:rPr>
                <w:rFonts w:cs="Arial"/>
                <w:bCs/>
                <w:szCs w:val="16"/>
                <w:lang w:val="en-GB"/>
              </w:rPr>
              <w:t>29% (22, 37)</w:t>
            </w:r>
          </w:p>
        </w:tc>
        <w:tc>
          <w:tcPr>
            <w:tcW w:w="1005" w:type="pct"/>
          </w:tcPr>
          <w:p w14:paraId="6A9CFE35" w14:textId="77777777" w:rsidR="006F0F4C" w:rsidRPr="00461566" w:rsidRDefault="006F0F4C" w:rsidP="007E3CDB">
            <w:pPr>
              <w:tabs>
                <w:tab w:val="left" w:pos="567"/>
              </w:tabs>
              <w:autoSpaceDE w:val="0"/>
              <w:autoSpaceDN w:val="0"/>
              <w:adjustRightInd w:val="0"/>
              <w:jc w:val="center"/>
              <w:rPr>
                <w:rFonts w:cs="Arial"/>
                <w:bCs/>
                <w:szCs w:val="16"/>
                <w:lang w:val="en-GB"/>
              </w:rPr>
            </w:pPr>
            <w:r w:rsidRPr="00461566">
              <w:rPr>
                <w:rFonts w:cs="Arial"/>
                <w:bCs/>
                <w:szCs w:val="16"/>
                <w:lang w:val="en-GB"/>
              </w:rPr>
              <w:t>8% (4, 13)</w:t>
            </w:r>
          </w:p>
        </w:tc>
      </w:tr>
      <w:tr w:rsidR="006F0F4C" w:rsidRPr="00B906AC" w14:paraId="495A2124" w14:textId="77777777" w:rsidTr="00ED6856">
        <w:trPr>
          <w:trHeight w:val="20"/>
          <w:jc w:val="center"/>
        </w:trPr>
        <w:tc>
          <w:tcPr>
            <w:tcW w:w="1987" w:type="pct"/>
            <w:shd w:val="clear" w:color="auto" w:fill="auto"/>
          </w:tcPr>
          <w:p w14:paraId="2B29E21C" w14:textId="77777777" w:rsidR="006F0F4C" w:rsidRPr="00B906AC" w:rsidRDefault="006F0F4C" w:rsidP="007E3CDB">
            <w:pPr>
              <w:tabs>
                <w:tab w:val="left" w:pos="567"/>
              </w:tabs>
              <w:autoSpaceDE w:val="0"/>
              <w:autoSpaceDN w:val="0"/>
              <w:adjustRightInd w:val="0"/>
              <w:rPr>
                <w:rFonts w:cs="Arial"/>
                <w:bCs/>
                <w:szCs w:val="16"/>
                <w:lang w:val="en-GB"/>
              </w:rPr>
            </w:pPr>
            <w:r w:rsidRPr="00B906AC">
              <w:rPr>
                <w:rFonts w:cs="Arial"/>
                <w:b/>
                <w:bCs/>
                <w:szCs w:val="16"/>
                <w:lang w:val="en-GB"/>
              </w:rPr>
              <w:t>Response duration</w:t>
            </w:r>
            <w:r w:rsidRPr="00B906AC">
              <w:rPr>
                <w:rFonts w:cs="Arial"/>
                <w:bCs/>
                <w:szCs w:val="16"/>
                <w:vertAlign w:val="superscript"/>
                <w:lang w:val="en-GB"/>
              </w:rPr>
              <w:t>‡,</w:t>
            </w:r>
            <w:r w:rsidRPr="00B906AC">
              <w:rPr>
                <w:rFonts w:cs="Arial"/>
                <w:b/>
                <w:bCs/>
                <w:szCs w:val="16"/>
                <w:vertAlign w:val="superscript"/>
              </w:rPr>
              <w:t>¶</w:t>
            </w:r>
            <w:r>
              <w:rPr>
                <w:rFonts w:cs="Arial"/>
                <w:b/>
                <w:bCs/>
                <w:szCs w:val="16"/>
                <w:vertAlign w:val="superscript"/>
              </w:rPr>
              <w:t>,</w:t>
            </w:r>
            <w:r w:rsidRPr="00AA09D0">
              <w:rPr>
                <w:rFonts w:cs="Arial"/>
                <w:vertAlign w:val="superscript"/>
              </w:rPr>
              <w:t>Þ</w:t>
            </w:r>
          </w:p>
        </w:tc>
        <w:tc>
          <w:tcPr>
            <w:tcW w:w="1004" w:type="pct"/>
          </w:tcPr>
          <w:p w14:paraId="00D41BAD" w14:textId="77777777" w:rsidR="006F0F4C" w:rsidRPr="00B906AC" w:rsidRDefault="006F0F4C" w:rsidP="007E3CDB">
            <w:pPr>
              <w:tabs>
                <w:tab w:val="left" w:pos="567"/>
              </w:tabs>
              <w:autoSpaceDE w:val="0"/>
              <w:autoSpaceDN w:val="0"/>
              <w:adjustRightInd w:val="0"/>
              <w:jc w:val="center"/>
              <w:rPr>
                <w:rFonts w:cs="Arial"/>
                <w:bCs/>
                <w:szCs w:val="16"/>
                <w:lang w:val="en-GB"/>
              </w:rPr>
            </w:pPr>
          </w:p>
        </w:tc>
        <w:tc>
          <w:tcPr>
            <w:tcW w:w="1004" w:type="pct"/>
          </w:tcPr>
          <w:p w14:paraId="6436649B" w14:textId="77777777" w:rsidR="006F0F4C" w:rsidRPr="00B906AC" w:rsidRDefault="006F0F4C" w:rsidP="007E3CDB">
            <w:pPr>
              <w:tabs>
                <w:tab w:val="left" w:pos="567"/>
              </w:tabs>
              <w:autoSpaceDE w:val="0"/>
              <w:autoSpaceDN w:val="0"/>
              <w:adjustRightInd w:val="0"/>
              <w:jc w:val="center"/>
              <w:rPr>
                <w:rFonts w:cs="Arial"/>
                <w:bCs/>
                <w:szCs w:val="16"/>
                <w:lang w:val="en-GB"/>
              </w:rPr>
            </w:pPr>
          </w:p>
        </w:tc>
        <w:tc>
          <w:tcPr>
            <w:tcW w:w="1005" w:type="pct"/>
          </w:tcPr>
          <w:p w14:paraId="15BE8752" w14:textId="77777777" w:rsidR="006F0F4C" w:rsidRPr="00B906AC" w:rsidRDefault="006F0F4C" w:rsidP="007E3CDB">
            <w:pPr>
              <w:tabs>
                <w:tab w:val="left" w:pos="567"/>
              </w:tabs>
              <w:autoSpaceDE w:val="0"/>
              <w:autoSpaceDN w:val="0"/>
              <w:adjustRightInd w:val="0"/>
              <w:jc w:val="center"/>
              <w:rPr>
                <w:rFonts w:cs="Arial"/>
                <w:bCs/>
                <w:szCs w:val="16"/>
                <w:lang w:val="en-GB"/>
              </w:rPr>
            </w:pPr>
          </w:p>
        </w:tc>
      </w:tr>
      <w:tr w:rsidR="006F0F4C" w:rsidRPr="00816100" w14:paraId="3AC15C12" w14:textId="77777777" w:rsidTr="00ED6856">
        <w:trPr>
          <w:trHeight w:val="20"/>
          <w:jc w:val="center"/>
        </w:trPr>
        <w:tc>
          <w:tcPr>
            <w:tcW w:w="1987" w:type="pct"/>
            <w:shd w:val="clear" w:color="auto" w:fill="auto"/>
          </w:tcPr>
          <w:p w14:paraId="21B63F71" w14:textId="77777777" w:rsidR="006F0F4C" w:rsidRPr="00816100" w:rsidRDefault="006F0F4C" w:rsidP="007E3CDB">
            <w:pPr>
              <w:tabs>
                <w:tab w:val="left" w:pos="567"/>
              </w:tabs>
              <w:autoSpaceDE w:val="0"/>
              <w:autoSpaceDN w:val="0"/>
              <w:adjustRightInd w:val="0"/>
              <w:ind w:left="150"/>
              <w:rPr>
                <w:rFonts w:cs="Arial"/>
                <w:bCs/>
                <w:szCs w:val="16"/>
                <w:lang w:val="en-GB"/>
              </w:rPr>
            </w:pPr>
            <w:r w:rsidRPr="00816100">
              <w:rPr>
                <w:rFonts w:cs="Arial"/>
                <w:bCs/>
                <w:szCs w:val="16"/>
                <w:lang w:val="en-GB"/>
              </w:rPr>
              <w:t>Median in months (range)</w:t>
            </w:r>
          </w:p>
        </w:tc>
        <w:tc>
          <w:tcPr>
            <w:tcW w:w="1004" w:type="pct"/>
          </w:tcPr>
          <w:p w14:paraId="67AC91F6" w14:textId="77777777" w:rsidR="006F0F4C" w:rsidRPr="00816100" w:rsidRDefault="006F0F4C" w:rsidP="007E3CDB">
            <w:pPr>
              <w:tabs>
                <w:tab w:val="left" w:pos="567"/>
              </w:tabs>
              <w:autoSpaceDE w:val="0"/>
              <w:autoSpaceDN w:val="0"/>
              <w:adjustRightInd w:val="0"/>
              <w:jc w:val="center"/>
              <w:rPr>
                <w:rFonts w:cs="Arial"/>
                <w:bCs/>
                <w:szCs w:val="16"/>
                <w:lang w:val="en-GB"/>
              </w:rPr>
            </w:pPr>
            <w:r w:rsidRPr="00816100">
              <w:rPr>
                <w:rFonts w:cs="Arial"/>
                <w:bCs/>
                <w:szCs w:val="16"/>
                <w:lang w:val="en-GB"/>
              </w:rPr>
              <w:t>Not reached</w:t>
            </w:r>
          </w:p>
          <w:p w14:paraId="6268883F" w14:textId="77777777" w:rsidR="006F0F4C" w:rsidRPr="00816100" w:rsidRDefault="006F0F4C" w:rsidP="007E3CDB">
            <w:pPr>
              <w:tabs>
                <w:tab w:val="left" w:pos="567"/>
              </w:tabs>
              <w:autoSpaceDE w:val="0"/>
              <w:autoSpaceDN w:val="0"/>
              <w:adjustRightInd w:val="0"/>
              <w:jc w:val="center"/>
              <w:rPr>
                <w:rFonts w:cs="Arial"/>
                <w:bCs/>
                <w:szCs w:val="16"/>
                <w:lang w:val="en-GB"/>
              </w:rPr>
            </w:pPr>
            <w:r w:rsidRPr="00816100">
              <w:rPr>
                <w:rFonts w:cs="Arial"/>
                <w:bCs/>
                <w:szCs w:val="16"/>
                <w:lang w:val="en-GB"/>
              </w:rPr>
              <w:t>(0.7+, 16.8+)</w:t>
            </w:r>
          </w:p>
        </w:tc>
        <w:tc>
          <w:tcPr>
            <w:tcW w:w="1004" w:type="pct"/>
          </w:tcPr>
          <w:p w14:paraId="5F3FB8B8" w14:textId="77777777" w:rsidR="006F0F4C" w:rsidRPr="00816100" w:rsidRDefault="006F0F4C" w:rsidP="007E3CDB">
            <w:pPr>
              <w:tabs>
                <w:tab w:val="left" w:pos="567"/>
              </w:tabs>
              <w:autoSpaceDE w:val="0"/>
              <w:autoSpaceDN w:val="0"/>
              <w:adjustRightInd w:val="0"/>
              <w:jc w:val="center"/>
              <w:rPr>
                <w:rFonts w:cs="Arial"/>
                <w:bCs/>
                <w:szCs w:val="16"/>
                <w:lang w:val="en-GB"/>
              </w:rPr>
            </w:pPr>
            <w:r w:rsidRPr="00816100">
              <w:rPr>
                <w:rFonts w:cs="Arial"/>
                <w:bCs/>
                <w:szCs w:val="16"/>
                <w:lang w:val="en-GB"/>
              </w:rPr>
              <w:t>Not reached</w:t>
            </w:r>
          </w:p>
          <w:p w14:paraId="2A9E50E6" w14:textId="77777777" w:rsidR="006F0F4C" w:rsidRPr="00816100" w:rsidRDefault="006F0F4C" w:rsidP="007E3CDB">
            <w:pPr>
              <w:tabs>
                <w:tab w:val="left" w:pos="567"/>
              </w:tabs>
              <w:autoSpaceDE w:val="0"/>
              <w:autoSpaceDN w:val="0"/>
              <w:adjustRightInd w:val="0"/>
              <w:jc w:val="center"/>
              <w:rPr>
                <w:rFonts w:cs="Arial"/>
                <w:bCs/>
                <w:szCs w:val="16"/>
                <w:lang w:val="en-GB"/>
              </w:rPr>
            </w:pPr>
            <w:r w:rsidRPr="00816100">
              <w:rPr>
                <w:rFonts w:cs="Arial"/>
                <w:szCs w:val="16"/>
                <w:lang w:val="en-GB"/>
              </w:rPr>
              <w:t>(2.1+, 17.8+)</w:t>
            </w:r>
          </w:p>
        </w:tc>
        <w:tc>
          <w:tcPr>
            <w:tcW w:w="1005" w:type="pct"/>
          </w:tcPr>
          <w:p w14:paraId="16924A2B" w14:textId="77777777" w:rsidR="006F0F4C" w:rsidRPr="00816100" w:rsidRDefault="006F0F4C" w:rsidP="007E3CDB">
            <w:pPr>
              <w:tabs>
                <w:tab w:val="left" w:pos="567"/>
              </w:tabs>
              <w:autoSpaceDE w:val="0"/>
              <w:autoSpaceDN w:val="0"/>
              <w:adjustRightInd w:val="0"/>
              <w:jc w:val="center"/>
              <w:rPr>
                <w:rFonts w:cs="Arial"/>
                <w:bCs/>
                <w:szCs w:val="16"/>
                <w:lang w:val="en-GB"/>
              </w:rPr>
            </w:pPr>
            <w:r w:rsidRPr="00816100">
              <w:rPr>
                <w:rFonts w:cs="Arial"/>
                <w:bCs/>
                <w:szCs w:val="16"/>
                <w:lang w:val="en-GB"/>
              </w:rPr>
              <w:t>8.1</w:t>
            </w:r>
          </w:p>
          <w:p w14:paraId="05341975" w14:textId="77777777" w:rsidR="006F0F4C" w:rsidRPr="00816100" w:rsidRDefault="006F0F4C" w:rsidP="007E3CDB">
            <w:pPr>
              <w:tabs>
                <w:tab w:val="left" w:pos="567"/>
              </w:tabs>
              <w:autoSpaceDE w:val="0"/>
              <w:autoSpaceDN w:val="0"/>
              <w:adjustRightInd w:val="0"/>
              <w:jc w:val="center"/>
              <w:rPr>
                <w:rFonts w:cs="Arial"/>
                <w:bCs/>
                <w:szCs w:val="16"/>
                <w:lang w:val="en-GB"/>
              </w:rPr>
            </w:pPr>
            <w:r w:rsidRPr="00816100">
              <w:rPr>
                <w:rFonts w:cs="Arial"/>
                <w:bCs/>
                <w:szCs w:val="16"/>
                <w:lang w:val="en-GB"/>
              </w:rPr>
              <w:t>(2.1+, 8.8+)</w:t>
            </w:r>
          </w:p>
        </w:tc>
      </w:tr>
      <w:tr w:rsidR="006F0F4C" w:rsidRPr="00405AE3" w14:paraId="5A84EF9A" w14:textId="77777777" w:rsidTr="00ED6856">
        <w:trPr>
          <w:trHeight w:val="20"/>
          <w:jc w:val="center"/>
        </w:trPr>
        <w:tc>
          <w:tcPr>
            <w:tcW w:w="1987" w:type="pct"/>
            <w:tcBorders>
              <w:bottom w:val="single" w:sz="4" w:space="0" w:color="auto"/>
            </w:tcBorders>
            <w:shd w:val="clear" w:color="auto" w:fill="auto"/>
          </w:tcPr>
          <w:p w14:paraId="26F5EBB8" w14:textId="77777777" w:rsidR="006F0F4C" w:rsidRPr="00816100" w:rsidRDefault="006F0F4C" w:rsidP="007E3CDB">
            <w:pPr>
              <w:tabs>
                <w:tab w:val="left" w:pos="567"/>
              </w:tabs>
              <w:autoSpaceDE w:val="0"/>
              <w:autoSpaceDN w:val="0"/>
              <w:adjustRightInd w:val="0"/>
              <w:ind w:left="150"/>
              <w:rPr>
                <w:rFonts w:cs="Arial"/>
                <w:bCs/>
                <w:szCs w:val="16"/>
                <w:lang w:val="en-GB"/>
              </w:rPr>
            </w:pPr>
            <w:r w:rsidRPr="00816100">
              <w:rPr>
                <w:rFonts w:cs="Arial"/>
                <w:bCs/>
                <w:szCs w:val="16"/>
                <w:lang w:val="en-GB"/>
              </w:rPr>
              <w:t>% ongoing</w:t>
            </w:r>
          </w:p>
        </w:tc>
        <w:tc>
          <w:tcPr>
            <w:tcW w:w="1004" w:type="pct"/>
            <w:tcBorders>
              <w:bottom w:val="single" w:sz="4" w:space="0" w:color="auto"/>
            </w:tcBorders>
          </w:tcPr>
          <w:p w14:paraId="4360A8C4" w14:textId="77777777" w:rsidR="006F0F4C" w:rsidRPr="00816100" w:rsidRDefault="006F0F4C" w:rsidP="007E3CDB">
            <w:pPr>
              <w:tabs>
                <w:tab w:val="left" w:pos="567"/>
                <w:tab w:val="left" w:pos="1120"/>
              </w:tabs>
              <w:autoSpaceDE w:val="0"/>
              <w:autoSpaceDN w:val="0"/>
              <w:adjustRightInd w:val="0"/>
              <w:jc w:val="center"/>
              <w:rPr>
                <w:rFonts w:cs="Arial"/>
                <w:bCs/>
                <w:szCs w:val="16"/>
                <w:lang w:val="en-GB"/>
              </w:rPr>
            </w:pPr>
            <w:r w:rsidRPr="00816100">
              <w:rPr>
                <w:rFonts w:cs="Arial"/>
                <w:bCs/>
                <w:szCs w:val="16"/>
                <w:lang w:val="en-GB"/>
              </w:rPr>
              <w:t>76%</w:t>
            </w:r>
          </w:p>
        </w:tc>
        <w:tc>
          <w:tcPr>
            <w:tcW w:w="1004" w:type="pct"/>
            <w:tcBorders>
              <w:bottom w:val="single" w:sz="4" w:space="0" w:color="auto"/>
            </w:tcBorders>
          </w:tcPr>
          <w:p w14:paraId="6E374682" w14:textId="77777777" w:rsidR="006F0F4C" w:rsidRPr="00816100" w:rsidRDefault="006F0F4C" w:rsidP="007E3CDB">
            <w:pPr>
              <w:tabs>
                <w:tab w:val="left" w:pos="567"/>
              </w:tabs>
              <w:autoSpaceDE w:val="0"/>
              <w:autoSpaceDN w:val="0"/>
              <w:adjustRightInd w:val="0"/>
              <w:jc w:val="center"/>
              <w:rPr>
                <w:rFonts w:cs="Arial"/>
                <w:bCs/>
                <w:szCs w:val="16"/>
                <w:lang w:val="en-GB"/>
              </w:rPr>
            </w:pPr>
            <w:r w:rsidRPr="00816100">
              <w:rPr>
                <w:rFonts w:cs="Arial"/>
                <w:bCs/>
                <w:szCs w:val="16"/>
                <w:lang w:val="en-GB"/>
              </w:rPr>
              <w:t>75%</w:t>
            </w:r>
          </w:p>
        </w:tc>
        <w:tc>
          <w:tcPr>
            <w:tcW w:w="1005" w:type="pct"/>
            <w:tcBorders>
              <w:bottom w:val="single" w:sz="4" w:space="0" w:color="auto"/>
            </w:tcBorders>
          </w:tcPr>
          <w:p w14:paraId="5998EB3A" w14:textId="77777777" w:rsidR="006F0F4C" w:rsidRPr="00405AE3" w:rsidRDefault="006F0F4C" w:rsidP="007E3CDB">
            <w:pPr>
              <w:tabs>
                <w:tab w:val="left" w:pos="567"/>
              </w:tabs>
              <w:autoSpaceDE w:val="0"/>
              <w:autoSpaceDN w:val="0"/>
              <w:adjustRightInd w:val="0"/>
              <w:jc w:val="center"/>
              <w:rPr>
                <w:rFonts w:cs="Arial"/>
                <w:bCs/>
                <w:szCs w:val="16"/>
                <w:lang w:val="en-GB"/>
              </w:rPr>
            </w:pPr>
            <w:r w:rsidRPr="00816100">
              <w:rPr>
                <w:rFonts w:cs="Arial"/>
                <w:bCs/>
                <w:szCs w:val="16"/>
                <w:lang w:val="en-GB"/>
              </w:rPr>
              <w:t>33%</w:t>
            </w:r>
          </w:p>
        </w:tc>
      </w:tr>
      <w:tr w:rsidR="006F0F4C" w:rsidRPr="00AA09D0" w14:paraId="490628E4" w14:textId="77777777" w:rsidTr="00ED6856">
        <w:trPr>
          <w:jc w:val="center"/>
        </w:trPr>
        <w:tc>
          <w:tcPr>
            <w:tcW w:w="5000" w:type="pct"/>
            <w:gridSpan w:val="4"/>
            <w:tcBorders>
              <w:top w:val="single" w:sz="4" w:space="0" w:color="auto"/>
              <w:left w:val="nil"/>
              <w:bottom w:val="nil"/>
              <w:right w:val="nil"/>
            </w:tcBorders>
            <w:shd w:val="clear" w:color="auto" w:fill="auto"/>
          </w:tcPr>
          <w:p w14:paraId="38E8D77D" w14:textId="77777777" w:rsidR="006F0F4C" w:rsidRPr="00AA09D0" w:rsidRDefault="006F0F4C" w:rsidP="007E3CDB">
            <w:pPr>
              <w:pStyle w:val="Footer"/>
              <w:keepNext w:val="0"/>
              <w:rPr>
                <w:lang w:val="en-GB"/>
              </w:rPr>
            </w:pPr>
            <w:r w:rsidRPr="00AA09D0">
              <w:rPr>
                <w:lang w:val="en-GB"/>
              </w:rPr>
              <w:t>*</w:t>
            </w:r>
            <w:r w:rsidRPr="00AA09D0">
              <w:rPr>
                <w:lang w:val="en-GB"/>
              </w:rPr>
              <w:tab/>
              <w:t>Hazard ratio (KEYTRUDA compared to docetaxel) based on the stratified Cox proportional hazard model</w:t>
            </w:r>
          </w:p>
          <w:p w14:paraId="579FA981" w14:textId="27338EFD" w:rsidR="006F0F4C" w:rsidRPr="00AA09D0" w:rsidRDefault="006F0F4C" w:rsidP="007E3CDB">
            <w:pPr>
              <w:pStyle w:val="Footer"/>
              <w:rPr>
                <w:lang w:val="en-GB"/>
              </w:rPr>
            </w:pPr>
            <w:r w:rsidRPr="00AA09D0">
              <w:rPr>
                <w:vertAlign w:val="superscript"/>
                <w:lang w:val="en-GB"/>
              </w:rPr>
              <w:t>†</w:t>
            </w:r>
            <w:r w:rsidR="007E3CDB">
              <w:rPr>
                <w:lang w:val="en-GB"/>
              </w:rPr>
              <w:t xml:space="preserve"> </w:t>
            </w:r>
            <w:r w:rsidRPr="00AA09D0">
              <w:rPr>
                <w:lang w:val="en-GB"/>
              </w:rPr>
              <w:t>Based on stratified Log rank test</w:t>
            </w:r>
          </w:p>
          <w:p w14:paraId="2336A490" w14:textId="4A620006" w:rsidR="006F0F4C" w:rsidRPr="00AA09D0" w:rsidRDefault="006F0F4C" w:rsidP="007E3CDB">
            <w:pPr>
              <w:pStyle w:val="Footer"/>
              <w:rPr>
                <w:lang w:val="en-GB"/>
              </w:rPr>
            </w:pPr>
            <w:r w:rsidRPr="00AA09D0">
              <w:rPr>
                <w:vertAlign w:val="superscript"/>
                <w:lang w:val="en-GB"/>
              </w:rPr>
              <w:t>‡</w:t>
            </w:r>
            <w:r w:rsidR="007E3CDB">
              <w:rPr>
                <w:vertAlign w:val="superscript"/>
                <w:lang w:val="en-GB"/>
              </w:rPr>
              <w:t xml:space="preserve"> </w:t>
            </w:r>
            <w:r w:rsidRPr="00AA09D0">
              <w:rPr>
                <w:lang w:val="en-GB"/>
              </w:rPr>
              <w:t>Assessed by BICR using RECIST 1.1</w:t>
            </w:r>
          </w:p>
          <w:p w14:paraId="0253F4F8" w14:textId="39A1094F" w:rsidR="006F0F4C" w:rsidRPr="00AA09D0" w:rsidRDefault="006F0F4C" w:rsidP="007E3CDB">
            <w:pPr>
              <w:pStyle w:val="Footer"/>
              <w:rPr>
                <w:lang w:val="en-GB"/>
              </w:rPr>
            </w:pPr>
            <w:r w:rsidRPr="00AA09D0">
              <w:rPr>
                <w:b/>
                <w:vertAlign w:val="superscript"/>
                <w:lang w:val="en-GB"/>
              </w:rPr>
              <w:t>§</w:t>
            </w:r>
            <w:r w:rsidR="007E3CDB">
              <w:rPr>
                <w:b/>
                <w:vertAlign w:val="superscript"/>
                <w:lang w:val="en-GB"/>
              </w:rPr>
              <w:t xml:space="preserve"> </w:t>
            </w:r>
            <w:r w:rsidRPr="00AA09D0">
              <w:rPr>
                <w:lang w:val="en-GB"/>
              </w:rPr>
              <w:t>All responses were partial responses</w:t>
            </w:r>
          </w:p>
          <w:p w14:paraId="69E97A99" w14:textId="768549DB" w:rsidR="006F0F4C" w:rsidRPr="00AA09D0" w:rsidRDefault="006F0F4C" w:rsidP="007E3CDB">
            <w:pPr>
              <w:pStyle w:val="Footer"/>
              <w:rPr>
                <w:lang w:val="en-GB"/>
              </w:rPr>
            </w:pPr>
            <w:r w:rsidRPr="00AA09D0">
              <w:rPr>
                <w:b/>
                <w:vertAlign w:val="superscript"/>
              </w:rPr>
              <w:t>¶</w:t>
            </w:r>
            <w:r w:rsidR="007E3CDB">
              <w:rPr>
                <w:b/>
                <w:vertAlign w:val="superscript"/>
              </w:rPr>
              <w:t xml:space="preserve"> </w:t>
            </w:r>
            <w:r w:rsidRPr="00AA09D0">
              <w:rPr>
                <w:lang w:val="en-GB"/>
              </w:rPr>
              <w:t>Based on patients with a best overall response as confirmed complete or partial response</w:t>
            </w:r>
          </w:p>
          <w:p w14:paraId="3D113BBE" w14:textId="77777777" w:rsidR="006F0F4C" w:rsidRPr="00AA09D0" w:rsidRDefault="006F0F4C" w:rsidP="007E3CDB">
            <w:pPr>
              <w:pStyle w:val="Footer"/>
            </w:pPr>
            <w:r w:rsidRPr="00AA09D0">
              <w:rPr>
                <w:vertAlign w:val="superscript"/>
              </w:rPr>
              <w:t>#</w:t>
            </w:r>
            <w:r w:rsidRPr="00AA09D0">
              <w:tab/>
              <w:t>Includes 3</w:t>
            </w:r>
            <w:r>
              <w:t>0</w:t>
            </w:r>
            <w:r w:rsidRPr="00AA09D0">
              <w:t>, 3</w:t>
            </w:r>
            <w:r>
              <w:t>1</w:t>
            </w:r>
            <w:r w:rsidRPr="00AA09D0">
              <w:t xml:space="preserve">, and </w:t>
            </w:r>
            <w:r>
              <w:t>2</w:t>
            </w:r>
            <w:r w:rsidRPr="00AA09D0">
              <w:t> patients with ongoing responses of 6 months or longer in the KEYTRUDA 2 mg/kg, KEYTRUDA 10 mg/kg, and docetaxel groups respectively</w:t>
            </w:r>
          </w:p>
          <w:p w14:paraId="592DB1AD" w14:textId="77777777" w:rsidR="006F0F4C" w:rsidRPr="00AA09D0" w:rsidRDefault="006F0F4C" w:rsidP="007E3CDB">
            <w:pPr>
              <w:pStyle w:val="Footer"/>
              <w:rPr>
                <w:vertAlign w:val="superscript"/>
                <w:lang w:val="en-GB"/>
              </w:rPr>
            </w:pPr>
            <w:r w:rsidRPr="00AA09D0">
              <w:rPr>
                <w:vertAlign w:val="superscript"/>
              </w:rPr>
              <w:t>Þ</w:t>
            </w:r>
            <w:r w:rsidRPr="00AA09D0">
              <w:rPr>
                <w:vertAlign w:val="superscript"/>
              </w:rPr>
              <w:tab/>
            </w:r>
            <w:r w:rsidRPr="00AA09D0">
              <w:t>Includes 22, 24, and 1 patients with ongoing responses of 6 months or longer in the KEYTRUDA</w:t>
            </w:r>
            <w:r>
              <w:t xml:space="preserve"> 2 mg/kg, KEYTRUDA 10 mg/kg, and docetaxel groups respectively</w:t>
            </w:r>
          </w:p>
        </w:tc>
      </w:tr>
    </w:tbl>
    <w:p w14:paraId="520446CF" w14:textId="726F43E0" w:rsidR="006F0F4C" w:rsidRPr="007E3CDB" w:rsidRDefault="006F0F4C" w:rsidP="007E3CDB">
      <w:pPr>
        <w:pStyle w:val="Caption"/>
      </w:pPr>
      <w:r w:rsidRPr="007E3CDB">
        <w:lastRenderedPageBreak/>
        <w:t xml:space="preserve">Figure 6: Kaplan-Meier Curve for Overall Survival by Treatment Arm in KEYNOTE-010 (TPS </w:t>
      </w:r>
      <w:r w:rsidRPr="007E3CDB">
        <w:sym w:font="Symbol" w:char="F0B3"/>
      </w:r>
      <w:r w:rsidRPr="007E3CDB">
        <w:t xml:space="preserve"> 1%, Intent to Treat Population)</w:t>
      </w:r>
    </w:p>
    <w:p w14:paraId="091D6578" w14:textId="77777777" w:rsidR="006F0F4C" w:rsidRDefault="006F0F4C" w:rsidP="006F0F4C">
      <w:pPr>
        <w:jc w:val="center"/>
        <w:rPr>
          <w:noProof/>
        </w:rPr>
      </w:pPr>
      <w:r>
        <w:rPr>
          <w:noProof/>
        </w:rPr>
        <w:drawing>
          <wp:inline distT="0" distB="0" distL="0" distR="0" wp14:anchorId="3D369C1F" wp14:editId="2155B251">
            <wp:extent cx="5590856" cy="3317358"/>
            <wp:effectExtent l="0" t="0" r="0" b="0"/>
            <wp:docPr id="1" name="Picture 1" descr="Figure 6: Kaplan-Meier Curve for Overall Survival by Treatment Arm in KEYNOTE-010 (TPS ³ 1%, Intent to 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l="14107" t="15561" r="1575" b="19710"/>
                    <a:stretch>
                      <a:fillRect/>
                    </a:stretch>
                  </pic:blipFill>
                  <pic:spPr bwMode="auto">
                    <a:xfrm>
                      <a:off x="0" y="0"/>
                      <a:ext cx="5590856" cy="3317358"/>
                    </a:xfrm>
                    <a:prstGeom prst="rect">
                      <a:avLst/>
                    </a:prstGeom>
                    <a:noFill/>
                    <a:ln>
                      <a:noFill/>
                    </a:ln>
                  </pic:spPr>
                </pic:pic>
              </a:graphicData>
            </a:graphic>
          </wp:inline>
        </w:drawing>
      </w:r>
    </w:p>
    <w:p w14:paraId="6B14D2C3" w14:textId="0A1E0E8C" w:rsidR="006F0F4C" w:rsidRPr="007E3CDB" w:rsidRDefault="006F0F4C" w:rsidP="000B4EB3">
      <w:pPr>
        <w:pStyle w:val="Caption"/>
        <w:spacing w:after="120"/>
      </w:pPr>
      <w:r w:rsidRPr="003265E8">
        <w:rPr>
          <w:lang w:val="en-GB"/>
        </w:rPr>
        <w:t xml:space="preserve">Figure </w:t>
      </w:r>
      <w:r>
        <w:rPr>
          <w:lang w:val="en-GB"/>
        </w:rPr>
        <w:t>7</w:t>
      </w:r>
      <w:r w:rsidRPr="003265E8">
        <w:rPr>
          <w:lang w:val="en-GB"/>
        </w:rPr>
        <w:t>: Kaplan-Meier Curve for Overall Survival by Treatment Arm in</w:t>
      </w:r>
      <w:r w:rsidR="007E3CDB">
        <w:t xml:space="preserve"> </w:t>
      </w:r>
      <w:r w:rsidRPr="003265E8">
        <w:rPr>
          <w:lang w:val="en-GB"/>
        </w:rPr>
        <w:t xml:space="preserve">KEYNOTE-010 (TPS </w:t>
      </w:r>
      <w:r w:rsidRPr="003265E8">
        <w:rPr>
          <w:lang w:val="en-GB"/>
        </w:rPr>
        <w:sym w:font="Symbol" w:char="F0B3"/>
      </w:r>
      <w:r w:rsidRPr="003265E8">
        <w:rPr>
          <w:lang w:val="en-GB"/>
        </w:rPr>
        <w:t xml:space="preserve"> 50%, Intent to Treat Population)</w:t>
      </w:r>
    </w:p>
    <w:p w14:paraId="18E66094" w14:textId="77777777" w:rsidR="006F0F4C" w:rsidRDefault="006F0F4C" w:rsidP="006F0F4C">
      <w:pPr>
        <w:jc w:val="center"/>
        <w:rPr>
          <w:highlight w:val="yellow"/>
        </w:rPr>
      </w:pPr>
      <w:r>
        <w:rPr>
          <w:noProof/>
        </w:rPr>
        <w:drawing>
          <wp:inline distT="0" distB="0" distL="0" distR="0" wp14:anchorId="4AC8DEDB" wp14:editId="6699D6D0">
            <wp:extent cx="5826642" cy="3449676"/>
            <wp:effectExtent l="0" t="0" r="3175" b="0"/>
            <wp:docPr id="4" name="Picture 4" descr="Figure 7: Kaplan-Meier Curve for Overall Survival by Treatment Arm in KEYNOTE-010 (TPS ³ 50%, Intent to 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l="13625" t="15561" r="1736" b="19502"/>
                    <a:stretch>
                      <a:fillRect/>
                    </a:stretch>
                  </pic:blipFill>
                  <pic:spPr bwMode="auto">
                    <a:xfrm>
                      <a:off x="0" y="0"/>
                      <a:ext cx="5826642" cy="3449676"/>
                    </a:xfrm>
                    <a:prstGeom prst="rect">
                      <a:avLst/>
                    </a:prstGeom>
                    <a:noFill/>
                    <a:ln>
                      <a:noFill/>
                    </a:ln>
                  </pic:spPr>
                </pic:pic>
              </a:graphicData>
            </a:graphic>
          </wp:inline>
        </w:drawing>
      </w:r>
    </w:p>
    <w:p w14:paraId="674229AD" w14:textId="77777777" w:rsidR="006F0F4C" w:rsidRDefault="006F0F4C" w:rsidP="006F0F4C">
      <w:pPr>
        <w:rPr>
          <w:rFonts w:cs="Arial"/>
        </w:rPr>
      </w:pPr>
      <w:r>
        <w:rPr>
          <w:rFonts w:cs="Arial"/>
        </w:rPr>
        <w:t xml:space="preserve">Efficacy results were similar for the 2 mg/kg and 10 mg/kg KEYTRUDA arms. </w:t>
      </w:r>
      <w:r w:rsidRPr="00640F08">
        <w:rPr>
          <w:rFonts w:cs="Arial"/>
        </w:rPr>
        <w:t>Efficacy results for OS were consistent regardless of the age of tumour specimen (new versus archival).</w:t>
      </w:r>
    </w:p>
    <w:p w14:paraId="7E59F897" w14:textId="622D3214" w:rsidR="00F844A0" w:rsidRPr="00C34691" w:rsidRDefault="00F844A0" w:rsidP="00126790">
      <w:pPr>
        <w:pStyle w:val="Heading3"/>
      </w:pPr>
      <w:r w:rsidRPr="00C34691">
        <w:t xml:space="preserve">Sub-population analysis of patients with 1% ≤ TPS ≤ 49% in </w:t>
      </w:r>
      <w:r w:rsidRPr="00C34691">
        <w:rPr>
          <w:lang w:val="en-GB"/>
        </w:rPr>
        <w:t>KEYNOTE-010</w:t>
      </w:r>
    </w:p>
    <w:p w14:paraId="5CA2C02D" w14:textId="77777777" w:rsidR="00F844A0" w:rsidRDefault="00F844A0" w:rsidP="00374D70">
      <w:pPr>
        <w:autoSpaceDE w:val="0"/>
        <w:autoSpaceDN w:val="0"/>
        <w:adjustRightInd w:val="0"/>
        <w:rPr>
          <w:rFonts w:cs="Arial"/>
          <w:szCs w:val="22"/>
        </w:rPr>
      </w:pPr>
      <w:r w:rsidRPr="00D96B6C">
        <w:rPr>
          <w:rFonts w:cs="Arial"/>
          <w:noProof/>
          <w:szCs w:val="22"/>
        </w:rPr>
        <w:t xml:space="preserve">A </w:t>
      </w:r>
      <w:r>
        <w:rPr>
          <w:rFonts w:cs="Arial"/>
          <w:noProof/>
          <w:szCs w:val="22"/>
        </w:rPr>
        <w:t>subgroup analysis of KEYNOTE 010</w:t>
      </w:r>
      <w:r w:rsidRPr="00D96B6C">
        <w:rPr>
          <w:rFonts w:cs="Arial"/>
          <w:noProof/>
          <w:szCs w:val="22"/>
        </w:rPr>
        <w:t xml:space="preserve"> in patients</w:t>
      </w:r>
      <w:r>
        <w:rPr>
          <w:rFonts w:cs="Arial"/>
          <w:noProof/>
          <w:szCs w:val="22"/>
        </w:rPr>
        <w:t xml:space="preserve"> with TPS 1-49%</w:t>
      </w:r>
      <w:r w:rsidRPr="00D96B6C">
        <w:rPr>
          <w:rFonts w:cs="Arial"/>
          <w:noProof/>
          <w:szCs w:val="22"/>
        </w:rPr>
        <w:t xml:space="preserve"> was performed. </w:t>
      </w:r>
      <w:r w:rsidR="00374D70" w:rsidRPr="00D96B6C">
        <w:rPr>
          <w:rFonts w:cs="Arial"/>
          <w:noProof/>
          <w:szCs w:val="22"/>
        </w:rPr>
        <w:t xml:space="preserve">The OS HRs for KEYTRUDA vs. </w:t>
      </w:r>
      <w:r w:rsidR="00F751E9">
        <w:rPr>
          <w:rFonts w:cs="Arial"/>
          <w:noProof/>
          <w:szCs w:val="22"/>
        </w:rPr>
        <w:t>d</w:t>
      </w:r>
      <w:r w:rsidR="00374D70">
        <w:rPr>
          <w:rFonts w:cs="Arial"/>
          <w:noProof/>
          <w:szCs w:val="22"/>
        </w:rPr>
        <w:t>ocetaxel</w:t>
      </w:r>
      <w:r w:rsidR="00374D70" w:rsidRPr="00D96B6C">
        <w:rPr>
          <w:rFonts w:cs="Arial"/>
          <w:noProof/>
          <w:szCs w:val="22"/>
        </w:rPr>
        <w:t xml:space="preserve"> were 0.</w:t>
      </w:r>
      <w:r w:rsidR="00374D70">
        <w:rPr>
          <w:rFonts w:cs="Arial"/>
          <w:noProof/>
          <w:szCs w:val="22"/>
        </w:rPr>
        <w:t>79</w:t>
      </w:r>
      <w:r w:rsidR="00374D70" w:rsidRPr="00D96B6C">
        <w:rPr>
          <w:rFonts w:cs="Arial"/>
          <w:noProof/>
          <w:szCs w:val="22"/>
        </w:rPr>
        <w:t xml:space="preserve"> (95% CI: </w:t>
      </w:r>
      <w:r w:rsidR="00374D70">
        <w:rPr>
          <w:rFonts w:cs="Arial"/>
          <w:noProof/>
          <w:szCs w:val="22"/>
        </w:rPr>
        <w:t>0.61,1.04</w:t>
      </w:r>
      <w:r w:rsidR="00374D70" w:rsidRPr="00D96B6C">
        <w:rPr>
          <w:rFonts w:cs="Arial"/>
          <w:noProof/>
          <w:szCs w:val="22"/>
        </w:rPr>
        <w:t xml:space="preserve">) for </w:t>
      </w:r>
      <w:r w:rsidR="00374D70">
        <w:rPr>
          <w:rFonts w:cs="Arial"/>
          <w:noProof/>
          <w:szCs w:val="22"/>
        </w:rPr>
        <w:t>patie</w:t>
      </w:r>
      <w:r w:rsidR="00F751E9">
        <w:rPr>
          <w:rFonts w:cs="Arial"/>
          <w:noProof/>
          <w:szCs w:val="22"/>
        </w:rPr>
        <w:t>nt</w:t>
      </w:r>
      <w:r w:rsidR="00374D70">
        <w:rPr>
          <w:rFonts w:cs="Arial"/>
          <w:noProof/>
          <w:szCs w:val="22"/>
        </w:rPr>
        <w:t>s treated with 2 mg/kg every three weeks</w:t>
      </w:r>
      <w:r w:rsidR="00374D70" w:rsidRPr="00D96B6C">
        <w:rPr>
          <w:rFonts w:cs="Arial"/>
          <w:noProof/>
          <w:szCs w:val="22"/>
        </w:rPr>
        <w:t xml:space="preserve"> </w:t>
      </w:r>
      <w:r w:rsidR="00374D70">
        <w:rPr>
          <w:rFonts w:cs="Arial"/>
          <w:noProof/>
          <w:szCs w:val="22"/>
        </w:rPr>
        <w:t>and 0.71</w:t>
      </w:r>
      <w:r w:rsidR="00374D70" w:rsidRPr="00D96B6C">
        <w:rPr>
          <w:rFonts w:cs="Arial"/>
          <w:noProof/>
          <w:szCs w:val="22"/>
        </w:rPr>
        <w:t xml:space="preserve"> (95% CI: </w:t>
      </w:r>
      <w:r w:rsidR="00374D70">
        <w:rPr>
          <w:rFonts w:cs="Arial"/>
          <w:noProof/>
          <w:szCs w:val="22"/>
        </w:rPr>
        <w:t>0.53, 0.94</w:t>
      </w:r>
      <w:r w:rsidR="00374D70" w:rsidRPr="00D96B6C">
        <w:rPr>
          <w:rFonts w:cs="Arial"/>
          <w:noProof/>
          <w:szCs w:val="22"/>
        </w:rPr>
        <w:t xml:space="preserve">) for </w:t>
      </w:r>
      <w:r w:rsidR="00374D70">
        <w:rPr>
          <w:rFonts w:cs="Arial"/>
          <w:noProof/>
          <w:szCs w:val="22"/>
        </w:rPr>
        <w:t>patien</w:t>
      </w:r>
      <w:r w:rsidR="006C687A">
        <w:rPr>
          <w:rFonts w:cs="Arial"/>
          <w:noProof/>
          <w:szCs w:val="22"/>
        </w:rPr>
        <w:t>t</w:t>
      </w:r>
      <w:r w:rsidR="00374D70">
        <w:rPr>
          <w:rFonts w:cs="Arial"/>
          <w:noProof/>
          <w:szCs w:val="22"/>
        </w:rPr>
        <w:t>s treated with 10 mg/kg every 3 weeks</w:t>
      </w:r>
      <w:r w:rsidR="00F56199">
        <w:rPr>
          <w:rFonts w:cs="Arial"/>
          <w:noProof/>
          <w:szCs w:val="22"/>
        </w:rPr>
        <w:t xml:space="preserve">. </w:t>
      </w:r>
      <w:r w:rsidR="006C687A" w:rsidRPr="006C687A">
        <w:rPr>
          <w:rFonts w:cs="Arial"/>
          <w:noProof/>
          <w:szCs w:val="22"/>
        </w:rPr>
        <w:lastRenderedPageBreak/>
        <w:t>The median OS was 9.4 months (95% CI: 8.7, 10.5), 10.8 mon</w:t>
      </w:r>
      <w:r w:rsidR="006C687A">
        <w:rPr>
          <w:rFonts w:cs="Arial"/>
          <w:noProof/>
          <w:szCs w:val="22"/>
        </w:rPr>
        <w:t>ths (95% CI: 8.9, 13.3) and 8.6 </w:t>
      </w:r>
      <w:r w:rsidR="006C687A" w:rsidRPr="006C687A">
        <w:rPr>
          <w:rFonts w:cs="Arial"/>
          <w:noProof/>
          <w:szCs w:val="22"/>
        </w:rPr>
        <w:t>months (95% CI: 7.8, 9.9) for patients treated with KEYTRUDA 2 mg/kg every three weeks (n=205), 10 mg/kg every three weeks (n=195) and docetaxel (n=191) respectively. The PFS HRs (KEYTRUDA vs. docetaxel) were 1.07 (95% CI: 0.85, 1.34) for patients treated with 2 mg/kg every three weeks and 0.99 (95% CI: 0.78, 1.25) for patients treated with 10 mg/kg every 3 weeks. The median PFS was 3.1 months (95% CI: 2.1, 3.8), 2.3 months (95% CI: 2.1, 4.0) and 3.9 months (95% CI: 2.5, 4.3) for KEYTRUDA 2 mg/kg every three weeks, 10 mg/kg every three weeks and docetaxel respectively. The ORR was 10% (95% CI: 6, 15), 10% (95% CI: 6, 15) and 10% (95% CI: 7, 16) for KEYTRUDA 2 mg/kg every three weeks, 10 mg/kg every three weeks and docetaxel respectively. Furthermore, the median duration of response was 10.6 months (range: 2.1+, 20.1+), 10.4 months (range: 3.0+, 17.1+) a</w:t>
      </w:r>
      <w:r w:rsidR="006C687A">
        <w:rPr>
          <w:rFonts w:cs="Arial"/>
          <w:noProof/>
          <w:szCs w:val="22"/>
        </w:rPr>
        <w:t>nd 6.0 months (range: 1.4+, 7.2</w:t>
      </w:r>
      <w:r w:rsidR="006C687A" w:rsidRPr="006C687A">
        <w:rPr>
          <w:rFonts w:cs="Arial"/>
          <w:noProof/>
          <w:szCs w:val="22"/>
        </w:rPr>
        <w:t>) for KEYTRUDA 2 mg/kg every three weeks, 10 mg/kg every three weeks and docetaxel respectively.</w:t>
      </w:r>
    </w:p>
    <w:p w14:paraId="34CB8872" w14:textId="77777777" w:rsidR="00C34691" w:rsidRPr="00DF0B9D" w:rsidRDefault="00C34691" w:rsidP="00C34691">
      <w:pPr>
        <w:keepNext/>
        <w:spacing w:after="60"/>
        <w:outlineLvl w:val="1"/>
        <w:rPr>
          <w:rFonts w:ascii="Univers" w:hAnsi="Univers"/>
          <w:b/>
          <w:i/>
          <w:noProof/>
          <w:sz w:val="24"/>
          <w:lang w:val="en-GB"/>
        </w:rPr>
      </w:pPr>
      <w:r w:rsidRPr="00DF0B9D">
        <w:rPr>
          <w:rFonts w:ascii="Univers" w:hAnsi="Univers"/>
          <w:b/>
          <w:i/>
          <w:noProof/>
          <w:sz w:val="24"/>
          <w:lang w:val="en-GB"/>
        </w:rPr>
        <w:t>Head and Neck Cancer</w:t>
      </w:r>
    </w:p>
    <w:p w14:paraId="7F3E3F92" w14:textId="0084FB74" w:rsidR="00C34691" w:rsidRDefault="00C34691" w:rsidP="00C34691">
      <w:pPr>
        <w:rPr>
          <w:i/>
          <w:iCs/>
        </w:rPr>
      </w:pPr>
      <w:r w:rsidRPr="00E20D6C">
        <w:rPr>
          <w:szCs w:val="22"/>
        </w:rPr>
        <w:t>KEYTRUDA is approved based on overall response rate and duration of response from two single-arm, open label studies. The results of a randomised, active-controlled, ongoing, phase 3 study are awaited.</w:t>
      </w:r>
    </w:p>
    <w:p w14:paraId="1219D328" w14:textId="77777777" w:rsidR="00C34691" w:rsidRPr="00DF0B9D" w:rsidRDefault="00C34691" w:rsidP="00126790">
      <w:pPr>
        <w:pStyle w:val="Heading3"/>
      </w:pPr>
      <w:r w:rsidRPr="00DF0B9D">
        <w:t>KEYNOTE-012: Open-label study in HNSCC patients previously treated with chemotherapy</w:t>
      </w:r>
    </w:p>
    <w:p w14:paraId="03C65677" w14:textId="77777777" w:rsidR="00C34691" w:rsidRPr="00DF0B9D" w:rsidRDefault="00C34691" w:rsidP="00B02A1C">
      <w:r w:rsidRPr="00DF0B9D">
        <w:t xml:space="preserve">The efficacy of KEYTRUDA was investigated in 192 patients with recurrent and/or metastatic HNSCC, regardless of tumour human papilloma virus (HPV) status (33% positive), enrolled in a multicentre, nonrandomized, open-label multi-cohort study (KEYNOTE-012). One cohort (n=132) was included regardless of PD-L1 tumour status. </w:t>
      </w:r>
      <w:r w:rsidRPr="000111F9">
        <w:t>Efficacy is reported for 174 patients with recurrent and/or metastatic HNSCC that progressed on or after treatment with platinum-containing chemotherapy</w:t>
      </w:r>
      <w:r w:rsidRPr="00DF0B9D">
        <w:t>. Patients with active autoimmune disease or a medical condition that required immunosuppression were ineligible.</w:t>
      </w:r>
    </w:p>
    <w:p w14:paraId="096AD92A" w14:textId="77777777" w:rsidR="00C34691" w:rsidRPr="00DF0B9D" w:rsidRDefault="00C34691" w:rsidP="00B02A1C">
      <w:r w:rsidRPr="00DF0B9D">
        <w:t>Patients received KEYTRUDA 10 mg/kg every 2 weeks (n=53), or 200 mg every 3 weeks (n=121) until disease progression or unacceptable toxicity. Assessment of tumour status was performed every 8 weeks. The major efficacy outcome measures were ORR according to RECIST 1.1, as assessed by blinded independent central review, and duration of response.</w:t>
      </w:r>
    </w:p>
    <w:p w14:paraId="72F90CA7" w14:textId="78CFF9D4" w:rsidR="00C34691" w:rsidRDefault="00C34691" w:rsidP="00B02A1C">
      <w:r w:rsidRPr="001C434E">
        <w:t>Among the 174 patients, the baseline characteristics were median age 60 years (32% age 65 or older); 82% male; 75% White, 16% Asian, and 6% Black; 87% had M1 disease; 33% had HPV positive tumo</w:t>
      </w:r>
      <w:r w:rsidR="00182363">
        <w:t>u</w:t>
      </w:r>
      <w:r w:rsidRPr="001C434E">
        <w:t xml:space="preserve">rs; 63% had prior </w:t>
      </w:r>
      <w:proofErr w:type="spellStart"/>
      <w:r w:rsidRPr="001C434E">
        <w:t>cetuximab</w:t>
      </w:r>
      <w:proofErr w:type="spellEnd"/>
      <w:r w:rsidRPr="001C434E">
        <w:t>; 29% had an ECOG PS of 0 and 71% had an ECOG PS of 1; and the median number of prior lines of therapy administered for the treatment of HNSCC was 2.</w:t>
      </w:r>
    </w:p>
    <w:p w14:paraId="7D8DA663" w14:textId="77777777" w:rsidR="000B4EB3" w:rsidRDefault="00C34691" w:rsidP="00C34691">
      <w:r w:rsidRPr="00DF0B9D">
        <w:t>Efficacy results are summarized in Table </w:t>
      </w:r>
      <w:r>
        <w:t>6</w:t>
      </w:r>
      <w:r w:rsidRPr="00DF0B9D">
        <w:t>.</w:t>
      </w:r>
    </w:p>
    <w:p w14:paraId="52EA965A" w14:textId="3DD05D07" w:rsidR="00C34691" w:rsidRPr="00DF0B9D" w:rsidRDefault="00C34691" w:rsidP="007E3CDB">
      <w:pPr>
        <w:pStyle w:val="Caption"/>
        <w:rPr>
          <w:lang w:val="en-US" w:eastAsia="en-US"/>
        </w:rPr>
      </w:pPr>
      <w:r w:rsidRPr="00DF0B9D">
        <w:rPr>
          <w:lang w:val="en-US" w:eastAsia="en-US"/>
        </w:rPr>
        <w:t xml:space="preserve">Table </w:t>
      </w:r>
      <w:r>
        <w:rPr>
          <w:lang w:val="en-US" w:eastAsia="en-US"/>
        </w:rPr>
        <w:t>6</w:t>
      </w:r>
      <w:r w:rsidRPr="00DF0B9D">
        <w:rPr>
          <w:lang w:val="en-US" w:eastAsia="en-US"/>
        </w:rPr>
        <w:t xml:space="preserve"> Efficacy Results in Patients with HNSCC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Efficacy Results in Patients with HNSCC"/>
      </w:tblPr>
      <w:tblGrid>
        <w:gridCol w:w="3099"/>
        <w:gridCol w:w="3099"/>
      </w:tblGrid>
      <w:tr w:rsidR="00C34691" w:rsidRPr="00DF0B9D" w14:paraId="18EA928F" w14:textId="77777777" w:rsidTr="007E3CDB">
        <w:trPr>
          <w:tblHeader/>
          <w:jc w:val="center"/>
        </w:trPr>
        <w:tc>
          <w:tcPr>
            <w:tcW w:w="3099" w:type="dxa"/>
            <w:shd w:val="clear" w:color="auto" w:fill="auto"/>
          </w:tcPr>
          <w:p w14:paraId="0C96E2D9" w14:textId="77777777" w:rsidR="00C34691" w:rsidRPr="001C434E" w:rsidRDefault="00C34691" w:rsidP="007E3CDB">
            <w:pPr>
              <w:tabs>
                <w:tab w:val="clear" w:pos="-720"/>
                <w:tab w:val="clear" w:pos="4513"/>
                <w:tab w:val="clear" w:pos="10348"/>
              </w:tabs>
              <w:suppressAutoHyphens w:val="0"/>
              <w:spacing w:before="4"/>
              <w:rPr>
                <w:rFonts w:cs="Arial"/>
                <w:strike/>
                <w:sz w:val="20"/>
                <w:szCs w:val="16"/>
                <w:lang w:val="en-US" w:eastAsia="en-US"/>
              </w:rPr>
            </w:pPr>
          </w:p>
        </w:tc>
        <w:tc>
          <w:tcPr>
            <w:tcW w:w="3099" w:type="dxa"/>
          </w:tcPr>
          <w:p w14:paraId="138964BE" w14:textId="77777777" w:rsidR="00C34691" w:rsidRPr="00DF0B9D" w:rsidRDefault="00C34691" w:rsidP="007E3CDB">
            <w:pPr>
              <w:tabs>
                <w:tab w:val="clear" w:pos="-720"/>
                <w:tab w:val="clear" w:pos="4513"/>
                <w:tab w:val="clear" w:pos="10348"/>
              </w:tabs>
              <w:suppressAutoHyphens w:val="0"/>
              <w:spacing w:before="4"/>
              <w:jc w:val="center"/>
              <w:rPr>
                <w:rFonts w:cs="Arial"/>
                <w:sz w:val="20"/>
                <w:szCs w:val="16"/>
                <w:lang w:val="en-US" w:eastAsia="en-US"/>
              </w:rPr>
            </w:pPr>
            <w:r w:rsidRPr="00633128">
              <w:rPr>
                <w:rFonts w:cs="Arial"/>
                <w:sz w:val="20"/>
                <w:lang w:val="en-US" w:eastAsia="en-US"/>
              </w:rPr>
              <w:t>Previously treated with platinum</w:t>
            </w:r>
          </w:p>
        </w:tc>
      </w:tr>
      <w:tr w:rsidR="00C34691" w:rsidRPr="00DF0B9D" w14:paraId="0B7D3EF8" w14:textId="77777777" w:rsidTr="00ED72A3">
        <w:trPr>
          <w:jc w:val="center"/>
        </w:trPr>
        <w:tc>
          <w:tcPr>
            <w:tcW w:w="3099" w:type="dxa"/>
            <w:shd w:val="clear" w:color="auto" w:fill="auto"/>
          </w:tcPr>
          <w:p w14:paraId="7A054100" w14:textId="77777777" w:rsidR="00C34691" w:rsidRPr="001C434E" w:rsidRDefault="00C34691" w:rsidP="007E3CDB">
            <w:pPr>
              <w:tabs>
                <w:tab w:val="clear" w:pos="-720"/>
                <w:tab w:val="clear" w:pos="4513"/>
                <w:tab w:val="clear" w:pos="10348"/>
              </w:tabs>
              <w:suppressAutoHyphens w:val="0"/>
              <w:spacing w:before="4"/>
              <w:rPr>
                <w:rFonts w:cs="Arial"/>
                <w:strike/>
                <w:sz w:val="20"/>
                <w:szCs w:val="16"/>
                <w:lang w:val="en-US" w:eastAsia="en-US"/>
              </w:rPr>
            </w:pPr>
            <w:r w:rsidRPr="00DF0B9D">
              <w:rPr>
                <w:rFonts w:cs="Arial"/>
                <w:b/>
                <w:sz w:val="20"/>
                <w:szCs w:val="16"/>
                <w:lang w:val="en-US" w:eastAsia="en-US"/>
              </w:rPr>
              <w:t>Endpoint</w:t>
            </w:r>
          </w:p>
        </w:tc>
        <w:tc>
          <w:tcPr>
            <w:tcW w:w="3099" w:type="dxa"/>
          </w:tcPr>
          <w:p w14:paraId="369BA106" w14:textId="77777777" w:rsidR="00C34691" w:rsidRPr="00DF0B9D" w:rsidRDefault="00C34691" w:rsidP="007E3CDB">
            <w:pPr>
              <w:tabs>
                <w:tab w:val="clear" w:pos="-720"/>
                <w:tab w:val="clear" w:pos="4513"/>
                <w:tab w:val="clear" w:pos="10348"/>
              </w:tabs>
              <w:suppressAutoHyphens w:val="0"/>
              <w:spacing w:before="4"/>
              <w:jc w:val="center"/>
              <w:rPr>
                <w:rFonts w:cs="Arial"/>
                <w:sz w:val="20"/>
                <w:szCs w:val="16"/>
                <w:lang w:val="en-US" w:eastAsia="en-US"/>
              </w:rPr>
            </w:pPr>
            <w:r w:rsidRPr="00633128">
              <w:rPr>
                <w:rFonts w:cs="Arial"/>
                <w:sz w:val="20"/>
                <w:lang w:val="en-US" w:eastAsia="en-US"/>
              </w:rPr>
              <w:t>n=174</w:t>
            </w:r>
          </w:p>
        </w:tc>
      </w:tr>
      <w:tr w:rsidR="00C34691" w:rsidRPr="00DF0B9D" w14:paraId="442A79F8" w14:textId="77777777" w:rsidTr="00ED72A3">
        <w:trPr>
          <w:jc w:val="center"/>
        </w:trPr>
        <w:tc>
          <w:tcPr>
            <w:tcW w:w="3099" w:type="dxa"/>
            <w:shd w:val="clear" w:color="auto" w:fill="auto"/>
          </w:tcPr>
          <w:p w14:paraId="5EE57720" w14:textId="77777777" w:rsidR="00C34691" w:rsidRPr="001C434E" w:rsidRDefault="00C34691" w:rsidP="007E3CDB">
            <w:pPr>
              <w:tabs>
                <w:tab w:val="clear" w:pos="-720"/>
                <w:tab w:val="clear" w:pos="4513"/>
                <w:tab w:val="clear" w:pos="10348"/>
              </w:tabs>
              <w:suppressAutoHyphens w:val="0"/>
              <w:spacing w:before="4"/>
              <w:rPr>
                <w:rFonts w:cs="Arial"/>
                <w:strike/>
                <w:sz w:val="20"/>
                <w:szCs w:val="16"/>
                <w:lang w:val="en-US" w:eastAsia="en-US"/>
              </w:rPr>
            </w:pPr>
            <w:r w:rsidRPr="00DF0B9D">
              <w:rPr>
                <w:rFonts w:cs="Arial"/>
                <w:b/>
                <w:bCs/>
                <w:sz w:val="20"/>
                <w:szCs w:val="16"/>
                <w:lang w:val="en-US" w:eastAsia="en-US"/>
              </w:rPr>
              <w:t>Objective Response Rate*</w:t>
            </w:r>
          </w:p>
        </w:tc>
        <w:tc>
          <w:tcPr>
            <w:tcW w:w="3099" w:type="dxa"/>
          </w:tcPr>
          <w:p w14:paraId="2417E7F5" w14:textId="77777777" w:rsidR="00C34691" w:rsidRPr="00DF0B9D" w:rsidRDefault="00C34691" w:rsidP="007E3CDB">
            <w:pPr>
              <w:tabs>
                <w:tab w:val="clear" w:pos="-720"/>
                <w:tab w:val="clear" w:pos="4513"/>
                <w:tab w:val="clear" w:pos="10348"/>
              </w:tabs>
              <w:suppressAutoHyphens w:val="0"/>
              <w:spacing w:before="4"/>
              <w:jc w:val="center"/>
              <w:rPr>
                <w:rFonts w:cs="Arial"/>
                <w:sz w:val="20"/>
                <w:szCs w:val="16"/>
                <w:lang w:val="en-US" w:eastAsia="en-US"/>
              </w:rPr>
            </w:pPr>
          </w:p>
        </w:tc>
      </w:tr>
      <w:tr w:rsidR="00C34691" w:rsidRPr="00DF0B9D" w14:paraId="3C5691C0" w14:textId="77777777" w:rsidTr="00ED72A3">
        <w:trPr>
          <w:jc w:val="center"/>
        </w:trPr>
        <w:tc>
          <w:tcPr>
            <w:tcW w:w="3099" w:type="dxa"/>
            <w:shd w:val="clear" w:color="auto" w:fill="auto"/>
          </w:tcPr>
          <w:p w14:paraId="2C960260" w14:textId="77777777" w:rsidR="00C34691" w:rsidRPr="001C434E" w:rsidRDefault="00C34691" w:rsidP="007E3CDB">
            <w:pPr>
              <w:tabs>
                <w:tab w:val="clear" w:pos="-720"/>
                <w:tab w:val="clear" w:pos="4513"/>
                <w:tab w:val="clear" w:pos="10348"/>
              </w:tabs>
              <w:suppressAutoHyphens w:val="0"/>
              <w:spacing w:before="4"/>
              <w:ind w:left="157"/>
              <w:rPr>
                <w:rFonts w:cs="Arial"/>
                <w:strike/>
                <w:sz w:val="20"/>
                <w:szCs w:val="16"/>
                <w:lang w:val="en-US" w:eastAsia="en-US"/>
              </w:rPr>
            </w:pPr>
            <w:r w:rsidRPr="00DF0B9D">
              <w:rPr>
                <w:rFonts w:cs="Arial"/>
                <w:bCs/>
                <w:sz w:val="20"/>
                <w:szCs w:val="16"/>
                <w:lang w:val="en-US" w:eastAsia="en-US"/>
              </w:rPr>
              <w:t>ORR %, (95% CI)</w:t>
            </w:r>
          </w:p>
        </w:tc>
        <w:tc>
          <w:tcPr>
            <w:tcW w:w="3099" w:type="dxa"/>
          </w:tcPr>
          <w:p w14:paraId="11E5EA34" w14:textId="77777777" w:rsidR="00C34691" w:rsidRPr="00DF0B9D" w:rsidRDefault="00C34691" w:rsidP="007E3CDB">
            <w:pPr>
              <w:tabs>
                <w:tab w:val="clear" w:pos="-720"/>
                <w:tab w:val="clear" w:pos="4513"/>
                <w:tab w:val="clear" w:pos="10348"/>
              </w:tabs>
              <w:suppressAutoHyphens w:val="0"/>
              <w:spacing w:before="4"/>
              <w:jc w:val="center"/>
              <w:rPr>
                <w:rFonts w:cs="Arial"/>
                <w:bCs/>
                <w:sz w:val="20"/>
                <w:szCs w:val="16"/>
                <w:lang w:val="en-US" w:eastAsia="en-US"/>
              </w:rPr>
            </w:pPr>
            <w:r w:rsidRPr="00633128">
              <w:rPr>
                <w:rFonts w:cs="Arial"/>
                <w:bCs/>
                <w:sz w:val="20"/>
                <w:lang w:val="en-US" w:eastAsia="en-US"/>
              </w:rPr>
              <w:t>16.1% (11, 22.4)</w:t>
            </w:r>
          </w:p>
        </w:tc>
      </w:tr>
      <w:tr w:rsidR="00C34691" w:rsidRPr="00DF0B9D" w14:paraId="4AC9DC7A" w14:textId="77777777" w:rsidTr="00ED72A3">
        <w:trPr>
          <w:jc w:val="center"/>
        </w:trPr>
        <w:tc>
          <w:tcPr>
            <w:tcW w:w="3099" w:type="dxa"/>
            <w:shd w:val="clear" w:color="auto" w:fill="auto"/>
          </w:tcPr>
          <w:p w14:paraId="602249D1" w14:textId="77777777" w:rsidR="00C34691" w:rsidRPr="001C434E" w:rsidRDefault="00C34691" w:rsidP="007E3CDB">
            <w:pPr>
              <w:tabs>
                <w:tab w:val="clear" w:pos="-720"/>
                <w:tab w:val="clear" w:pos="4513"/>
                <w:tab w:val="clear" w:pos="10348"/>
              </w:tabs>
              <w:suppressAutoHyphens w:val="0"/>
              <w:spacing w:before="4"/>
              <w:ind w:left="299"/>
              <w:rPr>
                <w:rFonts w:cs="Arial"/>
                <w:bCs/>
                <w:strike/>
                <w:sz w:val="20"/>
                <w:szCs w:val="16"/>
                <w:lang w:val="en-US" w:eastAsia="en-US"/>
              </w:rPr>
            </w:pPr>
            <w:r w:rsidRPr="00DF0B9D">
              <w:rPr>
                <w:rFonts w:cs="Arial"/>
                <w:bCs/>
                <w:sz w:val="20"/>
                <w:szCs w:val="16"/>
                <w:lang w:val="en-US" w:eastAsia="en-US"/>
              </w:rPr>
              <w:t>Complete Response</w:t>
            </w:r>
          </w:p>
        </w:tc>
        <w:tc>
          <w:tcPr>
            <w:tcW w:w="3099" w:type="dxa"/>
          </w:tcPr>
          <w:p w14:paraId="1E76B351" w14:textId="77777777" w:rsidR="00C34691" w:rsidRPr="00DF0B9D" w:rsidRDefault="00C34691" w:rsidP="007E3CDB">
            <w:pPr>
              <w:tabs>
                <w:tab w:val="clear" w:pos="-720"/>
                <w:tab w:val="clear" w:pos="4513"/>
                <w:tab w:val="clear" w:pos="10348"/>
              </w:tabs>
              <w:suppressAutoHyphens w:val="0"/>
              <w:spacing w:before="4"/>
              <w:jc w:val="center"/>
              <w:rPr>
                <w:rFonts w:cs="Arial"/>
                <w:bCs/>
                <w:sz w:val="20"/>
                <w:szCs w:val="16"/>
                <w:lang w:val="en-US" w:eastAsia="en-US"/>
              </w:rPr>
            </w:pPr>
            <w:r w:rsidRPr="001C434E">
              <w:rPr>
                <w:rFonts w:cs="Arial"/>
                <w:bCs/>
                <w:sz w:val="20"/>
                <w:lang w:val="en-US" w:eastAsia="en-US"/>
              </w:rPr>
              <w:t>4.6%</w:t>
            </w:r>
          </w:p>
        </w:tc>
      </w:tr>
      <w:tr w:rsidR="00C34691" w:rsidRPr="00DF0B9D" w14:paraId="7C361542" w14:textId="77777777" w:rsidTr="00ED72A3">
        <w:trPr>
          <w:jc w:val="center"/>
        </w:trPr>
        <w:tc>
          <w:tcPr>
            <w:tcW w:w="3099" w:type="dxa"/>
            <w:shd w:val="clear" w:color="auto" w:fill="auto"/>
          </w:tcPr>
          <w:p w14:paraId="3D1C1B0C" w14:textId="77777777" w:rsidR="00C34691" w:rsidRPr="001C434E" w:rsidRDefault="00C34691" w:rsidP="007E3CDB">
            <w:pPr>
              <w:tabs>
                <w:tab w:val="clear" w:pos="-720"/>
                <w:tab w:val="clear" w:pos="4513"/>
                <w:tab w:val="clear" w:pos="10348"/>
              </w:tabs>
              <w:suppressAutoHyphens w:val="0"/>
              <w:spacing w:before="4"/>
              <w:ind w:left="299"/>
              <w:rPr>
                <w:rFonts w:cs="Arial"/>
                <w:bCs/>
                <w:strike/>
                <w:sz w:val="20"/>
                <w:szCs w:val="16"/>
                <w:lang w:val="en-US" w:eastAsia="en-US"/>
              </w:rPr>
            </w:pPr>
            <w:r w:rsidRPr="00DF0B9D">
              <w:rPr>
                <w:rFonts w:cs="Arial"/>
                <w:bCs/>
                <w:sz w:val="20"/>
                <w:szCs w:val="16"/>
                <w:lang w:val="en-US" w:eastAsia="en-US"/>
              </w:rPr>
              <w:t>Partial Response</w:t>
            </w:r>
          </w:p>
        </w:tc>
        <w:tc>
          <w:tcPr>
            <w:tcW w:w="3099" w:type="dxa"/>
          </w:tcPr>
          <w:p w14:paraId="7A467652" w14:textId="77777777" w:rsidR="00C34691" w:rsidRPr="00DF0B9D" w:rsidRDefault="00C34691" w:rsidP="007E3CDB">
            <w:pPr>
              <w:tabs>
                <w:tab w:val="clear" w:pos="-720"/>
                <w:tab w:val="clear" w:pos="4513"/>
                <w:tab w:val="clear" w:pos="10348"/>
              </w:tabs>
              <w:suppressAutoHyphens w:val="0"/>
              <w:spacing w:before="4"/>
              <w:jc w:val="center"/>
              <w:rPr>
                <w:rFonts w:cs="Arial"/>
                <w:bCs/>
                <w:sz w:val="20"/>
                <w:szCs w:val="16"/>
                <w:lang w:val="en-US" w:eastAsia="en-US"/>
              </w:rPr>
            </w:pPr>
            <w:r w:rsidRPr="001C434E">
              <w:rPr>
                <w:rFonts w:cs="Arial"/>
                <w:bCs/>
                <w:sz w:val="20"/>
                <w:lang w:val="en-US" w:eastAsia="en-US"/>
              </w:rPr>
              <w:t>11.5%</w:t>
            </w:r>
          </w:p>
        </w:tc>
      </w:tr>
      <w:tr w:rsidR="00C34691" w:rsidRPr="00DF0B9D" w14:paraId="26976AA2" w14:textId="77777777" w:rsidTr="00ED72A3">
        <w:trPr>
          <w:jc w:val="center"/>
        </w:trPr>
        <w:tc>
          <w:tcPr>
            <w:tcW w:w="3099" w:type="dxa"/>
            <w:shd w:val="clear" w:color="auto" w:fill="auto"/>
          </w:tcPr>
          <w:p w14:paraId="41DA6D5A" w14:textId="77777777" w:rsidR="00C34691" w:rsidRPr="001C434E" w:rsidRDefault="00C34691" w:rsidP="007E3CDB">
            <w:pPr>
              <w:tabs>
                <w:tab w:val="clear" w:pos="-720"/>
                <w:tab w:val="clear" w:pos="4513"/>
                <w:tab w:val="clear" w:pos="10348"/>
              </w:tabs>
              <w:suppressAutoHyphens w:val="0"/>
              <w:spacing w:before="4"/>
              <w:rPr>
                <w:rFonts w:cs="Arial"/>
                <w:strike/>
                <w:sz w:val="20"/>
                <w:szCs w:val="16"/>
                <w:lang w:val="en-US" w:eastAsia="en-US"/>
              </w:rPr>
            </w:pPr>
            <w:r w:rsidRPr="00DF0B9D">
              <w:rPr>
                <w:rFonts w:cs="Arial"/>
                <w:b/>
                <w:bCs/>
                <w:sz w:val="20"/>
                <w:szCs w:val="16"/>
                <w:lang w:val="en-US" w:eastAsia="en-US"/>
              </w:rPr>
              <w:t>Response Duration</w:t>
            </w:r>
          </w:p>
        </w:tc>
        <w:tc>
          <w:tcPr>
            <w:tcW w:w="3099" w:type="dxa"/>
          </w:tcPr>
          <w:p w14:paraId="73A1F095" w14:textId="77777777" w:rsidR="00C34691" w:rsidRPr="00DF0B9D" w:rsidRDefault="00C34691" w:rsidP="007E3CDB">
            <w:pPr>
              <w:tabs>
                <w:tab w:val="clear" w:pos="-720"/>
                <w:tab w:val="clear" w:pos="4513"/>
                <w:tab w:val="clear" w:pos="10348"/>
              </w:tabs>
              <w:suppressAutoHyphens w:val="0"/>
              <w:spacing w:before="4"/>
              <w:jc w:val="center"/>
              <w:rPr>
                <w:rFonts w:cs="Arial"/>
                <w:sz w:val="20"/>
                <w:szCs w:val="16"/>
                <w:lang w:val="en-US" w:eastAsia="en-US"/>
              </w:rPr>
            </w:pPr>
          </w:p>
        </w:tc>
      </w:tr>
      <w:tr w:rsidR="00C34691" w:rsidRPr="00DF0B9D" w14:paraId="1954C3B7" w14:textId="77777777" w:rsidTr="00ED72A3">
        <w:trPr>
          <w:jc w:val="center"/>
        </w:trPr>
        <w:tc>
          <w:tcPr>
            <w:tcW w:w="3099" w:type="dxa"/>
            <w:shd w:val="clear" w:color="auto" w:fill="auto"/>
          </w:tcPr>
          <w:p w14:paraId="19E28EEA" w14:textId="77777777" w:rsidR="00C34691" w:rsidRPr="001C434E" w:rsidRDefault="00C34691" w:rsidP="007E3CDB">
            <w:pPr>
              <w:tabs>
                <w:tab w:val="clear" w:pos="-720"/>
                <w:tab w:val="clear" w:pos="4513"/>
                <w:tab w:val="clear" w:pos="10348"/>
              </w:tabs>
              <w:suppressAutoHyphens w:val="0"/>
              <w:spacing w:before="4"/>
              <w:ind w:left="157"/>
              <w:rPr>
                <w:rFonts w:cs="Arial"/>
                <w:bCs/>
                <w:strike/>
                <w:sz w:val="20"/>
                <w:szCs w:val="16"/>
                <w:lang w:val="en-US" w:eastAsia="en-US"/>
              </w:rPr>
            </w:pPr>
            <w:r w:rsidRPr="00DF0B9D">
              <w:rPr>
                <w:rFonts w:cs="Arial"/>
                <w:bCs/>
                <w:sz w:val="20"/>
                <w:szCs w:val="16"/>
                <w:lang w:val="en-US" w:eastAsia="en-US"/>
              </w:rPr>
              <w:t>Median in months (range)</w:t>
            </w:r>
          </w:p>
        </w:tc>
        <w:tc>
          <w:tcPr>
            <w:tcW w:w="3099" w:type="dxa"/>
          </w:tcPr>
          <w:p w14:paraId="2391541E" w14:textId="77777777" w:rsidR="00C34691" w:rsidRPr="00DF0B9D" w:rsidRDefault="00C34691" w:rsidP="007E3CDB">
            <w:pPr>
              <w:tabs>
                <w:tab w:val="clear" w:pos="-720"/>
                <w:tab w:val="clear" w:pos="4513"/>
                <w:tab w:val="clear" w:pos="10348"/>
              </w:tabs>
              <w:suppressAutoHyphens w:val="0"/>
              <w:spacing w:before="4"/>
              <w:jc w:val="center"/>
              <w:rPr>
                <w:rFonts w:cs="Arial"/>
                <w:bCs/>
                <w:sz w:val="20"/>
                <w:szCs w:val="16"/>
                <w:lang w:val="en-US" w:eastAsia="en-US"/>
              </w:rPr>
            </w:pPr>
            <w:r w:rsidRPr="00633128">
              <w:rPr>
                <w:rFonts w:cs="Arial"/>
                <w:bCs/>
                <w:sz w:val="20"/>
                <w:lang w:val="en-US" w:eastAsia="en-US"/>
              </w:rPr>
              <w:t>Not Reached (2.4+, 27.7+)</w:t>
            </w:r>
            <w:r w:rsidRPr="00633128">
              <w:rPr>
                <w:rFonts w:cs="Arial"/>
                <w:bCs/>
                <w:sz w:val="20"/>
                <w:vertAlign w:val="superscript"/>
                <w:lang w:val="en-US" w:eastAsia="en-US"/>
              </w:rPr>
              <w:t>†</w:t>
            </w:r>
          </w:p>
        </w:tc>
      </w:tr>
      <w:tr w:rsidR="00C34691" w:rsidRPr="00DF0B9D" w14:paraId="1F7F8F92" w14:textId="77777777" w:rsidTr="00ED72A3">
        <w:trPr>
          <w:jc w:val="center"/>
        </w:trPr>
        <w:tc>
          <w:tcPr>
            <w:tcW w:w="3099" w:type="dxa"/>
            <w:shd w:val="clear" w:color="auto" w:fill="auto"/>
          </w:tcPr>
          <w:p w14:paraId="63E4FB86" w14:textId="77777777" w:rsidR="00C34691" w:rsidRPr="001C434E" w:rsidRDefault="00C34691" w:rsidP="007E3CDB">
            <w:pPr>
              <w:tabs>
                <w:tab w:val="clear" w:pos="-720"/>
                <w:tab w:val="clear" w:pos="4513"/>
                <w:tab w:val="clear" w:pos="10348"/>
              </w:tabs>
              <w:suppressAutoHyphens w:val="0"/>
              <w:spacing w:before="4"/>
              <w:ind w:left="157"/>
              <w:rPr>
                <w:rFonts w:cs="Arial"/>
                <w:bCs/>
                <w:strike/>
                <w:sz w:val="20"/>
                <w:szCs w:val="16"/>
                <w:lang w:val="en-US" w:eastAsia="en-US"/>
              </w:rPr>
            </w:pPr>
            <w:r w:rsidRPr="00DF0B9D">
              <w:rPr>
                <w:rFonts w:cs="Arial"/>
                <w:bCs/>
                <w:sz w:val="20"/>
                <w:szCs w:val="16"/>
                <w:lang w:val="en-US" w:eastAsia="en-US"/>
              </w:rPr>
              <w:t>% with duration ≥ 6-months</w:t>
            </w:r>
          </w:p>
        </w:tc>
        <w:tc>
          <w:tcPr>
            <w:tcW w:w="3099" w:type="dxa"/>
          </w:tcPr>
          <w:p w14:paraId="62923EC9" w14:textId="77777777" w:rsidR="00C34691" w:rsidRPr="00DF0B9D" w:rsidRDefault="00C34691" w:rsidP="007E3CDB">
            <w:pPr>
              <w:tabs>
                <w:tab w:val="clear" w:pos="-720"/>
                <w:tab w:val="clear" w:pos="4513"/>
                <w:tab w:val="clear" w:pos="10348"/>
              </w:tabs>
              <w:suppressAutoHyphens w:val="0"/>
              <w:spacing w:before="4"/>
              <w:jc w:val="center"/>
              <w:rPr>
                <w:rFonts w:cs="Arial"/>
                <w:bCs/>
                <w:sz w:val="20"/>
                <w:szCs w:val="16"/>
                <w:lang w:val="en-US" w:eastAsia="en-US"/>
              </w:rPr>
            </w:pPr>
            <w:r w:rsidRPr="00633128">
              <w:rPr>
                <w:rFonts w:cs="Arial"/>
                <w:bCs/>
                <w:sz w:val="20"/>
                <w:lang w:val="en-US" w:eastAsia="en-US"/>
              </w:rPr>
              <w:t>85%</w:t>
            </w:r>
            <w:r w:rsidRPr="00DF0B9D">
              <w:rPr>
                <w:rFonts w:cs="Arial"/>
                <w:bCs/>
                <w:sz w:val="20"/>
                <w:szCs w:val="16"/>
                <w:vertAlign w:val="superscript"/>
              </w:rPr>
              <w:t>¶</w:t>
            </w:r>
          </w:p>
        </w:tc>
      </w:tr>
      <w:tr w:rsidR="00C34691" w:rsidRPr="00DF0B9D" w14:paraId="4D94731D" w14:textId="77777777" w:rsidTr="00ED72A3">
        <w:trPr>
          <w:jc w:val="center"/>
        </w:trPr>
        <w:tc>
          <w:tcPr>
            <w:tcW w:w="3099" w:type="dxa"/>
            <w:shd w:val="clear" w:color="auto" w:fill="auto"/>
          </w:tcPr>
          <w:p w14:paraId="7BB392C0" w14:textId="77777777" w:rsidR="00C34691" w:rsidRPr="001C434E" w:rsidRDefault="00C34691" w:rsidP="007E3CDB">
            <w:pPr>
              <w:tabs>
                <w:tab w:val="clear" w:pos="-720"/>
                <w:tab w:val="clear" w:pos="4513"/>
                <w:tab w:val="clear" w:pos="10348"/>
              </w:tabs>
              <w:suppressAutoHyphens w:val="0"/>
              <w:spacing w:before="4"/>
              <w:rPr>
                <w:rFonts w:cs="Arial"/>
                <w:strike/>
                <w:sz w:val="20"/>
                <w:szCs w:val="16"/>
                <w:lang w:val="en-US" w:eastAsia="en-US"/>
              </w:rPr>
            </w:pPr>
            <w:r w:rsidRPr="00DF0B9D">
              <w:rPr>
                <w:rFonts w:cs="Arial"/>
                <w:b/>
                <w:bCs/>
                <w:sz w:val="20"/>
                <w:szCs w:val="16"/>
                <w:lang w:val="en-US" w:eastAsia="en-US"/>
              </w:rPr>
              <w:t>Time to Response</w:t>
            </w:r>
          </w:p>
        </w:tc>
        <w:tc>
          <w:tcPr>
            <w:tcW w:w="3099" w:type="dxa"/>
          </w:tcPr>
          <w:p w14:paraId="3311D13A" w14:textId="77777777" w:rsidR="00C34691" w:rsidRPr="00DF0B9D" w:rsidRDefault="00C34691" w:rsidP="007E3CDB">
            <w:pPr>
              <w:tabs>
                <w:tab w:val="clear" w:pos="-720"/>
                <w:tab w:val="clear" w:pos="4513"/>
                <w:tab w:val="clear" w:pos="10348"/>
              </w:tabs>
              <w:suppressAutoHyphens w:val="0"/>
              <w:spacing w:before="4"/>
              <w:jc w:val="center"/>
              <w:rPr>
                <w:rFonts w:cs="Arial"/>
                <w:sz w:val="20"/>
                <w:szCs w:val="16"/>
                <w:lang w:val="en-US" w:eastAsia="en-US"/>
              </w:rPr>
            </w:pPr>
          </w:p>
        </w:tc>
      </w:tr>
      <w:tr w:rsidR="00C34691" w:rsidRPr="00DF0B9D" w14:paraId="45B88E2D" w14:textId="77777777" w:rsidTr="00ED72A3">
        <w:trPr>
          <w:jc w:val="center"/>
        </w:trPr>
        <w:tc>
          <w:tcPr>
            <w:tcW w:w="3099" w:type="dxa"/>
            <w:shd w:val="clear" w:color="auto" w:fill="auto"/>
          </w:tcPr>
          <w:p w14:paraId="5310FF98" w14:textId="77777777" w:rsidR="00C34691" w:rsidRPr="001C434E" w:rsidRDefault="00C34691" w:rsidP="007E3CDB">
            <w:pPr>
              <w:tabs>
                <w:tab w:val="clear" w:pos="-720"/>
                <w:tab w:val="clear" w:pos="4513"/>
                <w:tab w:val="clear" w:pos="10348"/>
              </w:tabs>
              <w:suppressAutoHyphens w:val="0"/>
              <w:spacing w:before="4"/>
              <w:ind w:left="157"/>
              <w:rPr>
                <w:rFonts w:cs="Arial"/>
                <w:bCs/>
                <w:strike/>
                <w:sz w:val="20"/>
                <w:szCs w:val="16"/>
                <w:lang w:val="en-US" w:eastAsia="en-US"/>
              </w:rPr>
            </w:pPr>
            <w:r w:rsidRPr="00DF0B9D">
              <w:rPr>
                <w:rFonts w:cs="Arial"/>
                <w:bCs/>
                <w:sz w:val="20"/>
                <w:szCs w:val="16"/>
                <w:lang w:val="en-US" w:eastAsia="en-US"/>
              </w:rPr>
              <w:t>Median in months (range)</w:t>
            </w:r>
          </w:p>
        </w:tc>
        <w:tc>
          <w:tcPr>
            <w:tcW w:w="3099" w:type="dxa"/>
          </w:tcPr>
          <w:p w14:paraId="4E2A3ED0" w14:textId="77777777" w:rsidR="00C34691" w:rsidRPr="00DF0B9D" w:rsidRDefault="00C34691" w:rsidP="007E3CDB">
            <w:pPr>
              <w:tabs>
                <w:tab w:val="clear" w:pos="-720"/>
                <w:tab w:val="clear" w:pos="4513"/>
                <w:tab w:val="clear" w:pos="10348"/>
              </w:tabs>
              <w:suppressAutoHyphens w:val="0"/>
              <w:spacing w:before="4"/>
              <w:jc w:val="center"/>
              <w:rPr>
                <w:rFonts w:cs="Arial"/>
                <w:bCs/>
                <w:sz w:val="20"/>
                <w:szCs w:val="16"/>
                <w:lang w:val="en-US" w:eastAsia="en-US"/>
              </w:rPr>
            </w:pPr>
            <w:r w:rsidRPr="00633128">
              <w:rPr>
                <w:rFonts w:cs="Arial"/>
                <w:bCs/>
                <w:sz w:val="20"/>
                <w:lang w:val="en-US" w:eastAsia="en-US"/>
              </w:rPr>
              <w:t>2.9 (1.6, 16.7)</w:t>
            </w:r>
            <w:r w:rsidRPr="00633128">
              <w:rPr>
                <w:rFonts w:cs="Arial"/>
                <w:bCs/>
                <w:sz w:val="20"/>
                <w:vertAlign w:val="superscript"/>
                <w:lang w:val="en-US" w:eastAsia="en-US"/>
              </w:rPr>
              <w:t>†</w:t>
            </w:r>
          </w:p>
        </w:tc>
      </w:tr>
      <w:tr w:rsidR="00C34691" w:rsidRPr="00DF0B9D" w14:paraId="139D041E" w14:textId="77777777" w:rsidTr="00ED72A3">
        <w:trPr>
          <w:jc w:val="center"/>
        </w:trPr>
        <w:tc>
          <w:tcPr>
            <w:tcW w:w="3099" w:type="dxa"/>
            <w:shd w:val="clear" w:color="auto" w:fill="auto"/>
          </w:tcPr>
          <w:p w14:paraId="54331B4E" w14:textId="77777777" w:rsidR="00C34691" w:rsidRPr="001C434E" w:rsidRDefault="00C34691" w:rsidP="007E3CDB">
            <w:pPr>
              <w:tabs>
                <w:tab w:val="clear" w:pos="-720"/>
                <w:tab w:val="clear" w:pos="4513"/>
                <w:tab w:val="clear" w:pos="10348"/>
              </w:tabs>
              <w:suppressAutoHyphens w:val="0"/>
              <w:spacing w:before="4"/>
              <w:rPr>
                <w:rFonts w:cs="Arial"/>
                <w:strike/>
                <w:sz w:val="20"/>
                <w:szCs w:val="16"/>
                <w:lang w:val="en-US" w:eastAsia="en-US"/>
              </w:rPr>
            </w:pPr>
            <w:r w:rsidRPr="00DF0B9D">
              <w:rPr>
                <w:rFonts w:cs="Arial"/>
                <w:b/>
                <w:bCs/>
                <w:sz w:val="20"/>
                <w:szCs w:val="16"/>
                <w:lang w:val="en-US" w:eastAsia="en-US"/>
              </w:rPr>
              <w:lastRenderedPageBreak/>
              <w:t>PFS</w:t>
            </w:r>
            <w:r w:rsidRPr="00DF0B9D">
              <w:rPr>
                <w:rFonts w:cs="Arial"/>
                <w:sz w:val="20"/>
                <w:szCs w:val="16"/>
                <w:lang w:val="en-US" w:eastAsia="en-US"/>
              </w:rPr>
              <w:t>*</w:t>
            </w:r>
          </w:p>
        </w:tc>
        <w:tc>
          <w:tcPr>
            <w:tcW w:w="3099" w:type="dxa"/>
          </w:tcPr>
          <w:p w14:paraId="47AB59B3" w14:textId="77777777" w:rsidR="00C34691" w:rsidRPr="00DF0B9D" w:rsidRDefault="00C34691" w:rsidP="007E3CDB">
            <w:pPr>
              <w:tabs>
                <w:tab w:val="clear" w:pos="-720"/>
                <w:tab w:val="clear" w:pos="4513"/>
                <w:tab w:val="clear" w:pos="10348"/>
              </w:tabs>
              <w:suppressAutoHyphens w:val="0"/>
              <w:spacing w:before="4"/>
              <w:jc w:val="center"/>
              <w:rPr>
                <w:rFonts w:cs="Arial"/>
                <w:sz w:val="20"/>
                <w:szCs w:val="16"/>
                <w:lang w:val="en-US" w:eastAsia="en-US"/>
              </w:rPr>
            </w:pPr>
          </w:p>
        </w:tc>
      </w:tr>
      <w:tr w:rsidR="00C34691" w:rsidRPr="00DF0B9D" w14:paraId="369F1B05" w14:textId="77777777" w:rsidTr="00ED72A3">
        <w:trPr>
          <w:jc w:val="center"/>
        </w:trPr>
        <w:tc>
          <w:tcPr>
            <w:tcW w:w="3099" w:type="dxa"/>
            <w:shd w:val="clear" w:color="auto" w:fill="auto"/>
          </w:tcPr>
          <w:p w14:paraId="09B3AF72" w14:textId="77777777" w:rsidR="00C34691" w:rsidRPr="001C434E" w:rsidRDefault="00C34691" w:rsidP="007E3CDB">
            <w:pPr>
              <w:tabs>
                <w:tab w:val="clear" w:pos="-720"/>
                <w:tab w:val="clear" w:pos="4513"/>
                <w:tab w:val="clear" w:pos="10348"/>
              </w:tabs>
              <w:suppressAutoHyphens w:val="0"/>
              <w:spacing w:before="4"/>
              <w:ind w:left="157"/>
              <w:rPr>
                <w:rFonts w:cs="Arial"/>
                <w:bCs/>
                <w:strike/>
                <w:sz w:val="20"/>
                <w:szCs w:val="16"/>
                <w:lang w:val="en-US" w:eastAsia="en-US"/>
              </w:rPr>
            </w:pPr>
            <w:r w:rsidRPr="00DF0B9D">
              <w:rPr>
                <w:rFonts w:cs="Arial"/>
                <w:bCs/>
                <w:sz w:val="20"/>
                <w:szCs w:val="16"/>
                <w:lang w:val="en-US" w:eastAsia="en-US"/>
              </w:rPr>
              <w:t>Median in months (95% CI)</w:t>
            </w:r>
          </w:p>
        </w:tc>
        <w:tc>
          <w:tcPr>
            <w:tcW w:w="3099" w:type="dxa"/>
          </w:tcPr>
          <w:p w14:paraId="4D5E52E6" w14:textId="77777777" w:rsidR="00C34691" w:rsidRPr="00DF0B9D" w:rsidRDefault="00C34691" w:rsidP="007E3CDB">
            <w:pPr>
              <w:tabs>
                <w:tab w:val="clear" w:pos="-720"/>
                <w:tab w:val="clear" w:pos="4513"/>
                <w:tab w:val="clear" w:pos="10348"/>
              </w:tabs>
              <w:suppressAutoHyphens w:val="0"/>
              <w:spacing w:before="4"/>
              <w:jc w:val="center"/>
              <w:rPr>
                <w:rFonts w:cs="Arial"/>
                <w:bCs/>
                <w:sz w:val="20"/>
                <w:szCs w:val="16"/>
                <w:lang w:val="en-US" w:eastAsia="en-US"/>
              </w:rPr>
            </w:pPr>
            <w:r w:rsidRPr="00633128">
              <w:rPr>
                <w:rFonts w:cs="Arial"/>
                <w:bCs/>
                <w:sz w:val="20"/>
                <w:lang w:val="en-US" w:eastAsia="en-US"/>
              </w:rPr>
              <w:t>2 (1.9, 2.1)</w:t>
            </w:r>
          </w:p>
        </w:tc>
      </w:tr>
      <w:tr w:rsidR="00C34691" w:rsidRPr="00DF0B9D" w14:paraId="74711B8E" w14:textId="77777777" w:rsidTr="00ED72A3">
        <w:trPr>
          <w:jc w:val="center"/>
        </w:trPr>
        <w:tc>
          <w:tcPr>
            <w:tcW w:w="3099" w:type="dxa"/>
            <w:shd w:val="clear" w:color="auto" w:fill="auto"/>
          </w:tcPr>
          <w:p w14:paraId="10DC6403" w14:textId="77777777" w:rsidR="00C34691" w:rsidRPr="001C434E" w:rsidRDefault="00C34691" w:rsidP="007E3CDB">
            <w:pPr>
              <w:tabs>
                <w:tab w:val="clear" w:pos="-720"/>
                <w:tab w:val="clear" w:pos="4513"/>
                <w:tab w:val="clear" w:pos="10348"/>
              </w:tabs>
              <w:suppressAutoHyphens w:val="0"/>
              <w:spacing w:before="4"/>
              <w:ind w:left="157"/>
              <w:rPr>
                <w:rFonts w:cs="Arial"/>
                <w:bCs/>
                <w:strike/>
                <w:sz w:val="20"/>
                <w:szCs w:val="16"/>
                <w:lang w:val="en-US" w:eastAsia="en-US"/>
              </w:rPr>
            </w:pPr>
            <w:r w:rsidRPr="00DF0B9D">
              <w:rPr>
                <w:rFonts w:cs="Arial"/>
                <w:bCs/>
                <w:sz w:val="20"/>
                <w:szCs w:val="16"/>
                <w:lang w:val="en-US" w:eastAsia="en-US"/>
              </w:rPr>
              <w:t>6-month PFS rate</w:t>
            </w:r>
          </w:p>
        </w:tc>
        <w:tc>
          <w:tcPr>
            <w:tcW w:w="3099" w:type="dxa"/>
          </w:tcPr>
          <w:p w14:paraId="71F58EB8" w14:textId="77777777" w:rsidR="00C34691" w:rsidRPr="00DF0B9D" w:rsidRDefault="00C34691" w:rsidP="007E3CDB">
            <w:pPr>
              <w:tabs>
                <w:tab w:val="clear" w:pos="-720"/>
                <w:tab w:val="clear" w:pos="4513"/>
                <w:tab w:val="clear" w:pos="10348"/>
              </w:tabs>
              <w:suppressAutoHyphens w:val="0"/>
              <w:spacing w:before="4"/>
              <w:jc w:val="center"/>
              <w:rPr>
                <w:rFonts w:cs="Arial"/>
                <w:bCs/>
                <w:sz w:val="20"/>
                <w:szCs w:val="16"/>
                <w:lang w:val="en-US" w:eastAsia="en-US"/>
              </w:rPr>
            </w:pPr>
            <w:r w:rsidRPr="00633128">
              <w:rPr>
                <w:rFonts w:cs="Arial"/>
                <w:bCs/>
                <w:sz w:val="20"/>
                <w:lang w:val="en-US" w:eastAsia="en-US"/>
              </w:rPr>
              <w:t>24.3%</w:t>
            </w:r>
          </w:p>
        </w:tc>
      </w:tr>
      <w:tr w:rsidR="00C34691" w:rsidRPr="00DF0B9D" w14:paraId="05F94E1A" w14:textId="77777777" w:rsidTr="00ED72A3">
        <w:trPr>
          <w:jc w:val="center"/>
        </w:trPr>
        <w:tc>
          <w:tcPr>
            <w:tcW w:w="3099" w:type="dxa"/>
            <w:shd w:val="clear" w:color="auto" w:fill="auto"/>
          </w:tcPr>
          <w:p w14:paraId="323B1A63" w14:textId="77777777" w:rsidR="00C34691" w:rsidRPr="001C434E" w:rsidRDefault="00C34691" w:rsidP="007E3CDB">
            <w:pPr>
              <w:tabs>
                <w:tab w:val="clear" w:pos="-720"/>
                <w:tab w:val="clear" w:pos="4513"/>
                <w:tab w:val="clear" w:pos="10348"/>
              </w:tabs>
              <w:suppressAutoHyphens w:val="0"/>
              <w:spacing w:before="4"/>
              <w:rPr>
                <w:rFonts w:cs="Arial"/>
                <w:strike/>
                <w:sz w:val="20"/>
                <w:szCs w:val="16"/>
                <w:lang w:val="en-US" w:eastAsia="en-US"/>
              </w:rPr>
            </w:pPr>
            <w:r w:rsidRPr="00DF0B9D">
              <w:rPr>
                <w:rFonts w:cs="Arial"/>
                <w:b/>
                <w:bCs/>
                <w:sz w:val="20"/>
                <w:szCs w:val="16"/>
                <w:lang w:val="en-US" w:eastAsia="en-US"/>
              </w:rPr>
              <w:t>OS</w:t>
            </w:r>
            <w:r w:rsidRPr="00DF0B9D">
              <w:rPr>
                <w:rFonts w:cs="Arial"/>
                <w:sz w:val="20"/>
                <w:szCs w:val="16"/>
                <w:lang w:val="en-US" w:eastAsia="en-US"/>
              </w:rPr>
              <w:t>*</w:t>
            </w:r>
          </w:p>
        </w:tc>
        <w:tc>
          <w:tcPr>
            <w:tcW w:w="3099" w:type="dxa"/>
          </w:tcPr>
          <w:p w14:paraId="20700EED" w14:textId="77777777" w:rsidR="00C34691" w:rsidRPr="00DF0B9D" w:rsidRDefault="00C34691" w:rsidP="007E3CDB">
            <w:pPr>
              <w:tabs>
                <w:tab w:val="clear" w:pos="-720"/>
                <w:tab w:val="clear" w:pos="4513"/>
                <w:tab w:val="clear" w:pos="10348"/>
              </w:tabs>
              <w:suppressAutoHyphens w:val="0"/>
              <w:spacing w:before="4"/>
              <w:jc w:val="center"/>
              <w:rPr>
                <w:rFonts w:cs="Arial"/>
                <w:sz w:val="20"/>
                <w:szCs w:val="16"/>
                <w:lang w:val="en-US" w:eastAsia="en-US"/>
              </w:rPr>
            </w:pPr>
          </w:p>
        </w:tc>
      </w:tr>
      <w:tr w:rsidR="00C34691" w:rsidRPr="00DF0B9D" w14:paraId="23E5C8E5" w14:textId="77777777" w:rsidTr="00ED72A3">
        <w:trPr>
          <w:jc w:val="center"/>
        </w:trPr>
        <w:tc>
          <w:tcPr>
            <w:tcW w:w="3099" w:type="dxa"/>
            <w:shd w:val="clear" w:color="auto" w:fill="auto"/>
          </w:tcPr>
          <w:p w14:paraId="4835F12B" w14:textId="77777777" w:rsidR="00C34691" w:rsidRPr="001C434E" w:rsidRDefault="00C34691" w:rsidP="007E3CDB">
            <w:pPr>
              <w:tabs>
                <w:tab w:val="clear" w:pos="-720"/>
                <w:tab w:val="clear" w:pos="4513"/>
                <w:tab w:val="clear" w:pos="10348"/>
              </w:tabs>
              <w:suppressAutoHyphens w:val="0"/>
              <w:spacing w:before="4"/>
              <w:ind w:left="157"/>
              <w:rPr>
                <w:rFonts w:cs="Arial"/>
                <w:strike/>
                <w:sz w:val="20"/>
                <w:szCs w:val="16"/>
                <w:lang w:val="en-US" w:eastAsia="en-US"/>
              </w:rPr>
            </w:pPr>
            <w:r w:rsidRPr="001C434E">
              <w:rPr>
                <w:rFonts w:cs="Arial"/>
                <w:bCs/>
                <w:sz w:val="20"/>
                <w:szCs w:val="16"/>
                <w:lang w:val="en-US" w:eastAsia="en-US"/>
              </w:rPr>
              <w:t>Median in months (95% CI)</w:t>
            </w:r>
          </w:p>
        </w:tc>
        <w:tc>
          <w:tcPr>
            <w:tcW w:w="3099" w:type="dxa"/>
          </w:tcPr>
          <w:p w14:paraId="5871E186" w14:textId="77777777" w:rsidR="00C34691" w:rsidRPr="00DF0B9D" w:rsidRDefault="00C34691" w:rsidP="007E3CDB">
            <w:pPr>
              <w:tabs>
                <w:tab w:val="clear" w:pos="-720"/>
                <w:tab w:val="clear" w:pos="4513"/>
                <w:tab w:val="clear" w:pos="10348"/>
              </w:tabs>
              <w:suppressAutoHyphens w:val="0"/>
              <w:spacing w:before="4"/>
              <w:jc w:val="center"/>
              <w:rPr>
                <w:rFonts w:cs="Arial"/>
                <w:sz w:val="20"/>
                <w:szCs w:val="16"/>
                <w:lang w:val="en-US" w:eastAsia="en-US"/>
              </w:rPr>
            </w:pPr>
            <w:r w:rsidRPr="00633128">
              <w:rPr>
                <w:rFonts w:cs="Arial"/>
                <w:bCs/>
                <w:sz w:val="20"/>
                <w:lang w:val="en-US" w:eastAsia="en-US"/>
              </w:rPr>
              <w:t>8.5 (6.2, 10.2)</w:t>
            </w:r>
          </w:p>
        </w:tc>
      </w:tr>
      <w:tr w:rsidR="00C34691" w:rsidRPr="00DF0B9D" w14:paraId="1F234CAF" w14:textId="77777777" w:rsidTr="00ED72A3">
        <w:trPr>
          <w:trHeight w:val="260"/>
          <w:jc w:val="center"/>
        </w:trPr>
        <w:tc>
          <w:tcPr>
            <w:tcW w:w="3099" w:type="dxa"/>
            <w:shd w:val="clear" w:color="auto" w:fill="auto"/>
          </w:tcPr>
          <w:p w14:paraId="4158AC4B" w14:textId="77777777" w:rsidR="00C34691" w:rsidRPr="001C434E" w:rsidRDefault="00C34691" w:rsidP="007E3CDB">
            <w:pPr>
              <w:tabs>
                <w:tab w:val="clear" w:pos="-720"/>
                <w:tab w:val="clear" w:pos="4513"/>
                <w:tab w:val="clear" w:pos="10348"/>
              </w:tabs>
              <w:suppressAutoHyphens w:val="0"/>
              <w:spacing w:before="4"/>
              <w:ind w:left="157"/>
              <w:rPr>
                <w:rFonts w:cs="Arial"/>
                <w:bCs/>
                <w:strike/>
                <w:sz w:val="20"/>
                <w:szCs w:val="16"/>
                <w:lang w:val="en-US" w:eastAsia="en-US"/>
              </w:rPr>
            </w:pPr>
            <w:r w:rsidRPr="00DF0B9D">
              <w:rPr>
                <w:rFonts w:cs="Arial"/>
                <w:bCs/>
                <w:sz w:val="20"/>
                <w:szCs w:val="16"/>
                <w:lang w:val="en-US" w:eastAsia="en-US"/>
              </w:rPr>
              <w:t>6-month OS rate</w:t>
            </w:r>
          </w:p>
        </w:tc>
        <w:tc>
          <w:tcPr>
            <w:tcW w:w="3099" w:type="dxa"/>
          </w:tcPr>
          <w:p w14:paraId="01D68E72" w14:textId="77777777" w:rsidR="00C34691" w:rsidRPr="00DF0B9D" w:rsidRDefault="00C34691" w:rsidP="007E3CDB">
            <w:pPr>
              <w:tabs>
                <w:tab w:val="clear" w:pos="-720"/>
                <w:tab w:val="clear" w:pos="4513"/>
                <w:tab w:val="clear" w:pos="10348"/>
              </w:tabs>
              <w:suppressAutoHyphens w:val="0"/>
              <w:spacing w:before="4"/>
              <w:jc w:val="center"/>
              <w:rPr>
                <w:rFonts w:cs="Arial"/>
                <w:bCs/>
                <w:sz w:val="20"/>
                <w:szCs w:val="16"/>
                <w:lang w:val="en-US" w:eastAsia="en-US"/>
              </w:rPr>
            </w:pPr>
            <w:r w:rsidRPr="00633128">
              <w:rPr>
                <w:rFonts w:cs="Arial"/>
                <w:bCs/>
                <w:sz w:val="20"/>
                <w:lang w:val="en-US" w:eastAsia="en-US"/>
              </w:rPr>
              <w:t>58.7%</w:t>
            </w:r>
          </w:p>
        </w:tc>
      </w:tr>
      <w:tr w:rsidR="00C34691" w:rsidRPr="00DF0B9D" w14:paraId="5BEE8D14" w14:textId="77777777" w:rsidTr="00ED72A3">
        <w:trPr>
          <w:trHeight w:val="233"/>
          <w:jc w:val="center"/>
        </w:trPr>
        <w:tc>
          <w:tcPr>
            <w:tcW w:w="3099" w:type="dxa"/>
            <w:tcBorders>
              <w:bottom w:val="single" w:sz="4" w:space="0" w:color="auto"/>
            </w:tcBorders>
            <w:shd w:val="clear" w:color="auto" w:fill="auto"/>
          </w:tcPr>
          <w:p w14:paraId="2841A1EE" w14:textId="77777777" w:rsidR="00C34691" w:rsidRPr="001C434E" w:rsidRDefault="00C34691" w:rsidP="007E3CDB">
            <w:pPr>
              <w:tabs>
                <w:tab w:val="clear" w:pos="-720"/>
                <w:tab w:val="clear" w:pos="4513"/>
                <w:tab w:val="clear" w:pos="10348"/>
              </w:tabs>
              <w:suppressAutoHyphens w:val="0"/>
              <w:spacing w:before="4"/>
              <w:ind w:left="157"/>
              <w:rPr>
                <w:rFonts w:cs="Arial"/>
                <w:bCs/>
                <w:strike/>
                <w:sz w:val="20"/>
                <w:szCs w:val="16"/>
                <w:lang w:val="en-US" w:eastAsia="en-US"/>
              </w:rPr>
            </w:pPr>
            <w:r w:rsidRPr="00DF0B9D">
              <w:rPr>
                <w:rFonts w:cs="Arial"/>
                <w:bCs/>
                <w:sz w:val="20"/>
                <w:szCs w:val="16"/>
                <w:lang w:val="en-US" w:eastAsia="en-US"/>
              </w:rPr>
              <w:t>12-month OS rate</w:t>
            </w:r>
          </w:p>
        </w:tc>
        <w:tc>
          <w:tcPr>
            <w:tcW w:w="3099" w:type="dxa"/>
            <w:tcBorders>
              <w:bottom w:val="single" w:sz="4" w:space="0" w:color="auto"/>
            </w:tcBorders>
          </w:tcPr>
          <w:p w14:paraId="78EDF575" w14:textId="77777777" w:rsidR="00C34691" w:rsidRPr="00DF0B9D" w:rsidRDefault="00C34691" w:rsidP="007E3CDB">
            <w:pPr>
              <w:tabs>
                <w:tab w:val="clear" w:pos="-720"/>
                <w:tab w:val="clear" w:pos="4513"/>
                <w:tab w:val="clear" w:pos="10348"/>
              </w:tabs>
              <w:suppressAutoHyphens w:val="0"/>
              <w:spacing w:before="4"/>
              <w:jc w:val="center"/>
              <w:rPr>
                <w:rFonts w:cs="Arial"/>
                <w:bCs/>
                <w:sz w:val="20"/>
                <w:szCs w:val="16"/>
                <w:lang w:val="en-US" w:eastAsia="en-US"/>
              </w:rPr>
            </w:pPr>
            <w:r w:rsidRPr="00633128">
              <w:rPr>
                <w:rFonts w:cs="Arial"/>
                <w:bCs/>
                <w:sz w:val="20"/>
                <w:lang w:val="en-US" w:eastAsia="en-US"/>
              </w:rPr>
              <w:t>38.3%</w:t>
            </w:r>
          </w:p>
        </w:tc>
      </w:tr>
      <w:tr w:rsidR="00C34691" w:rsidRPr="00DF0B9D" w14:paraId="5AE06A12" w14:textId="77777777" w:rsidTr="00ED72A3">
        <w:trPr>
          <w:jc w:val="center"/>
        </w:trPr>
        <w:tc>
          <w:tcPr>
            <w:tcW w:w="6198" w:type="dxa"/>
            <w:gridSpan w:val="2"/>
            <w:tcBorders>
              <w:left w:val="nil"/>
              <w:bottom w:val="nil"/>
              <w:right w:val="nil"/>
            </w:tcBorders>
            <w:shd w:val="clear" w:color="auto" w:fill="auto"/>
          </w:tcPr>
          <w:p w14:paraId="69A7109B" w14:textId="1BAF5550" w:rsidR="00C34691" w:rsidRPr="00DF0B9D" w:rsidRDefault="007E3CDB" w:rsidP="007E3CDB">
            <w:pPr>
              <w:pStyle w:val="Footer"/>
            </w:pPr>
            <w:r>
              <w:t xml:space="preserve">* </w:t>
            </w:r>
            <w:r w:rsidR="00C34691" w:rsidRPr="00DF0B9D">
              <w:t>Assessed by blinded independent central review using RECIST 1.1</w:t>
            </w:r>
          </w:p>
          <w:p w14:paraId="17AAF7F1" w14:textId="77777777" w:rsidR="000B4EB3" w:rsidRDefault="00C34691" w:rsidP="007E3CDB">
            <w:pPr>
              <w:pStyle w:val="Footer"/>
            </w:pPr>
            <w:r w:rsidRPr="00DF0B9D">
              <w:rPr>
                <w:vertAlign w:val="superscript"/>
              </w:rPr>
              <w:t>†</w:t>
            </w:r>
            <w:r w:rsidRPr="00DF0B9D">
              <w:tab/>
              <w:t>Based on patients (n=</w:t>
            </w:r>
            <w:r>
              <w:t>28</w:t>
            </w:r>
            <w:r w:rsidRPr="00DF0B9D">
              <w:t>) with a confirmed response by independent review</w:t>
            </w:r>
          </w:p>
          <w:p w14:paraId="0E046D43" w14:textId="3E3523CB" w:rsidR="00C34691" w:rsidRPr="00DF0B9D" w:rsidRDefault="00C34691" w:rsidP="007E3CDB">
            <w:pPr>
              <w:pStyle w:val="Footer"/>
            </w:pPr>
            <w:r w:rsidRPr="00DF0B9D">
              <w:rPr>
                <w:vertAlign w:val="superscript"/>
              </w:rPr>
              <w:t>¶</w:t>
            </w:r>
            <w:r w:rsidRPr="00DF0B9D">
              <w:tab/>
              <w:t xml:space="preserve">Based on Kaplan-Meier estimates; includes </w:t>
            </w:r>
            <w:r>
              <w:t>23</w:t>
            </w:r>
            <w:r w:rsidRPr="00DF0B9D">
              <w:t xml:space="preserve"> patients with responses of 6 months or longer including </w:t>
            </w:r>
            <w:r>
              <w:t>14</w:t>
            </w:r>
            <w:r w:rsidRPr="00DF0B9D">
              <w:t xml:space="preserve"> patient</w:t>
            </w:r>
            <w:r w:rsidR="00491BEF">
              <w:t>s</w:t>
            </w:r>
            <w:r w:rsidRPr="00DF0B9D">
              <w:t xml:space="preserve"> with response of 12 months or longer.</w:t>
            </w:r>
          </w:p>
        </w:tc>
      </w:tr>
    </w:tbl>
    <w:p w14:paraId="5FB051DF" w14:textId="77777777" w:rsidR="00C34691" w:rsidRDefault="00C34691" w:rsidP="00C34691">
      <w:pPr>
        <w:autoSpaceDE w:val="0"/>
        <w:autoSpaceDN w:val="0"/>
        <w:adjustRightInd w:val="0"/>
        <w:rPr>
          <w:rFonts w:cs="Arial"/>
        </w:rPr>
      </w:pPr>
      <w:r w:rsidRPr="00DF0B9D">
        <w:rPr>
          <w:rFonts w:cs="Arial"/>
        </w:rPr>
        <w:t>There were objective responses in patients regardless of HPV tumour status.</w:t>
      </w:r>
    </w:p>
    <w:p w14:paraId="2A566819" w14:textId="77777777" w:rsidR="0034622F" w:rsidRPr="00664605" w:rsidRDefault="0034622F" w:rsidP="00664605">
      <w:pPr>
        <w:pStyle w:val="Heading2"/>
      </w:pPr>
      <w:r w:rsidRPr="00664605">
        <w:t>Classical Hodgkin Lymphoma</w:t>
      </w:r>
    </w:p>
    <w:p w14:paraId="4FE45AED" w14:textId="77777777" w:rsidR="0034622F" w:rsidRPr="00664605" w:rsidRDefault="0034622F" w:rsidP="00126790">
      <w:pPr>
        <w:pStyle w:val="Heading3"/>
      </w:pPr>
      <w:r w:rsidRPr="00664605">
        <w:t>KEYNOTE-013 and KEYNOTE-087: Open-label studies in patients with refractory classical Hodgkin Lymphoma, or those who have relapsed after 3 or more prior lines of therapy</w:t>
      </w:r>
    </w:p>
    <w:p w14:paraId="068119C2" w14:textId="77777777" w:rsidR="0034622F" w:rsidRPr="00664605" w:rsidRDefault="0034622F" w:rsidP="00664605">
      <w:r w:rsidRPr="00664605">
        <w:t xml:space="preserve">The efficacy of KEYTRUDA was investigated in 241 patients with refractory classical Hodgkin Lymphoma, or who have relapsed after 3 or more prior lines of therapy, enrolled in two multicenter, nonrandomized, </w:t>
      </w:r>
      <w:proofErr w:type="gramStart"/>
      <w:r w:rsidRPr="00664605">
        <w:t>open</w:t>
      </w:r>
      <w:proofErr w:type="gramEnd"/>
      <w:r w:rsidRPr="00664605">
        <w:t>-label studies (KEYNOTE-013 and KEYNOTE-087). Both studies included patients regardless of PD-L1 expression. Patients with active, non-infectious pneumonitis, an allogeneic hematopoietic stem cell transplant within the past 5 years (or greater than 5 years but with GVHD), active autoimmune disease or a medical condition that required immunosuppression were ineligible for either trial. Patients received KEYTRUDA 10 mg/kg every 2 weeks (n=31) or 200 mg every 3 weeks (n=210) until unacceptable toxicity or documented disease progression. Response was assessed using the revised lymphoma criteria by PET CT scans, with the first planned post-baseline assessment at week 12. The major efficacy outcome measures (ORR, CRR, and duration of response) were assessed by blinded independent central review according to the 2007 revised International Working Group (IWG) criteria. Secondary efficacy outcome measures were PFS and OS.</w:t>
      </w:r>
    </w:p>
    <w:p w14:paraId="3C066FFD" w14:textId="77777777" w:rsidR="0034622F" w:rsidRPr="00664605" w:rsidRDefault="0034622F" w:rsidP="00664605">
      <w:r w:rsidRPr="00664605">
        <w:t>Among KEYNOTE-013 patients, the baseline characteristics were median age 32 years (6% age 65 or older), 58% male, 94% White; and 45% and 55% had an ECOG performance status 0 and 1, respectively. The median number of prior lines of therapy administered for the treatment of cHL was 5 (range 2 to 15). Eighty-seven percent were refractory to at least one prior therapy, including 39% who were refractory to first line therapy. Seventy-four percent of patients had received Auto-SCT, 26% were transplant ineligible; and 42% of patients had prior radiation therapy.</w:t>
      </w:r>
    </w:p>
    <w:p w14:paraId="376A16F9" w14:textId="77777777" w:rsidR="0034622F" w:rsidRPr="00664605" w:rsidRDefault="0034622F" w:rsidP="00664605">
      <w:r w:rsidRPr="00664605">
        <w:t>Among KEYNOTE-087 patients, the baseline characteristics were median age 35 years (9% age 65 or older); 54% male; 88% White; and 49% and 51% had an ECOG performance status 0 and 1, respectively. The median number of prior lines of therapy administered for the treatment of cHL was 4 (range 1 to 12). Eighty-one percent were refractory to at least one prior therapy, including 35% who were refractory to first line therapy. Sixty-one percent of patients had received Auto-SCT, 38% were transplant ineligible; 17% had no prior brentuximab use; and 36% of patients had prior radiation therapy.</w:t>
      </w:r>
    </w:p>
    <w:p w14:paraId="2EAEEAEB" w14:textId="77777777" w:rsidR="0034622F" w:rsidRPr="00664605" w:rsidRDefault="0034622F" w:rsidP="006C2900">
      <w:pPr>
        <w:pageBreakBefore/>
      </w:pPr>
      <w:bookmarkStart w:id="0" w:name="_GoBack"/>
      <w:bookmarkEnd w:id="0"/>
      <w:r w:rsidRPr="00664605">
        <w:lastRenderedPageBreak/>
        <w:t>Efficacy results are summarized in Table 7.</w:t>
      </w:r>
    </w:p>
    <w:p w14:paraId="7CA1E1E0" w14:textId="77777777" w:rsidR="0034622F" w:rsidRPr="00664605" w:rsidRDefault="0034622F" w:rsidP="007E3CDB">
      <w:pPr>
        <w:pStyle w:val="Caption"/>
        <w:rPr>
          <w:noProof/>
        </w:rPr>
      </w:pPr>
      <w:r w:rsidRPr="00664605">
        <w:rPr>
          <w:noProof/>
        </w:rPr>
        <w:t>Table 7: Efficacy Results in Patients with refractory or relapsed classical Hodgkin Lymphoma</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Efficacy Results in Patients with refractory or relapsed classical Hodgkin Lymphoma"/>
      </w:tblPr>
      <w:tblGrid>
        <w:gridCol w:w="3260"/>
        <w:gridCol w:w="2864"/>
        <w:gridCol w:w="2720"/>
      </w:tblGrid>
      <w:tr w:rsidR="0034622F" w:rsidRPr="00664605" w14:paraId="496403B7" w14:textId="77777777" w:rsidTr="00126790">
        <w:trPr>
          <w:tblHeader/>
          <w:jc w:val="center"/>
        </w:trPr>
        <w:tc>
          <w:tcPr>
            <w:tcW w:w="1843" w:type="pct"/>
            <w:shd w:val="clear" w:color="auto" w:fill="auto"/>
          </w:tcPr>
          <w:p w14:paraId="1F7A3028" w14:textId="77777777" w:rsidR="0034622F" w:rsidRPr="00664605" w:rsidRDefault="0034622F" w:rsidP="007E3CDB">
            <w:pPr>
              <w:pStyle w:val="BodyText1"/>
              <w:ind w:firstLine="0"/>
              <w:jc w:val="both"/>
              <w:rPr>
                <w:rFonts w:ascii="Arial" w:hAnsi="Arial" w:cs="Arial"/>
                <w:b/>
                <w:sz w:val="20"/>
                <w:szCs w:val="16"/>
              </w:rPr>
            </w:pPr>
          </w:p>
        </w:tc>
        <w:tc>
          <w:tcPr>
            <w:tcW w:w="1619" w:type="pct"/>
          </w:tcPr>
          <w:p w14:paraId="2D962D79" w14:textId="0DAAF04A" w:rsidR="0034622F" w:rsidRPr="00664605" w:rsidRDefault="0034622F" w:rsidP="007E3CDB">
            <w:pPr>
              <w:pStyle w:val="BodyText1"/>
              <w:ind w:firstLine="0"/>
              <w:jc w:val="center"/>
              <w:rPr>
                <w:rFonts w:ascii="Arial" w:hAnsi="Arial" w:cs="Arial"/>
                <w:sz w:val="20"/>
                <w:szCs w:val="16"/>
              </w:rPr>
            </w:pPr>
            <w:r w:rsidRPr="00664605">
              <w:rPr>
                <w:rFonts w:ascii="Arial" w:hAnsi="Arial" w:cs="Arial"/>
                <w:sz w:val="20"/>
                <w:szCs w:val="16"/>
              </w:rPr>
              <w:t>KEYNOTE-013</w:t>
            </w:r>
            <w:r w:rsidRPr="00664605">
              <w:rPr>
                <w:rFonts w:ascii="Arial" w:hAnsi="Arial" w:cs="Arial"/>
                <w:sz w:val="20"/>
                <w:szCs w:val="16"/>
                <w:vertAlign w:val="superscript"/>
              </w:rPr>
              <w:t>a</w:t>
            </w:r>
          </w:p>
        </w:tc>
        <w:tc>
          <w:tcPr>
            <w:tcW w:w="1538" w:type="pct"/>
            <w:vAlign w:val="center"/>
          </w:tcPr>
          <w:p w14:paraId="755B449C" w14:textId="71D10E70" w:rsidR="0034622F" w:rsidRPr="00664605" w:rsidRDefault="0034622F" w:rsidP="007E3CDB">
            <w:pPr>
              <w:pStyle w:val="BodyText1"/>
              <w:ind w:firstLine="0"/>
              <w:jc w:val="center"/>
              <w:rPr>
                <w:rFonts w:ascii="Arial" w:hAnsi="Arial" w:cs="Arial"/>
                <w:sz w:val="20"/>
                <w:szCs w:val="16"/>
              </w:rPr>
            </w:pPr>
            <w:r w:rsidRPr="00664605">
              <w:rPr>
                <w:rFonts w:ascii="Arial" w:hAnsi="Arial" w:cs="Arial"/>
                <w:sz w:val="20"/>
                <w:szCs w:val="16"/>
              </w:rPr>
              <w:t>KEYNOTE-087</w:t>
            </w:r>
            <w:r w:rsidRPr="00664605">
              <w:rPr>
                <w:rFonts w:ascii="Arial" w:hAnsi="Arial" w:cs="Arial"/>
                <w:sz w:val="20"/>
                <w:szCs w:val="16"/>
                <w:vertAlign w:val="superscript"/>
              </w:rPr>
              <w:t>b</w:t>
            </w:r>
          </w:p>
        </w:tc>
      </w:tr>
      <w:tr w:rsidR="0034622F" w:rsidRPr="00664605" w14:paraId="6D8ED212" w14:textId="77777777" w:rsidTr="00126790">
        <w:trPr>
          <w:jc w:val="center"/>
        </w:trPr>
        <w:tc>
          <w:tcPr>
            <w:tcW w:w="1843" w:type="pct"/>
            <w:shd w:val="clear" w:color="auto" w:fill="auto"/>
          </w:tcPr>
          <w:p w14:paraId="1CEF64AA" w14:textId="77777777" w:rsidR="0034622F" w:rsidRPr="00664605" w:rsidRDefault="0034622F" w:rsidP="007E3CDB">
            <w:pPr>
              <w:pStyle w:val="BodyText1"/>
              <w:ind w:firstLine="0"/>
              <w:jc w:val="both"/>
              <w:rPr>
                <w:rFonts w:ascii="Arial" w:hAnsi="Arial" w:cs="Arial"/>
                <w:b/>
                <w:sz w:val="20"/>
                <w:szCs w:val="16"/>
              </w:rPr>
            </w:pPr>
            <w:r w:rsidRPr="00664605">
              <w:rPr>
                <w:rFonts w:ascii="Arial" w:hAnsi="Arial" w:cs="Arial"/>
                <w:b/>
                <w:sz w:val="20"/>
                <w:szCs w:val="16"/>
              </w:rPr>
              <w:t>Endpoint</w:t>
            </w:r>
          </w:p>
        </w:tc>
        <w:tc>
          <w:tcPr>
            <w:tcW w:w="1619" w:type="pct"/>
            <w:vAlign w:val="center"/>
          </w:tcPr>
          <w:p w14:paraId="26F597CA" w14:textId="77777777" w:rsidR="0034622F" w:rsidRPr="00664605" w:rsidRDefault="0034622F" w:rsidP="007E3CDB">
            <w:pPr>
              <w:pStyle w:val="BodyText1"/>
              <w:ind w:firstLine="0"/>
              <w:jc w:val="center"/>
              <w:rPr>
                <w:rFonts w:ascii="Arial" w:hAnsi="Arial" w:cs="Arial"/>
                <w:sz w:val="20"/>
                <w:szCs w:val="16"/>
              </w:rPr>
            </w:pPr>
            <w:r w:rsidRPr="00664605">
              <w:rPr>
                <w:rFonts w:ascii="Arial" w:hAnsi="Arial" w:cs="Arial"/>
                <w:sz w:val="20"/>
                <w:szCs w:val="16"/>
              </w:rPr>
              <w:t>n=31</w:t>
            </w:r>
          </w:p>
        </w:tc>
        <w:tc>
          <w:tcPr>
            <w:tcW w:w="1538" w:type="pct"/>
            <w:vAlign w:val="center"/>
          </w:tcPr>
          <w:p w14:paraId="36CCE58B" w14:textId="77777777" w:rsidR="0034622F" w:rsidRPr="00664605" w:rsidRDefault="0034622F" w:rsidP="007E3CDB">
            <w:pPr>
              <w:pStyle w:val="BodyText1"/>
              <w:ind w:firstLine="0"/>
              <w:jc w:val="center"/>
              <w:rPr>
                <w:rFonts w:ascii="Arial" w:hAnsi="Arial" w:cs="Arial"/>
                <w:sz w:val="20"/>
                <w:szCs w:val="16"/>
              </w:rPr>
            </w:pPr>
            <w:r w:rsidRPr="00664605">
              <w:rPr>
                <w:rFonts w:ascii="Arial" w:hAnsi="Arial" w:cs="Arial"/>
                <w:sz w:val="20"/>
                <w:szCs w:val="16"/>
              </w:rPr>
              <w:t>n=210</w:t>
            </w:r>
          </w:p>
        </w:tc>
      </w:tr>
      <w:tr w:rsidR="0034622F" w:rsidRPr="00664605" w14:paraId="0CA5BF7E" w14:textId="77777777" w:rsidTr="00126790">
        <w:trPr>
          <w:jc w:val="center"/>
        </w:trPr>
        <w:tc>
          <w:tcPr>
            <w:tcW w:w="1843" w:type="pct"/>
            <w:shd w:val="clear" w:color="auto" w:fill="auto"/>
          </w:tcPr>
          <w:p w14:paraId="1B1DEECF" w14:textId="77777777" w:rsidR="0034622F" w:rsidRPr="00664605" w:rsidRDefault="0034622F" w:rsidP="007E3CDB">
            <w:pPr>
              <w:pStyle w:val="BodyText1"/>
              <w:ind w:firstLine="0"/>
              <w:jc w:val="both"/>
              <w:rPr>
                <w:rFonts w:ascii="Arial" w:hAnsi="Arial" w:cs="Arial"/>
                <w:b/>
                <w:sz w:val="20"/>
                <w:szCs w:val="16"/>
              </w:rPr>
            </w:pPr>
            <w:r w:rsidRPr="00664605">
              <w:rPr>
                <w:rFonts w:ascii="Arial" w:hAnsi="Arial" w:cs="Arial"/>
                <w:b/>
                <w:bCs/>
                <w:sz w:val="20"/>
                <w:szCs w:val="16"/>
              </w:rPr>
              <w:t>Objective Response Rate*</w:t>
            </w:r>
          </w:p>
        </w:tc>
        <w:tc>
          <w:tcPr>
            <w:tcW w:w="1619" w:type="pct"/>
            <w:vAlign w:val="center"/>
          </w:tcPr>
          <w:p w14:paraId="665F2ED3" w14:textId="77777777" w:rsidR="0034622F" w:rsidRPr="00664605" w:rsidRDefault="0034622F" w:rsidP="007E3CDB">
            <w:pPr>
              <w:pStyle w:val="BodyText1"/>
              <w:ind w:firstLine="0"/>
              <w:jc w:val="center"/>
              <w:rPr>
                <w:rFonts w:ascii="Arial" w:hAnsi="Arial" w:cs="Arial"/>
                <w:sz w:val="20"/>
                <w:szCs w:val="16"/>
              </w:rPr>
            </w:pPr>
          </w:p>
        </w:tc>
        <w:tc>
          <w:tcPr>
            <w:tcW w:w="1538" w:type="pct"/>
            <w:vAlign w:val="center"/>
          </w:tcPr>
          <w:p w14:paraId="6C943442" w14:textId="77777777" w:rsidR="0034622F" w:rsidRPr="00664605" w:rsidRDefault="0034622F" w:rsidP="007E3CDB">
            <w:pPr>
              <w:pStyle w:val="BodyText1"/>
              <w:ind w:firstLine="0"/>
              <w:jc w:val="center"/>
              <w:rPr>
                <w:rFonts w:ascii="Arial" w:hAnsi="Arial" w:cs="Arial"/>
                <w:sz w:val="20"/>
                <w:szCs w:val="16"/>
              </w:rPr>
            </w:pPr>
          </w:p>
        </w:tc>
      </w:tr>
      <w:tr w:rsidR="0034622F" w:rsidRPr="00664605" w14:paraId="1661F7BB" w14:textId="77777777" w:rsidTr="00126790">
        <w:trPr>
          <w:jc w:val="center"/>
        </w:trPr>
        <w:tc>
          <w:tcPr>
            <w:tcW w:w="1843" w:type="pct"/>
            <w:shd w:val="clear" w:color="auto" w:fill="auto"/>
          </w:tcPr>
          <w:p w14:paraId="4DAFED76" w14:textId="77777777" w:rsidR="0034622F" w:rsidRPr="00664605" w:rsidRDefault="0034622F" w:rsidP="007E3CDB">
            <w:pPr>
              <w:pStyle w:val="BodyText1"/>
              <w:ind w:left="180" w:firstLine="0"/>
              <w:jc w:val="both"/>
              <w:rPr>
                <w:rFonts w:ascii="Arial" w:hAnsi="Arial" w:cs="Arial"/>
                <w:sz w:val="20"/>
                <w:szCs w:val="16"/>
              </w:rPr>
            </w:pPr>
            <w:r w:rsidRPr="00664605">
              <w:rPr>
                <w:rFonts w:ascii="Arial" w:hAnsi="Arial" w:cs="Arial"/>
                <w:bCs/>
                <w:sz w:val="20"/>
                <w:szCs w:val="16"/>
              </w:rPr>
              <w:t>ORR %, (95% CI)</w:t>
            </w:r>
          </w:p>
        </w:tc>
        <w:tc>
          <w:tcPr>
            <w:tcW w:w="1619" w:type="pct"/>
          </w:tcPr>
          <w:p w14:paraId="7135938B"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58% (39.1, 75.5)</w:t>
            </w:r>
          </w:p>
        </w:tc>
        <w:tc>
          <w:tcPr>
            <w:tcW w:w="1538" w:type="pct"/>
          </w:tcPr>
          <w:p w14:paraId="2F6A26DF"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69% (62.3, 75.2)</w:t>
            </w:r>
          </w:p>
        </w:tc>
      </w:tr>
      <w:tr w:rsidR="0034622F" w:rsidRPr="00664605" w14:paraId="34CADD19" w14:textId="77777777" w:rsidTr="00126790">
        <w:trPr>
          <w:jc w:val="center"/>
        </w:trPr>
        <w:tc>
          <w:tcPr>
            <w:tcW w:w="1843" w:type="pct"/>
            <w:shd w:val="clear" w:color="auto" w:fill="auto"/>
          </w:tcPr>
          <w:p w14:paraId="476975AF" w14:textId="77777777" w:rsidR="0034622F" w:rsidRPr="00664605" w:rsidRDefault="0034622F" w:rsidP="007E3CDB">
            <w:pPr>
              <w:pStyle w:val="BodyText1"/>
              <w:ind w:left="374" w:firstLine="0"/>
              <w:jc w:val="both"/>
              <w:rPr>
                <w:rFonts w:ascii="Arial" w:hAnsi="Arial" w:cs="Arial"/>
                <w:bCs/>
                <w:sz w:val="20"/>
                <w:szCs w:val="16"/>
              </w:rPr>
            </w:pPr>
            <w:r w:rsidRPr="00664605">
              <w:rPr>
                <w:rFonts w:ascii="Arial" w:hAnsi="Arial" w:cs="Arial"/>
                <w:bCs/>
                <w:sz w:val="20"/>
                <w:szCs w:val="16"/>
              </w:rPr>
              <w:t>Complete Remission</w:t>
            </w:r>
          </w:p>
        </w:tc>
        <w:tc>
          <w:tcPr>
            <w:tcW w:w="1619" w:type="pct"/>
          </w:tcPr>
          <w:p w14:paraId="33D48F9E"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19%</w:t>
            </w:r>
          </w:p>
        </w:tc>
        <w:tc>
          <w:tcPr>
            <w:tcW w:w="1538" w:type="pct"/>
          </w:tcPr>
          <w:p w14:paraId="7C968074"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22%</w:t>
            </w:r>
          </w:p>
        </w:tc>
      </w:tr>
      <w:tr w:rsidR="0034622F" w:rsidRPr="00664605" w14:paraId="4559ECEB" w14:textId="77777777" w:rsidTr="00126790">
        <w:trPr>
          <w:jc w:val="center"/>
        </w:trPr>
        <w:tc>
          <w:tcPr>
            <w:tcW w:w="1843" w:type="pct"/>
            <w:shd w:val="clear" w:color="auto" w:fill="auto"/>
          </w:tcPr>
          <w:p w14:paraId="6590E4C4" w14:textId="77777777" w:rsidR="0034622F" w:rsidRPr="00664605" w:rsidRDefault="0034622F" w:rsidP="007E3CDB">
            <w:pPr>
              <w:pStyle w:val="BodyText1"/>
              <w:ind w:left="374" w:firstLine="0"/>
              <w:jc w:val="both"/>
              <w:rPr>
                <w:rFonts w:ascii="Arial" w:hAnsi="Arial" w:cs="Arial"/>
                <w:bCs/>
                <w:sz w:val="20"/>
                <w:szCs w:val="16"/>
              </w:rPr>
            </w:pPr>
            <w:r w:rsidRPr="00664605">
              <w:rPr>
                <w:rFonts w:ascii="Arial" w:hAnsi="Arial" w:cs="Arial"/>
                <w:bCs/>
                <w:sz w:val="20"/>
                <w:szCs w:val="16"/>
              </w:rPr>
              <w:t>Partial Remission</w:t>
            </w:r>
          </w:p>
        </w:tc>
        <w:tc>
          <w:tcPr>
            <w:tcW w:w="1619" w:type="pct"/>
          </w:tcPr>
          <w:p w14:paraId="02A5277F"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39%</w:t>
            </w:r>
          </w:p>
        </w:tc>
        <w:tc>
          <w:tcPr>
            <w:tcW w:w="1538" w:type="pct"/>
          </w:tcPr>
          <w:p w14:paraId="14E8E305"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47%</w:t>
            </w:r>
          </w:p>
        </w:tc>
      </w:tr>
      <w:tr w:rsidR="0034622F" w:rsidRPr="00664605" w14:paraId="3F626318" w14:textId="77777777" w:rsidTr="00126790">
        <w:trPr>
          <w:trHeight w:val="50"/>
          <w:jc w:val="center"/>
        </w:trPr>
        <w:tc>
          <w:tcPr>
            <w:tcW w:w="1843" w:type="pct"/>
            <w:shd w:val="clear" w:color="auto" w:fill="auto"/>
          </w:tcPr>
          <w:p w14:paraId="25E2C365" w14:textId="77777777" w:rsidR="0034622F" w:rsidRPr="00664605" w:rsidRDefault="0034622F" w:rsidP="007E3CDB">
            <w:pPr>
              <w:pStyle w:val="BodyText1"/>
              <w:ind w:firstLine="0"/>
              <w:jc w:val="both"/>
              <w:rPr>
                <w:rFonts w:ascii="Arial" w:hAnsi="Arial" w:cs="Arial"/>
                <w:b/>
                <w:sz w:val="20"/>
                <w:szCs w:val="16"/>
              </w:rPr>
            </w:pPr>
            <w:r w:rsidRPr="00664605">
              <w:rPr>
                <w:rFonts w:ascii="Arial" w:hAnsi="Arial" w:cs="Arial"/>
                <w:b/>
                <w:bCs/>
                <w:sz w:val="20"/>
                <w:szCs w:val="16"/>
              </w:rPr>
              <w:t>Response Duration*</w:t>
            </w:r>
          </w:p>
        </w:tc>
        <w:tc>
          <w:tcPr>
            <w:tcW w:w="1619" w:type="pct"/>
            <w:vAlign w:val="center"/>
          </w:tcPr>
          <w:p w14:paraId="076ED33C" w14:textId="77777777" w:rsidR="0034622F" w:rsidRPr="00664605" w:rsidRDefault="0034622F" w:rsidP="007E3CDB">
            <w:pPr>
              <w:pStyle w:val="BodyText1"/>
              <w:ind w:firstLine="0"/>
              <w:jc w:val="center"/>
              <w:rPr>
                <w:rFonts w:ascii="Arial" w:hAnsi="Arial" w:cs="Arial"/>
                <w:sz w:val="20"/>
                <w:szCs w:val="16"/>
              </w:rPr>
            </w:pPr>
          </w:p>
        </w:tc>
        <w:tc>
          <w:tcPr>
            <w:tcW w:w="1538" w:type="pct"/>
            <w:vAlign w:val="center"/>
          </w:tcPr>
          <w:p w14:paraId="41AA5A98" w14:textId="77777777" w:rsidR="0034622F" w:rsidRPr="00664605" w:rsidRDefault="0034622F" w:rsidP="007E3CDB">
            <w:pPr>
              <w:pStyle w:val="BodyText1"/>
              <w:ind w:firstLine="0"/>
              <w:jc w:val="center"/>
              <w:rPr>
                <w:rFonts w:ascii="Arial" w:hAnsi="Arial" w:cs="Arial"/>
                <w:sz w:val="20"/>
                <w:szCs w:val="16"/>
              </w:rPr>
            </w:pPr>
          </w:p>
        </w:tc>
      </w:tr>
      <w:tr w:rsidR="0034622F" w:rsidRPr="00664605" w14:paraId="4AD92FE9" w14:textId="77777777" w:rsidTr="00126790">
        <w:trPr>
          <w:jc w:val="center"/>
        </w:trPr>
        <w:tc>
          <w:tcPr>
            <w:tcW w:w="1843" w:type="pct"/>
            <w:shd w:val="clear" w:color="auto" w:fill="auto"/>
          </w:tcPr>
          <w:p w14:paraId="3C805C72" w14:textId="77777777" w:rsidR="0034622F" w:rsidRPr="00664605" w:rsidRDefault="0034622F" w:rsidP="007E3CDB">
            <w:pPr>
              <w:pStyle w:val="BodyText1"/>
              <w:ind w:left="374" w:firstLine="0"/>
              <w:jc w:val="both"/>
              <w:rPr>
                <w:rFonts w:ascii="Arial" w:hAnsi="Arial" w:cs="Arial"/>
                <w:bCs/>
                <w:sz w:val="20"/>
                <w:szCs w:val="16"/>
              </w:rPr>
            </w:pPr>
            <w:r w:rsidRPr="00664605">
              <w:rPr>
                <w:rFonts w:ascii="Arial" w:hAnsi="Arial" w:cs="Arial"/>
                <w:bCs/>
                <w:sz w:val="20"/>
                <w:szCs w:val="16"/>
              </w:rPr>
              <w:t>Median in months (range)</w:t>
            </w:r>
          </w:p>
        </w:tc>
        <w:tc>
          <w:tcPr>
            <w:tcW w:w="1619" w:type="pct"/>
          </w:tcPr>
          <w:p w14:paraId="23675B41"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Not reached (0.0+, 26.1+)</w:t>
            </w:r>
            <w:r w:rsidRPr="00664605">
              <w:rPr>
                <w:rFonts w:ascii="Arial" w:hAnsi="Arial" w:cs="Arial"/>
                <w:bCs/>
                <w:sz w:val="20"/>
                <w:szCs w:val="16"/>
                <w:vertAlign w:val="superscript"/>
              </w:rPr>
              <w:t>†</w:t>
            </w:r>
          </w:p>
        </w:tc>
        <w:tc>
          <w:tcPr>
            <w:tcW w:w="1538" w:type="pct"/>
          </w:tcPr>
          <w:p w14:paraId="4F249E49"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11.1 (0.0+, 11.1)</w:t>
            </w:r>
            <w:r w:rsidRPr="00664605">
              <w:rPr>
                <w:rFonts w:ascii="Arial" w:hAnsi="Arial" w:cs="Arial"/>
                <w:bCs/>
                <w:sz w:val="20"/>
                <w:szCs w:val="16"/>
                <w:vertAlign w:val="superscript"/>
              </w:rPr>
              <w:t xml:space="preserve"> </w:t>
            </w:r>
            <w:r w:rsidRPr="00664605">
              <w:rPr>
                <w:rFonts w:cs="Arial"/>
                <w:bCs/>
                <w:sz w:val="20"/>
                <w:szCs w:val="16"/>
                <w:vertAlign w:val="superscript"/>
              </w:rPr>
              <w:t>‡</w:t>
            </w:r>
          </w:p>
        </w:tc>
      </w:tr>
      <w:tr w:rsidR="0034622F" w:rsidRPr="00664605" w14:paraId="4FD4C198" w14:textId="77777777" w:rsidTr="00126790">
        <w:trPr>
          <w:jc w:val="center"/>
        </w:trPr>
        <w:tc>
          <w:tcPr>
            <w:tcW w:w="1843" w:type="pct"/>
            <w:shd w:val="clear" w:color="auto" w:fill="auto"/>
          </w:tcPr>
          <w:p w14:paraId="090FCBE0" w14:textId="77777777" w:rsidR="0034622F" w:rsidRPr="00664605" w:rsidRDefault="0034622F" w:rsidP="007E3CDB">
            <w:pPr>
              <w:pStyle w:val="BodyText1"/>
              <w:ind w:left="374" w:firstLine="0"/>
              <w:jc w:val="both"/>
              <w:rPr>
                <w:rFonts w:ascii="Arial" w:hAnsi="Arial" w:cs="Arial"/>
                <w:bCs/>
                <w:sz w:val="20"/>
                <w:szCs w:val="16"/>
              </w:rPr>
            </w:pPr>
            <w:r w:rsidRPr="00664605">
              <w:rPr>
                <w:rFonts w:ascii="Arial" w:hAnsi="Arial" w:cs="Arial"/>
                <w:bCs/>
                <w:sz w:val="20"/>
                <w:szCs w:val="16"/>
              </w:rPr>
              <w:t>% with duration ≥ 6-months</w:t>
            </w:r>
          </w:p>
        </w:tc>
        <w:tc>
          <w:tcPr>
            <w:tcW w:w="1619" w:type="pct"/>
          </w:tcPr>
          <w:p w14:paraId="3E0CF5C4"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80%</w:t>
            </w:r>
            <w:r w:rsidRPr="00664605">
              <w:rPr>
                <w:rFonts w:ascii="Arial" w:hAnsi="Arial" w:cs="Arial"/>
                <w:bCs/>
                <w:sz w:val="20"/>
                <w:szCs w:val="16"/>
                <w:vertAlign w:val="superscript"/>
              </w:rPr>
              <w:t>§</w:t>
            </w:r>
            <w:r w:rsidRPr="00664605">
              <w:rPr>
                <w:rFonts w:ascii="Arial" w:hAnsi="Arial" w:cs="Arial"/>
                <w:bCs/>
                <w:sz w:val="20"/>
                <w:szCs w:val="16"/>
              </w:rPr>
              <w:t xml:space="preserve"> </w:t>
            </w:r>
          </w:p>
        </w:tc>
        <w:tc>
          <w:tcPr>
            <w:tcW w:w="1538" w:type="pct"/>
          </w:tcPr>
          <w:p w14:paraId="123D2C2F"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76%</w:t>
            </w:r>
            <w:r w:rsidRPr="00664605">
              <w:rPr>
                <w:rFonts w:ascii="Arial" w:hAnsi="Arial" w:cs="Arial"/>
                <w:bCs/>
                <w:sz w:val="20"/>
                <w:szCs w:val="16"/>
                <w:vertAlign w:val="superscript"/>
              </w:rPr>
              <w:t>¶</w:t>
            </w:r>
            <w:r w:rsidRPr="00664605">
              <w:rPr>
                <w:rFonts w:ascii="Arial" w:hAnsi="Arial" w:cs="Arial"/>
                <w:bCs/>
                <w:sz w:val="20"/>
                <w:szCs w:val="16"/>
              </w:rPr>
              <w:t xml:space="preserve"> </w:t>
            </w:r>
          </w:p>
        </w:tc>
      </w:tr>
      <w:tr w:rsidR="0034622F" w:rsidRPr="00664605" w14:paraId="233E6B80" w14:textId="77777777" w:rsidTr="00126790">
        <w:trPr>
          <w:jc w:val="center"/>
        </w:trPr>
        <w:tc>
          <w:tcPr>
            <w:tcW w:w="1843" w:type="pct"/>
            <w:shd w:val="clear" w:color="auto" w:fill="auto"/>
          </w:tcPr>
          <w:p w14:paraId="3013B8BD" w14:textId="77777777" w:rsidR="0034622F" w:rsidRPr="00664605" w:rsidRDefault="0034622F" w:rsidP="007E3CDB">
            <w:pPr>
              <w:pStyle w:val="BodyText1"/>
              <w:ind w:left="374" w:firstLine="0"/>
              <w:jc w:val="both"/>
              <w:rPr>
                <w:rFonts w:ascii="Arial" w:hAnsi="Arial" w:cs="Arial"/>
                <w:bCs/>
                <w:sz w:val="20"/>
                <w:szCs w:val="16"/>
              </w:rPr>
            </w:pPr>
            <w:r w:rsidRPr="00664605">
              <w:rPr>
                <w:rFonts w:ascii="Arial" w:hAnsi="Arial" w:cs="Arial"/>
                <w:bCs/>
                <w:sz w:val="20"/>
                <w:szCs w:val="16"/>
              </w:rPr>
              <w:t>% with duration ≥ 12-months</w:t>
            </w:r>
          </w:p>
        </w:tc>
        <w:tc>
          <w:tcPr>
            <w:tcW w:w="1619" w:type="pct"/>
          </w:tcPr>
          <w:p w14:paraId="7FA3004D"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70%</w:t>
            </w:r>
            <w:r w:rsidRPr="00664605">
              <w:rPr>
                <w:bCs/>
                <w:sz w:val="20"/>
                <w:szCs w:val="22"/>
                <w:vertAlign w:val="superscript"/>
              </w:rPr>
              <w:t>#</w:t>
            </w:r>
          </w:p>
        </w:tc>
        <w:tc>
          <w:tcPr>
            <w:tcW w:w="1538" w:type="pct"/>
          </w:tcPr>
          <w:p w14:paraId="2B4F7B6A"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w:t>
            </w:r>
          </w:p>
        </w:tc>
      </w:tr>
      <w:tr w:rsidR="0034622F" w:rsidRPr="00664605" w14:paraId="005C701A" w14:textId="77777777" w:rsidTr="00126790">
        <w:trPr>
          <w:jc w:val="center"/>
        </w:trPr>
        <w:tc>
          <w:tcPr>
            <w:tcW w:w="1843" w:type="pct"/>
            <w:shd w:val="clear" w:color="auto" w:fill="auto"/>
          </w:tcPr>
          <w:p w14:paraId="2CAEC6BF" w14:textId="77777777" w:rsidR="0034622F" w:rsidRPr="00664605" w:rsidRDefault="0034622F" w:rsidP="007E3CDB">
            <w:pPr>
              <w:pStyle w:val="BodyText1"/>
              <w:ind w:firstLine="0"/>
              <w:jc w:val="both"/>
              <w:rPr>
                <w:rFonts w:ascii="Arial" w:hAnsi="Arial" w:cs="Arial"/>
                <w:b/>
                <w:sz w:val="20"/>
                <w:szCs w:val="16"/>
              </w:rPr>
            </w:pPr>
            <w:r w:rsidRPr="00664605">
              <w:rPr>
                <w:rFonts w:ascii="Arial" w:hAnsi="Arial" w:cs="Arial"/>
                <w:b/>
                <w:bCs/>
                <w:sz w:val="20"/>
                <w:szCs w:val="16"/>
              </w:rPr>
              <w:t>Time to Response</w:t>
            </w:r>
          </w:p>
        </w:tc>
        <w:tc>
          <w:tcPr>
            <w:tcW w:w="1619" w:type="pct"/>
            <w:vAlign w:val="center"/>
          </w:tcPr>
          <w:p w14:paraId="480B5E89" w14:textId="77777777" w:rsidR="0034622F" w:rsidRPr="00664605" w:rsidRDefault="0034622F" w:rsidP="007E3CDB">
            <w:pPr>
              <w:pStyle w:val="BodyText1"/>
              <w:ind w:firstLine="0"/>
              <w:jc w:val="center"/>
              <w:rPr>
                <w:rFonts w:ascii="Arial" w:hAnsi="Arial" w:cs="Arial"/>
                <w:sz w:val="20"/>
                <w:szCs w:val="16"/>
              </w:rPr>
            </w:pPr>
          </w:p>
        </w:tc>
        <w:tc>
          <w:tcPr>
            <w:tcW w:w="1538" w:type="pct"/>
            <w:vAlign w:val="center"/>
          </w:tcPr>
          <w:p w14:paraId="77367CBE" w14:textId="77777777" w:rsidR="0034622F" w:rsidRPr="00664605" w:rsidRDefault="0034622F" w:rsidP="007E3CDB">
            <w:pPr>
              <w:pStyle w:val="BodyText1"/>
              <w:ind w:firstLine="0"/>
              <w:jc w:val="center"/>
              <w:rPr>
                <w:rFonts w:ascii="Arial" w:hAnsi="Arial" w:cs="Arial"/>
                <w:sz w:val="20"/>
                <w:szCs w:val="16"/>
              </w:rPr>
            </w:pPr>
          </w:p>
        </w:tc>
      </w:tr>
      <w:tr w:rsidR="0034622F" w:rsidRPr="00664605" w14:paraId="11FE6271" w14:textId="77777777" w:rsidTr="00126790">
        <w:trPr>
          <w:jc w:val="center"/>
        </w:trPr>
        <w:tc>
          <w:tcPr>
            <w:tcW w:w="1843" w:type="pct"/>
            <w:shd w:val="clear" w:color="auto" w:fill="auto"/>
          </w:tcPr>
          <w:p w14:paraId="75453849" w14:textId="77777777" w:rsidR="0034622F" w:rsidRPr="00664605" w:rsidRDefault="0034622F" w:rsidP="007E3CDB">
            <w:pPr>
              <w:pStyle w:val="BodyText1"/>
              <w:ind w:left="374" w:firstLine="0"/>
              <w:jc w:val="both"/>
              <w:rPr>
                <w:rFonts w:ascii="Arial" w:hAnsi="Arial" w:cs="Arial"/>
                <w:bCs/>
                <w:sz w:val="20"/>
                <w:szCs w:val="16"/>
              </w:rPr>
            </w:pPr>
            <w:r w:rsidRPr="00664605">
              <w:rPr>
                <w:rFonts w:ascii="Arial" w:hAnsi="Arial" w:cs="Arial"/>
                <w:bCs/>
                <w:sz w:val="20"/>
                <w:szCs w:val="16"/>
              </w:rPr>
              <w:t>Median in months (range)</w:t>
            </w:r>
          </w:p>
        </w:tc>
        <w:tc>
          <w:tcPr>
            <w:tcW w:w="1619" w:type="pct"/>
          </w:tcPr>
          <w:p w14:paraId="7B8D341D"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2.8 (2.4, 8.6)</w:t>
            </w:r>
            <w:r w:rsidRPr="00664605">
              <w:rPr>
                <w:rFonts w:ascii="Arial" w:hAnsi="Arial" w:cs="Arial"/>
                <w:bCs/>
                <w:sz w:val="20"/>
                <w:szCs w:val="16"/>
                <w:vertAlign w:val="superscript"/>
              </w:rPr>
              <w:t xml:space="preserve"> †</w:t>
            </w:r>
          </w:p>
        </w:tc>
        <w:tc>
          <w:tcPr>
            <w:tcW w:w="1538" w:type="pct"/>
          </w:tcPr>
          <w:p w14:paraId="731544D4"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2.8 (2.1, 8.8)</w:t>
            </w:r>
            <w:r w:rsidRPr="00664605">
              <w:rPr>
                <w:rFonts w:ascii="Arial" w:hAnsi="Arial" w:cs="Arial"/>
                <w:bCs/>
                <w:sz w:val="20"/>
                <w:szCs w:val="16"/>
                <w:vertAlign w:val="superscript"/>
              </w:rPr>
              <w:t xml:space="preserve"> </w:t>
            </w:r>
            <w:r w:rsidRPr="00664605">
              <w:rPr>
                <w:rFonts w:cs="Arial"/>
                <w:bCs/>
                <w:sz w:val="20"/>
                <w:szCs w:val="16"/>
                <w:vertAlign w:val="superscript"/>
              </w:rPr>
              <w:t>‡</w:t>
            </w:r>
          </w:p>
        </w:tc>
      </w:tr>
      <w:tr w:rsidR="0034622F" w:rsidRPr="00664605" w14:paraId="5B275D85" w14:textId="77777777" w:rsidTr="00126790">
        <w:trPr>
          <w:jc w:val="center"/>
        </w:trPr>
        <w:tc>
          <w:tcPr>
            <w:tcW w:w="1843" w:type="pct"/>
            <w:shd w:val="clear" w:color="auto" w:fill="auto"/>
          </w:tcPr>
          <w:p w14:paraId="67135267" w14:textId="77777777" w:rsidR="0034622F" w:rsidRPr="00664605" w:rsidRDefault="0034622F" w:rsidP="007E3CDB">
            <w:pPr>
              <w:pStyle w:val="BodyText1"/>
              <w:ind w:firstLine="0"/>
              <w:jc w:val="both"/>
              <w:rPr>
                <w:rFonts w:ascii="Arial" w:hAnsi="Arial" w:cs="Arial"/>
                <w:b/>
                <w:sz w:val="20"/>
                <w:szCs w:val="16"/>
              </w:rPr>
            </w:pPr>
            <w:r w:rsidRPr="00664605">
              <w:rPr>
                <w:rFonts w:ascii="Arial" w:hAnsi="Arial" w:cs="Arial"/>
                <w:b/>
                <w:bCs/>
                <w:sz w:val="20"/>
                <w:szCs w:val="16"/>
              </w:rPr>
              <w:t>PFS*</w:t>
            </w:r>
          </w:p>
        </w:tc>
        <w:tc>
          <w:tcPr>
            <w:tcW w:w="1619" w:type="pct"/>
            <w:vAlign w:val="center"/>
          </w:tcPr>
          <w:p w14:paraId="6B4D32F3" w14:textId="77777777" w:rsidR="0034622F" w:rsidRPr="00664605" w:rsidRDefault="0034622F" w:rsidP="007E3CDB">
            <w:pPr>
              <w:pStyle w:val="BodyText1"/>
              <w:ind w:firstLine="0"/>
              <w:jc w:val="center"/>
              <w:rPr>
                <w:rFonts w:ascii="Arial" w:hAnsi="Arial" w:cs="Arial"/>
                <w:sz w:val="20"/>
                <w:szCs w:val="16"/>
              </w:rPr>
            </w:pPr>
          </w:p>
        </w:tc>
        <w:tc>
          <w:tcPr>
            <w:tcW w:w="1538" w:type="pct"/>
            <w:vAlign w:val="center"/>
          </w:tcPr>
          <w:p w14:paraId="0BA885F2" w14:textId="77777777" w:rsidR="0034622F" w:rsidRPr="00664605" w:rsidRDefault="0034622F" w:rsidP="007E3CDB">
            <w:pPr>
              <w:pStyle w:val="BodyText1"/>
              <w:ind w:firstLine="0"/>
              <w:jc w:val="center"/>
              <w:rPr>
                <w:rFonts w:ascii="Arial" w:hAnsi="Arial" w:cs="Arial"/>
                <w:sz w:val="20"/>
                <w:szCs w:val="16"/>
              </w:rPr>
            </w:pPr>
          </w:p>
        </w:tc>
      </w:tr>
      <w:tr w:rsidR="0034622F" w:rsidRPr="00664605" w14:paraId="4533E265" w14:textId="77777777" w:rsidTr="00126790">
        <w:trPr>
          <w:jc w:val="center"/>
        </w:trPr>
        <w:tc>
          <w:tcPr>
            <w:tcW w:w="1843" w:type="pct"/>
            <w:shd w:val="clear" w:color="auto" w:fill="auto"/>
          </w:tcPr>
          <w:p w14:paraId="103B9189" w14:textId="77777777" w:rsidR="0034622F" w:rsidRPr="00664605" w:rsidRDefault="0034622F" w:rsidP="007E3CDB">
            <w:pPr>
              <w:pStyle w:val="BodyText1"/>
              <w:ind w:left="374" w:firstLine="0"/>
              <w:jc w:val="both"/>
              <w:rPr>
                <w:rFonts w:ascii="Arial" w:hAnsi="Arial" w:cs="Arial"/>
                <w:bCs/>
                <w:sz w:val="20"/>
                <w:szCs w:val="16"/>
              </w:rPr>
            </w:pPr>
            <w:r w:rsidRPr="00664605">
              <w:rPr>
                <w:rFonts w:ascii="Arial" w:hAnsi="Arial" w:cs="Arial"/>
                <w:bCs/>
                <w:sz w:val="20"/>
                <w:szCs w:val="16"/>
              </w:rPr>
              <w:t>Median in months (95% CI)</w:t>
            </w:r>
          </w:p>
        </w:tc>
        <w:tc>
          <w:tcPr>
            <w:tcW w:w="1619" w:type="pct"/>
          </w:tcPr>
          <w:p w14:paraId="584ADC8E" w14:textId="77777777" w:rsidR="0034622F" w:rsidRPr="00664605" w:rsidRDefault="0034622F" w:rsidP="007E3CDB">
            <w:pPr>
              <w:pStyle w:val="BodyText1"/>
              <w:ind w:firstLine="0"/>
              <w:jc w:val="center"/>
              <w:rPr>
                <w:rFonts w:ascii="Arial" w:hAnsi="Arial" w:cs="Arial"/>
                <w:bCs/>
                <w:sz w:val="20"/>
                <w:szCs w:val="16"/>
                <w:highlight w:val="yellow"/>
              </w:rPr>
            </w:pPr>
            <w:r w:rsidRPr="00664605">
              <w:rPr>
                <w:rFonts w:ascii="Arial" w:hAnsi="Arial" w:cs="Arial"/>
                <w:bCs/>
                <w:sz w:val="20"/>
                <w:szCs w:val="16"/>
              </w:rPr>
              <w:t>11.4 (4.9, 27.8)</w:t>
            </w:r>
            <w:r w:rsidRPr="00664605">
              <w:rPr>
                <w:rFonts w:ascii="Arial" w:hAnsi="Arial" w:cs="Arial"/>
                <w:bCs/>
                <w:sz w:val="20"/>
                <w:szCs w:val="16"/>
                <w:vertAlign w:val="superscript"/>
              </w:rPr>
              <w:t xml:space="preserve"> </w:t>
            </w:r>
          </w:p>
        </w:tc>
        <w:tc>
          <w:tcPr>
            <w:tcW w:w="1538" w:type="pct"/>
          </w:tcPr>
          <w:p w14:paraId="4AFC1EBC"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11.3 (10.8, Not reached)</w:t>
            </w:r>
          </w:p>
        </w:tc>
      </w:tr>
      <w:tr w:rsidR="0034622F" w:rsidRPr="00664605" w14:paraId="03EFAE2D" w14:textId="77777777" w:rsidTr="00126790">
        <w:trPr>
          <w:jc w:val="center"/>
        </w:trPr>
        <w:tc>
          <w:tcPr>
            <w:tcW w:w="1843" w:type="pct"/>
            <w:shd w:val="clear" w:color="auto" w:fill="auto"/>
          </w:tcPr>
          <w:p w14:paraId="72811D32" w14:textId="77777777" w:rsidR="0034622F" w:rsidRPr="00664605" w:rsidRDefault="0034622F" w:rsidP="007E3CDB">
            <w:pPr>
              <w:pStyle w:val="BodyText1"/>
              <w:ind w:left="374" w:firstLine="0"/>
              <w:jc w:val="both"/>
              <w:rPr>
                <w:rFonts w:ascii="Arial" w:hAnsi="Arial" w:cs="Arial"/>
                <w:bCs/>
                <w:sz w:val="20"/>
                <w:szCs w:val="16"/>
              </w:rPr>
            </w:pPr>
            <w:r w:rsidRPr="00664605">
              <w:rPr>
                <w:rFonts w:ascii="Arial" w:hAnsi="Arial" w:cs="Arial"/>
                <w:bCs/>
                <w:sz w:val="20"/>
                <w:szCs w:val="16"/>
              </w:rPr>
              <w:t>6-month PFS rate</w:t>
            </w:r>
          </w:p>
        </w:tc>
        <w:tc>
          <w:tcPr>
            <w:tcW w:w="1619" w:type="pct"/>
          </w:tcPr>
          <w:p w14:paraId="5E4A0591" w14:textId="77777777" w:rsidR="0034622F" w:rsidRPr="00664605" w:rsidRDefault="0034622F" w:rsidP="007E3CDB">
            <w:pPr>
              <w:pStyle w:val="BodyText1"/>
              <w:ind w:firstLine="0"/>
              <w:jc w:val="center"/>
              <w:rPr>
                <w:rFonts w:ascii="Arial" w:hAnsi="Arial" w:cs="Arial"/>
                <w:bCs/>
                <w:sz w:val="20"/>
                <w:szCs w:val="16"/>
                <w:highlight w:val="yellow"/>
              </w:rPr>
            </w:pPr>
            <w:r w:rsidRPr="00664605">
              <w:rPr>
                <w:rFonts w:ascii="Arial" w:hAnsi="Arial" w:cs="Arial"/>
                <w:bCs/>
                <w:sz w:val="20"/>
                <w:szCs w:val="16"/>
              </w:rPr>
              <w:t>66%</w:t>
            </w:r>
          </w:p>
        </w:tc>
        <w:tc>
          <w:tcPr>
            <w:tcW w:w="1538" w:type="pct"/>
          </w:tcPr>
          <w:p w14:paraId="58C475FF"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72%</w:t>
            </w:r>
          </w:p>
        </w:tc>
      </w:tr>
      <w:tr w:rsidR="0034622F" w:rsidRPr="00664605" w14:paraId="01545FA1" w14:textId="77777777" w:rsidTr="00126790">
        <w:trPr>
          <w:jc w:val="center"/>
        </w:trPr>
        <w:tc>
          <w:tcPr>
            <w:tcW w:w="1843" w:type="pct"/>
            <w:shd w:val="clear" w:color="auto" w:fill="auto"/>
          </w:tcPr>
          <w:p w14:paraId="1CF9B576" w14:textId="77777777" w:rsidR="0034622F" w:rsidRPr="00664605" w:rsidRDefault="0034622F" w:rsidP="007E3CDB">
            <w:pPr>
              <w:pStyle w:val="BodyText1"/>
              <w:ind w:left="374" w:firstLine="0"/>
              <w:jc w:val="both"/>
              <w:rPr>
                <w:rFonts w:ascii="Arial" w:hAnsi="Arial" w:cs="Arial"/>
                <w:bCs/>
                <w:sz w:val="20"/>
                <w:szCs w:val="16"/>
              </w:rPr>
            </w:pPr>
            <w:r w:rsidRPr="00664605">
              <w:rPr>
                <w:rFonts w:ascii="Arial" w:hAnsi="Arial" w:cs="Arial"/>
                <w:bCs/>
                <w:sz w:val="20"/>
                <w:szCs w:val="16"/>
              </w:rPr>
              <w:t>9-month PFS rate</w:t>
            </w:r>
          </w:p>
        </w:tc>
        <w:tc>
          <w:tcPr>
            <w:tcW w:w="1619" w:type="pct"/>
          </w:tcPr>
          <w:p w14:paraId="32B343CA"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w:t>
            </w:r>
          </w:p>
        </w:tc>
        <w:tc>
          <w:tcPr>
            <w:tcW w:w="1538" w:type="pct"/>
          </w:tcPr>
          <w:p w14:paraId="223C60A5"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62%</w:t>
            </w:r>
          </w:p>
        </w:tc>
      </w:tr>
      <w:tr w:rsidR="0034622F" w:rsidRPr="00664605" w14:paraId="58933ADE" w14:textId="77777777" w:rsidTr="00126790">
        <w:trPr>
          <w:jc w:val="center"/>
        </w:trPr>
        <w:tc>
          <w:tcPr>
            <w:tcW w:w="1843" w:type="pct"/>
            <w:shd w:val="clear" w:color="auto" w:fill="auto"/>
          </w:tcPr>
          <w:p w14:paraId="1CE5541F" w14:textId="77777777" w:rsidR="0034622F" w:rsidRPr="00664605" w:rsidRDefault="0034622F" w:rsidP="007E3CDB">
            <w:pPr>
              <w:pStyle w:val="BodyText1"/>
              <w:ind w:left="374" w:firstLine="0"/>
              <w:jc w:val="both"/>
              <w:rPr>
                <w:rFonts w:ascii="Arial" w:hAnsi="Arial" w:cs="Arial"/>
                <w:bCs/>
                <w:sz w:val="20"/>
                <w:szCs w:val="16"/>
              </w:rPr>
            </w:pPr>
            <w:r w:rsidRPr="00664605">
              <w:rPr>
                <w:rFonts w:ascii="Arial" w:hAnsi="Arial" w:cs="Arial"/>
                <w:bCs/>
                <w:sz w:val="20"/>
                <w:szCs w:val="16"/>
              </w:rPr>
              <w:t>12-month PFS rate</w:t>
            </w:r>
          </w:p>
        </w:tc>
        <w:tc>
          <w:tcPr>
            <w:tcW w:w="1619" w:type="pct"/>
          </w:tcPr>
          <w:p w14:paraId="24D8D852"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48%</w:t>
            </w:r>
          </w:p>
        </w:tc>
        <w:tc>
          <w:tcPr>
            <w:tcW w:w="1538" w:type="pct"/>
          </w:tcPr>
          <w:p w14:paraId="2DEF8377"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w:t>
            </w:r>
          </w:p>
        </w:tc>
      </w:tr>
      <w:tr w:rsidR="0034622F" w:rsidRPr="00664605" w14:paraId="053730AD" w14:textId="77777777" w:rsidTr="00126790">
        <w:trPr>
          <w:jc w:val="center"/>
        </w:trPr>
        <w:tc>
          <w:tcPr>
            <w:tcW w:w="1843" w:type="pct"/>
            <w:shd w:val="clear" w:color="auto" w:fill="auto"/>
          </w:tcPr>
          <w:p w14:paraId="2346358C" w14:textId="77777777" w:rsidR="0034622F" w:rsidRPr="00664605" w:rsidRDefault="0034622F" w:rsidP="007E3CDB">
            <w:pPr>
              <w:pStyle w:val="BodyText1"/>
              <w:ind w:firstLine="0"/>
              <w:jc w:val="both"/>
              <w:rPr>
                <w:rFonts w:ascii="Arial" w:hAnsi="Arial" w:cs="Arial"/>
                <w:b/>
                <w:sz w:val="20"/>
                <w:szCs w:val="16"/>
              </w:rPr>
            </w:pPr>
            <w:r w:rsidRPr="00664605">
              <w:rPr>
                <w:rFonts w:ascii="Arial" w:hAnsi="Arial" w:cs="Arial"/>
                <w:b/>
                <w:bCs/>
                <w:sz w:val="20"/>
                <w:szCs w:val="16"/>
              </w:rPr>
              <w:t>OS</w:t>
            </w:r>
          </w:p>
        </w:tc>
        <w:tc>
          <w:tcPr>
            <w:tcW w:w="1619" w:type="pct"/>
            <w:vAlign w:val="center"/>
          </w:tcPr>
          <w:p w14:paraId="57810464" w14:textId="77777777" w:rsidR="0034622F" w:rsidRPr="00664605" w:rsidRDefault="0034622F" w:rsidP="007E3CDB">
            <w:pPr>
              <w:pStyle w:val="BodyText1"/>
              <w:ind w:firstLine="0"/>
              <w:jc w:val="center"/>
              <w:rPr>
                <w:rFonts w:ascii="Arial" w:hAnsi="Arial" w:cs="Arial"/>
                <w:sz w:val="20"/>
                <w:szCs w:val="16"/>
                <w:highlight w:val="yellow"/>
              </w:rPr>
            </w:pPr>
          </w:p>
        </w:tc>
        <w:tc>
          <w:tcPr>
            <w:tcW w:w="1538" w:type="pct"/>
            <w:vAlign w:val="center"/>
          </w:tcPr>
          <w:p w14:paraId="0B924394" w14:textId="77777777" w:rsidR="0034622F" w:rsidRPr="00664605" w:rsidRDefault="0034622F" w:rsidP="007E3CDB">
            <w:pPr>
              <w:pStyle w:val="BodyText1"/>
              <w:ind w:firstLine="0"/>
              <w:jc w:val="center"/>
              <w:rPr>
                <w:rFonts w:ascii="Arial" w:hAnsi="Arial" w:cs="Arial"/>
                <w:sz w:val="20"/>
                <w:szCs w:val="16"/>
              </w:rPr>
            </w:pPr>
          </w:p>
        </w:tc>
      </w:tr>
      <w:tr w:rsidR="0034622F" w:rsidRPr="00664605" w14:paraId="7355330B" w14:textId="77777777" w:rsidTr="00126790">
        <w:trPr>
          <w:jc w:val="center"/>
        </w:trPr>
        <w:tc>
          <w:tcPr>
            <w:tcW w:w="1843" w:type="pct"/>
            <w:shd w:val="clear" w:color="auto" w:fill="auto"/>
          </w:tcPr>
          <w:p w14:paraId="31532142" w14:textId="77777777" w:rsidR="0034622F" w:rsidRPr="00664605" w:rsidRDefault="0034622F" w:rsidP="007E3CDB">
            <w:pPr>
              <w:pStyle w:val="BodyText1"/>
              <w:ind w:left="374" w:firstLine="0"/>
              <w:jc w:val="both"/>
              <w:rPr>
                <w:rFonts w:ascii="Arial" w:hAnsi="Arial" w:cs="Arial"/>
                <w:bCs/>
                <w:sz w:val="20"/>
                <w:szCs w:val="16"/>
              </w:rPr>
            </w:pPr>
            <w:r w:rsidRPr="00664605">
              <w:rPr>
                <w:rFonts w:ascii="Arial" w:hAnsi="Arial" w:cs="Arial"/>
                <w:bCs/>
                <w:sz w:val="20"/>
                <w:szCs w:val="16"/>
              </w:rPr>
              <w:t>6-month OS rate</w:t>
            </w:r>
          </w:p>
        </w:tc>
        <w:tc>
          <w:tcPr>
            <w:tcW w:w="1619" w:type="pct"/>
          </w:tcPr>
          <w:p w14:paraId="5D2FB498" w14:textId="77777777" w:rsidR="0034622F" w:rsidRPr="00664605" w:rsidRDefault="0034622F" w:rsidP="007E3CDB">
            <w:pPr>
              <w:pStyle w:val="BodyText1"/>
              <w:ind w:firstLine="0"/>
              <w:jc w:val="center"/>
              <w:rPr>
                <w:rFonts w:ascii="Arial" w:hAnsi="Arial" w:cs="Arial"/>
                <w:bCs/>
                <w:sz w:val="20"/>
                <w:szCs w:val="16"/>
                <w:highlight w:val="yellow"/>
              </w:rPr>
            </w:pPr>
            <w:r w:rsidRPr="00664605">
              <w:rPr>
                <w:rFonts w:ascii="Arial" w:hAnsi="Arial" w:cs="Arial"/>
                <w:bCs/>
                <w:sz w:val="20"/>
                <w:szCs w:val="16"/>
              </w:rPr>
              <w:t>100%</w:t>
            </w:r>
          </w:p>
        </w:tc>
        <w:tc>
          <w:tcPr>
            <w:tcW w:w="1538" w:type="pct"/>
          </w:tcPr>
          <w:p w14:paraId="0A302056"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99.5%</w:t>
            </w:r>
          </w:p>
        </w:tc>
      </w:tr>
      <w:tr w:rsidR="0034622F" w:rsidRPr="00664605" w14:paraId="2E6733BA" w14:textId="77777777" w:rsidTr="00126790">
        <w:trPr>
          <w:jc w:val="center"/>
        </w:trPr>
        <w:tc>
          <w:tcPr>
            <w:tcW w:w="1843" w:type="pct"/>
            <w:shd w:val="clear" w:color="auto" w:fill="auto"/>
          </w:tcPr>
          <w:p w14:paraId="269428DB" w14:textId="77777777" w:rsidR="0034622F" w:rsidRPr="00664605" w:rsidRDefault="0034622F" w:rsidP="007E3CDB">
            <w:pPr>
              <w:pStyle w:val="BodyText1"/>
              <w:ind w:left="374" w:firstLine="0"/>
              <w:jc w:val="both"/>
              <w:rPr>
                <w:rFonts w:ascii="Arial" w:hAnsi="Arial" w:cs="Arial"/>
                <w:bCs/>
                <w:sz w:val="20"/>
                <w:szCs w:val="16"/>
              </w:rPr>
            </w:pPr>
            <w:r w:rsidRPr="00664605">
              <w:rPr>
                <w:rFonts w:ascii="Arial" w:hAnsi="Arial" w:cs="Arial"/>
                <w:bCs/>
                <w:sz w:val="20"/>
                <w:szCs w:val="16"/>
              </w:rPr>
              <w:t>12-month OS rate</w:t>
            </w:r>
          </w:p>
        </w:tc>
        <w:tc>
          <w:tcPr>
            <w:tcW w:w="1619" w:type="pct"/>
          </w:tcPr>
          <w:p w14:paraId="1CF016C7" w14:textId="77777777" w:rsidR="0034622F" w:rsidRPr="00664605" w:rsidRDefault="0034622F" w:rsidP="007E3CDB">
            <w:pPr>
              <w:pStyle w:val="BodyText1"/>
              <w:ind w:firstLine="0"/>
              <w:jc w:val="center"/>
              <w:rPr>
                <w:rFonts w:ascii="Arial" w:hAnsi="Arial" w:cs="Arial"/>
                <w:bCs/>
                <w:sz w:val="20"/>
                <w:szCs w:val="16"/>
                <w:highlight w:val="yellow"/>
              </w:rPr>
            </w:pPr>
            <w:r w:rsidRPr="00664605">
              <w:rPr>
                <w:rFonts w:ascii="Arial" w:hAnsi="Arial" w:cs="Arial"/>
                <w:bCs/>
                <w:sz w:val="20"/>
                <w:szCs w:val="16"/>
              </w:rPr>
              <w:t>87.1%</w:t>
            </w:r>
          </w:p>
        </w:tc>
        <w:tc>
          <w:tcPr>
            <w:tcW w:w="1538" w:type="pct"/>
          </w:tcPr>
          <w:p w14:paraId="41A69321" w14:textId="77777777" w:rsidR="0034622F" w:rsidRPr="00664605" w:rsidRDefault="0034622F" w:rsidP="007E3CDB">
            <w:pPr>
              <w:pStyle w:val="BodyText1"/>
              <w:ind w:firstLine="0"/>
              <w:jc w:val="center"/>
              <w:rPr>
                <w:rFonts w:ascii="Arial" w:hAnsi="Arial" w:cs="Arial"/>
                <w:bCs/>
                <w:sz w:val="20"/>
                <w:szCs w:val="16"/>
              </w:rPr>
            </w:pPr>
            <w:r w:rsidRPr="00664605">
              <w:rPr>
                <w:rFonts w:ascii="Arial" w:hAnsi="Arial" w:cs="Arial"/>
                <w:bCs/>
                <w:sz w:val="20"/>
                <w:szCs w:val="16"/>
              </w:rPr>
              <w:t>97.6%</w:t>
            </w:r>
          </w:p>
        </w:tc>
      </w:tr>
    </w:tbl>
    <w:p w14:paraId="50DCD30B" w14:textId="15BA0077" w:rsidR="0034622F" w:rsidRPr="007E3CDB" w:rsidRDefault="0034622F" w:rsidP="007E3CDB">
      <w:pPr>
        <w:pStyle w:val="Footer"/>
        <w:ind w:left="426"/>
      </w:pPr>
      <w:proofErr w:type="gramStart"/>
      <w:r w:rsidRPr="007E3CDB">
        <w:t>a</w:t>
      </w:r>
      <w:proofErr w:type="gramEnd"/>
      <w:r w:rsidR="007E3CDB">
        <w:t xml:space="preserve"> </w:t>
      </w:r>
      <w:r w:rsidRPr="007E3CDB">
        <w:t>Median follow-up time of 28.7 months</w:t>
      </w:r>
    </w:p>
    <w:p w14:paraId="0C228700" w14:textId="5DEC7FC3" w:rsidR="0034622F" w:rsidRPr="007E3CDB" w:rsidRDefault="0034622F" w:rsidP="007E3CDB">
      <w:pPr>
        <w:pStyle w:val="Footer"/>
        <w:ind w:left="426"/>
      </w:pPr>
      <w:proofErr w:type="gramStart"/>
      <w:r w:rsidRPr="007E3CDB">
        <w:t>b</w:t>
      </w:r>
      <w:proofErr w:type="gramEnd"/>
      <w:r w:rsidRPr="007E3CDB">
        <w:t xml:space="preserve"> Median follow-up time of 10.1 months</w:t>
      </w:r>
    </w:p>
    <w:p w14:paraId="48383F23" w14:textId="23A1B509" w:rsidR="0034622F" w:rsidRPr="007E3CDB" w:rsidRDefault="0034622F" w:rsidP="007E3CDB">
      <w:pPr>
        <w:pStyle w:val="Footer"/>
        <w:ind w:left="426"/>
      </w:pPr>
      <w:r w:rsidRPr="007E3CDB">
        <w:t>*</w:t>
      </w:r>
      <w:r w:rsidRPr="007E3CDB">
        <w:tab/>
        <w:t>Assessed by blinded independent central review according to the 2007 revised International Working Group (IWG) criteria</w:t>
      </w:r>
    </w:p>
    <w:p w14:paraId="30DAF004" w14:textId="5300F533" w:rsidR="0034622F" w:rsidRPr="007E3CDB" w:rsidRDefault="0034622F" w:rsidP="007E3CDB">
      <w:pPr>
        <w:pStyle w:val="Footer"/>
        <w:ind w:left="426"/>
      </w:pPr>
      <w:r w:rsidRPr="007E3CDB">
        <w:t>†</w:t>
      </w:r>
      <w:r w:rsidR="007E3CDB">
        <w:t xml:space="preserve"> </w:t>
      </w:r>
      <w:r w:rsidRPr="007E3CDB">
        <w:t>Based on patients (n=18) with a response by independent review.</w:t>
      </w:r>
    </w:p>
    <w:p w14:paraId="5A369C2C" w14:textId="28A2A228" w:rsidR="0034622F" w:rsidRPr="007E3CDB" w:rsidRDefault="0034622F" w:rsidP="007E3CDB">
      <w:pPr>
        <w:pStyle w:val="Footer"/>
        <w:ind w:left="426"/>
      </w:pPr>
      <w:r w:rsidRPr="007E3CDB">
        <w:t>‡</w:t>
      </w:r>
      <w:r w:rsidR="007E3CDB">
        <w:t xml:space="preserve"> </w:t>
      </w:r>
      <w:r w:rsidRPr="007E3CDB">
        <w:t>Based on patients (n=145) with a response by independent review.</w:t>
      </w:r>
    </w:p>
    <w:p w14:paraId="7C123233" w14:textId="77777777" w:rsidR="0034622F" w:rsidRPr="007E3CDB" w:rsidRDefault="0034622F" w:rsidP="007E3CDB">
      <w:pPr>
        <w:pStyle w:val="Footer"/>
        <w:ind w:left="426"/>
      </w:pPr>
      <w:r w:rsidRPr="007E3CDB">
        <w:t>§</w:t>
      </w:r>
      <w:r w:rsidRPr="007E3CDB">
        <w:tab/>
        <w:t>Based on Kaplan-Meier estimation; includes 9 patients with responses of 6 months or longer.</w:t>
      </w:r>
    </w:p>
    <w:p w14:paraId="611CD625" w14:textId="77777777" w:rsidR="0034622F" w:rsidRPr="007E3CDB" w:rsidRDefault="0034622F" w:rsidP="007E3CDB">
      <w:pPr>
        <w:pStyle w:val="Footer"/>
        <w:ind w:left="426"/>
      </w:pPr>
      <w:r w:rsidRPr="007E3CDB">
        <w:t>¶</w:t>
      </w:r>
      <w:r w:rsidRPr="007E3CDB">
        <w:tab/>
        <w:t>Based on Kaplan-Meier estimation; includes 31 patients with responses of 6 months or longer.</w:t>
      </w:r>
    </w:p>
    <w:p w14:paraId="2A5040CE" w14:textId="77777777" w:rsidR="0034622F" w:rsidRPr="007E3CDB" w:rsidRDefault="0034622F" w:rsidP="007E3CDB">
      <w:pPr>
        <w:pStyle w:val="Footer"/>
        <w:ind w:left="426"/>
      </w:pPr>
      <w:r w:rsidRPr="007E3CDB">
        <w:t>#</w:t>
      </w:r>
      <w:r w:rsidRPr="007E3CDB">
        <w:tab/>
      </w:r>
      <w:proofErr w:type="gramStart"/>
      <w:r w:rsidRPr="007E3CDB">
        <w:t>Based</w:t>
      </w:r>
      <w:proofErr w:type="gramEnd"/>
      <w:r w:rsidRPr="007E3CDB">
        <w:t xml:space="preserve"> on Kaplan-Meier estimation; includes 7 patients with responses of 12 months or longer.</w:t>
      </w:r>
    </w:p>
    <w:p w14:paraId="36D9E8D4" w14:textId="77777777" w:rsidR="0034622F" w:rsidRDefault="0034622F" w:rsidP="0034622F">
      <w:r w:rsidRPr="003D21E7">
        <w:t>The improved benefit as assessed by ORR, CRR, and response duration in the KEYNOTE-087 population was accompanied by overall improvements in health-related quality of life (HRQoL) as assessed using the European Organization for Research and Treatment of Cancer Quality of Life Questionnaire Core 30 (EORTC QLQ-C30) and the European Quality of Life Five Dimensions Questionnaire (EQ-5D). Relative to subjects with stable disease or progressive disease, subjects with a complete or partial response had the largest improvement and the highest proportion with a 10 point or greater increase in their EORTC QLQ-C30 global health status/QoL score, as well as, had the largest improvement in their EQ-5D utility and VAS scores from baseline to Week 12</w:t>
      </w:r>
      <w:r>
        <w:t>.</w:t>
      </w:r>
    </w:p>
    <w:p w14:paraId="7D8A3843" w14:textId="77777777" w:rsidR="00D058F6" w:rsidRPr="00126790" w:rsidRDefault="00D058F6" w:rsidP="00126790">
      <w:pPr>
        <w:pStyle w:val="Heading2"/>
      </w:pPr>
      <w:r w:rsidRPr="00126790">
        <w:t>Immunogenicity</w:t>
      </w:r>
    </w:p>
    <w:p w14:paraId="3A9D5428" w14:textId="0233AA5B" w:rsidR="007B4A4F" w:rsidRPr="004172BA" w:rsidRDefault="000903B2" w:rsidP="006A031A">
      <w:pPr>
        <w:rPr>
          <w:rFonts w:cs="Arial"/>
        </w:rPr>
      </w:pPr>
      <w:r w:rsidRPr="00187C95">
        <w:rPr>
          <w:rFonts w:cs="Arial"/>
        </w:rPr>
        <w:t>In clinical studies</w:t>
      </w:r>
      <w:r w:rsidR="003C52B7" w:rsidRPr="003C52B7">
        <w:rPr>
          <w:rFonts w:cs="Arial"/>
        </w:rPr>
        <w:t xml:space="preserve"> in patients treated with pembrolizumab at a dose of 2 mg/kg every 3 weeks</w:t>
      </w:r>
      <w:r w:rsidR="00AE5D71">
        <w:rPr>
          <w:rFonts w:cs="Arial"/>
        </w:rPr>
        <w:t>,</w:t>
      </w:r>
      <w:r w:rsidR="003C52B7" w:rsidRPr="003C52B7">
        <w:rPr>
          <w:rFonts w:cs="Arial"/>
        </w:rPr>
        <w:t xml:space="preserve"> </w:t>
      </w:r>
      <w:r w:rsidR="00D914B2">
        <w:rPr>
          <w:rFonts w:cs="Arial"/>
        </w:rPr>
        <w:t>200 mg every 3 weeks</w:t>
      </w:r>
      <w:r w:rsidR="00D914B2" w:rsidRPr="003C52B7">
        <w:rPr>
          <w:rFonts w:cs="Arial"/>
        </w:rPr>
        <w:t xml:space="preserve"> </w:t>
      </w:r>
      <w:r w:rsidR="003C52B7" w:rsidRPr="003C52B7">
        <w:rPr>
          <w:rFonts w:cs="Arial"/>
        </w:rPr>
        <w:t xml:space="preserve">or 10 mg/kg every </w:t>
      </w:r>
      <w:r w:rsidR="00D914B2">
        <w:rPr>
          <w:rFonts w:cs="Arial"/>
        </w:rPr>
        <w:t>2</w:t>
      </w:r>
      <w:r w:rsidR="003C52B7" w:rsidRPr="003C52B7">
        <w:rPr>
          <w:rFonts w:cs="Arial"/>
        </w:rPr>
        <w:t xml:space="preserve"> or </w:t>
      </w:r>
      <w:r w:rsidR="00D914B2">
        <w:rPr>
          <w:rFonts w:cs="Arial"/>
        </w:rPr>
        <w:t>3</w:t>
      </w:r>
      <w:r w:rsidR="003C52B7" w:rsidRPr="003C52B7">
        <w:rPr>
          <w:rFonts w:cs="Arial"/>
        </w:rPr>
        <w:t xml:space="preserve"> weeks</w:t>
      </w:r>
      <w:r w:rsidRPr="00187C95">
        <w:rPr>
          <w:rFonts w:cs="Arial"/>
        </w:rPr>
        <w:t xml:space="preserve">, </w:t>
      </w:r>
      <w:r w:rsidR="00D914B2">
        <w:rPr>
          <w:rFonts w:cs="Arial"/>
        </w:rPr>
        <w:t>26</w:t>
      </w:r>
      <w:r w:rsidRPr="00187C95">
        <w:rPr>
          <w:rFonts w:cs="Arial"/>
        </w:rPr>
        <w:t xml:space="preserve"> (</w:t>
      </w:r>
      <w:r w:rsidR="00D914B2">
        <w:rPr>
          <w:rFonts w:cs="Arial"/>
        </w:rPr>
        <w:t>2.0</w:t>
      </w:r>
      <w:r w:rsidRPr="00187C95">
        <w:rPr>
          <w:rFonts w:cs="Arial"/>
        </w:rPr>
        <w:t xml:space="preserve">%) of </w:t>
      </w:r>
      <w:r w:rsidR="00D914B2">
        <w:rPr>
          <w:rFonts w:cs="Arial"/>
        </w:rPr>
        <w:t>1289</w:t>
      </w:r>
      <w:r w:rsidR="003C52B7">
        <w:rPr>
          <w:rFonts w:cs="Arial"/>
        </w:rPr>
        <w:t xml:space="preserve"> </w:t>
      </w:r>
      <w:r w:rsidR="003C52B7" w:rsidRPr="00187C95">
        <w:rPr>
          <w:rFonts w:cs="Arial"/>
        </w:rPr>
        <w:t>e</w:t>
      </w:r>
      <w:r w:rsidR="003C52B7" w:rsidRPr="004172BA">
        <w:rPr>
          <w:rFonts w:cs="Arial"/>
        </w:rPr>
        <w:t xml:space="preserve">valuable </w:t>
      </w:r>
      <w:r w:rsidRPr="004172BA">
        <w:rPr>
          <w:rFonts w:cs="Arial"/>
        </w:rPr>
        <w:t xml:space="preserve">patients tested positive for </w:t>
      </w:r>
      <w:r w:rsidR="003C52B7">
        <w:rPr>
          <w:rFonts w:cs="Arial"/>
        </w:rPr>
        <w:t xml:space="preserve">treatment-emergent </w:t>
      </w:r>
      <w:r w:rsidRPr="00187C95">
        <w:rPr>
          <w:rFonts w:cs="Arial"/>
        </w:rPr>
        <w:t>antib</w:t>
      </w:r>
      <w:r w:rsidRPr="004172BA">
        <w:rPr>
          <w:rFonts w:cs="Arial"/>
        </w:rPr>
        <w:t xml:space="preserve">odies against pembrolizumab during treatment with KEYTRUDA. </w:t>
      </w:r>
      <w:r w:rsidR="00D914B2" w:rsidRPr="000410E6">
        <w:rPr>
          <w:rFonts w:cs="Arial"/>
        </w:rPr>
        <w:t>There was no evidence of an altered pharmacokinetic or safety profile with anti-</w:t>
      </w:r>
      <w:proofErr w:type="spellStart"/>
      <w:r w:rsidR="00D914B2" w:rsidRPr="000410E6">
        <w:rPr>
          <w:rFonts w:cs="Arial"/>
        </w:rPr>
        <w:t>pembrolizumab</w:t>
      </w:r>
      <w:proofErr w:type="spellEnd"/>
      <w:r w:rsidR="00D914B2" w:rsidRPr="000410E6">
        <w:rPr>
          <w:rFonts w:cs="Arial"/>
        </w:rPr>
        <w:t xml:space="preserve"> binding antibody development.</w:t>
      </w:r>
    </w:p>
    <w:p w14:paraId="40B25913" w14:textId="77777777" w:rsidR="003A6F1C" w:rsidRPr="00343CB7" w:rsidRDefault="003A6F1C" w:rsidP="00616E61">
      <w:pPr>
        <w:pStyle w:val="Heading1"/>
      </w:pPr>
      <w:r w:rsidRPr="00343CB7">
        <w:lastRenderedPageBreak/>
        <w:t>INDICATIONS</w:t>
      </w:r>
    </w:p>
    <w:p w14:paraId="150FFFE0" w14:textId="77777777" w:rsidR="00D058F6" w:rsidRDefault="00D058F6" w:rsidP="00F13B27">
      <w:r w:rsidRPr="009F14D7">
        <w:t>KEYTRUDA</w:t>
      </w:r>
      <w:r w:rsidRPr="002164EC">
        <w:rPr>
          <w:vertAlign w:val="superscript"/>
        </w:rPr>
        <w:t>®</w:t>
      </w:r>
      <w:r w:rsidRPr="00187C95">
        <w:t xml:space="preserve"> (pembrolizumab) is indicated </w:t>
      </w:r>
      <w:r w:rsidR="00687073" w:rsidRPr="00187C95">
        <w:t xml:space="preserve">as monotherapy </w:t>
      </w:r>
      <w:r w:rsidRPr="00187C95">
        <w:t>for the treatment of unresectable or metastatic melanoma</w:t>
      </w:r>
      <w:r w:rsidR="00FF4074" w:rsidRPr="00D8643B">
        <w:t xml:space="preserve"> in adults</w:t>
      </w:r>
      <w:r w:rsidRPr="00AE1EF9">
        <w:t>.</w:t>
      </w:r>
    </w:p>
    <w:p w14:paraId="77027888" w14:textId="77777777" w:rsidR="00D914B2" w:rsidRDefault="00D914B2" w:rsidP="00D914B2">
      <w:r w:rsidRPr="001D36C6">
        <w:t>KEYTRUDA</w:t>
      </w:r>
      <w:r w:rsidRPr="00EA1409">
        <w:rPr>
          <w:vertAlign w:val="superscript"/>
        </w:rPr>
        <w:t>®</w:t>
      </w:r>
      <w:r w:rsidRPr="001D36C6">
        <w:t xml:space="preserve"> is indicated for the </w:t>
      </w:r>
      <w:r>
        <w:t>first-line</w:t>
      </w:r>
      <w:r w:rsidRPr="001D36C6">
        <w:t xml:space="preserve"> treatment of patients with metastatic non-small cell lung carcinoma (NSCLC) whose tumours express PD-L1 </w:t>
      </w:r>
      <w:r>
        <w:rPr>
          <w:rFonts w:cs="Arial"/>
        </w:rPr>
        <w:t xml:space="preserve">with a </w:t>
      </w:r>
      <w:r w:rsidRPr="00777606">
        <w:rPr>
          <w:rFonts w:cs="Arial"/>
        </w:rPr>
        <w:t>≥50%</w:t>
      </w:r>
      <w:r>
        <w:rPr>
          <w:rFonts w:cs="Arial"/>
        </w:rPr>
        <w:t xml:space="preserve"> tumour</w:t>
      </w:r>
      <w:r w:rsidRPr="00777606">
        <w:rPr>
          <w:rFonts w:cs="Arial"/>
        </w:rPr>
        <w:t xml:space="preserve"> proportion score </w:t>
      </w:r>
      <w:r>
        <w:rPr>
          <w:rFonts w:cs="Arial"/>
        </w:rPr>
        <w:t>(</w:t>
      </w:r>
      <w:r w:rsidRPr="00777606">
        <w:rPr>
          <w:rFonts w:cs="Arial"/>
        </w:rPr>
        <w:t>TPS</w:t>
      </w:r>
      <w:r>
        <w:rPr>
          <w:rFonts w:cs="Arial"/>
        </w:rPr>
        <w:t xml:space="preserve">) </w:t>
      </w:r>
      <w:r w:rsidRPr="001D36C6">
        <w:t>as determined by a validated test</w:t>
      </w:r>
      <w:r>
        <w:t>,</w:t>
      </w:r>
      <w:r w:rsidRPr="001D36C6">
        <w:t xml:space="preserve"> </w:t>
      </w:r>
      <w:r>
        <w:t>with no</w:t>
      </w:r>
      <w:r w:rsidRPr="001D36C6">
        <w:t xml:space="preserve"> EGFR or ALK </w:t>
      </w:r>
      <w:r w:rsidRPr="00A4259E">
        <w:rPr>
          <w:rFonts w:cs="Arial"/>
        </w:rPr>
        <w:t xml:space="preserve">genomic </w:t>
      </w:r>
      <w:r>
        <w:rPr>
          <w:rFonts w:cs="Arial"/>
        </w:rPr>
        <w:t xml:space="preserve">tumour </w:t>
      </w:r>
      <w:r w:rsidRPr="00A4259E">
        <w:rPr>
          <w:rFonts w:cs="Arial"/>
        </w:rPr>
        <w:t>aberrations</w:t>
      </w:r>
      <w:r w:rsidRPr="001D36C6">
        <w:t>.</w:t>
      </w:r>
    </w:p>
    <w:p w14:paraId="344FBD25" w14:textId="77777777" w:rsidR="00D914B2" w:rsidRDefault="00D914B2" w:rsidP="00D914B2">
      <w:pPr>
        <w:rPr>
          <w:rFonts w:cs="Arial"/>
        </w:rPr>
      </w:pPr>
      <w:r w:rsidRPr="00CF65D1">
        <w:rPr>
          <w:rFonts w:cs="Arial"/>
        </w:rPr>
        <w:t>KEYTRUDA</w:t>
      </w:r>
      <w:r>
        <w:rPr>
          <w:rFonts w:cs="Arial"/>
          <w:vertAlign w:val="superscript"/>
        </w:rPr>
        <w:t>®</w:t>
      </w:r>
      <w:r w:rsidRPr="00CF65D1">
        <w:rPr>
          <w:rFonts w:cs="Arial"/>
        </w:rPr>
        <w:t xml:space="preserve"> is indicated for the treatment of patients with advanced NSC</w:t>
      </w:r>
      <w:r>
        <w:rPr>
          <w:rFonts w:cs="Arial"/>
        </w:rPr>
        <w:t xml:space="preserve">LC whose tumours express PD-L1 with a </w:t>
      </w:r>
      <w:r w:rsidRPr="000F5E56">
        <w:rPr>
          <w:rFonts w:cs="Arial"/>
        </w:rPr>
        <w:t>≥1%</w:t>
      </w:r>
      <w:r>
        <w:rPr>
          <w:rFonts w:cs="Arial"/>
        </w:rPr>
        <w:t xml:space="preserve"> </w:t>
      </w:r>
      <w:r w:rsidRPr="000F5E56">
        <w:rPr>
          <w:rFonts w:cs="Arial"/>
        </w:rPr>
        <w:t xml:space="preserve">TPS </w:t>
      </w:r>
      <w:r w:rsidRPr="006C5337">
        <w:rPr>
          <w:rFonts w:cs="Arial"/>
        </w:rPr>
        <w:t>as determined by a validated test</w:t>
      </w:r>
      <w:r w:rsidRPr="00CF65D1">
        <w:rPr>
          <w:rFonts w:cs="Arial"/>
        </w:rPr>
        <w:t xml:space="preserve"> and who have </w:t>
      </w:r>
      <w:r>
        <w:rPr>
          <w:rFonts w:cs="Arial"/>
        </w:rPr>
        <w:t xml:space="preserve">received </w:t>
      </w:r>
      <w:r w:rsidRPr="00CF65D1">
        <w:rPr>
          <w:rFonts w:cs="Arial"/>
        </w:rPr>
        <w:t xml:space="preserve">platinum-containing chemotherapy. Patients with EGFR or ALK genomic tumour aberrations should have </w:t>
      </w:r>
      <w:r>
        <w:rPr>
          <w:rFonts w:cs="Arial"/>
        </w:rPr>
        <w:t xml:space="preserve">received prior </w:t>
      </w:r>
      <w:r w:rsidRPr="00CF65D1">
        <w:rPr>
          <w:rFonts w:cs="Arial"/>
        </w:rPr>
        <w:t>therapy for these aberrations prior to receiving KEYTRUDA.</w:t>
      </w:r>
    </w:p>
    <w:p w14:paraId="381C4C29" w14:textId="52C886B6" w:rsidR="00C34691" w:rsidRPr="00FD4075" w:rsidRDefault="00C34691" w:rsidP="00D914B2">
      <w:r w:rsidRPr="00DF0B9D">
        <w:t>KEYTRUDA</w:t>
      </w:r>
      <w:r w:rsidRPr="001C434E">
        <w:rPr>
          <w:vertAlign w:val="superscript"/>
        </w:rPr>
        <w:t>®</w:t>
      </w:r>
      <w:r w:rsidRPr="00DF0B9D">
        <w:t xml:space="preserve"> (</w:t>
      </w:r>
      <w:proofErr w:type="spellStart"/>
      <w:r w:rsidRPr="00DF0B9D">
        <w:t>pembrolizumab</w:t>
      </w:r>
      <w:proofErr w:type="spellEnd"/>
      <w:r w:rsidRPr="00DF0B9D">
        <w:t>) is indicated for the treatment of patients with recurrent or metastatic head and neck squamous cell carcinoma (HNSCC) with disease progression on or after platinum-containing chemotherapy.</w:t>
      </w:r>
      <w:r>
        <w:t xml:space="preserve"> </w:t>
      </w:r>
      <w:r w:rsidRPr="002541D3">
        <w:t>This indication is approved based on overall response rate</w:t>
      </w:r>
      <w:r>
        <w:t xml:space="preserve"> and d</w:t>
      </w:r>
      <w:r w:rsidRPr="002541D3">
        <w:t>uration of response</w:t>
      </w:r>
      <w:r>
        <w:t>.</w:t>
      </w:r>
      <w:r w:rsidRPr="002541D3">
        <w:t xml:space="preserve"> </w:t>
      </w:r>
      <w:r>
        <w:t>I</w:t>
      </w:r>
      <w:r w:rsidRPr="002541D3">
        <w:t>mprovements in overall survival, progression-free survival or health-related quality of life have not been established</w:t>
      </w:r>
      <w:r>
        <w:t>.</w:t>
      </w:r>
    </w:p>
    <w:p w14:paraId="139DF2D7" w14:textId="20365A7E" w:rsidR="00931C42" w:rsidRDefault="00931C42" w:rsidP="00931C42">
      <w:pPr>
        <w:tabs>
          <w:tab w:val="clear" w:pos="4513"/>
        </w:tabs>
      </w:pPr>
      <w:r>
        <w:t>KEYTRUDA</w:t>
      </w:r>
      <w:r w:rsidRPr="00931C42">
        <w:rPr>
          <w:vertAlign w:val="superscript"/>
        </w:rPr>
        <w:t>®</w:t>
      </w:r>
      <w:r>
        <w:t xml:space="preserve"> as monotherapy is indicated for the treatment of adult patients with relapsed or refractory classical Hodgkin Lymphoma (cHL):</w:t>
      </w:r>
    </w:p>
    <w:p w14:paraId="603A4899" w14:textId="0C30F538" w:rsidR="00931C42" w:rsidRDefault="00931C42" w:rsidP="00931C42">
      <w:pPr>
        <w:pStyle w:val="ListParagraph"/>
        <w:numPr>
          <w:ilvl w:val="0"/>
          <w:numId w:val="36"/>
        </w:numPr>
        <w:tabs>
          <w:tab w:val="clear" w:pos="4513"/>
        </w:tabs>
      </w:pPr>
      <w:r>
        <w:t>following autologous stem cell transplant (ASCT) or</w:t>
      </w:r>
    </w:p>
    <w:p w14:paraId="2CB64BA8" w14:textId="17FB0629" w:rsidR="00931C42" w:rsidRDefault="00931C42" w:rsidP="00931C42">
      <w:pPr>
        <w:pStyle w:val="ListParagraph"/>
        <w:numPr>
          <w:ilvl w:val="0"/>
          <w:numId w:val="36"/>
        </w:numPr>
        <w:tabs>
          <w:tab w:val="clear" w:pos="4513"/>
        </w:tabs>
      </w:pPr>
      <w:proofErr w:type="gramStart"/>
      <w:r>
        <w:t>following</w:t>
      </w:r>
      <w:proofErr w:type="gramEnd"/>
      <w:r>
        <w:t xml:space="preserve"> at least two prior therapies when ASCT or multi-agent chemotherapy is not a treatment option.</w:t>
      </w:r>
    </w:p>
    <w:p w14:paraId="17E7BD3F" w14:textId="30192B8E" w:rsidR="00931C42" w:rsidRDefault="00931C42" w:rsidP="00931C42">
      <w:pPr>
        <w:tabs>
          <w:tab w:val="clear" w:pos="4513"/>
          <w:tab w:val="clear" w:pos="10348"/>
        </w:tabs>
      </w:pPr>
      <w:r>
        <w:t>The approval of this indication is on the basis of</w:t>
      </w:r>
      <w:r w:rsidR="0040720C">
        <w:t xml:space="preserve"> objective response rate (ORR). </w:t>
      </w:r>
      <w:r w:rsidRPr="0034622F">
        <w:rPr>
          <w:i/>
        </w:rPr>
        <w:t>See CLINICAL TRIALS</w:t>
      </w:r>
      <w:r w:rsidRPr="0034622F">
        <w:t>.</w:t>
      </w:r>
    </w:p>
    <w:p w14:paraId="2127C37A" w14:textId="77777777" w:rsidR="003A6F1C" w:rsidRPr="00AE1EF9" w:rsidRDefault="003A6F1C" w:rsidP="00C37383">
      <w:pPr>
        <w:pStyle w:val="Heading1"/>
        <w:rPr>
          <w:b w:val="0"/>
          <w:sz w:val="22"/>
        </w:rPr>
      </w:pPr>
      <w:r w:rsidRPr="00AE1EF9">
        <w:t>CONTRAINDICATIONS</w:t>
      </w:r>
    </w:p>
    <w:p w14:paraId="0D82D559" w14:textId="5608B86C" w:rsidR="00D058F6" w:rsidRPr="00431AB6" w:rsidRDefault="00EB0CAB" w:rsidP="00C37383">
      <w:pPr>
        <w:pStyle w:val="BodyText1"/>
        <w:spacing w:before="0"/>
        <w:ind w:firstLine="0"/>
        <w:jc w:val="both"/>
        <w:rPr>
          <w:rFonts w:ascii="Arial" w:hAnsi="Arial" w:cs="Arial"/>
          <w:sz w:val="22"/>
          <w:szCs w:val="20"/>
        </w:rPr>
      </w:pPr>
      <w:proofErr w:type="gramStart"/>
      <w:r>
        <w:rPr>
          <w:rFonts w:ascii="Arial" w:hAnsi="Arial" w:cs="Arial"/>
          <w:color w:val="000000"/>
          <w:sz w:val="22"/>
          <w:szCs w:val="20"/>
        </w:rPr>
        <w:t>None</w:t>
      </w:r>
      <w:r w:rsidR="000903B2" w:rsidRPr="00431AB6">
        <w:rPr>
          <w:rFonts w:ascii="Arial" w:hAnsi="Arial" w:cs="Arial"/>
          <w:color w:val="000000"/>
          <w:sz w:val="22"/>
          <w:szCs w:val="20"/>
        </w:rPr>
        <w:t>.</w:t>
      </w:r>
      <w:proofErr w:type="gramEnd"/>
    </w:p>
    <w:p w14:paraId="6F3F6962" w14:textId="77777777" w:rsidR="003A6F1C" w:rsidRPr="00431AB6" w:rsidRDefault="003A6F1C" w:rsidP="00C37383">
      <w:pPr>
        <w:pStyle w:val="Heading1"/>
      </w:pPr>
      <w:r w:rsidRPr="00431AB6">
        <w:t>PRECAUTIONS</w:t>
      </w:r>
    </w:p>
    <w:p w14:paraId="6EBABB53" w14:textId="77777777" w:rsidR="00D058F6" w:rsidRPr="0019477B" w:rsidRDefault="00D058F6" w:rsidP="00C37383">
      <w:pPr>
        <w:pStyle w:val="Heading2"/>
        <w:spacing w:before="0" w:after="0"/>
        <w:rPr>
          <w:rFonts w:ascii="Arial" w:hAnsi="Arial" w:cs="Arial"/>
        </w:rPr>
      </w:pPr>
      <w:r w:rsidRPr="00431AB6">
        <w:rPr>
          <w:rFonts w:ascii="Arial" w:hAnsi="Arial" w:cs="Arial"/>
        </w:rPr>
        <w:t>Immune-mediated Ad</w:t>
      </w:r>
      <w:r w:rsidRPr="0019477B">
        <w:rPr>
          <w:rFonts w:ascii="Arial" w:hAnsi="Arial" w:cs="Arial"/>
        </w:rPr>
        <w:t>verse Reactions</w:t>
      </w:r>
    </w:p>
    <w:p w14:paraId="0BD1F5BD" w14:textId="4FECA3BB" w:rsidR="000903B2" w:rsidRPr="00362DC6" w:rsidRDefault="000903B2" w:rsidP="00C34691">
      <w:r w:rsidRPr="0019477B">
        <w:rPr>
          <w:rFonts w:cs="Arial"/>
        </w:rPr>
        <w:t>Immune-mediated adverse reactions occurred in patients receiving KEYTRUDA. In clinical trials, most immune-mediated adverse reactions</w:t>
      </w:r>
      <w:r w:rsidR="00CC39C0" w:rsidRPr="00EE12B4">
        <w:rPr>
          <w:rFonts w:cs="Arial"/>
        </w:rPr>
        <w:t xml:space="preserve"> occurred during treatment,</w:t>
      </w:r>
      <w:r w:rsidRPr="00EE12B4">
        <w:rPr>
          <w:rFonts w:cs="Arial"/>
        </w:rPr>
        <w:t xml:space="preserve"> were reversible and managed with interruptions of KEYTRUDA, administration of corticosteroids and</w:t>
      </w:r>
      <w:r w:rsidR="005B08D4" w:rsidRPr="00EE12B4">
        <w:rPr>
          <w:rFonts w:cs="Arial"/>
        </w:rPr>
        <w:t>/or</w:t>
      </w:r>
      <w:r w:rsidRPr="00EE12B4">
        <w:rPr>
          <w:rFonts w:cs="Arial"/>
        </w:rPr>
        <w:t xml:space="preserve"> supportive care.</w:t>
      </w:r>
      <w:r w:rsidR="00CC39C0" w:rsidRPr="00362DC6">
        <w:rPr>
          <w:rFonts w:cs="Arial"/>
        </w:rPr>
        <w:t xml:space="preserve"> Immune-related adverse reactions have also occurred after the last dose of KEYTRUDA.</w:t>
      </w:r>
      <w:r w:rsidR="0067057B">
        <w:rPr>
          <w:rFonts w:cs="Arial"/>
        </w:rPr>
        <w:t xml:space="preserve"> </w:t>
      </w:r>
      <w:r w:rsidR="0067057B">
        <w:rPr>
          <w:noProof/>
          <w:szCs w:val="22"/>
        </w:rPr>
        <w:t>Immune-mediated adverse reactions affecting more than one body system can occur simultaneously.</w:t>
      </w:r>
    </w:p>
    <w:p w14:paraId="272F9D84" w14:textId="77777777" w:rsidR="000903B2" w:rsidRPr="004172BA" w:rsidRDefault="000903B2" w:rsidP="008476E9">
      <w:pPr>
        <w:pStyle w:val="BodyText1"/>
        <w:ind w:firstLine="0"/>
        <w:jc w:val="both"/>
        <w:rPr>
          <w:rFonts w:ascii="Arial" w:hAnsi="Arial" w:cs="Arial"/>
          <w:sz w:val="22"/>
          <w:szCs w:val="20"/>
        </w:rPr>
      </w:pPr>
      <w:r w:rsidRPr="00A97420">
        <w:rPr>
          <w:rFonts w:ascii="Arial" w:hAnsi="Arial" w:cs="Arial"/>
          <w:sz w:val="22"/>
          <w:szCs w:val="20"/>
        </w:rPr>
        <w:t xml:space="preserve">For suspected immune-mediated adverse reactions, ensure adequate evaluation to confirm etiology or exclude other causes. Based on the severity of the adverse reaction, withhold KEYTRUDA and </w:t>
      </w:r>
      <w:r w:rsidR="003B1296">
        <w:rPr>
          <w:rFonts w:ascii="Arial" w:hAnsi="Arial" w:cs="Arial"/>
          <w:sz w:val="22"/>
          <w:szCs w:val="20"/>
        </w:rPr>
        <w:t xml:space="preserve">consider </w:t>
      </w:r>
      <w:r w:rsidR="003B1296" w:rsidRPr="00A97420">
        <w:rPr>
          <w:rFonts w:ascii="Arial" w:hAnsi="Arial" w:cs="Arial"/>
          <w:sz w:val="22"/>
          <w:szCs w:val="20"/>
        </w:rPr>
        <w:t>administra</w:t>
      </w:r>
      <w:r w:rsidR="003B1296">
        <w:rPr>
          <w:rFonts w:ascii="Arial" w:hAnsi="Arial" w:cs="Arial"/>
          <w:sz w:val="22"/>
          <w:szCs w:val="20"/>
        </w:rPr>
        <w:t>tion of</w:t>
      </w:r>
      <w:r w:rsidRPr="00A97420">
        <w:rPr>
          <w:rFonts w:ascii="Arial" w:hAnsi="Arial" w:cs="Arial"/>
          <w:sz w:val="22"/>
          <w:szCs w:val="20"/>
        </w:rPr>
        <w:t xml:space="preserve"> corticosteroids. Upon improvement to Grade 1 or less, initiate corticosteroid taper and continue to taper over at least 1 month.</w:t>
      </w:r>
      <w:r w:rsidR="00205290" w:rsidRPr="002164EC">
        <w:rPr>
          <w:rFonts w:ascii="Arial" w:hAnsi="Arial" w:cs="Arial"/>
        </w:rPr>
        <w:t xml:space="preserve"> </w:t>
      </w:r>
      <w:r w:rsidR="00205290" w:rsidRPr="004172BA">
        <w:rPr>
          <w:rFonts w:ascii="Arial" w:hAnsi="Arial" w:cs="Arial"/>
          <w:sz w:val="22"/>
          <w:szCs w:val="20"/>
        </w:rPr>
        <w:t>Based on limited data from clinical studies i</w:t>
      </w:r>
      <w:r w:rsidR="00205290" w:rsidRPr="00343CB7">
        <w:rPr>
          <w:rFonts w:ascii="Arial" w:hAnsi="Arial" w:cs="Arial"/>
          <w:sz w:val="22"/>
          <w:szCs w:val="20"/>
        </w:rPr>
        <w:t>n patients whose immune-related adverse reactions could not be controlled with corticosteroid use, administration of other systemic immunosuppressants can be considered.</w:t>
      </w:r>
      <w:r w:rsidRPr="004172BA">
        <w:rPr>
          <w:rFonts w:ascii="Arial" w:hAnsi="Arial" w:cs="Arial"/>
          <w:sz w:val="22"/>
          <w:szCs w:val="20"/>
        </w:rPr>
        <w:t xml:space="preserve"> Restart KEYTRUDA if the adverse reaction remains at Grade 1 or less</w:t>
      </w:r>
      <w:r w:rsidR="00E749B9" w:rsidRPr="00343CB7">
        <w:rPr>
          <w:rFonts w:ascii="Arial" w:hAnsi="Arial" w:cs="Arial"/>
          <w:sz w:val="22"/>
          <w:szCs w:val="20"/>
        </w:rPr>
        <w:t xml:space="preserve"> </w:t>
      </w:r>
      <w:r w:rsidR="00C624D9">
        <w:rPr>
          <w:rFonts w:ascii="Arial" w:hAnsi="Arial" w:cs="Arial"/>
          <w:sz w:val="22"/>
          <w:szCs w:val="20"/>
        </w:rPr>
        <w:t xml:space="preserve">following corticosteroid </w:t>
      </w:r>
      <w:proofErr w:type="gramStart"/>
      <w:r w:rsidR="00C624D9">
        <w:rPr>
          <w:rFonts w:ascii="Arial" w:hAnsi="Arial" w:cs="Arial"/>
          <w:sz w:val="22"/>
          <w:szCs w:val="20"/>
        </w:rPr>
        <w:t>taper</w:t>
      </w:r>
      <w:proofErr w:type="gramEnd"/>
      <w:r w:rsidR="00C624D9">
        <w:rPr>
          <w:rFonts w:ascii="Arial" w:hAnsi="Arial" w:cs="Arial"/>
          <w:sz w:val="22"/>
          <w:szCs w:val="20"/>
        </w:rPr>
        <w:t xml:space="preserve">. </w:t>
      </w:r>
      <w:r w:rsidRPr="00343CB7">
        <w:rPr>
          <w:rFonts w:ascii="Arial" w:hAnsi="Arial" w:cs="Arial"/>
          <w:sz w:val="22"/>
          <w:szCs w:val="20"/>
        </w:rPr>
        <w:t>If another episode of a severe adverse reaction occurs, permanently discontinue KEYTRUDA</w:t>
      </w:r>
      <w:r w:rsidR="00BE663E" w:rsidRPr="00343CB7">
        <w:rPr>
          <w:rFonts w:ascii="Arial" w:hAnsi="Arial" w:cs="Arial"/>
          <w:sz w:val="22"/>
          <w:szCs w:val="20"/>
        </w:rPr>
        <w:t xml:space="preserve"> </w:t>
      </w:r>
      <w:r w:rsidR="00BE663E" w:rsidRPr="002164EC">
        <w:rPr>
          <w:rFonts w:ascii="Arial" w:hAnsi="Arial" w:cs="Arial"/>
          <w:i/>
          <w:sz w:val="22"/>
          <w:lang w:val="en-AU" w:eastAsia="en-AU"/>
        </w:rPr>
        <w:t>[See DOSAGE AND ADMINISTRATION and ADVERSE EFFECTS]</w:t>
      </w:r>
      <w:r w:rsidR="00BE663E" w:rsidRPr="002164EC">
        <w:rPr>
          <w:rFonts w:ascii="Arial" w:hAnsi="Arial" w:cs="Arial"/>
          <w:sz w:val="22"/>
          <w:lang w:val="en-AU" w:eastAsia="en-AU"/>
        </w:rPr>
        <w:t>.</w:t>
      </w:r>
    </w:p>
    <w:p w14:paraId="5777161F" w14:textId="77777777" w:rsidR="000903B2" w:rsidRPr="002164EC" w:rsidRDefault="000903B2" w:rsidP="008476E9">
      <w:pPr>
        <w:pStyle w:val="Heading2"/>
        <w:spacing w:before="0" w:after="0"/>
        <w:rPr>
          <w:rFonts w:ascii="Arial" w:hAnsi="Arial" w:cs="Arial"/>
        </w:rPr>
      </w:pPr>
      <w:r w:rsidRPr="009F14D7">
        <w:rPr>
          <w:rFonts w:ascii="Arial" w:hAnsi="Arial" w:cs="Arial"/>
        </w:rPr>
        <w:t>Immune-</w:t>
      </w:r>
      <w:r w:rsidRPr="002164EC">
        <w:rPr>
          <w:rFonts w:ascii="Arial" w:hAnsi="Arial" w:cs="Arial"/>
        </w:rPr>
        <w:t>mediated pneumonitis</w:t>
      </w:r>
    </w:p>
    <w:p w14:paraId="546BF76D" w14:textId="77777777" w:rsidR="000B4EB3" w:rsidRDefault="001804BB" w:rsidP="008476E9">
      <w:pPr>
        <w:pStyle w:val="BodyText1"/>
        <w:ind w:firstLine="0"/>
        <w:jc w:val="both"/>
        <w:rPr>
          <w:rFonts w:ascii="Arial" w:hAnsi="Arial" w:cs="Arial"/>
          <w:sz w:val="22"/>
          <w:szCs w:val="20"/>
        </w:rPr>
      </w:pPr>
      <w:r w:rsidRPr="001804BB">
        <w:rPr>
          <w:rFonts w:ascii="Arial" w:hAnsi="Arial" w:cs="Arial"/>
          <w:sz w:val="22"/>
          <w:szCs w:val="20"/>
        </w:rPr>
        <w:t>Pneumonitis (including fatal cases) has been reported in patients receiving KEYTRUDA</w:t>
      </w:r>
      <w:r w:rsidR="00A008C4">
        <w:rPr>
          <w:rFonts w:ascii="Arial" w:hAnsi="Arial" w:cs="Arial"/>
          <w:sz w:val="22"/>
          <w:szCs w:val="20"/>
        </w:rPr>
        <w:t xml:space="preserve"> </w:t>
      </w:r>
      <w:r w:rsidR="00A008C4" w:rsidRPr="00CE3457">
        <w:rPr>
          <w:rFonts w:ascii="Arial" w:hAnsi="Arial" w:cs="Arial"/>
          <w:i/>
          <w:sz w:val="22"/>
          <w:szCs w:val="22"/>
        </w:rPr>
        <w:t>[See ADVERSE EFFECTS]</w:t>
      </w:r>
      <w:r w:rsidRPr="001804BB">
        <w:rPr>
          <w:rFonts w:ascii="Arial" w:hAnsi="Arial" w:cs="Arial"/>
          <w:sz w:val="22"/>
          <w:szCs w:val="20"/>
        </w:rPr>
        <w:t>.</w:t>
      </w:r>
    </w:p>
    <w:p w14:paraId="0E8D8E59" w14:textId="14F6A02F" w:rsidR="003E3ACF" w:rsidRPr="004172BA" w:rsidRDefault="000903B2" w:rsidP="003E3ACF">
      <w:pPr>
        <w:pStyle w:val="BodyText1"/>
        <w:ind w:firstLine="0"/>
        <w:jc w:val="both"/>
        <w:rPr>
          <w:rFonts w:ascii="Arial" w:hAnsi="Arial" w:cs="Arial"/>
          <w:sz w:val="22"/>
          <w:szCs w:val="20"/>
        </w:rPr>
      </w:pPr>
      <w:r w:rsidRPr="00AE1EF9">
        <w:rPr>
          <w:rFonts w:ascii="Arial" w:hAnsi="Arial" w:cs="Arial"/>
          <w:sz w:val="22"/>
          <w:szCs w:val="20"/>
        </w:rPr>
        <w:t xml:space="preserve">Monitor patients for signs and symptoms of pneumonitis. If pneumonitis is </w:t>
      </w:r>
      <w:r w:rsidRPr="00A04553">
        <w:rPr>
          <w:rFonts w:ascii="Arial" w:hAnsi="Arial" w:cs="Arial"/>
          <w:sz w:val="22"/>
          <w:szCs w:val="20"/>
        </w:rPr>
        <w:t>suspected, evaluate with radiographic imaging</w:t>
      </w:r>
      <w:r w:rsidR="00CC39C0" w:rsidRPr="00A04553">
        <w:rPr>
          <w:rFonts w:ascii="Arial" w:hAnsi="Arial" w:cs="Arial"/>
          <w:sz w:val="22"/>
          <w:szCs w:val="20"/>
        </w:rPr>
        <w:t xml:space="preserve"> and e</w:t>
      </w:r>
      <w:r w:rsidRPr="00431AB6">
        <w:rPr>
          <w:rFonts w:ascii="Arial" w:hAnsi="Arial" w:cs="Arial"/>
          <w:sz w:val="22"/>
          <w:szCs w:val="20"/>
        </w:rPr>
        <w:t>xclude other causes. Administer corticosteroids</w:t>
      </w:r>
      <w:r w:rsidR="00CC39C0" w:rsidRPr="00431AB6">
        <w:rPr>
          <w:rFonts w:ascii="Arial" w:hAnsi="Arial" w:cs="Arial"/>
          <w:sz w:val="22"/>
          <w:szCs w:val="20"/>
        </w:rPr>
        <w:t xml:space="preserve"> for Grade 2 or greater</w:t>
      </w:r>
      <w:r w:rsidR="00A008C4">
        <w:rPr>
          <w:rFonts w:ascii="Arial" w:hAnsi="Arial" w:cs="Arial"/>
          <w:sz w:val="22"/>
          <w:szCs w:val="20"/>
        </w:rPr>
        <w:t xml:space="preserve"> </w:t>
      </w:r>
      <w:r w:rsidR="00A008C4">
        <w:rPr>
          <w:rFonts w:ascii="Arial" w:hAnsi="Arial" w:cs="Arial"/>
          <w:sz w:val="22"/>
          <w:szCs w:val="20"/>
        </w:rPr>
        <w:lastRenderedPageBreak/>
        <w:t>events (initial dose of 1-2 mg/kg/day prednisone or equivalent followed by a taper)</w:t>
      </w:r>
      <w:r w:rsidRPr="0019477B">
        <w:rPr>
          <w:rFonts w:ascii="Arial" w:hAnsi="Arial" w:cs="Arial"/>
          <w:sz w:val="22"/>
          <w:szCs w:val="20"/>
        </w:rPr>
        <w:t xml:space="preserve">, </w:t>
      </w:r>
      <w:r w:rsidRPr="004172BA">
        <w:rPr>
          <w:rFonts w:ascii="Arial" w:hAnsi="Arial" w:cs="Arial"/>
          <w:sz w:val="22"/>
          <w:szCs w:val="20"/>
        </w:rPr>
        <w:t>withhold KEYTRUDA for moderate (Grade 2) pneumonitis, and permanently discontinue KEYTRUDA for severe (Grade 3)</w:t>
      </w:r>
      <w:r w:rsidR="00AA79AC" w:rsidRPr="00343CB7">
        <w:rPr>
          <w:rFonts w:ascii="Arial" w:hAnsi="Arial" w:cs="Arial"/>
          <w:sz w:val="22"/>
          <w:szCs w:val="20"/>
        </w:rPr>
        <w:t>,</w:t>
      </w:r>
      <w:r w:rsidRPr="00343CB7">
        <w:rPr>
          <w:rFonts w:ascii="Arial" w:hAnsi="Arial" w:cs="Arial"/>
          <w:sz w:val="22"/>
          <w:szCs w:val="20"/>
        </w:rPr>
        <w:t xml:space="preserve"> life-threatening (Grade 4)</w:t>
      </w:r>
      <w:r w:rsidR="00AA79AC" w:rsidRPr="00343CB7">
        <w:rPr>
          <w:rFonts w:ascii="Arial" w:hAnsi="Arial" w:cs="Arial"/>
          <w:sz w:val="22"/>
          <w:szCs w:val="20"/>
        </w:rPr>
        <w:t xml:space="preserve"> or recurrent moderate (Grade 2)</w:t>
      </w:r>
      <w:r w:rsidRPr="00343CB7">
        <w:rPr>
          <w:rFonts w:ascii="Arial" w:hAnsi="Arial" w:cs="Arial"/>
          <w:sz w:val="22"/>
          <w:szCs w:val="20"/>
        </w:rPr>
        <w:t xml:space="preserve"> </w:t>
      </w:r>
      <w:r w:rsidRPr="004172BA">
        <w:rPr>
          <w:rFonts w:ascii="Arial" w:hAnsi="Arial" w:cs="Arial"/>
          <w:sz w:val="22"/>
          <w:szCs w:val="20"/>
        </w:rPr>
        <w:t>pneumonitis</w:t>
      </w:r>
      <w:r w:rsidR="00BE663E" w:rsidRPr="004172BA">
        <w:rPr>
          <w:rFonts w:ascii="Arial" w:hAnsi="Arial" w:cs="Arial"/>
          <w:sz w:val="22"/>
          <w:szCs w:val="20"/>
        </w:rPr>
        <w:t xml:space="preserve"> </w:t>
      </w:r>
      <w:r w:rsidR="00BE663E" w:rsidRPr="002164EC">
        <w:rPr>
          <w:rFonts w:ascii="Arial" w:hAnsi="Arial" w:cs="Arial"/>
          <w:i/>
          <w:sz w:val="22"/>
          <w:lang w:val="en-AU" w:eastAsia="en-AU"/>
        </w:rPr>
        <w:t>[See DOSAGE AND ADMINISTRATION</w:t>
      </w:r>
      <w:r w:rsidR="00CC39C0" w:rsidRPr="002164EC">
        <w:rPr>
          <w:rFonts w:ascii="Arial" w:hAnsi="Arial" w:cs="Arial"/>
          <w:i/>
          <w:sz w:val="22"/>
          <w:lang w:val="en-AU" w:eastAsia="en-AU"/>
        </w:rPr>
        <w:t>, ADVERSE EFFECTS</w:t>
      </w:r>
      <w:r w:rsidR="003345BB" w:rsidRPr="002164EC">
        <w:rPr>
          <w:rFonts w:ascii="Arial" w:hAnsi="Arial" w:cs="Arial"/>
          <w:i/>
          <w:sz w:val="22"/>
          <w:lang w:val="en-AU" w:eastAsia="en-AU"/>
        </w:rPr>
        <w:t xml:space="preserve"> and Immune-mediated Adverse Reactions above</w:t>
      </w:r>
      <w:r w:rsidR="00BE663E" w:rsidRPr="002164EC">
        <w:rPr>
          <w:rFonts w:ascii="Arial" w:hAnsi="Arial" w:cs="Arial"/>
          <w:i/>
          <w:sz w:val="22"/>
          <w:lang w:val="en-AU" w:eastAsia="en-AU"/>
        </w:rPr>
        <w:t>]</w:t>
      </w:r>
      <w:r w:rsidR="00BE663E" w:rsidRPr="002164EC">
        <w:rPr>
          <w:rFonts w:ascii="Arial" w:hAnsi="Arial" w:cs="Arial"/>
          <w:sz w:val="22"/>
          <w:lang w:val="en-AU" w:eastAsia="en-AU"/>
        </w:rPr>
        <w:t>.</w:t>
      </w:r>
    </w:p>
    <w:p w14:paraId="310024BC" w14:textId="77777777" w:rsidR="000903B2" w:rsidRPr="009F14D7" w:rsidRDefault="000903B2" w:rsidP="008476E9">
      <w:pPr>
        <w:pStyle w:val="Heading2"/>
        <w:spacing w:before="0" w:after="0"/>
        <w:rPr>
          <w:rFonts w:ascii="Arial" w:hAnsi="Arial" w:cs="Arial"/>
        </w:rPr>
      </w:pPr>
      <w:r w:rsidRPr="009F14D7">
        <w:rPr>
          <w:rFonts w:ascii="Arial" w:hAnsi="Arial" w:cs="Arial"/>
        </w:rPr>
        <w:t>Immune-mediated colitis</w:t>
      </w:r>
    </w:p>
    <w:p w14:paraId="6D8E1A95" w14:textId="77777777" w:rsidR="00CC39C0" w:rsidRPr="00AE1EF9" w:rsidRDefault="00A008C4" w:rsidP="00010E35">
      <w:pPr>
        <w:pStyle w:val="BodyText1"/>
        <w:ind w:firstLine="0"/>
        <w:jc w:val="both"/>
        <w:rPr>
          <w:rFonts w:ascii="Arial" w:hAnsi="Arial" w:cs="Arial"/>
          <w:sz w:val="22"/>
          <w:szCs w:val="20"/>
        </w:rPr>
      </w:pPr>
      <w:r w:rsidRPr="00310188">
        <w:rPr>
          <w:rFonts w:ascii="Arial" w:hAnsi="Arial" w:cs="Arial"/>
          <w:sz w:val="22"/>
          <w:szCs w:val="22"/>
        </w:rPr>
        <w:t xml:space="preserve">Colitis has been reported in patients receiving KEYTRUDA </w:t>
      </w:r>
      <w:r w:rsidRPr="00CE3457">
        <w:rPr>
          <w:rFonts w:ascii="Arial" w:hAnsi="Arial" w:cs="Arial"/>
          <w:i/>
          <w:sz w:val="22"/>
          <w:szCs w:val="22"/>
        </w:rPr>
        <w:t>[See ADVERSE EFFECTS]</w:t>
      </w:r>
      <w:r w:rsidRPr="00310188">
        <w:rPr>
          <w:rFonts w:ascii="Arial" w:hAnsi="Arial" w:cs="Arial"/>
          <w:sz w:val="22"/>
          <w:szCs w:val="22"/>
        </w:rPr>
        <w:t>.</w:t>
      </w:r>
    </w:p>
    <w:p w14:paraId="087664B4" w14:textId="77777777" w:rsidR="00010E35" w:rsidRPr="00C0380B" w:rsidRDefault="000903B2" w:rsidP="00010E35">
      <w:pPr>
        <w:pStyle w:val="BodyText1"/>
        <w:ind w:firstLine="0"/>
        <w:jc w:val="both"/>
        <w:rPr>
          <w:rFonts w:ascii="Arial" w:hAnsi="Arial" w:cs="Arial"/>
          <w:sz w:val="22"/>
          <w:szCs w:val="20"/>
        </w:rPr>
      </w:pPr>
      <w:r w:rsidRPr="00A04553">
        <w:rPr>
          <w:rFonts w:ascii="Arial" w:hAnsi="Arial" w:cs="Arial"/>
          <w:sz w:val="22"/>
          <w:szCs w:val="20"/>
        </w:rPr>
        <w:t>Monitor patients for signs and symptoms of colitis</w:t>
      </w:r>
      <w:r w:rsidR="00CC39C0" w:rsidRPr="00431AB6">
        <w:rPr>
          <w:rFonts w:ascii="Arial" w:hAnsi="Arial" w:cs="Arial"/>
          <w:sz w:val="22"/>
          <w:szCs w:val="20"/>
        </w:rPr>
        <w:t xml:space="preserve"> and e</w:t>
      </w:r>
      <w:r w:rsidRPr="00431AB6">
        <w:rPr>
          <w:rFonts w:ascii="Arial" w:hAnsi="Arial" w:cs="Arial"/>
          <w:sz w:val="22"/>
          <w:szCs w:val="20"/>
        </w:rPr>
        <w:t>xclude other causes. Administer corticosteroids</w:t>
      </w:r>
      <w:r w:rsidR="00CC39C0" w:rsidRPr="0019477B">
        <w:rPr>
          <w:rFonts w:ascii="Arial" w:hAnsi="Arial" w:cs="Arial"/>
          <w:sz w:val="22"/>
          <w:szCs w:val="20"/>
        </w:rPr>
        <w:t xml:space="preserve"> for Grade 2 or greater </w:t>
      </w:r>
      <w:r w:rsidR="00427725" w:rsidRPr="00427725">
        <w:rPr>
          <w:rFonts w:ascii="Arial" w:hAnsi="Arial" w:cs="Arial"/>
          <w:sz w:val="22"/>
          <w:szCs w:val="20"/>
        </w:rPr>
        <w:t xml:space="preserve">events (initial dose of 1-2 mg/kg/day prednisone or </w:t>
      </w:r>
      <w:r w:rsidR="00427725">
        <w:rPr>
          <w:rFonts w:ascii="Arial" w:hAnsi="Arial" w:cs="Arial"/>
          <w:sz w:val="22"/>
          <w:szCs w:val="20"/>
        </w:rPr>
        <w:t>equivalent followed by a taper)</w:t>
      </w:r>
      <w:r w:rsidRPr="004172BA">
        <w:rPr>
          <w:rFonts w:ascii="Arial" w:hAnsi="Arial" w:cs="Arial"/>
          <w:sz w:val="22"/>
          <w:szCs w:val="20"/>
        </w:rPr>
        <w:t>, withhold KEYTRUDA for moderate (Grade 2) or severe (Grade 3) colitis, and permanently discontinue KEYTRUDA for life-threatening (Grade 4) colitis</w:t>
      </w:r>
      <w:r w:rsidR="00BE663E" w:rsidRPr="004172BA">
        <w:rPr>
          <w:rFonts w:ascii="Arial" w:hAnsi="Arial" w:cs="Arial"/>
          <w:sz w:val="22"/>
          <w:szCs w:val="20"/>
        </w:rPr>
        <w:t xml:space="preserve"> </w:t>
      </w:r>
      <w:r w:rsidR="00BE663E" w:rsidRPr="00187C95">
        <w:rPr>
          <w:rFonts w:ascii="Arial" w:hAnsi="Arial" w:cs="Arial"/>
          <w:i/>
          <w:sz w:val="22"/>
          <w:lang w:val="en-AU" w:eastAsia="en-AU"/>
        </w:rPr>
        <w:t>[See DOSAGE AND ADMINISTRATION</w:t>
      </w:r>
      <w:r w:rsidR="00CC39C0" w:rsidRPr="00187C95">
        <w:rPr>
          <w:rFonts w:ascii="Arial" w:hAnsi="Arial" w:cs="Arial"/>
          <w:i/>
          <w:sz w:val="22"/>
          <w:lang w:val="en-AU" w:eastAsia="en-AU"/>
        </w:rPr>
        <w:t>, ADVERSE EFFECTS</w:t>
      </w:r>
      <w:r w:rsidR="003345BB" w:rsidRPr="00187C95">
        <w:rPr>
          <w:rFonts w:ascii="Arial" w:hAnsi="Arial" w:cs="Arial"/>
          <w:i/>
          <w:sz w:val="22"/>
          <w:lang w:val="en-AU" w:eastAsia="en-AU"/>
        </w:rPr>
        <w:t xml:space="preserve"> and Immune-mediated Adverse Reactions above</w:t>
      </w:r>
      <w:r w:rsidR="00BE663E" w:rsidRPr="00187C95">
        <w:rPr>
          <w:rFonts w:ascii="Arial" w:hAnsi="Arial" w:cs="Arial"/>
          <w:i/>
          <w:sz w:val="22"/>
          <w:lang w:val="en-AU" w:eastAsia="en-AU"/>
        </w:rPr>
        <w:t>]</w:t>
      </w:r>
      <w:r w:rsidR="00BE663E" w:rsidRPr="00187C95">
        <w:rPr>
          <w:rFonts w:ascii="Arial" w:hAnsi="Arial" w:cs="Arial"/>
          <w:sz w:val="22"/>
          <w:lang w:val="en-AU" w:eastAsia="en-AU"/>
        </w:rPr>
        <w:t xml:space="preserve">. </w:t>
      </w:r>
      <w:r w:rsidR="00C0380B" w:rsidRPr="00C0380B">
        <w:rPr>
          <w:rFonts w:ascii="Arial" w:hAnsi="Arial" w:cs="Arial"/>
          <w:sz w:val="22"/>
          <w:szCs w:val="20"/>
        </w:rPr>
        <w:t>The potential risk of gastrointestinal perforation should be taken into consideration.</w:t>
      </w:r>
    </w:p>
    <w:p w14:paraId="0383A65C" w14:textId="21E75E33" w:rsidR="000903B2" w:rsidRPr="00343CB7" w:rsidRDefault="000903B2" w:rsidP="008476E9">
      <w:pPr>
        <w:pStyle w:val="Heading2"/>
        <w:spacing w:before="0" w:after="0"/>
        <w:rPr>
          <w:rFonts w:ascii="Arial" w:hAnsi="Arial" w:cs="Arial"/>
        </w:rPr>
      </w:pPr>
      <w:r w:rsidRPr="00343CB7">
        <w:rPr>
          <w:rFonts w:ascii="Arial" w:hAnsi="Arial" w:cs="Arial"/>
        </w:rPr>
        <w:t>Immune-mediated hepatitis</w:t>
      </w:r>
    </w:p>
    <w:p w14:paraId="1158B649" w14:textId="77777777" w:rsidR="000B4EB3" w:rsidRDefault="00A008C4" w:rsidP="00010E35">
      <w:pPr>
        <w:pStyle w:val="BodyText1"/>
        <w:ind w:firstLine="0"/>
        <w:jc w:val="both"/>
        <w:rPr>
          <w:rFonts w:ascii="Arial" w:hAnsi="Arial" w:cs="Arial"/>
          <w:sz w:val="22"/>
          <w:szCs w:val="22"/>
        </w:rPr>
      </w:pPr>
      <w:r w:rsidRPr="00310188">
        <w:rPr>
          <w:rFonts w:ascii="Arial" w:hAnsi="Arial" w:cs="Arial"/>
          <w:sz w:val="22"/>
          <w:szCs w:val="22"/>
        </w:rPr>
        <w:t xml:space="preserve">Hepatitis has been reported in patients receiving KEYTRUDA </w:t>
      </w:r>
      <w:r w:rsidRPr="00CE3457">
        <w:rPr>
          <w:rFonts w:ascii="Arial" w:hAnsi="Arial" w:cs="Arial"/>
          <w:i/>
          <w:sz w:val="22"/>
          <w:szCs w:val="22"/>
        </w:rPr>
        <w:t>[See ADVERSE EFFECTS]</w:t>
      </w:r>
      <w:r w:rsidRPr="00310188">
        <w:rPr>
          <w:rFonts w:ascii="Arial" w:hAnsi="Arial" w:cs="Arial"/>
          <w:sz w:val="22"/>
          <w:szCs w:val="22"/>
        </w:rPr>
        <w:t>.</w:t>
      </w:r>
    </w:p>
    <w:p w14:paraId="26280430" w14:textId="4CFFEDF5" w:rsidR="00010E35" w:rsidRPr="00187C95" w:rsidRDefault="000903B2" w:rsidP="00010E35">
      <w:pPr>
        <w:pStyle w:val="BodyText1"/>
        <w:ind w:firstLine="0"/>
        <w:jc w:val="both"/>
        <w:rPr>
          <w:rFonts w:ascii="Arial" w:hAnsi="Arial" w:cs="Arial"/>
          <w:sz w:val="22"/>
          <w:lang w:val="en-AU" w:eastAsia="en-AU"/>
        </w:rPr>
      </w:pPr>
      <w:r w:rsidRPr="00AE1EF9">
        <w:rPr>
          <w:rFonts w:ascii="Arial" w:hAnsi="Arial" w:cs="Arial"/>
          <w:sz w:val="22"/>
          <w:szCs w:val="20"/>
        </w:rPr>
        <w:t>Monitor patients for changes in liver function (at the start of treatment, periodically during treatment and as indicated based on clinical evaluation) and symptoms of hepatitis</w:t>
      </w:r>
      <w:r w:rsidR="00CC39C0" w:rsidRPr="00AE1EF9">
        <w:rPr>
          <w:rFonts w:ascii="Arial" w:hAnsi="Arial" w:cs="Arial"/>
          <w:sz w:val="22"/>
          <w:szCs w:val="20"/>
        </w:rPr>
        <w:t xml:space="preserve"> and e</w:t>
      </w:r>
      <w:r w:rsidRPr="00A04553">
        <w:rPr>
          <w:rFonts w:ascii="Arial" w:hAnsi="Arial" w:cs="Arial"/>
          <w:sz w:val="22"/>
          <w:szCs w:val="20"/>
        </w:rPr>
        <w:t>xclude other causes. Administer corticosteroids</w:t>
      </w:r>
      <w:r w:rsidR="00CC39C0" w:rsidRPr="00A04553">
        <w:rPr>
          <w:rFonts w:ascii="Arial" w:hAnsi="Arial" w:cs="Arial"/>
          <w:sz w:val="22"/>
          <w:szCs w:val="20"/>
        </w:rPr>
        <w:t xml:space="preserve"> </w:t>
      </w:r>
      <w:r w:rsidR="00427725" w:rsidRPr="00427725">
        <w:rPr>
          <w:rFonts w:ascii="Arial" w:hAnsi="Arial" w:cs="Arial"/>
          <w:sz w:val="22"/>
          <w:szCs w:val="20"/>
        </w:rPr>
        <w:t>(initial dose of 0.5-1 mg/kg/day [</w:t>
      </w:r>
      <w:r w:rsidR="00CC39C0" w:rsidRPr="00431AB6">
        <w:rPr>
          <w:rFonts w:ascii="Arial" w:hAnsi="Arial" w:cs="Arial"/>
          <w:sz w:val="22"/>
          <w:szCs w:val="20"/>
        </w:rPr>
        <w:t>for Grade 2</w:t>
      </w:r>
      <w:r w:rsidR="00427725" w:rsidRPr="00427725">
        <w:rPr>
          <w:rFonts w:ascii="Arial" w:hAnsi="Arial" w:cs="Arial"/>
          <w:sz w:val="22"/>
          <w:szCs w:val="20"/>
        </w:rPr>
        <w:t xml:space="preserve"> events] and 1-2 mg/kg/day [for Grade 3 or greater events] prednisone or equivalent followed by a taper)</w:t>
      </w:r>
      <w:r w:rsidRPr="0019477B">
        <w:rPr>
          <w:rFonts w:ascii="Arial" w:hAnsi="Arial" w:cs="Arial"/>
          <w:sz w:val="22"/>
          <w:szCs w:val="20"/>
        </w:rPr>
        <w:t xml:space="preserve"> </w:t>
      </w:r>
      <w:r w:rsidRPr="004172BA">
        <w:rPr>
          <w:rFonts w:ascii="Arial" w:hAnsi="Arial" w:cs="Arial"/>
          <w:sz w:val="22"/>
          <w:szCs w:val="20"/>
        </w:rPr>
        <w:t>and, based on severity of liver enzyme elevations, withhold or discontinue KEYTRUDA</w:t>
      </w:r>
      <w:r w:rsidR="00EA5B09" w:rsidRPr="004172BA">
        <w:rPr>
          <w:rFonts w:ascii="Arial" w:hAnsi="Arial" w:cs="Arial"/>
          <w:sz w:val="22"/>
          <w:szCs w:val="20"/>
        </w:rPr>
        <w:t xml:space="preserve"> </w:t>
      </w:r>
      <w:r w:rsidR="00EA5B09" w:rsidRPr="00187C95">
        <w:rPr>
          <w:rFonts w:ascii="Arial" w:hAnsi="Arial" w:cs="Arial"/>
          <w:i/>
          <w:sz w:val="22"/>
          <w:lang w:val="en-AU" w:eastAsia="en-AU"/>
        </w:rPr>
        <w:t>[See DOSAGE AND ADMINISTRATION</w:t>
      </w:r>
      <w:r w:rsidR="00CC39C0" w:rsidRPr="00187C95">
        <w:rPr>
          <w:rFonts w:ascii="Arial" w:hAnsi="Arial" w:cs="Arial"/>
          <w:i/>
          <w:sz w:val="22"/>
          <w:lang w:val="en-AU" w:eastAsia="en-AU"/>
        </w:rPr>
        <w:t>, ADVERSE EFFECTS</w:t>
      </w:r>
      <w:r w:rsidR="003345BB" w:rsidRPr="00187C95">
        <w:rPr>
          <w:rFonts w:ascii="Arial" w:hAnsi="Arial" w:cs="Arial"/>
          <w:i/>
          <w:sz w:val="22"/>
          <w:lang w:val="en-AU" w:eastAsia="en-AU"/>
        </w:rPr>
        <w:t xml:space="preserve"> and Immune-mediated Adverse Reactions above</w:t>
      </w:r>
      <w:r w:rsidR="00EA5B09" w:rsidRPr="00187C95">
        <w:rPr>
          <w:rFonts w:ascii="Arial" w:hAnsi="Arial" w:cs="Arial"/>
          <w:i/>
          <w:sz w:val="22"/>
          <w:lang w:val="en-AU" w:eastAsia="en-AU"/>
        </w:rPr>
        <w:t>]</w:t>
      </w:r>
      <w:r w:rsidR="00EA5B09" w:rsidRPr="00187C95">
        <w:rPr>
          <w:rFonts w:ascii="Arial" w:hAnsi="Arial" w:cs="Arial"/>
          <w:sz w:val="22"/>
          <w:lang w:val="en-AU" w:eastAsia="en-AU"/>
        </w:rPr>
        <w:t>.</w:t>
      </w:r>
    </w:p>
    <w:p w14:paraId="63026AC5" w14:textId="77777777" w:rsidR="005B08D4" w:rsidRPr="00187C95" w:rsidRDefault="005B08D4" w:rsidP="00EE12B4">
      <w:pPr>
        <w:pStyle w:val="Heading2"/>
        <w:rPr>
          <w:rFonts w:ascii="Arial" w:hAnsi="Arial" w:cs="Arial"/>
        </w:rPr>
      </w:pPr>
      <w:r w:rsidRPr="00187C95">
        <w:rPr>
          <w:rFonts w:ascii="Arial" w:hAnsi="Arial" w:cs="Arial"/>
        </w:rPr>
        <w:t>Immune-mediated nephritis</w:t>
      </w:r>
    </w:p>
    <w:p w14:paraId="5BA70951" w14:textId="77777777" w:rsidR="000B4EB3" w:rsidRDefault="00A008C4" w:rsidP="008476E9">
      <w:pPr>
        <w:pStyle w:val="BodyText1"/>
        <w:ind w:firstLine="0"/>
        <w:jc w:val="both"/>
        <w:rPr>
          <w:rFonts w:ascii="Arial" w:hAnsi="Arial" w:cs="Arial"/>
          <w:sz w:val="22"/>
          <w:szCs w:val="20"/>
        </w:rPr>
      </w:pPr>
      <w:r w:rsidRPr="00310188">
        <w:rPr>
          <w:rFonts w:ascii="Arial" w:hAnsi="Arial" w:cs="Arial"/>
          <w:sz w:val="22"/>
          <w:szCs w:val="20"/>
        </w:rPr>
        <w:t xml:space="preserve">Nephritis has been reported in patients receiving KEYTRUDA </w:t>
      </w:r>
      <w:r w:rsidRPr="00CE3457">
        <w:rPr>
          <w:rFonts w:ascii="Arial" w:hAnsi="Arial" w:cs="Arial"/>
          <w:i/>
          <w:sz w:val="22"/>
          <w:szCs w:val="20"/>
        </w:rPr>
        <w:t>[See ADVERSE EFFECTS]</w:t>
      </w:r>
      <w:r w:rsidRPr="00310188">
        <w:rPr>
          <w:rFonts w:ascii="Arial" w:hAnsi="Arial" w:cs="Arial"/>
          <w:sz w:val="22"/>
          <w:szCs w:val="20"/>
        </w:rPr>
        <w:t>.</w:t>
      </w:r>
    </w:p>
    <w:p w14:paraId="6337511C" w14:textId="1355BFAD" w:rsidR="00010E35" w:rsidRPr="004172BA" w:rsidRDefault="005B08D4" w:rsidP="00010E35">
      <w:pPr>
        <w:pStyle w:val="BodyText1"/>
        <w:ind w:firstLine="0"/>
        <w:jc w:val="both"/>
        <w:rPr>
          <w:rFonts w:ascii="Arial" w:hAnsi="Arial" w:cs="Arial"/>
          <w:sz w:val="22"/>
          <w:szCs w:val="20"/>
        </w:rPr>
      </w:pPr>
      <w:r w:rsidRPr="00343CB7">
        <w:rPr>
          <w:rFonts w:ascii="Arial" w:hAnsi="Arial" w:cs="Arial"/>
          <w:sz w:val="22"/>
          <w:szCs w:val="20"/>
        </w:rPr>
        <w:t>Monitor patients for changes in renal function</w:t>
      </w:r>
      <w:r w:rsidR="00943006" w:rsidRPr="00343CB7">
        <w:rPr>
          <w:rFonts w:ascii="Arial" w:hAnsi="Arial" w:cs="Arial"/>
          <w:sz w:val="22"/>
          <w:szCs w:val="20"/>
        </w:rPr>
        <w:t xml:space="preserve"> and e</w:t>
      </w:r>
      <w:r w:rsidRPr="00343CB7">
        <w:rPr>
          <w:rFonts w:ascii="Arial" w:hAnsi="Arial" w:cs="Arial"/>
          <w:sz w:val="22"/>
          <w:szCs w:val="20"/>
        </w:rPr>
        <w:t>xclude other causes. Administer corticosteroids</w:t>
      </w:r>
      <w:r w:rsidR="00943006" w:rsidRPr="002164EC">
        <w:rPr>
          <w:rFonts w:ascii="Arial" w:hAnsi="Arial" w:cs="Arial"/>
          <w:sz w:val="22"/>
          <w:szCs w:val="20"/>
        </w:rPr>
        <w:t xml:space="preserve"> for Grade 2 or greater </w:t>
      </w:r>
      <w:r w:rsidR="00EF1E17" w:rsidRPr="00EF1E17">
        <w:rPr>
          <w:rFonts w:ascii="Arial" w:hAnsi="Arial" w:cs="Arial"/>
          <w:sz w:val="22"/>
          <w:szCs w:val="20"/>
        </w:rPr>
        <w:t>events (initial dose of 1-2 mg/kg/day prednisone or equivalent followed by a taper)</w:t>
      </w:r>
      <w:r w:rsidRPr="004172BA">
        <w:rPr>
          <w:rFonts w:ascii="Arial" w:hAnsi="Arial" w:cs="Arial"/>
          <w:sz w:val="22"/>
          <w:szCs w:val="20"/>
        </w:rPr>
        <w:t>, withhold KEYTRUDA for moderate (Grade 2), and permanently discontinue KEYTRUDA for severe (Grade 3) or life-threatening (Grade 4) nephrit</w:t>
      </w:r>
      <w:r w:rsidR="00D00F32" w:rsidRPr="004172BA">
        <w:rPr>
          <w:rFonts w:ascii="Arial" w:hAnsi="Arial" w:cs="Arial"/>
          <w:sz w:val="22"/>
          <w:szCs w:val="20"/>
        </w:rPr>
        <w:t>i</w:t>
      </w:r>
      <w:r w:rsidRPr="004172BA">
        <w:rPr>
          <w:rFonts w:ascii="Arial" w:hAnsi="Arial" w:cs="Arial"/>
          <w:sz w:val="22"/>
          <w:szCs w:val="20"/>
        </w:rPr>
        <w:t xml:space="preserve">s. </w:t>
      </w:r>
      <w:r w:rsidRPr="00187C95">
        <w:rPr>
          <w:rFonts w:ascii="Arial" w:hAnsi="Arial" w:cs="Arial"/>
          <w:i/>
          <w:sz w:val="22"/>
          <w:lang w:val="en-AU" w:eastAsia="en-AU"/>
        </w:rPr>
        <w:t>[See DOSAGE AND ADMINISTRATION</w:t>
      </w:r>
      <w:r w:rsidR="00943006" w:rsidRPr="00187C95">
        <w:rPr>
          <w:rFonts w:ascii="Arial" w:hAnsi="Arial" w:cs="Arial"/>
          <w:i/>
          <w:sz w:val="22"/>
          <w:lang w:val="en-AU" w:eastAsia="en-AU"/>
        </w:rPr>
        <w:t>, ADVERSE EFFECTS</w:t>
      </w:r>
      <w:r w:rsidRPr="00187C95">
        <w:rPr>
          <w:rFonts w:ascii="Arial" w:hAnsi="Arial" w:cs="Arial"/>
          <w:i/>
          <w:sz w:val="22"/>
          <w:lang w:val="en-AU" w:eastAsia="en-AU"/>
        </w:rPr>
        <w:t xml:space="preserve"> and Immune-mediated Adverse Reactions above]</w:t>
      </w:r>
      <w:r w:rsidRPr="00187C95">
        <w:rPr>
          <w:rFonts w:ascii="Arial" w:hAnsi="Arial" w:cs="Arial"/>
          <w:sz w:val="22"/>
          <w:lang w:val="en-AU" w:eastAsia="en-AU"/>
        </w:rPr>
        <w:t>.</w:t>
      </w:r>
    </w:p>
    <w:p w14:paraId="263C2301" w14:textId="77777777" w:rsidR="005B08D4" w:rsidRPr="00187C95" w:rsidRDefault="005B08D4" w:rsidP="00EE12B4">
      <w:pPr>
        <w:pStyle w:val="Heading2"/>
        <w:rPr>
          <w:rFonts w:ascii="Arial" w:hAnsi="Arial" w:cs="Arial"/>
        </w:rPr>
      </w:pPr>
      <w:r w:rsidRPr="00187C95">
        <w:rPr>
          <w:rFonts w:ascii="Arial" w:hAnsi="Arial" w:cs="Arial"/>
        </w:rPr>
        <w:t xml:space="preserve">Immune-mediated </w:t>
      </w:r>
      <w:proofErr w:type="spellStart"/>
      <w:r w:rsidRPr="00187C95">
        <w:rPr>
          <w:rFonts w:ascii="Arial" w:hAnsi="Arial" w:cs="Arial"/>
        </w:rPr>
        <w:t>endocrinopathies</w:t>
      </w:r>
      <w:proofErr w:type="spellEnd"/>
    </w:p>
    <w:p w14:paraId="2958874C" w14:textId="77777777" w:rsidR="000B4EB3" w:rsidRDefault="00A008C4" w:rsidP="00010E35">
      <w:pPr>
        <w:pStyle w:val="BodyText1"/>
        <w:ind w:firstLine="0"/>
        <w:jc w:val="both"/>
        <w:rPr>
          <w:rFonts w:ascii="Arial" w:hAnsi="Arial" w:cs="Arial"/>
          <w:sz w:val="22"/>
          <w:szCs w:val="22"/>
        </w:rPr>
      </w:pPr>
      <w:r w:rsidRPr="00790867">
        <w:rPr>
          <w:rFonts w:ascii="Arial" w:hAnsi="Arial" w:cs="Arial"/>
          <w:sz w:val="22"/>
          <w:szCs w:val="22"/>
        </w:rPr>
        <w:t>Hypophysitis has been reported in patients receiving KEYTRUDA</w:t>
      </w:r>
      <w:r>
        <w:rPr>
          <w:rFonts w:ascii="Arial" w:hAnsi="Arial" w:cs="Arial"/>
          <w:sz w:val="22"/>
          <w:szCs w:val="22"/>
        </w:rPr>
        <w:t xml:space="preserve"> </w:t>
      </w:r>
      <w:r>
        <w:rPr>
          <w:rFonts w:ascii="Arial" w:hAnsi="Arial" w:cs="Arial"/>
          <w:i/>
          <w:sz w:val="22"/>
          <w:szCs w:val="22"/>
        </w:rPr>
        <w:t>[See ADVERSE EFFECTS]</w:t>
      </w:r>
      <w:r w:rsidRPr="00790867">
        <w:rPr>
          <w:rFonts w:ascii="Arial" w:hAnsi="Arial" w:cs="Arial"/>
          <w:sz w:val="22"/>
          <w:szCs w:val="22"/>
        </w:rPr>
        <w:t>.</w:t>
      </w:r>
    </w:p>
    <w:p w14:paraId="5F951458" w14:textId="321D4E7B" w:rsidR="00010E35" w:rsidRPr="004172BA" w:rsidRDefault="005B08D4" w:rsidP="00010E35">
      <w:pPr>
        <w:pStyle w:val="BodyText1"/>
        <w:ind w:firstLine="0"/>
        <w:jc w:val="both"/>
        <w:rPr>
          <w:rFonts w:ascii="Arial" w:hAnsi="Arial" w:cs="Arial"/>
          <w:sz w:val="22"/>
          <w:szCs w:val="20"/>
        </w:rPr>
      </w:pPr>
      <w:r w:rsidRPr="002164EC">
        <w:rPr>
          <w:rFonts w:ascii="Arial" w:hAnsi="Arial" w:cs="Arial"/>
          <w:sz w:val="22"/>
          <w:szCs w:val="20"/>
        </w:rPr>
        <w:t xml:space="preserve">Monitor patients for signs and symptoms of </w:t>
      </w:r>
      <w:proofErr w:type="spellStart"/>
      <w:r w:rsidRPr="002164EC">
        <w:rPr>
          <w:rFonts w:ascii="Arial" w:hAnsi="Arial" w:cs="Arial"/>
          <w:sz w:val="22"/>
          <w:szCs w:val="20"/>
        </w:rPr>
        <w:t>hypophysitis</w:t>
      </w:r>
      <w:proofErr w:type="spellEnd"/>
      <w:r w:rsidRPr="002164EC">
        <w:rPr>
          <w:rFonts w:ascii="Arial" w:hAnsi="Arial" w:cs="Arial"/>
          <w:sz w:val="22"/>
          <w:szCs w:val="20"/>
        </w:rPr>
        <w:t xml:space="preserve"> (including hypopituitarism and secondary adrenal insufficiency)</w:t>
      </w:r>
      <w:r w:rsidR="00943006" w:rsidRPr="002164EC">
        <w:rPr>
          <w:rFonts w:ascii="Arial" w:hAnsi="Arial" w:cs="Arial"/>
          <w:sz w:val="22"/>
          <w:szCs w:val="20"/>
        </w:rPr>
        <w:t xml:space="preserve"> and e</w:t>
      </w:r>
      <w:r w:rsidRPr="00187C95">
        <w:rPr>
          <w:rFonts w:ascii="Arial" w:hAnsi="Arial" w:cs="Arial"/>
          <w:sz w:val="22"/>
          <w:szCs w:val="20"/>
        </w:rPr>
        <w:t>xclude other causes. Administer corticosteroids</w:t>
      </w:r>
      <w:r w:rsidR="00EF1E17" w:rsidRPr="00EF1E17">
        <w:rPr>
          <w:rFonts w:ascii="Arial" w:hAnsi="Arial" w:cs="Arial"/>
          <w:sz w:val="22"/>
          <w:szCs w:val="20"/>
        </w:rPr>
        <w:t xml:space="preserve"> to treat secondary adrenal insufficiency and other hormone replacement as clinically indicated</w:t>
      </w:r>
      <w:r w:rsidRPr="00343CB7">
        <w:rPr>
          <w:rFonts w:ascii="Arial" w:hAnsi="Arial" w:cs="Arial"/>
          <w:sz w:val="22"/>
          <w:szCs w:val="20"/>
        </w:rPr>
        <w:t>, withhold KEYTRUDA for moderate (Grade 2), withhold or discontinue KEYTRUDA for severe (Grade 3)</w:t>
      </w:r>
      <w:r w:rsidR="00EF1E17" w:rsidRPr="00343CB7" w:rsidDel="00EF1E17">
        <w:rPr>
          <w:rFonts w:ascii="Arial" w:hAnsi="Arial" w:cs="Arial"/>
          <w:sz w:val="22"/>
          <w:szCs w:val="20"/>
        </w:rPr>
        <w:t xml:space="preserve"> </w:t>
      </w:r>
      <w:r w:rsidRPr="002164EC">
        <w:rPr>
          <w:rFonts w:ascii="Arial" w:hAnsi="Arial" w:cs="Arial"/>
          <w:sz w:val="22"/>
          <w:szCs w:val="20"/>
        </w:rPr>
        <w:t xml:space="preserve">or </w:t>
      </w:r>
      <w:r w:rsidRPr="004172BA">
        <w:rPr>
          <w:rFonts w:ascii="Arial" w:hAnsi="Arial" w:cs="Arial"/>
          <w:sz w:val="22"/>
          <w:szCs w:val="20"/>
        </w:rPr>
        <w:t xml:space="preserve">life-threatening (Grade 4) </w:t>
      </w:r>
      <w:proofErr w:type="spellStart"/>
      <w:r w:rsidRPr="004172BA">
        <w:rPr>
          <w:rFonts w:ascii="Arial" w:hAnsi="Arial" w:cs="Arial"/>
          <w:sz w:val="22"/>
          <w:szCs w:val="20"/>
        </w:rPr>
        <w:t>hypophysitis</w:t>
      </w:r>
      <w:proofErr w:type="spellEnd"/>
      <w:r w:rsidRPr="004172BA">
        <w:rPr>
          <w:rFonts w:ascii="Arial" w:hAnsi="Arial" w:cs="Arial"/>
          <w:sz w:val="22"/>
          <w:szCs w:val="20"/>
        </w:rPr>
        <w:t xml:space="preserve">. </w:t>
      </w:r>
      <w:r w:rsidRPr="00187C95">
        <w:rPr>
          <w:rFonts w:ascii="Arial" w:hAnsi="Arial" w:cs="Arial"/>
          <w:i/>
          <w:sz w:val="22"/>
          <w:lang w:val="en-AU" w:eastAsia="en-AU"/>
        </w:rPr>
        <w:t>[See DOSAGE AND ADMINISTRATION</w:t>
      </w:r>
      <w:r w:rsidR="00943006" w:rsidRPr="00187C95">
        <w:rPr>
          <w:rFonts w:ascii="Arial" w:hAnsi="Arial" w:cs="Arial"/>
          <w:i/>
          <w:sz w:val="22"/>
          <w:lang w:val="en-AU" w:eastAsia="en-AU"/>
        </w:rPr>
        <w:t>, ADVERSE EFFECTS</w:t>
      </w:r>
      <w:r w:rsidRPr="00187C95">
        <w:rPr>
          <w:rFonts w:ascii="Arial" w:hAnsi="Arial" w:cs="Arial"/>
          <w:i/>
          <w:sz w:val="22"/>
          <w:lang w:val="en-AU" w:eastAsia="en-AU"/>
        </w:rPr>
        <w:t xml:space="preserve"> and Immune-mediated Adverse Reactions above]</w:t>
      </w:r>
      <w:r w:rsidRPr="00187C95">
        <w:rPr>
          <w:rFonts w:ascii="Arial" w:hAnsi="Arial" w:cs="Arial"/>
          <w:sz w:val="22"/>
          <w:lang w:val="en-AU" w:eastAsia="en-AU"/>
        </w:rPr>
        <w:t>.</w:t>
      </w:r>
    </w:p>
    <w:p w14:paraId="1F9B64BA" w14:textId="25810960" w:rsidR="005B08D4" w:rsidRPr="00343CB7" w:rsidRDefault="005B08D4" w:rsidP="008476E9">
      <w:pPr>
        <w:pStyle w:val="BodyText1"/>
        <w:ind w:firstLine="0"/>
        <w:jc w:val="both"/>
        <w:rPr>
          <w:rFonts w:ascii="Arial" w:hAnsi="Arial" w:cs="Arial"/>
          <w:sz w:val="22"/>
          <w:szCs w:val="20"/>
        </w:rPr>
      </w:pPr>
      <w:r w:rsidRPr="002164EC">
        <w:rPr>
          <w:rFonts w:ascii="Arial" w:hAnsi="Arial" w:cs="Arial"/>
          <w:sz w:val="22"/>
          <w:szCs w:val="20"/>
        </w:rPr>
        <w:t>Type 1 diabetes mellitus, including diabetic ketoacidosis, has been reported in patients receiving KEYTRUDA</w:t>
      </w:r>
      <w:r w:rsidR="00EF1E17" w:rsidRPr="00EF1E17">
        <w:rPr>
          <w:rFonts w:ascii="Arial" w:hAnsi="Arial" w:cs="Arial"/>
          <w:sz w:val="22"/>
          <w:szCs w:val="20"/>
        </w:rPr>
        <w:t xml:space="preserve"> </w:t>
      </w:r>
      <w:r w:rsidR="006A031A" w:rsidRPr="00FE152E">
        <w:rPr>
          <w:rFonts w:ascii="Arial" w:hAnsi="Arial" w:cs="Arial"/>
          <w:i/>
          <w:sz w:val="22"/>
          <w:szCs w:val="20"/>
        </w:rPr>
        <w:t>[See ADVERSE EFFECTS]</w:t>
      </w:r>
      <w:r w:rsidRPr="002164EC">
        <w:rPr>
          <w:rFonts w:ascii="Arial" w:hAnsi="Arial" w:cs="Arial"/>
          <w:sz w:val="22"/>
          <w:szCs w:val="20"/>
        </w:rPr>
        <w:t xml:space="preserve">. Monitor patients for </w:t>
      </w:r>
      <w:r w:rsidR="006A031A" w:rsidRPr="00365C71">
        <w:rPr>
          <w:rFonts w:ascii="Arial" w:hAnsi="Arial" w:cs="Arial"/>
          <w:sz w:val="22"/>
          <w:szCs w:val="20"/>
          <w:lang w:val="en-GB"/>
        </w:rPr>
        <w:t>hyperglycaemia</w:t>
      </w:r>
      <w:r w:rsidRPr="002164EC">
        <w:rPr>
          <w:rFonts w:ascii="Arial" w:hAnsi="Arial" w:cs="Arial"/>
          <w:sz w:val="22"/>
          <w:szCs w:val="20"/>
        </w:rPr>
        <w:t xml:space="preserve"> or other signs and symptoms of diabetes.</w:t>
      </w:r>
      <w:r w:rsidRPr="00187C95">
        <w:rPr>
          <w:rFonts w:ascii="Arial" w:hAnsi="Arial" w:cs="Arial"/>
          <w:sz w:val="22"/>
          <w:szCs w:val="20"/>
        </w:rPr>
        <w:t xml:space="preserve"> </w:t>
      </w:r>
      <w:r w:rsidRPr="004172BA">
        <w:rPr>
          <w:rFonts w:ascii="Arial" w:hAnsi="Arial" w:cs="Arial"/>
          <w:sz w:val="22"/>
          <w:szCs w:val="20"/>
        </w:rPr>
        <w:t>Administer insulin for type 1 diabetes, and withhold KEYTRUDA in cases of severe hyperglyc</w:t>
      </w:r>
      <w:r w:rsidR="003E453F">
        <w:rPr>
          <w:rFonts w:ascii="Arial" w:hAnsi="Arial" w:cs="Arial"/>
          <w:sz w:val="22"/>
          <w:szCs w:val="20"/>
        </w:rPr>
        <w:t>a</w:t>
      </w:r>
      <w:r w:rsidRPr="004172BA">
        <w:rPr>
          <w:rFonts w:ascii="Arial" w:hAnsi="Arial" w:cs="Arial"/>
          <w:sz w:val="22"/>
          <w:szCs w:val="20"/>
        </w:rPr>
        <w:t>emia until metabolic control is achieved.</w:t>
      </w:r>
    </w:p>
    <w:p w14:paraId="1427B7FB" w14:textId="77777777" w:rsidR="000B4EB3" w:rsidRDefault="000903B2" w:rsidP="00AE6DEA">
      <w:pPr>
        <w:pStyle w:val="BodyText1"/>
        <w:ind w:firstLine="0"/>
        <w:jc w:val="both"/>
        <w:rPr>
          <w:rFonts w:ascii="Arial" w:hAnsi="Arial" w:cs="Arial"/>
          <w:sz w:val="22"/>
          <w:lang w:val="en-AU" w:eastAsia="en-AU"/>
        </w:rPr>
      </w:pPr>
      <w:r w:rsidRPr="00D8643B">
        <w:rPr>
          <w:rFonts w:ascii="Arial" w:hAnsi="Arial" w:cs="Arial"/>
          <w:sz w:val="22"/>
          <w:szCs w:val="20"/>
        </w:rPr>
        <w:t xml:space="preserve">Thyroid disorders </w:t>
      </w:r>
      <w:r w:rsidR="006A031A" w:rsidRPr="00FE152E">
        <w:rPr>
          <w:rFonts w:ascii="Arial" w:hAnsi="Arial" w:cs="Arial"/>
          <w:sz w:val="22"/>
          <w:szCs w:val="20"/>
        </w:rPr>
        <w:t xml:space="preserve">have been reported in patients receiving KEYTRUDA and </w:t>
      </w:r>
      <w:r w:rsidRPr="00D8643B">
        <w:rPr>
          <w:rFonts w:ascii="Arial" w:hAnsi="Arial" w:cs="Arial"/>
          <w:sz w:val="22"/>
          <w:szCs w:val="20"/>
        </w:rPr>
        <w:t>can occur at any time during treatment</w:t>
      </w:r>
      <w:r w:rsidR="006A031A">
        <w:rPr>
          <w:rFonts w:ascii="Arial" w:hAnsi="Arial" w:cs="Arial"/>
          <w:sz w:val="22"/>
          <w:szCs w:val="20"/>
        </w:rPr>
        <w:t>, therefore m</w:t>
      </w:r>
      <w:r w:rsidRPr="00AE1EF9">
        <w:rPr>
          <w:rFonts w:ascii="Arial" w:hAnsi="Arial" w:cs="Arial"/>
          <w:sz w:val="22"/>
          <w:szCs w:val="20"/>
        </w:rPr>
        <w:t xml:space="preserve">onitor patients for changes in thyroid function (at the start of treatment, periodically during treatment and as indicated based on clinical evaluation) and clinical signs and symptoms of thyroid disorders. </w:t>
      </w:r>
      <w:r w:rsidR="001B0DB4" w:rsidRPr="001B0DB4">
        <w:rPr>
          <w:rFonts w:ascii="Arial" w:hAnsi="Arial" w:cs="Arial"/>
          <w:sz w:val="22"/>
          <w:szCs w:val="20"/>
        </w:rPr>
        <w:t>Hypothyroidism may be managed with replacement therapy without treatment interruption and without corticosteroids. Hyperthyroidism may be managed symptomatically.</w:t>
      </w:r>
      <w:r w:rsidR="001B0DB4">
        <w:rPr>
          <w:rFonts w:ascii="Arial" w:hAnsi="Arial" w:cs="Arial"/>
          <w:sz w:val="22"/>
          <w:szCs w:val="20"/>
        </w:rPr>
        <w:t xml:space="preserve"> Withhold or discontinue</w:t>
      </w:r>
      <w:r w:rsidRPr="0019477B">
        <w:rPr>
          <w:rFonts w:ascii="Arial" w:hAnsi="Arial" w:cs="Arial"/>
          <w:sz w:val="22"/>
          <w:szCs w:val="20"/>
        </w:rPr>
        <w:t xml:space="preserve"> KEYTRUDA for severe (Grade 3) </w:t>
      </w:r>
      <w:r w:rsidRPr="00EE12B4">
        <w:rPr>
          <w:rFonts w:ascii="Arial" w:hAnsi="Arial" w:cs="Arial"/>
          <w:sz w:val="22"/>
          <w:szCs w:val="20"/>
        </w:rPr>
        <w:t xml:space="preserve">or life-threatening (Grade 4) hyperthyroidism </w:t>
      </w:r>
      <w:r w:rsidR="00EA5B09" w:rsidRPr="004172BA">
        <w:rPr>
          <w:rFonts w:ascii="Arial" w:hAnsi="Arial" w:cs="Arial"/>
          <w:i/>
          <w:sz w:val="22"/>
          <w:lang w:val="en-AU" w:eastAsia="en-AU"/>
        </w:rPr>
        <w:t>[See DOSAGE AND ADMINISTRATION</w:t>
      </w:r>
      <w:r w:rsidR="003345BB" w:rsidRPr="004172BA">
        <w:rPr>
          <w:rFonts w:ascii="Arial" w:hAnsi="Arial" w:cs="Arial"/>
          <w:i/>
          <w:sz w:val="22"/>
          <w:lang w:val="en-AU" w:eastAsia="en-AU"/>
        </w:rPr>
        <w:t>,</w:t>
      </w:r>
      <w:r w:rsidR="00EA5B09" w:rsidRPr="004172BA">
        <w:rPr>
          <w:rFonts w:ascii="Arial" w:hAnsi="Arial" w:cs="Arial"/>
          <w:i/>
          <w:sz w:val="22"/>
          <w:lang w:val="en-AU" w:eastAsia="en-AU"/>
        </w:rPr>
        <w:t xml:space="preserve"> ADVERSE EFFECTS</w:t>
      </w:r>
      <w:r w:rsidR="003345BB" w:rsidRPr="004172BA">
        <w:rPr>
          <w:rFonts w:ascii="Arial" w:hAnsi="Arial" w:cs="Arial"/>
          <w:i/>
          <w:sz w:val="22"/>
          <w:lang w:val="en-AU" w:eastAsia="en-AU"/>
        </w:rPr>
        <w:t xml:space="preserve"> and Immune-mediated Adverse Reactions above</w:t>
      </w:r>
      <w:r w:rsidR="00EA5B09" w:rsidRPr="004172BA">
        <w:rPr>
          <w:rFonts w:ascii="Arial" w:hAnsi="Arial" w:cs="Arial"/>
          <w:i/>
          <w:sz w:val="22"/>
          <w:lang w:val="en-AU" w:eastAsia="en-AU"/>
        </w:rPr>
        <w:t>]</w:t>
      </w:r>
      <w:r w:rsidR="00EA5B09" w:rsidRPr="004172BA">
        <w:rPr>
          <w:rFonts w:ascii="Arial" w:hAnsi="Arial" w:cs="Arial"/>
          <w:sz w:val="22"/>
          <w:lang w:val="en-AU" w:eastAsia="en-AU"/>
        </w:rPr>
        <w:t>.</w:t>
      </w:r>
    </w:p>
    <w:p w14:paraId="2E0EF726" w14:textId="444B3471" w:rsidR="005B08D4" w:rsidRDefault="001B0DB4" w:rsidP="008476E9">
      <w:pPr>
        <w:pStyle w:val="BodyText1"/>
        <w:ind w:firstLine="0"/>
        <w:jc w:val="both"/>
        <w:rPr>
          <w:rFonts w:ascii="Arial" w:hAnsi="Arial" w:cs="Arial"/>
          <w:sz w:val="22"/>
          <w:lang w:val="en-AU" w:eastAsia="en-AU"/>
        </w:rPr>
      </w:pPr>
      <w:r w:rsidRPr="001B0DB4">
        <w:rPr>
          <w:rFonts w:ascii="Arial" w:hAnsi="Arial" w:cs="Arial"/>
          <w:sz w:val="22"/>
          <w:lang w:val="en-AU" w:eastAsia="en-AU"/>
        </w:rPr>
        <w:lastRenderedPageBreak/>
        <w:t xml:space="preserve">For patients with severe (Grade 3) or life-threatening (Grade 4) </w:t>
      </w:r>
      <w:proofErr w:type="spellStart"/>
      <w:r w:rsidRPr="001B0DB4">
        <w:rPr>
          <w:rFonts w:ascii="Arial" w:hAnsi="Arial" w:cs="Arial"/>
          <w:sz w:val="22"/>
          <w:lang w:val="en-AU" w:eastAsia="en-AU"/>
        </w:rPr>
        <w:t>endocrinopathy</w:t>
      </w:r>
      <w:proofErr w:type="spellEnd"/>
      <w:r w:rsidRPr="001B0DB4">
        <w:rPr>
          <w:rFonts w:ascii="Arial" w:hAnsi="Arial" w:cs="Arial"/>
          <w:sz w:val="22"/>
          <w:lang w:val="en-AU" w:eastAsia="en-AU"/>
        </w:rPr>
        <w:t xml:space="preserve"> that improves to Grade 2 or lower and is controlled with hormone replacement, continuation of KEYTRUDA may be considered.</w:t>
      </w:r>
    </w:p>
    <w:p w14:paraId="2670D7B6" w14:textId="77777777" w:rsidR="000B4EB3" w:rsidRDefault="003B1296" w:rsidP="003B1296">
      <w:pPr>
        <w:pStyle w:val="Heading2"/>
        <w:rPr>
          <w:rFonts w:ascii="Arial" w:hAnsi="Arial" w:cs="Arial"/>
        </w:rPr>
      </w:pPr>
      <w:r w:rsidRPr="00F23439">
        <w:rPr>
          <w:rFonts w:ascii="Arial" w:hAnsi="Arial" w:cs="Arial"/>
        </w:rPr>
        <w:t>Severe skin reactions</w:t>
      </w:r>
    </w:p>
    <w:p w14:paraId="016D1EC1" w14:textId="52C9E55C" w:rsidR="003B1296" w:rsidRDefault="003B1296" w:rsidP="003B1296">
      <w:pPr>
        <w:pStyle w:val="BodyText1"/>
        <w:ind w:firstLine="0"/>
        <w:jc w:val="both"/>
        <w:rPr>
          <w:rFonts w:ascii="Arial" w:hAnsi="Arial" w:cs="Arial"/>
          <w:sz w:val="22"/>
          <w:szCs w:val="20"/>
        </w:rPr>
      </w:pPr>
      <w:r w:rsidRPr="00F23439">
        <w:rPr>
          <w:rFonts w:ascii="Arial" w:hAnsi="Arial" w:cs="Arial"/>
          <w:sz w:val="22"/>
          <w:szCs w:val="20"/>
        </w:rPr>
        <w:t>Immune-mediated severe skin reactions have been reported in patients treated with KEYTRUDA.</w:t>
      </w:r>
      <w:r>
        <w:rPr>
          <w:rFonts w:ascii="Arial" w:hAnsi="Arial" w:cs="Arial"/>
          <w:sz w:val="22"/>
          <w:szCs w:val="20"/>
        </w:rPr>
        <w:t xml:space="preserve"> </w:t>
      </w:r>
      <w:r w:rsidRPr="00F23439">
        <w:rPr>
          <w:rFonts w:ascii="Arial" w:hAnsi="Arial" w:cs="Arial"/>
          <w:sz w:val="22"/>
          <w:szCs w:val="20"/>
        </w:rPr>
        <w:t>Monitor patients for suspected severe skin reactions and exclude other causes.</w:t>
      </w:r>
      <w:r>
        <w:rPr>
          <w:rFonts w:ascii="Arial" w:hAnsi="Arial" w:cs="Arial"/>
          <w:sz w:val="22"/>
          <w:szCs w:val="20"/>
        </w:rPr>
        <w:t xml:space="preserve"> </w:t>
      </w:r>
      <w:r w:rsidRPr="00F23439">
        <w:rPr>
          <w:rFonts w:ascii="Arial" w:hAnsi="Arial" w:cs="Arial"/>
          <w:sz w:val="22"/>
          <w:szCs w:val="20"/>
        </w:rPr>
        <w:t>Based on the severity</w:t>
      </w:r>
      <w:r>
        <w:rPr>
          <w:rFonts w:ascii="Arial" w:hAnsi="Arial" w:cs="Arial"/>
          <w:sz w:val="22"/>
          <w:szCs w:val="20"/>
        </w:rPr>
        <w:t xml:space="preserve"> </w:t>
      </w:r>
      <w:r w:rsidRPr="00F23439">
        <w:rPr>
          <w:rFonts w:ascii="Arial" w:hAnsi="Arial" w:cs="Arial"/>
          <w:sz w:val="22"/>
          <w:szCs w:val="20"/>
        </w:rPr>
        <w:t>of the adverse reaction, withhold or permanently discontinue KEYTRUDA and administer corticosteroids [</w:t>
      </w:r>
      <w:r w:rsidRPr="00545681">
        <w:rPr>
          <w:rFonts w:ascii="Arial" w:hAnsi="Arial" w:cs="Arial"/>
          <w:i/>
          <w:sz w:val="22"/>
          <w:szCs w:val="20"/>
          <w:lang w:val="en-AU"/>
        </w:rPr>
        <w:t>See DOSAGE AND ADMINISTRATION</w:t>
      </w:r>
      <w:r w:rsidRPr="00F23439">
        <w:rPr>
          <w:rFonts w:ascii="Arial" w:hAnsi="Arial" w:cs="Arial"/>
          <w:sz w:val="22"/>
          <w:szCs w:val="20"/>
        </w:rPr>
        <w:t>].</w:t>
      </w:r>
    </w:p>
    <w:p w14:paraId="36EE00AF" w14:textId="5E8B457D" w:rsidR="003B1296" w:rsidRDefault="003B1296" w:rsidP="003B1296">
      <w:pPr>
        <w:pStyle w:val="BodyText1"/>
        <w:ind w:firstLine="0"/>
        <w:jc w:val="both"/>
        <w:rPr>
          <w:rFonts w:ascii="Arial" w:hAnsi="Arial" w:cs="Arial"/>
          <w:sz w:val="22"/>
          <w:szCs w:val="20"/>
        </w:rPr>
      </w:pPr>
      <w:r w:rsidRPr="00F23439">
        <w:rPr>
          <w:rFonts w:ascii="Arial" w:hAnsi="Arial" w:cs="Arial"/>
          <w:sz w:val="22"/>
          <w:szCs w:val="20"/>
        </w:rPr>
        <w:t>Cases of</w:t>
      </w:r>
      <w:r>
        <w:rPr>
          <w:rFonts w:ascii="Arial" w:hAnsi="Arial" w:cs="Arial"/>
          <w:sz w:val="22"/>
          <w:szCs w:val="20"/>
        </w:rPr>
        <w:t xml:space="preserve"> </w:t>
      </w:r>
      <w:r w:rsidRPr="00F23439">
        <w:rPr>
          <w:rFonts w:ascii="Arial" w:hAnsi="Arial" w:cs="Arial"/>
          <w:sz w:val="22"/>
          <w:szCs w:val="20"/>
        </w:rPr>
        <w:t>Stevens-Johnson syndrome (SJS) and toxic epidermal necrolysis (TEN), some with fatal outcome, have been reported in patients treated with KEYTRUDA.</w:t>
      </w:r>
      <w:r>
        <w:rPr>
          <w:rFonts w:ascii="Arial" w:hAnsi="Arial" w:cs="Arial"/>
          <w:sz w:val="22"/>
          <w:szCs w:val="20"/>
        </w:rPr>
        <w:t xml:space="preserve"> </w:t>
      </w:r>
      <w:r w:rsidRPr="00F23439">
        <w:rPr>
          <w:rFonts w:ascii="Arial" w:hAnsi="Arial" w:cs="Arial"/>
          <w:sz w:val="22"/>
          <w:szCs w:val="20"/>
        </w:rPr>
        <w:t>For signs</w:t>
      </w:r>
      <w:r>
        <w:rPr>
          <w:rFonts w:ascii="Arial" w:hAnsi="Arial" w:cs="Arial"/>
          <w:sz w:val="22"/>
          <w:szCs w:val="20"/>
        </w:rPr>
        <w:t xml:space="preserve"> </w:t>
      </w:r>
      <w:r w:rsidRPr="00F23439">
        <w:rPr>
          <w:rFonts w:ascii="Arial" w:hAnsi="Arial" w:cs="Arial"/>
          <w:sz w:val="22"/>
          <w:szCs w:val="20"/>
        </w:rPr>
        <w:t>or</w:t>
      </w:r>
      <w:r>
        <w:rPr>
          <w:rFonts w:ascii="Arial" w:hAnsi="Arial" w:cs="Arial"/>
          <w:sz w:val="22"/>
          <w:szCs w:val="20"/>
        </w:rPr>
        <w:t xml:space="preserve"> </w:t>
      </w:r>
      <w:r w:rsidRPr="00F23439">
        <w:rPr>
          <w:rFonts w:ascii="Arial" w:hAnsi="Arial" w:cs="Arial"/>
          <w:sz w:val="22"/>
          <w:szCs w:val="20"/>
        </w:rPr>
        <w:t>symptoms</w:t>
      </w:r>
      <w:r>
        <w:rPr>
          <w:rFonts w:ascii="Arial" w:hAnsi="Arial" w:cs="Arial"/>
          <w:sz w:val="22"/>
          <w:szCs w:val="20"/>
        </w:rPr>
        <w:t xml:space="preserve"> </w:t>
      </w:r>
      <w:r w:rsidRPr="00F23439">
        <w:rPr>
          <w:rFonts w:ascii="Arial" w:hAnsi="Arial" w:cs="Arial"/>
          <w:sz w:val="22"/>
          <w:szCs w:val="20"/>
        </w:rPr>
        <w:t>of SJS or TEN, withhold KEYTRUDA and refer the patient for specialized care for assessment and treatment. If SJS or TEN is confirmed, permanently discontinue KEYTRUDA.</w:t>
      </w:r>
      <w:r>
        <w:rPr>
          <w:rFonts w:ascii="Arial" w:hAnsi="Arial" w:cs="Arial"/>
          <w:sz w:val="22"/>
          <w:szCs w:val="20"/>
        </w:rPr>
        <w:t xml:space="preserve"> </w:t>
      </w:r>
      <w:proofErr w:type="gramStart"/>
      <w:r w:rsidRPr="00F23439">
        <w:rPr>
          <w:rFonts w:ascii="Arial" w:hAnsi="Arial" w:cs="Arial"/>
          <w:sz w:val="22"/>
          <w:szCs w:val="20"/>
        </w:rPr>
        <w:t>[</w:t>
      </w:r>
      <w:r w:rsidRPr="004172BA">
        <w:rPr>
          <w:rFonts w:ascii="Arial" w:hAnsi="Arial" w:cs="Arial"/>
          <w:i/>
          <w:sz w:val="22"/>
          <w:lang w:val="en-AU" w:eastAsia="en-AU"/>
        </w:rPr>
        <w:t>See DOSAGE AND ADMINISTRATION</w:t>
      </w:r>
      <w:r w:rsidRPr="00F23439">
        <w:rPr>
          <w:rFonts w:ascii="Arial" w:hAnsi="Arial" w:cs="Arial"/>
          <w:sz w:val="22"/>
          <w:szCs w:val="20"/>
        </w:rPr>
        <w:t>].</w:t>
      </w:r>
      <w:proofErr w:type="gramEnd"/>
    </w:p>
    <w:p w14:paraId="1B8E803A" w14:textId="77777777" w:rsidR="005B08D4" w:rsidRPr="004172BA" w:rsidRDefault="005B08D4" w:rsidP="00EE12B4">
      <w:pPr>
        <w:pStyle w:val="Heading2"/>
        <w:rPr>
          <w:rFonts w:ascii="Arial" w:hAnsi="Arial" w:cs="Arial"/>
        </w:rPr>
      </w:pPr>
      <w:r w:rsidRPr="004172BA">
        <w:rPr>
          <w:rFonts w:ascii="Arial" w:hAnsi="Arial" w:cs="Arial"/>
        </w:rPr>
        <w:t xml:space="preserve">Other immune-mediated adverse </w:t>
      </w:r>
      <w:r w:rsidR="006A031A">
        <w:rPr>
          <w:rFonts w:ascii="Arial" w:hAnsi="Arial" w:cs="Arial"/>
        </w:rPr>
        <w:t>reactions</w:t>
      </w:r>
    </w:p>
    <w:p w14:paraId="44D9EB5D" w14:textId="736CD3EC" w:rsidR="005B08D4" w:rsidRPr="004172BA" w:rsidRDefault="001B0DB4" w:rsidP="00AE6DEA">
      <w:pPr>
        <w:pStyle w:val="BodyText1"/>
        <w:ind w:firstLine="0"/>
        <w:jc w:val="both"/>
        <w:rPr>
          <w:rFonts w:ascii="Arial" w:hAnsi="Arial" w:cs="Arial"/>
          <w:sz w:val="22"/>
          <w:lang w:val="en-AU" w:eastAsia="en-AU"/>
        </w:rPr>
      </w:pPr>
      <w:r>
        <w:rPr>
          <w:rFonts w:ascii="Arial" w:hAnsi="Arial" w:cs="Arial"/>
          <w:sz w:val="22"/>
          <w:lang w:val="en-AU" w:eastAsia="en-AU"/>
        </w:rPr>
        <w:t>T</w:t>
      </w:r>
      <w:r w:rsidR="005B08D4" w:rsidRPr="004172BA">
        <w:rPr>
          <w:rFonts w:ascii="Arial" w:hAnsi="Arial" w:cs="Arial"/>
          <w:sz w:val="22"/>
          <w:lang w:val="en-AU" w:eastAsia="en-AU"/>
        </w:rPr>
        <w:t>he following additional clinically significant, immune-mediated adverse reactions were reported in less than 1%</w:t>
      </w:r>
      <w:r>
        <w:rPr>
          <w:rFonts w:ascii="Arial" w:hAnsi="Arial" w:cs="Arial"/>
          <w:sz w:val="22"/>
          <w:lang w:val="en-AU" w:eastAsia="en-AU"/>
        </w:rPr>
        <w:t xml:space="preserve"> </w:t>
      </w:r>
      <w:r w:rsidR="005B08D4" w:rsidRPr="004172BA">
        <w:rPr>
          <w:rFonts w:ascii="Arial" w:hAnsi="Arial" w:cs="Arial"/>
          <w:sz w:val="22"/>
          <w:lang w:val="en-AU" w:eastAsia="en-AU"/>
        </w:rPr>
        <w:t>of patients</w:t>
      </w:r>
      <w:r w:rsidRPr="001B0DB4">
        <w:rPr>
          <w:rFonts w:ascii="Arial" w:hAnsi="Arial" w:cs="Arial"/>
          <w:sz w:val="22"/>
          <w:lang w:val="en-AU" w:eastAsia="en-AU"/>
        </w:rPr>
        <w:t xml:space="preserve"> treated with KEYTRUDA in KEYNOTE-001, KEYNOTE-002, KEYNOTE-006</w:t>
      </w:r>
      <w:r w:rsidR="006A031A">
        <w:rPr>
          <w:rFonts w:ascii="Arial" w:hAnsi="Arial" w:cs="Arial"/>
          <w:sz w:val="22"/>
          <w:lang w:val="en-AU" w:eastAsia="en-AU"/>
        </w:rPr>
        <w:t>, and KEYNOTE-010</w:t>
      </w:r>
      <w:r w:rsidR="005B08D4" w:rsidRPr="004172BA">
        <w:rPr>
          <w:rFonts w:ascii="Arial" w:hAnsi="Arial" w:cs="Arial"/>
          <w:sz w:val="22"/>
          <w:lang w:val="en-AU" w:eastAsia="en-AU"/>
        </w:rPr>
        <w:t>: uveitis</w:t>
      </w:r>
      <w:r w:rsidR="00631009" w:rsidRPr="004172BA">
        <w:rPr>
          <w:rFonts w:ascii="Arial" w:hAnsi="Arial" w:cs="Arial"/>
          <w:sz w:val="22"/>
          <w:lang w:val="en-AU" w:eastAsia="en-AU"/>
        </w:rPr>
        <w:t>, myositis</w:t>
      </w:r>
      <w:r w:rsidR="001804BB">
        <w:rPr>
          <w:rFonts w:ascii="Arial" w:hAnsi="Arial" w:cs="Arial"/>
          <w:sz w:val="22"/>
          <w:lang w:val="en-AU" w:eastAsia="en-AU"/>
        </w:rPr>
        <w:t xml:space="preserve">, </w:t>
      </w:r>
      <w:r w:rsidR="001804BB" w:rsidRPr="001804BB">
        <w:rPr>
          <w:rFonts w:ascii="Arial" w:hAnsi="Arial" w:cs="Arial"/>
          <w:sz w:val="22"/>
          <w:lang w:val="en-AU" w:eastAsia="en-AU"/>
        </w:rPr>
        <w:t>Guillain-Barre syndrome</w:t>
      </w:r>
      <w:r w:rsidR="00C0380B">
        <w:rPr>
          <w:rFonts w:ascii="Arial" w:hAnsi="Arial" w:cs="Arial"/>
          <w:sz w:val="22"/>
          <w:lang w:val="en-AU" w:eastAsia="en-AU"/>
        </w:rPr>
        <w:t>,</w:t>
      </w:r>
      <w:r w:rsidR="00C0380B" w:rsidRPr="00C0380B">
        <w:rPr>
          <w:rFonts w:ascii="Arial" w:hAnsi="Arial" w:cs="Arial"/>
          <w:sz w:val="22"/>
          <w:lang w:val="en-AU" w:eastAsia="en-AU"/>
        </w:rPr>
        <w:t xml:space="preserve"> </w:t>
      </w:r>
      <w:proofErr w:type="spellStart"/>
      <w:r w:rsidR="00C0380B">
        <w:rPr>
          <w:rFonts w:ascii="Arial" w:hAnsi="Arial" w:cs="Arial"/>
          <w:sz w:val="22"/>
          <w:lang w:val="en-AU" w:eastAsia="en-AU"/>
        </w:rPr>
        <w:t>myasthenic</w:t>
      </w:r>
      <w:proofErr w:type="spellEnd"/>
      <w:r w:rsidR="00C0380B">
        <w:rPr>
          <w:rFonts w:ascii="Arial" w:hAnsi="Arial" w:cs="Arial"/>
          <w:sz w:val="22"/>
          <w:lang w:val="en-AU" w:eastAsia="en-AU"/>
        </w:rPr>
        <w:t xml:space="preserve"> syndrome</w:t>
      </w:r>
      <w:r w:rsidR="00C91798">
        <w:rPr>
          <w:rFonts w:ascii="Arial" w:hAnsi="Arial" w:cs="Arial"/>
          <w:sz w:val="22"/>
          <w:lang w:val="en-AU" w:eastAsia="en-AU"/>
        </w:rPr>
        <w:t xml:space="preserve">, </w:t>
      </w:r>
      <w:r w:rsidR="003B1296">
        <w:rPr>
          <w:rFonts w:ascii="Arial" w:hAnsi="Arial" w:cs="Arial"/>
          <w:sz w:val="22"/>
          <w:lang w:val="en-AU" w:eastAsia="en-AU"/>
        </w:rPr>
        <w:t xml:space="preserve">and </w:t>
      </w:r>
      <w:r w:rsidR="00C91798">
        <w:rPr>
          <w:rFonts w:ascii="Arial" w:hAnsi="Arial" w:cs="Arial"/>
          <w:sz w:val="22"/>
          <w:lang w:val="en-AU" w:eastAsia="en-AU"/>
        </w:rPr>
        <w:t>pancreatitis</w:t>
      </w:r>
      <w:r w:rsidR="005B08D4" w:rsidRPr="004172BA">
        <w:rPr>
          <w:rFonts w:ascii="Arial" w:hAnsi="Arial" w:cs="Arial"/>
          <w:sz w:val="22"/>
          <w:lang w:val="en-AU" w:eastAsia="en-AU"/>
        </w:rPr>
        <w:t>.</w:t>
      </w:r>
      <w:r w:rsidR="00944753">
        <w:rPr>
          <w:rFonts w:ascii="Arial" w:hAnsi="Arial" w:cs="Arial"/>
          <w:sz w:val="22"/>
          <w:lang w:val="en-AU" w:eastAsia="en-AU"/>
        </w:rPr>
        <w:t xml:space="preserve"> </w:t>
      </w:r>
      <w:r w:rsidR="00944753" w:rsidRPr="00944753">
        <w:rPr>
          <w:rFonts w:ascii="Arial" w:hAnsi="Arial" w:cs="Arial"/>
          <w:sz w:val="22"/>
          <w:lang w:val="en-AU" w:eastAsia="en-AU"/>
        </w:rPr>
        <w:t>The following was reported in other clinical studies with KEYTRUDA or in post-marketing use: myocarditis.</w:t>
      </w:r>
    </w:p>
    <w:p w14:paraId="361FFED9" w14:textId="77777777" w:rsidR="0067057B" w:rsidRDefault="0067057B" w:rsidP="008476E9">
      <w:pPr>
        <w:pStyle w:val="BodyText1"/>
        <w:ind w:firstLine="0"/>
        <w:jc w:val="both"/>
        <w:rPr>
          <w:rFonts w:ascii="Arial" w:hAnsi="Arial" w:cs="Arial"/>
          <w:sz w:val="22"/>
          <w:szCs w:val="22"/>
        </w:rPr>
      </w:pPr>
      <w:r w:rsidRPr="0067057B">
        <w:rPr>
          <w:rFonts w:ascii="Arial" w:hAnsi="Arial" w:cs="Arial"/>
          <w:sz w:val="22"/>
          <w:szCs w:val="22"/>
        </w:rPr>
        <w:t>Cases of these immune-mediated adverse reactions, some of which were severe, have been reported in clinical trials or in post-marketing use.</w:t>
      </w:r>
    </w:p>
    <w:p w14:paraId="53D8C793" w14:textId="77777777" w:rsidR="006A031A" w:rsidRDefault="006A031A" w:rsidP="006A031A">
      <w:pPr>
        <w:pStyle w:val="BodyText1"/>
        <w:ind w:firstLine="0"/>
        <w:jc w:val="both"/>
        <w:rPr>
          <w:rFonts w:ascii="Arial" w:hAnsi="Arial" w:cs="Arial"/>
          <w:sz w:val="22"/>
          <w:szCs w:val="22"/>
        </w:rPr>
      </w:pPr>
      <w:r w:rsidRPr="00C57300">
        <w:rPr>
          <w:rFonts w:ascii="Arial" w:hAnsi="Arial" w:cs="Arial"/>
          <w:sz w:val="22"/>
          <w:szCs w:val="22"/>
        </w:rPr>
        <w:t>Solid organ transplant rejection has been reported in the post-marketing setting in patients treated with KEYTRUDA. Treatment with KEYTRUDA may increase the risk of rejection in solid organ transplant recipients.</w:t>
      </w:r>
      <w:r w:rsidRPr="00C57300" w:rsidDel="00A8049D">
        <w:rPr>
          <w:rFonts w:ascii="Arial" w:hAnsi="Arial" w:cs="Arial"/>
          <w:sz w:val="22"/>
          <w:szCs w:val="22"/>
        </w:rPr>
        <w:t xml:space="preserve"> </w:t>
      </w:r>
      <w:r w:rsidRPr="00C57300">
        <w:rPr>
          <w:rFonts w:ascii="Arial" w:hAnsi="Arial" w:cs="Arial"/>
          <w:sz w:val="22"/>
          <w:szCs w:val="22"/>
        </w:rPr>
        <w:t>Consider the benefit of treatment with KEYTRUDA versus the risk of possible organ rejection in these patients.</w:t>
      </w:r>
    </w:p>
    <w:p w14:paraId="7BE867F8" w14:textId="77777777" w:rsidR="005B08D4" w:rsidRPr="004172BA" w:rsidRDefault="005B08D4" w:rsidP="00EE12B4">
      <w:pPr>
        <w:pStyle w:val="Heading2"/>
        <w:rPr>
          <w:rFonts w:ascii="Arial" w:hAnsi="Arial" w:cs="Arial"/>
        </w:rPr>
      </w:pPr>
      <w:r w:rsidRPr="004172BA">
        <w:rPr>
          <w:rFonts w:ascii="Arial" w:hAnsi="Arial" w:cs="Arial"/>
        </w:rPr>
        <w:t>Infusion-related reactions</w:t>
      </w:r>
    </w:p>
    <w:p w14:paraId="4EC4B373" w14:textId="77777777" w:rsidR="000B4EB3" w:rsidRDefault="001B0DB4" w:rsidP="008476E9">
      <w:pPr>
        <w:pStyle w:val="BodyText1"/>
        <w:ind w:firstLine="0"/>
        <w:jc w:val="both"/>
        <w:rPr>
          <w:rFonts w:ascii="Arial" w:hAnsi="Arial" w:cs="Arial"/>
          <w:sz w:val="22"/>
          <w:lang w:val="en-AU" w:eastAsia="en-AU"/>
        </w:rPr>
      </w:pPr>
      <w:r w:rsidRPr="001B0DB4">
        <w:rPr>
          <w:rFonts w:ascii="Arial" w:hAnsi="Arial" w:cs="Arial"/>
          <w:sz w:val="22"/>
          <w:lang w:val="en-AU" w:eastAsia="en-AU"/>
        </w:rPr>
        <w:t>Severe infusion reactions</w:t>
      </w:r>
      <w:r w:rsidR="00420A8D">
        <w:rPr>
          <w:rFonts w:ascii="Arial" w:hAnsi="Arial" w:cs="Arial"/>
          <w:sz w:val="22"/>
          <w:lang w:val="en-AU" w:eastAsia="en-AU"/>
        </w:rPr>
        <w:t>, including hypersensitivity and anaphylaxis,</w:t>
      </w:r>
      <w:r w:rsidRPr="001B0DB4">
        <w:rPr>
          <w:rFonts w:ascii="Arial" w:hAnsi="Arial" w:cs="Arial"/>
          <w:sz w:val="22"/>
          <w:lang w:val="en-AU" w:eastAsia="en-AU"/>
        </w:rPr>
        <w:t xml:space="preserve"> have been reported in </w:t>
      </w:r>
      <w:r w:rsidR="006A031A">
        <w:rPr>
          <w:rFonts w:ascii="Arial" w:hAnsi="Arial" w:cs="Arial"/>
          <w:sz w:val="22"/>
          <w:lang w:val="en-AU" w:eastAsia="en-AU"/>
        </w:rPr>
        <w:t>6</w:t>
      </w:r>
      <w:r w:rsidRPr="001B0DB4">
        <w:rPr>
          <w:rFonts w:ascii="Arial" w:hAnsi="Arial" w:cs="Arial"/>
          <w:sz w:val="22"/>
          <w:lang w:val="en-AU" w:eastAsia="en-AU"/>
        </w:rPr>
        <w:t xml:space="preserve"> (0.</w:t>
      </w:r>
      <w:r w:rsidR="006A031A">
        <w:rPr>
          <w:rFonts w:ascii="Arial" w:hAnsi="Arial" w:cs="Arial"/>
          <w:sz w:val="22"/>
          <w:lang w:val="en-AU" w:eastAsia="en-AU"/>
        </w:rPr>
        <w:t>2</w:t>
      </w:r>
      <w:r w:rsidRPr="001B0DB4">
        <w:rPr>
          <w:rFonts w:ascii="Arial" w:hAnsi="Arial" w:cs="Arial"/>
          <w:sz w:val="22"/>
          <w:lang w:val="en-AU" w:eastAsia="en-AU"/>
        </w:rPr>
        <w:t xml:space="preserve">%) of </w:t>
      </w:r>
      <w:r w:rsidR="006A031A">
        <w:rPr>
          <w:rFonts w:ascii="Arial" w:hAnsi="Arial" w:cs="Arial"/>
          <w:sz w:val="22"/>
          <w:lang w:val="en-AU" w:eastAsia="en-AU"/>
        </w:rPr>
        <w:t>2799</w:t>
      </w:r>
      <w:r w:rsidRPr="001B0DB4">
        <w:rPr>
          <w:rFonts w:ascii="Arial" w:hAnsi="Arial" w:cs="Arial"/>
          <w:sz w:val="22"/>
          <w:lang w:val="en-AU" w:eastAsia="en-AU"/>
        </w:rPr>
        <w:t xml:space="preserve"> patients receiving KEYTRUDA in KEYNOTE-001, KEYNOTE-002, KEYNOTE-006</w:t>
      </w:r>
      <w:r w:rsidR="006A031A">
        <w:rPr>
          <w:rFonts w:ascii="Arial" w:hAnsi="Arial" w:cs="Arial"/>
          <w:sz w:val="22"/>
          <w:lang w:val="en-AU" w:eastAsia="en-AU"/>
        </w:rPr>
        <w:t xml:space="preserve"> and KEYNOTE-010</w:t>
      </w:r>
      <w:r w:rsidRPr="001B0DB4">
        <w:rPr>
          <w:rFonts w:ascii="Arial" w:hAnsi="Arial" w:cs="Arial"/>
          <w:sz w:val="22"/>
          <w:lang w:val="en-AU" w:eastAsia="en-AU"/>
        </w:rPr>
        <w:t>.</w:t>
      </w:r>
      <w:r w:rsidR="006A031A">
        <w:rPr>
          <w:rFonts w:ascii="Arial" w:hAnsi="Arial" w:cs="Arial"/>
          <w:sz w:val="22"/>
          <w:lang w:val="en-AU" w:eastAsia="en-AU"/>
        </w:rPr>
        <w:t xml:space="preserve"> </w:t>
      </w:r>
      <w:r w:rsidR="005B08D4" w:rsidRPr="004172BA">
        <w:rPr>
          <w:rFonts w:ascii="Arial" w:hAnsi="Arial" w:cs="Arial"/>
          <w:sz w:val="22"/>
          <w:lang w:val="en-AU" w:eastAsia="en-AU"/>
        </w:rPr>
        <w:t xml:space="preserve">For severe infusion reactions, stop infusion and permanently discontinue KEYTRUDA </w:t>
      </w:r>
      <w:r w:rsidR="005B08D4" w:rsidRPr="004172BA">
        <w:rPr>
          <w:rFonts w:ascii="Arial" w:hAnsi="Arial" w:cs="Arial"/>
          <w:i/>
          <w:sz w:val="22"/>
          <w:lang w:val="en-AU" w:eastAsia="en-AU"/>
        </w:rPr>
        <w:t>[See DOSAGE AND ADMINISTRATION]</w:t>
      </w:r>
      <w:r w:rsidR="005B08D4" w:rsidRPr="004172BA">
        <w:rPr>
          <w:rFonts w:ascii="Arial" w:hAnsi="Arial" w:cs="Arial"/>
          <w:sz w:val="22"/>
          <w:lang w:val="en-AU" w:eastAsia="en-AU"/>
        </w:rPr>
        <w:t>. Patients with mild or moderate infusion reaction may continue to receive KEYTRUDA with close monitoring; premedication with antipyretic and antihistamine may be considered.</w:t>
      </w:r>
    </w:p>
    <w:p w14:paraId="525E9C2B" w14:textId="52101A10" w:rsidR="00E749B9" w:rsidRPr="004172BA" w:rsidRDefault="00E749B9" w:rsidP="00EE12B4">
      <w:pPr>
        <w:pStyle w:val="Heading2"/>
        <w:rPr>
          <w:rFonts w:ascii="Arial" w:hAnsi="Arial" w:cs="Arial"/>
          <w:noProof/>
        </w:rPr>
      </w:pPr>
      <w:r w:rsidRPr="004172BA">
        <w:rPr>
          <w:rFonts w:ascii="Arial" w:hAnsi="Arial" w:cs="Arial"/>
          <w:noProof/>
        </w:rPr>
        <w:t>Patients excluded from clinical trials</w:t>
      </w:r>
    </w:p>
    <w:p w14:paraId="0A9F4160" w14:textId="77777777" w:rsidR="000B4EB3" w:rsidRDefault="00E749B9" w:rsidP="00E749B9">
      <w:pPr>
        <w:pStyle w:val="BodyText1"/>
        <w:ind w:firstLine="0"/>
        <w:jc w:val="both"/>
        <w:rPr>
          <w:rFonts w:ascii="Arial" w:hAnsi="Arial" w:cs="Arial"/>
          <w:noProof/>
          <w:sz w:val="22"/>
          <w:szCs w:val="20"/>
        </w:rPr>
      </w:pPr>
      <w:r w:rsidRPr="004172BA">
        <w:rPr>
          <w:rFonts w:ascii="Arial" w:hAnsi="Arial" w:cs="Arial"/>
          <w:noProof/>
          <w:sz w:val="22"/>
          <w:szCs w:val="20"/>
        </w:rPr>
        <w:t>Patients with HIV, HBV, HCV, other active infections requiring therapy; and patients with a history of severe immune-mediated adverse reactions with ipilimumab, defined as any Grade 4 toxicity requiring treatment with corticosteroids or Grade 3 toxicity requiring corticosteroid treatment (greater than 10 mg/day prednisone or equivalent dose) for greater than 12 weeks</w:t>
      </w:r>
      <w:r w:rsidR="00806F0D">
        <w:rPr>
          <w:rFonts w:ascii="Arial" w:hAnsi="Arial" w:cs="Arial"/>
          <w:noProof/>
          <w:sz w:val="22"/>
          <w:szCs w:val="20"/>
        </w:rPr>
        <w:t xml:space="preserve"> were excluded from the trial</w:t>
      </w:r>
      <w:r w:rsidRPr="004172BA">
        <w:rPr>
          <w:rFonts w:ascii="Arial" w:hAnsi="Arial" w:cs="Arial"/>
          <w:noProof/>
          <w:sz w:val="22"/>
          <w:szCs w:val="20"/>
        </w:rPr>
        <w:t>. No clinical data is available. Caution should be used in these patient populations.</w:t>
      </w:r>
    </w:p>
    <w:p w14:paraId="77B45F3D" w14:textId="6B25223C" w:rsidR="00E749B9" w:rsidRDefault="00E749B9" w:rsidP="00E749B9">
      <w:pPr>
        <w:pStyle w:val="BodyText1"/>
        <w:spacing w:before="0"/>
        <w:ind w:firstLine="0"/>
        <w:jc w:val="both"/>
        <w:rPr>
          <w:rFonts w:ascii="Arial" w:hAnsi="Arial" w:cs="Arial"/>
          <w:noProof/>
          <w:sz w:val="22"/>
          <w:szCs w:val="20"/>
        </w:rPr>
      </w:pPr>
      <w:r w:rsidRPr="00343CB7">
        <w:rPr>
          <w:rFonts w:ascii="Arial" w:hAnsi="Arial" w:cs="Arial"/>
          <w:noProof/>
          <w:sz w:val="22"/>
          <w:szCs w:val="20"/>
        </w:rPr>
        <w:t>Patients who experienced less severe adverse reactions (including immune-mediated) on ipilimumab that resolved or improved to Grade 0-1 and ≤10 mg/day prednisone (or equivalent dose) for immune-mediated adverse events for at least two weeks prior to first dose of KEYTRUDA were included in the clinical t</w:t>
      </w:r>
      <w:r w:rsidRPr="002164EC">
        <w:rPr>
          <w:rFonts w:ascii="Arial" w:hAnsi="Arial" w:cs="Arial"/>
          <w:noProof/>
          <w:sz w:val="22"/>
          <w:szCs w:val="20"/>
        </w:rPr>
        <w:t>rial. Caution should be used in this patient population.</w:t>
      </w:r>
    </w:p>
    <w:p w14:paraId="43310D1B" w14:textId="77777777" w:rsidR="006A031A" w:rsidRPr="000D0F6A" w:rsidRDefault="006A031A" w:rsidP="006A031A">
      <w:pPr>
        <w:pStyle w:val="Heading2"/>
        <w:rPr>
          <w:rFonts w:ascii="Arial" w:hAnsi="Arial" w:cs="Arial"/>
          <w:i w:val="0"/>
          <w:noProof/>
        </w:rPr>
      </w:pPr>
      <w:r w:rsidRPr="000D0F6A">
        <w:rPr>
          <w:rFonts w:ascii="Arial" w:hAnsi="Arial" w:cs="Arial"/>
          <w:i w:val="0"/>
          <w:noProof/>
        </w:rPr>
        <w:t>Patient Alert Card</w:t>
      </w:r>
    </w:p>
    <w:p w14:paraId="4BD08C71" w14:textId="77777777" w:rsidR="006A031A" w:rsidRPr="000D0F6A" w:rsidRDefault="006A031A" w:rsidP="006A031A">
      <w:pPr>
        <w:pStyle w:val="EMEABodyText"/>
        <w:jc w:val="both"/>
        <w:rPr>
          <w:rFonts w:ascii="Arial" w:hAnsi="Arial" w:cs="Arial"/>
          <w:noProof/>
          <w:sz w:val="22"/>
          <w:lang w:val="en-US" w:eastAsia="en-US"/>
        </w:rPr>
      </w:pPr>
      <w:r>
        <w:rPr>
          <w:rFonts w:ascii="Arial" w:hAnsi="Arial" w:cs="Arial"/>
          <w:noProof/>
          <w:sz w:val="22"/>
          <w:lang w:val="en-US" w:eastAsia="en-US"/>
        </w:rPr>
        <w:t>T</w:t>
      </w:r>
      <w:r w:rsidRPr="000D0F6A">
        <w:rPr>
          <w:rFonts w:ascii="Arial" w:hAnsi="Arial" w:cs="Arial"/>
          <w:noProof/>
          <w:sz w:val="22"/>
          <w:lang w:val="en-US" w:eastAsia="en-US"/>
        </w:rPr>
        <w:t>he prescriber must discuss the risks of KEYTRUDA therapy wit</w:t>
      </w:r>
      <w:r>
        <w:rPr>
          <w:rFonts w:ascii="Arial" w:hAnsi="Arial" w:cs="Arial"/>
          <w:noProof/>
          <w:sz w:val="22"/>
          <w:lang w:val="en-US" w:eastAsia="en-US"/>
        </w:rPr>
        <w:t xml:space="preserve">h the patient. The patient should </w:t>
      </w:r>
      <w:r w:rsidRPr="000D0F6A">
        <w:rPr>
          <w:rFonts w:ascii="Arial" w:hAnsi="Arial" w:cs="Arial"/>
          <w:noProof/>
          <w:sz w:val="22"/>
          <w:lang w:val="en-US" w:eastAsia="en-US"/>
        </w:rPr>
        <w:t>be provided with the Patient Alert Card.</w:t>
      </w:r>
    </w:p>
    <w:p w14:paraId="50C527C7" w14:textId="77777777" w:rsidR="003A6F1C" w:rsidRPr="00187C95" w:rsidRDefault="00491C60" w:rsidP="00187C95">
      <w:pPr>
        <w:pStyle w:val="Heading2"/>
        <w:rPr>
          <w:rFonts w:ascii="Arial" w:hAnsi="Arial" w:cs="Arial"/>
        </w:rPr>
      </w:pPr>
      <w:r w:rsidRPr="002164EC">
        <w:rPr>
          <w:rFonts w:ascii="Arial" w:hAnsi="Arial" w:cs="Arial"/>
        </w:rPr>
        <w:t>Effects on</w:t>
      </w:r>
      <w:r w:rsidR="003A6F1C" w:rsidRPr="00187C95">
        <w:rPr>
          <w:rFonts w:ascii="Arial" w:hAnsi="Arial" w:cs="Arial"/>
        </w:rPr>
        <w:t xml:space="preserve"> Fertility</w:t>
      </w:r>
    </w:p>
    <w:p w14:paraId="3693E392" w14:textId="70A72E38" w:rsidR="003B3C27" w:rsidRPr="00D74785" w:rsidRDefault="00E77671" w:rsidP="003B3C27">
      <w:pPr>
        <w:rPr>
          <w:noProof/>
          <w:szCs w:val="22"/>
        </w:rPr>
      </w:pPr>
      <w:r w:rsidRPr="00187C95">
        <w:rPr>
          <w:rFonts w:cs="Arial"/>
          <w:lang w:val="en-US" w:eastAsia="en-US"/>
        </w:rPr>
        <w:t>Fertility studies have not been conducted with pembrolizumab. There were no notable effects on male and female reproductive organs observed in general repeat-dose toxicity stud</w:t>
      </w:r>
      <w:r w:rsidRPr="00D8643B">
        <w:rPr>
          <w:rFonts w:cs="Arial"/>
          <w:lang w:val="en-US" w:eastAsia="en-US"/>
        </w:rPr>
        <w:t xml:space="preserve">ies conducted </w:t>
      </w:r>
      <w:r w:rsidRPr="00D8643B">
        <w:rPr>
          <w:rFonts w:cs="Arial"/>
          <w:lang w:val="en-US" w:eastAsia="en-US"/>
        </w:rPr>
        <w:lastRenderedPageBreak/>
        <w:t>with pembrolizumab in Cynomolgus monkeys, involving IV administration at doses up to 200 mg/kg once a week for 1 month or once every two weeks for 6 months</w:t>
      </w:r>
      <w:r w:rsidR="00352978">
        <w:rPr>
          <w:rFonts w:cs="Arial"/>
          <w:lang w:val="en-US" w:eastAsia="en-US"/>
        </w:rPr>
        <w:t xml:space="preserve">. </w:t>
      </w:r>
      <w:r w:rsidR="00352978" w:rsidRPr="00D74785">
        <w:rPr>
          <w:noProof/>
          <w:szCs w:val="22"/>
        </w:rPr>
        <w:t>No findings of toxicological significance were observed and the no observ</w:t>
      </w:r>
      <w:r w:rsidR="00352978">
        <w:rPr>
          <w:noProof/>
          <w:szCs w:val="22"/>
        </w:rPr>
        <w:t>ed</w:t>
      </w:r>
      <w:r w:rsidR="00352978" w:rsidRPr="00D74785">
        <w:rPr>
          <w:noProof/>
          <w:szCs w:val="22"/>
        </w:rPr>
        <w:t xml:space="preserve"> adverse effect level (NOAEL) in both studies was ≥200</w:t>
      </w:r>
      <w:r w:rsidR="00352978">
        <w:rPr>
          <w:noProof/>
          <w:szCs w:val="22"/>
        </w:rPr>
        <w:t> </w:t>
      </w:r>
      <w:r w:rsidR="00352978" w:rsidRPr="00D74785">
        <w:rPr>
          <w:noProof/>
          <w:szCs w:val="22"/>
        </w:rPr>
        <w:t>mg/kg</w:t>
      </w:r>
      <w:r w:rsidR="00352978" w:rsidRPr="00D8643B">
        <w:rPr>
          <w:rFonts w:cs="Arial"/>
          <w:lang w:val="en-US" w:eastAsia="en-US"/>
        </w:rPr>
        <w:t xml:space="preserve">, </w:t>
      </w:r>
      <w:r w:rsidR="00352978">
        <w:rPr>
          <w:rFonts w:cs="Arial"/>
          <w:lang w:val="en-US" w:eastAsia="en-US"/>
        </w:rPr>
        <w:t>which produced exposure multiples of 19 and</w:t>
      </w:r>
      <w:r w:rsidRPr="00D8643B">
        <w:rPr>
          <w:rFonts w:cs="Arial"/>
          <w:lang w:val="en-US" w:eastAsia="en-US"/>
        </w:rPr>
        <w:t xml:space="preserve"> </w:t>
      </w:r>
      <w:r w:rsidR="00A22F20" w:rsidRPr="00AE1EF9">
        <w:rPr>
          <w:rFonts w:cs="Arial"/>
          <w:lang w:val="en-US" w:eastAsia="en-US"/>
        </w:rPr>
        <w:t>94</w:t>
      </w:r>
      <w:r w:rsidRPr="00AE1EF9">
        <w:rPr>
          <w:rFonts w:cs="Arial"/>
          <w:lang w:val="en-US" w:eastAsia="en-US"/>
        </w:rPr>
        <w:t xml:space="preserve"> times the exposure in humans at</w:t>
      </w:r>
      <w:r w:rsidR="00352978">
        <w:rPr>
          <w:rFonts w:cs="Arial"/>
          <w:lang w:val="en-US" w:eastAsia="en-US"/>
        </w:rPr>
        <w:t xml:space="preserve"> doses</w:t>
      </w:r>
      <w:r w:rsidRPr="00AE1EF9">
        <w:rPr>
          <w:rFonts w:cs="Arial"/>
          <w:lang w:val="en-US" w:eastAsia="en-US"/>
        </w:rPr>
        <w:t xml:space="preserve"> </w:t>
      </w:r>
      <w:r w:rsidR="003B3C27">
        <w:rPr>
          <w:rFonts w:cs="Arial"/>
          <w:lang w:val="en-US" w:eastAsia="en-US"/>
        </w:rPr>
        <w:t xml:space="preserve">of 10 and </w:t>
      </w:r>
      <w:r w:rsidRPr="00AE1EF9">
        <w:rPr>
          <w:rFonts w:cs="Arial"/>
          <w:lang w:val="en-US" w:eastAsia="en-US"/>
        </w:rPr>
        <w:t>2 mg/kg</w:t>
      </w:r>
      <w:r w:rsidR="003B3C27">
        <w:rPr>
          <w:rFonts w:cs="Arial"/>
          <w:lang w:val="en-US" w:eastAsia="en-US"/>
        </w:rPr>
        <w:t>, respectively</w:t>
      </w:r>
      <w:r w:rsidRPr="00AE1EF9">
        <w:rPr>
          <w:rFonts w:cs="Arial"/>
          <w:lang w:val="en-US" w:eastAsia="en-US"/>
        </w:rPr>
        <w:t>.</w:t>
      </w:r>
      <w:r w:rsidR="003B3C27" w:rsidRPr="003B3C27">
        <w:rPr>
          <w:noProof/>
          <w:szCs w:val="22"/>
        </w:rPr>
        <w:t xml:space="preserve"> </w:t>
      </w:r>
      <w:r w:rsidR="003B3C27" w:rsidRPr="009A6728">
        <w:rPr>
          <w:noProof/>
          <w:szCs w:val="22"/>
        </w:rPr>
        <w:t xml:space="preserve">The exposure multiple between the NOAEL and a human dose </w:t>
      </w:r>
      <w:r w:rsidR="003B3C27">
        <w:rPr>
          <w:noProof/>
          <w:szCs w:val="22"/>
        </w:rPr>
        <w:t>of 200 </w:t>
      </w:r>
      <w:r w:rsidR="003B3C27" w:rsidRPr="009A6728">
        <w:rPr>
          <w:noProof/>
          <w:szCs w:val="22"/>
        </w:rPr>
        <w:t>mg was 74.</w:t>
      </w:r>
    </w:p>
    <w:p w14:paraId="03C33A6C" w14:textId="77777777" w:rsidR="003A6F1C" w:rsidRPr="00187C95" w:rsidRDefault="003A6F1C" w:rsidP="00187C95">
      <w:pPr>
        <w:pStyle w:val="Heading2"/>
        <w:rPr>
          <w:rFonts w:ascii="Arial" w:hAnsi="Arial" w:cs="Arial"/>
        </w:rPr>
      </w:pPr>
      <w:r w:rsidRPr="00187C95">
        <w:rPr>
          <w:rFonts w:ascii="Arial" w:hAnsi="Arial" w:cs="Arial"/>
        </w:rPr>
        <w:t xml:space="preserve">Use in Pregnancy (Category </w:t>
      </w:r>
      <w:r w:rsidR="00E77671" w:rsidRPr="00187C95">
        <w:rPr>
          <w:rFonts w:ascii="Arial" w:hAnsi="Arial" w:cs="Arial"/>
        </w:rPr>
        <w:t>D</w:t>
      </w:r>
      <w:r w:rsidR="00277E66" w:rsidRPr="00187C95">
        <w:rPr>
          <w:rFonts w:ascii="Arial" w:hAnsi="Arial" w:cs="Arial"/>
        </w:rPr>
        <w:t>)</w:t>
      </w:r>
    </w:p>
    <w:p w14:paraId="73A500EC" w14:textId="77777777" w:rsidR="007816C9" w:rsidRPr="00362DC6" w:rsidRDefault="00CF772C" w:rsidP="008E1321">
      <w:pPr>
        <w:rPr>
          <w:rFonts w:cs="Arial"/>
          <w:noProof/>
          <w:lang w:val="en-US" w:eastAsia="en-US"/>
        </w:rPr>
      </w:pPr>
      <w:r w:rsidRPr="00187C95">
        <w:rPr>
          <w:rFonts w:cs="Arial"/>
          <w:noProof/>
          <w:lang w:val="en-US" w:eastAsia="en-US"/>
        </w:rPr>
        <w:t xml:space="preserve">There are no data on the use of pembrolizumab in pregnant women. Animal reproduction studies have not been conducted with pembrolizumab; however, blockade of </w:t>
      </w:r>
      <w:r w:rsidR="00E77671" w:rsidRPr="00D8643B">
        <w:rPr>
          <w:rFonts w:cs="Arial"/>
          <w:noProof/>
          <w:lang w:val="en-US" w:eastAsia="en-US"/>
        </w:rPr>
        <w:t>the PD-1 pathway</w:t>
      </w:r>
      <w:r w:rsidRPr="00AE1EF9">
        <w:rPr>
          <w:rFonts w:cs="Arial"/>
          <w:noProof/>
          <w:lang w:val="en-US" w:eastAsia="en-US"/>
        </w:rPr>
        <w:t xml:space="preserve"> has been shown in </w:t>
      </w:r>
      <w:r w:rsidR="00E77671" w:rsidRPr="00AE1EF9">
        <w:rPr>
          <w:rFonts w:cs="Arial"/>
          <w:noProof/>
          <w:lang w:val="en-US" w:eastAsia="en-US"/>
        </w:rPr>
        <w:t xml:space="preserve">mouse </w:t>
      </w:r>
      <w:r w:rsidRPr="00AE1EF9">
        <w:rPr>
          <w:rFonts w:cs="Arial"/>
          <w:noProof/>
          <w:lang w:val="en-US" w:eastAsia="en-US"/>
        </w:rPr>
        <w:t>mo</w:t>
      </w:r>
      <w:r w:rsidRPr="00A04553">
        <w:rPr>
          <w:rFonts w:cs="Arial"/>
          <w:noProof/>
          <w:lang w:val="en-US" w:eastAsia="en-US"/>
        </w:rPr>
        <w:t xml:space="preserve">dels of pregnancy to disrupt tolerance to the </w:t>
      </w:r>
      <w:r w:rsidR="003B3C27">
        <w:rPr>
          <w:rFonts w:cs="Arial"/>
          <w:noProof/>
          <w:lang w:val="en-US" w:eastAsia="en-US"/>
        </w:rPr>
        <w:t>foetus</w:t>
      </w:r>
      <w:r w:rsidR="00E77671" w:rsidRPr="00A04553">
        <w:rPr>
          <w:rFonts w:cs="Arial"/>
          <w:noProof/>
          <w:lang w:val="en-US" w:eastAsia="en-US"/>
        </w:rPr>
        <w:t xml:space="preserve"> </w:t>
      </w:r>
      <w:r w:rsidRPr="00A04553">
        <w:rPr>
          <w:rFonts w:cs="Arial"/>
          <w:noProof/>
          <w:lang w:val="en-US" w:eastAsia="en-US"/>
        </w:rPr>
        <w:t xml:space="preserve">and to result in an increase in </w:t>
      </w:r>
      <w:r w:rsidR="003B3C27">
        <w:rPr>
          <w:rFonts w:cs="Arial"/>
          <w:noProof/>
          <w:lang w:val="en-US" w:eastAsia="en-US"/>
        </w:rPr>
        <w:t>foetal</w:t>
      </w:r>
      <w:r w:rsidR="00E77671" w:rsidRPr="00A04553">
        <w:rPr>
          <w:rFonts w:cs="Arial"/>
          <w:noProof/>
          <w:lang w:val="en-US" w:eastAsia="en-US"/>
        </w:rPr>
        <w:t xml:space="preserve"> </w:t>
      </w:r>
      <w:r w:rsidRPr="00431AB6">
        <w:rPr>
          <w:rFonts w:cs="Arial"/>
          <w:noProof/>
          <w:lang w:val="en-US" w:eastAsia="en-US"/>
        </w:rPr>
        <w:t>loss. These results indicate a potential risk</w:t>
      </w:r>
      <w:r w:rsidR="00806F0D" w:rsidRPr="00806F0D">
        <w:rPr>
          <w:rFonts w:cs="Arial"/>
          <w:noProof/>
          <w:lang w:val="en-US" w:eastAsia="en-US"/>
        </w:rPr>
        <w:t>, based on its mechanism of action,</w:t>
      </w:r>
      <w:r w:rsidRPr="0019477B">
        <w:rPr>
          <w:rFonts w:cs="Arial"/>
          <w:noProof/>
          <w:lang w:val="en-US" w:eastAsia="en-US"/>
        </w:rPr>
        <w:t xml:space="preserve"> that administration of KEYTRUDA during pregnancy could cause </w:t>
      </w:r>
      <w:r w:rsidR="003B3C27">
        <w:rPr>
          <w:rFonts w:cs="Arial"/>
          <w:noProof/>
          <w:lang w:val="en-US" w:eastAsia="en-US"/>
        </w:rPr>
        <w:t>foetal</w:t>
      </w:r>
      <w:r w:rsidR="00E77671" w:rsidRPr="0019477B">
        <w:rPr>
          <w:rFonts w:cs="Arial"/>
          <w:noProof/>
          <w:lang w:val="en-US" w:eastAsia="en-US"/>
        </w:rPr>
        <w:t xml:space="preserve"> </w:t>
      </w:r>
      <w:r w:rsidRPr="00EE12B4">
        <w:rPr>
          <w:rFonts w:cs="Arial"/>
          <w:noProof/>
          <w:lang w:val="en-US" w:eastAsia="en-US"/>
        </w:rPr>
        <w:t xml:space="preserve">harm, including increased rates of abortion or stillbirth. Human IgG4 (immunoglobulin) is known to cross the placental barrier and pembrolizumab is an IgG4; therefore, pembrolizumab has the potential to be transmitted from the mother to the developing </w:t>
      </w:r>
      <w:r w:rsidR="003B3C27">
        <w:rPr>
          <w:rFonts w:cs="Arial"/>
          <w:noProof/>
          <w:lang w:val="en-US" w:eastAsia="en-US"/>
        </w:rPr>
        <w:t>foetus</w:t>
      </w:r>
      <w:r w:rsidRPr="00EE12B4">
        <w:rPr>
          <w:rFonts w:cs="Arial"/>
          <w:noProof/>
          <w:lang w:val="en-US" w:eastAsia="en-US"/>
        </w:rPr>
        <w:t xml:space="preserve">. KEYTRUDA is not recommended during pregnancy unless the clinical benefit outweighs the potential risk to the </w:t>
      </w:r>
      <w:r w:rsidR="003B3C27">
        <w:rPr>
          <w:rFonts w:cs="Arial"/>
          <w:noProof/>
          <w:lang w:val="en-US" w:eastAsia="en-US"/>
        </w:rPr>
        <w:t>foetus</w:t>
      </w:r>
      <w:r w:rsidRPr="00EE12B4">
        <w:rPr>
          <w:rFonts w:cs="Arial"/>
          <w:noProof/>
          <w:lang w:val="en-US" w:eastAsia="en-US"/>
        </w:rPr>
        <w:t>. Women of childbearing potential should use effective contraception</w:t>
      </w:r>
      <w:r w:rsidR="008E1321" w:rsidRPr="00362DC6">
        <w:rPr>
          <w:rFonts w:cs="Arial"/>
          <w:noProof/>
          <w:lang w:val="en-US" w:eastAsia="en-US"/>
        </w:rPr>
        <w:t xml:space="preserve"> during treatment with KEYTRUDA and for at least 4 months following the last dose of </w:t>
      </w:r>
      <w:r w:rsidR="00806F0D">
        <w:rPr>
          <w:rFonts w:cs="Arial"/>
          <w:noProof/>
          <w:lang w:val="en-US" w:eastAsia="en-US"/>
        </w:rPr>
        <w:t>KEYTRUDA</w:t>
      </w:r>
      <w:r w:rsidRPr="00362DC6">
        <w:rPr>
          <w:rFonts w:cs="Arial"/>
          <w:noProof/>
          <w:lang w:val="en-US" w:eastAsia="en-US"/>
        </w:rPr>
        <w:t>.</w:t>
      </w:r>
    </w:p>
    <w:p w14:paraId="43A27A06" w14:textId="77777777" w:rsidR="003A6F1C" w:rsidRPr="00187C95" w:rsidRDefault="003A6F1C" w:rsidP="00187C95">
      <w:pPr>
        <w:pStyle w:val="Heading2"/>
        <w:rPr>
          <w:rFonts w:ascii="Arial" w:hAnsi="Arial" w:cs="Arial"/>
        </w:rPr>
      </w:pPr>
      <w:r w:rsidRPr="00187C95">
        <w:rPr>
          <w:rFonts w:ascii="Arial" w:hAnsi="Arial" w:cs="Arial"/>
        </w:rPr>
        <w:t>Use in Lactation</w:t>
      </w:r>
    </w:p>
    <w:p w14:paraId="4B302413" w14:textId="77777777" w:rsidR="007816C9" w:rsidRPr="00AE1EF9" w:rsidRDefault="00CF772C" w:rsidP="00AE6DEA">
      <w:pPr>
        <w:rPr>
          <w:rFonts w:cs="Arial"/>
          <w:lang w:val="en-US" w:eastAsia="en-US"/>
        </w:rPr>
      </w:pPr>
      <w:r w:rsidRPr="00187C95">
        <w:rPr>
          <w:rFonts w:cs="Arial"/>
          <w:lang w:val="en-US" w:eastAsia="en-US"/>
        </w:rPr>
        <w:t>It is unknown whether KEYTRUDA is secreted in human milk. Because many drugs are secreted in human milk, a decision should be made whether to discontinue breast-feeding or to d</w:t>
      </w:r>
      <w:r w:rsidRPr="00D8643B">
        <w:rPr>
          <w:rFonts w:cs="Arial"/>
          <w:lang w:val="en-US" w:eastAsia="en-US"/>
        </w:rPr>
        <w:t>iscontinue KEYTRUDA, taking int</w:t>
      </w:r>
      <w:r w:rsidR="003345BB" w:rsidRPr="00AE1EF9">
        <w:rPr>
          <w:rFonts w:cs="Arial"/>
          <w:lang w:val="en-US" w:eastAsia="en-US"/>
        </w:rPr>
        <w:t>o account the benefit of breast-</w:t>
      </w:r>
      <w:r w:rsidRPr="00AE1EF9">
        <w:rPr>
          <w:rFonts w:cs="Arial"/>
          <w:lang w:val="en-US" w:eastAsia="en-US"/>
        </w:rPr>
        <w:t>feeding for the child and the benefit of KEYTRUDA therapy for the woman.</w:t>
      </w:r>
    </w:p>
    <w:p w14:paraId="36E51373" w14:textId="77777777" w:rsidR="003A6F1C" w:rsidRPr="00187C95" w:rsidRDefault="00C25BB6" w:rsidP="00187C95">
      <w:pPr>
        <w:pStyle w:val="Heading2"/>
        <w:rPr>
          <w:rFonts w:ascii="Arial" w:hAnsi="Arial" w:cs="Arial"/>
        </w:rPr>
      </w:pPr>
      <w:r w:rsidRPr="00187C95">
        <w:rPr>
          <w:rFonts w:ascii="Arial" w:hAnsi="Arial" w:cs="Arial"/>
        </w:rPr>
        <w:t>Paediatric Use</w:t>
      </w:r>
    </w:p>
    <w:p w14:paraId="0D27FE91" w14:textId="77777777" w:rsidR="00C25BB6" w:rsidRPr="00D8643B" w:rsidRDefault="00CF772C" w:rsidP="00AE6DEA">
      <w:pPr>
        <w:rPr>
          <w:rFonts w:cs="Arial"/>
          <w:lang w:val="en-US" w:eastAsia="en-US"/>
        </w:rPr>
      </w:pPr>
      <w:r w:rsidRPr="00187C95">
        <w:rPr>
          <w:rFonts w:cs="Arial"/>
          <w:lang w:val="en-US" w:eastAsia="en-US"/>
        </w:rPr>
        <w:t>Safety and efficacy of KEYTRUDA in children below 18 years of age have not yet been established.</w:t>
      </w:r>
    </w:p>
    <w:p w14:paraId="72C34C15" w14:textId="77777777" w:rsidR="007816C9" w:rsidRPr="00187C95" w:rsidRDefault="007816C9" w:rsidP="00187C95">
      <w:pPr>
        <w:pStyle w:val="Heading2"/>
        <w:rPr>
          <w:rFonts w:ascii="Arial" w:hAnsi="Arial" w:cs="Arial"/>
        </w:rPr>
      </w:pPr>
      <w:r w:rsidRPr="00187C95">
        <w:rPr>
          <w:rFonts w:ascii="Arial" w:hAnsi="Arial" w:cs="Arial"/>
        </w:rPr>
        <w:t>Use in the elderly</w:t>
      </w:r>
    </w:p>
    <w:p w14:paraId="494ABFF5" w14:textId="77777777" w:rsidR="007816C9" w:rsidRPr="00D8643B" w:rsidRDefault="00CF772C" w:rsidP="00AE6DEA">
      <w:pPr>
        <w:rPr>
          <w:rFonts w:cs="Arial"/>
          <w:lang w:val="en-US" w:eastAsia="en-US"/>
        </w:rPr>
      </w:pPr>
      <w:r w:rsidRPr="00187C95">
        <w:rPr>
          <w:rFonts w:cs="Arial"/>
          <w:lang w:val="en-US" w:eastAsia="en-US"/>
        </w:rPr>
        <w:t>No overall differences in safety or efficacy were reported between elderly patients (65 years and over) and younger patients (less than 65 years). No dose adjustment is necessary in this population.</w:t>
      </w:r>
    </w:p>
    <w:p w14:paraId="14ABA6D9" w14:textId="77777777" w:rsidR="00C25BB6" w:rsidRPr="00187C95" w:rsidRDefault="00C25BB6" w:rsidP="00187C95">
      <w:pPr>
        <w:pStyle w:val="Heading2"/>
        <w:rPr>
          <w:rFonts w:ascii="Arial" w:hAnsi="Arial" w:cs="Arial"/>
        </w:rPr>
      </w:pPr>
      <w:r w:rsidRPr="00187C95">
        <w:rPr>
          <w:rFonts w:ascii="Arial" w:hAnsi="Arial" w:cs="Arial"/>
        </w:rPr>
        <w:t>Genotoxicity</w:t>
      </w:r>
    </w:p>
    <w:p w14:paraId="182C97B2" w14:textId="77777777" w:rsidR="00DD4C7E" w:rsidRPr="00D8643B" w:rsidRDefault="00D058F6" w:rsidP="00921EAB">
      <w:pPr>
        <w:pStyle w:val="BodyText1"/>
        <w:ind w:firstLine="0"/>
        <w:jc w:val="both"/>
        <w:rPr>
          <w:rFonts w:ascii="Arial" w:hAnsi="Arial" w:cs="Arial"/>
          <w:sz w:val="22"/>
          <w:szCs w:val="20"/>
        </w:rPr>
      </w:pPr>
      <w:r w:rsidRPr="00187C95">
        <w:rPr>
          <w:rFonts w:ascii="Arial" w:hAnsi="Arial" w:cs="Arial"/>
          <w:sz w:val="22"/>
          <w:szCs w:val="20"/>
        </w:rPr>
        <w:t>The genotoxic potential of pembrolizumab has not been evaluated.</w:t>
      </w:r>
      <w:r w:rsidR="00E77671" w:rsidRPr="00187C95">
        <w:rPr>
          <w:rFonts w:ascii="Arial" w:hAnsi="Arial" w:cs="Arial"/>
          <w:sz w:val="22"/>
          <w:szCs w:val="20"/>
        </w:rPr>
        <w:t xml:space="preserve"> As a large protein molecule, pembrolizumab is not expected to interact directly with DNA or other chromosomal material.</w:t>
      </w:r>
    </w:p>
    <w:p w14:paraId="5FB34A89" w14:textId="77777777" w:rsidR="00B433DB" w:rsidRPr="00187C95" w:rsidRDefault="00B433DB" w:rsidP="00187C95">
      <w:pPr>
        <w:pStyle w:val="Heading2"/>
        <w:rPr>
          <w:rFonts w:ascii="Arial" w:hAnsi="Arial" w:cs="Arial"/>
        </w:rPr>
      </w:pPr>
      <w:r w:rsidRPr="00187C95">
        <w:rPr>
          <w:rFonts w:ascii="Arial" w:hAnsi="Arial" w:cs="Arial"/>
        </w:rPr>
        <w:t>Ca</w:t>
      </w:r>
      <w:r w:rsidR="006C613D" w:rsidRPr="00187C95">
        <w:rPr>
          <w:rFonts w:ascii="Arial" w:hAnsi="Arial" w:cs="Arial"/>
        </w:rPr>
        <w:t>rcinogenicity</w:t>
      </w:r>
    </w:p>
    <w:p w14:paraId="7C3F422F" w14:textId="77777777" w:rsidR="00D058F6" w:rsidRPr="00187C95" w:rsidRDefault="00D058F6" w:rsidP="00555F36">
      <w:pPr>
        <w:pStyle w:val="BodyText1"/>
        <w:ind w:firstLine="0"/>
        <w:jc w:val="both"/>
        <w:rPr>
          <w:rFonts w:ascii="Arial" w:hAnsi="Arial" w:cs="Arial"/>
          <w:sz w:val="22"/>
          <w:szCs w:val="20"/>
        </w:rPr>
      </w:pPr>
      <w:r w:rsidRPr="00187C95">
        <w:rPr>
          <w:rFonts w:ascii="Arial" w:hAnsi="Arial" w:cs="Arial"/>
          <w:sz w:val="22"/>
          <w:szCs w:val="20"/>
        </w:rPr>
        <w:t>The carcinogenic potential of pembrolizumab has not been evaluated in long-term animal studies.</w:t>
      </w:r>
    </w:p>
    <w:p w14:paraId="6A076ABB" w14:textId="77777777" w:rsidR="00406042" w:rsidRPr="00187C95" w:rsidRDefault="00406042" w:rsidP="00187C95">
      <w:pPr>
        <w:pStyle w:val="Heading2"/>
        <w:rPr>
          <w:rFonts w:ascii="Arial" w:hAnsi="Arial" w:cs="Arial"/>
        </w:rPr>
      </w:pPr>
      <w:r w:rsidRPr="00187C95">
        <w:rPr>
          <w:rFonts w:ascii="Arial" w:hAnsi="Arial" w:cs="Arial"/>
        </w:rPr>
        <w:t>Effect on Laboratory Tests</w:t>
      </w:r>
    </w:p>
    <w:p w14:paraId="3996763B" w14:textId="77777777" w:rsidR="00406042" w:rsidRDefault="00406042" w:rsidP="00555F36">
      <w:pPr>
        <w:pStyle w:val="BodyText1"/>
        <w:spacing w:before="0"/>
        <w:ind w:firstLine="0"/>
        <w:jc w:val="both"/>
        <w:rPr>
          <w:rFonts w:ascii="Arial" w:hAnsi="Arial" w:cs="Arial"/>
          <w:noProof/>
          <w:sz w:val="22"/>
          <w:szCs w:val="20"/>
        </w:rPr>
      </w:pPr>
      <w:r w:rsidRPr="00187C95">
        <w:rPr>
          <w:rFonts w:ascii="Arial" w:hAnsi="Arial" w:cs="Arial"/>
          <w:noProof/>
          <w:sz w:val="22"/>
          <w:szCs w:val="20"/>
        </w:rPr>
        <w:t xml:space="preserve">Thyroid and liver </w:t>
      </w:r>
      <w:r w:rsidRPr="00187C95">
        <w:rPr>
          <w:rFonts w:ascii="Arial" w:hAnsi="Arial" w:cs="Arial"/>
          <w:sz w:val="22"/>
          <w:szCs w:val="20"/>
          <w:lang w:val="en-GB"/>
        </w:rPr>
        <w:t xml:space="preserve">(hepatic transaminase and bilirubin levels) </w:t>
      </w:r>
      <w:r w:rsidRPr="00187C95">
        <w:rPr>
          <w:rFonts w:ascii="Arial" w:hAnsi="Arial" w:cs="Arial"/>
          <w:noProof/>
          <w:sz w:val="22"/>
          <w:szCs w:val="20"/>
        </w:rPr>
        <w:t xml:space="preserve">function tests should be performed at the start of treatment, periodically during treatment and as indicated based on clinical evaluation </w:t>
      </w:r>
      <w:r w:rsidRPr="00D8643B">
        <w:rPr>
          <w:rFonts w:ascii="Arial" w:hAnsi="Arial" w:cs="Arial"/>
          <w:i/>
          <w:noProof/>
          <w:sz w:val="22"/>
          <w:szCs w:val="20"/>
        </w:rPr>
        <w:t>[</w:t>
      </w:r>
      <w:r w:rsidR="000A0CD2" w:rsidRPr="00AE1EF9">
        <w:rPr>
          <w:rFonts w:ascii="Arial" w:hAnsi="Arial" w:cs="Arial"/>
          <w:i/>
          <w:sz w:val="22"/>
          <w:szCs w:val="20"/>
        </w:rPr>
        <w:t xml:space="preserve">see </w:t>
      </w:r>
      <w:r w:rsidR="003345BB" w:rsidRPr="00AE1EF9">
        <w:rPr>
          <w:rFonts w:ascii="Arial" w:hAnsi="Arial" w:cs="Arial"/>
          <w:i/>
          <w:sz w:val="22"/>
          <w:szCs w:val="20"/>
        </w:rPr>
        <w:t xml:space="preserve">PRECAUTIONS and </w:t>
      </w:r>
      <w:r w:rsidR="000A0CD2" w:rsidRPr="00A04553">
        <w:rPr>
          <w:rFonts w:ascii="Arial" w:hAnsi="Arial" w:cs="Arial"/>
          <w:i/>
          <w:sz w:val="22"/>
          <w:szCs w:val="20"/>
        </w:rPr>
        <w:t>DOSAGE AND ADMINISTRATON</w:t>
      </w:r>
      <w:r w:rsidRPr="00A04553">
        <w:rPr>
          <w:rFonts w:ascii="Arial" w:hAnsi="Arial" w:cs="Arial"/>
          <w:i/>
          <w:noProof/>
          <w:sz w:val="22"/>
          <w:szCs w:val="20"/>
        </w:rPr>
        <w:t>]</w:t>
      </w:r>
      <w:r w:rsidR="00D45C9B" w:rsidRPr="00A04553">
        <w:rPr>
          <w:rFonts w:ascii="Arial" w:hAnsi="Arial" w:cs="Arial"/>
          <w:i/>
          <w:noProof/>
          <w:sz w:val="22"/>
          <w:szCs w:val="20"/>
        </w:rPr>
        <w:t>.</w:t>
      </w:r>
    </w:p>
    <w:p w14:paraId="2BFC0E1C" w14:textId="77777777" w:rsidR="00FE1899" w:rsidRDefault="00FE1899" w:rsidP="00FE1899">
      <w:pPr>
        <w:pStyle w:val="Heading2"/>
      </w:pPr>
      <w:r>
        <w:t>Complications of allogeneic Haematopoietic Stem Cell Transplant (HSCT) in classical Hodgkin Lymphoma</w:t>
      </w:r>
    </w:p>
    <w:p w14:paraId="7FB62036" w14:textId="77777777" w:rsidR="00FE1899" w:rsidRDefault="00FE1899" w:rsidP="00FE1899">
      <w:pPr>
        <w:pStyle w:val="BodyText1"/>
        <w:ind w:firstLine="0"/>
        <w:jc w:val="both"/>
        <w:rPr>
          <w:rFonts w:ascii="Arial" w:hAnsi="Arial" w:cs="Arial"/>
          <w:sz w:val="22"/>
          <w:szCs w:val="20"/>
        </w:rPr>
      </w:pPr>
      <w:r>
        <w:rPr>
          <w:rFonts w:ascii="Arial" w:hAnsi="Arial" w:cs="Arial"/>
          <w:sz w:val="22"/>
          <w:szCs w:val="20"/>
        </w:rPr>
        <w:t xml:space="preserve">Immune-mediated complications, including fatal events, occurred in patients who underwent allogeneic hematopoietic stem cell transplantation (HSCT) after being treated with KEYTRUDA. Of 23 patients with cHL who proceeded to allogeneic HSCT after treatment with KEYTRUDA on any trial, 6 patients (26%) developed graft-versus-host-disease (GVHD), one of which was fatal, and 2 patients (9%) developed severe hepatic veno-occlusive disease (VOD) after reduced-intensity conditioning, one of which was fatal. Cases of fatal hyperacute GVHD after allogeneic HSCT have </w:t>
      </w:r>
      <w:r>
        <w:rPr>
          <w:rFonts w:ascii="Arial" w:hAnsi="Arial" w:cs="Arial"/>
          <w:sz w:val="22"/>
          <w:szCs w:val="20"/>
        </w:rPr>
        <w:lastRenderedPageBreak/>
        <w:t>also been reported in patients with lymphoma who received a PD-1 receptor blocking antibody before transplantation. These complications may occur despite intervening therapy between PD-1 blockade and allogeneic HSCT. Follow patients closely for early evidence of transplant-related complications such as hyperacute GVHD, severe (Grade 3 to 4) acute GVHD, steroid-requiring febrile syndrome, hepatic VOD, and other immune mediated adverse reactions, and intervene promptly.</w:t>
      </w:r>
    </w:p>
    <w:p w14:paraId="7CE76B7B" w14:textId="77777777" w:rsidR="003A6F1C" w:rsidRPr="00187C95" w:rsidRDefault="00C25BB6" w:rsidP="00A97420">
      <w:pPr>
        <w:pStyle w:val="Heading1"/>
      </w:pPr>
      <w:r w:rsidRPr="00A04553">
        <w:t>INTERACTIONS WITH OTHER MEDICINES</w:t>
      </w:r>
    </w:p>
    <w:p w14:paraId="55135BD2" w14:textId="61BEC40C" w:rsidR="00CF772C" w:rsidRPr="004172BA" w:rsidRDefault="00CF772C" w:rsidP="008476E9">
      <w:pPr>
        <w:pStyle w:val="Body"/>
        <w:ind w:firstLine="0"/>
        <w:jc w:val="both"/>
        <w:rPr>
          <w:rFonts w:eastAsia="Times New Roman" w:cs="Arial"/>
          <w:sz w:val="22"/>
          <w:lang w:eastAsia="en-US"/>
        </w:rPr>
      </w:pPr>
      <w:r w:rsidRPr="004172BA">
        <w:rPr>
          <w:rFonts w:eastAsia="Times New Roman" w:cs="Arial"/>
          <w:sz w:val="22"/>
          <w:lang w:eastAsia="en-US"/>
        </w:rPr>
        <w:t>No formal pharmacokinetic drug interaction studies have been conducted with KEYTRUDA. Since pembrolizumab is cleared from the circulation through catabolism, no metabolic drug-</w:t>
      </w:r>
      <w:r w:rsidR="00A96B4E">
        <w:rPr>
          <w:rFonts w:eastAsia="Times New Roman" w:cs="Arial"/>
          <w:sz w:val="22"/>
          <w:lang w:eastAsia="en-US"/>
        </w:rPr>
        <w:t>drug interactions are expected.</w:t>
      </w:r>
    </w:p>
    <w:p w14:paraId="0D061AA4" w14:textId="77777777" w:rsidR="007F434B" w:rsidRPr="002164EC" w:rsidRDefault="00CF772C" w:rsidP="008476E9">
      <w:pPr>
        <w:pStyle w:val="Body"/>
        <w:ind w:firstLine="0"/>
        <w:jc w:val="both"/>
        <w:rPr>
          <w:rFonts w:cs="Arial"/>
          <w:b/>
          <w:sz w:val="24"/>
        </w:rPr>
      </w:pPr>
      <w:r w:rsidRPr="004172BA">
        <w:rPr>
          <w:rFonts w:eastAsia="Times New Roman" w:cs="Arial"/>
          <w:sz w:val="22"/>
          <w:lang w:eastAsia="en-US"/>
        </w:rPr>
        <w:t>The use of systemic corticosteroids or immunosuppressants before starting KEYTRUDA should be avoided because of their potential interference with the pharmacodynamic activity and efficacy of KEYTRUDA. However, systemic corticosteroids or other immunosuppressants can be used after starting KEYTRUDA to treat immune-mediated adverse reactions</w:t>
      </w:r>
      <w:r w:rsidR="00EA5B09" w:rsidRPr="00343CB7">
        <w:rPr>
          <w:rFonts w:cs="Arial"/>
          <w:sz w:val="22"/>
        </w:rPr>
        <w:t xml:space="preserve"> </w:t>
      </w:r>
      <w:r w:rsidR="00EA5B09" w:rsidRPr="00343CB7">
        <w:rPr>
          <w:rFonts w:eastAsia="Times New Roman" w:cs="Arial"/>
          <w:i/>
          <w:sz w:val="22"/>
          <w:lang w:val="en-AU" w:eastAsia="en-AU"/>
        </w:rPr>
        <w:t>[See PRECAUTIONS]</w:t>
      </w:r>
      <w:r w:rsidR="00EA5B09" w:rsidRPr="002164EC">
        <w:rPr>
          <w:rFonts w:eastAsia="Times New Roman" w:cs="Arial"/>
          <w:sz w:val="22"/>
          <w:lang w:val="en-AU" w:eastAsia="en-AU"/>
        </w:rPr>
        <w:t>.</w:t>
      </w:r>
    </w:p>
    <w:p w14:paraId="3E38C8A4" w14:textId="77777777" w:rsidR="003A6F1C" w:rsidRPr="00AE1EF9" w:rsidRDefault="003A6F1C" w:rsidP="00A97420">
      <w:pPr>
        <w:pStyle w:val="Heading1"/>
      </w:pPr>
      <w:r w:rsidRPr="00D8643B">
        <w:t xml:space="preserve">ADVERSE </w:t>
      </w:r>
      <w:r w:rsidR="00C25BB6" w:rsidRPr="00AE1EF9">
        <w:t>EFFECTS</w:t>
      </w:r>
    </w:p>
    <w:p w14:paraId="237604DC" w14:textId="77777777" w:rsidR="00CF772C" w:rsidRPr="00187C95" w:rsidRDefault="003345BB" w:rsidP="00EE12B4">
      <w:pPr>
        <w:pStyle w:val="Heading2"/>
        <w:rPr>
          <w:rFonts w:ascii="Arial" w:hAnsi="Arial" w:cs="Arial"/>
        </w:rPr>
      </w:pPr>
      <w:r w:rsidRPr="00187C95">
        <w:rPr>
          <w:rFonts w:ascii="Arial" w:hAnsi="Arial" w:cs="Arial"/>
        </w:rPr>
        <w:t>Clinical trials experience</w:t>
      </w:r>
    </w:p>
    <w:p w14:paraId="61DA99C3" w14:textId="77777777" w:rsidR="000B4EB3" w:rsidRDefault="0034622F" w:rsidP="008E1321">
      <w:pPr>
        <w:pStyle w:val="BodyText1"/>
        <w:ind w:firstLine="0"/>
        <w:jc w:val="both"/>
        <w:rPr>
          <w:rFonts w:ascii="Arial" w:hAnsi="Arial" w:cs="Arial"/>
          <w:noProof/>
          <w:sz w:val="22"/>
          <w:szCs w:val="20"/>
        </w:rPr>
      </w:pPr>
      <w:r>
        <w:rPr>
          <w:rFonts w:ascii="Arial" w:hAnsi="Arial" w:cs="Arial"/>
          <w:noProof/>
          <w:sz w:val="22"/>
          <w:szCs w:val="20"/>
        </w:rPr>
        <w:t>The s</w:t>
      </w:r>
      <w:r w:rsidRPr="00343CB7">
        <w:rPr>
          <w:rFonts w:ascii="Arial" w:hAnsi="Arial" w:cs="Arial"/>
          <w:noProof/>
          <w:sz w:val="22"/>
          <w:szCs w:val="20"/>
        </w:rPr>
        <w:t>afety</w:t>
      </w:r>
      <w:r>
        <w:rPr>
          <w:rFonts w:ascii="Arial" w:hAnsi="Arial" w:cs="Arial"/>
          <w:noProof/>
          <w:sz w:val="22"/>
          <w:szCs w:val="20"/>
        </w:rPr>
        <w:t xml:space="preserve"> of KEYTRUDA</w:t>
      </w:r>
      <w:r w:rsidRPr="00343CB7">
        <w:rPr>
          <w:rFonts w:ascii="Arial" w:hAnsi="Arial" w:cs="Arial"/>
          <w:noProof/>
          <w:sz w:val="22"/>
          <w:szCs w:val="20"/>
        </w:rPr>
        <w:t xml:space="preserve"> </w:t>
      </w:r>
      <w:r w:rsidR="003D0B2F">
        <w:rPr>
          <w:rFonts w:ascii="Arial" w:hAnsi="Arial" w:cs="Arial"/>
          <w:noProof/>
          <w:sz w:val="22"/>
          <w:szCs w:val="20"/>
        </w:rPr>
        <w:t>was evaluated in 2799</w:t>
      </w:r>
      <w:r w:rsidR="00C40A9D" w:rsidRPr="002164EC">
        <w:rPr>
          <w:rFonts w:ascii="Arial" w:hAnsi="Arial" w:cs="Arial"/>
          <w:noProof/>
          <w:sz w:val="22"/>
          <w:szCs w:val="20"/>
        </w:rPr>
        <w:t xml:space="preserve"> </w:t>
      </w:r>
      <w:r w:rsidR="00C40A9D" w:rsidRPr="00187C95">
        <w:rPr>
          <w:rFonts w:ascii="Arial" w:hAnsi="Arial" w:cs="Arial"/>
          <w:noProof/>
          <w:sz w:val="22"/>
          <w:szCs w:val="20"/>
        </w:rPr>
        <w:t>patients</w:t>
      </w:r>
      <w:r>
        <w:rPr>
          <w:rFonts w:ascii="Arial" w:hAnsi="Arial" w:cs="Arial"/>
          <w:noProof/>
          <w:sz w:val="22"/>
          <w:szCs w:val="20"/>
        </w:rPr>
        <w:t xml:space="preserve"> with unresectable or metastatic melanoma or metastatic NSCLC in controlled and uncontrolled studies.</w:t>
      </w:r>
      <w:r w:rsidR="00C40A9D" w:rsidRPr="00187C95">
        <w:rPr>
          <w:rFonts w:ascii="Arial" w:hAnsi="Arial" w:cs="Arial"/>
          <w:noProof/>
          <w:sz w:val="22"/>
          <w:szCs w:val="20"/>
        </w:rPr>
        <w:t xml:space="preserve"> </w:t>
      </w:r>
      <w:r w:rsidR="00CF772C" w:rsidRPr="00431AB6">
        <w:rPr>
          <w:rFonts w:ascii="Arial" w:hAnsi="Arial" w:cs="Arial"/>
          <w:noProof/>
          <w:sz w:val="22"/>
          <w:szCs w:val="20"/>
        </w:rPr>
        <w:t>The</w:t>
      </w:r>
      <w:r w:rsidR="00C40A9D">
        <w:rPr>
          <w:rFonts w:ascii="Arial" w:hAnsi="Arial" w:cs="Arial"/>
          <w:noProof/>
          <w:sz w:val="22"/>
          <w:szCs w:val="20"/>
        </w:rPr>
        <w:t xml:space="preserve"> median</w:t>
      </w:r>
      <w:r w:rsidR="00CF772C" w:rsidRPr="00431AB6">
        <w:rPr>
          <w:rFonts w:ascii="Arial" w:hAnsi="Arial" w:cs="Arial"/>
          <w:noProof/>
          <w:sz w:val="22"/>
          <w:szCs w:val="20"/>
        </w:rPr>
        <w:t xml:space="preserve"> treatment duration was </w:t>
      </w:r>
      <w:r w:rsidR="004B1CD2" w:rsidRPr="00431AB6">
        <w:rPr>
          <w:rFonts w:ascii="Arial" w:hAnsi="Arial" w:cs="Arial"/>
          <w:noProof/>
          <w:sz w:val="22"/>
          <w:szCs w:val="20"/>
        </w:rPr>
        <w:t>4</w:t>
      </w:r>
      <w:r w:rsidR="004B1CD2" w:rsidRPr="0019477B">
        <w:rPr>
          <w:rFonts w:ascii="Arial" w:hAnsi="Arial" w:cs="Arial"/>
          <w:noProof/>
          <w:sz w:val="22"/>
          <w:szCs w:val="20"/>
        </w:rPr>
        <w:t>.</w:t>
      </w:r>
      <w:r w:rsidR="003D0B2F">
        <w:rPr>
          <w:rFonts w:ascii="Arial" w:hAnsi="Arial" w:cs="Arial"/>
          <w:noProof/>
          <w:sz w:val="22"/>
          <w:szCs w:val="20"/>
        </w:rPr>
        <w:t>2</w:t>
      </w:r>
      <w:r w:rsidR="004B1CD2" w:rsidRPr="0019477B">
        <w:rPr>
          <w:rFonts w:ascii="Arial" w:hAnsi="Arial" w:cs="Arial"/>
          <w:noProof/>
          <w:sz w:val="22"/>
          <w:szCs w:val="20"/>
        </w:rPr>
        <w:t xml:space="preserve"> months</w:t>
      </w:r>
      <w:r w:rsidR="00CF772C" w:rsidRPr="0019477B">
        <w:rPr>
          <w:rFonts w:ascii="Arial" w:hAnsi="Arial" w:cs="Arial"/>
          <w:noProof/>
          <w:sz w:val="22"/>
          <w:szCs w:val="20"/>
        </w:rPr>
        <w:t xml:space="preserve"> (range 1</w:t>
      </w:r>
      <w:r w:rsidR="00806F0D">
        <w:rPr>
          <w:rFonts w:ascii="Arial" w:hAnsi="Arial" w:cs="Arial"/>
          <w:noProof/>
          <w:sz w:val="22"/>
          <w:szCs w:val="20"/>
        </w:rPr>
        <w:t xml:space="preserve"> </w:t>
      </w:r>
      <w:r w:rsidR="00CF772C" w:rsidRPr="0019477B">
        <w:rPr>
          <w:rFonts w:ascii="Arial" w:hAnsi="Arial" w:cs="Arial"/>
          <w:noProof/>
          <w:sz w:val="22"/>
          <w:szCs w:val="20"/>
        </w:rPr>
        <w:t>day</w:t>
      </w:r>
      <w:r w:rsidR="004B1CD2" w:rsidRPr="0019477B">
        <w:rPr>
          <w:rFonts w:ascii="Arial" w:hAnsi="Arial" w:cs="Arial"/>
          <w:noProof/>
          <w:sz w:val="22"/>
          <w:szCs w:val="20"/>
        </w:rPr>
        <w:t xml:space="preserve"> to </w:t>
      </w:r>
      <w:r w:rsidR="003D0B2F">
        <w:rPr>
          <w:rFonts w:ascii="Arial" w:hAnsi="Arial" w:cs="Arial"/>
          <w:noProof/>
          <w:sz w:val="22"/>
          <w:szCs w:val="20"/>
        </w:rPr>
        <w:t>30.4</w:t>
      </w:r>
      <w:r w:rsidR="004B1CD2" w:rsidRPr="0019477B">
        <w:rPr>
          <w:rFonts w:ascii="Arial" w:hAnsi="Arial" w:cs="Arial"/>
          <w:noProof/>
          <w:sz w:val="22"/>
          <w:szCs w:val="20"/>
        </w:rPr>
        <w:t xml:space="preserve"> months</w:t>
      </w:r>
      <w:r w:rsidR="00CF772C" w:rsidRPr="0019477B">
        <w:rPr>
          <w:rFonts w:ascii="Arial" w:hAnsi="Arial" w:cs="Arial"/>
          <w:noProof/>
          <w:sz w:val="22"/>
          <w:szCs w:val="20"/>
        </w:rPr>
        <w:t xml:space="preserve">) including </w:t>
      </w:r>
      <w:r w:rsidR="003D0B2F">
        <w:rPr>
          <w:rFonts w:ascii="Arial" w:hAnsi="Arial" w:cs="Arial"/>
          <w:noProof/>
          <w:sz w:val="22"/>
          <w:szCs w:val="20"/>
        </w:rPr>
        <w:t>1153</w:t>
      </w:r>
      <w:r w:rsidR="004B1CD2" w:rsidRPr="0019477B">
        <w:rPr>
          <w:rFonts w:ascii="Arial" w:hAnsi="Arial" w:cs="Arial"/>
          <w:noProof/>
          <w:sz w:val="22"/>
          <w:szCs w:val="20"/>
        </w:rPr>
        <w:t xml:space="preserve"> </w:t>
      </w:r>
      <w:r w:rsidR="00CF772C" w:rsidRPr="0019477B">
        <w:rPr>
          <w:rFonts w:ascii="Arial" w:hAnsi="Arial" w:cs="Arial"/>
          <w:noProof/>
          <w:sz w:val="22"/>
          <w:szCs w:val="20"/>
        </w:rPr>
        <w:t xml:space="preserve">patients treated for greater than </w:t>
      </w:r>
      <w:r w:rsidR="00C40A9D">
        <w:rPr>
          <w:rFonts w:ascii="Arial" w:hAnsi="Arial" w:cs="Arial"/>
          <w:noProof/>
          <w:sz w:val="22"/>
          <w:szCs w:val="20"/>
        </w:rPr>
        <w:t xml:space="preserve">or equal to six months and </w:t>
      </w:r>
      <w:r w:rsidR="003D0B2F">
        <w:rPr>
          <w:rFonts w:ascii="Arial" w:hAnsi="Arial" w:cs="Arial"/>
          <w:noProof/>
          <w:sz w:val="22"/>
          <w:szCs w:val="20"/>
        </w:rPr>
        <w:t xml:space="preserve">600 </w:t>
      </w:r>
      <w:r w:rsidR="00C40A9D">
        <w:rPr>
          <w:rFonts w:ascii="Arial" w:hAnsi="Arial" w:cs="Arial"/>
          <w:noProof/>
          <w:sz w:val="22"/>
          <w:szCs w:val="20"/>
        </w:rPr>
        <w:t xml:space="preserve">patients treated for greater than or equal to </w:t>
      </w:r>
      <w:r w:rsidR="00CF772C" w:rsidRPr="0019477B">
        <w:rPr>
          <w:rFonts w:ascii="Arial" w:hAnsi="Arial" w:cs="Arial"/>
          <w:noProof/>
          <w:sz w:val="22"/>
          <w:szCs w:val="20"/>
        </w:rPr>
        <w:t>one year.</w:t>
      </w:r>
    </w:p>
    <w:p w14:paraId="1A8701E2" w14:textId="1A9BB0CE" w:rsidR="003E2FDB" w:rsidRPr="0001373A" w:rsidRDefault="00CF772C" w:rsidP="00AB082B">
      <w:pPr>
        <w:pStyle w:val="BodyText1"/>
        <w:ind w:firstLine="0"/>
        <w:jc w:val="both"/>
        <w:rPr>
          <w:noProof/>
        </w:rPr>
      </w:pPr>
      <w:r w:rsidRPr="00EE12B4">
        <w:rPr>
          <w:rFonts w:ascii="Arial" w:hAnsi="Arial" w:cs="Arial"/>
          <w:noProof/>
          <w:sz w:val="22"/>
          <w:szCs w:val="20"/>
        </w:rPr>
        <w:t xml:space="preserve">KEYTRUDA was discontinued for </w:t>
      </w:r>
      <w:r w:rsidR="0034622F">
        <w:rPr>
          <w:rFonts w:ascii="Arial" w:hAnsi="Arial" w:cs="Arial"/>
          <w:noProof/>
          <w:sz w:val="22"/>
          <w:szCs w:val="20"/>
        </w:rPr>
        <w:t xml:space="preserve">treatment-related </w:t>
      </w:r>
      <w:r w:rsidR="008E1321" w:rsidRPr="00EE12B4">
        <w:rPr>
          <w:rFonts w:ascii="Arial" w:hAnsi="Arial" w:cs="Arial"/>
          <w:noProof/>
          <w:sz w:val="22"/>
          <w:szCs w:val="20"/>
        </w:rPr>
        <w:t xml:space="preserve">adverse </w:t>
      </w:r>
      <w:r w:rsidR="0034622F">
        <w:rPr>
          <w:rFonts w:ascii="Arial" w:hAnsi="Arial" w:cs="Arial"/>
          <w:noProof/>
          <w:sz w:val="22"/>
          <w:szCs w:val="20"/>
        </w:rPr>
        <w:t>reactions</w:t>
      </w:r>
      <w:r w:rsidR="0034622F" w:rsidRPr="00EE12B4">
        <w:rPr>
          <w:rFonts w:ascii="Arial" w:hAnsi="Arial" w:cs="Arial"/>
          <w:noProof/>
          <w:sz w:val="22"/>
          <w:szCs w:val="20"/>
        </w:rPr>
        <w:t xml:space="preserve"> </w:t>
      </w:r>
      <w:r w:rsidR="008E1321" w:rsidRPr="00EE12B4">
        <w:rPr>
          <w:rFonts w:ascii="Arial" w:hAnsi="Arial" w:cs="Arial"/>
          <w:noProof/>
          <w:sz w:val="22"/>
          <w:szCs w:val="20"/>
        </w:rPr>
        <w:t xml:space="preserve">in </w:t>
      </w:r>
      <w:r w:rsidR="003D0B2F">
        <w:rPr>
          <w:rFonts w:ascii="Arial" w:hAnsi="Arial" w:cs="Arial"/>
          <w:noProof/>
          <w:sz w:val="22"/>
          <w:szCs w:val="20"/>
        </w:rPr>
        <w:t>5</w:t>
      </w:r>
      <w:r w:rsidR="008E1321" w:rsidRPr="00EE12B4">
        <w:rPr>
          <w:rFonts w:ascii="Arial" w:hAnsi="Arial" w:cs="Arial"/>
          <w:noProof/>
          <w:sz w:val="22"/>
          <w:szCs w:val="20"/>
        </w:rPr>
        <w:t>% of patients</w:t>
      </w:r>
      <w:r w:rsidRPr="00EE12B4">
        <w:rPr>
          <w:rFonts w:ascii="Arial" w:hAnsi="Arial" w:cs="Arial"/>
          <w:noProof/>
          <w:sz w:val="22"/>
          <w:szCs w:val="20"/>
        </w:rPr>
        <w:t>.</w:t>
      </w:r>
      <w:r w:rsidR="00C91798">
        <w:rPr>
          <w:rFonts w:ascii="Arial" w:hAnsi="Arial" w:cs="Arial"/>
          <w:noProof/>
          <w:sz w:val="22"/>
          <w:szCs w:val="20"/>
        </w:rPr>
        <w:t xml:space="preserve"> </w:t>
      </w:r>
      <w:r w:rsidRPr="00362DC6">
        <w:rPr>
          <w:rFonts w:ascii="Arial" w:hAnsi="Arial" w:cs="Arial"/>
          <w:noProof/>
          <w:sz w:val="22"/>
          <w:szCs w:val="20"/>
        </w:rPr>
        <w:t xml:space="preserve">Treatment-related serious adverse events (SAEs) reported up to 90 days after the last dose occurred in </w:t>
      </w:r>
      <w:r w:rsidR="003D0B2F">
        <w:rPr>
          <w:rFonts w:ascii="Arial" w:hAnsi="Arial" w:cs="Arial"/>
          <w:noProof/>
          <w:sz w:val="22"/>
          <w:szCs w:val="20"/>
        </w:rPr>
        <w:t>10</w:t>
      </w:r>
      <w:r w:rsidRPr="00A97420">
        <w:rPr>
          <w:rFonts w:ascii="Arial" w:hAnsi="Arial" w:cs="Arial"/>
          <w:noProof/>
          <w:sz w:val="22"/>
          <w:szCs w:val="20"/>
        </w:rPr>
        <w:t>% of patients receiving KEYTRUDA. Of these treatment-related SAEs,</w:t>
      </w:r>
      <w:r w:rsidR="003D0B2F" w:rsidRPr="003D0B2F">
        <w:rPr>
          <w:rFonts w:ascii="Arial" w:hAnsi="Arial" w:cs="Arial"/>
          <w:noProof/>
          <w:sz w:val="22"/>
          <w:szCs w:val="20"/>
        </w:rPr>
        <w:t xml:space="preserve"> </w:t>
      </w:r>
      <w:r w:rsidR="003D0B2F">
        <w:rPr>
          <w:rFonts w:ascii="Arial" w:hAnsi="Arial" w:cs="Arial"/>
          <w:noProof/>
          <w:sz w:val="22"/>
          <w:szCs w:val="20"/>
        </w:rPr>
        <w:t>the most common were</w:t>
      </w:r>
      <w:r w:rsidRPr="00A97420">
        <w:rPr>
          <w:rFonts w:ascii="Arial" w:hAnsi="Arial" w:cs="Arial"/>
          <w:noProof/>
          <w:sz w:val="22"/>
          <w:szCs w:val="20"/>
        </w:rPr>
        <w:t xml:space="preserve">: </w:t>
      </w:r>
      <w:r w:rsidR="003745E6">
        <w:rPr>
          <w:rFonts w:ascii="Arial" w:hAnsi="Arial" w:cs="Arial"/>
          <w:noProof/>
          <w:sz w:val="22"/>
          <w:szCs w:val="20"/>
        </w:rPr>
        <w:t xml:space="preserve">pneumonitis, </w:t>
      </w:r>
      <w:r w:rsidRPr="00A97420">
        <w:rPr>
          <w:rFonts w:ascii="Arial" w:hAnsi="Arial" w:cs="Arial"/>
          <w:noProof/>
          <w:sz w:val="22"/>
          <w:szCs w:val="20"/>
        </w:rPr>
        <w:t>colitis</w:t>
      </w:r>
      <w:r w:rsidR="003745E6">
        <w:t>,</w:t>
      </w:r>
      <w:r w:rsidR="003D0B2F" w:rsidRPr="00756A52">
        <w:rPr>
          <w:rFonts w:ascii="Arial" w:hAnsi="Arial" w:cs="Arial"/>
          <w:noProof/>
          <w:sz w:val="22"/>
          <w:szCs w:val="20"/>
        </w:rPr>
        <w:t xml:space="preserve"> diarrhoea</w:t>
      </w:r>
      <w:r w:rsidR="003745E6" w:rsidRPr="003745E6">
        <w:rPr>
          <w:rFonts w:ascii="Arial" w:hAnsi="Arial" w:cs="Arial"/>
          <w:noProof/>
          <w:sz w:val="22"/>
          <w:szCs w:val="20"/>
        </w:rPr>
        <w:t xml:space="preserve">, </w:t>
      </w:r>
      <w:r w:rsidR="009756BE">
        <w:rPr>
          <w:rFonts w:ascii="Arial" w:hAnsi="Arial" w:cs="Arial"/>
          <w:noProof/>
          <w:sz w:val="22"/>
          <w:szCs w:val="20"/>
        </w:rPr>
        <w:t xml:space="preserve">and </w:t>
      </w:r>
      <w:r w:rsidR="003745E6" w:rsidRPr="003745E6">
        <w:rPr>
          <w:rFonts w:ascii="Arial" w:hAnsi="Arial" w:cs="Arial"/>
          <w:noProof/>
          <w:sz w:val="22"/>
          <w:szCs w:val="20"/>
        </w:rPr>
        <w:t>pyrexia</w:t>
      </w:r>
      <w:r w:rsidRPr="00A97420">
        <w:rPr>
          <w:rFonts w:ascii="Arial" w:hAnsi="Arial" w:cs="Arial"/>
          <w:noProof/>
          <w:sz w:val="22"/>
          <w:szCs w:val="20"/>
        </w:rPr>
        <w:t>.</w:t>
      </w:r>
      <w:r w:rsidR="00806F0D" w:rsidRPr="00806F0D">
        <w:t xml:space="preserve"> </w:t>
      </w:r>
      <w:r w:rsidR="00806F0D" w:rsidRPr="00806F0D">
        <w:rPr>
          <w:rFonts w:ascii="Arial" w:hAnsi="Arial" w:cs="Arial"/>
          <w:noProof/>
          <w:sz w:val="22"/>
          <w:szCs w:val="20"/>
        </w:rPr>
        <w:t>The most common treatment-related adverse reactions (reported in &gt;10% of patients) were: fatigue, pruritus, rash, diarrhoea, and nausea. The safety profile was generally similar for patients with melanoma and NSCLC.</w:t>
      </w:r>
    </w:p>
    <w:p w14:paraId="1F8476D5" w14:textId="77777777" w:rsidR="00CF772C" w:rsidRPr="00187C95" w:rsidRDefault="003E2FDB" w:rsidP="00EE12B4">
      <w:pPr>
        <w:pStyle w:val="Heading2"/>
        <w:rPr>
          <w:rFonts w:ascii="Arial" w:hAnsi="Arial" w:cs="Arial"/>
        </w:rPr>
      </w:pPr>
      <w:r w:rsidRPr="00187C95">
        <w:rPr>
          <w:rFonts w:ascii="Arial" w:hAnsi="Arial" w:cs="Arial"/>
        </w:rPr>
        <w:t>I</w:t>
      </w:r>
      <w:r w:rsidR="00CF772C" w:rsidRPr="00187C95">
        <w:rPr>
          <w:rFonts w:ascii="Arial" w:hAnsi="Arial" w:cs="Arial"/>
        </w:rPr>
        <w:t xml:space="preserve">mmune-mediated adverse reactions </w:t>
      </w:r>
      <w:r w:rsidRPr="00187C95">
        <w:rPr>
          <w:rFonts w:ascii="Arial" w:hAnsi="Arial" w:cs="Arial"/>
        </w:rPr>
        <w:t>[see PRECAUTIONS]</w:t>
      </w:r>
    </w:p>
    <w:p w14:paraId="37CF9B34" w14:textId="754E4574" w:rsidR="00CF772C" w:rsidRPr="004172BA" w:rsidRDefault="003745E6" w:rsidP="00010E35">
      <w:pPr>
        <w:pStyle w:val="BodyText1"/>
        <w:ind w:firstLine="0"/>
        <w:jc w:val="both"/>
        <w:rPr>
          <w:rFonts w:ascii="Arial" w:hAnsi="Arial" w:cs="Arial"/>
          <w:noProof/>
          <w:sz w:val="22"/>
          <w:szCs w:val="20"/>
        </w:rPr>
      </w:pPr>
      <w:r w:rsidRPr="003745E6">
        <w:rPr>
          <w:rFonts w:ascii="Arial" w:hAnsi="Arial" w:cs="Arial"/>
          <w:noProof/>
          <w:sz w:val="22"/>
          <w:szCs w:val="20"/>
        </w:rPr>
        <w:t xml:space="preserve">Immune-mediated adverse reactions are presented based on </w:t>
      </w:r>
      <w:r w:rsidR="003D0B2F">
        <w:rPr>
          <w:rFonts w:ascii="Arial" w:hAnsi="Arial" w:cs="Arial"/>
          <w:noProof/>
          <w:sz w:val="22"/>
          <w:szCs w:val="20"/>
        </w:rPr>
        <w:t>2799</w:t>
      </w:r>
      <w:r w:rsidRPr="003745E6">
        <w:rPr>
          <w:rFonts w:ascii="Arial" w:hAnsi="Arial" w:cs="Arial"/>
          <w:noProof/>
          <w:sz w:val="22"/>
          <w:szCs w:val="20"/>
        </w:rPr>
        <w:t xml:space="preserve"> patients with melanoma and NSCLC. The safety profile was generally similar for p</w:t>
      </w:r>
      <w:r>
        <w:rPr>
          <w:rFonts w:ascii="Arial" w:hAnsi="Arial" w:cs="Arial"/>
          <w:noProof/>
          <w:sz w:val="22"/>
          <w:szCs w:val="20"/>
        </w:rPr>
        <w:t>atients with melanoma and NSCLC</w:t>
      </w:r>
      <w:r w:rsidR="003E2FDB" w:rsidRPr="004172BA">
        <w:rPr>
          <w:rFonts w:ascii="Arial" w:hAnsi="Arial" w:cs="Arial"/>
          <w:noProof/>
          <w:sz w:val="22"/>
          <w:szCs w:val="20"/>
        </w:rPr>
        <w:t xml:space="preserve">. </w:t>
      </w:r>
      <w:r w:rsidR="002E3F6C" w:rsidRPr="004172BA">
        <w:rPr>
          <w:rFonts w:ascii="Arial" w:hAnsi="Arial" w:cs="Arial"/>
          <w:noProof/>
          <w:sz w:val="22"/>
          <w:szCs w:val="20"/>
        </w:rPr>
        <w:t xml:space="preserve">Table </w:t>
      </w:r>
      <w:r w:rsidR="0034622F">
        <w:rPr>
          <w:rFonts w:ascii="Arial" w:hAnsi="Arial" w:cs="Arial"/>
          <w:noProof/>
          <w:sz w:val="22"/>
          <w:szCs w:val="20"/>
        </w:rPr>
        <w:t>8</w:t>
      </w:r>
      <w:r w:rsidR="00F173D5" w:rsidRPr="004172BA">
        <w:rPr>
          <w:rFonts w:ascii="Arial" w:hAnsi="Arial" w:cs="Arial"/>
          <w:noProof/>
          <w:sz w:val="22"/>
          <w:szCs w:val="20"/>
        </w:rPr>
        <w:t xml:space="preserve"> </w:t>
      </w:r>
      <w:r w:rsidR="00CF772C" w:rsidRPr="00343CB7">
        <w:rPr>
          <w:rFonts w:ascii="Arial" w:hAnsi="Arial" w:cs="Arial"/>
          <w:noProof/>
          <w:sz w:val="22"/>
          <w:szCs w:val="20"/>
        </w:rPr>
        <w:t xml:space="preserve">presents </w:t>
      </w:r>
      <w:r w:rsidR="003E2FDB" w:rsidRPr="00343CB7">
        <w:rPr>
          <w:rFonts w:ascii="Arial" w:hAnsi="Arial" w:cs="Arial"/>
          <w:noProof/>
          <w:sz w:val="22"/>
          <w:szCs w:val="20"/>
        </w:rPr>
        <w:t xml:space="preserve">the incidence of </w:t>
      </w:r>
      <w:r w:rsidR="00CF772C" w:rsidRPr="002164EC">
        <w:rPr>
          <w:rFonts w:ascii="Arial" w:hAnsi="Arial" w:cs="Arial"/>
          <w:noProof/>
          <w:sz w:val="22"/>
          <w:szCs w:val="20"/>
        </w:rPr>
        <w:t xml:space="preserve">immune-mediated adverse reactions </w:t>
      </w:r>
      <w:r w:rsidR="003E2FDB" w:rsidRPr="002164EC">
        <w:rPr>
          <w:rFonts w:ascii="Arial" w:hAnsi="Arial" w:cs="Arial"/>
          <w:noProof/>
          <w:sz w:val="22"/>
          <w:szCs w:val="20"/>
        </w:rPr>
        <w:t xml:space="preserve">by Grade </w:t>
      </w:r>
      <w:r w:rsidR="00CF772C" w:rsidRPr="00187C95">
        <w:rPr>
          <w:rFonts w:ascii="Arial" w:hAnsi="Arial" w:cs="Arial"/>
          <w:noProof/>
          <w:sz w:val="22"/>
          <w:szCs w:val="20"/>
        </w:rPr>
        <w:t>that occurred in patients receiving KEYTRUDA</w:t>
      </w:r>
      <w:r w:rsidR="003E2FDB" w:rsidRPr="00D8643B">
        <w:rPr>
          <w:rFonts w:ascii="Arial" w:hAnsi="Arial" w:cs="Arial"/>
          <w:noProof/>
          <w:sz w:val="22"/>
          <w:szCs w:val="20"/>
        </w:rPr>
        <w:t>.</w:t>
      </w:r>
    </w:p>
    <w:p w14:paraId="3AB5C98B" w14:textId="31A3BAAE" w:rsidR="003E2FDB" w:rsidRPr="007E3CDB" w:rsidRDefault="003E2FDB" w:rsidP="007E3CDB">
      <w:pPr>
        <w:pStyle w:val="Caption"/>
        <w:rPr>
          <w:rStyle w:val="Strong"/>
          <w:b/>
          <w:bCs/>
          <w:sz w:val="20"/>
        </w:rPr>
      </w:pPr>
      <w:r w:rsidRPr="007E3CDB">
        <w:rPr>
          <w:rStyle w:val="Strong"/>
          <w:b/>
          <w:bCs/>
          <w:sz w:val="20"/>
        </w:rPr>
        <w:t xml:space="preserve">Table </w:t>
      </w:r>
      <w:r w:rsidR="0034622F" w:rsidRPr="007E3CDB">
        <w:rPr>
          <w:rStyle w:val="Strong"/>
          <w:b/>
          <w:bCs/>
          <w:sz w:val="20"/>
        </w:rPr>
        <w:t>8</w:t>
      </w:r>
      <w:r w:rsidRPr="007E3CDB">
        <w:rPr>
          <w:rStyle w:val="Strong"/>
          <w:b/>
          <w:bCs/>
          <w:sz w:val="20"/>
        </w:rPr>
        <w:t>: Immune-mediated Adverse Reactions</w:t>
      </w:r>
    </w:p>
    <w:tbl>
      <w:tblPr>
        <w:tblW w:w="3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Immune-mediated Adverse Reactions"/>
      </w:tblPr>
      <w:tblGrid>
        <w:gridCol w:w="1932"/>
        <w:gridCol w:w="1136"/>
        <w:gridCol w:w="1143"/>
        <w:gridCol w:w="1143"/>
        <w:gridCol w:w="1301"/>
        <w:gridCol w:w="1108"/>
        <w:gridCol w:w="74"/>
      </w:tblGrid>
      <w:tr w:rsidR="003745E6" w:rsidRPr="008272BD" w14:paraId="10FB9E47" w14:textId="77777777" w:rsidTr="007E3CDB">
        <w:trPr>
          <w:tblHeader/>
          <w:jc w:val="center"/>
        </w:trPr>
        <w:tc>
          <w:tcPr>
            <w:tcW w:w="1233" w:type="pct"/>
            <w:shd w:val="clear" w:color="auto" w:fill="auto"/>
          </w:tcPr>
          <w:p w14:paraId="394A12EF" w14:textId="77777777" w:rsidR="003745E6" w:rsidRPr="008272BD" w:rsidRDefault="003745E6" w:rsidP="007E3CDB">
            <w:pPr>
              <w:pStyle w:val="BodyText1"/>
              <w:ind w:firstLine="0"/>
              <w:rPr>
                <w:rFonts w:ascii="Arial" w:hAnsi="Arial" w:cs="Arial"/>
                <w:b/>
                <w:bCs/>
                <w:sz w:val="20"/>
                <w:szCs w:val="20"/>
              </w:rPr>
            </w:pPr>
          </w:p>
        </w:tc>
        <w:tc>
          <w:tcPr>
            <w:tcW w:w="3767" w:type="pct"/>
            <w:gridSpan w:val="6"/>
          </w:tcPr>
          <w:p w14:paraId="69C538DB" w14:textId="77777777" w:rsidR="003745E6" w:rsidRPr="008272BD" w:rsidRDefault="003745E6" w:rsidP="007E3CDB">
            <w:pPr>
              <w:pStyle w:val="BodyText1"/>
              <w:ind w:firstLine="0"/>
              <w:jc w:val="center"/>
              <w:rPr>
                <w:rFonts w:ascii="Arial" w:hAnsi="Arial" w:cs="Arial"/>
                <w:b/>
                <w:noProof/>
                <w:sz w:val="20"/>
                <w:szCs w:val="20"/>
              </w:rPr>
            </w:pPr>
            <w:r w:rsidRPr="008272BD">
              <w:rPr>
                <w:rFonts w:ascii="Arial" w:hAnsi="Arial" w:cs="Arial"/>
                <w:b/>
                <w:noProof/>
                <w:sz w:val="20"/>
                <w:szCs w:val="20"/>
              </w:rPr>
              <w:t>KEYTRUDA</w:t>
            </w:r>
          </w:p>
          <w:p w14:paraId="4E232830" w14:textId="77777777" w:rsidR="003745E6" w:rsidRPr="008272BD" w:rsidRDefault="003745E6" w:rsidP="007E3CDB">
            <w:pPr>
              <w:pStyle w:val="BodyText1"/>
              <w:ind w:firstLine="0"/>
              <w:jc w:val="center"/>
              <w:rPr>
                <w:rFonts w:ascii="Arial" w:hAnsi="Arial" w:cs="Arial"/>
                <w:b/>
                <w:noProof/>
                <w:sz w:val="20"/>
                <w:szCs w:val="20"/>
              </w:rPr>
            </w:pPr>
            <w:r w:rsidRPr="008272BD">
              <w:rPr>
                <w:rFonts w:ascii="Arial" w:hAnsi="Arial" w:cs="Arial"/>
                <w:b/>
                <w:noProof/>
                <w:sz w:val="20"/>
                <w:szCs w:val="20"/>
              </w:rPr>
              <w:t>2 mg/kg every 3 weeks or 10 mg/kg every 2 or 3 weeks</w:t>
            </w:r>
          </w:p>
          <w:p w14:paraId="35C9923A"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b/>
                <w:noProof/>
                <w:sz w:val="20"/>
                <w:szCs w:val="20"/>
              </w:rPr>
              <w:t>n=</w:t>
            </w:r>
            <w:r w:rsidR="003D0B2F">
              <w:rPr>
                <w:rFonts w:ascii="Arial" w:hAnsi="Arial" w:cs="Arial"/>
                <w:b/>
                <w:noProof/>
                <w:sz w:val="20"/>
                <w:szCs w:val="20"/>
              </w:rPr>
              <w:t>2799</w:t>
            </w:r>
          </w:p>
        </w:tc>
      </w:tr>
      <w:tr w:rsidR="003745E6" w:rsidRPr="008272BD" w14:paraId="7B020946" w14:textId="77777777" w:rsidTr="003D0B2F">
        <w:trPr>
          <w:jc w:val="center"/>
        </w:trPr>
        <w:tc>
          <w:tcPr>
            <w:tcW w:w="1233" w:type="pct"/>
            <w:shd w:val="clear" w:color="auto" w:fill="auto"/>
          </w:tcPr>
          <w:p w14:paraId="1FF3D027" w14:textId="77777777" w:rsidR="003745E6" w:rsidRPr="008272BD" w:rsidRDefault="003745E6" w:rsidP="007E3CDB">
            <w:pPr>
              <w:pStyle w:val="BodyText1"/>
              <w:ind w:firstLine="0"/>
              <w:rPr>
                <w:rFonts w:ascii="Arial" w:hAnsi="Arial" w:cs="Arial"/>
                <w:b/>
                <w:bCs/>
                <w:sz w:val="20"/>
                <w:szCs w:val="20"/>
              </w:rPr>
            </w:pPr>
            <w:r w:rsidRPr="008272BD">
              <w:rPr>
                <w:rFonts w:ascii="Arial" w:hAnsi="Arial" w:cs="Arial"/>
                <w:b/>
                <w:bCs/>
                <w:sz w:val="20"/>
                <w:szCs w:val="20"/>
              </w:rPr>
              <w:t>Adverse Reaction</w:t>
            </w:r>
          </w:p>
        </w:tc>
        <w:tc>
          <w:tcPr>
            <w:tcW w:w="725" w:type="pct"/>
          </w:tcPr>
          <w:p w14:paraId="67853125"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All Grades</w:t>
            </w:r>
          </w:p>
          <w:p w14:paraId="7BBB557E"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w:t>
            </w:r>
          </w:p>
        </w:tc>
        <w:tc>
          <w:tcPr>
            <w:tcW w:w="729" w:type="pct"/>
          </w:tcPr>
          <w:p w14:paraId="5CCBC90B"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Grade 2</w:t>
            </w:r>
          </w:p>
          <w:p w14:paraId="10EC9805"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w:t>
            </w:r>
          </w:p>
        </w:tc>
        <w:tc>
          <w:tcPr>
            <w:tcW w:w="729" w:type="pct"/>
          </w:tcPr>
          <w:p w14:paraId="5F90B64E"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Grade 3</w:t>
            </w:r>
          </w:p>
          <w:p w14:paraId="4DAEBAE8"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w:t>
            </w:r>
          </w:p>
        </w:tc>
        <w:tc>
          <w:tcPr>
            <w:tcW w:w="830" w:type="pct"/>
          </w:tcPr>
          <w:p w14:paraId="434537B0"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Grade 4</w:t>
            </w:r>
          </w:p>
          <w:p w14:paraId="517639DF"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w:t>
            </w:r>
          </w:p>
        </w:tc>
        <w:tc>
          <w:tcPr>
            <w:tcW w:w="754" w:type="pct"/>
            <w:gridSpan w:val="2"/>
          </w:tcPr>
          <w:p w14:paraId="3F96FF2C"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Grade 5</w:t>
            </w:r>
          </w:p>
          <w:p w14:paraId="1EC808B0"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w:t>
            </w:r>
          </w:p>
        </w:tc>
      </w:tr>
      <w:tr w:rsidR="003D0B2F" w:rsidRPr="008272BD" w14:paraId="4369BCC8" w14:textId="77777777" w:rsidTr="003D0B2F">
        <w:trPr>
          <w:jc w:val="center"/>
        </w:trPr>
        <w:tc>
          <w:tcPr>
            <w:tcW w:w="1233" w:type="pct"/>
            <w:shd w:val="clear" w:color="auto" w:fill="auto"/>
          </w:tcPr>
          <w:p w14:paraId="182AAB42" w14:textId="1FB33AF4" w:rsidR="003D0B2F" w:rsidRPr="008272BD" w:rsidRDefault="003D0B2F" w:rsidP="007E3CDB">
            <w:pPr>
              <w:pStyle w:val="BodyText1"/>
              <w:ind w:firstLine="0"/>
              <w:rPr>
                <w:rFonts w:ascii="Arial" w:hAnsi="Arial" w:cs="Arial"/>
                <w:noProof/>
                <w:sz w:val="20"/>
                <w:szCs w:val="20"/>
              </w:rPr>
            </w:pPr>
            <w:r w:rsidRPr="008272BD">
              <w:rPr>
                <w:rFonts w:ascii="Arial" w:hAnsi="Arial" w:cs="Arial"/>
                <w:b/>
                <w:bCs/>
                <w:noProof/>
                <w:sz w:val="20"/>
                <w:szCs w:val="20"/>
              </w:rPr>
              <w:t>Hypothyroidism</w:t>
            </w:r>
            <w:r w:rsidR="00C2547F">
              <w:rPr>
                <w:rFonts w:ascii="Arial" w:hAnsi="Arial" w:cs="Arial"/>
                <w:b/>
                <w:bCs/>
                <w:noProof/>
                <w:sz w:val="20"/>
                <w:szCs w:val="20"/>
              </w:rPr>
              <w:t>*</w:t>
            </w:r>
          </w:p>
        </w:tc>
        <w:tc>
          <w:tcPr>
            <w:tcW w:w="725" w:type="pct"/>
          </w:tcPr>
          <w:p w14:paraId="37F8BAF3" w14:textId="77777777" w:rsidR="003D0B2F" w:rsidRPr="008272BD" w:rsidRDefault="003D0B2F" w:rsidP="007E3CDB">
            <w:pPr>
              <w:pStyle w:val="BodyText1"/>
              <w:ind w:firstLine="0"/>
              <w:jc w:val="center"/>
              <w:rPr>
                <w:rFonts w:ascii="Arial" w:hAnsi="Arial" w:cs="Arial"/>
                <w:noProof/>
                <w:sz w:val="20"/>
                <w:szCs w:val="20"/>
              </w:rPr>
            </w:pPr>
            <w:r>
              <w:rPr>
                <w:rFonts w:ascii="Arial" w:hAnsi="Arial" w:cs="Arial"/>
                <w:noProof/>
                <w:sz w:val="20"/>
                <w:szCs w:val="20"/>
              </w:rPr>
              <w:t>8.5</w:t>
            </w:r>
          </w:p>
        </w:tc>
        <w:tc>
          <w:tcPr>
            <w:tcW w:w="729" w:type="pct"/>
          </w:tcPr>
          <w:p w14:paraId="5C28CA0D" w14:textId="77777777" w:rsidR="003D0B2F" w:rsidRPr="008272BD" w:rsidRDefault="003D0B2F" w:rsidP="007E3CDB">
            <w:pPr>
              <w:pStyle w:val="BodyText1"/>
              <w:ind w:firstLine="0"/>
              <w:jc w:val="center"/>
              <w:rPr>
                <w:rFonts w:ascii="Arial" w:hAnsi="Arial" w:cs="Arial"/>
                <w:noProof/>
                <w:sz w:val="20"/>
                <w:szCs w:val="20"/>
              </w:rPr>
            </w:pPr>
            <w:r>
              <w:rPr>
                <w:rFonts w:ascii="Arial" w:hAnsi="Arial" w:cs="Arial"/>
                <w:noProof/>
                <w:sz w:val="20"/>
                <w:szCs w:val="20"/>
              </w:rPr>
              <w:t>6.2</w:t>
            </w:r>
          </w:p>
        </w:tc>
        <w:tc>
          <w:tcPr>
            <w:tcW w:w="729" w:type="pct"/>
          </w:tcPr>
          <w:p w14:paraId="23DC4365"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0.1</w:t>
            </w:r>
          </w:p>
        </w:tc>
        <w:tc>
          <w:tcPr>
            <w:tcW w:w="830" w:type="pct"/>
          </w:tcPr>
          <w:p w14:paraId="54123808"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w:t>
            </w:r>
          </w:p>
        </w:tc>
        <w:tc>
          <w:tcPr>
            <w:tcW w:w="754" w:type="pct"/>
            <w:gridSpan w:val="2"/>
          </w:tcPr>
          <w:p w14:paraId="59FC698A"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w:t>
            </w:r>
          </w:p>
        </w:tc>
      </w:tr>
      <w:tr w:rsidR="003D0B2F" w:rsidRPr="008272BD" w14:paraId="3967BB9B" w14:textId="77777777" w:rsidTr="003D0B2F">
        <w:trPr>
          <w:jc w:val="center"/>
        </w:trPr>
        <w:tc>
          <w:tcPr>
            <w:tcW w:w="1233" w:type="pct"/>
            <w:shd w:val="clear" w:color="auto" w:fill="auto"/>
          </w:tcPr>
          <w:p w14:paraId="4A7C22D7" w14:textId="77777777" w:rsidR="003D0B2F" w:rsidRPr="008272BD" w:rsidRDefault="003D0B2F" w:rsidP="007E3CDB">
            <w:pPr>
              <w:pStyle w:val="BodyText1"/>
              <w:ind w:firstLine="0"/>
              <w:rPr>
                <w:rFonts w:ascii="Arial" w:hAnsi="Arial" w:cs="Arial"/>
                <w:b/>
                <w:noProof/>
                <w:sz w:val="20"/>
                <w:szCs w:val="20"/>
              </w:rPr>
            </w:pPr>
            <w:r w:rsidRPr="008272BD">
              <w:rPr>
                <w:rFonts w:ascii="Arial" w:hAnsi="Arial" w:cs="Arial"/>
                <w:b/>
                <w:bCs/>
                <w:noProof/>
                <w:sz w:val="20"/>
                <w:szCs w:val="20"/>
              </w:rPr>
              <w:t>Hyperthyroidism</w:t>
            </w:r>
          </w:p>
        </w:tc>
        <w:tc>
          <w:tcPr>
            <w:tcW w:w="725" w:type="pct"/>
          </w:tcPr>
          <w:p w14:paraId="1751784F" w14:textId="77777777" w:rsidR="003D0B2F" w:rsidRPr="008272BD" w:rsidRDefault="003D0B2F" w:rsidP="007E3CDB">
            <w:pPr>
              <w:pStyle w:val="BodyText1"/>
              <w:ind w:firstLine="0"/>
              <w:jc w:val="center"/>
              <w:rPr>
                <w:rFonts w:ascii="Arial" w:hAnsi="Arial" w:cs="Arial"/>
                <w:noProof/>
                <w:sz w:val="20"/>
                <w:szCs w:val="20"/>
              </w:rPr>
            </w:pPr>
            <w:r>
              <w:rPr>
                <w:rFonts w:ascii="Arial" w:hAnsi="Arial" w:cs="Arial"/>
                <w:noProof/>
                <w:sz w:val="20"/>
                <w:szCs w:val="20"/>
              </w:rPr>
              <w:t>3.4</w:t>
            </w:r>
          </w:p>
        </w:tc>
        <w:tc>
          <w:tcPr>
            <w:tcW w:w="729" w:type="pct"/>
          </w:tcPr>
          <w:p w14:paraId="2B813F40" w14:textId="77777777" w:rsidR="003D0B2F" w:rsidRPr="008272BD" w:rsidRDefault="003D0B2F" w:rsidP="007E3CDB">
            <w:pPr>
              <w:pStyle w:val="BodyText1"/>
              <w:ind w:firstLine="0"/>
              <w:jc w:val="center"/>
              <w:rPr>
                <w:rFonts w:ascii="Arial" w:hAnsi="Arial" w:cs="Arial"/>
                <w:noProof/>
                <w:sz w:val="20"/>
                <w:szCs w:val="20"/>
              </w:rPr>
            </w:pPr>
            <w:r>
              <w:rPr>
                <w:rFonts w:ascii="Arial" w:hAnsi="Arial" w:cs="Arial"/>
                <w:noProof/>
                <w:sz w:val="20"/>
                <w:szCs w:val="20"/>
              </w:rPr>
              <w:t>0.8</w:t>
            </w:r>
          </w:p>
        </w:tc>
        <w:tc>
          <w:tcPr>
            <w:tcW w:w="729" w:type="pct"/>
          </w:tcPr>
          <w:p w14:paraId="186437D8"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0.1</w:t>
            </w:r>
          </w:p>
        </w:tc>
        <w:tc>
          <w:tcPr>
            <w:tcW w:w="830" w:type="pct"/>
          </w:tcPr>
          <w:p w14:paraId="57BF18C8"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w:t>
            </w:r>
          </w:p>
        </w:tc>
        <w:tc>
          <w:tcPr>
            <w:tcW w:w="754" w:type="pct"/>
            <w:gridSpan w:val="2"/>
          </w:tcPr>
          <w:p w14:paraId="59269D27"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w:t>
            </w:r>
          </w:p>
        </w:tc>
      </w:tr>
      <w:tr w:rsidR="003D0B2F" w:rsidRPr="008272BD" w14:paraId="23B4DD8F" w14:textId="77777777" w:rsidTr="003D0B2F">
        <w:trPr>
          <w:jc w:val="center"/>
        </w:trPr>
        <w:tc>
          <w:tcPr>
            <w:tcW w:w="1233" w:type="pct"/>
            <w:shd w:val="clear" w:color="auto" w:fill="auto"/>
          </w:tcPr>
          <w:p w14:paraId="5B950C5D" w14:textId="77777777" w:rsidR="003D0B2F" w:rsidRPr="008272BD" w:rsidRDefault="003D0B2F" w:rsidP="007E3CDB">
            <w:pPr>
              <w:pStyle w:val="BodyText1"/>
              <w:ind w:firstLine="0"/>
              <w:rPr>
                <w:rFonts w:ascii="Arial" w:hAnsi="Arial" w:cs="Arial"/>
                <w:noProof/>
                <w:sz w:val="20"/>
                <w:szCs w:val="20"/>
              </w:rPr>
            </w:pPr>
            <w:r w:rsidRPr="008272BD">
              <w:rPr>
                <w:rFonts w:ascii="Arial" w:hAnsi="Arial" w:cs="Arial"/>
                <w:b/>
                <w:noProof/>
                <w:sz w:val="20"/>
                <w:szCs w:val="20"/>
              </w:rPr>
              <w:t>Pneumonitis</w:t>
            </w:r>
          </w:p>
        </w:tc>
        <w:tc>
          <w:tcPr>
            <w:tcW w:w="725" w:type="pct"/>
          </w:tcPr>
          <w:p w14:paraId="00082A93" w14:textId="77777777" w:rsidR="003D0B2F" w:rsidRPr="00CD0D95" w:rsidRDefault="003D0B2F" w:rsidP="007E3CDB">
            <w:pPr>
              <w:pStyle w:val="BodyText1"/>
              <w:ind w:firstLine="0"/>
              <w:jc w:val="center"/>
              <w:rPr>
                <w:rFonts w:ascii="Arial" w:hAnsi="Arial" w:cs="Arial"/>
                <w:noProof/>
                <w:sz w:val="20"/>
                <w:szCs w:val="20"/>
              </w:rPr>
            </w:pPr>
            <w:r>
              <w:rPr>
                <w:rFonts w:ascii="Arial" w:hAnsi="Arial" w:cs="Arial"/>
                <w:noProof/>
                <w:sz w:val="20"/>
                <w:szCs w:val="20"/>
              </w:rPr>
              <w:t>3.4</w:t>
            </w:r>
          </w:p>
        </w:tc>
        <w:tc>
          <w:tcPr>
            <w:tcW w:w="729" w:type="pct"/>
          </w:tcPr>
          <w:p w14:paraId="5455F443" w14:textId="77777777" w:rsidR="003D0B2F" w:rsidRPr="00CD0D95" w:rsidRDefault="003D0B2F" w:rsidP="007E3CDB">
            <w:pPr>
              <w:pStyle w:val="BodyText1"/>
              <w:ind w:firstLine="0"/>
              <w:jc w:val="center"/>
              <w:rPr>
                <w:rFonts w:ascii="Arial" w:hAnsi="Arial" w:cs="Arial"/>
                <w:noProof/>
                <w:sz w:val="20"/>
                <w:szCs w:val="20"/>
              </w:rPr>
            </w:pPr>
            <w:r>
              <w:rPr>
                <w:rFonts w:ascii="Arial" w:hAnsi="Arial" w:cs="Arial"/>
                <w:noProof/>
                <w:sz w:val="20"/>
                <w:szCs w:val="20"/>
              </w:rPr>
              <w:t>1.3</w:t>
            </w:r>
          </w:p>
        </w:tc>
        <w:tc>
          <w:tcPr>
            <w:tcW w:w="729" w:type="pct"/>
          </w:tcPr>
          <w:p w14:paraId="0088844A" w14:textId="77777777" w:rsidR="003D0B2F" w:rsidRPr="00CD0D95" w:rsidRDefault="003D0B2F" w:rsidP="007E3CDB">
            <w:pPr>
              <w:pStyle w:val="BodyText1"/>
              <w:ind w:firstLine="0"/>
              <w:jc w:val="center"/>
              <w:rPr>
                <w:rFonts w:ascii="Arial" w:hAnsi="Arial" w:cs="Arial"/>
                <w:noProof/>
                <w:sz w:val="20"/>
                <w:szCs w:val="20"/>
              </w:rPr>
            </w:pPr>
            <w:r>
              <w:rPr>
                <w:rFonts w:ascii="Arial" w:hAnsi="Arial" w:cs="Arial"/>
                <w:noProof/>
                <w:sz w:val="20"/>
                <w:szCs w:val="20"/>
              </w:rPr>
              <w:t>0.9</w:t>
            </w:r>
          </w:p>
        </w:tc>
        <w:tc>
          <w:tcPr>
            <w:tcW w:w="830" w:type="pct"/>
          </w:tcPr>
          <w:p w14:paraId="1047B2BF"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w:t>
            </w:r>
            <w:r>
              <w:rPr>
                <w:rFonts w:ascii="Arial" w:hAnsi="Arial" w:cs="Arial"/>
                <w:noProof/>
                <w:sz w:val="20"/>
                <w:szCs w:val="20"/>
              </w:rPr>
              <w:t>3</w:t>
            </w:r>
          </w:p>
        </w:tc>
        <w:tc>
          <w:tcPr>
            <w:tcW w:w="754" w:type="pct"/>
            <w:gridSpan w:val="2"/>
          </w:tcPr>
          <w:p w14:paraId="29A11524" w14:textId="77777777" w:rsidR="003D0B2F" w:rsidRPr="008272BD" w:rsidDel="0080638C"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0.1</w:t>
            </w:r>
          </w:p>
        </w:tc>
      </w:tr>
      <w:tr w:rsidR="003D0B2F" w:rsidRPr="008272BD" w14:paraId="3B8F0591" w14:textId="77777777" w:rsidTr="003D0B2F">
        <w:trPr>
          <w:jc w:val="center"/>
        </w:trPr>
        <w:tc>
          <w:tcPr>
            <w:tcW w:w="1233" w:type="pct"/>
            <w:shd w:val="clear" w:color="auto" w:fill="auto"/>
          </w:tcPr>
          <w:p w14:paraId="6CA4801D" w14:textId="77777777" w:rsidR="003D0B2F" w:rsidRPr="008272BD" w:rsidRDefault="003D0B2F" w:rsidP="007E3CDB">
            <w:pPr>
              <w:pStyle w:val="BodyText1"/>
              <w:ind w:firstLine="0"/>
              <w:rPr>
                <w:rFonts w:ascii="Arial" w:hAnsi="Arial" w:cs="Arial"/>
                <w:b/>
                <w:noProof/>
                <w:sz w:val="20"/>
                <w:szCs w:val="20"/>
              </w:rPr>
            </w:pPr>
            <w:r w:rsidRPr="008272BD">
              <w:rPr>
                <w:rFonts w:ascii="Arial" w:hAnsi="Arial" w:cs="Arial"/>
                <w:b/>
                <w:bCs/>
                <w:noProof/>
                <w:sz w:val="20"/>
                <w:szCs w:val="20"/>
              </w:rPr>
              <w:t>Colitis</w:t>
            </w:r>
          </w:p>
        </w:tc>
        <w:tc>
          <w:tcPr>
            <w:tcW w:w="725" w:type="pct"/>
          </w:tcPr>
          <w:p w14:paraId="7DD3D3D4"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1.7</w:t>
            </w:r>
          </w:p>
        </w:tc>
        <w:tc>
          <w:tcPr>
            <w:tcW w:w="729" w:type="pct"/>
          </w:tcPr>
          <w:p w14:paraId="427254D7"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0.4</w:t>
            </w:r>
          </w:p>
        </w:tc>
        <w:tc>
          <w:tcPr>
            <w:tcW w:w="729" w:type="pct"/>
          </w:tcPr>
          <w:p w14:paraId="372D9A71" w14:textId="77777777" w:rsidR="003D0B2F" w:rsidRPr="008272BD" w:rsidRDefault="003D0B2F" w:rsidP="007E3CDB">
            <w:pPr>
              <w:pStyle w:val="BodyText1"/>
              <w:ind w:firstLine="0"/>
              <w:jc w:val="center"/>
              <w:rPr>
                <w:rFonts w:ascii="Arial" w:hAnsi="Arial" w:cs="Arial"/>
                <w:noProof/>
                <w:sz w:val="20"/>
                <w:szCs w:val="20"/>
              </w:rPr>
            </w:pPr>
            <w:r>
              <w:rPr>
                <w:rFonts w:ascii="Arial" w:hAnsi="Arial" w:cs="Arial"/>
                <w:noProof/>
                <w:sz w:val="20"/>
                <w:szCs w:val="20"/>
              </w:rPr>
              <w:t>1.1</w:t>
            </w:r>
          </w:p>
        </w:tc>
        <w:tc>
          <w:tcPr>
            <w:tcW w:w="830" w:type="pct"/>
          </w:tcPr>
          <w:p w14:paraId="6B8AAED3"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&lt;0.1</w:t>
            </w:r>
          </w:p>
        </w:tc>
        <w:tc>
          <w:tcPr>
            <w:tcW w:w="754" w:type="pct"/>
            <w:gridSpan w:val="2"/>
          </w:tcPr>
          <w:p w14:paraId="4261C352"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w:t>
            </w:r>
          </w:p>
        </w:tc>
      </w:tr>
      <w:tr w:rsidR="003D0B2F" w:rsidRPr="008272BD" w14:paraId="4B13E1C1" w14:textId="77777777" w:rsidTr="003D0B2F">
        <w:trPr>
          <w:jc w:val="center"/>
        </w:trPr>
        <w:tc>
          <w:tcPr>
            <w:tcW w:w="1233" w:type="pct"/>
            <w:shd w:val="clear" w:color="auto" w:fill="auto"/>
          </w:tcPr>
          <w:p w14:paraId="78D57147" w14:textId="77777777" w:rsidR="003D0B2F" w:rsidRPr="008272BD" w:rsidRDefault="003D0B2F" w:rsidP="007E3CDB">
            <w:pPr>
              <w:pStyle w:val="BodyText1"/>
              <w:ind w:firstLine="0"/>
              <w:rPr>
                <w:rFonts w:ascii="Arial" w:hAnsi="Arial" w:cs="Arial"/>
                <w:b/>
                <w:noProof/>
                <w:sz w:val="20"/>
                <w:szCs w:val="20"/>
              </w:rPr>
            </w:pPr>
            <w:r w:rsidRPr="008272BD">
              <w:rPr>
                <w:rFonts w:ascii="Arial" w:hAnsi="Arial" w:cs="Arial"/>
                <w:b/>
                <w:noProof/>
                <w:sz w:val="20"/>
                <w:szCs w:val="20"/>
              </w:rPr>
              <w:t>Hepatitis</w:t>
            </w:r>
          </w:p>
        </w:tc>
        <w:tc>
          <w:tcPr>
            <w:tcW w:w="725" w:type="pct"/>
          </w:tcPr>
          <w:p w14:paraId="2F679652" w14:textId="77777777" w:rsidR="003D0B2F" w:rsidRPr="008272BD" w:rsidRDefault="003D0B2F" w:rsidP="007E3CDB">
            <w:pPr>
              <w:pStyle w:val="BodyText1"/>
              <w:ind w:firstLine="0"/>
              <w:jc w:val="center"/>
              <w:rPr>
                <w:rFonts w:ascii="Arial" w:hAnsi="Arial" w:cs="Arial"/>
                <w:noProof/>
                <w:sz w:val="20"/>
                <w:szCs w:val="20"/>
              </w:rPr>
            </w:pPr>
            <w:r>
              <w:rPr>
                <w:rFonts w:ascii="Arial" w:hAnsi="Arial" w:cs="Arial"/>
                <w:noProof/>
                <w:sz w:val="20"/>
                <w:szCs w:val="20"/>
              </w:rPr>
              <w:t>0.7</w:t>
            </w:r>
          </w:p>
        </w:tc>
        <w:tc>
          <w:tcPr>
            <w:tcW w:w="729" w:type="pct"/>
          </w:tcPr>
          <w:p w14:paraId="33FEA66D"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0.1</w:t>
            </w:r>
          </w:p>
        </w:tc>
        <w:tc>
          <w:tcPr>
            <w:tcW w:w="729" w:type="pct"/>
          </w:tcPr>
          <w:p w14:paraId="4B4366E2" w14:textId="77777777" w:rsidR="003D0B2F" w:rsidRPr="008272BD" w:rsidRDefault="003D0B2F" w:rsidP="007E3CDB">
            <w:pPr>
              <w:pStyle w:val="BodyText1"/>
              <w:ind w:firstLine="0"/>
              <w:jc w:val="center"/>
              <w:rPr>
                <w:rFonts w:ascii="Arial" w:hAnsi="Arial" w:cs="Arial"/>
                <w:noProof/>
                <w:sz w:val="20"/>
                <w:szCs w:val="20"/>
              </w:rPr>
            </w:pPr>
            <w:r>
              <w:rPr>
                <w:rFonts w:ascii="Arial" w:hAnsi="Arial" w:cs="Arial"/>
                <w:noProof/>
                <w:sz w:val="20"/>
                <w:szCs w:val="20"/>
              </w:rPr>
              <w:t>0.4</w:t>
            </w:r>
          </w:p>
        </w:tc>
        <w:tc>
          <w:tcPr>
            <w:tcW w:w="830" w:type="pct"/>
          </w:tcPr>
          <w:p w14:paraId="73CECA49"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&lt;0.1</w:t>
            </w:r>
          </w:p>
        </w:tc>
        <w:tc>
          <w:tcPr>
            <w:tcW w:w="754" w:type="pct"/>
            <w:gridSpan w:val="2"/>
          </w:tcPr>
          <w:p w14:paraId="5F3338B8"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w:t>
            </w:r>
          </w:p>
        </w:tc>
      </w:tr>
      <w:tr w:rsidR="003D0B2F" w:rsidRPr="008272BD" w14:paraId="3E8366ED" w14:textId="77777777" w:rsidTr="003D0B2F">
        <w:trPr>
          <w:jc w:val="center"/>
        </w:trPr>
        <w:tc>
          <w:tcPr>
            <w:tcW w:w="1233" w:type="pct"/>
            <w:shd w:val="clear" w:color="auto" w:fill="auto"/>
          </w:tcPr>
          <w:p w14:paraId="54C88D11" w14:textId="77777777" w:rsidR="003D0B2F" w:rsidRPr="008272BD" w:rsidRDefault="003D0B2F" w:rsidP="007E3CDB">
            <w:pPr>
              <w:pStyle w:val="BodyText1"/>
              <w:ind w:firstLine="0"/>
              <w:rPr>
                <w:rFonts w:ascii="Arial" w:hAnsi="Arial" w:cs="Arial"/>
                <w:b/>
                <w:bCs/>
                <w:noProof/>
                <w:sz w:val="20"/>
                <w:szCs w:val="20"/>
              </w:rPr>
            </w:pPr>
            <w:r w:rsidRPr="008272BD">
              <w:rPr>
                <w:rFonts w:ascii="Arial" w:hAnsi="Arial" w:cs="Arial"/>
                <w:b/>
                <w:noProof/>
                <w:sz w:val="20"/>
                <w:szCs w:val="20"/>
              </w:rPr>
              <w:t>Hypophysitis</w:t>
            </w:r>
          </w:p>
        </w:tc>
        <w:tc>
          <w:tcPr>
            <w:tcW w:w="725" w:type="pct"/>
          </w:tcPr>
          <w:p w14:paraId="2CD8AADB" w14:textId="77777777" w:rsidR="003D0B2F" w:rsidRPr="008272BD" w:rsidRDefault="003D0B2F" w:rsidP="007E3CDB">
            <w:pPr>
              <w:pStyle w:val="BodyText1"/>
              <w:ind w:firstLine="0"/>
              <w:jc w:val="center"/>
              <w:rPr>
                <w:rFonts w:ascii="Arial" w:hAnsi="Arial" w:cs="Arial"/>
                <w:noProof/>
                <w:sz w:val="20"/>
                <w:szCs w:val="20"/>
              </w:rPr>
            </w:pPr>
            <w:r>
              <w:rPr>
                <w:rFonts w:ascii="Arial" w:hAnsi="Arial" w:cs="Arial"/>
                <w:noProof/>
                <w:sz w:val="20"/>
                <w:szCs w:val="20"/>
              </w:rPr>
              <w:t>0.6</w:t>
            </w:r>
          </w:p>
        </w:tc>
        <w:tc>
          <w:tcPr>
            <w:tcW w:w="729" w:type="pct"/>
          </w:tcPr>
          <w:p w14:paraId="0F1F59B2"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0.2</w:t>
            </w:r>
          </w:p>
        </w:tc>
        <w:tc>
          <w:tcPr>
            <w:tcW w:w="729" w:type="pct"/>
          </w:tcPr>
          <w:p w14:paraId="40C0B5BD"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0.3</w:t>
            </w:r>
          </w:p>
        </w:tc>
        <w:tc>
          <w:tcPr>
            <w:tcW w:w="830" w:type="pct"/>
          </w:tcPr>
          <w:p w14:paraId="3C08F6B7"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&lt;0.1</w:t>
            </w:r>
          </w:p>
        </w:tc>
        <w:tc>
          <w:tcPr>
            <w:tcW w:w="754" w:type="pct"/>
            <w:gridSpan w:val="2"/>
          </w:tcPr>
          <w:p w14:paraId="3EEDA944" w14:textId="77777777" w:rsidR="003D0B2F"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w:t>
            </w:r>
          </w:p>
        </w:tc>
      </w:tr>
      <w:tr w:rsidR="003745E6" w:rsidRPr="008272BD" w14:paraId="5A998AA6" w14:textId="77777777" w:rsidTr="003D0B2F">
        <w:trPr>
          <w:jc w:val="center"/>
        </w:trPr>
        <w:tc>
          <w:tcPr>
            <w:tcW w:w="1233" w:type="pct"/>
            <w:shd w:val="clear" w:color="auto" w:fill="auto"/>
          </w:tcPr>
          <w:p w14:paraId="5210680A" w14:textId="77777777" w:rsidR="003745E6" w:rsidRPr="008272BD" w:rsidRDefault="003745E6" w:rsidP="007E3CDB">
            <w:pPr>
              <w:pStyle w:val="BodyText1"/>
              <w:ind w:firstLine="0"/>
              <w:rPr>
                <w:rFonts w:ascii="Arial" w:hAnsi="Arial" w:cs="Arial"/>
                <w:b/>
                <w:noProof/>
                <w:sz w:val="20"/>
                <w:szCs w:val="20"/>
              </w:rPr>
            </w:pPr>
            <w:r w:rsidRPr="008272BD">
              <w:rPr>
                <w:rFonts w:ascii="Arial" w:hAnsi="Arial" w:cs="Arial"/>
                <w:b/>
                <w:bCs/>
                <w:noProof/>
                <w:sz w:val="20"/>
                <w:szCs w:val="20"/>
              </w:rPr>
              <w:lastRenderedPageBreak/>
              <w:t>Nephritis</w:t>
            </w:r>
          </w:p>
        </w:tc>
        <w:tc>
          <w:tcPr>
            <w:tcW w:w="725" w:type="pct"/>
          </w:tcPr>
          <w:p w14:paraId="5A742E95"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0.3</w:t>
            </w:r>
          </w:p>
        </w:tc>
        <w:tc>
          <w:tcPr>
            <w:tcW w:w="729" w:type="pct"/>
          </w:tcPr>
          <w:p w14:paraId="362BF9FF"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0.1</w:t>
            </w:r>
          </w:p>
        </w:tc>
        <w:tc>
          <w:tcPr>
            <w:tcW w:w="729" w:type="pct"/>
          </w:tcPr>
          <w:p w14:paraId="50228CBE"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0.1</w:t>
            </w:r>
          </w:p>
        </w:tc>
        <w:tc>
          <w:tcPr>
            <w:tcW w:w="830" w:type="pct"/>
          </w:tcPr>
          <w:p w14:paraId="587E3E72"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&lt;0.1</w:t>
            </w:r>
          </w:p>
        </w:tc>
        <w:tc>
          <w:tcPr>
            <w:tcW w:w="754" w:type="pct"/>
            <w:gridSpan w:val="2"/>
          </w:tcPr>
          <w:p w14:paraId="7E2E8B0E"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0</w:t>
            </w:r>
          </w:p>
        </w:tc>
      </w:tr>
      <w:tr w:rsidR="003745E6" w:rsidRPr="008272BD" w14:paraId="4B7851A0" w14:textId="77777777" w:rsidTr="003D0B2F">
        <w:trPr>
          <w:jc w:val="center"/>
        </w:trPr>
        <w:tc>
          <w:tcPr>
            <w:tcW w:w="1233" w:type="pct"/>
            <w:shd w:val="clear" w:color="auto" w:fill="auto"/>
          </w:tcPr>
          <w:p w14:paraId="4F68F82B" w14:textId="77777777" w:rsidR="003745E6" w:rsidRPr="008272BD" w:rsidRDefault="003745E6" w:rsidP="007E3CDB">
            <w:pPr>
              <w:pStyle w:val="BodyText1"/>
              <w:ind w:firstLine="0"/>
              <w:rPr>
                <w:rFonts w:ascii="Arial" w:hAnsi="Arial" w:cs="Arial"/>
                <w:b/>
                <w:noProof/>
                <w:sz w:val="20"/>
                <w:szCs w:val="20"/>
              </w:rPr>
            </w:pPr>
            <w:r w:rsidRPr="008272BD">
              <w:rPr>
                <w:rFonts w:ascii="Arial" w:hAnsi="Arial" w:cs="Arial"/>
                <w:b/>
                <w:noProof/>
                <w:sz w:val="20"/>
                <w:szCs w:val="20"/>
              </w:rPr>
              <w:t>Type 1 Diabetes Mellitus</w:t>
            </w:r>
          </w:p>
        </w:tc>
        <w:tc>
          <w:tcPr>
            <w:tcW w:w="725" w:type="pct"/>
          </w:tcPr>
          <w:p w14:paraId="090558C0" w14:textId="77777777" w:rsidR="003745E6" w:rsidRPr="008272BD" w:rsidDel="00F95B36" w:rsidRDefault="003D0B2F" w:rsidP="007E3CDB">
            <w:pPr>
              <w:pStyle w:val="BodyText1"/>
              <w:ind w:firstLine="0"/>
              <w:jc w:val="center"/>
              <w:rPr>
                <w:rFonts w:ascii="Arial" w:hAnsi="Arial" w:cs="Arial"/>
                <w:noProof/>
                <w:sz w:val="20"/>
                <w:szCs w:val="20"/>
              </w:rPr>
            </w:pPr>
            <w:r>
              <w:rPr>
                <w:rFonts w:ascii="Arial" w:hAnsi="Arial" w:cs="Arial"/>
                <w:noProof/>
                <w:sz w:val="20"/>
                <w:szCs w:val="20"/>
              </w:rPr>
              <w:t>0.2</w:t>
            </w:r>
          </w:p>
        </w:tc>
        <w:tc>
          <w:tcPr>
            <w:tcW w:w="729" w:type="pct"/>
          </w:tcPr>
          <w:p w14:paraId="2D2A6A09"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&lt;0.1</w:t>
            </w:r>
          </w:p>
        </w:tc>
        <w:tc>
          <w:tcPr>
            <w:tcW w:w="729" w:type="pct"/>
          </w:tcPr>
          <w:p w14:paraId="4F329C28" w14:textId="77777777" w:rsidR="003745E6" w:rsidRPr="008272BD" w:rsidRDefault="003D0B2F" w:rsidP="007E3CDB">
            <w:pPr>
              <w:pStyle w:val="BodyText1"/>
              <w:ind w:firstLine="0"/>
              <w:jc w:val="center"/>
              <w:rPr>
                <w:rFonts w:ascii="Arial" w:hAnsi="Arial" w:cs="Arial"/>
                <w:noProof/>
                <w:sz w:val="20"/>
                <w:szCs w:val="20"/>
              </w:rPr>
            </w:pPr>
            <w:r>
              <w:rPr>
                <w:rFonts w:ascii="Arial" w:hAnsi="Arial" w:cs="Arial"/>
                <w:noProof/>
                <w:sz w:val="20"/>
                <w:szCs w:val="20"/>
              </w:rPr>
              <w:t>0.1</w:t>
            </w:r>
          </w:p>
        </w:tc>
        <w:tc>
          <w:tcPr>
            <w:tcW w:w="830" w:type="pct"/>
          </w:tcPr>
          <w:p w14:paraId="639D8FE8" w14:textId="77777777" w:rsidR="003745E6" w:rsidRPr="008272BD" w:rsidRDefault="003D0B2F" w:rsidP="007E3CDB">
            <w:pPr>
              <w:pStyle w:val="BodyText1"/>
              <w:ind w:firstLine="0"/>
              <w:jc w:val="center"/>
              <w:rPr>
                <w:rFonts w:ascii="Arial" w:hAnsi="Arial" w:cs="Arial"/>
                <w:noProof/>
                <w:sz w:val="20"/>
                <w:szCs w:val="20"/>
              </w:rPr>
            </w:pPr>
            <w:r w:rsidRPr="008272BD">
              <w:rPr>
                <w:rFonts w:ascii="Arial" w:hAnsi="Arial" w:cs="Arial"/>
                <w:noProof/>
                <w:sz w:val="20"/>
                <w:szCs w:val="20"/>
              </w:rPr>
              <w:t>0.1</w:t>
            </w:r>
          </w:p>
        </w:tc>
        <w:tc>
          <w:tcPr>
            <w:tcW w:w="754" w:type="pct"/>
            <w:gridSpan w:val="2"/>
          </w:tcPr>
          <w:p w14:paraId="2EA6AE45" w14:textId="77777777" w:rsidR="003745E6" w:rsidRPr="008272BD" w:rsidRDefault="003745E6" w:rsidP="007E3CDB">
            <w:pPr>
              <w:pStyle w:val="BodyText1"/>
              <w:ind w:firstLine="0"/>
              <w:jc w:val="center"/>
              <w:rPr>
                <w:rFonts w:ascii="Arial" w:hAnsi="Arial" w:cs="Arial"/>
                <w:noProof/>
                <w:sz w:val="20"/>
                <w:szCs w:val="20"/>
              </w:rPr>
            </w:pPr>
            <w:r w:rsidRPr="008272BD">
              <w:rPr>
                <w:rFonts w:ascii="Arial" w:hAnsi="Arial" w:cs="Arial"/>
                <w:noProof/>
                <w:sz w:val="20"/>
                <w:szCs w:val="20"/>
              </w:rPr>
              <w:t>0</w:t>
            </w:r>
          </w:p>
        </w:tc>
      </w:tr>
      <w:tr w:rsidR="003745E6" w:rsidRPr="008272BD" w14:paraId="74512814" w14:textId="77777777" w:rsidTr="000C742A">
        <w:trPr>
          <w:gridAfter w:val="1"/>
          <w:wAfter w:w="47" w:type="pct"/>
          <w:jc w:val="center"/>
        </w:trPr>
        <w:tc>
          <w:tcPr>
            <w:tcW w:w="4953" w:type="pct"/>
            <w:gridSpan w:val="6"/>
            <w:tcBorders>
              <w:top w:val="nil"/>
              <w:left w:val="nil"/>
              <w:bottom w:val="nil"/>
              <w:right w:val="nil"/>
            </w:tcBorders>
            <w:shd w:val="clear" w:color="auto" w:fill="auto"/>
          </w:tcPr>
          <w:p w14:paraId="61E048AE" w14:textId="2F5CF689" w:rsidR="003745E6" w:rsidRPr="00C2547F" w:rsidRDefault="00C2547F" w:rsidP="00B64EA0">
            <w:pPr>
              <w:tabs>
                <w:tab w:val="left" w:pos="270"/>
              </w:tabs>
              <w:autoSpaceDE w:val="0"/>
              <w:autoSpaceDN w:val="0"/>
              <w:adjustRightInd w:val="0"/>
              <w:rPr>
                <w:rFonts w:cs="Arial"/>
                <w:noProof/>
                <w:sz w:val="18"/>
                <w:szCs w:val="18"/>
              </w:rPr>
            </w:pPr>
            <w:r>
              <w:rPr>
                <w:noProof/>
              </w:rPr>
              <w:t xml:space="preserve">* </w:t>
            </w:r>
            <w:r w:rsidRPr="00C2547F">
              <w:rPr>
                <w:rFonts w:cs="Arial"/>
                <w:noProof/>
                <w:sz w:val="18"/>
                <w:szCs w:val="18"/>
              </w:rPr>
              <w:t>In patients with HNSCC (n=192) the incidence of hypothyroidism was 14.</w:t>
            </w:r>
            <w:r w:rsidR="00B64EA0">
              <w:rPr>
                <w:rFonts w:cs="Arial"/>
                <w:noProof/>
                <w:sz w:val="18"/>
                <w:szCs w:val="18"/>
              </w:rPr>
              <w:t>6</w:t>
            </w:r>
            <w:r w:rsidRPr="00C2547F">
              <w:rPr>
                <w:rFonts w:cs="Arial"/>
                <w:noProof/>
                <w:sz w:val="18"/>
                <w:szCs w:val="18"/>
              </w:rPr>
              <w:t>% (all Grades) with 0.5.% Grade 3.</w:t>
            </w:r>
            <w:r w:rsidR="0034622F" w:rsidRPr="0034622F">
              <w:rPr>
                <w:rFonts w:cs="Arial"/>
                <w:noProof/>
                <w:sz w:val="18"/>
                <w:szCs w:val="18"/>
              </w:rPr>
              <w:t xml:space="preserve"> In patients with cHL (n=241) the incidence of hypothyroidism was 14.1% (all Grades) with 0.4% Grade 3.</w:t>
            </w:r>
          </w:p>
        </w:tc>
      </w:tr>
    </w:tbl>
    <w:p w14:paraId="687B848B" w14:textId="77777777" w:rsidR="003E2FDB" w:rsidRPr="00EE12B4" w:rsidRDefault="000747BC" w:rsidP="00CF772C">
      <w:pPr>
        <w:pStyle w:val="BodyText1"/>
        <w:ind w:firstLine="0"/>
        <w:rPr>
          <w:rFonts w:ascii="Arial" w:hAnsi="Arial" w:cs="Arial"/>
          <w:noProof/>
          <w:sz w:val="22"/>
          <w:szCs w:val="20"/>
        </w:rPr>
      </w:pPr>
      <w:r w:rsidRPr="006E58CA">
        <w:rPr>
          <w:rFonts w:ascii="Arial" w:hAnsi="Arial" w:cs="Arial"/>
          <w:noProof/>
          <w:sz w:val="22"/>
          <w:szCs w:val="20"/>
        </w:rPr>
        <w:t>Incidences of pneumonitis in individual studies in melanoma and non-small cell lung cancer ranged from 1.6% to 5.8%.</w:t>
      </w:r>
    </w:p>
    <w:p w14:paraId="2FA3605C" w14:textId="77777777" w:rsidR="003D0B2F" w:rsidRPr="00836CF0" w:rsidRDefault="003D0B2F" w:rsidP="003D0B2F">
      <w:pPr>
        <w:autoSpaceDE w:val="0"/>
        <w:autoSpaceDN w:val="0"/>
        <w:adjustRightInd w:val="0"/>
        <w:rPr>
          <w:rFonts w:cs="Arial"/>
          <w:szCs w:val="22"/>
        </w:rPr>
      </w:pPr>
      <w:proofErr w:type="spellStart"/>
      <w:r w:rsidRPr="00B95698">
        <w:rPr>
          <w:rFonts w:cs="Arial"/>
          <w:i/>
          <w:szCs w:val="22"/>
          <w:u w:val="single"/>
        </w:rPr>
        <w:t>Endocrinopathies</w:t>
      </w:r>
      <w:proofErr w:type="spellEnd"/>
      <w:r w:rsidRPr="00B95698">
        <w:rPr>
          <w:rFonts w:cs="Arial"/>
          <w:i/>
          <w:szCs w:val="22"/>
          <w:u w:val="single"/>
        </w:rPr>
        <w:t>:</w:t>
      </w:r>
      <w:r w:rsidRPr="00091D41">
        <w:rPr>
          <w:rFonts w:cs="Arial"/>
          <w:szCs w:val="22"/>
        </w:rPr>
        <w:t xml:space="preserve"> The median time to onset of </w:t>
      </w:r>
      <w:proofErr w:type="spellStart"/>
      <w:r w:rsidRPr="00091D41">
        <w:rPr>
          <w:rFonts w:cs="Arial"/>
          <w:szCs w:val="22"/>
        </w:rPr>
        <w:t>hypophysitis</w:t>
      </w:r>
      <w:proofErr w:type="spellEnd"/>
      <w:r w:rsidRPr="00091D41">
        <w:rPr>
          <w:rFonts w:cs="Arial"/>
          <w:szCs w:val="22"/>
        </w:rPr>
        <w:t xml:space="preserve"> was 3.7 months (range 1 day to 11.9 months). </w:t>
      </w:r>
      <w:r w:rsidRPr="00091D41">
        <w:rPr>
          <w:rFonts w:cs="Arial"/>
          <w:noProof/>
          <w:szCs w:val="22"/>
        </w:rPr>
        <w:t xml:space="preserve">The median duration was 4.7 months (range 8+ days to 12.7+ months). </w:t>
      </w:r>
      <w:r w:rsidRPr="0012669B">
        <w:rPr>
          <w:rFonts w:cs="Arial"/>
          <w:szCs w:val="22"/>
        </w:rPr>
        <w:t>Hypophysitis led to discontinuation of KEYTRUDA in 4 (0.1%) patients. Hypophysitis resolved in 7 patients. The median time to onset of hyperthyroidism was 1.4 months (range 1 day to 21.9 months). The median duration was 2.1 months (range 3 days to 15.0+ months). Hyperthyroidism led to discontinuation of KEYTRUDA in 2 (&lt;0.1%) patients. Hyperthyroidism resolved in 71 patients. The median time to onset of hypothyroidism was 3.5 months (range 1 day to 18.9 months). The median duration was not reached (range 2 days to 27.7+ months). One (&lt;0.1%) patient discontinued KEYTRUDA due to hypothyroidism.</w:t>
      </w:r>
    </w:p>
    <w:p w14:paraId="29B4690A" w14:textId="77777777" w:rsidR="003D0B2F" w:rsidRPr="00EE1C1F" w:rsidRDefault="003D0B2F" w:rsidP="003D0B2F">
      <w:pPr>
        <w:autoSpaceDE w:val="0"/>
        <w:autoSpaceDN w:val="0"/>
        <w:adjustRightInd w:val="0"/>
        <w:rPr>
          <w:rFonts w:cs="Arial"/>
          <w:szCs w:val="22"/>
        </w:rPr>
      </w:pPr>
      <w:r w:rsidRPr="007853C9">
        <w:rPr>
          <w:rFonts w:cs="Arial"/>
          <w:i/>
          <w:szCs w:val="22"/>
          <w:u w:val="single"/>
        </w:rPr>
        <w:t>Pneumonitis:</w:t>
      </w:r>
      <w:r w:rsidRPr="00220B08">
        <w:rPr>
          <w:rFonts w:cs="Arial"/>
          <w:szCs w:val="22"/>
        </w:rPr>
        <w:t xml:space="preserve"> </w:t>
      </w:r>
      <w:r w:rsidRPr="004A6AA5">
        <w:rPr>
          <w:rFonts w:cs="Arial"/>
          <w:szCs w:val="22"/>
        </w:rPr>
        <w:t>The median time to onset of pneumonitis was 3.3 months (range 2 days to 19.3 mont</w:t>
      </w:r>
      <w:r w:rsidRPr="00EE1C1F">
        <w:rPr>
          <w:rFonts w:cs="Arial"/>
          <w:szCs w:val="22"/>
        </w:rPr>
        <w:t>hs). The median duration was 1.5 months (range 1 day to 17.2+ months). Pneumonitis led to discontinuation of KEYTRUDA in 36 (1.3%) patients. Pneumonitis resolved in 55 patients.</w:t>
      </w:r>
    </w:p>
    <w:p w14:paraId="092E6048" w14:textId="77777777" w:rsidR="003D0B2F" w:rsidRPr="004879C0" w:rsidRDefault="003D0B2F" w:rsidP="003D0B2F">
      <w:pPr>
        <w:autoSpaceDE w:val="0"/>
        <w:autoSpaceDN w:val="0"/>
        <w:adjustRightInd w:val="0"/>
        <w:rPr>
          <w:rFonts w:cs="Arial"/>
          <w:szCs w:val="22"/>
        </w:rPr>
      </w:pPr>
      <w:r w:rsidRPr="00EE1C1F">
        <w:rPr>
          <w:rFonts w:cs="Arial"/>
          <w:i/>
          <w:szCs w:val="22"/>
          <w:u w:val="single"/>
        </w:rPr>
        <w:t>Colitis:</w:t>
      </w:r>
      <w:r w:rsidRPr="000B5EE8">
        <w:rPr>
          <w:rFonts w:cs="Arial"/>
          <w:szCs w:val="22"/>
        </w:rPr>
        <w:t xml:space="preserve"> The median time to onset of colitis was 3.5 months (range 10 </w:t>
      </w:r>
      <w:r w:rsidRPr="00C92DFE">
        <w:rPr>
          <w:rFonts w:cs="Arial"/>
          <w:szCs w:val="22"/>
        </w:rPr>
        <w:t>days to 16.2 months). The median duration was 1.3 months (range 1 day to 8.7+ months). Colitis led to discontinuation of KEYTRUDA in 15 (0.5%) patients. Colitis resolved in 41 patients.</w:t>
      </w:r>
    </w:p>
    <w:p w14:paraId="1A616577" w14:textId="77777777" w:rsidR="000B4EB3" w:rsidRDefault="003D0B2F" w:rsidP="003D0B2F">
      <w:pPr>
        <w:autoSpaceDE w:val="0"/>
        <w:autoSpaceDN w:val="0"/>
        <w:adjustRightInd w:val="0"/>
        <w:rPr>
          <w:rFonts w:cs="Arial"/>
          <w:szCs w:val="22"/>
        </w:rPr>
      </w:pPr>
      <w:r w:rsidRPr="004879C0">
        <w:rPr>
          <w:rFonts w:cs="Arial"/>
          <w:i/>
          <w:szCs w:val="22"/>
          <w:u w:val="single"/>
        </w:rPr>
        <w:t>Hepatitis:</w:t>
      </w:r>
      <w:r w:rsidRPr="004879C0">
        <w:rPr>
          <w:rFonts w:cs="Arial"/>
          <w:szCs w:val="22"/>
        </w:rPr>
        <w:t xml:space="preserve"> </w:t>
      </w:r>
      <w:r w:rsidRPr="00210E70">
        <w:rPr>
          <w:rFonts w:cs="Arial"/>
          <w:szCs w:val="22"/>
        </w:rPr>
        <w:t xml:space="preserve">The median time to onset of hepatitis was 1.3 months (range 8 days to 21.4 months). The median duration was 1.8 months (range 8 days to 20.9+ months). Hepatitis led to discontinuation of </w:t>
      </w:r>
      <w:r w:rsidRPr="00D34967">
        <w:rPr>
          <w:rFonts w:cs="Arial"/>
          <w:szCs w:val="22"/>
        </w:rPr>
        <w:t>KEYTRUDA in 6 (0.2%) patients. Hepatitis resolved in 15 patients.</w:t>
      </w:r>
    </w:p>
    <w:p w14:paraId="7F237CF0" w14:textId="1A49C042" w:rsidR="003D0B2F" w:rsidRPr="003D76B0" w:rsidRDefault="003D0B2F" w:rsidP="003D0B2F">
      <w:pPr>
        <w:autoSpaceDE w:val="0"/>
        <w:autoSpaceDN w:val="0"/>
        <w:adjustRightInd w:val="0"/>
        <w:rPr>
          <w:rFonts w:cs="Arial"/>
          <w:szCs w:val="22"/>
        </w:rPr>
      </w:pPr>
      <w:r w:rsidRPr="00D34967">
        <w:rPr>
          <w:rFonts w:cs="Arial"/>
          <w:i/>
          <w:szCs w:val="22"/>
          <w:u w:val="single"/>
        </w:rPr>
        <w:t>Nephritis:</w:t>
      </w:r>
      <w:r w:rsidRPr="00D34967">
        <w:rPr>
          <w:rFonts w:cs="Arial"/>
          <w:szCs w:val="22"/>
        </w:rPr>
        <w:t xml:space="preserve"> </w:t>
      </w:r>
      <w:r w:rsidRPr="00C15344">
        <w:rPr>
          <w:rFonts w:cs="Arial"/>
          <w:szCs w:val="22"/>
        </w:rPr>
        <w:t>The median time to onset of nephritis was 5.1 months (range 12 days to 12.8 months). The median duration was 3.3 months (range 12 days to 8.9+ months). Nephritis led to disconti</w:t>
      </w:r>
      <w:r w:rsidRPr="00221055">
        <w:rPr>
          <w:rFonts w:cs="Arial"/>
          <w:szCs w:val="22"/>
        </w:rPr>
        <w:t>nuation of KEYTRUDA in 3 (0.1%) patients. Nephritis resolved in 5 patients.</w:t>
      </w:r>
    </w:p>
    <w:p w14:paraId="489934DA" w14:textId="77777777" w:rsidR="002B18C2" w:rsidRPr="00187C95" w:rsidRDefault="002B18C2" w:rsidP="00EE12B4">
      <w:pPr>
        <w:pStyle w:val="Heading2"/>
        <w:rPr>
          <w:rFonts w:ascii="Arial" w:hAnsi="Arial" w:cs="Arial"/>
          <w:noProof/>
        </w:rPr>
      </w:pPr>
      <w:r w:rsidRPr="00187C95">
        <w:rPr>
          <w:rFonts w:ascii="Arial" w:hAnsi="Arial" w:cs="Arial"/>
          <w:noProof/>
        </w:rPr>
        <w:t>Other adverse events</w:t>
      </w:r>
    </w:p>
    <w:p w14:paraId="388D739A" w14:textId="77777777" w:rsidR="003D0B2F" w:rsidRPr="00A522BE" w:rsidRDefault="003D0B2F" w:rsidP="003D0B2F">
      <w:r>
        <w:rPr>
          <w:i/>
        </w:rPr>
        <w:t>Melanoma</w:t>
      </w:r>
    </w:p>
    <w:p w14:paraId="25989DB5" w14:textId="033B80D9" w:rsidR="008B5EEE" w:rsidRPr="004172BA" w:rsidRDefault="008B5EEE" w:rsidP="00D7759F">
      <w:pPr>
        <w:rPr>
          <w:noProof/>
        </w:rPr>
      </w:pPr>
      <w:r w:rsidRPr="004172BA">
        <w:rPr>
          <w:noProof/>
        </w:rPr>
        <w:t>Table </w:t>
      </w:r>
      <w:r w:rsidR="006A428A">
        <w:rPr>
          <w:noProof/>
        </w:rPr>
        <w:t>9</w:t>
      </w:r>
      <w:r w:rsidR="006A428A" w:rsidRPr="004172BA">
        <w:rPr>
          <w:noProof/>
        </w:rPr>
        <w:t xml:space="preserve"> </w:t>
      </w:r>
      <w:r w:rsidRPr="004172BA">
        <w:rPr>
          <w:noProof/>
        </w:rPr>
        <w:t>summarizes the adverse events that occurred in at least 10% of patients with melanoma treated with KEYTRUDA in KEYNOTE-006. The most common adverse events (reported in at least 15% of patients) were arthralgia and cough.</w:t>
      </w:r>
    </w:p>
    <w:p w14:paraId="3A727D5E" w14:textId="67D100A8" w:rsidR="008B5EEE" w:rsidRPr="00A96B4E" w:rsidRDefault="008B5EEE" w:rsidP="00A96B4E">
      <w:pPr>
        <w:pStyle w:val="Caption"/>
        <w:rPr>
          <w:rStyle w:val="Strong"/>
          <w:b/>
          <w:bCs/>
          <w:sz w:val="20"/>
        </w:rPr>
      </w:pPr>
      <w:r w:rsidRPr="00A96B4E">
        <w:rPr>
          <w:rStyle w:val="Strong"/>
          <w:b/>
          <w:bCs/>
          <w:sz w:val="20"/>
        </w:rPr>
        <w:t xml:space="preserve">Table </w:t>
      </w:r>
      <w:r w:rsidR="006A428A" w:rsidRPr="00A96B4E">
        <w:rPr>
          <w:rStyle w:val="Strong"/>
          <w:b/>
          <w:bCs/>
          <w:sz w:val="20"/>
        </w:rPr>
        <w:t>9</w:t>
      </w:r>
      <w:r w:rsidRPr="00A96B4E">
        <w:rPr>
          <w:rStyle w:val="Strong"/>
          <w:b/>
          <w:bCs/>
          <w:sz w:val="20"/>
        </w:rPr>
        <w:t>: Adverse Events Occurring in ≥10% of Patients treated with KEYTRUDA and at a Higher Incidence than in the Ipilimumab Arm (Between Arm Difference of ≥5% [All Grades] or ≥2% [Grade 3]) (KEYNOTE-006)</w:t>
      </w:r>
    </w:p>
    <w:tbl>
      <w:tblPr>
        <w:tblW w:w="7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9: Adverse Events Occurring in ≥10% of Patients treated with KEYTRUDA and at a Higher Incidence than in the Ipilimumab Arm (Between Arm Difference of ≥5% [All Grades] or ≥2% [Grade 3]) (KEYNOTE-006)"/>
      </w:tblPr>
      <w:tblGrid>
        <w:gridCol w:w="2205"/>
        <w:gridCol w:w="1271"/>
        <w:gridCol w:w="1271"/>
        <w:gridCol w:w="1271"/>
        <w:gridCol w:w="1272"/>
      </w:tblGrid>
      <w:tr w:rsidR="008B5EEE" w:rsidRPr="00A97420" w14:paraId="6383AFAE" w14:textId="77777777" w:rsidTr="007E3CDB">
        <w:trPr>
          <w:tblHeader/>
          <w:jc w:val="center"/>
        </w:trPr>
        <w:tc>
          <w:tcPr>
            <w:tcW w:w="2205" w:type="dxa"/>
            <w:tcBorders>
              <w:top w:val="single" w:sz="4" w:space="0" w:color="auto"/>
              <w:left w:val="single" w:sz="4" w:space="0" w:color="auto"/>
              <w:bottom w:val="single" w:sz="4" w:space="0" w:color="auto"/>
              <w:right w:val="single" w:sz="4" w:space="0" w:color="auto"/>
            </w:tcBorders>
          </w:tcPr>
          <w:p w14:paraId="1EDC8805" w14:textId="77777777" w:rsidR="008B5EEE" w:rsidRPr="004172BA" w:rsidRDefault="008B5EEE" w:rsidP="007E3CDB">
            <w:pPr>
              <w:pStyle w:val="BodyText1"/>
              <w:rPr>
                <w:rFonts w:ascii="Arial" w:hAnsi="Arial" w:cs="Arial"/>
                <w:b/>
                <w:noProof/>
                <w:sz w:val="20"/>
                <w:szCs w:val="20"/>
              </w:rPr>
            </w:pPr>
          </w:p>
        </w:tc>
        <w:tc>
          <w:tcPr>
            <w:tcW w:w="2542" w:type="dxa"/>
            <w:gridSpan w:val="2"/>
            <w:tcBorders>
              <w:top w:val="single" w:sz="4" w:space="0" w:color="auto"/>
              <w:left w:val="single" w:sz="4" w:space="0" w:color="auto"/>
              <w:bottom w:val="single" w:sz="4" w:space="0" w:color="auto"/>
              <w:right w:val="single" w:sz="4" w:space="0" w:color="auto"/>
            </w:tcBorders>
            <w:hideMark/>
          </w:tcPr>
          <w:p w14:paraId="0D5AD9CC" w14:textId="77777777" w:rsidR="008B5EEE" w:rsidRPr="004172BA" w:rsidRDefault="008B5EEE" w:rsidP="007E3CDB">
            <w:pPr>
              <w:pStyle w:val="BodyText1"/>
              <w:ind w:firstLine="0"/>
              <w:jc w:val="center"/>
              <w:rPr>
                <w:rFonts w:ascii="Arial" w:hAnsi="Arial" w:cs="Arial"/>
                <w:b/>
                <w:noProof/>
                <w:sz w:val="20"/>
                <w:szCs w:val="20"/>
              </w:rPr>
            </w:pPr>
            <w:r w:rsidRPr="004172BA">
              <w:rPr>
                <w:rFonts w:ascii="Arial" w:hAnsi="Arial" w:cs="Arial"/>
                <w:b/>
                <w:noProof/>
                <w:sz w:val="20"/>
                <w:szCs w:val="20"/>
              </w:rPr>
              <w:t>KEYTRUDA</w:t>
            </w:r>
          </w:p>
          <w:p w14:paraId="71622080" w14:textId="77777777" w:rsidR="008B5EEE" w:rsidRPr="004172BA" w:rsidRDefault="008B5EEE" w:rsidP="007E3CDB">
            <w:pPr>
              <w:pStyle w:val="BodyText1"/>
              <w:ind w:firstLine="0"/>
              <w:jc w:val="center"/>
              <w:rPr>
                <w:rFonts w:ascii="Arial" w:hAnsi="Arial" w:cs="Arial"/>
                <w:b/>
                <w:noProof/>
                <w:sz w:val="20"/>
                <w:szCs w:val="20"/>
              </w:rPr>
            </w:pPr>
            <w:r w:rsidRPr="004172BA">
              <w:rPr>
                <w:rFonts w:ascii="Arial" w:hAnsi="Arial" w:cs="Arial"/>
                <w:b/>
                <w:noProof/>
                <w:sz w:val="20"/>
                <w:szCs w:val="20"/>
              </w:rPr>
              <w:t>10 mg/kg every 2 or 3 weeks</w:t>
            </w:r>
          </w:p>
          <w:p w14:paraId="5C85D3F2" w14:textId="77777777" w:rsidR="008B5EEE" w:rsidRPr="00343CB7" w:rsidRDefault="008B5EEE" w:rsidP="007E3CDB">
            <w:pPr>
              <w:pStyle w:val="BodyText1"/>
              <w:ind w:firstLine="0"/>
              <w:jc w:val="center"/>
              <w:rPr>
                <w:rFonts w:ascii="Arial" w:hAnsi="Arial" w:cs="Arial"/>
                <w:b/>
                <w:noProof/>
                <w:sz w:val="20"/>
                <w:szCs w:val="20"/>
              </w:rPr>
            </w:pPr>
            <w:r w:rsidRPr="00343CB7">
              <w:rPr>
                <w:rFonts w:ascii="Arial" w:hAnsi="Arial" w:cs="Arial"/>
                <w:b/>
                <w:noProof/>
                <w:sz w:val="20"/>
                <w:szCs w:val="20"/>
              </w:rPr>
              <w:t>n=555</w:t>
            </w:r>
          </w:p>
        </w:tc>
        <w:tc>
          <w:tcPr>
            <w:tcW w:w="2543" w:type="dxa"/>
            <w:gridSpan w:val="2"/>
            <w:tcBorders>
              <w:top w:val="single" w:sz="4" w:space="0" w:color="auto"/>
              <w:left w:val="single" w:sz="4" w:space="0" w:color="auto"/>
              <w:bottom w:val="single" w:sz="4" w:space="0" w:color="auto"/>
              <w:right w:val="single" w:sz="4" w:space="0" w:color="auto"/>
            </w:tcBorders>
            <w:hideMark/>
          </w:tcPr>
          <w:p w14:paraId="1520D816" w14:textId="77777777" w:rsidR="008B5EEE" w:rsidRPr="002164EC" w:rsidRDefault="008B5EEE" w:rsidP="007E3CDB">
            <w:pPr>
              <w:pStyle w:val="BodyText1"/>
              <w:ind w:firstLine="0"/>
              <w:jc w:val="center"/>
              <w:rPr>
                <w:rFonts w:ascii="Arial" w:hAnsi="Arial" w:cs="Arial"/>
                <w:b/>
                <w:noProof/>
                <w:sz w:val="20"/>
                <w:szCs w:val="20"/>
              </w:rPr>
            </w:pPr>
            <w:r w:rsidRPr="002164EC">
              <w:rPr>
                <w:rFonts w:ascii="Arial" w:hAnsi="Arial" w:cs="Arial"/>
                <w:b/>
                <w:noProof/>
                <w:sz w:val="20"/>
                <w:szCs w:val="20"/>
              </w:rPr>
              <w:t>Ipilimumab</w:t>
            </w:r>
          </w:p>
          <w:p w14:paraId="280E906C" w14:textId="77777777" w:rsidR="008B5EEE" w:rsidRPr="00187C95" w:rsidRDefault="008B5EEE" w:rsidP="007E3CDB">
            <w:pPr>
              <w:pStyle w:val="BodyText1"/>
              <w:ind w:firstLine="0"/>
              <w:jc w:val="center"/>
              <w:rPr>
                <w:rFonts w:ascii="Arial" w:hAnsi="Arial" w:cs="Arial"/>
                <w:b/>
                <w:noProof/>
                <w:sz w:val="20"/>
                <w:szCs w:val="20"/>
              </w:rPr>
            </w:pPr>
            <w:r w:rsidRPr="002164EC">
              <w:rPr>
                <w:rFonts w:ascii="Arial" w:hAnsi="Arial" w:cs="Arial"/>
                <w:b/>
                <w:noProof/>
                <w:sz w:val="20"/>
                <w:szCs w:val="20"/>
              </w:rPr>
              <w:t>3 mg/kg every 3 we</w:t>
            </w:r>
            <w:r w:rsidRPr="00187C95">
              <w:rPr>
                <w:rFonts w:ascii="Arial" w:hAnsi="Arial" w:cs="Arial"/>
                <w:b/>
                <w:noProof/>
                <w:sz w:val="20"/>
                <w:szCs w:val="20"/>
              </w:rPr>
              <w:t>eks</w:t>
            </w:r>
          </w:p>
          <w:p w14:paraId="51C73D33" w14:textId="77777777" w:rsidR="008B5EEE" w:rsidRPr="00D8643B" w:rsidRDefault="008B5EEE" w:rsidP="007E3CDB">
            <w:pPr>
              <w:pStyle w:val="BodyText1"/>
              <w:ind w:firstLine="0"/>
              <w:jc w:val="center"/>
              <w:rPr>
                <w:rFonts w:ascii="Arial" w:hAnsi="Arial" w:cs="Arial"/>
                <w:b/>
                <w:noProof/>
                <w:sz w:val="20"/>
                <w:szCs w:val="20"/>
              </w:rPr>
            </w:pPr>
            <w:r w:rsidRPr="00D8643B">
              <w:rPr>
                <w:rFonts w:ascii="Arial" w:hAnsi="Arial" w:cs="Arial"/>
                <w:b/>
                <w:noProof/>
                <w:sz w:val="20"/>
                <w:szCs w:val="20"/>
              </w:rPr>
              <w:t>n=256</w:t>
            </w:r>
          </w:p>
        </w:tc>
      </w:tr>
      <w:tr w:rsidR="008B5EEE" w:rsidRPr="00A97420" w14:paraId="3694C213" w14:textId="77777777" w:rsidTr="000D0097">
        <w:trPr>
          <w:jc w:val="center"/>
        </w:trPr>
        <w:tc>
          <w:tcPr>
            <w:tcW w:w="2205" w:type="dxa"/>
            <w:tcBorders>
              <w:top w:val="single" w:sz="4" w:space="0" w:color="auto"/>
              <w:left w:val="single" w:sz="4" w:space="0" w:color="auto"/>
              <w:bottom w:val="single" w:sz="4" w:space="0" w:color="auto"/>
              <w:right w:val="single" w:sz="4" w:space="0" w:color="auto"/>
            </w:tcBorders>
            <w:hideMark/>
          </w:tcPr>
          <w:p w14:paraId="4DF7A477" w14:textId="77777777" w:rsidR="008B5EEE" w:rsidRPr="004172BA" w:rsidRDefault="008B5EEE" w:rsidP="007E3CDB">
            <w:pPr>
              <w:pStyle w:val="BodyText1"/>
              <w:rPr>
                <w:rFonts w:ascii="Arial" w:hAnsi="Arial" w:cs="Arial"/>
                <w:b/>
                <w:bCs/>
                <w:sz w:val="20"/>
                <w:szCs w:val="20"/>
              </w:rPr>
            </w:pPr>
            <w:r w:rsidRPr="004172BA">
              <w:rPr>
                <w:rFonts w:ascii="Arial" w:hAnsi="Arial" w:cs="Arial"/>
                <w:b/>
                <w:noProof/>
                <w:sz w:val="20"/>
                <w:szCs w:val="20"/>
              </w:rPr>
              <w:t>Adverse Events</w:t>
            </w:r>
          </w:p>
        </w:tc>
        <w:tc>
          <w:tcPr>
            <w:tcW w:w="1271" w:type="dxa"/>
            <w:tcBorders>
              <w:top w:val="single" w:sz="4" w:space="0" w:color="auto"/>
              <w:left w:val="single" w:sz="4" w:space="0" w:color="auto"/>
              <w:bottom w:val="single" w:sz="4" w:space="0" w:color="auto"/>
              <w:right w:val="single" w:sz="4" w:space="0" w:color="auto"/>
            </w:tcBorders>
            <w:hideMark/>
          </w:tcPr>
          <w:p w14:paraId="306D458B" w14:textId="77777777" w:rsidR="008B5EEE" w:rsidRPr="004172BA" w:rsidRDefault="008B5EEE" w:rsidP="007E3CDB">
            <w:pPr>
              <w:pStyle w:val="BodyText1"/>
              <w:ind w:firstLine="0"/>
              <w:jc w:val="center"/>
              <w:rPr>
                <w:rFonts w:ascii="Arial" w:hAnsi="Arial" w:cs="Arial"/>
                <w:b/>
                <w:noProof/>
                <w:sz w:val="20"/>
                <w:szCs w:val="20"/>
              </w:rPr>
            </w:pPr>
            <w:r w:rsidRPr="004172BA">
              <w:rPr>
                <w:rFonts w:ascii="Arial" w:hAnsi="Arial" w:cs="Arial"/>
                <w:b/>
                <w:noProof/>
                <w:sz w:val="20"/>
                <w:szCs w:val="20"/>
              </w:rPr>
              <w:t>All Grades</w:t>
            </w:r>
          </w:p>
          <w:p w14:paraId="6B11B6F1" w14:textId="77777777" w:rsidR="008B5EEE" w:rsidRPr="004172BA" w:rsidRDefault="008B5EEE" w:rsidP="007E3CDB">
            <w:pPr>
              <w:pStyle w:val="BodyText1"/>
              <w:ind w:firstLine="0"/>
              <w:jc w:val="center"/>
              <w:rPr>
                <w:rFonts w:ascii="Arial" w:hAnsi="Arial" w:cs="Arial"/>
                <w:b/>
                <w:noProof/>
                <w:sz w:val="20"/>
                <w:szCs w:val="20"/>
              </w:rPr>
            </w:pPr>
            <w:r w:rsidRPr="004172BA">
              <w:rPr>
                <w:rFonts w:ascii="Arial" w:hAnsi="Arial" w:cs="Arial"/>
                <w:b/>
                <w:noProof/>
                <w:sz w:val="20"/>
                <w:szCs w:val="20"/>
              </w:rPr>
              <w:t>(%)</w:t>
            </w:r>
          </w:p>
        </w:tc>
        <w:tc>
          <w:tcPr>
            <w:tcW w:w="1271" w:type="dxa"/>
            <w:tcBorders>
              <w:top w:val="single" w:sz="4" w:space="0" w:color="auto"/>
              <w:left w:val="single" w:sz="4" w:space="0" w:color="auto"/>
              <w:bottom w:val="single" w:sz="4" w:space="0" w:color="auto"/>
              <w:right w:val="single" w:sz="4" w:space="0" w:color="auto"/>
            </w:tcBorders>
            <w:hideMark/>
          </w:tcPr>
          <w:p w14:paraId="21A42667" w14:textId="77777777" w:rsidR="008B5EEE" w:rsidRPr="00343CB7" w:rsidRDefault="008B5EEE" w:rsidP="007E3CDB">
            <w:pPr>
              <w:pStyle w:val="BodyText1"/>
              <w:ind w:firstLine="0"/>
              <w:jc w:val="center"/>
              <w:rPr>
                <w:rFonts w:ascii="Arial" w:hAnsi="Arial" w:cs="Arial"/>
                <w:b/>
                <w:noProof/>
                <w:sz w:val="20"/>
                <w:szCs w:val="20"/>
              </w:rPr>
            </w:pPr>
            <w:r w:rsidRPr="00343CB7">
              <w:rPr>
                <w:rFonts w:ascii="Arial" w:hAnsi="Arial" w:cs="Arial"/>
                <w:b/>
                <w:noProof/>
                <w:sz w:val="20"/>
                <w:szCs w:val="20"/>
              </w:rPr>
              <w:t>Grade 3*</w:t>
            </w:r>
          </w:p>
          <w:p w14:paraId="3161F1A5" w14:textId="77777777" w:rsidR="008B5EEE" w:rsidRPr="002164EC" w:rsidRDefault="008B5EEE" w:rsidP="007E3CDB">
            <w:pPr>
              <w:pStyle w:val="BodyText1"/>
              <w:ind w:firstLine="0"/>
              <w:jc w:val="center"/>
              <w:rPr>
                <w:rFonts w:ascii="Arial" w:hAnsi="Arial" w:cs="Arial"/>
                <w:b/>
                <w:noProof/>
                <w:sz w:val="20"/>
                <w:szCs w:val="20"/>
              </w:rPr>
            </w:pPr>
            <w:r w:rsidRPr="002164EC">
              <w:rPr>
                <w:rFonts w:ascii="Arial" w:hAnsi="Arial" w:cs="Arial"/>
                <w:b/>
                <w:noProof/>
                <w:sz w:val="20"/>
                <w:szCs w:val="20"/>
              </w:rPr>
              <w:t>(%)</w:t>
            </w:r>
          </w:p>
        </w:tc>
        <w:tc>
          <w:tcPr>
            <w:tcW w:w="1271" w:type="dxa"/>
            <w:tcBorders>
              <w:top w:val="single" w:sz="4" w:space="0" w:color="auto"/>
              <w:left w:val="single" w:sz="4" w:space="0" w:color="auto"/>
              <w:bottom w:val="single" w:sz="4" w:space="0" w:color="auto"/>
              <w:right w:val="single" w:sz="4" w:space="0" w:color="auto"/>
            </w:tcBorders>
            <w:hideMark/>
          </w:tcPr>
          <w:p w14:paraId="15801193" w14:textId="77777777" w:rsidR="008B5EEE" w:rsidRPr="002164EC" w:rsidRDefault="008B5EEE" w:rsidP="007E3CDB">
            <w:pPr>
              <w:pStyle w:val="BodyText1"/>
              <w:ind w:firstLine="0"/>
              <w:jc w:val="center"/>
              <w:rPr>
                <w:rFonts w:ascii="Arial" w:hAnsi="Arial" w:cs="Arial"/>
                <w:b/>
                <w:noProof/>
                <w:sz w:val="20"/>
                <w:szCs w:val="20"/>
              </w:rPr>
            </w:pPr>
            <w:r w:rsidRPr="002164EC">
              <w:rPr>
                <w:rFonts w:ascii="Arial" w:hAnsi="Arial" w:cs="Arial"/>
                <w:b/>
                <w:noProof/>
                <w:sz w:val="20"/>
                <w:szCs w:val="20"/>
              </w:rPr>
              <w:t>All Grades</w:t>
            </w:r>
          </w:p>
          <w:p w14:paraId="6D2EE494" w14:textId="77777777" w:rsidR="008B5EEE" w:rsidRPr="00D8643B" w:rsidRDefault="008B5EEE" w:rsidP="007E3CDB">
            <w:pPr>
              <w:pStyle w:val="BodyText1"/>
              <w:ind w:firstLine="0"/>
              <w:jc w:val="center"/>
              <w:rPr>
                <w:rFonts w:ascii="Arial" w:hAnsi="Arial" w:cs="Arial"/>
                <w:b/>
                <w:noProof/>
                <w:sz w:val="20"/>
                <w:szCs w:val="20"/>
              </w:rPr>
            </w:pPr>
            <w:r w:rsidRPr="00D8643B">
              <w:rPr>
                <w:rFonts w:ascii="Arial" w:hAnsi="Arial" w:cs="Arial"/>
                <w:b/>
                <w:noProof/>
                <w:sz w:val="20"/>
                <w:szCs w:val="20"/>
              </w:rPr>
              <w:t>(%)</w:t>
            </w:r>
          </w:p>
        </w:tc>
        <w:tc>
          <w:tcPr>
            <w:tcW w:w="1272" w:type="dxa"/>
            <w:tcBorders>
              <w:top w:val="single" w:sz="4" w:space="0" w:color="auto"/>
              <w:left w:val="single" w:sz="4" w:space="0" w:color="auto"/>
              <w:bottom w:val="single" w:sz="4" w:space="0" w:color="auto"/>
              <w:right w:val="single" w:sz="4" w:space="0" w:color="auto"/>
            </w:tcBorders>
            <w:hideMark/>
          </w:tcPr>
          <w:p w14:paraId="3B03FA1A" w14:textId="77777777" w:rsidR="008B5EEE" w:rsidRPr="00AE1EF9" w:rsidRDefault="008B5EEE" w:rsidP="007E3CDB">
            <w:pPr>
              <w:pStyle w:val="BodyText1"/>
              <w:ind w:firstLine="0"/>
              <w:jc w:val="center"/>
              <w:rPr>
                <w:rFonts w:ascii="Arial" w:hAnsi="Arial" w:cs="Arial"/>
                <w:b/>
                <w:noProof/>
                <w:sz w:val="20"/>
                <w:szCs w:val="20"/>
              </w:rPr>
            </w:pPr>
            <w:r w:rsidRPr="00AE1EF9">
              <w:rPr>
                <w:rFonts w:ascii="Arial" w:hAnsi="Arial" w:cs="Arial"/>
                <w:b/>
                <w:noProof/>
                <w:sz w:val="20"/>
                <w:szCs w:val="20"/>
              </w:rPr>
              <w:t>Grade 3*</w:t>
            </w:r>
          </w:p>
          <w:p w14:paraId="229E8659" w14:textId="77777777" w:rsidR="008B5EEE" w:rsidRPr="00AE1EF9" w:rsidRDefault="008B5EEE" w:rsidP="007E3CDB">
            <w:pPr>
              <w:pStyle w:val="BodyText1"/>
              <w:ind w:firstLine="0"/>
              <w:jc w:val="center"/>
              <w:rPr>
                <w:rFonts w:ascii="Arial" w:hAnsi="Arial" w:cs="Arial"/>
                <w:b/>
                <w:noProof/>
                <w:sz w:val="20"/>
                <w:szCs w:val="20"/>
              </w:rPr>
            </w:pPr>
            <w:r w:rsidRPr="00AE1EF9">
              <w:rPr>
                <w:rFonts w:ascii="Arial" w:hAnsi="Arial" w:cs="Arial"/>
                <w:b/>
                <w:noProof/>
                <w:sz w:val="20"/>
                <w:szCs w:val="20"/>
              </w:rPr>
              <w:t>(%)</w:t>
            </w:r>
          </w:p>
        </w:tc>
      </w:tr>
      <w:tr w:rsidR="008B5EEE" w:rsidRPr="00A97420" w14:paraId="2E6C5C6C" w14:textId="77777777" w:rsidTr="000D0097">
        <w:trPr>
          <w:jc w:val="center"/>
        </w:trPr>
        <w:tc>
          <w:tcPr>
            <w:tcW w:w="7290" w:type="dxa"/>
            <w:gridSpan w:val="5"/>
            <w:tcBorders>
              <w:top w:val="single" w:sz="4" w:space="0" w:color="auto"/>
              <w:left w:val="single" w:sz="4" w:space="0" w:color="auto"/>
              <w:bottom w:val="single" w:sz="4" w:space="0" w:color="auto"/>
              <w:right w:val="single" w:sz="4" w:space="0" w:color="auto"/>
            </w:tcBorders>
            <w:hideMark/>
          </w:tcPr>
          <w:p w14:paraId="03E62028" w14:textId="77777777" w:rsidR="008B5EEE" w:rsidRPr="004172BA" w:rsidRDefault="008B5EEE" w:rsidP="007E3CDB">
            <w:pPr>
              <w:pStyle w:val="BodyText1"/>
              <w:ind w:firstLine="0"/>
              <w:rPr>
                <w:rFonts w:ascii="Arial" w:hAnsi="Arial" w:cs="Arial"/>
                <w:noProof/>
                <w:sz w:val="20"/>
                <w:szCs w:val="20"/>
              </w:rPr>
            </w:pPr>
            <w:r w:rsidRPr="004172BA">
              <w:rPr>
                <w:rFonts w:ascii="Arial" w:hAnsi="Arial" w:cs="Arial"/>
                <w:b/>
                <w:bCs/>
                <w:noProof/>
                <w:sz w:val="20"/>
                <w:szCs w:val="20"/>
              </w:rPr>
              <w:lastRenderedPageBreak/>
              <w:t>Musculoskeletal and Connective Tissue Disorders</w:t>
            </w:r>
          </w:p>
        </w:tc>
      </w:tr>
      <w:tr w:rsidR="008B5EEE" w:rsidRPr="00A97420" w14:paraId="3E56FFE9" w14:textId="77777777" w:rsidTr="000D0097">
        <w:trPr>
          <w:jc w:val="center"/>
        </w:trPr>
        <w:tc>
          <w:tcPr>
            <w:tcW w:w="2205" w:type="dxa"/>
            <w:tcBorders>
              <w:top w:val="single" w:sz="4" w:space="0" w:color="auto"/>
              <w:left w:val="single" w:sz="4" w:space="0" w:color="auto"/>
              <w:bottom w:val="single" w:sz="4" w:space="0" w:color="auto"/>
              <w:right w:val="single" w:sz="4" w:space="0" w:color="auto"/>
            </w:tcBorders>
            <w:hideMark/>
          </w:tcPr>
          <w:p w14:paraId="0E22766D" w14:textId="77777777" w:rsidR="008B5EEE" w:rsidRPr="004172BA" w:rsidRDefault="008B5EEE" w:rsidP="007E3CDB">
            <w:pPr>
              <w:pStyle w:val="BodyText1"/>
              <w:ind w:left="270" w:firstLine="0"/>
              <w:rPr>
                <w:rFonts w:ascii="Arial" w:hAnsi="Arial" w:cs="Arial"/>
                <w:noProof/>
                <w:sz w:val="20"/>
                <w:szCs w:val="20"/>
              </w:rPr>
            </w:pPr>
            <w:r w:rsidRPr="004172BA">
              <w:rPr>
                <w:rFonts w:ascii="Arial" w:hAnsi="Arial" w:cs="Arial"/>
                <w:noProof/>
                <w:sz w:val="20"/>
                <w:szCs w:val="20"/>
              </w:rPr>
              <w:t>Arthralgia</w:t>
            </w:r>
          </w:p>
        </w:tc>
        <w:tc>
          <w:tcPr>
            <w:tcW w:w="1271" w:type="dxa"/>
            <w:tcBorders>
              <w:top w:val="single" w:sz="4" w:space="0" w:color="auto"/>
              <w:left w:val="single" w:sz="4" w:space="0" w:color="auto"/>
              <w:bottom w:val="single" w:sz="4" w:space="0" w:color="auto"/>
              <w:right w:val="single" w:sz="4" w:space="0" w:color="auto"/>
            </w:tcBorders>
            <w:hideMark/>
          </w:tcPr>
          <w:p w14:paraId="5B25E93F" w14:textId="77777777" w:rsidR="008B5EEE" w:rsidRPr="004172BA" w:rsidRDefault="008B5EEE" w:rsidP="007E3CDB">
            <w:pPr>
              <w:pStyle w:val="BodyText1"/>
              <w:ind w:hanging="18"/>
              <w:jc w:val="center"/>
              <w:rPr>
                <w:rFonts w:ascii="Arial" w:hAnsi="Arial" w:cs="Arial"/>
                <w:noProof/>
                <w:sz w:val="20"/>
                <w:szCs w:val="20"/>
              </w:rPr>
            </w:pPr>
            <w:r w:rsidRPr="004172BA">
              <w:rPr>
                <w:rFonts w:ascii="Arial" w:hAnsi="Arial" w:cs="Arial"/>
                <w:noProof/>
                <w:sz w:val="20"/>
                <w:szCs w:val="20"/>
              </w:rPr>
              <w:t>18</w:t>
            </w:r>
          </w:p>
        </w:tc>
        <w:tc>
          <w:tcPr>
            <w:tcW w:w="1271" w:type="dxa"/>
            <w:tcBorders>
              <w:top w:val="single" w:sz="4" w:space="0" w:color="auto"/>
              <w:left w:val="single" w:sz="4" w:space="0" w:color="auto"/>
              <w:bottom w:val="single" w:sz="4" w:space="0" w:color="auto"/>
              <w:right w:val="single" w:sz="4" w:space="0" w:color="auto"/>
            </w:tcBorders>
            <w:hideMark/>
          </w:tcPr>
          <w:p w14:paraId="5871F1D3" w14:textId="77777777" w:rsidR="008B5EEE" w:rsidRPr="004172BA" w:rsidRDefault="008B5EEE" w:rsidP="007E3CDB">
            <w:pPr>
              <w:pStyle w:val="BodyText1"/>
              <w:ind w:firstLine="0"/>
              <w:jc w:val="center"/>
              <w:rPr>
                <w:rFonts w:ascii="Arial" w:hAnsi="Arial" w:cs="Arial"/>
                <w:noProof/>
                <w:sz w:val="20"/>
                <w:szCs w:val="20"/>
              </w:rPr>
            </w:pPr>
            <w:r w:rsidRPr="004172BA">
              <w:rPr>
                <w:rFonts w:ascii="Arial" w:hAnsi="Arial" w:cs="Arial"/>
                <w:noProof/>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14:paraId="2657009F" w14:textId="77777777" w:rsidR="008B5EEE" w:rsidRPr="004172BA" w:rsidRDefault="008B5EEE" w:rsidP="007E3CDB">
            <w:pPr>
              <w:pStyle w:val="BodyText1"/>
              <w:ind w:firstLine="0"/>
              <w:jc w:val="center"/>
              <w:rPr>
                <w:rFonts w:ascii="Arial" w:hAnsi="Arial" w:cs="Arial"/>
                <w:noProof/>
                <w:sz w:val="20"/>
                <w:szCs w:val="20"/>
              </w:rPr>
            </w:pPr>
            <w:r w:rsidRPr="004172BA">
              <w:rPr>
                <w:rFonts w:ascii="Arial" w:hAnsi="Arial" w:cs="Arial"/>
                <w:noProof/>
                <w:sz w:val="20"/>
                <w:szCs w:val="20"/>
              </w:rPr>
              <w:t>10</w:t>
            </w:r>
          </w:p>
        </w:tc>
        <w:tc>
          <w:tcPr>
            <w:tcW w:w="1272" w:type="dxa"/>
            <w:tcBorders>
              <w:top w:val="single" w:sz="4" w:space="0" w:color="auto"/>
              <w:left w:val="single" w:sz="4" w:space="0" w:color="auto"/>
              <w:bottom w:val="single" w:sz="4" w:space="0" w:color="auto"/>
              <w:right w:val="single" w:sz="4" w:space="0" w:color="auto"/>
            </w:tcBorders>
            <w:hideMark/>
          </w:tcPr>
          <w:p w14:paraId="72BFACD9" w14:textId="77777777" w:rsidR="008B5EEE" w:rsidRPr="00343CB7" w:rsidRDefault="008B5EEE" w:rsidP="007E3CDB">
            <w:pPr>
              <w:pStyle w:val="BodyText1"/>
              <w:ind w:firstLine="0"/>
              <w:jc w:val="center"/>
              <w:rPr>
                <w:rFonts w:ascii="Arial" w:hAnsi="Arial" w:cs="Arial"/>
                <w:noProof/>
                <w:sz w:val="20"/>
                <w:szCs w:val="20"/>
              </w:rPr>
            </w:pPr>
            <w:r w:rsidRPr="00343CB7">
              <w:rPr>
                <w:rFonts w:ascii="Arial" w:hAnsi="Arial" w:cs="Arial"/>
                <w:noProof/>
                <w:sz w:val="20"/>
                <w:szCs w:val="20"/>
              </w:rPr>
              <w:t>1</w:t>
            </w:r>
          </w:p>
        </w:tc>
      </w:tr>
      <w:tr w:rsidR="008B5EEE" w:rsidRPr="00A97420" w14:paraId="74586BF4" w14:textId="77777777" w:rsidTr="000D0097">
        <w:trPr>
          <w:jc w:val="center"/>
        </w:trPr>
        <w:tc>
          <w:tcPr>
            <w:tcW w:w="2205" w:type="dxa"/>
            <w:tcBorders>
              <w:top w:val="single" w:sz="4" w:space="0" w:color="auto"/>
              <w:left w:val="single" w:sz="4" w:space="0" w:color="auto"/>
              <w:bottom w:val="single" w:sz="4" w:space="0" w:color="auto"/>
              <w:right w:val="single" w:sz="4" w:space="0" w:color="auto"/>
            </w:tcBorders>
            <w:hideMark/>
          </w:tcPr>
          <w:p w14:paraId="2AA469E2" w14:textId="77777777" w:rsidR="008B5EEE" w:rsidRPr="004172BA" w:rsidRDefault="008B5EEE" w:rsidP="007E3CDB">
            <w:pPr>
              <w:pStyle w:val="BodyText1"/>
              <w:ind w:left="270" w:firstLine="0"/>
              <w:rPr>
                <w:rFonts w:ascii="Arial" w:hAnsi="Arial" w:cs="Arial"/>
                <w:noProof/>
                <w:sz w:val="20"/>
                <w:szCs w:val="20"/>
              </w:rPr>
            </w:pPr>
            <w:r w:rsidRPr="004172BA">
              <w:rPr>
                <w:rFonts w:ascii="Arial" w:hAnsi="Arial" w:cs="Arial"/>
                <w:noProof/>
                <w:sz w:val="20"/>
                <w:szCs w:val="20"/>
              </w:rPr>
              <w:t>Back pain</w:t>
            </w:r>
          </w:p>
        </w:tc>
        <w:tc>
          <w:tcPr>
            <w:tcW w:w="1271" w:type="dxa"/>
            <w:tcBorders>
              <w:top w:val="single" w:sz="4" w:space="0" w:color="auto"/>
              <w:left w:val="single" w:sz="4" w:space="0" w:color="auto"/>
              <w:bottom w:val="single" w:sz="4" w:space="0" w:color="auto"/>
              <w:right w:val="single" w:sz="4" w:space="0" w:color="auto"/>
            </w:tcBorders>
            <w:hideMark/>
          </w:tcPr>
          <w:p w14:paraId="007ECD96" w14:textId="77777777" w:rsidR="008B5EEE" w:rsidRPr="004172BA" w:rsidRDefault="008B5EEE" w:rsidP="007E3CDB">
            <w:pPr>
              <w:pStyle w:val="BodyText1"/>
              <w:ind w:hanging="18"/>
              <w:jc w:val="center"/>
              <w:rPr>
                <w:rFonts w:ascii="Arial" w:hAnsi="Arial" w:cs="Arial"/>
                <w:noProof/>
                <w:sz w:val="20"/>
                <w:szCs w:val="20"/>
              </w:rPr>
            </w:pPr>
            <w:r w:rsidRPr="004172BA">
              <w:rPr>
                <w:rFonts w:ascii="Arial" w:hAnsi="Arial" w:cs="Arial"/>
                <w:noProof/>
                <w:sz w:val="20"/>
                <w:szCs w:val="20"/>
              </w:rPr>
              <w:t>12</w:t>
            </w:r>
          </w:p>
        </w:tc>
        <w:tc>
          <w:tcPr>
            <w:tcW w:w="1271" w:type="dxa"/>
            <w:tcBorders>
              <w:top w:val="single" w:sz="4" w:space="0" w:color="auto"/>
              <w:left w:val="single" w:sz="4" w:space="0" w:color="auto"/>
              <w:bottom w:val="single" w:sz="4" w:space="0" w:color="auto"/>
              <w:right w:val="single" w:sz="4" w:space="0" w:color="auto"/>
            </w:tcBorders>
            <w:hideMark/>
          </w:tcPr>
          <w:p w14:paraId="1BA195BD" w14:textId="77777777" w:rsidR="008B5EEE" w:rsidRPr="004172BA" w:rsidRDefault="008B5EEE" w:rsidP="007E3CDB">
            <w:pPr>
              <w:pStyle w:val="BodyText1"/>
              <w:ind w:firstLine="0"/>
              <w:jc w:val="center"/>
              <w:rPr>
                <w:rFonts w:ascii="Arial" w:hAnsi="Arial" w:cs="Arial"/>
                <w:noProof/>
                <w:sz w:val="20"/>
                <w:szCs w:val="20"/>
              </w:rPr>
            </w:pPr>
            <w:r w:rsidRPr="004172BA">
              <w:rPr>
                <w:rFonts w:ascii="Arial" w:hAnsi="Arial" w:cs="Arial"/>
                <w:noProof/>
                <w:sz w:val="20"/>
                <w:szCs w:val="20"/>
              </w:rPr>
              <w:t>1</w:t>
            </w:r>
          </w:p>
        </w:tc>
        <w:tc>
          <w:tcPr>
            <w:tcW w:w="1271" w:type="dxa"/>
            <w:tcBorders>
              <w:top w:val="single" w:sz="4" w:space="0" w:color="auto"/>
              <w:left w:val="single" w:sz="4" w:space="0" w:color="auto"/>
              <w:bottom w:val="single" w:sz="4" w:space="0" w:color="auto"/>
              <w:right w:val="single" w:sz="4" w:space="0" w:color="auto"/>
            </w:tcBorders>
            <w:hideMark/>
          </w:tcPr>
          <w:p w14:paraId="20FA2784" w14:textId="77777777" w:rsidR="008B5EEE" w:rsidRPr="004172BA" w:rsidRDefault="008B5EEE" w:rsidP="007E3CDB">
            <w:pPr>
              <w:pStyle w:val="BodyText1"/>
              <w:ind w:firstLine="0"/>
              <w:jc w:val="center"/>
              <w:rPr>
                <w:rFonts w:ascii="Arial" w:hAnsi="Arial" w:cs="Arial"/>
                <w:noProof/>
                <w:sz w:val="20"/>
                <w:szCs w:val="20"/>
              </w:rPr>
            </w:pPr>
            <w:r w:rsidRPr="004172BA">
              <w:rPr>
                <w:rFonts w:ascii="Arial" w:hAnsi="Arial" w:cs="Arial"/>
                <w:noProof/>
                <w:sz w:val="20"/>
                <w:szCs w:val="20"/>
              </w:rPr>
              <w:t>7</w:t>
            </w:r>
          </w:p>
        </w:tc>
        <w:tc>
          <w:tcPr>
            <w:tcW w:w="1272" w:type="dxa"/>
            <w:tcBorders>
              <w:top w:val="single" w:sz="4" w:space="0" w:color="auto"/>
              <w:left w:val="single" w:sz="4" w:space="0" w:color="auto"/>
              <w:bottom w:val="single" w:sz="4" w:space="0" w:color="auto"/>
              <w:right w:val="single" w:sz="4" w:space="0" w:color="auto"/>
            </w:tcBorders>
            <w:hideMark/>
          </w:tcPr>
          <w:p w14:paraId="37CAA63E" w14:textId="77777777" w:rsidR="008B5EEE" w:rsidRPr="00343CB7" w:rsidRDefault="008B5EEE" w:rsidP="007E3CDB">
            <w:pPr>
              <w:pStyle w:val="BodyText1"/>
              <w:ind w:firstLine="0"/>
              <w:jc w:val="center"/>
              <w:rPr>
                <w:rFonts w:ascii="Arial" w:hAnsi="Arial" w:cs="Arial"/>
                <w:noProof/>
                <w:sz w:val="20"/>
                <w:szCs w:val="20"/>
              </w:rPr>
            </w:pPr>
            <w:r w:rsidRPr="00343CB7">
              <w:rPr>
                <w:rFonts w:ascii="Arial" w:hAnsi="Arial" w:cs="Arial"/>
                <w:noProof/>
                <w:sz w:val="20"/>
                <w:szCs w:val="20"/>
              </w:rPr>
              <w:t>1</w:t>
            </w:r>
          </w:p>
        </w:tc>
      </w:tr>
      <w:tr w:rsidR="008B5EEE" w:rsidRPr="00A97420" w14:paraId="4B951340" w14:textId="77777777" w:rsidTr="000D0097">
        <w:trPr>
          <w:jc w:val="center"/>
        </w:trPr>
        <w:tc>
          <w:tcPr>
            <w:tcW w:w="7290" w:type="dxa"/>
            <w:gridSpan w:val="5"/>
            <w:tcBorders>
              <w:top w:val="single" w:sz="4" w:space="0" w:color="auto"/>
              <w:left w:val="single" w:sz="4" w:space="0" w:color="auto"/>
              <w:bottom w:val="single" w:sz="4" w:space="0" w:color="auto"/>
              <w:right w:val="single" w:sz="4" w:space="0" w:color="auto"/>
            </w:tcBorders>
            <w:hideMark/>
          </w:tcPr>
          <w:p w14:paraId="7F32668C" w14:textId="77777777" w:rsidR="008B5EEE" w:rsidRPr="004172BA" w:rsidRDefault="008B5EEE" w:rsidP="007E3CDB">
            <w:pPr>
              <w:pStyle w:val="BodyText1"/>
              <w:ind w:firstLine="0"/>
              <w:rPr>
                <w:rFonts w:ascii="Arial" w:hAnsi="Arial" w:cs="Arial"/>
                <w:noProof/>
                <w:sz w:val="20"/>
                <w:szCs w:val="20"/>
              </w:rPr>
            </w:pPr>
            <w:r w:rsidRPr="004172BA">
              <w:rPr>
                <w:rFonts w:ascii="Arial" w:hAnsi="Arial" w:cs="Arial"/>
                <w:b/>
                <w:bCs/>
                <w:noProof/>
                <w:sz w:val="20"/>
                <w:szCs w:val="20"/>
              </w:rPr>
              <w:t>Respiratory, Thoracic and Mediastinal Disorders</w:t>
            </w:r>
          </w:p>
        </w:tc>
      </w:tr>
      <w:tr w:rsidR="008B5EEE" w:rsidRPr="00A97420" w14:paraId="457A42CC" w14:textId="77777777" w:rsidTr="000D0097">
        <w:trPr>
          <w:jc w:val="center"/>
        </w:trPr>
        <w:tc>
          <w:tcPr>
            <w:tcW w:w="2205" w:type="dxa"/>
            <w:tcBorders>
              <w:top w:val="single" w:sz="4" w:space="0" w:color="auto"/>
              <w:left w:val="single" w:sz="4" w:space="0" w:color="auto"/>
              <w:bottom w:val="single" w:sz="4" w:space="0" w:color="auto"/>
              <w:right w:val="single" w:sz="4" w:space="0" w:color="auto"/>
            </w:tcBorders>
            <w:hideMark/>
          </w:tcPr>
          <w:p w14:paraId="31106AF9" w14:textId="77777777" w:rsidR="008B5EEE" w:rsidRPr="004172BA" w:rsidRDefault="008B5EEE" w:rsidP="007E3CDB">
            <w:pPr>
              <w:pStyle w:val="BodyText1"/>
              <w:ind w:left="270" w:firstLine="0"/>
              <w:rPr>
                <w:rFonts w:ascii="Arial" w:hAnsi="Arial" w:cs="Arial"/>
                <w:noProof/>
                <w:sz w:val="20"/>
                <w:szCs w:val="20"/>
              </w:rPr>
            </w:pPr>
            <w:r w:rsidRPr="004172BA">
              <w:rPr>
                <w:rFonts w:ascii="Arial" w:hAnsi="Arial" w:cs="Arial"/>
                <w:noProof/>
                <w:sz w:val="20"/>
                <w:szCs w:val="20"/>
              </w:rPr>
              <w:t>Cough</w:t>
            </w:r>
          </w:p>
        </w:tc>
        <w:tc>
          <w:tcPr>
            <w:tcW w:w="1271" w:type="dxa"/>
            <w:tcBorders>
              <w:top w:val="single" w:sz="4" w:space="0" w:color="auto"/>
              <w:left w:val="single" w:sz="4" w:space="0" w:color="auto"/>
              <w:bottom w:val="single" w:sz="4" w:space="0" w:color="auto"/>
              <w:right w:val="single" w:sz="4" w:space="0" w:color="auto"/>
            </w:tcBorders>
            <w:hideMark/>
          </w:tcPr>
          <w:p w14:paraId="5DE49B70" w14:textId="77777777" w:rsidR="008B5EEE" w:rsidRPr="004172BA" w:rsidRDefault="008B5EEE" w:rsidP="007E3CDB">
            <w:pPr>
              <w:pStyle w:val="BodyText1"/>
              <w:ind w:firstLine="0"/>
              <w:jc w:val="center"/>
              <w:rPr>
                <w:rFonts w:ascii="Arial" w:hAnsi="Arial" w:cs="Arial"/>
                <w:noProof/>
                <w:sz w:val="20"/>
                <w:szCs w:val="20"/>
              </w:rPr>
            </w:pPr>
            <w:r w:rsidRPr="004172BA">
              <w:rPr>
                <w:rFonts w:ascii="Arial" w:hAnsi="Arial" w:cs="Arial"/>
                <w:noProof/>
                <w:sz w:val="20"/>
                <w:szCs w:val="20"/>
              </w:rPr>
              <w:t>17</w:t>
            </w:r>
          </w:p>
        </w:tc>
        <w:tc>
          <w:tcPr>
            <w:tcW w:w="1271" w:type="dxa"/>
            <w:tcBorders>
              <w:top w:val="single" w:sz="4" w:space="0" w:color="auto"/>
              <w:left w:val="single" w:sz="4" w:space="0" w:color="auto"/>
              <w:bottom w:val="single" w:sz="4" w:space="0" w:color="auto"/>
              <w:right w:val="single" w:sz="4" w:space="0" w:color="auto"/>
            </w:tcBorders>
            <w:hideMark/>
          </w:tcPr>
          <w:p w14:paraId="262BEE62" w14:textId="77777777" w:rsidR="008B5EEE" w:rsidRPr="004172BA" w:rsidRDefault="008B5EEE" w:rsidP="007E3CDB">
            <w:pPr>
              <w:pStyle w:val="BodyText1"/>
              <w:ind w:firstLine="0"/>
              <w:jc w:val="center"/>
              <w:rPr>
                <w:rFonts w:ascii="Arial" w:hAnsi="Arial" w:cs="Arial"/>
                <w:noProof/>
                <w:sz w:val="20"/>
                <w:szCs w:val="20"/>
              </w:rPr>
            </w:pPr>
            <w:r w:rsidRPr="004172BA">
              <w:rPr>
                <w:rFonts w:ascii="Arial" w:hAnsi="Arial" w:cs="Arial"/>
                <w:noProof/>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14:paraId="7E64DF25" w14:textId="77777777" w:rsidR="008B5EEE" w:rsidRPr="004172BA" w:rsidRDefault="008B5EEE" w:rsidP="007E3CDB">
            <w:pPr>
              <w:pStyle w:val="BodyText1"/>
              <w:ind w:firstLine="0"/>
              <w:jc w:val="center"/>
              <w:rPr>
                <w:rFonts w:ascii="Arial" w:hAnsi="Arial" w:cs="Arial"/>
                <w:noProof/>
                <w:sz w:val="20"/>
                <w:szCs w:val="20"/>
              </w:rPr>
            </w:pPr>
            <w:r w:rsidRPr="004172BA">
              <w:rPr>
                <w:rFonts w:ascii="Arial" w:hAnsi="Arial" w:cs="Arial"/>
                <w:noProof/>
                <w:sz w:val="20"/>
                <w:szCs w:val="20"/>
              </w:rPr>
              <w:t>7</w:t>
            </w:r>
          </w:p>
        </w:tc>
        <w:tc>
          <w:tcPr>
            <w:tcW w:w="1272" w:type="dxa"/>
            <w:tcBorders>
              <w:top w:val="single" w:sz="4" w:space="0" w:color="auto"/>
              <w:left w:val="single" w:sz="4" w:space="0" w:color="auto"/>
              <w:bottom w:val="single" w:sz="4" w:space="0" w:color="auto"/>
              <w:right w:val="single" w:sz="4" w:space="0" w:color="auto"/>
            </w:tcBorders>
            <w:hideMark/>
          </w:tcPr>
          <w:p w14:paraId="7ED17B75" w14:textId="77777777" w:rsidR="008B5EEE" w:rsidRPr="00343CB7" w:rsidRDefault="008B5EEE" w:rsidP="007E3CDB">
            <w:pPr>
              <w:pStyle w:val="BodyText1"/>
              <w:ind w:firstLine="0"/>
              <w:jc w:val="center"/>
              <w:rPr>
                <w:rFonts w:ascii="Arial" w:hAnsi="Arial" w:cs="Arial"/>
                <w:noProof/>
                <w:sz w:val="20"/>
                <w:szCs w:val="20"/>
              </w:rPr>
            </w:pPr>
            <w:r w:rsidRPr="00343CB7">
              <w:rPr>
                <w:rFonts w:ascii="Arial" w:hAnsi="Arial" w:cs="Arial"/>
                <w:noProof/>
                <w:sz w:val="20"/>
                <w:szCs w:val="20"/>
              </w:rPr>
              <w:t>0</w:t>
            </w:r>
          </w:p>
        </w:tc>
      </w:tr>
      <w:tr w:rsidR="008B5EEE" w:rsidRPr="00A97420" w14:paraId="77AE02AC" w14:textId="77777777" w:rsidTr="000D0097">
        <w:trPr>
          <w:jc w:val="center"/>
        </w:trPr>
        <w:tc>
          <w:tcPr>
            <w:tcW w:w="7290" w:type="dxa"/>
            <w:gridSpan w:val="5"/>
            <w:tcBorders>
              <w:top w:val="single" w:sz="4" w:space="0" w:color="auto"/>
              <w:left w:val="single" w:sz="4" w:space="0" w:color="auto"/>
              <w:bottom w:val="single" w:sz="4" w:space="0" w:color="auto"/>
              <w:right w:val="single" w:sz="4" w:space="0" w:color="auto"/>
            </w:tcBorders>
            <w:hideMark/>
          </w:tcPr>
          <w:p w14:paraId="7E61595B" w14:textId="77777777" w:rsidR="008B5EEE" w:rsidRPr="004172BA" w:rsidRDefault="008B5EEE" w:rsidP="007E3CDB">
            <w:pPr>
              <w:pStyle w:val="BodyText1"/>
              <w:ind w:firstLine="0"/>
              <w:rPr>
                <w:rFonts w:ascii="Arial" w:hAnsi="Arial" w:cs="Arial"/>
                <w:noProof/>
                <w:sz w:val="20"/>
                <w:szCs w:val="20"/>
              </w:rPr>
            </w:pPr>
            <w:r w:rsidRPr="004172BA">
              <w:rPr>
                <w:rFonts w:ascii="Arial" w:hAnsi="Arial" w:cs="Arial"/>
                <w:b/>
                <w:bCs/>
                <w:noProof/>
                <w:sz w:val="20"/>
                <w:szCs w:val="20"/>
              </w:rPr>
              <w:t>Skin And Subcutaneous Tissue Disorders</w:t>
            </w:r>
          </w:p>
        </w:tc>
      </w:tr>
      <w:tr w:rsidR="008B5EEE" w:rsidRPr="00A97420" w14:paraId="6F3AE3A0" w14:textId="77777777" w:rsidTr="000D0097">
        <w:trPr>
          <w:jc w:val="center"/>
        </w:trPr>
        <w:tc>
          <w:tcPr>
            <w:tcW w:w="2205" w:type="dxa"/>
            <w:tcBorders>
              <w:top w:val="single" w:sz="4" w:space="0" w:color="auto"/>
              <w:left w:val="single" w:sz="4" w:space="0" w:color="auto"/>
              <w:bottom w:val="single" w:sz="4" w:space="0" w:color="auto"/>
              <w:right w:val="single" w:sz="4" w:space="0" w:color="auto"/>
            </w:tcBorders>
            <w:hideMark/>
          </w:tcPr>
          <w:p w14:paraId="69A98208" w14:textId="77777777" w:rsidR="008B5EEE" w:rsidRPr="004172BA" w:rsidRDefault="008B5EEE" w:rsidP="007E3CDB">
            <w:pPr>
              <w:pStyle w:val="BodyText1"/>
              <w:ind w:left="270" w:firstLine="0"/>
              <w:rPr>
                <w:rFonts w:ascii="Arial" w:hAnsi="Arial" w:cs="Arial"/>
                <w:noProof/>
                <w:sz w:val="20"/>
                <w:szCs w:val="20"/>
              </w:rPr>
            </w:pPr>
            <w:r w:rsidRPr="004172BA">
              <w:rPr>
                <w:rFonts w:ascii="Arial" w:hAnsi="Arial" w:cs="Arial"/>
                <w:noProof/>
                <w:sz w:val="20"/>
                <w:szCs w:val="20"/>
              </w:rPr>
              <w:t>Vitiligo</w:t>
            </w:r>
          </w:p>
        </w:tc>
        <w:tc>
          <w:tcPr>
            <w:tcW w:w="1271" w:type="dxa"/>
            <w:tcBorders>
              <w:top w:val="single" w:sz="4" w:space="0" w:color="auto"/>
              <w:left w:val="single" w:sz="4" w:space="0" w:color="auto"/>
              <w:bottom w:val="single" w:sz="4" w:space="0" w:color="auto"/>
              <w:right w:val="single" w:sz="4" w:space="0" w:color="auto"/>
            </w:tcBorders>
            <w:hideMark/>
          </w:tcPr>
          <w:p w14:paraId="26EE6F5C" w14:textId="77777777" w:rsidR="008B5EEE" w:rsidRPr="004172BA" w:rsidRDefault="008B5EEE" w:rsidP="007E3CDB">
            <w:pPr>
              <w:pStyle w:val="BodyText1"/>
              <w:ind w:firstLine="0"/>
              <w:jc w:val="center"/>
              <w:rPr>
                <w:rFonts w:ascii="Arial" w:hAnsi="Arial" w:cs="Arial"/>
                <w:noProof/>
                <w:sz w:val="20"/>
                <w:szCs w:val="20"/>
              </w:rPr>
            </w:pPr>
            <w:r w:rsidRPr="004172BA">
              <w:rPr>
                <w:rFonts w:ascii="Arial" w:hAnsi="Arial" w:cs="Arial"/>
                <w:noProof/>
                <w:sz w:val="20"/>
                <w:szCs w:val="20"/>
              </w:rPr>
              <w:t>11</w:t>
            </w:r>
          </w:p>
        </w:tc>
        <w:tc>
          <w:tcPr>
            <w:tcW w:w="1271" w:type="dxa"/>
            <w:tcBorders>
              <w:top w:val="single" w:sz="4" w:space="0" w:color="auto"/>
              <w:left w:val="single" w:sz="4" w:space="0" w:color="auto"/>
              <w:bottom w:val="single" w:sz="4" w:space="0" w:color="auto"/>
              <w:right w:val="single" w:sz="4" w:space="0" w:color="auto"/>
            </w:tcBorders>
            <w:hideMark/>
          </w:tcPr>
          <w:p w14:paraId="2432D8F7" w14:textId="77777777" w:rsidR="008B5EEE" w:rsidRPr="004172BA" w:rsidRDefault="008B5EEE" w:rsidP="007E3CDB">
            <w:pPr>
              <w:pStyle w:val="BodyText1"/>
              <w:ind w:firstLine="0"/>
              <w:jc w:val="center"/>
              <w:rPr>
                <w:rFonts w:ascii="Arial" w:hAnsi="Arial" w:cs="Arial"/>
                <w:noProof/>
                <w:sz w:val="20"/>
                <w:szCs w:val="20"/>
              </w:rPr>
            </w:pPr>
            <w:r w:rsidRPr="004172BA">
              <w:rPr>
                <w:rFonts w:ascii="Arial" w:hAnsi="Arial" w:cs="Arial"/>
                <w:noProof/>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14:paraId="4DBA4C94" w14:textId="77777777" w:rsidR="008B5EEE" w:rsidRPr="004172BA" w:rsidRDefault="008B5EEE" w:rsidP="007E3CDB">
            <w:pPr>
              <w:pStyle w:val="BodyText1"/>
              <w:ind w:firstLine="0"/>
              <w:jc w:val="center"/>
              <w:rPr>
                <w:rFonts w:ascii="Arial" w:hAnsi="Arial" w:cs="Arial"/>
                <w:noProof/>
                <w:sz w:val="20"/>
                <w:szCs w:val="20"/>
              </w:rPr>
            </w:pPr>
            <w:r w:rsidRPr="004172BA">
              <w:rPr>
                <w:rFonts w:ascii="Arial" w:hAnsi="Arial" w:cs="Arial"/>
                <w:noProof/>
                <w:sz w:val="20"/>
                <w:szCs w:val="20"/>
              </w:rPr>
              <w:t>2</w:t>
            </w:r>
          </w:p>
        </w:tc>
        <w:tc>
          <w:tcPr>
            <w:tcW w:w="1272" w:type="dxa"/>
            <w:tcBorders>
              <w:top w:val="single" w:sz="4" w:space="0" w:color="auto"/>
              <w:left w:val="single" w:sz="4" w:space="0" w:color="auto"/>
              <w:bottom w:val="single" w:sz="4" w:space="0" w:color="auto"/>
              <w:right w:val="single" w:sz="4" w:space="0" w:color="auto"/>
            </w:tcBorders>
            <w:hideMark/>
          </w:tcPr>
          <w:p w14:paraId="7F18A33A" w14:textId="77777777" w:rsidR="008B5EEE" w:rsidRPr="00343CB7" w:rsidRDefault="008B5EEE" w:rsidP="007E3CDB">
            <w:pPr>
              <w:pStyle w:val="BodyText1"/>
              <w:ind w:firstLine="0"/>
              <w:jc w:val="center"/>
              <w:rPr>
                <w:rFonts w:ascii="Arial" w:hAnsi="Arial" w:cs="Arial"/>
                <w:noProof/>
                <w:sz w:val="20"/>
                <w:szCs w:val="20"/>
              </w:rPr>
            </w:pPr>
            <w:r w:rsidRPr="00343CB7">
              <w:rPr>
                <w:rFonts w:ascii="Arial" w:hAnsi="Arial" w:cs="Arial"/>
                <w:noProof/>
                <w:sz w:val="20"/>
                <w:szCs w:val="20"/>
              </w:rPr>
              <w:t>0</w:t>
            </w:r>
          </w:p>
        </w:tc>
      </w:tr>
      <w:tr w:rsidR="008B5EEE" w:rsidRPr="00A97420" w14:paraId="1DBFD490" w14:textId="77777777" w:rsidTr="000D0097">
        <w:trPr>
          <w:jc w:val="center"/>
        </w:trPr>
        <w:tc>
          <w:tcPr>
            <w:tcW w:w="7290" w:type="dxa"/>
            <w:gridSpan w:val="5"/>
            <w:tcBorders>
              <w:top w:val="single" w:sz="4" w:space="0" w:color="auto"/>
              <w:left w:val="nil"/>
              <w:bottom w:val="nil"/>
              <w:right w:val="nil"/>
            </w:tcBorders>
            <w:hideMark/>
          </w:tcPr>
          <w:p w14:paraId="413B5F32" w14:textId="77777777" w:rsidR="008B5EEE" w:rsidRPr="004172BA" w:rsidRDefault="00777FB1" w:rsidP="007E3CDB">
            <w:pPr>
              <w:suppressAutoHyphens w:val="0"/>
              <w:rPr>
                <w:b/>
                <w:noProof/>
                <w:sz w:val="18"/>
              </w:rPr>
            </w:pPr>
            <w:r w:rsidRPr="004172BA">
              <w:rPr>
                <w:noProof/>
                <w:sz w:val="20"/>
              </w:rPr>
              <w:t xml:space="preserve">* </w:t>
            </w:r>
            <w:r w:rsidR="008B5EEE" w:rsidRPr="00EE12B4">
              <w:rPr>
                <w:noProof/>
                <w:sz w:val="20"/>
              </w:rPr>
              <w:t>Of these ≥10% adverse events, none was reported as Grade 4.</w:t>
            </w:r>
          </w:p>
        </w:tc>
      </w:tr>
    </w:tbl>
    <w:p w14:paraId="353EAB10" w14:textId="5A560DE9" w:rsidR="003745E6" w:rsidRPr="003745E6" w:rsidRDefault="003745E6" w:rsidP="007E3CDB">
      <w:pPr>
        <w:pStyle w:val="Caption"/>
      </w:pPr>
      <w:r w:rsidRPr="003745E6">
        <w:t xml:space="preserve">Table </w:t>
      </w:r>
      <w:r w:rsidR="006A428A">
        <w:t>10</w:t>
      </w:r>
      <w:r w:rsidRPr="003745E6">
        <w:t xml:space="preserve">: Laboratory Abnormalities </w:t>
      </w:r>
      <w:r w:rsidR="00AE5C10">
        <w:t xml:space="preserve">Worsened </w:t>
      </w:r>
      <w:r w:rsidRPr="003745E6">
        <w:t>from Baseline in ≥20% of Patients with Unresectable or Metastatic Melanoma and at a Higher Incidence than in the Ipilimumab Arm (Between Arm Difference of ≥5% [All Grades] or ≥2% [Grades 3-4]) (KEYNOTE-006)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0: Laboratory Abnormalities Worsened from Baseline in ≥20% of Patients with Unresectable or Metastatic Melanoma and at a Higher Incidence than in the Ipilimumab Arm (Between Arm Difference of ≥5% [All Grades] or ≥2% [Grades 3-4]) (KEYNOTE-006)"/>
      </w:tblPr>
      <w:tblGrid>
        <w:gridCol w:w="2361"/>
        <w:gridCol w:w="1276"/>
        <w:gridCol w:w="1276"/>
        <w:gridCol w:w="1276"/>
        <w:gridCol w:w="1275"/>
      </w:tblGrid>
      <w:tr w:rsidR="003745E6" w:rsidRPr="005069B9" w14:paraId="74501619" w14:textId="77777777" w:rsidTr="007E3CDB">
        <w:trPr>
          <w:tblHeader/>
          <w:jc w:val="center"/>
        </w:trPr>
        <w:tc>
          <w:tcPr>
            <w:tcW w:w="2361" w:type="dxa"/>
            <w:shd w:val="clear" w:color="auto" w:fill="auto"/>
          </w:tcPr>
          <w:p w14:paraId="59AB27C8" w14:textId="77777777" w:rsidR="003745E6" w:rsidRPr="005069B9" w:rsidRDefault="003745E6" w:rsidP="000C742A">
            <w:pPr>
              <w:pStyle w:val="BodyText1"/>
              <w:keepNext/>
              <w:keepLines/>
              <w:ind w:firstLine="0"/>
              <w:jc w:val="center"/>
              <w:rPr>
                <w:rFonts w:ascii="Arial" w:hAnsi="Arial" w:cs="Arial"/>
                <w:noProof/>
                <w:sz w:val="20"/>
                <w:szCs w:val="16"/>
              </w:rPr>
            </w:pPr>
          </w:p>
        </w:tc>
        <w:tc>
          <w:tcPr>
            <w:tcW w:w="2552" w:type="dxa"/>
            <w:gridSpan w:val="2"/>
            <w:shd w:val="clear" w:color="auto" w:fill="auto"/>
          </w:tcPr>
          <w:p w14:paraId="1621F6FB" w14:textId="77777777" w:rsidR="003745E6" w:rsidRPr="005069B9" w:rsidRDefault="003745E6" w:rsidP="000C742A">
            <w:pPr>
              <w:keepNext/>
              <w:spacing w:before="4"/>
              <w:jc w:val="center"/>
              <w:rPr>
                <w:rFonts w:cs="Arial"/>
                <w:b/>
                <w:sz w:val="20"/>
                <w:szCs w:val="16"/>
              </w:rPr>
            </w:pPr>
            <w:r w:rsidRPr="005069B9">
              <w:rPr>
                <w:rFonts w:cs="Arial"/>
                <w:b/>
                <w:sz w:val="20"/>
                <w:szCs w:val="16"/>
              </w:rPr>
              <w:t>KEYTRUDA</w:t>
            </w:r>
          </w:p>
          <w:p w14:paraId="300CAE10" w14:textId="77777777" w:rsidR="003745E6" w:rsidRPr="005069B9" w:rsidRDefault="003745E6" w:rsidP="000C742A">
            <w:pPr>
              <w:keepNext/>
              <w:spacing w:before="4"/>
              <w:jc w:val="center"/>
              <w:rPr>
                <w:rFonts w:cs="Arial"/>
                <w:b/>
                <w:sz w:val="20"/>
                <w:szCs w:val="16"/>
              </w:rPr>
            </w:pPr>
            <w:r w:rsidRPr="005069B9">
              <w:rPr>
                <w:rFonts w:cs="Arial"/>
                <w:b/>
                <w:sz w:val="20"/>
                <w:szCs w:val="16"/>
              </w:rPr>
              <w:t>10 mg/kg every 2 or 3 weeks</w:t>
            </w:r>
          </w:p>
          <w:p w14:paraId="717E5C19" w14:textId="77777777" w:rsidR="003745E6" w:rsidRPr="005069B9" w:rsidRDefault="003745E6" w:rsidP="000C742A">
            <w:pPr>
              <w:pStyle w:val="BodyText1"/>
              <w:keepNext/>
              <w:keepLines/>
              <w:ind w:firstLine="0"/>
              <w:jc w:val="center"/>
              <w:rPr>
                <w:rFonts w:ascii="Arial" w:hAnsi="Arial" w:cs="Arial"/>
                <w:noProof/>
                <w:sz w:val="20"/>
                <w:szCs w:val="16"/>
              </w:rPr>
            </w:pPr>
            <w:r w:rsidRPr="005069B9">
              <w:rPr>
                <w:rFonts w:ascii="Arial" w:hAnsi="Arial" w:cs="Arial"/>
                <w:b/>
                <w:sz w:val="20"/>
                <w:szCs w:val="16"/>
              </w:rPr>
              <w:t>n=555</w:t>
            </w:r>
          </w:p>
        </w:tc>
        <w:tc>
          <w:tcPr>
            <w:tcW w:w="2551" w:type="dxa"/>
            <w:gridSpan w:val="2"/>
          </w:tcPr>
          <w:p w14:paraId="17A02571" w14:textId="77777777" w:rsidR="003745E6" w:rsidRPr="005069B9" w:rsidRDefault="003745E6" w:rsidP="000C742A">
            <w:pPr>
              <w:keepNext/>
              <w:spacing w:before="4"/>
              <w:jc w:val="center"/>
              <w:rPr>
                <w:rFonts w:cs="Arial"/>
                <w:b/>
                <w:sz w:val="20"/>
                <w:szCs w:val="16"/>
              </w:rPr>
            </w:pPr>
            <w:r w:rsidRPr="005069B9">
              <w:rPr>
                <w:rFonts w:cs="Arial"/>
                <w:b/>
                <w:sz w:val="20"/>
                <w:szCs w:val="16"/>
              </w:rPr>
              <w:t>Ipilimumab</w:t>
            </w:r>
          </w:p>
          <w:p w14:paraId="75C92B5A" w14:textId="77777777" w:rsidR="003745E6" w:rsidRPr="005069B9" w:rsidRDefault="003745E6" w:rsidP="000C742A">
            <w:pPr>
              <w:keepNext/>
              <w:spacing w:before="4"/>
              <w:jc w:val="center"/>
              <w:rPr>
                <w:rFonts w:cs="Arial"/>
                <w:b/>
                <w:sz w:val="20"/>
                <w:szCs w:val="16"/>
              </w:rPr>
            </w:pPr>
          </w:p>
          <w:p w14:paraId="41910A97" w14:textId="77777777" w:rsidR="003745E6" w:rsidRPr="005069B9" w:rsidRDefault="003745E6" w:rsidP="000C742A">
            <w:pPr>
              <w:keepNext/>
              <w:spacing w:before="4"/>
              <w:jc w:val="center"/>
              <w:rPr>
                <w:rFonts w:cs="Arial"/>
                <w:b/>
                <w:sz w:val="20"/>
                <w:szCs w:val="16"/>
              </w:rPr>
            </w:pPr>
            <w:r w:rsidRPr="005069B9">
              <w:rPr>
                <w:rFonts w:cs="Arial"/>
                <w:b/>
                <w:sz w:val="20"/>
                <w:szCs w:val="16"/>
              </w:rPr>
              <w:t>n=256</w:t>
            </w:r>
          </w:p>
        </w:tc>
      </w:tr>
      <w:tr w:rsidR="003745E6" w:rsidRPr="005069B9" w14:paraId="6AC56D4D" w14:textId="77777777" w:rsidTr="000C742A">
        <w:trPr>
          <w:jc w:val="center"/>
        </w:trPr>
        <w:tc>
          <w:tcPr>
            <w:tcW w:w="2361" w:type="dxa"/>
            <w:shd w:val="clear" w:color="auto" w:fill="auto"/>
            <w:vAlign w:val="center"/>
          </w:tcPr>
          <w:p w14:paraId="3F6CB5B8" w14:textId="77777777" w:rsidR="003745E6" w:rsidRPr="005069B9" w:rsidRDefault="003745E6" w:rsidP="007E3CDB">
            <w:pPr>
              <w:pStyle w:val="BodyText1"/>
              <w:ind w:firstLine="0"/>
              <w:jc w:val="both"/>
              <w:rPr>
                <w:rFonts w:ascii="Arial" w:hAnsi="Arial" w:cs="Arial"/>
                <w:noProof/>
                <w:sz w:val="20"/>
                <w:szCs w:val="16"/>
              </w:rPr>
            </w:pPr>
            <w:r w:rsidRPr="005069B9">
              <w:rPr>
                <w:rFonts w:ascii="Arial" w:hAnsi="Arial" w:cs="Arial"/>
                <w:b/>
                <w:sz w:val="20"/>
                <w:szCs w:val="16"/>
              </w:rPr>
              <w:t>Laboratory Test</w:t>
            </w:r>
          </w:p>
        </w:tc>
        <w:tc>
          <w:tcPr>
            <w:tcW w:w="1276" w:type="dxa"/>
            <w:shd w:val="clear" w:color="auto" w:fill="auto"/>
          </w:tcPr>
          <w:p w14:paraId="48841841" w14:textId="77777777" w:rsidR="003745E6" w:rsidRPr="005069B9" w:rsidRDefault="003745E6" w:rsidP="007E3CDB">
            <w:pPr>
              <w:suppressAutoHyphens w:val="0"/>
              <w:spacing w:before="4"/>
              <w:jc w:val="center"/>
              <w:rPr>
                <w:rFonts w:cs="Arial"/>
                <w:b/>
                <w:sz w:val="20"/>
                <w:szCs w:val="16"/>
              </w:rPr>
            </w:pPr>
            <w:r w:rsidRPr="005069B9">
              <w:rPr>
                <w:rFonts w:cs="Arial"/>
                <w:b/>
                <w:sz w:val="20"/>
                <w:szCs w:val="16"/>
              </w:rPr>
              <w:t>All Grades</w:t>
            </w:r>
          </w:p>
          <w:p w14:paraId="0EA3493D" w14:textId="77777777" w:rsidR="003745E6" w:rsidRPr="005069B9" w:rsidRDefault="003745E6" w:rsidP="007E3CDB">
            <w:pPr>
              <w:suppressAutoHyphens w:val="0"/>
              <w:spacing w:before="4"/>
              <w:jc w:val="center"/>
              <w:rPr>
                <w:rFonts w:cs="Arial"/>
                <w:b/>
                <w:sz w:val="20"/>
                <w:szCs w:val="16"/>
              </w:rPr>
            </w:pPr>
            <w:r w:rsidRPr="005069B9">
              <w:rPr>
                <w:rFonts w:cs="Arial"/>
                <w:b/>
                <w:sz w:val="20"/>
                <w:szCs w:val="16"/>
              </w:rPr>
              <w:t>%</w:t>
            </w:r>
          </w:p>
        </w:tc>
        <w:tc>
          <w:tcPr>
            <w:tcW w:w="1276" w:type="dxa"/>
            <w:shd w:val="clear" w:color="auto" w:fill="auto"/>
          </w:tcPr>
          <w:p w14:paraId="293D518C" w14:textId="77777777" w:rsidR="003745E6" w:rsidRPr="005069B9" w:rsidRDefault="003745E6" w:rsidP="007E3CDB">
            <w:pPr>
              <w:suppressAutoHyphens w:val="0"/>
              <w:spacing w:before="4"/>
              <w:jc w:val="center"/>
              <w:rPr>
                <w:rFonts w:cs="Arial"/>
                <w:b/>
                <w:sz w:val="20"/>
                <w:szCs w:val="16"/>
              </w:rPr>
            </w:pPr>
            <w:r w:rsidRPr="005069B9">
              <w:rPr>
                <w:rFonts w:cs="Arial"/>
                <w:b/>
                <w:sz w:val="20"/>
                <w:szCs w:val="16"/>
              </w:rPr>
              <w:t>Grades 3-4</w:t>
            </w:r>
          </w:p>
          <w:p w14:paraId="306E3E07" w14:textId="77777777" w:rsidR="003745E6" w:rsidRPr="005069B9" w:rsidRDefault="003745E6" w:rsidP="007E3CDB">
            <w:pPr>
              <w:suppressAutoHyphens w:val="0"/>
              <w:spacing w:before="4"/>
              <w:jc w:val="center"/>
              <w:rPr>
                <w:b/>
                <w:noProof/>
                <w:sz w:val="20"/>
                <w:szCs w:val="16"/>
              </w:rPr>
            </w:pPr>
            <w:r w:rsidRPr="005069B9">
              <w:rPr>
                <w:b/>
                <w:sz w:val="20"/>
                <w:szCs w:val="16"/>
              </w:rPr>
              <w:t>%</w:t>
            </w:r>
          </w:p>
        </w:tc>
        <w:tc>
          <w:tcPr>
            <w:tcW w:w="1276" w:type="dxa"/>
          </w:tcPr>
          <w:p w14:paraId="104E680A" w14:textId="77777777" w:rsidR="003745E6" w:rsidRPr="005069B9" w:rsidRDefault="003745E6" w:rsidP="007E3CDB">
            <w:pPr>
              <w:suppressAutoHyphens w:val="0"/>
              <w:spacing w:before="4"/>
              <w:jc w:val="center"/>
              <w:rPr>
                <w:rFonts w:cs="Arial"/>
                <w:b/>
                <w:sz w:val="20"/>
                <w:szCs w:val="16"/>
              </w:rPr>
            </w:pPr>
            <w:r w:rsidRPr="005069B9">
              <w:rPr>
                <w:rFonts w:cs="Arial"/>
                <w:b/>
                <w:sz w:val="20"/>
                <w:szCs w:val="16"/>
              </w:rPr>
              <w:t>All Grades</w:t>
            </w:r>
          </w:p>
          <w:p w14:paraId="2AFA04C7" w14:textId="77777777" w:rsidR="003745E6" w:rsidRPr="005069B9" w:rsidRDefault="003745E6" w:rsidP="007E3CDB">
            <w:pPr>
              <w:suppressAutoHyphens w:val="0"/>
              <w:spacing w:before="4"/>
              <w:jc w:val="center"/>
              <w:rPr>
                <w:rFonts w:cs="Arial"/>
                <w:b/>
                <w:sz w:val="20"/>
                <w:szCs w:val="16"/>
              </w:rPr>
            </w:pPr>
            <w:r w:rsidRPr="005069B9">
              <w:rPr>
                <w:rFonts w:cs="Arial"/>
                <w:b/>
                <w:sz w:val="20"/>
                <w:szCs w:val="16"/>
              </w:rPr>
              <w:t>%</w:t>
            </w:r>
          </w:p>
        </w:tc>
        <w:tc>
          <w:tcPr>
            <w:tcW w:w="1275" w:type="dxa"/>
          </w:tcPr>
          <w:p w14:paraId="54960229" w14:textId="77777777" w:rsidR="003745E6" w:rsidRPr="005069B9" w:rsidRDefault="003745E6" w:rsidP="007E3CDB">
            <w:pPr>
              <w:suppressAutoHyphens w:val="0"/>
              <w:spacing w:before="4"/>
              <w:jc w:val="center"/>
              <w:rPr>
                <w:rFonts w:cs="Arial"/>
                <w:b/>
                <w:sz w:val="20"/>
                <w:szCs w:val="16"/>
              </w:rPr>
            </w:pPr>
            <w:r w:rsidRPr="005069B9">
              <w:rPr>
                <w:rFonts w:cs="Arial"/>
                <w:b/>
                <w:sz w:val="20"/>
                <w:szCs w:val="16"/>
              </w:rPr>
              <w:t>Grades 3-4</w:t>
            </w:r>
          </w:p>
          <w:p w14:paraId="19DDBDC2" w14:textId="77777777" w:rsidR="003745E6" w:rsidRPr="005069B9" w:rsidRDefault="003745E6" w:rsidP="007E3CDB">
            <w:pPr>
              <w:suppressAutoHyphens w:val="0"/>
              <w:spacing w:before="4"/>
              <w:jc w:val="center"/>
              <w:rPr>
                <w:rFonts w:cs="Arial"/>
                <w:b/>
                <w:sz w:val="20"/>
                <w:szCs w:val="16"/>
              </w:rPr>
            </w:pPr>
            <w:r w:rsidRPr="005069B9">
              <w:rPr>
                <w:rFonts w:cs="Arial"/>
                <w:b/>
                <w:sz w:val="20"/>
                <w:szCs w:val="16"/>
              </w:rPr>
              <w:t>%</w:t>
            </w:r>
          </w:p>
        </w:tc>
      </w:tr>
      <w:tr w:rsidR="003745E6" w:rsidRPr="005069B9" w14:paraId="454421E8" w14:textId="77777777" w:rsidTr="000C742A">
        <w:trPr>
          <w:jc w:val="center"/>
        </w:trPr>
        <w:tc>
          <w:tcPr>
            <w:tcW w:w="4913" w:type="dxa"/>
            <w:gridSpan w:val="3"/>
            <w:shd w:val="clear" w:color="auto" w:fill="auto"/>
          </w:tcPr>
          <w:p w14:paraId="32FF1B29" w14:textId="77777777" w:rsidR="003745E6" w:rsidRPr="005069B9" w:rsidRDefault="003745E6" w:rsidP="007E3CDB">
            <w:pPr>
              <w:pStyle w:val="BodyText1"/>
              <w:ind w:firstLine="0"/>
              <w:rPr>
                <w:rFonts w:ascii="Arial" w:hAnsi="Arial" w:cs="Arial"/>
                <w:noProof/>
                <w:sz w:val="20"/>
                <w:szCs w:val="16"/>
              </w:rPr>
            </w:pPr>
            <w:r w:rsidRPr="005069B9">
              <w:rPr>
                <w:rFonts w:ascii="Arial" w:hAnsi="Arial" w:cs="Arial"/>
                <w:b/>
                <w:sz w:val="20"/>
                <w:szCs w:val="16"/>
              </w:rPr>
              <w:t>Hematology</w:t>
            </w:r>
          </w:p>
        </w:tc>
        <w:tc>
          <w:tcPr>
            <w:tcW w:w="2551" w:type="dxa"/>
            <w:gridSpan w:val="2"/>
          </w:tcPr>
          <w:p w14:paraId="7FC1B4DB" w14:textId="77777777" w:rsidR="003745E6" w:rsidRPr="005069B9" w:rsidRDefault="003745E6" w:rsidP="007E3CDB">
            <w:pPr>
              <w:pStyle w:val="BodyText1"/>
              <w:ind w:firstLine="0"/>
              <w:rPr>
                <w:rFonts w:ascii="Arial" w:hAnsi="Arial" w:cs="Arial"/>
                <w:b/>
                <w:sz w:val="20"/>
                <w:szCs w:val="16"/>
              </w:rPr>
            </w:pPr>
          </w:p>
        </w:tc>
      </w:tr>
      <w:tr w:rsidR="003745E6" w:rsidRPr="005069B9" w14:paraId="44FECF5C" w14:textId="77777777" w:rsidTr="000C742A">
        <w:trPr>
          <w:jc w:val="center"/>
        </w:trPr>
        <w:tc>
          <w:tcPr>
            <w:tcW w:w="2361" w:type="dxa"/>
            <w:tcBorders>
              <w:bottom w:val="single" w:sz="4" w:space="0" w:color="auto"/>
            </w:tcBorders>
            <w:shd w:val="clear" w:color="auto" w:fill="auto"/>
          </w:tcPr>
          <w:p w14:paraId="61D58DC8" w14:textId="77777777" w:rsidR="003745E6" w:rsidRPr="005069B9" w:rsidRDefault="003745E6" w:rsidP="007E3CDB">
            <w:pPr>
              <w:pStyle w:val="BodyText1"/>
              <w:ind w:left="270" w:firstLine="0"/>
              <w:rPr>
                <w:rFonts w:ascii="Arial" w:hAnsi="Arial" w:cs="Arial"/>
                <w:noProof/>
                <w:sz w:val="20"/>
                <w:szCs w:val="16"/>
              </w:rPr>
            </w:pPr>
            <w:r w:rsidRPr="005069B9">
              <w:rPr>
                <w:rFonts w:ascii="Arial" w:hAnsi="Arial" w:cs="Arial"/>
                <w:noProof/>
                <w:sz w:val="20"/>
                <w:szCs w:val="16"/>
              </w:rPr>
              <w:t>Lymphopenia</w:t>
            </w:r>
          </w:p>
        </w:tc>
        <w:tc>
          <w:tcPr>
            <w:tcW w:w="1276" w:type="dxa"/>
            <w:tcBorders>
              <w:bottom w:val="single" w:sz="4" w:space="0" w:color="auto"/>
            </w:tcBorders>
            <w:shd w:val="clear" w:color="auto" w:fill="auto"/>
          </w:tcPr>
          <w:p w14:paraId="58AD1CF4" w14:textId="77777777" w:rsidR="003745E6" w:rsidRPr="005069B9" w:rsidRDefault="003745E6" w:rsidP="007E3CDB">
            <w:pPr>
              <w:pStyle w:val="BodyText1"/>
              <w:ind w:left="-3" w:firstLine="0"/>
              <w:jc w:val="center"/>
              <w:rPr>
                <w:rFonts w:ascii="Arial" w:hAnsi="Arial" w:cs="Arial"/>
                <w:noProof/>
                <w:sz w:val="20"/>
                <w:szCs w:val="16"/>
              </w:rPr>
            </w:pPr>
            <w:r w:rsidRPr="005069B9">
              <w:rPr>
                <w:rFonts w:ascii="Arial" w:hAnsi="Arial" w:cs="Arial"/>
                <w:noProof/>
                <w:sz w:val="20"/>
                <w:szCs w:val="16"/>
              </w:rPr>
              <w:t>45</w:t>
            </w:r>
          </w:p>
        </w:tc>
        <w:tc>
          <w:tcPr>
            <w:tcW w:w="1276" w:type="dxa"/>
            <w:tcBorders>
              <w:bottom w:val="single" w:sz="4" w:space="0" w:color="auto"/>
            </w:tcBorders>
            <w:shd w:val="clear" w:color="auto" w:fill="auto"/>
          </w:tcPr>
          <w:p w14:paraId="043C9AAE" w14:textId="77777777" w:rsidR="003745E6" w:rsidRPr="005069B9" w:rsidRDefault="003745E6" w:rsidP="007E3CDB">
            <w:pPr>
              <w:pStyle w:val="BodyText1"/>
              <w:ind w:firstLine="0"/>
              <w:jc w:val="center"/>
              <w:rPr>
                <w:rFonts w:ascii="Arial" w:hAnsi="Arial" w:cs="Arial"/>
                <w:noProof/>
                <w:sz w:val="20"/>
                <w:szCs w:val="16"/>
              </w:rPr>
            </w:pPr>
            <w:r w:rsidRPr="005069B9">
              <w:rPr>
                <w:rFonts w:ascii="Arial" w:hAnsi="Arial" w:cs="Arial"/>
                <w:noProof/>
                <w:sz w:val="20"/>
                <w:szCs w:val="16"/>
              </w:rPr>
              <w:t>5</w:t>
            </w:r>
          </w:p>
        </w:tc>
        <w:tc>
          <w:tcPr>
            <w:tcW w:w="1276" w:type="dxa"/>
            <w:tcBorders>
              <w:bottom w:val="single" w:sz="4" w:space="0" w:color="auto"/>
            </w:tcBorders>
          </w:tcPr>
          <w:p w14:paraId="2406B71D" w14:textId="77777777" w:rsidR="003745E6" w:rsidRPr="005069B9" w:rsidRDefault="003745E6" w:rsidP="007E3CDB">
            <w:pPr>
              <w:pStyle w:val="BodyText1"/>
              <w:ind w:firstLine="0"/>
              <w:jc w:val="center"/>
              <w:rPr>
                <w:rFonts w:ascii="Arial" w:hAnsi="Arial" w:cs="Arial"/>
                <w:noProof/>
                <w:sz w:val="20"/>
                <w:szCs w:val="16"/>
              </w:rPr>
            </w:pPr>
            <w:r w:rsidRPr="005069B9">
              <w:rPr>
                <w:rFonts w:ascii="Arial" w:hAnsi="Arial" w:cs="Arial"/>
                <w:noProof/>
                <w:sz w:val="20"/>
                <w:szCs w:val="16"/>
              </w:rPr>
              <w:t>36</w:t>
            </w:r>
          </w:p>
        </w:tc>
        <w:tc>
          <w:tcPr>
            <w:tcW w:w="1275" w:type="dxa"/>
            <w:tcBorders>
              <w:bottom w:val="single" w:sz="4" w:space="0" w:color="auto"/>
            </w:tcBorders>
          </w:tcPr>
          <w:p w14:paraId="30ABAC54" w14:textId="77777777" w:rsidR="003745E6" w:rsidRPr="005069B9" w:rsidRDefault="003745E6" w:rsidP="007E3CDB">
            <w:pPr>
              <w:pStyle w:val="BodyText1"/>
              <w:ind w:firstLine="0"/>
              <w:jc w:val="center"/>
              <w:rPr>
                <w:rFonts w:ascii="Arial" w:hAnsi="Arial" w:cs="Arial"/>
                <w:noProof/>
                <w:sz w:val="20"/>
                <w:szCs w:val="16"/>
              </w:rPr>
            </w:pPr>
            <w:r w:rsidRPr="005069B9">
              <w:rPr>
                <w:rFonts w:ascii="Arial" w:hAnsi="Arial" w:cs="Arial"/>
                <w:noProof/>
                <w:sz w:val="20"/>
                <w:szCs w:val="16"/>
              </w:rPr>
              <w:t>5</w:t>
            </w:r>
          </w:p>
        </w:tc>
      </w:tr>
      <w:tr w:rsidR="003745E6" w:rsidRPr="005069B9" w14:paraId="6E72B2E8" w14:textId="77777777" w:rsidTr="000C742A">
        <w:trPr>
          <w:jc w:val="center"/>
        </w:trPr>
        <w:tc>
          <w:tcPr>
            <w:tcW w:w="4913" w:type="dxa"/>
            <w:gridSpan w:val="3"/>
            <w:shd w:val="clear" w:color="auto" w:fill="auto"/>
          </w:tcPr>
          <w:p w14:paraId="7E65C2C7" w14:textId="77777777" w:rsidR="003745E6" w:rsidRPr="005069B9" w:rsidRDefault="003745E6" w:rsidP="007E3CDB">
            <w:pPr>
              <w:pStyle w:val="BodyText1"/>
              <w:ind w:firstLine="0"/>
              <w:rPr>
                <w:rFonts w:ascii="Arial" w:hAnsi="Arial" w:cs="Arial"/>
                <w:noProof/>
                <w:sz w:val="20"/>
                <w:szCs w:val="16"/>
              </w:rPr>
            </w:pPr>
            <w:r w:rsidRPr="005069B9">
              <w:rPr>
                <w:rFonts w:ascii="Arial" w:hAnsi="Arial" w:cs="Arial"/>
                <w:b/>
                <w:sz w:val="20"/>
                <w:szCs w:val="16"/>
              </w:rPr>
              <w:t>Chemistry</w:t>
            </w:r>
          </w:p>
        </w:tc>
        <w:tc>
          <w:tcPr>
            <w:tcW w:w="2551" w:type="dxa"/>
            <w:gridSpan w:val="2"/>
          </w:tcPr>
          <w:p w14:paraId="20EE3BA3" w14:textId="77777777" w:rsidR="003745E6" w:rsidRPr="005069B9" w:rsidRDefault="003745E6" w:rsidP="007E3CDB">
            <w:pPr>
              <w:pStyle w:val="BodyText1"/>
              <w:ind w:firstLine="0"/>
              <w:rPr>
                <w:rFonts w:ascii="Arial" w:hAnsi="Arial" w:cs="Arial"/>
                <w:b/>
                <w:sz w:val="20"/>
                <w:szCs w:val="16"/>
              </w:rPr>
            </w:pPr>
          </w:p>
        </w:tc>
      </w:tr>
      <w:tr w:rsidR="003745E6" w:rsidRPr="005069B9" w14:paraId="34D0A920" w14:textId="77777777" w:rsidTr="000C742A">
        <w:trPr>
          <w:jc w:val="center"/>
        </w:trPr>
        <w:tc>
          <w:tcPr>
            <w:tcW w:w="2361" w:type="dxa"/>
            <w:shd w:val="clear" w:color="auto" w:fill="auto"/>
          </w:tcPr>
          <w:p w14:paraId="41464E31" w14:textId="77777777" w:rsidR="003745E6" w:rsidRPr="005069B9" w:rsidRDefault="003745E6" w:rsidP="007E3CDB">
            <w:pPr>
              <w:pStyle w:val="BodyText1"/>
              <w:rPr>
                <w:rFonts w:ascii="Arial" w:hAnsi="Arial" w:cs="Arial"/>
                <w:noProof/>
                <w:sz w:val="20"/>
                <w:szCs w:val="16"/>
              </w:rPr>
            </w:pPr>
            <w:r w:rsidRPr="005069B9">
              <w:rPr>
                <w:rFonts w:ascii="Arial" w:hAnsi="Arial" w:cs="Arial"/>
                <w:noProof/>
                <w:sz w:val="20"/>
                <w:szCs w:val="16"/>
              </w:rPr>
              <w:t>Hypertriglyceridemia</w:t>
            </w:r>
          </w:p>
        </w:tc>
        <w:tc>
          <w:tcPr>
            <w:tcW w:w="1276" w:type="dxa"/>
            <w:shd w:val="clear" w:color="auto" w:fill="auto"/>
          </w:tcPr>
          <w:p w14:paraId="41327475" w14:textId="77777777" w:rsidR="003745E6" w:rsidRPr="005069B9" w:rsidRDefault="003745E6" w:rsidP="007E3CDB">
            <w:pPr>
              <w:pStyle w:val="BodyText1"/>
              <w:ind w:left="-3" w:firstLine="0"/>
              <w:jc w:val="center"/>
              <w:rPr>
                <w:rFonts w:ascii="Arial" w:hAnsi="Arial" w:cs="Arial"/>
                <w:noProof/>
                <w:sz w:val="20"/>
                <w:szCs w:val="16"/>
              </w:rPr>
            </w:pPr>
            <w:r w:rsidRPr="005069B9">
              <w:rPr>
                <w:rFonts w:ascii="Arial" w:hAnsi="Arial" w:cs="Arial"/>
                <w:noProof/>
                <w:sz w:val="20"/>
                <w:szCs w:val="16"/>
              </w:rPr>
              <w:t>40</w:t>
            </w:r>
          </w:p>
        </w:tc>
        <w:tc>
          <w:tcPr>
            <w:tcW w:w="1276" w:type="dxa"/>
            <w:shd w:val="clear" w:color="auto" w:fill="auto"/>
          </w:tcPr>
          <w:p w14:paraId="47AA915B" w14:textId="77777777" w:rsidR="003745E6" w:rsidRPr="005069B9" w:rsidRDefault="003745E6" w:rsidP="007E3CDB">
            <w:pPr>
              <w:pStyle w:val="BodyText1"/>
              <w:ind w:firstLine="0"/>
              <w:jc w:val="center"/>
              <w:rPr>
                <w:rFonts w:ascii="Arial" w:hAnsi="Arial" w:cs="Arial"/>
                <w:noProof/>
                <w:sz w:val="20"/>
                <w:szCs w:val="16"/>
              </w:rPr>
            </w:pPr>
            <w:r w:rsidRPr="005069B9">
              <w:rPr>
                <w:rFonts w:ascii="Arial" w:hAnsi="Arial" w:cs="Arial"/>
                <w:noProof/>
                <w:sz w:val="20"/>
                <w:szCs w:val="16"/>
              </w:rPr>
              <w:t>2</w:t>
            </w:r>
          </w:p>
        </w:tc>
        <w:tc>
          <w:tcPr>
            <w:tcW w:w="1276" w:type="dxa"/>
          </w:tcPr>
          <w:p w14:paraId="75973CA0" w14:textId="77777777" w:rsidR="003745E6" w:rsidRPr="005069B9" w:rsidRDefault="003745E6" w:rsidP="007E3CDB">
            <w:pPr>
              <w:pStyle w:val="BodyText1"/>
              <w:ind w:firstLine="0"/>
              <w:jc w:val="center"/>
              <w:rPr>
                <w:rFonts w:ascii="Arial" w:hAnsi="Arial" w:cs="Arial"/>
                <w:noProof/>
                <w:sz w:val="20"/>
                <w:szCs w:val="16"/>
              </w:rPr>
            </w:pPr>
            <w:r w:rsidRPr="005069B9">
              <w:rPr>
                <w:rFonts w:ascii="Arial" w:hAnsi="Arial" w:cs="Arial"/>
                <w:noProof/>
                <w:sz w:val="20"/>
                <w:szCs w:val="16"/>
              </w:rPr>
              <w:t>33</w:t>
            </w:r>
          </w:p>
        </w:tc>
        <w:tc>
          <w:tcPr>
            <w:tcW w:w="1275" w:type="dxa"/>
          </w:tcPr>
          <w:p w14:paraId="45FDCDE5" w14:textId="77777777" w:rsidR="003745E6" w:rsidRPr="005069B9" w:rsidRDefault="003745E6" w:rsidP="007E3CDB">
            <w:pPr>
              <w:pStyle w:val="BodyText1"/>
              <w:ind w:firstLine="0"/>
              <w:jc w:val="center"/>
              <w:rPr>
                <w:rFonts w:ascii="Arial" w:hAnsi="Arial" w:cs="Arial"/>
                <w:noProof/>
                <w:sz w:val="20"/>
                <w:szCs w:val="16"/>
              </w:rPr>
            </w:pPr>
            <w:r w:rsidRPr="005069B9">
              <w:rPr>
                <w:rFonts w:ascii="Arial" w:hAnsi="Arial" w:cs="Arial"/>
                <w:noProof/>
                <w:sz w:val="20"/>
                <w:szCs w:val="16"/>
              </w:rPr>
              <w:t>1</w:t>
            </w:r>
          </w:p>
        </w:tc>
      </w:tr>
    </w:tbl>
    <w:p w14:paraId="2B6B5FB9" w14:textId="0F706018" w:rsidR="002B18C2" w:rsidRPr="00343CB7" w:rsidRDefault="002B18C2" w:rsidP="00D7759F">
      <w:pPr>
        <w:rPr>
          <w:noProof/>
        </w:rPr>
      </w:pPr>
      <w:r w:rsidRPr="004172BA">
        <w:rPr>
          <w:noProof/>
        </w:rPr>
        <w:t xml:space="preserve">Table </w:t>
      </w:r>
      <w:r w:rsidR="006A428A">
        <w:rPr>
          <w:noProof/>
        </w:rPr>
        <w:t>11</w:t>
      </w:r>
      <w:r w:rsidR="006A428A" w:rsidRPr="004172BA">
        <w:rPr>
          <w:noProof/>
        </w:rPr>
        <w:t xml:space="preserve"> </w:t>
      </w:r>
      <w:r w:rsidRPr="004172BA">
        <w:rPr>
          <w:noProof/>
        </w:rPr>
        <w:t>summarises the adverse events that occurred in at least 10% of patients treated with KEYTRUDA at the recommended dose in KEYNOTE-002. The most common adverse event (reported in at leas</w:t>
      </w:r>
      <w:r w:rsidRPr="00343CB7">
        <w:rPr>
          <w:noProof/>
        </w:rPr>
        <w:t>t 20% of patients) was pruritus.</w:t>
      </w:r>
    </w:p>
    <w:p w14:paraId="3B93760D" w14:textId="583DAEBB" w:rsidR="002B18C2" w:rsidRPr="007E3CDB" w:rsidRDefault="002B18C2" w:rsidP="007E3CDB">
      <w:pPr>
        <w:pStyle w:val="Caption"/>
        <w:rPr>
          <w:rStyle w:val="Strong"/>
          <w:b/>
          <w:bCs/>
          <w:sz w:val="20"/>
        </w:rPr>
      </w:pPr>
      <w:r w:rsidRPr="007E3CDB">
        <w:rPr>
          <w:rStyle w:val="Strong"/>
          <w:b/>
          <w:bCs/>
          <w:sz w:val="20"/>
        </w:rPr>
        <w:t xml:space="preserve">Table </w:t>
      </w:r>
      <w:r w:rsidR="006A428A" w:rsidRPr="007E3CDB">
        <w:rPr>
          <w:rStyle w:val="Strong"/>
          <w:b/>
          <w:bCs/>
          <w:sz w:val="20"/>
        </w:rPr>
        <w:t>11</w:t>
      </w:r>
      <w:r w:rsidRPr="007E3CDB">
        <w:rPr>
          <w:rStyle w:val="Strong"/>
          <w:b/>
          <w:bCs/>
          <w:sz w:val="20"/>
        </w:rPr>
        <w:t>: Adverse Events Occurring in ≥10% of Patients Treated with KEYTRUDA and at a Higher Incidence than in the Chemotherapy Arm (Between Arm Difference of ≥5% [All Grades] or ≥2% [Grades 3-4]) (KEYNOTE-002)</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1: Adverse Events Occurring in ≥10% of Patients Treated with KEYTRUDA and at a Higher Incidence than in the Chemotherapy Arm (Between Arm Difference of ≥5% [All Grades] or ≥2% [Grades 3-4]) (KEYNOTE-002)"/>
      </w:tblPr>
      <w:tblGrid>
        <w:gridCol w:w="2315"/>
        <w:gridCol w:w="1220"/>
        <w:gridCol w:w="1220"/>
        <w:gridCol w:w="1220"/>
        <w:gridCol w:w="1221"/>
      </w:tblGrid>
      <w:tr w:rsidR="002B18C2" w:rsidRPr="00A97420" w14:paraId="07EA6836" w14:textId="77777777" w:rsidTr="007E3CDB">
        <w:trPr>
          <w:tblHeader/>
          <w:jc w:val="center"/>
        </w:trPr>
        <w:tc>
          <w:tcPr>
            <w:tcW w:w="2315" w:type="dxa"/>
            <w:shd w:val="clear" w:color="auto" w:fill="auto"/>
          </w:tcPr>
          <w:p w14:paraId="4DD608D5" w14:textId="77777777" w:rsidR="002B18C2" w:rsidRPr="004172BA" w:rsidRDefault="002B18C2" w:rsidP="007E3CDB">
            <w:pPr>
              <w:suppressAutoHyphens w:val="0"/>
              <w:spacing w:before="4"/>
              <w:rPr>
                <w:rFonts w:cs="Arial"/>
                <w:b/>
                <w:noProof/>
                <w:lang w:eastAsia="en-US"/>
              </w:rPr>
            </w:pPr>
          </w:p>
        </w:tc>
        <w:tc>
          <w:tcPr>
            <w:tcW w:w="2440" w:type="dxa"/>
            <w:gridSpan w:val="2"/>
            <w:shd w:val="clear" w:color="auto" w:fill="auto"/>
          </w:tcPr>
          <w:p w14:paraId="271DB7B6" w14:textId="77777777" w:rsidR="002B18C2" w:rsidRPr="004172BA" w:rsidRDefault="002B18C2" w:rsidP="007E3CDB">
            <w:pPr>
              <w:suppressAutoHyphens w:val="0"/>
              <w:spacing w:before="4"/>
              <w:jc w:val="center"/>
              <w:rPr>
                <w:rFonts w:cs="Arial"/>
                <w:b/>
                <w:noProof/>
                <w:lang w:eastAsia="en-US"/>
              </w:rPr>
            </w:pPr>
            <w:r w:rsidRPr="004172BA">
              <w:rPr>
                <w:rFonts w:cs="Arial"/>
                <w:b/>
                <w:noProof/>
                <w:lang w:eastAsia="en-US"/>
              </w:rPr>
              <w:t>KEYTRUDA</w:t>
            </w:r>
          </w:p>
          <w:p w14:paraId="3A1D7CE9" w14:textId="77777777" w:rsidR="002B18C2" w:rsidRPr="004172BA" w:rsidRDefault="002B18C2" w:rsidP="007E3CDB">
            <w:pPr>
              <w:suppressAutoHyphens w:val="0"/>
              <w:spacing w:before="4"/>
              <w:jc w:val="center"/>
              <w:rPr>
                <w:rFonts w:cs="Arial"/>
                <w:b/>
                <w:noProof/>
                <w:lang w:eastAsia="en-US"/>
              </w:rPr>
            </w:pPr>
            <w:r w:rsidRPr="004172BA">
              <w:rPr>
                <w:rFonts w:cs="Arial"/>
                <w:b/>
                <w:noProof/>
                <w:lang w:eastAsia="en-US"/>
              </w:rPr>
              <w:t>2 mg/kg every 3 weeks</w:t>
            </w:r>
          </w:p>
          <w:p w14:paraId="184DCE8A" w14:textId="77777777" w:rsidR="002B18C2" w:rsidRPr="00343CB7" w:rsidRDefault="002B18C2" w:rsidP="007E3CDB">
            <w:pPr>
              <w:suppressAutoHyphens w:val="0"/>
              <w:spacing w:before="4"/>
              <w:jc w:val="center"/>
              <w:rPr>
                <w:rFonts w:cs="Arial"/>
                <w:b/>
                <w:noProof/>
                <w:lang w:eastAsia="en-US"/>
              </w:rPr>
            </w:pPr>
            <w:r w:rsidRPr="00343CB7">
              <w:rPr>
                <w:rFonts w:cs="Arial"/>
                <w:b/>
                <w:noProof/>
                <w:lang w:eastAsia="en-US"/>
              </w:rPr>
              <w:t>n=178</w:t>
            </w:r>
          </w:p>
        </w:tc>
        <w:tc>
          <w:tcPr>
            <w:tcW w:w="2441" w:type="dxa"/>
            <w:gridSpan w:val="2"/>
          </w:tcPr>
          <w:p w14:paraId="7BF93A14" w14:textId="77777777" w:rsidR="002B18C2" w:rsidRPr="002164EC" w:rsidRDefault="002B18C2" w:rsidP="007E3CDB">
            <w:pPr>
              <w:suppressAutoHyphens w:val="0"/>
              <w:spacing w:before="4"/>
              <w:jc w:val="center"/>
              <w:rPr>
                <w:rFonts w:cs="Arial"/>
                <w:b/>
                <w:noProof/>
                <w:lang w:eastAsia="en-US"/>
              </w:rPr>
            </w:pPr>
            <w:r w:rsidRPr="002164EC">
              <w:rPr>
                <w:rFonts w:cs="Arial"/>
                <w:b/>
                <w:noProof/>
                <w:lang w:eastAsia="en-US"/>
              </w:rPr>
              <w:t>Chemotherapy</w:t>
            </w:r>
          </w:p>
          <w:p w14:paraId="6B0708D3" w14:textId="77777777" w:rsidR="002B18C2" w:rsidRPr="00A04553" w:rsidRDefault="002B18C2" w:rsidP="007E3CDB">
            <w:pPr>
              <w:suppressAutoHyphens w:val="0"/>
              <w:spacing w:before="4"/>
              <w:jc w:val="center"/>
              <w:rPr>
                <w:rFonts w:cs="Arial"/>
                <w:b/>
                <w:noProof/>
                <w:lang w:eastAsia="en-US"/>
              </w:rPr>
            </w:pPr>
            <w:r w:rsidRPr="00A04553">
              <w:rPr>
                <w:rFonts w:cs="Arial"/>
                <w:b/>
                <w:noProof/>
                <w:lang w:eastAsia="en-US"/>
              </w:rPr>
              <w:t>n=171</w:t>
            </w:r>
          </w:p>
        </w:tc>
      </w:tr>
      <w:tr w:rsidR="002B18C2" w:rsidRPr="00A97420" w14:paraId="261E91E9" w14:textId="77777777" w:rsidTr="000D0097">
        <w:trPr>
          <w:jc w:val="center"/>
        </w:trPr>
        <w:tc>
          <w:tcPr>
            <w:tcW w:w="2315" w:type="dxa"/>
            <w:shd w:val="clear" w:color="auto" w:fill="auto"/>
          </w:tcPr>
          <w:p w14:paraId="46ACA620" w14:textId="77777777" w:rsidR="002B18C2" w:rsidRPr="00431AB6" w:rsidRDefault="002B18C2" w:rsidP="007E3CDB">
            <w:pPr>
              <w:suppressAutoHyphens w:val="0"/>
              <w:spacing w:before="4"/>
              <w:rPr>
                <w:rFonts w:cs="Arial"/>
                <w:b/>
                <w:bCs/>
                <w:lang w:eastAsia="en-US"/>
              </w:rPr>
            </w:pPr>
            <w:r w:rsidRPr="00A04553">
              <w:rPr>
                <w:rFonts w:cs="Arial"/>
                <w:b/>
                <w:noProof/>
                <w:lang w:eastAsia="en-US"/>
              </w:rPr>
              <w:t>Adverse Event</w:t>
            </w:r>
          </w:p>
        </w:tc>
        <w:tc>
          <w:tcPr>
            <w:tcW w:w="1220" w:type="dxa"/>
            <w:shd w:val="clear" w:color="auto" w:fill="auto"/>
          </w:tcPr>
          <w:p w14:paraId="686DF08A" w14:textId="77777777" w:rsidR="002B18C2" w:rsidRPr="00431AB6" w:rsidRDefault="002B18C2" w:rsidP="007E3CDB">
            <w:pPr>
              <w:suppressAutoHyphens w:val="0"/>
              <w:spacing w:before="4"/>
              <w:jc w:val="center"/>
              <w:rPr>
                <w:rFonts w:cs="Arial"/>
                <w:noProof/>
                <w:lang w:eastAsia="en-US"/>
              </w:rPr>
            </w:pPr>
            <w:r w:rsidRPr="00431AB6">
              <w:rPr>
                <w:rFonts w:cs="Arial"/>
                <w:noProof/>
                <w:lang w:eastAsia="en-US"/>
              </w:rPr>
              <w:t>All Grades</w:t>
            </w:r>
          </w:p>
          <w:p w14:paraId="5CB1D2F2" w14:textId="77777777" w:rsidR="002B18C2" w:rsidRPr="00431AB6" w:rsidRDefault="002B18C2" w:rsidP="007E3CDB">
            <w:pPr>
              <w:suppressAutoHyphens w:val="0"/>
              <w:spacing w:before="4"/>
              <w:jc w:val="center"/>
              <w:rPr>
                <w:rFonts w:cs="Arial"/>
                <w:noProof/>
                <w:lang w:eastAsia="en-US"/>
              </w:rPr>
            </w:pPr>
            <w:r w:rsidRPr="00431AB6">
              <w:rPr>
                <w:rFonts w:cs="Arial"/>
                <w:noProof/>
                <w:lang w:eastAsia="en-US"/>
              </w:rPr>
              <w:t>(%)</w:t>
            </w:r>
          </w:p>
        </w:tc>
        <w:tc>
          <w:tcPr>
            <w:tcW w:w="1220" w:type="dxa"/>
            <w:shd w:val="clear" w:color="auto" w:fill="auto"/>
          </w:tcPr>
          <w:p w14:paraId="2CF66E93" w14:textId="77777777" w:rsidR="002B18C2" w:rsidRPr="00431AB6" w:rsidRDefault="002B18C2" w:rsidP="007E3CDB">
            <w:pPr>
              <w:suppressAutoHyphens w:val="0"/>
              <w:spacing w:before="4"/>
              <w:jc w:val="center"/>
              <w:rPr>
                <w:rFonts w:cs="Arial"/>
                <w:noProof/>
                <w:lang w:eastAsia="en-US"/>
              </w:rPr>
            </w:pPr>
            <w:r w:rsidRPr="00431AB6">
              <w:rPr>
                <w:rFonts w:cs="Arial"/>
                <w:noProof/>
                <w:lang w:eastAsia="en-US"/>
              </w:rPr>
              <w:t>Grade 3-4*</w:t>
            </w:r>
          </w:p>
          <w:p w14:paraId="04FCBD05" w14:textId="77777777" w:rsidR="002B18C2" w:rsidRPr="00431AB6" w:rsidRDefault="002B18C2" w:rsidP="007E3CDB">
            <w:pPr>
              <w:suppressAutoHyphens w:val="0"/>
              <w:spacing w:before="4"/>
              <w:jc w:val="center"/>
              <w:rPr>
                <w:rFonts w:cs="Arial"/>
                <w:noProof/>
                <w:lang w:eastAsia="en-US"/>
              </w:rPr>
            </w:pPr>
            <w:r w:rsidRPr="00431AB6">
              <w:rPr>
                <w:rFonts w:cs="Arial"/>
                <w:noProof/>
                <w:lang w:eastAsia="en-US"/>
              </w:rPr>
              <w:t>(%)</w:t>
            </w:r>
          </w:p>
        </w:tc>
        <w:tc>
          <w:tcPr>
            <w:tcW w:w="1220" w:type="dxa"/>
          </w:tcPr>
          <w:p w14:paraId="6EEC2475" w14:textId="77777777" w:rsidR="002B18C2" w:rsidRPr="00431AB6" w:rsidRDefault="002B18C2" w:rsidP="007E3CDB">
            <w:pPr>
              <w:suppressAutoHyphens w:val="0"/>
              <w:spacing w:before="4"/>
              <w:jc w:val="center"/>
              <w:rPr>
                <w:rFonts w:cs="Arial"/>
                <w:noProof/>
                <w:lang w:eastAsia="en-US"/>
              </w:rPr>
            </w:pPr>
            <w:r w:rsidRPr="00431AB6">
              <w:rPr>
                <w:rFonts w:cs="Arial"/>
                <w:noProof/>
                <w:lang w:eastAsia="en-US"/>
              </w:rPr>
              <w:t>All Grades</w:t>
            </w:r>
          </w:p>
          <w:p w14:paraId="743F8CD2" w14:textId="77777777" w:rsidR="002B18C2" w:rsidRPr="0019477B" w:rsidRDefault="002B18C2" w:rsidP="007E3CDB">
            <w:pPr>
              <w:suppressAutoHyphens w:val="0"/>
              <w:spacing w:before="4"/>
              <w:jc w:val="center"/>
              <w:rPr>
                <w:rFonts w:cs="Arial"/>
                <w:noProof/>
                <w:lang w:eastAsia="en-US"/>
              </w:rPr>
            </w:pPr>
            <w:r w:rsidRPr="0019477B">
              <w:rPr>
                <w:rFonts w:cs="Arial"/>
                <w:noProof/>
                <w:lang w:eastAsia="en-US"/>
              </w:rPr>
              <w:t>(%)</w:t>
            </w:r>
          </w:p>
        </w:tc>
        <w:tc>
          <w:tcPr>
            <w:tcW w:w="1221" w:type="dxa"/>
          </w:tcPr>
          <w:p w14:paraId="450A38EB" w14:textId="77777777" w:rsidR="002B18C2" w:rsidRPr="0019477B" w:rsidRDefault="002B18C2" w:rsidP="007E3CDB">
            <w:pPr>
              <w:suppressAutoHyphens w:val="0"/>
              <w:spacing w:before="4"/>
              <w:jc w:val="center"/>
              <w:rPr>
                <w:rFonts w:cs="Arial"/>
                <w:noProof/>
                <w:lang w:eastAsia="en-US"/>
              </w:rPr>
            </w:pPr>
            <w:r w:rsidRPr="0019477B">
              <w:rPr>
                <w:rFonts w:cs="Arial"/>
                <w:noProof/>
                <w:lang w:eastAsia="en-US"/>
              </w:rPr>
              <w:t>Grade 3-4*</w:t>
            </w:r>
          </w:p>
          <w:p w14:paraId="3436671D" w14:textId="77777777" w:rsidR="002B18C2" w:rsidRPr="0019477B" w:rsidRDefault="002B18C2" w:rsidP="007E3CDB">
            <w:pPr>
              <w:suppressAutoHyphens w:val="0"/>
              <w:spacing w:before="4"/>
              <w:jc w:val="center"/>
              <w:rPr>
                <w:rFonts w:cs="Arial"/>
                <w:noProof/>
                <w:lang w:eastAsia="en-US"/>
              </w:rPr>
            </w:pPr>
            <w:r w:rsidRPr="0019477B">
              <w:rPr>
                <w:rFonts w:cs="Arial"/>
                <w:noProof/>
                <w:lang w:eastAsia="en-US"/>
              </w:rPr>
              <w:t>(%)</w:t>
            </w:r>
          </w:p>
        </w:tc>
      </w:tr>
      <w:tr w:rsidR="002B18C2" w:rsidRPr="00A97420" w14:paraId="4098B3FA" w14:textId="77777777" w:rsidTr="000D0097">
        <w:trPr>
          <w:jc w:val="center"/>
        </w:trPr>
        <w:tc>
          <w:tcPr>
            <w:tcW w:w="7196" w:type="dxa"/>
            <w:gridSpan w:val="5"/>
            <w:shd w:val="clear" w:color="auto" w:fill="auto"/>
          </w:tcPr>
          <w:p w14:paraId="7DD07155" w14:textId="77777777" w:rsidR="002B18C2" w:rsidRPr="00431AB6" w:rsidRDefault="002B18C2" w:rsidP="007E3CDB">
            <w:pPr>
              <w:suppressAutoHyphens w:val="0"/>
              <w:spacing w:before="4"/>
              <w:rPr>
                <w:rFonts w:cs="Arial"/>
                <w:b/>
                <w:noProof/>
                <w:lang w:eastAsia="en-US"/>
              </w:rPr>
            </w:pPr>
            <w:r w:rsidRPr="00431AB6">
              <w:rPr>
                <w:rFonts w:cs="Arial"/>
                <w:b/>
                <w:noProof/>
                <w:lang w:eastAsia="en-US"/>
              </w:rPr>
              <w:t>Gastrointestinal Disorders</w:t>
            </w:r>
          </w:p>
        </w:tc>
      </w:tr>
      <w:tr w:rsidR="002B18C2" w:rsidRPr="00A97420" w14:paraId="7135D09F" w14:textId="77777777" w:rsidTr="000D0097">
        <w:trPr>
          <w:jc w:val="center"/>
        </w:trPr>
        <w:tc>
          <w:tcPr>
            <w:tcW w:w="2315" w:type="dxa"/>
            <w:shd w:val="clear" w:color="auto" w:fill="auto"/>
          </w:tcPr>
          <w:p w14:paraId="3D3D5F74" w14:textId="77777777" w:rsidR="002B18C2" w:rsidRPr="00431AB6" w:rsidRDefault="002B18C2" w:rsidP="007E3CDB">
            <w:pPr>
              <w:tabs>
                <w:tab w:val="left" w:pos="390"/>
              </w:tabs>
              <w:suppressAutoHyphens w:val="0"/>
              <w:spacing w:before="4"/>
              <w:ind w:left="270"/>
              <w:rPr>
                <w:rFonts w:cs="Arial"/>
                <w:noProof/>
                <w:lang w:eastAsia="en-US"/>
              </w:rPr>
            </w:pPr>
            <w:r w:rsidRPr="00431AB6">
              <w:rPr>
                <w:rFonts w:cs="Arial"/>
                <w:noProof/>
                <w:lang w:eastAsia="en-US"/>
              </w:rPr>
              <w:t>Abdominal pain</w:t>
            </w:r>
          </w:p>
        </w:tc>
        <w:tc>
          <w:tcPr>
            <w:tcW w:w="1220" w:type="dxa"/>
            <w:shd w:val="clear" w:color="auto" w:fill="auto"/>
          </w:tcPr>
          <w:p w14:paraId="7683B29D" w14:textId="77777777" w:rsidR="002B18C2" w:rsidRPr="00431AB6" w:rsidRDefault="002B18C2" w:rsidP="007E3CDB">
            <w:pPr>
              <w:suppressAutoHyphens w:val="0"/>
              <w:spacing w:before="4"/>
              <w:jc w:val="center"/>
              <w:rPr>
                <w:rFonts w:cs="Arial"/>
                <w:noProof/>
                <w:lang w:eastAsia="en-US"/>
              </w:rPr>
            </w:pPr>
            <w:r w:rsidRPr="00431AB6">
              <w:rPr>
                <w:rFonts w:cs="Arial"/>
                <w:noProof/>
                <w:lang w:eastAsia="en-US"/>
              </w:rPr>
              <w:t>13</w:t>
            </w:r>
          </w:p>
        </w:tc>
        <w:tc>
          <w:tcPr>
            <w:tcW w:w="1220" w:type="dxa"/>
            <w:shd w:val="clear" w:color="auto" w:fill="auto"/>
          </w:tcPr>
          <w:p w14:paraId="35682A32" w14:textId="77777777" w:rsidR="002B18C2" w:rsidRPr="00431AB6" w:rsidRDefault="002B18C2" w:rsidP="007E3CDB">
            <w:pPr>
              <w:suppressAutoHyphens w:val="0"/>
              <w:spacing w:before="4"/>
              <w:jc w:val="center"/>
              <w:rPr>
                <w:rFonts w:cs="Arial"/>
                <w:noProof/>
                <w:lang w:eastAsia="en-US"/>
              </w:rPr>
            </w:pPr>
            <w:r w:rsidRPr="00431AB6">
              <w:rPr>
                <w:rFonts w:cs="Arial"/>
                <w:noProof/>
                <w:lang w:eastAsia="en-US"/>
              </w:rPr>
              <w:t>2</w:t>
            </w:r>
          </w:p>
        </w:tc>
        <w:tc>
          <w:tcPr>
            <w:tcW w:w="1220" w:type="dxa"/>
          </w:tcPr>
          <w:p w14:paraId="78278F0F" w14:textId="77777777" w:rsidR="002B18C2" w:rsidRPr="00431AB6" w:rsidRDefault="002B18C2" w:rsidP="007E3CDB">
            <w:pPr>
              <w:suppressAutoHyphens w:val="0"/>
              <w:spacing w:before="4"/>
              <w:jc w:val="center"/>
              <w:rPr>
                <w:rFonts w:cs="Arial"/>
                <w:noProof/>
                <w:lang w:eastAsia="en-US"/>
              </w:rPr>
            </w:pPr>
            <w:r w:rsidRPr="00431AB6">
              <w:rPr>
                <w:rFonts w:cs="Arial"/>
                <w:noProof/>
                <w:lang w:eastAsia="en-US"/>
              </w:rPr>
              <w:t>8</w:t>
            </w:r>
          </w:p>
        </w:tc>
        <w:tc>
          <w:tcPr>
            <w:tcW w:w="1221" w:type="dxa"/>
          </w:tcPr>
          <w:p w14:paraId="20A83CEB" w14:textId="77777777" w:rsidR="002B18C2" w:rsidRPr="00431AB6" w:rsidRDefault="002B18C2" w:rsidP="007E3CDB">
            <w:pPr>
              <w:suppressAutoHyphens w:val="0"/>
              <w:spacing w:before="4"/>
              <w:jc w:val="center"/>
              <w:rPr>
                <w:rFonts w:cs="Arial"/>
                <w:noProof/>
                <w:lang w:eastAsia="en-US"/>
              </w:rPr>
            </w:pPr>
            <w:r w:rsidRPr="00431AB6">
              <w:rPr>
                <w:rFonts w:cs="Arial"/>
                <w:noProof/>
                <w:lang w:eastAsia="en-US"/>
              </w:rPr>
              <w:t>1</w:t>
            </w:r>
          </w:p>
        </w:tc>
      </w:tr>
      <w:tr w:rsidR="002B18C2" w:rsidRPr="00A97420" w14:paraId="38849CA4" w14:textId="77777777" w:rsidTr="000D0097">
        <w:trPr>
          <w:jc w:val="center"/>
        </w:trPr>
        <w:tc>
          <w:tcPr>
            <w:tcW w:w="7196" w:type="dxa"/>
            <w:gridSpan w:val="5"/>
            <w:shd w:val="clear" w:color="auto" w:fill="auto"/>
          </w:tcPr>
          <w:p w14:paraId="38914804" w14:textId="77777777" w:rsidR="002B18C2" w:rsidRPr="006C3F19" w:rsidRDefault="002B18C2" w:rsidP="007E3CDB">
            <w:pPr>
              <w:suppressAutoHyphens w:val="0"/>
              <w:spacing w:before="4"/>
              <w:rPr>
                <w:rFonts w:cs="Arial"/>
                <w:noProof/>
                <w:lang w:eastAsia="en-US"/>
              </w:rPr>
            </w:pPr>
            <w:r w:rsidRPr="006C3F19">
              <w:rPr>
                <w:rFonts w:cs="Arial"/>
                <w:b/>
                <w:bCs/>
                <w:noProof/>
                <w:lang w:eastAsia="en-US"/>
              </w:rPr>
              <w:t xml:space="preserve">Skin </w:t>
            </w:r>
            <w:r w:rsidR="005B4666">
              <w:rPr>
                <w:rFonts w:cs="Arial"/>
                <w:b/>
                <w:bCs/>
                <w:noProof/>
                <w:lang w:eastAsia="en-US"/>
              </w:rPr>
              <w:t>a</w:t>
            </w:r>
            <w:r w:rsidRPr="006C3F19">
              <w:rPr>
                <w:rFonts w:cs="Arial"/>
                <w:b/>
                <w:bCs/>
                <w:noProof/>
                <w:lang w:eastAsia="en-US"/>
              </w:rPr>
              <w:t>nd Subcutaneous Tissue Disorders</w:t>
            </w:r>
          </w:p>
        </w:tc>
      </w:tr>
      <w:tr w:rsidR="002B18C2" w:rsidRPr="00A97420" w14:paraId="085FA55B" w14:textId="77777777" w:rsidTr="000D0097">
        <w:trPr>
          <w:jc w:val="center"/>
        </w:trPr>
        <w:tc>
          <w:tcPr>
            <w:tcW w:w="2315" w:type="dxa"/>
            <w:shd w:val="clear" w:color="auto" w:fill="auto"/>
          </w:tcPr>
          <w:p w14:paraId="527A1B97" w14:textId="77777777" w:rsidR="002B18C2" w:rsidRPr="00A97420" w:rsidRDefault="002B18C2" w:rsidP="007E3CDB">
            <w:pPr>
              <w:suppressAutoHyphens w:val="0"/>
              <w:spacing w:before="4"/>
              <w:ind w:left="270"/>
              <w:rPr>
                <w:rFonts w:cs="Arial"/>
                <w:noProof/>
                <w:lang w:eastAsia="en-US"/>
              </w:rPr>
            </w:pPr>
            <w:r w:rsidRPr="00A97420">
              <w:rPr>
                <w:rFonts w:cs="Arial"/>
                <w:noProof/>
                <w:lang w:eastAsia="en-US"/>
              </w:rPr>
              <w:lastRenderedPageBreak/>
              <w:t>Pruritus</w:t>
            </w:r>
          </w:p>
        </w:tc>
        <w:tc>
          <w:tcPr>
            <w:tcW w:w="1220" w:type="dxa"/>
            <w:shd w:val="clear" w:color="auto" w:fill="auto"/>
          </w:tcPr>
          <w:p w14:paraId="31814BCB"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25</w:t>
            </w:r>
          </w:p>
        </w:tc>
        <w:tc>
          <w:tcPr>
            <w:tcW w:w="1220" w:type="dxa"/>
            <w:shd w:val="clear" w:color="auto" w:fill="auto"/>
          </w:tcPr>
          <w:p w14:paraId="48457FB7"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0</w:t>
            </w:r>
          </w:p>
        </w:tc>
        <w:tc>
          <w:tcPr>
            <w:tcW w:w="1220" w:type="dxa"/>
          </w:tcPr>
          <w:p w14:paraId="2D416892"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8</w:t>
            </w:r>
          </w:p>
        </w:tc>
        <w:tc>
          <w:tcPr>
            <w:tcW w:w="1221" w:type="dxa"/>
          </w:tcPr>
          <w:p w14:paraId="415581C1"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0</w:t>
            </w:r>
          </w:p>
        </w:tc>
      </w:tr>
      <w:tr w:rsidR="002B18C2" w:rsidRPr="00A97420" w14:paraId="2CEC3705" w14:textId="77777777" w:rsidTr="000D0097">
        <w:trPr>
          <w:jc w:val="center"/>
        </w:trPr>
        <w:tc>
          <w:tcPr>
            <w:tcW w:w="2315" w:type="dxa"/>
            <w:shd w:val="clear" w:color="auto" w:fill="auto"/>
          </w:tcPr>
          <w:p w14:paraId="5857382C" w14:textId="77777777" w:rsidR="002B18C2" w:rsidRPr="00A97420" w:rsidRDefault="002B18C2" w:rsidP="007E3CDB">
            <w:pPr>
              <w:suppressAutoHyphens w:val="0"/>
              <w:spacing w:before="4"/>
              <w:ind w:left="270"/>
              <w:rPr>
                <w:rFonts w:cs="Arial"/>
                <w:noProof/>
                <w:lang w:eastAsia="en-US"/>
              </w:rPr>
            </w:pPr>
            <w:r w:rsidRPr="00A97420">
              <w:rPr>
                <w:rFonts w:cs="Arial"/>
                <w:noProof/>
                <w:lang w:eastAsia="en-US"/>
              </w:rPr>
              <w:t>Rash</w:t>
            </w:r>
          </w:p>
        </w:tc>
        <w:tc>
          <w:tcPr>
            <w:tcW w:w="1220" w:type="dxa"/>
            <w:shd w:val="clear" w:color="auto" w:fill="auto"/>
          </w:tcPr>
          <w:p w14:paraId="2512DEF5"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13</w:t>
            </w:r>
          </w:p>
        </w:tc>
        <w:tc>
          <w:tcPr>
            <w:tcW w:w="1220" w:type="dxa"/>
            <w:shd w:val="clear" w:color="auto" w:fill="auto"/>
          </w:tcPr>
          <w:p w14:paraId="600010DA"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0</w:t>
            </w:r>
          </w:p>
        </w:tc>
        <w:tc>
          <w:tcPr>
            <w:tcW w:w="1220" w:type="dxa"/>
          </w:tcPr>
          <w:p w14:paraId="7D936FB5"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8</w:t>
            </w:r>
          </w:p>
        </w:tc>
        <w:tc>
          <w:tcPr>
            <w:tcW w:w="1221" w:type="dxa"/>
          </w:tcPr>
          <w:p w14:paraId="1C315DE7"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0</w:t>
            </w:r>
          </w:p>
        </w:tc>
      </w:tr>
      <w:tr w:rsidR="002B18C2" w:rsidRPr="00A97420" w14:paraId="221ED969" w14:textId="77777777" w:rsidTr="000D0097">
        <w:trPr>
          <w:jc w:val="center"/>
        </w:trPr>
        <w:tc>
          <w:tcPr>
            <w:tcW w:w="7196" w:type="dxa"/>
            <w:gridSpan w:val="5"/>
            <w:shd w:val="clear" w:color="auto" w:fill="auto"/>
          </w:tcPr>
          <w:p w14:paraId="7D0774F5" w14:textId="77777777" w:rsidR="002B18C2" w:rsidRPr="00A97420" w:rsidRDefault="002B18C2" w:rsidP="007E3CDB">
            <w:pPr>
              <w:suppressAutoHyphens w:val="0"/>
              <w:spacing w:before="4"/>
              <w:rPr>
                <w:rFonts w:cs="Arial"/>
                <w:noProof/>
                <w:lang w:eastAsia="en-US"/>
              </w:rPr>
            </w:pPr>
            <w:r w:rsidRPr="00A97420">
              <w:rPr>
                <w:rFonts w:cs="Arial"/>
                <w:b/>
                <w:bCs/>
                <w:noProof/>
                <w:lang w:eastAsia="en-US"/>
              </w:rPr>
              <w:t>Metabolism and Nutrition Disorders</w:t>
            </w:r>
            <w:r w:rsidRPr="00A97420">
              <w:rPr>
                <w:rFonts w:cs="Arial"/>
                <w:b/>
                <w:noProof/>
                <w:lang w:eastAsia="en-US"/>
              </w:rPr>
              <w:t xml:space="preserve"> </w:t>
            </w:r>
          </w:p>
        </w:tc>
      </w:tr>
      <w:tr w:rsidR="002B18C2" w:rsidRPr="00A97420" w14:paraId="6FEEBF9E" w14:textId="77777777" w:rsidTr="000D0097">
        <w:trPr>
          <w:jc w:val="center"/>
        </w:trPr>
        <w:tc>
          <w:tcPr>
            <w:tcW w:w="2315" w:type="dxa"/>
            <w:shd w:val="clear" w:color="auto" w:fill="auto"/>
          </w:tcPr>
          <w:p w14:paraId="1487551C" w14:textId="77777777" w:rsidR="002B18C2" w:rsidRPr="00A97420" w:rsidRDefault="002B18C2" w:rsidP="007E3CDB">
            <w:pPr>
              <w:suppressAutoHyphens w:val="0"/>
              <w:spacing w:before="4"/>
              <w:ind w:left="270"/>
              <w:rPr>
                <w:rFonts w:cs="Arial"/>
                <w:noProof/>
                <w:lang w:eastAsia="en-US"/>
              </w:rPr>
            </w:pPr>
            <w:r w:rsidRPr="00A97420">
              <w:rPr>
                <w:rFonts w:cs="Arial"/>
                <w:noProof/>
                <w:lang w:eastAsia="en-US"/>
              </w:rPr>
              <w:t>Hyponatremia</w:t>
            </w:r>
          </w:p>
        </w:tc>
        <w:tc>
          <w:tcPr>
            <w:tcW w:w="1220" w:type="dxa"/>
            <w:shd w:val="clear" w:color="auto" w:fill="auto"/>
          </w:tcPr>
          <w:p w14:paraId="26D8BCFC"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11</w:t>
            </w:r>
          </w:p>
        </w:tc>
        <w:tc>
          <w:tcPr>
            <w:tcW w:w="1220" w:type="dxa"/>
            <w:shd w:val="clear" w:color="auto" w:fill="auto"/>
          </w:tcPr>
          <w:p w14:paraId="63D6D0A8"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3</w:t>
            </w:r>
          </w:p>
        </w:tc>
        <w:tc>
          <w:tcPr>
            <w:tcW w:w="1220" w:type="dxa"/>
          </w:tcPr>
          <w:p w14:paraId="430FB750"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5</w:t>
            </w:r>
          </w:p>
        </w:tc>
        <w:tc>
          <w:tcPr>
            <w:tcW w:w="1221" w:type="dxa"/>
          </w:tcPr>
          <w:p w14:paraId="4CF862AF"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1</w:t>
            </w:r>
          </w:p>
        </w:tc>
      </w:tr>
      <w:tr w:rsidR="002B18C2" w:rsidRPr="00A97420" w14:paraId="0F2E7A9C" w14:textId="77777777" w:rsidTr="000D0097">
        <w:trPr>
          <w:jc w:val="center"/>
        </w:trPr>
        <w:tc>
          <w:tcPr>
            <w:tcW w:w="7196" w:type="dxa"/>
            <w:gridSpan w:val="5"/>
            <w:shd w:val="clear" w:color="auto" w:fill="auto"/>
          </w:tcPr>
          <w:p w14:paraId="353A0DC1" w14:textId="77777777" w:rsidR="002B18C2" w:rsidRPr="00A97420" w:rsidRDefault="002B18C2" w:rsidP="007E3CDB">
            <w:pPr>
              <w:suppressAutoHyphens w:val="0"/>
              <w:spacing w:before="4"/>
              <w:rPr>
                <w:rFonts w:cs="Arial"/>
                <w:noProof/>
                <w:lang w:eastAsia="en-US"/>
              </w:rPr>
            </w:pPr>
            <w:r w:rsidRPr="00A97420">
              <w:rPr>
                <w:rFonts w:cs="Arial"/>
                <w:b/>
                <w:bCs/>
                <w:noProof/>
                <w:lang w:eastAsia="en-US"/>
              </w:rPr>
              <w:t>Musculoskeletal and Connective Tissue Disorders</w:t>
            </w:r>
          </w:p>
        </w:tc>
      </w:tr>
      <w:tr w:rsidR="002B18C2" w:rsidRPr="00A97420" w14:paraId="7094251D" w14:textId="77777777" w:rsidTr="000D0097">
        <w:trPr>
          <w:jc w:val="center"/>
        </w:trPr>
        <w:tc>
          <w:tcPr>
            <w:tcW w:w="2315" w:type="dxa"/>
            <w:shd w:val="clear" w:color="auto" w:fill="auto"/>
          </w:tcPr>
          <w:p w14:paraId="05226FD1" w14:textId="77777777" w:rsidR="002B18C2" w:rsidRPr="00A97420" w:rsidRDefault="002B18C2" w:rsidP="007E3CDB">
            <w:pPr>
              <w:suppressAutoHyphens w:val="0"/>
              <w:spacing w:before="4"/>
              <w:ind w:left="270"/>
              <w:rPr>
                <w:rFonts w:cs="Arial"/>
                <w:noProof/>
                <w:lang w:eastAsia="en-US"/>
              </w:rPr>
            </w:pPr>
            <w:r w:rsidRPr="00A97420">
              <w:rPr>
                <w:rFonts w:cs="Arial"/>
                <w:noProof/>
                <w:lang w:eastAsia="en-US"/>
              </w:rPr>
              <w:t>Arthralgia</w:t>
            </w:r>
          </w:p>
        </w:tc>
        <w:tc>
          <w:tcPr>
            <w:tcW w:w="1220" w:type="dxa"/>
            <w:shd w:val="clear" w:color="auto" w:fill="auto"/>
          </w:tcPr>
          <w:p w14:paraId="152860CC"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15</w:t>
            </w:r>
          </w:p>
        </w:tc>
        <w:tc>
          <w:tcPr>
            <w:tcW w:w="1220" w:type="dxa"/>
            <w:shd w:val="clear" w:color="auto" w:fill="auto"/>
          </w:tcPr>
          <w:p w14:paraId="49162A9B"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1</w:t>
            </w:r>
          </w:p>
        </w:tc>
        <w:tc>
          <w:tcPr>
            <w:tcW w:w="1220" w:type="dxa"/>
          </w:tcPr>
          <w:p w14:paraId="726D547F"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10</w:t>
            </w:r>
          </w:p>
        </w:tc>
        <w:tc>
          <w:tcPr>
            <w:tcW w:w="1221" w:type="dxa"/>
          </w:tcPr>
          <w:p w14:paraId="674F8452" w14:textId="77777777" w:rsidR="002B18C2" w:rsidRPr="00A97420" w:rsidRDefault="002B18C2" w:rsidP="007E3CDB">
            <w:pPr>
              <w:suppressAutoHyphens w:val="0"/>
              <w:spacing w:before="4"/>
              <w:jc w:val="center"/>
              <w:rPr>
                <w:rFonts w:cs="Arial"/>
                <w:noProof/>
                <w:lang w:eastAsia="en-US"/>
              </w:rPr>
            </w:pPr>
            <w:r w:rsidRPr="00A97420">
              <w:rPr>
                <w:rFonts w:cs="Arial"/>
                <w:noProof/>
                <w:lang w:eastAsia="en-US"/>
              </w:rPr>
              <w:t>1</w:t>
            </w:r>
          </w:p>
        </w:tc>
      </w:tr>
      <w:tr w:rsidR="002B18C2" w:rsidRPr="00EE12B4" w14:paraId="5F2E6B9A" w14:textId="77777777" w:rsidTr="000D0097">
        <w:trPr>
          <w:jc w:val="center"/>
        </w:trPr>
        <w:tc>
          <w:tcPr>
            <w:tcW w:w="7196" w:type="dxa"/>
            <w:gridSpan w:val="5"/>
            <w:tcBorders>
              <w:left w:val="nil"/>
              <w:bottom w:val="nil"/>
              <w:right w:val="nil"/>
            </w:tcBorders>
            <w:shd w:val="clear" w:color="auto" w:fill="auto"/>
          </w:tcPr>
          <w:p w14:paraId="7E60B5E1" w14:textId="77777777" w:rsidR="002B18C2" w:rsidRPr="004172BA" w:rsidRDefault="002B18C2" w:rsidP="000D0097">
            <w:pPr>
              <w:keepNext/>
              <w:tabs>
                <w:tab w:val="left" w:pos="325"/>
              </w:tabs>
              <w:spacing w:before="4"/>
              <w:ind w:left="325" w:hanging="325"/>
              <w:rPr>
                <w:rFonts w:cs="Arial"/>
                <w:b/>
                <w:noProof/>
                <w:lang w:eastAsia="en-US"/>
              </w:rPr>
            </w:pPr>
            <w:r w:rsidRPr="00EE12B4">
              <w:rPr>
                <w:rFonts w:cs="Arial"/>
                <w:noProof/>
                <w:sz w:val="20"/>
                <w:lang w:eastAsia="en-US"/>
              </w:rPr>
              <w:t>*</w:t>
            </w:r>
            <w:r w:rsidRPr="00EE12B4">
              <w:rPr>
                <w:rFonts w:cs="Arial"/>
                <w:noProof/>
                <w:sz w:val="20"/>
                <w:lang w:eastAsia="en-US"/>
              </w:rPr>
              <w:tab/>
              <w:t>Of these ≥10% adverse events, none was reported as Grade 4 in patients receiving KEYTRUDA at 2 mg/kg. Hyponatremia was reported as Grade 4 in one patient receiving chemotherapy.</w:t>
            </w:r>
          </w:p>
        </w:tc>
      </w:tr>
    </w:tbl>
    <w:p w14:paraId="7BBF9210" w14:textId="517D9A2E" w:rsidR="003745E6" w:rsidRPr="003745E6" w:rsidRDefault="003745E6" w:rsidP="007E3CDB">
      <w:pPr>
        <w:pStyle w:val="Caption"/>
      </w:pPr>
      <w:r w:rsidRPr="003745E6">
        <w:t xml:space="preserve">Table </w:t>
      </w:r>
      <w:r w:rsidR="006A428A">
        <w:t>12</w:t>
      </w:r>
      <w:r w:rsidRPr="003745E6">
        <w:t xml:space="preserve">: Laboratory Abnormalities </w:t>
      </w:r>
      <w:r w:rsidR="00AE5C10">
        <w:t>Worsened</w:t>
      </w:r>
      <w:r w:rsidR="00AE5C10" w:rsidRPr="003745E6">
        <w:t xml:space="preserve"> </w:t>
      </w:r>
      <w:r w:rsidRPr="003745E6">
        <w:t>from Baseline in ≥20% of Patients with Unresectable or Metastatic Melanoma and at a Higher Incidence than in the Chemotherapy Arm (Between Arm Difference of ≥5% [All Grades]</w:t>
      </w:r>
      <w:r>
        <w:t xml:space="preserve"> </w:t>
      </w:r>
      <w:r w:rsidRPr="003745E6">
        <w:t>or ≥2% [Grades 3-4]) (KEYNOTE-002)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2: Laboratory Abnormalities Worsened from Baseline in ≥20% of Patients with Unresectable or Metastatic Melanoma and at a Higher Incidence than in the Chemotherapy Arm (Between Arm Difference of ≥5% [All Grades] or ≥2% [Grades 3-4]) (KEYNOTE-002)"/>
      </w:tblPr>
      <w:tblGrid>
        <w:gridCol w:w="2596"/>
        <w:gridCol w:w="1276"/>
        <w:gridCol w:w="1620"/>
        <w:gridCol w:w="1080"/>
        <w:gridCol w:w="1170"/>
      </w:tblGrid>
      <w:tr w:rsidR="003745E6" w:rsidRPr="0070059D" w14:paraId="3A1C6CD4" w14:textId="77777777" w:rsidTr="007E3CDB">
        <w:trPr>
          <w:tblHeader/>
          <w:jc w:val="center"/>
        </w:trPr>
        <w:tc>
          <w:tcPr>
            <w:tcW w:w="2596" w:type="dxa"/>
            <w:shd w:val="clear" w:color="auto" w:fill="auto"/>
          </w:tcPr>
          <w:p w14:paraId="3EF19BB8" w14:textId="77777777" w:rsidR="003745E6" w:rsidRPr="0070059D" w:rsidRDefault="003745E6" w:rsidP="007E3CDB">
            <w:pPr>
              <w:pStyle w:val="BodyText1"/>
              <w:ind w:firstLine="0"/>
              <w:jc w:val="center"/>
              <w:rPr>
                <w:rFonts w:ascii="Arial" w:hAnsi="Arial" w:cs="Arial"/>
                <w:noProof/>
                <w:sz w:val="20"/>
                <w:szCs w:val="20"/>
              </w:rPr>
            </w:pPr>
          </w:p>
        </w:tc>
        <w:tc>
          <w:tcPr>
            <w:tcW w:w="2896" w:type="dxa"/>
            <w:gridSpan w:val="2"/>
            <w:shd w:val="clear" w:color="auto" w:fill="auto"/>
          </w:tcPr>
          <w:p w14:paraId="55EFAC65" w14:textId="77777777" w:rsidR="003745E6" w:rsidRPr="0070059D" w:rsidRDefault="003745E6" w:rsidP="007E3CDB">
            <w:pPr>
              <w:suppressAutoHyphens w:val="0"/>
              <w:spacing w:before="4"/>
              <w:jc w:val="center"/>
              <w:rPr>
                <w:rFonts w:cs="Arial"/>
                <w:b/>
                <w:sz w:val="20"/>
              </w:rPr>
            </w:pPr>
            <w:r w:rsidRPr="0070059D">
              <w:rPr>
                <w:rFonts w:cs="Arial"/>
                <w:b/>
                <w:sz w:val="20"/>
              </w:rPr>
              <w:t>KEYTRUDA</w:t>
            </w:r>
          </w:p>
          <w:p w14:paraId="66B594A0" w14:textId="77777777" w:rsidR="003745E6" w:rsidRPr="0070059D" w:rsidRDefault="003745E6" w:rsidP="007E3CDB">
            <w:pPr>
              <w:suppressAutoHyphens w:val="0"/>
              <w:spacing w:before="4"/>
              <w:jc w:val="center"/>
              <w:rPr>
                <w:rFonts w:cs="Arial"/>
                <w:b/>
                <w:sz w:val="20"/>
              </w:rPr>
            </w:pPr>
            <w:r w:rsidRPr="0070059D">
              <w:rPr>
                <w:rFonts w:cs="Arial"/>
                <w:b/>
                <w:sz w:val="20"/>
              </w:rPr>
              <w:t>2 mg/kg every 3 weeks</w:t>
            </w:r>
          </w:p>
          <w:p w14:paraId="5F13BA94" w14:textId="77777777" w:rsidR="003745E6" w:rsidRPr="0070059D" w:rsidRDefault="003745E6" w:rsidP="007E3CDB">
            <w:pPr>
              <w:pStyle w:val="BodyText1"/>
              <w:ind w:firstLine="0"/>
              <w:jc w:val="center"/>
              <w:rPr>
                <w:rFonts w:ascii="Arial" w:hAnsi="Arial" w:cs="Arial"/>
                <w:noProof/>
                <w:sz w:val="20"/>
                <w:szCs w:val="20"/>
              </w:rPr>
            </w:pPr>
            <w:r w:rsidRPr="0070059D">
              <w:rPr>
                <w:rFonts w:ascii="Arial" w:hAnsi="Arial" w:cs="Arial"/>
                <w:b/>
                <w:sz w:val="20"/>
                <w:szCs w:val="20"/>
              </w:rPr>
              <w:t>n=178</w:t>
            </w:r>
          </w:p>
        </w:tc>
        <w:tc>
          <w:tcPr>
            <w:tcW w:w="2250" w:type="dxa"/>
            <w:gridSpan w:val="2"/>
          </w:tcPr>
          <w:p w14:paraId="12E9B4A8" w14:textId="77777777" w:rsidR="003745E6" w:rsidRPr="0070059D" w:rsidRDefault="003745E6" w:rsidP="007E3CDB">
            <w:pPr>
              <w:suppressAutoHyphens w:val="0"/>
              <w:spacing w:before="4"/>
              <w:jc w:val="center"/>
              <w:rPr>
                <w:rFonts w:cs="Arial"/>
                <w:b/>
                <w:sz w:val="20"/>
              </w:rPr>
            </w:pPr>
            <w:r w:rsidRPr="0070059D">
              <w:rPr>
                <w:rFonts w:cs="Arial"/>
                <w:b/>
                <w:sz w:val="20"/>
              </w:rPr>
              <w:t>Chemotherapy</w:t>
            </w:r>
          </w:p>
          <w:p w14:paraId="4895E91A" w14:textId="77777777" w:rsidR="003745E6" w:rsidRPr="0070059D" w:rsidRDefault="003745E6" w:rsidP="007E3CDB">
            <w:pPr>
              <w:suppressAutoHyphens w:val="0"/>
              <w:spacing w:before="4"/>
              <w:jc w:val="center"/>
              <w:rPr>
                <w:rFonts w:cs="Arial"/>
                <w:b/>
                <w:sz w:val="20"/>
              </w:rPr>
            </w:pPr>
            <w:r w:rsidRPr="0070059D">
              <w:rPr>
                <w:rFonts w:cs="Arial"/>
                <w:b/>
                <w:sz w:val="20"/>
              </w:rPr>
              <w:t>n=171</w:t>
            </w:r>
          </w:p>
        </w:tc>
      </w:tr>
      <w:tr w:rsidR="003745E6" w:rsidRPr="0070059D" w14:paraId="29D25712" w14:textId="77777777" w:rsidTr="000C742A">
        <w:trPr>
          <w:jc w:val="center"/>
        </w:trPr>
        <w:tc>
          <w:tcPr>
            <w:tcW w:w="2596" w:type="dxa"/>
            <w:shd w:val="clear" w:color="auto" w:fill="auto"/>
            <w:vAlign w:val="center"/>
          </w:tcPr>
          <w:p w14:paraId="6F87C772" w14:textId="77777777" w:rsidR="003745E6" w:rsidRPr="0070059D" w:rsidRDefault="003745E6" w:rsidP="007E3CDB">
            <w:pPr>
              <w:pStyle w:val="BodyText1"/>
              <w:ind w:firstLine="0"/>
              <w:jc w:val="both"/>
              <w:rPr>
                <w:rFonts w:ascii="Arial" w:hAnsi="Arial" w:cs="Arial"/>
                <w:noProof/>
                <w:sz w:val="20"/>
                <w:szCs w:val="20"/>
              </w:rPr>
            </w:pPr>
            <w:r w:rsidRPr="0070059D">
              <w:rPr>
                <w:rFonts w:ascii="Arial" w:hAnsi="Arial" w:cs="Arial"/>
                <w:b/>
                <w:sz w:val="20"/>
                <w:szCs w:val="20"/>
              </w:rPr>
              <w:t>Laboratory Test</w:t>
            </w:r>
          </w:p>
        </w:tc>
        <w:tc>
          <w:tcPr>
            <w:tcW w:w="1276" w:type="dxa"/>
            <w:shd w:val="clear" w:color="auto" w:fill="auto"/>
          </w:tcPr>
          <w:p w14:paraId="46FB56BA" w14:textId="77777777" w:rsidR="003745E6" w:rsidRPr="0070059D" w:rsidRDefault="003745E6" w:rsidP="007E3CDB">
            <w:pPr>
              <w:suppressAutoHyphens w:val="0"/>
              <w:spacing w:before="4"/>
              <w:jc w:val="center"/>
              <w:rPr>
                <w:rFonts w:cs="Arial"/>
                <w:b/>
                <w:sz w:val="20"/>
              </w:rPr>
            </w:pPr>
            <w:r w:rsidRPr="0070059D">
              <w:rPr>
                <w:rFonts w:cs="Arial"/>
                <w:b/>
                <w:sz w:val="20"/>
              </w:rPr>
              <w:t>All Grades</w:t>
            </w:r>
          </w:p>
          <w:p w14:paraId="333AF038" w14:textId="77777777" w:rsidR="003745E6" w:rsidRPr="0070059D" w:rsidRDefault="003745E6" w:rsidP="007E3CDB">
            <w:pPr>
              <w:suppressAutoHyphens w:val="0"/>
              <w:spacing w:before="4"/>
              <w:jc w:val="center"/>
              <w:rPr>
                <w:rFonts w:cs="Arial"/>
                <w:b/>
                <w:sz w:val="20"/>
              </w:rPr>
            </w:pPr>
            <w:r w:rsidRPr="0070059D">
              <w:rPr>
                <w:rFonts w:cs="Arial"/>
                <w:b/>
                <w:sz w:val="20"/>
              </w:rPr>
              <w:t>%</w:t>
            </w:r>
          </w:p>
        </w:tc>
        <w:tc>
          <w:tcPr>
            <w:tcW w:w="1620" w:type="dxa"/>
            <w:shd w:val="clear" w:color="auto" w:fill="auto"/>
          </w:tcPr>
          <w:p w14:paraId="771E553B" w14:textId="77777777" w:rsidR="003745E6" w:rsidRPr="0070059D" w:rsidRDefault="003745E6" w:rsidP="007E3CDB">
            <w:pPr>
              <w:suppressAutoHyphens w:val="0"/>
              <w:spacing w:before="4"/>
              <w:jc w:val="center"/>
              <w:rPr>
                <w:rFonts w:cs="Arial"/>
                <w:b/>
                <w:sz w:val="20"/>
              </w:rPr>
            </w:pPr>
            <w:r w:rsidRPr="0070059D">
              <w:rPr>
                <w:rFonts w:cs="Arial"/>
                <w:b/>
                <w:sz w:val="20"/>
              </w:rPr>
              <w:t>Grades 3-4</w:t>
            </w:r>
          </w:p>
          <w:p w14:paraId="61B89DCF" w14:textId="77777777" w:rsidR="003745E6" w:rsidRPr="0070059D" w:rsidRDefault="003745E6" w:rsidP="007E3CDB">
            <w:pPr>
              <w:suppressAutoHyphens w:val="0"/>
              <w:spacing w:before="4"/>
              <w:jc w:val="center"/>
              <w:rPr>
                <w:rFonts w:cs="Arial"/>
                <w:b/>
                <w:noProof/>
                <w:sz w:val="20"/>
              </w:rPr>
            </w:pPr>
            <w:r w:rsidRPr="0070059D">
              <w:rPr>
                <w:rFonts w:cs="Arial"/>
                <w:b/>
                <w:sz w:val="20"/>
              </w:rPr>
              <w:t>%</w:t>
            </w:r>
          </w:p>
        </w:tc>
        <w:tc>
          <w:tcPr>
            <w:tcW w:w="1080" w:type="dxa"/>
          </w:tcPr>
          <w:p w14:paraId="028B0544" w14:textId="77777777" w:rsidR="003745E6" w:rsidRPr="0070059D" w:rsidRDefault="003745E6" w:rsidP="007E3CDB">
            <w:pPr>
              <w:suppressAutoHyphens w:val="0"/>
              <w:spacing w:before="4"/>
              <w:jc w:val="center"/>
              <w:rPr>
                <w:rFonts w:cs="Arial"/>
                <w:b/>
                <w:sz w:val="20"/>
              </w:rPr>
            </w:pPr>
            <w:r w:rsidRPr="0070059D">
              <w:rPr>
                <w:rFonts w:cs="Arial"/>
                <w:b/>
                <w:sz w:val="20"/>
              </w:rPr>
              <w:t>All Grades</w:t>
            </w:r>
          </w:p>
          <w:p w14:paraId="2A55A6DF" w14:textId="77777777" w:rsidR="003745E6" w:rsidRPr="0070059D" w:rsidRDefault="003745E6" w:rsidP="007E3CDB">
            <w:pPr>
              <w:suppressAutoHyphens w:val="0"/>
              <w:spacing w:before="4"/>
              <w:jc w:val="center"/>
              <w:rPr>
                <w:rFonts w:cs="Arial"/>
                <w:b/>
                <w:sz w:val="20"/>
              </w:rPr>
            </w:pPr>
            <w:r w:rsidRPr="0070059D">
              <w:rPr>
                <w:rFonts w:cs="Arial"/>
                <w:b/>
                <w:sz w:val="20"/>
              </w:rPr>
              <w:t>%</w:t>
            </w:r>
          </w:p>
        </w:tc>
        <w:tc>
          <w:tcPr>
            <w:tcW w:w="1170" w:type="dxa"/>
          </w:tcPr>
          <w:p w14:paraId="32EF7016" w14:textId="77777777" w:rsidR="003745E6" w:rsidRPr="0070059D" w:rsidRDefault="003745E6" w:rsidP="007E3CDB">
            <w:pPr>
              <w:suppressAutoHyphens w:val="0"/>
              <w:spacing w:before="4"/>
              <w:jc w:val="center"/>
              <w:rPr>
                <w:rFonts w:cs="Arial"/>
                <w:b/>
                <w:sz w:val="20"/>
              </w:rPr>
            </w:pPr>
            <w:r w:rsidRPr="0070059D">
              <w:rPr>
                <w:rFonts w:cs="Arial"/>
                <w:b/>
                <w:sz w:val="20"/>
              </w:rPr>
              <w:t>Grades 3-4</w:t>
            </w:r>
          </w:p>
          <w:p w14:paraId="26ABD9E1" w14:textId="77777777" w:rsidR="003745E6" w:rsidRPr="0070059D" w:rsidRDefault="003745E6" w:rsidP="007E3CDB">
            <w:pPr>
              <w:suppressAutoHyphens w:val="0"/>
              <w:spacing w:before="4"/>
              <w:jc w:val="center"/>
              <w:rPr>
                <w:rFonts w:cs="Arial"/>
                <w:b/>
                <w:sz w:val="20"/>
              </w:rPr>
            </w:pPr>
            <w:r w:rsidRPr="0070059D">
              <w:rPr>
                <w:rFonts w:cs="Arial"/>
                <w:b/>
                <w:sz w:val="20"/>
              </w:rPr>
              <w:t>%</w:t>
            </w:r>
          </w:p>
        </w:tc>
      </w:tr>
      <w:tr w:rsidR="003745E6" w:rsidRPr="0070059D" w14:paraId="58B40284" w14:textId="77777777" w:rsidTr="000C742A">
        <w:trPr>
          <w:jc w:val="center"/>
        </w:trPr>
        <w:tc>
          <w:tcPr>
            <w:tcW w:w="5492" w:type="dxa"/>
            <w:gridSpan w:val="3"/>
            <w:shd w:val="clear" w:color="auto" w:fill="auto"/>
          </w:tcPr>
          <w:p w14:paraId="05630836" w14:textId="77777777" w:rsidR="003745E6" w:rsidRPr="0070059D" w:rsidRDefault="003745E6" w:rsidP="007E3CDB">
            <w:pPr>
              <w:pStyle w:val="BodyText1"/>
              <w:ind w:firstLine="0"/>
              <w:rPr>
                <w:rFonts w:ascii="Arial" w:hAnsi="Arial" w:cs="Arial"/>
                <w:noProof/>
                <w:sz w:val="20"/>
                <w:szCs w:val="20"/>
              </w:rPr>
            </w:pPr>
            <w:r w:rsidRPr="0070059D">
              <w:rPr>
                <w:rFonts w:ascii="Arial" w:hAnsi="Arial" w:cs="Arial"/>
                <w:b/>
                <w:sz w:val="20"/>
                <w:szCs w:val="20"/>
              </w:rPr>
              <w:t>Chemistry</w:t>
            </w:r>
          </w:p>
        </w:tc>
        <w:tc>
          <w:tcPr>
            <w:tcW w:w="2250" w:type="dxa"/>
            <w:gridSpan w:val="2"/>
          </w:tcPr>
          <w:p w14:paraId="433EBBB6" w14:textId="77777777" w:rsidR="003745E6" w:rsidRPr="0070059D" w:rsidRDefault="003745E6" w:rsidP="007E3CDB">
            <w:pPr>
              <w:pStyle w:val="BodyText1"/>
              <w:ind w:firstLine="0"/>
              <w:rPr>
                <w:rFonts w:ascii="Arial" w:hAnsi="Arial" w:cs="Arial"/>
                <w:b/>
                <w:sz w:val="20"/>
                <w:szCs w:val="20"/>
              </w:rPr>
            </w:pPr>
          </w:p>
        </w:tc>
      </w:tr>
      <w:tr w:rsidR="003745E6" w:rsidRPr="00A200A3" w14:paraId="5363F488" w14:textId="77777777" w:rsidTr="000C742A">
        <w:trPr>
          <w:jc w:val="center"/>
        </w:trPr>
        <w:tc>
          <w:tcPr>
            <w:tcW w:w="2596" w:type="dxa"/>
            <w:shd w:val="clear" w:color="auto" w:fill="auto"/>
          </w:tcPr>
          <w:p w14:paraId="0CD17426" w14:textId="77777777" w:rsidR="003745E6" w:rsidRPr="0070059D" w:rsidRDefault="003745E6" w:rsidP="007E3CDB">
            <w:pPr>
              <w:pStyle w:val="BodyText1"/>
              <w:ind w:left="342" w:firstLine="0"/>
              <w:jc w:val="both"/>
              <w:rPr>
                <w:rFonts w:ascii="Arial" w:hAnsi="Arial" w:cs="Arial"/>
                <w:noProof/>
                <w:sz w:val="20"/>
                <w:szCs w:val="20"/>
              </w:rPr>
            </w:pPr>
            <w:r w:rsidRPr="0070059D">
              <w:rPr>
                <w:rFonts w:ascii="Arial" w:hAnsi="Arial" w:cs="Arial"/>
                <w:sz w:val="20"/>
                <w:szCs w:val="20"/>
              </w:rPr>
              <w:t>Hyperglyc</w:t>
            </w:r>
            <w:r w:rsidR="003E453F">
              <w:rPr>
                <w:rFonts w:ascii="Arial" w:hAnsi="Arial" w:cs="Arial"/>
                <w:sz w:val="20"/>
                <w:szCs w:val="20"/>
              </w:rPr>
              <w:t>a</w:t>
            </w:r>
            <w:r w:rsidRPr="0070059D">
              <w:rPr>
                <w:rFonts w:ascii="Arial" w:hAnsi="Arial" w:cs="Arial"/>
                <w:sz w:val="20"/>
                <w:szCs w:val="20"/>
              </w:rPr>
              <w:t>emia</w:t>
            </w:r>
          </w:p>
        </w:tc>
        <w:tc>
          <w:tcPr>
            <w:tcW w:w="1276" w:type="dxa"/>
            <w:shd w:val="clear" w:color="auto" w:fill="auto"/>
          </w:tcPr>
          <w:p w14:paraId="5A618263" w14:textId="77777777" w:rsidR="003745E6" w:rsidRPr="0070059D" w:rsidRDefault="003745E6" w:rsidP="007E3CDB">
            <w:pPr>
              <w:pStyle w:val="BodyText1"/>
              <w:ind w:firstLine="0"/>
              <w:jc w:val="center"/>
              <w:rPr>
                <w:rFonts w:ascii="Arial" w:hAnsi="Arial" w:cs="Arial"/>
                <w:noProof/>
                <w:sz w:val="20"/>
                <w:szCs w:val="20"/>
              </w:rPr>
            </w:pPr>
            <w:r w:rsidRPr="0070059D">
              <w:rPr>
                <w:rFonts w:ascii="Arial" w:hAnsi="Arial" w:cs="Arial"/>
                <w:sz w:val="20"/>
                <w:szCs w:val="20"/>
              </w:rPr>
              <w:t>63</w:t>
            </w:r>
          </w:p>
        </w:tc>
        <w:tc>
          <w:tcPr>
            <w:tcW w:w="1620" w:type="dxa"/>
            <w:shd w:val="clear" w:color="auto" w:fill="auto"/>
          </w:tcPr>
          <w:p w14:paraId="69D3ECB9" w14:textId="77777777" w:rsidR="003745E6" w:rsidRPr="0070059D" w:rsidRDefault="003745E6" w:rsidP="007E3CDB">
            <w:pPr>
              <w:pStyle w:val="BodyText1"/>
              <w:ind w:firstLine="0"/>
              <w:jc w:val="center"/>
              <w:rPr>
                <w:rFonts w:ascii="Arial" w:hAnsi="Arial" w:cs="Arial"/>
                <w:noProof/>
                <w:sz w:val="20"/>
                <w:szCs w:val="20"/>
              </w:rPr>
            </w:pPr>
            <w:r w:rsidRPr="0070059D">
              <w:rPr>
                <w:rFonts w:ascii="Arial" w:hAnsi="Arial" w:cs="Arial"/>
                <w:sz w:val="20"/>
                <w:szCs w:val="20"/>
              </w:rPr>
              <w:t>9</w:t>
            </w:r>
          </w:p>
        </w:tc>
        <w:tc>
          <w:tcPr>
            <w:tcW w:w="1080" w:type="dxa"/>
          </w:tcPr>
          <w:p w14:paraId="022D7078"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56</w:t>
            </w:r>
          </w:p>
        </w:tc>
        <w:tc>
          <w:tcPr>
            <w:tcW w:w="1170" w:type="dxa"/>
          </w:tcPr>
          <w:p w14:paraId="2440575B"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6</w:t>
            </w:r>
          </w:p>
        </w:tc>
      </w:tr>
      <w:tr w:rsidR="003745E6" w:rsidRPr="0070059D" w14:paraId="3AE23115" w14:textId="77777777" w:rsidTr="000C742A">
        <w:trPr>
          <w:jc w:val="center"/>
        </w:trPr>
        <w:tc>
          <w:tcPr>
            <w:tcW w:w="2596" w:type="dxa"/>
            <w:shd w:val="clear" w:color="auto" w:fill="auto"/>
          </w:tcPr>
          <w:p w14:paraId="3CA8F846" w14:textId="77777777" w:rsidR="003745E6" w:rsidRPr="0070059D" w:rsidRDefault="003745E6" w:rsidP="007E3CDB">
            <w:pPr>
              <w:pStyle w:val="BodyText1"/>
              <w:ind w:left="342" w:firstLine="0"/>
              <w:jc w:val="both"/>
              <w:rPr>
                <w:rFonts w:ascii="Arial" w:hAnsi="Arial" w:cs="Arial"/>
                <w:noProof/>
                <w:sz w:val="20"/>
                <w:szCs w:val="20"/>
              </w:rPr>
            </w:pPr>
            <w:r w:rsidRPr="00A200A3">
              <w:rPr>
                <w:rFonts w:ascii="Arial" w:hAnsi="Arial" w:cs="Arial"/>
                <w:sz w:val="20"/>
                <w:szCs w:val="20"/>
              </w:rPr>
              <w:t>Hyponatremia</w:t>
            </w:r>
          </w:p>
        </w:tc>
        <w:tc>
          <w:tcPr>
            <w:tcW w:w="1276" w:type="dxa"/>
            <w:shd w:val="clear" w:color="auto" w:fill="auto"/>
          </w:tcPr>
          <w:p w14:paraId="39495A5D" w14:textId="77777777" w:rsidR="003745E6" w:rsidRPr="0070059D" w:rsidRDefault="003745E6" w:rsidP="007E3CDB">
            <w:pPr>
              <w:pStyle w:val="BodyText1"/>
              <w:ind w:firstLine="0"/>
              <w:jc w:val="center"/>
              <w:rPr>
                <w:rFonts w:ascii="Arial" w:hAnsi="Arial" w:cs="Arial"/>
                <w:noProof/>
                <w:sz w:val="20"/>
                <w:szCs w:val="20"/>
              </w:rPr>
            </w:pPr>
            <w:r w:rsidRPr="0070059D">
              <w:rPr>
                <w:rFonts w:ascii="Arial" w:hAnsi="Arial" w:cs="Arial"/>
                <w:sz w:val="20"/>
                <w:szCs w:val="20"/>
              </w:rPr>
              <w:t>45</w:t>
            </w:r>
          </w:p>
        </w:tc>
        <w:tc>
          <w:tcPr>
            <w:tcW w:w="1620" w:type="dxa"/>
            <w:shd w:val="clear" w:color="auto" w:fill="auto"/>
          </w:tcPr>
          <w:p w14:paraId="4E1C7FD2" w14:textId="77777777" w:rsidR="003745E6" w:rsidRPr="0070059D" w:rsidRDefault="003745E6" w:rsidP="007E3CDB">
            <w:pPr>
              <w:pStyle w:val="BodyText1"/>
              <w:ind w:firstLine="0"/>
              <w:jc w:val="center"/>
              <w:rPr>
                <w:rFonts w:ascii="Arial" w:hAnsi="Arial" w:cs="Arial"/>
                <w:noProof/>
                <w:sz w:val="20"/>
                <w:szCs w:val="20"/>
              </w:rPr>
            </w:pPr>
            <w:r w:rsidRPr="0070059D">
              <w:rPr>
                <w:rFonts w:ascii="Arial" w:hAnsi="Arial" w:cs="Arial"/>
                <w:sz w:val="20"/>
                <w:szCs w:val="20"/>
              </w:rPr>
              <w:t>8</w:t>
            </w:r>
          </w:p>
        </w:tc>
        <w:tc>
          <w:tcPr>
            <w:tcW w:w="1080" w:type="dxa"/>
          </w:tcPr>
          <w:p w14:paraId="3660738E"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29</w:t>
            </w:r>
          </w:p>
        </w:tc>
        <w:tc>
          <w:tcPr>
            <w:tcW w:w="1170" w:type="dxa"/>
          </w:tcPr>
          <w:p w14:paraId="2D3DE761"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5</w:t>
            </w:r>
          </w:p>
        </w:tc>
      </w:tr>
      <w:tr w:rsidR="003745E6" w:rsidRPr="0070059D" w14:paraId="3B626C6D" w14:textId="77777777" w:rsidTr="000C742A">
        <w:trPr>
          <w:jc w:val="center"/>
        </w:trPr>
        <w:tc>
          <w:tcPr>
            <w:tcW w:w="2596" w:type="dxa"/>
            <w:shd w:val="clear" w:color="auto" w:fill="auto"/>
          </w:tcPr>
          <w:p w14:paraId="1281B8FD" w14:textId="77777777" w:rsidR="003745E6" w:rsidRPr="0070059D" w:rsidRDefault="003745E6" w:rsidP="007E3CDB">
            <w:pPr>
              <w:pStyle w:val="BodyText1"/>
              <w:ind w:left="342" w:firstLine="0"/>
              <w:jc w:val="both"/>
              <w:rPr>
                <w:rFonts w:ascii="Arial" w:hAnsi="Arial" w:cs="Arial"/>
                <w:noProof/>
                <w:sz w:val="20"/>
                <w:szCs w:val="20"/>
              </w:rPr>
            </w:pPr>
            <w:r w:rsidRPr="0070059D">
              <w:rPr>
                <w:rFonts w:ascii="Arial" w:hAnsi="Arial" w:cs="Arial"/>
                <w:sz w:val="20"/>
                <w:szCs w:val="20"/>
              </w:rPr>
              <w:t>Hypoalbuminemia</w:t>
            </w:r>
          </w:p>
        </w:tc>
        <w:tc>
          <w:tcPr>
            <w:tcW w:w="1276" w:type="dxa"/>
            <w:shd w:val="clear" w:color="auto" w:fill="auto"/>
          </w:tcPr>
          <w:p w14:paraId="15A28AE5" w14:textId="77777777" w:rsidR="003745E6" w:rsidRPr="0070059D" w:rsidRDefault="003745E6" w:rsidP="007E3CDB">
            <w:pPr>
              <w:pStyle w:val="BodyText1"/>
              <w:ind w:firstLine="0"/>
              <w:jc w:val="center"/>
              <w:rPr>
                <w:rFonts w:ascii="Arial" w:hAnsi="Arial" w:cs="Arial"/>
                <w:noProof/>
                <w:sz w:val="20"/>
                <w:szCs w:val="20"/>
              </w:rPr>
            </w:pPr>
            <w:r w:rsidRPr="0070059D">
              <w:rPr>
                <w:rFonts w:ascii="Arial" w:hAnsi="Arial" w:cs="Arial"/>
                <w:sz w:val="20"/>
                <w:szCs w:val="20"/>
              </w:rPr>
              <w:t>43</w:t>
            </w:r>
          </w:p>
        </w:tc>
        <w:tc>
          <w:tcPr>
            <w:tcW w:w="1620" w:type="dxa"/>
            <w:shd w:val="clear" w:color="auto" w:fill="auto"/>
          </w:tcPr>
          <w:p w14:paraId="17B72386"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4</w:t>
            </w:r>
          </w:p>
        </w:tc>
        <w:tc>
          <w:tcPr>
            <w:tcW w:w="1080" w:type="dxa"/>
          </w:tcPr>
          <w:p w14:paraId="67DA8539"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39</w:t>
            </w:r>
          </w:p>
        </w:tc>
        <w:tc>
          <w:tcPr>
            <w:tcW w:w="1170" w:type="dxa"/>
          </w:tcPr>
          <w:p w14:paraId="4535C8BA" w14:textId="77777777" w:rsidR="003745E6" w:rsidRPr="0070059D" w:rsidRDefault="003745E6" w:rsidP="007E3CDB">
            <w:pPr>
              <w:pStyle w:val="BodyText1"/>
              <w:ind w:firstLine="0"/>
              <w:jc w:val="center"/>
              <w:rPr>
                <w:rFonts w:ascii="Arial" w:hAnsi="Arial" w:cs="Arial"/>
                <w:sz w:val="20"/>
                <w:szCs w:val="20"/>
              </w:rPr>
            </w:pPr>
            <w:r>
              <w:rPr>
                <w:rFonts w:ascii="Arial" w:hAnsi="Arial" w:cs="Arial"/>
                <w:sz w:val="20"/>
                <w:szCs w:val="20"/>
              </w:rPr>
              <w:t>1</w:t>
            </w:r>
          </w:p>
        </w:tc>
      </w:tr>
      <w:tr w:rsidR="003745E6" w:rsidRPr="0070059D" w14:paraId="5C0B3234" w14:textId="77777777" w:rsidTr="000C742A">
        <w:trPr>
          <w:jc w:val="center"/>
        </w:trPr>
        <w:tc>
          <w:tcPr>
            <w:tcW w:w="2596" w:type="dxa"/>
            <w:shd w:val="clear" w:color="auto" w:fill="auto"/>
          </w:tcPr>
          <w:p w14:paraId="49E657CE" w14:textId="77777777" w:rsidR="003745E6" w:rsidRPr="0070059D" w:rsidRDefault="003745E6" w:rsidP="007E3CDB">
            <w:pPr>
              <w:pStyle w:val="BodyText1"/>
              <w:ind w:left="342" w:firstLine="0"/>
              <w:rPr>
                <w:rFonts w:ascii="Arial" w:hAnsi="Arial" w:cs="Arial"/>
                <w:sz w:val="20"/>
                <w:szCs w:val="20"/>
              </w:rPr>
            </w:pPr>
            <w:r w:rsidRPr="0070059D">
              <w:rPr>
                <w:rFonts w:ascii="Arial" w:hAnsi="Arial" w:cs="Arial"/>
                <w:sz w:val="20"/>
                <w:szCs w:val="20"/>
              </w:rPr>
              <w:t>Increased Aspartate Aminotransferase</w:t>
            </w:r>
          </w:p>
        </w:tc>
        <w:tc>
          <w:tcPr>
            <w:tcW w:w="1276" w:type="dxa"/>
            <w:shd w:val="clear" w:color="auto" w:fill="auto"/>
          </w:tcPr>
          <w:p w14:paraId="24C35B3F"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26</w:t>
            </w:r>
          </w:p>
        </w:tc>
        <w:tc>
          <w:tcPr>
            <w:tcW w:w="1620" w:type="dxa"/>
            <w:shd w:val="clear" w:color="auto" w:fill="auto"/>
          </w:tcPr>
          <w:p w14:paraId="75903874"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2</w:t>
            </w:r>
          </w:p>
        </w:tc>
        <w:tc>
          <w:tcPr>
            <w:tcW w:w="1080" w:type="dxa"/>
          </w:tcPr>
          <w:p w14:paraId="38D2BFAA"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17</w:t>
            </w:r>
          </w:p>
        </w:tc>
        <w:tc>
          <w:tcPr>
            <w:tcW w:w="1170" w:type="dxa"/>
          </w:tcPr>
          <w:p w14:paraId="080FAA76"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1</w:t>
            </w:r>
          </w:p>
        </w:tc>
      </w:tr>
      <w:tr w:rsidR="003745E6" w:rsidRPr="00A200A3" w14:paraId="2A27F16B" w14:textId="77777777" w:rsidTr="000C742A">
        <w:trPr>
          <w:jc w:val="center"/>
        </w:trPr>
        <w:tc>
          <w:tcPr>
            <w:tcW w:w="2596" w:type="dxa"/>
            <w:shd w:val="clear" w:color="auto" w:fill="auto"/>
          </w:tcPr>
          <w:p w14:paraId="3491DDB7" w14:textId="77777777" w:rsidR="003745E6" w:rsidRPr="0070059D" w:rsidRDefault="003745E6" w:rsidP="007E3CDB">
            <w:pPr>
              <w:pStyle w:val="BodyText1"/>
              <w:ind w:left="342" w:firstLine="0"/>
              <w:rPr>
                <w:rFonts w:ascii="Arial" w:hAnsi="Arial" w:cs="Arial"/>
                <w:sz w:val="20"/>
                <w:szCs w:val="20"/>
              </w:rPr>
            </w:pPr>
            <w:r w:rsidRPr="0070059D">
              <w:rPr>
                <w:rFonts w:ascii="Arial" w:hAnsi="Arial" w:cs="Arial"/>
                <w:sz w:val="20"/>
                <w:szCs w:val="20"/>
              </w:rPr>
              <w:t>Increased Alkaline Phosphatase</w:t>
            </w:r>
          </w:p>
        </w:tc>
        <w:tc>
          <w:tcPr>
            <w:tcW w:w="1276" w:type="dxa"/>
            <w:shd w:val="clear" w:color="auto" w:fill="auto"/>
          </w:tcPr>
          <w:p w14:paraId="5AF393BD"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35</w:t>
            </w:r>
          </w:p>
        </w:tc>
        <w:tc>
          <w:tcPr>
            <w:tcW w:w="1620" w:type="dxa"/>
            <w:shd w:val="clear" w:color="auto" w:fill="auto"/>
          </w:tcPr>
          <w:p w14:paraId="4D77A6D5"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4</w:t>
            </w:r>
          </w:p>
        </w:tc>
        <w:tc>
          <w:tcPr>
            <w:tcW w:w="1080" w:type="dxa"/>
          </w:tcPr>
          <w:p w14:paraId="024805CF"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28</w:t>
            </w:r>
          </w:p>
        </w:tc>
        <w:tc>
          <w:tcPr>
            <w:tcW w:w="1170" w:type="dxa"/>
          </w:tcPr>
          <w:p w14:paraId="2013942B"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2</w:t>
            </w:r>
          </w:p>
        </w:tc>
      </w:tr>
      <w:tr w:rsidR="003745E6" w:rsidRPr="0070059D" w14:paraId="4F331407" w14:textId="77777777" w:rsidTr="000C742A">
        <w:trPr>
          <w:jc w:val="center"/>
        </w:trPr>
        <w:tc>
          <w:tcPr>
            <w:tcW w:w="5492" w:type="dxa"/>
            <w:gridSpan w:val="3"/>
            <w:shd w:val="clear" w:color="auto" w:fill="auto"/>
          </w:tcPr>
          <w:p w14:paraId="59655E67" w14:textId="77777777" w:rsidR="003745E6" w:rsidRPr="0070059D" w:rsidRDefault="003745E6" w:rsidP="007E3CDB">
            <w:pPr>
              <w:pStyle w:val="BodyText1"/>
              <w:ind w:firstLine="0"/>
              <w:rPr>
                <w:rFonts w:ascii="Arial" w:hAnsi="Arial" w:cs="Arial"/>
                <w:noProof/>
                <w:sz w:val="20"/>
                <w:szCs w:val="20"/>
              </w:rPr>
            </w:pPr>
            <w:r w:rsidRPr="00A200A3">
              <w:rPr>
                <w:rFonts w:ascii="Arial" w:hAnsi="Arial" w:cs="Arial"/>
                <w:b/>
                <w:sz w:val="20"/>
                <w:szCs w:val="20"/>
              </w:rPr>
              <w:t>Hematology</w:t>
            </w:r>
          </w:p>
        </w:tc>
        <w:tc>
          <w:tcPr>
            <w:tcW w:w="2250" w:type="dxa"/>
            <w:gridSpan w:val="2"/>
          </w:tcPr>
          <w:p w14:paraId="20E368AA" w14:textId="77777777" w:rsidR="003745E6" w:rsidRPr="0070059D" w:rsidRDefault="003745E6" w:rsidP="007E3CDB">
            <w:pPr>
              <w:pStyle w:val="BodyText1"/>
              <w:ind w:firstLine="0"/>
              <w:rPr>
                <w:rFonts w:ascii="Arial" w:hAnsi="Arial" w:cs="Arial"/>
                <w:b/>
                <w:sz w:val="20"/>
                <w:szCs w:val="20"/>
              </w:rPr>
            </w:pPr>
          </w:p>
        </w:tc>
      </w:tr>
      <w:tr w:rsidR="003745E6" w:rsidRPr="0070059D" w14:paraId="218A3A97" w14:textId="77777777" w:rsidTr="000C742A">
        <w:trPr>
          <w:jc w:val="center"/>
        </w:trPr>
        <w:tc>
          <w:tcPr>
            <w:tcW w:w="2596" w:type="dxa"/>
            <w:tcBorders>
              <w:bottom w:val="single" w:sz="4" w:space="0" w:color="auto"/>
            </w:tcBorders>
            <w:shd w:val="clear" w:color="auto" w:fill="auto"/>
          </w:tcPr>
          <w:p w14:paraId="75943B50" w14:textId="77777777" w:rsidR="003745E6" w:rsidRPr="0070059D" w:rsidRDefault="003745E6" w:rsidP="007E3CDB">
            <w:pPr>
              <w:pStyle w:val="BodyText1"/>
              <w:ind w:left="342" w:firstLine="0"/>
              <w:jc w:val="both"/>
              <w:rPr>
                <w:rFonts w:ascii="Arial" w:hAnsi="Arial" w:cs="Arial"/>
                <w:sz w:val="20"/>
                <w:szCs w:val="20"/>
              </w:rPr>
            </w:pPr>
            <w:r w:rsidRPr="0070059D">
              <w:rPr>
                <w:rFonts w:ascii="Arial" w:hAnsi="Arial" w:cs="Arial"/>
                <w:sz w:val="20"/>
                <w:szCs w:val="20"/>
              </w:rPr>
              <w:t>Anemia</w:t>
            </w:r>
          </w:p>
        </w:tc>
        <w:tc>
          <w:tcPr>
            <w:tcW w:w="1276" w:type="dxa"/>
            <w:tcBorders>
              <w:bottom w:val="single" w:sz="4" w:space="0" w:color="auto"/>
            </w:tcBorders>
            <w:shd w:val="clear" w:color="auto" w:fill="auto"/>
          </w:tcPr>
          <w:p w14:paraId="52B4660C"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69</w:t>
            </w:r>
          </w:p>
        </w:tc>
        <w:tc>
          <w:tcPr>
            <w:tcW w:w="1620" w:type="dxa"/>
            <w:tcBorders>
              <w:bottom w:val="single" w:sz="4" w:space="0" w:color="auto"/>
            </w:tcBorders>
            <w:shd w:val="clear" w:color="auto" w:fill="auto"/>
          </w:tcPr>
          <w:p w14:paraId="6DBBA91B"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12</w:t>
            </w:r>
          </w:p>
        </w:tc>
        <w:tc>
          <w:tcPr>
            <w:tcW w:w="1080" w:type="dxa"/>
            <w:tcBorders>
              <w:bottom w:val="single" w:sz="4" w:space="0" w:color="auto"/>
            </w:tcBorders>
          </w:tcPr>
          <w:p w14:paraId="53536D57"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76</w:t>
            </w:r>
          </w:p>
        </w:tc>
        <w:tc>
          <w:tcPr>
            <w:tcW w:w="1170" w:type="dxa"/>
            <w:tcBorders>
              <w:bottom w:val="single" w:sz="4" w:space="0" w:color="auto"/>
            </w:tcBorders>
          </w:tcPr>
          <w:p w14:paraId="42967819" w14:textId="77777777" w:rsidR="003745E6" w:rsidRPr="0070059D" w:rsidRDefault="003745E6" w:rsidP="007E3CDB">
            <w:pPr>
              <w:pStyle w:val="BodyText1"/>
              <w:ind w:firstLine="0"/>
              <w:jc w:val="center"/>
              <w:rPr>
                <w:rFonts w:ascii="Arial" w:hAnsi="Arial" w:cs="Arial"/>
                <w:sz w:val="20"/>
                <w:szCs w:val="20"/>
              </w:rPr>
            </w:pPr>
            <w:r w:rsidRPr="0070059D">
              <w:rPr>
                <w:rFonts w:ascii="Arial" w:hAnsi="Arial" w:cs="Arial"/>
                <w:sz w:val="20"/>
                <w:szCs w:val="20"/>
              </w:rPr>
              <w:t>8</w:t>
            </w:r>
          </w:p>
        </w:tc>
      </w:tr>
    </w:tbl>
    <w:p w14:paraId="0010FA5F" w14:textId="77777777" w:rsidR="0051619E" w:rsidRDefault="002B18C2" w:rsidP="006270F5">
      <w:pPr>
        <w:pStyle w:val="BodyText1"/>
        <w:ind w:firstLine="0"/>
        <w:jc w:val="both"/>
        <w:rPr>
          <w:rFonts w:cs="Arial"/>
          <w:noProof/>
          <w:sz w:val="22"/>
        </w:rPr>
      </w:pPr>
      <w:r w:rsidRPr="00EE12B4">
        <w:rPr>
          <w:rFonts w:ascii="Arial" w:hAnsi="Arial" w:cs="Arial"/>
          <w:noProof/>
          <w:sz w:val="22"/>
          <w:szCs w:val="20"/>
        </w:rPr>
        <w:t>Overall, the safety profile was similar across all doses and between patients previously treated with ipilimumab and patients naïv</w:t>
      </w:r>
      <w:r w:rsidR="008B5EEE" w:rsidRPr="00362DC6">
        <w:rPr>
          <w:rFonts w:ascii="Arial" w:hAnsi="Arial" w:cs="Arial"/>
          <w:noProof/>
          <w:sz w:val="22"/>
          <w:szCs w:val="20"/>
        </w:rPr>
        <w:t>e to treatment with ipilimumab.</w:t>
      </w:r>
    </w:p>
    <w:p w14:paraId="0E28466D" w14:textId="77777777" w:rsidR="00AE5C10" w:rsidRPr="00A522BE" w:rsidRDefault="00AE5C10" w:rsidP="00AE5C10">
      <w:pPr>
        <w:tabs>
          <w:tab w:val="clear" w:pos="-720"/>
          <w:tab w:val="clear" w:pos="4513"/>
          <w:tab w:val="clear" w:pos="10348"/>
        </w:tabs>
        <w:suppressAutoHyphens w:val="0"/>
        <w:autoSpaceDE w:val="0"/>
        <w:autoSpaceDN w:val="0"/>
        <w:adjustRightInd w:val="0"/>
        <w:rPr>
          <w:rFonts w:cs="Arial"/>
          <w:i/>
          <w:iCs/>
          <w:szCs w:val="22"/>
          <w:lang w:val="en-US"/>
        </w:rPr>
      </w:pPr>
      <w:r w:rsidRPr="00A522BE">
        <w:rPr>
          <w:rFonts w:cs="Arial"/>
          <w:i/>
          <w:iCs/>
          <w:szCs w:val="22"/>
          <w:lang w:val="en-US"/>
        </w:rPr>
        <w:t>Non-Small Cell Lung Carcinoma</w:t>
      </w:r>
    </w:p>
    <w:p w14:paraId="3A2270DB" w14:textId="4F104679" w:rsidR="00AE5C10" w:rsidRDefault="00AE5C10" w:rsidP="00AE5C10">
      <w:pPr>
        <w:tabs>
          <w:tab w:val="clear" w:pos="-720"/>
          <w:tab w:val="clear" w:pos="4513"/>
          <w:tab w:val="clear" w:pos="10348"/>
        </w:tabs>
        <w:suppressAutoHyphens w:val="0"/>
        <w:autoSpaceDE w:val="0"/>
        <w:autoSpaceDN w:val="0"/>
        <w:adjustRightInd w:val="0"/>
        <w:rPr>
          <w:rFonts w:cs="Arial"/>
          <w:szCs w:val="22"/>
          <w:lang w:val="en-US"/>
        </w:rPr>
      </w:pPr>
      <w:r w:rsidRPr="00A522BE">
        <w:rPr>
          <w:rFonts w:cs="Arial"/>
          <w:szCs w:val="22"/>
          <w:lang w:val="en-US"/>
        </w:rPr>
        <w:t xml:space="preserve">Table </w:t>
      </w:r>
      <w:r w:rsidR="006A428A">
        <w:rPr>
          <w:rFonts w:cs="Arial"/>
          <w:szCs w:val="22"/>
          <w:lang w:val="en-US"/>
        </w:rPr>
        <w:t>13</w:t>
      </w:r>
      <w:r w:rsidR="006A428A" w:rsidRPr="00A522BE">
        <w:rPr>
          <w:rFonts w:cs="Arial"/>
          <w:szCs w:val="22"/>
          <w:lang w:val="en-US"/>
        </w:rPr>
        <w:t xml:space="preserve"> </w:t>
      </w:r>
      <w:r w:rsidRPr="00A522BE">
        <w:rPr>
          <w:rFonts w:cs="Arial"/>
          <w:szCs w:val="22"/>
          <w:lang w:val="en-US"/>
        </w:rPr>
        <w:t xml:space="preserve">summarizes the adverse events that occurred in at least 10% of </w:t>
      </w:r>
      <w:r>
        <w:rPr>
          <w:rFonts w:cs="Arial"/>
          <w:szCs w:val="22"/>
          <w:lang w:val="en-US"/>
        </w:rPr>
        <w:t xml:space="preserve">previously treated </w:t>
      </w:r>
      <w:r w:rsidRPr="00A522BE">
        <w:rPr>
          <w:rFonts w:cs="Arial"/>
          <w:szCs w:val="22"/>
          <w:lang w:val="en-US"/>
        </w:rPr>
        <w:t>patients</w:t>
      </w:r>
      <w:r>
        <w:rPr>
          <w:rFonts w:cs="Arial"/>
          <w:szCs w:val="22"/>
          <w:lang w:val="en-US"/>
        </w:rPr>
        <w:t xml:space="preserve"> </w:t>
      </w:r>
      <w:r w:rsidRPr="00A522BE">
        <w:rPr>
          <w:rFonts w:cs="Arial"/>
          <w:szCs w:val="22"/>
          <w:lang w:val="en-US"/>
        </w:rPr>
        <w:t xml:space="preserve">with NSCLC </w:t>
      </w:r>
      <w:r>
        <w:rPr>
          <w:rFonts w:cs="Arial"/>
          <w:szCs w:val="22"/>
          <w:lang w:val="en-US"/>
        </w:rPr>
        <w:t xml:space="preserve">receiving </w:t>
      </w:r>
      <w:r w:rsidRPr="00A522BE">
        <w:rPr>
          <w:rFonts w:cs="Arial"/>
          <w:szCs w:val="22"/>
          <w:lang w:val="en-US"/>
        </w:rPr>
        <w:t>KEYTRUDA in KEYNOTE-010. The most common adverse event (reported in</w:t>
      </w:r>
      <w:r>
        <w:rPr>
          <w:rFonts w:cs="Arial"/>
          <w:szCs w:val="22"/>
          <w:lang w:val="en-US"/>
        </w:rPr>
        <w:t xml:space="preserve"> </w:t>
      </w:r>
      <w:r w:rsidRPr="00A522BE">
        <w:rPr>
          <w:rFonts w:cs="Arial"/>
          <w:szCs w:val="22"/>
          <w:lang w:val="en-US"/>
        </w:rPr>
        <w:t>at least 15% of patients) was cough. Adverse events occurring in previously untreated patients with</w:t>
      </w:r>
      <w:r>
        <w:rPr>
          <w:rFonts w:cs="Arial"/>
          <w:szCs w:val="22"/>
          <w:lang w:val="en-US"/>
        </w:rPr>
        <w:t xml:space="preserve"> </w:t>
      </w:r>
      <w:r w:rsidRPr="00A522BE">
        <w:rPr>
          <w:rFonts w:cs="Arial"/>
          <w:szCs w:val="22"/>
          <w:lang w:val="en-US"/>
        </w:rPr>
        <w:t>NSCLC receiving KEYTRUDA in KEYNOTE-024 were generally similar to those occurring in patients</w:t>
      </w:r>
      <w:r>
        <w:rPr>
          <w:rFonts w:cs="Arial"/>
          <w:szCs w:val="22"/>
          <w:lang w:val="en-US"/>
        </w:rPr>
        <w:t xml:space="preserve"> </w:t>
      </w:r>
      <w:r w:rsidRPr="00A522BE">
        <w:rPr>
          <w:rFonts w:cs="Arial"/>
          <w:szCs w:val="22"/>
          <w:lang w:val="en-US"/>
        </w:rPr>
        <w:t>in KEYNOTE-010.</w:t>
      </w:r>
    </w:p>
    <w:p w14:paraId="6225BCDD" w14:textId="0AAF4CFE" w:rsidR="00AE5C10" w:rsidRPr="003745E6" w:rsidRDefault="00AE5C10" w:rsidP="007E3CDB">
      <w:pPr>
        <w:pStyle w:val="Caption"/>
      </w:pPr>
      <w:r w:rsidRPr="003745E6">
        <w:lastRenderedPageBreak/>
        <w:t xml:space="preserve">Table </w:t>
      </w:r>
      <w:r w:rsidR="006A428A">
        <w:t>13</w:t>
      </w:r>
      <w:r w:rsidRPr="003745E6">
        <w:t xml:space="preserve">: </w:t>
      </w:r>
      <w:r w:rsidRPr="00A522BE">
        <w:t>Adverse Events Occurring in ≥10% of NSCLC Patients Treated with KEYTRUDA and at</w:t>
      </w:r>
      <w:r>
        <w:t xml:space="preserve"> </w:t>
      </w:r>
      <w:r w:rsidRPr="00A522BE">
        <w:t>a Higher Incidence than in the Docetaxel Arm (Between Arm Difference of ≥5% [All Grades] or</w:t>
      </w:r>
      <w:r>
        <w:t xml:space="preserve"> </w:t>
      </w:r>
      <w:r w:rsidRPr="00A522BE">
        <w:t>≥2% [Grade 3]) (KEYNOTE-010)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3: Adverse Events Occurring in ≥10% of NSCLC Patients Treated with KEYTRUDA and at a Higher Incidence than in the Docetaxel Arm (Between Arm Difference of ≥5% [All Grades] or ≥2% [Grade 3]) (KEYNOTE-010)"/>
      </w:tblPr>
      <w:tblGrid>
        <w:gridCol w:w="2596"/>
        <w:gridCol w:w="1286"/>
        <w:gridCol w:w="1287"/>
        <w:gridCol w:w="1286"/>
        <w:gridCol w:w="1287"/>
      </w:tblGrid>
      <w:tr w:rsidR="00AE5C10" w:rsidRPr="0070059D" w14:paraId="40ECC4B1" w14:textId="77777777" w:rsidTr="007E3CDB">
        <w:trPr>
          <w:tblHeader/>
          <w:jc w:val="center"/>
        </w:trPr>
        <w:tc>
          <w:tcPr>
            <w:tcW w:w="2596" w:type="dxa"/>
            <w:shd w:val="clear" w:color="auto" w:fill="auto"/>
          </w:tcPr>
          <w:p w14:paraId="021A5696" w14:textId="6C16DD44" w:rsidR="00AE5C10" w:rsidRPr="0070059D" w:rsidRDefault="00AE5C10" w:rsidP="007E3CDB">
            <w:pPr>
              <w:pStyle w:val="BodyText1"/>
              <w:ind w:firstLine="0"/>
              <w:jc w:val="center"/>
              <w:rPr>
                <w:rFonts w:ascii="Arial" w:hAnsi="Arial" w:cs="Arial"/>
                <w:noProof/>
                <w:sz w:val="20"/>
                <w:szCs w:val="20"/>
              </w:rPr>
            </w:pPr>
          </w:p>
        </w:tc>
        <w:tc>
          <w:tcPr>
            <w:tcW w:w="2573" w:type="dxa"/>
            <w:gridSpan w:val="2"/>
            <w:shd w:val="clear" w:color="auto" w:fill="auto"/>
          </w:tcPr>
          <w:p w14:paraId="4778745C" w14:textId="77777777" w:rsidR="00AE5C10" w:rsidRPr="0070059D" w:rsidRDefault="00AE5C10" w:rsidP="007E3CDB">
            <w:pPr>
              <w:suppressAutoHyphens w:val="0"/>
              <w:spacing w:before="4"/>
              <w:jc w:val="center"/>
              <w:rPr>
                <w:rFonts w:cs="Arial"/>
                <w:b/>
                <w:sz w:val="20"/>
              </w:rPr>
            </w:pPr>
            <w:r w:rsidRPr="0070059D">
              <w:rPr>
                <w:rFonts w:cs="Arial"/>
                <w:b/>
                <w:sz w:val="20"/>
              </w:rPr>
              <w:t>KEYTRUDA</w:t>
            </w:r>
          </w:p>
          <w:p w14:paraId="7314CC48" w14:textId="77777777" w:rsidR="00AE5C10" w:rsidRPr="0070059D" w:rsidRDefault="00AE5C10" w:rsidP="007E3CDB">
            <w:pPr>
              <w:suppressAutoHyphens w:val="0"/>
              <w:spacing w:before="4"/>
              <w:jc w:val="center"/>
              <w:rPr>
                <w:rFonts w:cs="Arial"/>
                <w:b/>
                <w:sz w:val="20"/>
              </w:rPr>
            </w:pPr>
            <w:r w:rsidRPr="0070059D">
              <w:rPr>
                <w:rFonts w:cs="Arial"/>
                <w:b/>
                <w:sz w:val="20"/>
              </w:rPr>
              <w:t xml:space="preserve">2 </w:t>
            </w:r>
            <w:r>
              <w:rPr>
                <w:rFonts w:cs="Arial"/>
                <w:b/>
                <w:sz w:val="20"/>
              </w:rPr>
              <w:t xml:space="preserve">or 10 </w:t>
            </w:r>
            <w:r w:rsidRPr="0070059D">
              <w:rPr>
                <w:rFonts w:cs="Arial"/>
                <w:b/>
                <w:sz w:val="20"/>
              </w:rPr>
              <w:t>mg/kg every 3 weeks</w:t>
            </w:r>
          </w:p>
          <w:p w14:paraId="7FEDD559" w14:textId="77777777" w:rsidR="00AE5C10" w:rsidRPr="0070059D" w:rsidRDefault="00AE5C10" w:rsidP="007E3CDB">
            <w:pPr>
              <w:pStyle w:val="BodyText1"/>
              <w:ind w:firstLine="0"/>
              <w:jc w:val="center"/>
              <w:rPr>
                <w:rFonts w:ascii="Arial" w:hAnsi="Arial" w:cs="Arial"/>
                <w:noProof/>
                <w:sz w:val="20"/>
                <w:szCs w:val="20"/>
              </w:rPr>
            </w:pPr>
            <w:r w:rsidRPr="0070059D">
              <w:rPr>
                <w:rFonts w:ascii="Arial" w:hAnsi="Arial" w:cs="Arial"/>
                <w:b/>
                <w:sz w:val="20"/>
                <w:szCs w:val="20"/>
              </w:rPr>
              <w:t>n=</w:t>
            </w:r>
            <w:r>
              <w:rPr>
                <w:rFonts w:ascii="Arial" w:hAnsi="Arial" w:cs="Arial"/>
                <w:b/>
                <w:sz w:val="20"/>
                <w:szCs w:val="20"/>
              </w:rPr>
              <w:t>682</w:t>
            </w:r>
          </w:p>
        </w:tc>
        <w:tc>
          <w:tcPr>
            <w:tcW w:w="2573" w:type="dxa"/>
            <w:gridSpan w:val="2"/>
          </w:tcPr>
          <w:p w14:paraId="621EA673" w14:textId="77777777" w:rsidR="00AE5C10" w:rsidRPr="00A522BE" w:rsidRDefault="00AE5C10" w:rsidP="007E3CDB">
            <w:pPr>
              <w:suppressAutoHyphens w:val="0"/>
              <w:spacing w:before="4"/>
              <w:jc w:val="center"/>
              <w:rPr>
                <w:rFonts w:cs="Arial"/>
                <w:b/>
                <w:sz w:val="20"/>
              </w:rPr>
            </w:pPr>
            <w:r w:rsidRPr="00A522BE">
              <w:rPr>
                <w:rFonts w:cs="Arial"/>
                <w:b/>
                <w:sz w:val="20"/>
              </w:rPr>
              <w:t>Docetaxel</w:t>
            </w:r>
          </w:p>
          <w:p w14:paraId="4CE47201" w14:textId="77777777" w:rsidR="00AE5C10" w:rsidRPr="00A522BE" w:rsidRDefault="00AE5C10" w:rsidP="007E3CDB">
            <w:pPr>
              <w:suppressAutoHyphens w:val="0"/>
              <w:spacing w:before="4"/>
              <w:jc w:val="center"/>
              <w:rPr>
                <w:rFonts w:cs="Arial"/>
                <w:b/>
                <w:sz w:val="20"/>
              </w:rPr>
            </w:pPr>
            <w:r w:rsidRPr="00A522BE">
              <w:rPr>
                <w:rFonts w:cs="Arial"/>
                <w:b/>
                <w:sz w:val="20"/>
              </w:rPr>
              <w:t>75 mg/m</w:t>
            </w:r>
            <w:r w:rsidRPr="00A522BE">
              <w:rPr>
                <w:rFonts w:cs="Arial"/>
                <w:b/>
                <w:sz w:val="20"/>
                <w:vertAlign w:val="superscript"/>
              </w:rPr>
              <w:t>2</w:t>
            </w:r>
            <w:r w:rsidRPr="00A522BE">
              <w:rPr>
                <w:rFonts w:cs="Arial"/>
                <w:b/>
                <w:sz w:val="20"/>
              </w:rPr>
              <w:t xml:space="preserve"> every</w:t>
            </w:r>
          </w:p>
          <w:p w14:paraId="72F65D3D" w14:textId="77777777" w:rsidR="00AE5C10" w:rsidRPr="00A522BE" w:rsidRDefault="00AE5C10" w:rsidP="007E3CDB">
            <w:pPr>
              <w:suppressAutoHyphens w:val="0"/>
              <w:spacing w:before="4"/>
              <w:jc w:val="center"/>
              <w:rPr>
                <w:rFonts w:cs="Arial"/>
                <w:b/>
                <w:sz w:val="20"/>
              </w:rPr>
            </w:pPr>
            <w:r w:rsidRPr="00A522BE">
              <w:rPr>
                <w:rFonts w:cs="Arial"/>
                <w:b/>
                <w:sz w:val="20"/>
              </w:rPr>
              <w:t>3 weeks</w:t>
            </w:r>
          </w:p>
          <w:p w14:paraId="7063D4EF" w14:textId="77777777" w:rsidR="00AE5C10" w:rsidRPr="0070059D" w:rsidRDefault="00AE5C10" w:rsidP="007E3CDB">
            <w:pPr>
              <w:suppressAutoHyphens w:val="0"/>
              <w:spacing w:before="4"/>
              <w:jc w:val="center"/>
              <w:rPr>
                <w:rFonts w:cs="Arial"/>
                <w:b/>
                <w:sz w:val="20"/>
              </w:rPr>
            </w:pPr>
            <w:r w:rsidRPr="00A522BE">
              <w:rPr>
                <w:rFonts w:cs="Arial"/>
                <w:b/>
                <w:sz w:val="20"/>
              </w:rPr>
              <w:t>n=309</w:t>
            </w:r>
          </w:p>
        </w:tc>
      </w:tr>
      <w:tr w:rsidR="00AE5C10" w:rsidRPr="0070059D" w14:paraId="0B4650D9" w14:textId="77777777" w:rsidTr="00ED6856">
        <w:trPr>
          <w:jc w:val="center"/>
        </w:trPr>
        <w:tc>
          <w:tcPr>
            <w:tcW w:w="2596" w:type="dxa"/>
            <w:shd w:val="clear" w:color="auto" w:fill="auto"/>
            <w:vAlign w:val="center"/>
          </w:tcPr>
          <w:p w14:paraId="56429B7B" w14:textId="77777777" w:rsidR="00AE5C10" w:rsidRPr="0070059D" w:rsidRDefault="00AE5C10" w:rsidP="007E3CDB">
            <w:pPr>
              <w:pStyle w:val="BodyText1"/>
              <w:ind w:firstLine="0"/>
              <w:jc w:val="both"/>
              <w:rPr>
                <w:rFonts w:ascii="Arial" w:hAnsi="Arial" w:cs="Arial"/>
                <w:noProof/>
                <w:sz w:val="20"/>
                <w:szCs w:val="20"/>
              </w:rPr>
            </w:pPr>
            <w:r>
              <w:rPr>
                <w:rFonts w:ascii="Arial" w:hAnsi="Arial" w:cs="Arial"/>
                <w:b/>
                <w:sz w:val="20"/>
                <w:szCs w:val="20"/>
              </w:rPr>
              <w:t>Adverse Event</w:t>
            </w:r>
          </w:p>
        </w:tc>
        <w:tc>
          <w:tcPr>
            <w:tcW w:w="1286" w:type="dxa"/>
            <w:shd w:val="clear" w:color="auto" w:fill="auto"/>
          </w:tcPr>
          <w:p w14:paraId="5453AE13" w14:textId="77777777" w:rsidR="00AE5C10" w:rsidRPr="0070059D" w:rsidRDefault="00AE5C10" w:rsidP="007E3CDB">
            <w:pPr>
              <w:suppressAutoHyphens w:val="0"/>
              <w:spacing w:before="4"/>
              <w:jc w:val="center"/>
              <w:rPr>
                <w:rFonts w:cs="Arial"/>
                <w:b/>
                <w:sz w:val="20"/>
              </w:rPr>
            </w:pPr>
            <w:r w:rsidRPr="0070059D">
              <w:rPr>
                <w:rFonts w:cs="Arial"/>
                <w:b/>
                <w:sz w:val="20"/>
              </w:rPr>
              <w:t>All Grades</w:t>
            </w:r>
          </w:p>
          <w:p w14:paraId="2949FA6D" w14:textId="77777777" w:rsidR="00AE5C10" w:rsidRPr="0070059D" w:rsidRDefault="00AE5C10" w:rsidP="007E3CDB">
            <w:pPr>
              <w:suppressAutoHyphens w:val="0"/>
              <w:spacing w:before="4"/>
              <w:jc w:val="center"/>
              <w:rPr>
                <w:rFonts w:cs="Arial"/>
                <w:b/>
                <w:sz w:val="20"/>
              </w:rPr>
            </w:pPr>
            <w:r>
              <w:rPr>
                <w:rFonts w:cs="Arial"/>
                <w:b/>
                <w:sz w:val="20"/>
              </w:rPr>
              <w:t>(</w:t>
            </w:r>
            <w:r w:rsidRPr="0070059D">
              <w:rPr>
                <w:rFonts w:cs="Arial"/>
                <w:b/>
                <w:sz w:val="20"/>
              </w:rPr>
              <w:t>%</w:t>
            </w:r>
            <w:r>
              <w:rPr>
                <w:rFonts w:cs="Arial"/>
                <w:b/>
                <w:sz w:val="20"/>
              </w:rPr>
              <w:t>)</w:t>
            </w:r>
          </w:p>
        </w:tc>
        <w:tc>
          <w:tcPr>
            <w:tcW w:w="1287" w:type="dxa"/>
            <w:shd w:val="clear" w:color="auto" w:fill="auto"/>
          </w:tcPr>
          <w:p w14:paraId="1618F42D" w14:textId="77777777" w:rsidR="00AE5C10" w:rsidRPr="0070059D" w:rsidRDefault="00AE5C10" w:rsidP="007E3CDB">
            <w:pPr>
              <w:suppressAutoHyphens w:val="0"/>
              <w:spacing w:before="4"/>
              <w:jc w:val="center"/>
              <w:rPr>
                <w:rFonts w:cs="Arial"/>
                <w:b/>
                <w:sz w:val="20"/>
              </w:rPr>
            </w:pPr>
            <w:r>
              <w:rPr>
                <w:rFonts w:cs="Arial"/>
                <w:b/>
                <w:sz w:val="20"/>
              </w:rPr>
              <w:t>Grades 3*</w:t>
            </w:r>
          </w:p>
          <w:p w14:paraId="565C2E40" w14:textId="77777777" w:rsidR="00AE5C10" w:rsidRPr="0070059D" w:rsidRDefault="00AE5C10" w:rsidP="007E3CDB">
            <w:pPr>
              <w:suppressAutoHyphens w:val="0"/>
              <w:spacing w:before="4"/>
              <w:jc w:val="center"/>
              <w:rPr>
                <w:rFonts w:cs="Arial"/>
                <w:b/>
                <w:noProof/>
                <w:sz w:val="20"/>
              </w:rPr>
            </w:pPr>
            <w:r>
              <w:rPr>
                <w:rFonts w:cs="Arial"/>
                <w:b/>
                <w:sz w:val="20"/>
              </w:rPr>
              <w:t>(</w:t>
            </w:r>
            <w:r w:rsidRPr="0070059D">
              <w:rPr>
                <w:rFonts w:cs="Arial"/>
                <w:b/>
                <w:sz w:val="20"/>
              </w:rPr>
              <w:t>%</w:t>
            </w:r>
            <w:r>
              <w:rPr>
                <w:rFonts w:cs="Arial"/>
                <w:b/>
                <w:sz w:val="20"/>
              </w:rPr>
              <w:t>)</w:t>
            </w:r>
          </w:p>
        </w:tc>
        <w:tc>
          <w:tcPr>
            <w:tcW w:w="1286" w:type="dxa"/>
          </w:tcPr>
          <w:p w14:paraId="2967272A" w14:textId="77777777" w:rsidR="00AE5C10" w:rsidRPr="0070059D" w:rsidRDefault="00AE5C10" w:rsidP="007E3CDB">
            <w:pPr>
              <w:suppressAutoHyphens w:val="0"/>
              <w:spacing w:before="4"/>
              <w:jc w:val="center"/>
              <w:rPr>
                <w:rFonts w:cs="Arial"/>
                <w:b/>
                <w:sz w:val="20"/>
              </w:rPr>
            </w:pPr>
            <w:r w:rsidRPr="0070059D">
              <w:rPr>
                <w:rFonts w:cs="Arial"/>
                <w:b/>
                <w:sz w:val="20"/>
              </w:rPr>
              <w:t>All Grades</w:t>
            </w:r>
          </w:p>
          <w:p w14:paraId="75564EE5" w14:textId="77777777" w:rsidR="00AE5C10" w:rsidRPr="0070059D" w:rsidRDefault="00AE5C10" w:rsidP="007E3CDB">
            <w:pPr>
              <w:suppressAutoHyphens w:val="0"/>
              <w:spacing w:before="4"/>
              <w:jc w:val="center"/>
              <w:rPr>
                <w:rFonts w:cs="Arial"/>
                <w:b/>
                <w:sz w:val="20"/>
              </w:rPr>
            </w:pPr>
            <w:r>
              <w:rPr>
                <w:rFonts w:cs="Arial"/>
                <w:b/>
                <w:sz w:val="20"/>
              </w:rPr>
              <w:t>(</w:t>
            </w:r>
            <w:r w:rsidRPr="0070059D">
              <w:rPr>
                <w:rFonts w:cs="Arial"/>
                <w:b/>
                <w:sz w:val="20"/>
              </w:rPr>
              <w:t>%</w:t>
            </w:r>
            <w:r>
              <w:rPr>
                <w:rFonts w:cs="Arial"/>
                <w:b/>
                <w:sz w:val="20"/>
              </w:rPr>
              <w:t>)</w:t>
            </w:r>
          </w:p>
        </w:tc>
        <w:tc>
          <w:tcPr>
            <w:tcW w:w="1287" w:type="dxa"/>
          </w:tcPr>
          <w:p w14:paraId="0B1DA2D4" w14:textId="77777777" w:rsidR="00AE5C10" w:rsidRPr="0070059D" w:rsidRDefault="00AE5C10" w:rsidP="007E3CDB">
            <w:pPr>
              <w:suppressAutoHyphens w:val="0"/>
              <w:spacing w:before="4"/>
              <w:jc w:val="center"/>
              <w:rPr>
                <w:rFonts w:cs="Arial"/>
                <w:b/>
                <w:sz w:val="20"/>
              </w:rPr>
            </w:pPr>
            <w:r>
              <w:rPr>
                <w:rFonts w:cs="Arial"/>
                <w:b/>
                <w:sz w:val="20"/>
              </w:rPr>
              <w:t>Grades 3*</w:t>
            </w:r>
          </w:p>
          <w:p w14:paraId="0AFC4741" w14:textId="77777777" w:rsidR="00AE5C10" w:rsidRPr="0070059D" w:rsidRDefault="00AE5C10" w:rsidP="007E3CDB">
            <w:pPr>
              <w:suppressAutoHyphens w:val="0"/>
              <w:spacing w:before="4"/>
              <w:jc w:val="center"/>
              <w:rPr>
                <w:rFonts w:cs="Arial"/>
                <w:b/>
                <w:sz w:val="20"/>
              </w:rPr>
            </w:pPr>
            <w:r>
              <w:rPr>
                <w:rFonts w:cs="Arial"/>
                <w:b/>
                <w:sz w:val="20"/>
              </w:rPr>
              <w:t>(</w:t>
            </w:r>
            <w:r w:rsidRPr="0070059D">
              <w:rPr>
                <w:rFonts w:cs="Arial"/>
                <w:b/>
                <w:sz w:val="20"/>
              </w:rPr>
              <w:t>%</w:t>
            </w:r>
            <w:r>
              <w:rPr>
                <w:rFonts w:cs="Arial"/>
                <w:b/>
                <w:sz w:val="20"/>
              </w:rPr>
              <w:t>)</w:t>
            </w:r>
          </w:p>
        </w:tc>
      </w:tr>
      <w:tr w:rsidR="00AE5C10" w:rsidRPr="0070059D" w14:paraId="24B049A6" w14:textId="77777777" w:rsidTr="00ED6856">
        <w:trPr>
          <w:jc w:val="center"/>
        </w:trPr>
        <w:tc>
          <w:tcPr>
            <w:tcW w:w="7742" w:type="dxa"/>
            <w:gridSpan w:val="5"/>
            <w:shd w:val="clear" w:color="auto" w:fill="auto"/>
          </w:tcPr>
          <w:p w14:paraId="23984C35" w14:textId="77777777" w:rsidR="00AE5C10" w:rsidRPr="0070059D" w:rsidRDefault="00AE5C10" w:rsidP="007E3CDB">
            <w:pPr>
              <w:pStyle w:val="BodyText1"/>
              <w:ind w:firstLine="0"/>
              <w:rPr>
                <w:rFonts w:ascii="Arial" w:hAnsi="Arial" w:cs="Arial"/>
                <w:b/>
                <w:sz w:val="20"/>
                <w:szCs w:val="20"/>
              </w:rPr>
            </w:pPr>
            <w:r w:rsidRPr="00A522BE">
              <w:rPr>
                <w:rFonts w:ascii="Arial" w:hAnsi="Arial" w:cs="Arial"/>
                <w:b/>
                <w:sz w:val="20"/>
                <w:szCs w:val="20"/>
              </w:rPr>
              <w:t>Respiratory, Thoracic and Mediastinal Disorders</w:t>
            </w:r>
          </w:p>
        </w:tc>
      </w:tr>
      <w:tr w:rsidR="00AE5C10" w:rsidRPr="00A200A3" w14:paraId="3FB406C7" w14:textId="77777777" w:rsidTr="00ED6856">
        <w:trPr>
          <w:jc w:val="center"/>
        </w:trPr>
        <w:tc>
          <w:tcPr>
            <w:tcW w:w="2596" w:type="dxa"/>
            <w:shd w:val="clear" w:color="auto" w:fill="auto"/>
          </w:tcPr>
          <w:p w14:paraId="1A062838" w14:textId="77777777" w:rsidR="00AE5C10" w:rsidRPr="0070059D" w:rsidRDefault="00AE5C10" w:rsidP="007E3CDB">
            <w:pPr>
              <w:pStyle w:val="BodyText1"/>
              <w:ind w:left="342" w:firstLine="0"/>
              <w:jc w:val="both"/>
              <w:rPr>
                <w:rFonts w:ascii="Arial" w:hAnsi="Arial" w:cs="Arial"/>
                <w:noProof/>
                <w:sz w:val="20"/>
                <w:szCs w:val="20"/>
              </w:rPr>
            </w:pPr>
            <w:r>
              <w:rPr>
                <w:rFonts w:ascii="Arial" w:hAnsi="Arial" w:cs="Arial"/>
                <w:noProof/>
                <w:sz w:val="20"/>
                <w:szCs w:val="20"/>
              </w:rPr>
              <w:t>Cough</w:t>
            </w:r>
          </w:p>
        </w:tc>
        <w:tc>
          <w:tcPr>
            <w:tcW w:w="1286" w:type="dxa"/>
            <w:shd w:val="clear" w:color="auto" w:fill="auto"/>
          </w:tcPr>
          <w:p w14:paraId="7941A7AF" w14:textId="77777777" w:rsidR="00AE5C10" w:rsidRPr="0070059D" w:rsidRDefault="00AE5C10" w:rsidP="007E3CDB">
            <w:pPr>
              <w:pStyle w:val="BodyText1"/>
              <w:ind w:firstLine="0"/>
              <w:jc w:val="center"/>
              <w:rPr>
                <w:rFonts w:ascii="Arial" w:hAnsi="Arial" w:cs="Arial"/>
                <w:noProof/>
                <w:sz w:val="20"/>
                <w:szCs w:val="20"/>
              </w:rPr>
            </w:pPr>
            <w:r>
              <w:rPr>
                <w:rFonts w:ascii="Arial" w:hAnsi="Arial" w:cs="Arial"/>
                <w:noProof/>
                <w:sz w:val="20"/>
                <w:szCs w:val="20"/>
              </w:rPr>
              <w:t>19</w:t>
            </w:r>
          </w:p>
        </w:tc>
        <w:tc>
          <w:tcPr>
            <w:tcW w:w="1287" w:type="dxa"/>
            <w:shd w:val="clear" w:color="auto" w:fill="auto"/>
          </w:tcPr>
          <w:p w14:paraId="66CADF61" w14:textId="77777777" w:rsidR="00AE5C10" w:rsidRPr="0070059D" w:rsidRDefault="00AE5C10" w:rsidP="007E3CDB">
            <w:pPr>
              <w:pStyle w:val="BodyText1"/>
              <w:ind w:firstLine="0"/>
              <w:jc w:val="center"/>
              <w:rPr>
                <w:rFonts w:ascii="Arial" w:hAnsi="Arial" w:cs="Arial"/>
                <w:noProof/>
                <w:sz w:val="20"/>
                <w:szCs w:val="20"/>
              </w:rPr>
            </w:pPr>
            <w:r>
              <w:rPr>
                <w:rFonts w:ascii="Arial" w:hAnsi="Arial" w:cs="Arial"/>
                <w:noProof/>
                <w:sz w:val="20"/>
                <w:szCs w:val="20"/>
              </w:rPr>
              <w:t>1</w:t>
            </w:r>
          </w:p>
        </w:tc>
        <w:tc>
          <w:tcPr>
            <w:tcW w:w="1286" w:type="dxa"/>
          </w:tcPr>
          <w:p w14:paraId="0FE8815B" w14:textId="77777777" w:rsidR="00AE5C10" w:rsidRPr="0070059D" w:rsidRDefault="00AE5C10" w:rsidP="007E3CDB">
            <w:pPr>
              <w:pStyle w:val="BodyText1"/>
              <w:ind w:firstLine="0"/>
              <w:jc w:val="center"/>
              <w:rPr>
                <w:rFonts w:ascii="Arial" w:hAnsi="Arial" w:cs="Arial"/>
                <w:sz w:val="20"/>
                <w:szCs w:val="20"/>
              </w:rPr>
            </w:pPr>
            <w:r>
              <w:rPr>
                <w:rFonts w:ascii="Arial" w:hAnsi="Arial" w:cs="Arial"/>
                <w:sz w:val="20"/>
                <w:szCs w:val="20"/>
              </w:rPr>
              <w:t>14</w:t>
            </w:r>
          </w:p>
        </w:tc>
        <w:tc>
          <w:tcPr>
            <w:tcW w:w="1287" w:type="dxa"/>
          </w:tcPr>
          <w:p w14:paraId="65B72FDC" w14:textId="77777777" w:rsidR="00AE5C10" w:rsidRPr="0070059D" w:rsidRDefault="00AE5C10" w:rsidP="007E3CDB">
            <w:pPr>
              <w:pStyle w:val="BodyText1"/>
              <w:ind w:firstLine="0"/>
              <w:jc w:val="center"/>
              <w:rPr>
                <w:rFonts w:ascii="Arial" w:hAnsi="Arial" w:cs="Arial"/>
                <w:sz w:val="20"/>
                <w:szCs w:val="20"/>
              </w:rPr>
            </w:pPr>
            <w:r>
              <w:rPr>
                <w:rFonts w:ascii="Arial" w:hAnsi="Arial" w:cs="Arial"/>
                <w:sz w:val="20"/>
                <w:szCs w:val="20"/>
              </w:rPr>
              <w:t>0</w:t>
            </w:r>
          </w:p>
        </w:tc>
      </w:tr>
      <w:tr w:rsidR="00AE5C10" w:rsidRPr="0070059D" w14:paraId="3753EB57" w14:textId="77777777" w:rsidTr="00ED6856">
        <w:trPr>
          <w:jc w:val="center"/>
        </w:trPr>
        <w:tc>
          <w:tcPr>
            <w:tcW w:w="7742" w:type="dxa"/>
            <w:gridSpan w:val="5"/>
            <w:shd w:val="clear" w:color="auto" w:fill="auto"/>
          </w:tcPr>
          <w:p w14:paraId="7874E3CB" w14:textId="77777777" w:rsidR="00AE5C10" w:rsidRPr="0070059D" w:rsidRDefault="00AE5C10" w:rsidP="007E3CDB">
            <w:pPr>
              <w:pStyle w:val="BodyText1"/>
              <w:ind w:firstLine="0"/>
              <w:rPr>
                <w:rFonts w:ascii="Arial" w:hAnsi="Arial" w:cs="Arial"/>
                <w:b/>
                <w:sz w:val="20"/>
                <w:szCs w:val="20"/>
              </w:rPr>
            </w:pPr>
            <w:r w:rsidRPr="00A522BE">
              <w:rPr>
                <w:rFonts w:ascii="Arial" w:hAnsi="Arial" w:cs="Arial"/>
                <w:b/>
                <w:sz w:val="20"/>
                <w:szCs w:val="20"/>
              </w:rPr>
              <w:t>Skin and Subcutaneous Tissue Disorders</w:t>
            </w:r>
          </w:p>
        </w:tc>
      </w:tr>
      <w:tr w:rsidR="00AE5C10" w:rsidRPr="0070059D" w14:paraId="6922F62E" w14:textId="77777777" w:rsidTr="00ED6856">
        <w:trPr>
          <w:jc w:val="center"/>
        </w:trPr>
        <w:tc>
          <w:tcPr>
            <w:tcW w:w="2596" w:type="dxa"/>
            <w:shd w:val="clear" w:color="auto" w:fill="auto"/>
          </w:tcPr>
          <w:p w14:paraId="2978478B" w14:textId="77777777" w:rsidR="00AE5C10" w:rsidRPr="0070059D" w:rsidRDefault="00AE5C10" w:rsidP="007E3CDB">
            <w:pPr>
              <w:pStyle w:val="BodyText1"/>
              <w:ind w:left="342" w:firstLine="0"/>
              <w:jc w:val="both"/>
              <w:rPr>
                <w:rFonts w:ascii="Arial" w:hAnsi="Arial" w:cs="Arial"/>
                <w:sz w:val="20"/>
                <w:szCs w:val="20"/>
              </w:rPr>
            </w:pPr>
            <w:r>
              <w:rPr>
                <w:rFonts w:ascii="Arial" w:hAnsi="Arial" w:cs="Arial"/>
                <w:sz w:val="20"/>
                <w:szCs w:val="20"/>
              </w:rPr>
              <w:t>Rash</w:t>
            </w:r>
          </w:p>
        </w:tc>
        <w:tc>
          <w:tcPr>
            <w:tcW w:w="1286" w:type="dxa"/>
            <w:shd w:val="clear" w:color="auto" w:fill="auto"/>
          </w:tcPr>
          <w:p w14:paraId="065D584C" w14:textId="77777777" w:rsidR="00AE5C10" w:rsidRPr="0070059D" w:rsidRDefault="00AE5C10" w:rsidP="007E3CDB">
            <w:pPr>
              <w:pStyle w:val="BodyText1"/>
              <w:ind w:firstLine="0"/>
              <w:jc w:val="center"/>
              <w:rPr>
                <w:rFonts w:ascii="Arial" w:hAnsi="Arial" w:cs="Arial"/>
                <w:sz w:val="20"/>
                <w:szCs w:val="20"/>
              </w:rPr>
            </w:pPr>
            <w:r>
              <w:rPr>
                <w:rFonts w:ascii="Arial" w:hAnsi="Arial" w:cs="Arial"/>
                <w:sz w:val="20"/>
                <w:szCs w:val="20"/>
              </w:rPr>
              <w:t>14</w:t>
            </w:r>
          </w:p>
        </w:tc>
        <w:tc>
          <w:tcPr>
            <w:tcW w:w="1287" w:type="dxa"/>
            <w:shd w:val="clear" w:color="auto" w:fill="auto"/>
          </w:tcPr>
          <w:p w14:paraId="461102F2" w14:textId="77777777" w:rsidR="00AE5C10" w:rsidRPr="0070059D" w:rsidRDefault="00AE5C10" w:rsidP="007E3CDB">
            <w:pPr>
              <w:pStyle w:val="BodyText1"/>
              <w:ind w:firstLine="0"/>
              <w:jc w:val="center"/>
              <w:rPr>
                <w:rFonts w:ascii="Arial" w:hAnsi="Arial" w:cs="Arial"/>
                <w:sz w:val="20"/>
                <w:szCs w:val="20"/>
              </w:rPr>
            </w:pPr>
            <w:r>
              <w:rPr>
                <w:rFonts w:ascii="Arial" w:hAnsi="Arial" w:cs="Arial"/>
                <w:sz w:val="20"/>
                <w:szCs w:val="20"/>
              </w:rPr>
              <w:t>&lt;1</w:t>
            </w:r>
          </w:p>
        </w:tc>
        <w:tc>
          <w:tcPr>
            <w:tcW w:w="1286" w:type="dxa"/>
          </w:tcPr>
          <w:p w14:paraId="15AAE59E" w14:textId="77777777" w:rsidR="00AE5C10" w:rsidRPr="0070059D" w:rsidRDefault="00AE5C10" w:rsidP="007E3CDB">
            <w:pPr>
              <w:pStyle w:val="BodyText1"/>
              <w:ind w:firstLine="0"/>
              <w:jc w:val="center"/>
              <w:rPr>
                <w:rFonts w:ascii="Arial" w:hAnsi="Arial" w:cs="Arial"/>
                <w:sz w:val="20"/>
                <w:szCs w:val="20"/>
              </w:rPr>
            </w:pPr>
            <w:r>
              <w:rPr>
                <w:rFonts w:ascii="Arial" w:hAnsi="Arial" w:cs="Arial"/>
                <w:sz w:val="20"/>
                <w:szCs w:val="20"/>
              </w:rPr>
              <w:t>7</w:t>
            </w:r>
          </w:p>
        </w:tc>
        <w:tc>
          <w:tcPr>
            <w:tcW w:w="1287" w:type="dxa"/>
          </w:tcPr>
          <w:p w14:paraId="5837A0DC" w14:textId="77777777" w:rsidR="00AE5C10" w:rsidRPr="0070059D" w:rsidRDefault="00AE5C10" w:rsidP="007E3CDB">
            <w:pPr>
              <w:pStyle w:val="BodyText1"/>
              <w:ind w:firstLine="0"/>
              <w:jc w:val="center"/>
              <w:rPr>
                <w:rFonts w:ascii="Arial" w:hAnsi="Arial" w:cs="Arial"/>
                <w:sz w:val="20"/>
                <w:szCs w:val="20"/>
              </w:rPr>
            </w:pPr>
            <w:r>
              <w:rPr>
                <w:rFonts w:ascii="Arial" w:hAnsi="Arial" w:cs="Arial"/>
                <w:sz w:val="20"/>
                <w:szCs w:val="20"/>
              </w:rPr>
              <w:t>0</w:t>
            </w:r>
          </w:p>
        </w:tc>
      </w:tr>
      <w:tr w:rsidR="00AE5C10" w:rsidRPr="0070059D" w14:paraId="30C25D7A" w14:textId="77777777" w:rsidTr="00ED6856">
        <w:trPr>
          <w:jc w:val="center"/>
        </w:trPr>
        <w:tc>
          <w:tcPr>
            <w:tcW w:w="2596" w:type="dxa"/>
            <w:tcBorders>
              <w:bottom w:val="single" w:sz="4" w:space="0" w:color="auto"/>
            </w:tcBorders>
            <w:shd w:val="clear" w:color="auto" w:fill="auto"/>
          </w:tcPr>
          <w:p w14:paraId="7D4B2FE1" w14:textId="77777777" w:rsidR="00AE5C10" w:rsidRPr="0070059D" w:rsidRDefault="00AE5C10" w:rsidP="007E3CDB">
            <w:pPr>
              <w:pStyle w:val="BodyText1"/>
              <w:ind w:left="342" w:firstLine="0"/>
              <w:jc w:val="both"/>
              <w:rPr>
                <w:rFonts w:ascii="Arial" w:hAnsi="Arial" w:cs="Arial"/>
                <w:sz w:val="20"/>
                <w:szCs w:val="20"/>
              </w:rPr>
            </w:pPr>
            <w:proofErr w:type="spellStart"/>
            <w:r>
              <w:rPr>
                <w:rFonts w:ascii="Arial" w:hAnsi="Arial" w:cs="Arial"/>
                <w:sz w:val="20"/>
                <w:szCs w:val="20"/>
              </w:rPr>
              <w:t>Pruritis</w:t>
            </w:r>
            <w:proofErr w:type="spellEnd"/>
          </w:p>
        </w:tc>
        <w:tc>
          <w:tcPr>
            <w:tcW w:w="1286" w:type="dxa"/>
            <w:tcBorders>
              <w:bottom w:val="single" w:sz="4" w:space="0" w:color="auto"/>
            </w:tcBorders>
            <w:shd w:val="clear" w:color="auto" w:fill="auto"/>
          </w:tcPr>
          <w:p w14:paraId="4878BD87" w14:textId="77777777" w:rsidR="00AE5C10" w:rsidRPr="0070059D" w:rsidRDefault="00AE5C10" w:rsidP="007E3CDB">
            <w:pPr>
              <w:pStyle w:val="BodyText1"/>
              <w:ind w:firstLine="0"/>
              <w:jc w:val="center"/>
              <w:rPr>
                <w:rFonts w:ascii="Arial" w:hAnsi="Arial" w:cs="Arial"/>
                <w:sz w:val="20"/>
                <w:szCs w:val="20"/>
              </w:rPr>
            </w:pPr>
            <w:r>
              <w:rPr>
                <w:rFonts w:ascii="Arial" w:hAnsi="Arial" w:cs="Arial"/>
                <w:sz w:val="20"/>
                <w:szCs w:val="20"/>
              </w:rPr>
              <w:t>11</w:t>
            </w:r>
          </w:p>
        </w:tc>
        <w:tc>
          <w:tcPr>
            <w:tcW w:w="1287" w:type="dxa"/>
            <w:tcBorders>
              <w:bottom w:val="single" w:sz="4" w:space="0" w:color="auto"/>
            </w:tcBorders>
            <w:shd w:val="clear" w:color="auto" w:fill="auto"/>
          </w:tcPr>
          <w:p w14:paraId="5B0BC85F" w14:textId="77777777" w:rsidR="00AE5C10" w:rsidRPr="0070059D" w:rsidRDefault="00AE5C10" w:rsidP="007E3CDB">
            <w:pPr>
              <w:pStyle w:val="BodyText1"/>
              <w:ind w:firstLine="0"/>
              <w:jc w:val="center"/>
              <w:rPr>
                <w:rFonts w:ascii="Arial" w:hAnsi="Arial" w:cs="Arial"/>
                <w:sz w:val="20"/>
                <w:szCs w:val="20"/>
              </w:rPr>
            </w:pPr>
            <w:r>
              <w:rPr>
                <w:rFonts w:ascii="Arial" w:hAnsi="Arial" w:cs="Arial"/>
                <w:sz w:val="20"/>
                <w:szCs w:val="20"/>
              </w:rPr>
              <w:t>0</w:t>
            </w:r>
          </w:p>
        </w:tc>
        <w:tc>
          <w:tcPr>
            <w:tcW w:w="1286" w:type="dxa"/>
            <w:tcBorders>
              <w:bottom w:val="single" w:sz="4" w:space="0" w:color="auto"/>
            </w:tcBorders>
          </w:tcPr>
          <w:p w14:paraId="6E12C6AA" w14:textId="77777777" w:rsidR="00AE5C10" w:rsidRPr="0070059D" w:rsidRDefault="00AE5C10" w:rsidP="007E3CDB">
            <w:pPr>
              <w:pStyle w:val="BodyText1"/>
              <w:ind w:firstLine="0"/>
              <w:jc w:val="center"/>
              <w:rPr>
                <w:rFonts w:ascii="Arial" w:hAnsi="Arial" w:cs="Arial"/>
                <w:sz w:val="20"/>
                <w:szCs w:val="20"/>
              </w:rPr>
            </w:pPr>
            <w:r>
              <w:rPr>
                <w:rFonts w:ascii="Arial" w:hAnsi="Arial" w:cs="Arial"/>
                <w:sz w:val="20"/>
                <w:szCs w:val="20"/>
              </w:rPr>
              <w:t>3</w:t>
            </w:r>
          </w:p>
        </w:tc>
        <w:tc>
          <w:tcPr>
            <w:tcW w:w="1287" w:type="dxa"/>
            <w:tcBorders>
              <w:bottom w:val="single" w:sz="4" w:space="0" w:color="auto"/>
            </w:tcBorders>
          </w:tcPr>
          <w:p w14:paraId="615C6603" w14:textId="77777777" w:rsidR="00AE5C10" w:rsidRPr="0070059D" w:rsidRDefault="00AE5C10" w:rsidP="007E3CDB">
            <w:pPr>
              <w:pStyle w:val="BodyText1"/>
              <w:ind w:firstLine="0"/>
              <w:jc w:val="center"/>
              <w:rPr>
                <w:rFonts w:ascii="Arial" w:hAnsi="Arial" w:cs="Arial"/>
                <w:sz w:val="20"/>
                <w:szCs w:val="20"/>
              </w:rPr>
            </w:pPr>
            <w:r>
              <w:rPr>
                <w:rFonts w:ascii="Arial" w:hAnsi="Arial" w:cs="Arial"/>
                <w:sz w:val="20"/>
                <w:szCs w:val="20"/>
              </w:rPr>
              <w:t>&lt;1</w:t>
            </w:r>
          </w:p>
        </w:tc>
      </w:tr>
      <w:tr w:rsidR="00AE5C10" w:rsidRPr="0070059D" w14:paraId="3E7BB806" w14:textId="77777777" w:rsidTr="00ED6856">
        <w:trPr>
          <w:jc w:val="center"/>
        </w:trPr>
        <w:tc>
          <w:tcPr>
            <w:tcW w:w="7742" w:type="dxa"/>
            <w:gridSpan w:val="5"/>
            <w:tcBorders>
              <w:left w:val="nil"/>
              <w:bottom w:val="nil"/>
              <w:right w:val="nil"/>
            </w:tcBorders>
            <w:shd w:val="clear" w:color="auto" w:fill="auto"/>
          </w:tcPr>
          <w:p w14:paraId="2B88E9BD" w14:textId="77777777" w:rsidR="00AE5C10" w:rsidRDefault="00AE5C10" w:rsidP="007E3CDB">
            <w:pPr>
              <w:pStyle w:val="BodyText1"/>
              <w:ind w:firstLine="0"/>
              <w:rPr>
                <w:rFonts w:ascii="Arial" w:hAnsi="Arial" w:cs="Arial"/>
                <w:sz w:val="20"/>
                <w:szCs w:val="20"/>
              </w:rPr>
            </w:pPr>
            <w:r w:rsidRPr="00A522BE">
              <w:rPr>
                <w:rFonts w:ascii="Arial" w:hAnsi="Arial" w:cs="Arial"/>
                <w:sz w:val="20"/>
                <w:szCs w:val="20"/>
              </w:rPr>
              <w:t>* Of these ≥10% adverse events, none was reported as Grade 4.</w:t>
            </w:r>
          </w:p>
        </w:tc>
      </w:tr>
    </w:tbl>
    <w:p w14:paraId="60B005A5" w14:textId="77777777" w:rsidR="00C2547F" w:rsidRPr="00F93702" w:rsidRDefault="00C2547F" w:rsidP="00A96B4E">
      <w:pPr>
        <w:pStyle w:val="Heading3"/>
      </w:pPr>
      <w:r w:rsidRPr="00F93702">
        <w:t>Head and Neck Cancer</w:t>
      </w:r>
    </w:p>
    <w:p w14:paraId="4FE2A92B" w14:textId="57849D7A" w:rsidR="00C2547F" w:rsidRDefault="00C2547F" w:rsidP="00C2547F">
      <w:pPr>
        <w:rPr>
          <w:rFonts w:cs="Arial"/>
          <w:noProof/>
        </w:rPr>
      </w:pPr>
      <w:r w:rsidRPr="00F93702">
        <w:rPr>
          <w:rFonts w:cs="Arial"/>
          <w:noProof/>
        </w:rPr>
        <w:t>Adverse events occurring in patients with HNSCC were generally similar to those occurring in patients with melanoma or NSCLC, except with respect to the higher rate of hypothyroidism observed in patients with H</w:t>
      </w:r>
      <w:r>
        <w:rPr>
          <w:rFonts w:cs="Arial"/>
          <w:noProof/>
        </w:rPr>
        <w:t xml:space="preserve">NSCC (see Table </w:t>
      </w:r>
      <w:r w:rsidR="006A428A">
        <w:rPr>
          <w:rFonts w:cs="Arial"/>
          <w:noProof/>
        </w:rPr>
        <w:t>8</w:t>
      </w:r>
      <w:r>
        <w:rPr>
          <w:rFonts w:cs="Arial"/>
          <w:noProof/>
        </w:rPr>
        <w:t xml:space="preserve">). Of these 28 patients, </w:t>
      </w:r>
      <w:r w:rsidRPr="00F93702">
        <w:rPr>
          <w:rFonts w:cs="Arial"/>
          <w:noProof/>
        </w:rPr>
        <w:t>15 had no prior history of hypothyroidism.</w:t>
      </w:r>
    </w:p>
    <w:p w14:paraId="444DEA99" w14:textId="35D2EFC6" w:rsidR="00672926" w:rsidRDefault="00672926" w:rsidP="00A96B4E">
      <w:pPr>
        <w:pStyle w:val="Heading3"/>
      </w:pPr>
      <w:r w:rsidRPr="00672926">
        <w:t>Classical Hodgkin Lymphoma</w:t>
      </w:r>
    </w:p>
    <w:p w14:paraId="7ACE3481" w14:textId="77777777" w:rsidR="000B4EB3" w:rsidRDefault="00DC14EB" w:rsidP="00C2547F">
      <w:pPr>
        <w:rPr>
          <w:noProof/>
        </w:rPr>
      </w:pPr>
      <w:r w:rsidRPr="00DC14EB">
        <w:rPr>
          <w:noProof/>
        </w:rPr>
        <w:t>In patients with cHL, a higher incidence of pyrexia (24%) possibly due to B-symptoms, hypothyroidism (14.1%) and upper respiratory tract infection (13%) have been noted. Other adverse events were generally similar to those occurring in patients with melanoma or NSCLC.</w:t>
      </w:r>
    </w:p>
    <w:p w14:paraId="27B2E78D" w14:textId="257E56A1" w:rsidR="003A6F1C" w:rsidRPr="009265E5" w:rsidRDefault="003A6F1C">
      <w:pPr>
        <w:pStyle w:val="Heading1"/>
      </w:pPr>
      <w:r w:rsidRPr="009265E5">
        <w:t>DOSAGE AND ADMINISTRATION</w:t>
      </w:r>
    </w:p>
    <w:p w14:paraId="1716CEBE" w14:textId="73249D90" w:rsidR="00AE5C10" w:rsidRPr="006F32C0" w:rsidRDefault="00615ECC" w:rsidP="007E3CDB">
      <w:r w:rsidRPr="00431AB6">
        <w:rPr>
          <w:rFonts w:cs="Arial"/>
        </w:rPr>
        <w:t xml:space="preserve">Treatment must be initiated and supervised by healthcare professionals experienced in the treatment of cancer. </w:t>
      </w:r>
      <w:r w:rsidRPr="00431AB6">
        <w:rPr>
          <w:rFonts w:cs="Arial"/>
        </w:rPr>
        <w:cr/>
      </w:r>
      <w:r w:rsidR="00AE5C10" w:rsidRPr="006F32C0">
        <w:t>Patient Selection</w:t>
      </w:r>
    </w:p>
    <w:p w14:paraId="61060C50" w14:textId="77777777" w:rsidR="00AE5C10" w:rsidRPr="00A96B4E" w:rsidRDefault="00AE5C10" w:rsidP="00A96B4E">
      <w:pPr>
        <w:pStyle w:val="Heading2"/>
        <w:rPr>
          <w:b w:val="0"/>
        </w:rPr>
      </w:pPr>
      <w:r w:rsidRPr="00A96B4E">
        <w:rPr>
          <w:b w:val="0"/>
        </w:rPr>
        <w:t>Non-Small Cell Lung Carcinoma</w:t>
      </w:r>
    </w:p>
    <w:p w14:paraId="4013493B" w14:textId="77777777" w:rsidR="00AE5C10" w:rsidRDefault="00AE5C10" w:rsidP="00AE5C10">
      <w:pPr>
        <w:rPr>
          <w:rFonts w:cs="Arial"/>
        </w:rPr>
      </w:pPr>
      <w:r w:rsidRPr="006F32C0">
        <w:rPr>
          <w:rFonts w:cs="Arial"/>
        </w:rPr>
        <w:t xml:space="preserve">Patients should be selected for treatment of </w:t>
      </w:r>
      <w:r w:rsidRPr="00A13F6E">
        <w:rPr>
          <w:rFonts w:cs="Arial"/>
        </w:rPr>
        <w:t>advanced</w:t>
      </w:r>
      <w:r w:rsidRPr="006F32C0">
        <w:rPr>
          <w:rFonts w:cs="Arial"/>
        </w:rPr>
        <w:t xml:space="preserve"> NSCLC with KEYTRUDA based on the presence of positive PD-L1 expression</w:t>
      </w:r>
      <w:r>
        <w:rPr>
          <w:rFonts w:cs="Arial"/>
        </w:rPr>
        <w:t xml:space="preserve"> </w:t>
      </w:r>
      <w:r w:rsidRPr="00CF65D1">
        <w:rPr>
          <w:i/>
          <w:noProof/>
          <w:szCs w:val="22"/>
        </w:rPr>
        <w:t xml:space="preserve">[see </w:t>
      </w:r>
      <w:r>
        <w:rPr>
          <w:i/>
          <w:noProof/>
          <w:szCs w:val="22"/>
        </w:rPr>
        <w:t>CLINICAL TRIALS</w:t>
      </w:r>
      <w:r w:rsidRPr="00CF65D1">
        <w:rPr>
          <w:i/>
          <w:noProof/>
          <w:szCs w:val="22"/>
        </w:rPr>
        <w:t>]</w:t>
      </w:r>
      <w:r w:rsidRPr="006F32C0">
        <w:rPr>
          <w:rFonts w:cs="Arial"/>
        </w:rPr>
        <w:t>.</w:t>
      </w:r>
    </w:p>
    <w:p w14:paraId="2CCC52AA" w14:textId="77777777" w:rsidR="003C5087" w:rsidRPr="003C5087" w:rsidRDefault="003C5087" w:rsidP="003C5087">
      <w:pPr>
        <w:autoSpaceDE w:val="0"/>
        <w:autoSpaceDN w:val="0"/>
        <w:rPr>
          <w:rFonts w:ascii="ArialMT" w:hAnsi="ArialMT"/>
          <w:strike/>
          <w:color w:val="FF0101"/>
          <w:sz w:val="21"/>
          <w:szCs w:val="21"/>
        </w:rPr>
      </w:pPr>
      <w:r>
        <w:rPr>
          <w:rFonts w:cs="Arial"/>
        </w:rPr>
        <w:t xml:space="preserve">Determination of PD-L1 expression should be performed by laboratories with demonstrated proficiency in the </w:t>
      </w:r>
      <w:r w:rsidRPr="003C5087">
        <w:rPr>
          <w:rFonts w:cs="Arial"/>
          <w:i/>
        </w:rPr>
        <w:t>in-vitro</w:t>
      </w:r>
      <w:r>
        <w:rPr>
          <w:rFonts w:cs="Arial"/>
          <w:i/>
        </w:rPr>
        <w:t xml:space="preserve"> </w:t>
      </w:r>
      <w:r>
        <w:rPr>
          <w:rFonts w:cs="Arial"/>
        </w:rPr>
        <w:t>diagnostic technology being employed.</w:t>
      </w:r>
    </w:p>
    <w:p w14:paraId="5916823F" w14:textId="77777777" w:rsidR="00C169A1" w:rsidRPr="00A96B4E" w:rsidRDefault="00C169A1" w:rsidP="00EE12B4">
      <w:pPr>
        <w:pStyle w:val="Heading2"/>
        <w:rPr>
          <w:rFonts w:ascii="Arial" w:hAnsi="Arial" w:cs="Arial"/>
          <w:b w:val="0"/>
        </w:rPr>
      </w:pPr>
      <w:r w:rsidRPr="00A96B4E">
        <w:rPr>
          <w:rFonts w:ascii="Arial" w:hAnsi="Arial" w:cs="Arial"/>
          <w:b w:val="0"/>
        </w:rPr>
        <w:t>Recommended Dosing</w:t>
      </w:r>
    </w:p>
    <w:p w14:paraId="4F8F9AFB" w14:textId="77777777" w:rsidR="00AE5C10" w:rsidRDefault="00AE5C10" w:rsidP="00AE5C10">
      <w:pPr>
        <w:pStyle w:val="BodyText1"/>
        <w:spacing w:before="0"/>
        <w:ind w:firstLine="0"/>
        <w:jc w:val="both"/>
        <w:rPr>
          <w:rFonts w:ascii="Arial" w:hAnsi="Arial" w:cs="Arial"/>
          <w:sz w:val="22"/>
          <w:szCs w:val="20"/>
        </w:rPr>
      </w:pPr>
      <w:r>
        <w:rPr>
          <w:rFonts w:ascii="Arial" w:hAnsi="Arial" w:cs="Arial"/>
          <w:sz w:val="22"/>
          <w:szCs w:val="20"/>
        </w:rPr>
        <w:t>KEYTRUDA is administered as an intravenous infusion over 30 minutes every 3 weeks.</w:t>
      </w:r>
    </w:p>
    <w:p w14:paraId="33F9B27B" w14:textId="77777777" w:rsidR="000B4EB3" w:rsidRDefault="00CF772C" w:rsidP="00A74F3F">
      <w:pPr>
        <w:pStyle w:val="BodyText1"/>
        <w:spacing w:before="0"/>
        <w:ind w:firstLine="0"/>
        <w:jc w:val="both"/>
        <w:rPr>
          <w:rFonts w:ascii="Arial" w:hAnsi="Arial" w:cs="Arial"/>
          <w:sz w:val="22"/>
          <w:szCs w:val="20"/>
        </w:rPr>
      </w:pPr>
      <w:r w:rsidRPr="004172BA">
        <w:rPr>
          <w:rFonts w:ascii="Arial" w:hAnsi="Arial" w:cs="Arial"/>
          <w:sz w:val="22"/>
          <w:szCs w:val="20"/>
        </w:rPr>
        <w:t>The recommended dose of KEYTRUDA is</w:t>
      </w:r>
      <w:r w:rsidR="00AE5C10">
        <w:rPr>
          <w:rFonts w:ascii="Arial" w:hAnsi="Arial" w:cs="Arial"/>
          <w:sz w:val="22"/>
          <w:szCs w:val="20"/>
        </w:rPr>
        <w:t>:</w:t>
      </w:r>
    </w:p>
    <w:p w14:paraId="74832F74" w14:textId="53C126C8" w:rsidR="00AE5C10" w:rsidRDefault="00AE5C10" w:rsidP="00AE5C10">
      <w:pPr>
        <w:pStyle w:val="ListBullet"/>
        <w:tabs>
          <w:tab w:val="clear" w:pos="360"/>
          <w:tab w:val="num" w:pos="709"/>
        </w:tabs>
        <w:ind w:left="709" w:hanging="425"/>
      </w:pPr>
      <w:r>
        <w:t xml:space="preserve">200 mg for </w:t>
      </w:r>
      <w:r w:rsidR="00C54CAA">
        <w:t>head and neck cancer</w:t>
      </w:r>
      <w:r w:rsidR="006A428A">
        <w:t>, classical Hodgkin Lymphoma,</w:t>
      </w:r>
      <w:r w:rsidR="00C54CAA">
        <w:t xml:space="preserve"> or </w:t>
      </w:r>
      <w:r>
        <w:t>previously untreated NSCLC.</w:t>
      </w:r>
    </w:p>
    <w:p w14:paraId="67C05D24" w14:textId="77777777" w:rsidR="00AE5C10" w:rsidRDefault="00AE5C10" w:rsidP="00AE5C10">
      <w:pPr>
        <w:pStyle w:val="ListBullet"/>
        <w:tabs>
          <w:tab w:val="clear" w:pos="360"/>
          <w:tab w:val="num" w:pos="709"/>
        </w:tabs>
        <w:ind w:left="709" w:hanging="425"/>
      </w:pPr>
      <w:r>
        <w:t>2 mg/kg for melanoma or previously treated NSCLC.</w:t>
      </w:r>
    </w:p>
    <w:p w14:paraId="04630C4A" w14:textId="1E7558F6" w:rsidR="00C169A1" w:rsidRPr="00343CB7" w:rsidRDefault="00CF772C" w:rsidP="00A74F3F">
      <w:pPr>
        <w:pStyle w:val="BodyText1"/>
        <w:spacing w:before="0"/>
        <w:ind w:firstLine="0"/>
        <w:jc w:val="both"/>
        <w:rPr>
          <w:rFonts w:ascii="Arial" w:hAnsi="Arial" w:cs="Arial"/>
          <w:sz w:val="22"/>
          <w:szCs w:val="20"/>
        </w:rPr>
      </w:pPr>
      <w:r w:rsidRPr="004172BA">
        <w:rPr>
          <w:rFonts w:ascii="Arial" w:hAnsi="Arial" w:cs="Arial"/>
          <w:sz w:val="22"/>
          <w:szCs w:val="20"/>
        </w:rPr>
        <w:t xml:space="preserve">Patients should be treated with KEYTRUDA until disease progression or unacceptable toxicity. </w:t>
      </w:r>
      <w:r w:rsidR="00ED6856" w:rsidRPr="007165D2">
        <w:rPr>
          <w:rFonts w:ascii="Arial" w:hAnsi="Arial" w:cs="Arial"/>
          <w:sz w:val="22"/>
          <w:szCs w:val="20"/>
          <w:lang w:val="en-AU" w:eastAsia="en-AU"/>
        </w:rPr>
        <w:t xml:space="preserve">Patients with NSCLC without disease progression can be treated for up to 24 months </w:t>
      </w:r>
      <w:r w:rsidR="00ED6856" w:rsidRPr="007165D2">
        <w:rPr>
          <w:rFonts w:ascii="Arial" w:hAnsi="Arial" w:cs="Arial"/>
          <w:i/>
          <w:sz w:val="22"/>
          <w:szCs w:val="20"/>
          <w:lang w:val="en-AU" w:eastAsia="en-AU"/>
        </w:rPr>
        <w:t>[see CLINICAL TRIALS].</w:t>
      </w:r>
      <w:r w:rsidR="00ED6856">
        <w:rPr>
          <w:rFonts w:ascii="Arial" w:hAnsi="Arial" w:cs="Arial"/>
          <w:i/>
          <w:sz w:val="22"/>
          <w:szCs w:val="20"/>
          <w:lang w:val="en-AU" w:eastAsia="en-AU"/>
        </w:rPr>
        <w:t xml:space="preserve"> </w:t>
      </w:r>
      <w:r w:rsidRPr="004172BA">
        <w:rPr>
          <w:rFonts w:ascii="Arial" w:hAnsi="Arial" w:cs="Arial"/>
          <w:sz w:val="22"/>
          <w:szCs w:val="20"/>
        </w:rPr>
        <w:t xml:space="preserve">Atypical responses (i.e., an initial transient increase in tumour size or small </w:t>
      </w:r>
      <w:r w:rsidRPr="004172BA">
        <w:rPr>
          <w:rFonts w:ascii="Arial" w:hAnsi="Arial" w:cs="Arial"/>
          <w:sz w:val="22"/>
          <w:szCs w:val="20"/>
        </w:rPr>
        <w:lastRenderedPageBreak/>
        <w:t xml:space="preserve">new lesions within the first few months followed by tumour shrinkage) have been observed. </w:t>
      </w:r>
      <w:r w:rsidR="00FF3D6C" w:rsidRPr="004172BA">
        <w:rPr>
          <w:rFonts w:ascii="Arial" w:hAnsi="Arial" w:cs="Arial"/>
          <w:sz w:val="22"/>
          <w:szCs w:val="20"/>
        </w:rPr>
        <w:t>Clinically stable patients with initial evidence of disease progression can under some circumstances remain on treatment until disease progression is confirmed (see CLINICAL TRIALS section for a description of the circumstances where such continued treatment was allowed in the pivotal</w:t>
      </w:r>
      <w:r w:rsidR="00FF3D6C" w:rsidRPr="00343CB7">
        <w:rPr>
          <w:rFonts w:ascii="Arial" w:hAnsi="Arial" w:cs="Arial"/>
          <w:sz w:val="22"/>
          <w:szCs w:val="20"/>
        </w:rPr>
        <w:t xml:space="preserve"> stud</w:t>
      </w:r>
      <w:r w:rsidR="00ED6856">
        <w:rPr>
          <w:rFonts w:ascii="Arial" w:hAnsi="Arial" w:cs="Arial"/>
          <w:sz w:val="22"/>
          <w:szCs w:val="20"/>
        </w:rPr>
        <w:t>ies</w:t>
      </w:r>
      <w:r w:rsidR="00FF3D6C" w:rsidRPr="00343CB7">
        <w:rPr>
          <w:rFonts w:ascii="Arial" w:hAnsi="Arial" w:cs="Arial"/>
          <w:sz w:val="22"/>
          <w:szCs w:val="20"/>
        </w:rPr>
        <w:t>).</w:t>
      </w:r>
    </w:p>
    <w:p w14:paraId="7DBAC75A" w14:textId="77777777" w:rsidR="00C169A1" w:rsidRPr="002164EC" w:rsidRDefault="00C169A1" w:rsidP="00187C95">
      <w:pPr>
        <w:pStyle w:val="Heading2"/>
        <w:rPr>
          <w:rFonts w:ascii="Arial" w:hAnsi="Arial" w:cs="Arial"/>
        </w:rPr>
      </w:pPr>
      <w:r w:rsidRPr="002164EC">
        <w:rPr>
          <w:rFonts w:ascii="Arial" w:hAnsi="Arial" w:cs="Arial"/>
        </w:rPr>
        <w:t>Dose Modifications</w:t>
      </w:r>
    </w:p>
    <w:p w14:paraId="787F8C05" w14:textId="319A8797" w:rsidR="00CF772C" w:rsidRPr="006270F5" w:rsidRDefault="00CF772C" w:rsidP="006270F5">
      <w:pPr>
        <w:pStyle w:val="BodyText1"/>
        <w:spacing w:before="0"/>
        <w:ind w:firstLine="0"/>
        <w:rPr>
          <w:rFonts w:ascii="Arial" w:hAnsi="Arial" w:cs="Arial"/>
          <w:i/>
          <w:sz w:val="22"/>
          <w:szCs w:val="20"/>
        </w:rPr>
      </w:pPr>
      <w:r w:rsidRPr="00294FDE">
        <w:rPr>
          <w:rStyle w:val="Strong"/>
        </w:rPr>
        <w:t>Withhold KEYTRUDA for adverse reactions including</w:t>
      </w:r>
      <w:r w:rsidR="00D56C79" w:rsidRPr="004172BA">
        <w:rPr>
          <w:rFonts w:ascii="Arial" w:hAnsi="Arial" w:cs="Arial"/>
          <w:b/>
          <w:sz w:val="22"/>
          <w:szCs w:val="20"/>
        </w:rPr>
        <w:t xml:space="preserve"> </w:t>
      </w:r>
      <w:r w:rsidR="0051619E">
        <w:rPr>
          <w:rFonts w:ascii="Arial" w:hAnsi="Arial" w:cs="Arial"/>
          <w:i/>
          <w:sz w:val="22"/>
          <w:szCs w:val="20"/>
        </w:rPr>
        <w:t xml:space="preserve">[see </w:t>
      </w:r>
      <w:r w:rsidR="00D56C79" w:rsidRPr="004172BA">
        <w:rPr>
          <w:rFonts w:ascii="Arial" w:hAnsi="Arial" w:cs="Arial"/>
          <w:i/>
          <w:sz w:val="22"/>
          <w:szCs w:val="20"/>
        </w:rPr>
        <w:t>PRECAUTIONS]</w:t>
      </w:r>
      <w:r w:rsidRPr="002164EC">
        <w:rPr>
          <w:rFonts w:ascii="Arial" w:hAnsi="Arial" w:cs="Arial"/>
          <w:b/>
          <w:sz w:val="22"/>
          <w:szCs w:val="20"/>
        </w:rPr>
        <w:t>:</w:t>
      </w:r>
    </w:p>
    <w:p w14:paraId="502BA755" w14:textId="26BC5363" w:rsidR="00CF772C" w:rsidRPr="00D8643B" w:rsidRDefault="006A428A" w:rsidP="00CF772C">
      <w:pPr>
        <w:pStyle w:val="BodyText1"/>
        <w:numPr>
          <w:ilvl w:val="0"/>
          <w:numId w:val="11"/>
        </w:numPr>
        <w:spacing w:before="0"/>
        <w:ind w:left="426"/>
        <w:jc w:val="both"/>
        <w:rPr>
          <w:rFonts w:ascii="Arial" w:hAnsi="Arial" w:cs="Arial"/>
          <w:sz w:val="22"/>
          <w:szCs w:val="20"/>
        </w:rPr>
      </w:pPr>
      <w:r>
        <w:rPr>
          <w:rFonts w:ascii="Arial" w:hAnsi="Arial" w:cs="Arial"/>
          <w:sz w:val="22"/>
          <w:szCs w:val="20"/>
        </w:rPr>
        <w:t>Immune-mediated p</w:t>
      </w:r>
      <w:r w:rsidRPr="002164EC">
        <w:rPr>
          <w:rFonts w:ascii="Arial" w:hAnsi="Arial" w:cs="Arial"/>
          <w:sz w:val="22"/>
          <w:szCs w:val="20"/>
        </w:rPr>
        <w:t xml:space="preserve">neumonitis </w:t>
      </w:r>
      <w:r w:rsidR="00CF772C" w:rsidRPr="002164EC">
        <w:rPr>
          <w:rFonts w:ascii="Arial" w:hAnsi="Arial" w:cs="Arial"/>
          <w:sz w:val="22"/>
          <w:szCs w:val="20"/>
        </w:rPr>
        <w:t>- moderate (Grade 2; US National Cancer Institute-Common Terminology Criteria for Adverse Even</w:t>
      </w:r>
      <w:r w:rsidR="00CF772C" w:rsidRPr="00D8643B">
        <w:rPr>
          <w:rFonts w:ascii="Arial" w:hAnsi="Arial" w:cs="Arial"/>
          <w:sz w:val="22"/>
          <w:szCs w:val="20"/>
        </w:rPr>
        <w:t>ts (NCI-CTCAE v.</w:t>
      </w:r>
      <w:r w:rsidR="00ED6856">
        <w:rPr>
          <w:rFonts w:ascii="Arial" w:hAnsi="Arial" w:cs="Arial"/>
          <w:sz w:val="22"/>
          <w:szCs w:val="20"/>
        </w:rPr>
        <w:t>4</w:t>
      </w:r>
      <w:r w:rsidR="00423414">
        <w:rPr>
          <w:rFonts w:ascii="Arial" w:hAnsi="Arial" w:cs="Arial"/>
          <w:sz w:val="22"/>
          <w:szCs w:val="20"/>
        </w:rPr>
        <w:t>))</w:t>
      </w:r>
    </w:p>
    <w:p w14:paraId="35BF5580" w14:textId="018D443A" w:rsidR="006D0EB2" w:rsidRPr="00E23D5F" w:rsidRDefault="006A428A" w:rsidP="006270F5">
      <w:pPr>
        <w:pStyle w:val="BodyText1"/>
        <w:numPr>
          <w:ilvl w:val="0"/>
          <w:numId w:val="11"/>
        </w:numPr>
        <w:spacing w:before="0"/>
        <w:ind w:left="426"/>
        <w:jc w:val="both"/>
        <w:rPr>
          <w:rFonts w:ascii="Arial" w:hAnsi="Arial" w:cs="Arial"/>
          <w:sz w:val="22"/>
          <w:szCs w:val="20"/>
        </w:rPr>
      </w:pPr>
      <w:r>
        <w:rPr>
          <w:rFonts w:ascii="Arial" w:hAnsi="Arial" w:cs="Arial"/>
          <w:sz w:val="22"/>
          <w:szCs w:val="20"/>
        </w:rPr>
        <w:t>Immune-mediated c</w:t>
      </w:r>
      <w:r w:rsidRPr="00AE1EF9">
        <w:rPr>
          <w:rFonts w:ascii="Arial" w:hAnsi="Arial" w:cs="Arial"/>
          <w:sz w:val="22"/>
          <w:szCs w:val="20"/>
        </w:rPr>
        <w:t xml:space="preserve">olitis </w:t>
      </w:r>
      <w:r w:rsidR="00CF772C" w:rsidRPr="00AE1EF9">
        <w:rPr>
          <w:rFonts w:ascii="Arial" w:hAnsi="Arial" w:cs="Arial"/>
          <w:sz w:val="22"/>
          <w:szCs w:val="20"/>
        </w:rPr>
        <w:t>- moderate or severe (Grade 2 or 3)</w:t>
      </w:r>
    </w:p>
    <w:p w14:paraId="083FDF61" w14:textId="23FEEB2D" w:rsidR="006D0EB2" w:rsidRPr="00A04553" w:rsidRDefault="006A428A" w:rsidP="006D0EB2">
      <w:pPr>
        <w:pStyle w:val="BodyText1"/>
        <w:numPr>
          <w:ilvl w:val="0"/>
          <w:numId w:val="11"/>
        </w:numPr>
        <w:ind w:left="426"/>
        <w:rPr>
          <w:rFonts w:ascii="Arial" w:hAnsi="Arial" w:cs="Arial"/>
          <w:sz w:val="22"/>
          <w:szCs w:val="20"/>
        </w:rPr>
      </w:pPr>
      <w:r>
        <w:rPr>
          <w:rFonts w:ascii="Arial" w:hAnsi="Arial" w:cs="Arial"/>
          <w:sz w:val="22"/>
          <w:szCs w:val="20"/>
        </w:rPr>
        <w:t>Immune-mediated n</w:t>
      </w:r>
      <w:r w:rsidRPr="00A04553">
        <w:rPr>
          <w:rFonts w:ascii="Arial" w:hAnsi="Arial" w:cs="Arial"/>
          <w:sz w:val="22"/>
          <w:szCs w:val="20"/>
        </w:rPr>
        <w:t xml:space="preserve">ephritis </w:t>
      </w:r>
      <w:r w:rsidR="006D0EB2" w:rsidRPr="00A04553">
        <w:rPr>
          <w:rFonts w:ascii="Arial" w:hAnsi="Arial" w:cs="Arial"/>
          <w:sz w:val="22"/>
          <w:szCs w:val="20"/>
        </w:rPr>
        <w:t>- moderate (Grade 2)</w:t>
      </w:r>
    </w:p>
    <w:p w14:paraId="331AB675" w14:textId="6AC03E15" w:rsidR="006A428A" w:rsidRDefault="006A428A" w:rsidP="00CF772C">
      <w:pPr>
        <w:pStyle w:val="BodyText1"/>
        <w:numPr>
          <w:ilvl w:val="0"/>
          <w:numId w:val="11"/>
        </w:numPr>
        <w:spacing w:before="0"/>
        <w:ind w:left="426"/>
        <w:jc w:val="both"/>
        <w:rPr>
          <w:rFonts w:ascii="Arial" w:hAnsi="Arial" w:cs="Arial"/>
          <w:sz w:val="22"/>
          <w:szCs w:val="20"/>
        </w:rPr>
      </w:pPr>
      <w:r>
        <w:rPr>
          <w:rFonts w:ascii="Arial" w:hAnsi="Arial" w:cs="Arial"/>
          <w:sz w:val="22"/>
          <w:szCs w:val="20"/>
        </w:rPr>
        <w:t>Immune-mediated e</w:t>
      </w:r>
      <w:r w:rsidRPr="00A04553">
        <w:rPr>
          <w:rFonts w:ascii="Arial" w:hAnsi="Arial" w:cs="Arial"/>
          <w:sz w:val="22"/>
          <w:szCs w:val="20"/>
        </w:rPr>
        <w:t xml:space="preserve">ndocrinopathies </w:t>
      </w:r>
      <w:r w:rsidR="00CF772C" w:rsidRPr="00A04553">
        <w:rPr>
          <w:rFonts w:ascii="Arial" w:hAnsi="Arial" w:cs="Arial"/>
          <w:sz w:val="22"/>
          <w:szCs w:val="20"/>
        </w:rPr>
        <w:t xml:space="preserve">- severe </w:t>
      </w:r>
      <w:r w:rsidR="00D56C79" w:rsidRPr="00A04553">
        <w:rPr>
          <w:rFonts w:ascii="Arial" w:hAnsi="Arial" w:cs="Arial"/>
          <w:sz w:val="22"/>
          <w:szCs w:val="20"/>
        </w:rPr>
        <w:t xml:space="preserve">or life-threatening </w:t>
      </w:r>
      <w:r w:rsidR="00CF772C" w:rsidRPr="009265E5">
        <w:rPr>
          <w:rFonts w:ascii="Arial" w:hAnsi="Arial" w:cs="Arial"/>
          <w:sz w:val="22"/>
          <w:szCs w:val="20"/>
        </w:rPr>
        <w:t>(Grade 3</w:t>
      </w:r>
      <w:r w:rsidR="00D56C79" w:rsidRPr="00431AB6">
        <w:rPr>
          <w:rFonts w:ascii="Arial" w:hAnsi="Arial" w:cs="Arial"/>
          <w:sz w:val="22"/>
          <w:szCs w:val="20"/>
        </w:rPr>
        <w:t xml:space="preserve"> or 4</w:t>
      </w:r>
      <w:r w:rsidR="00CF772C" w:rsidRPr="00431AB6">
        <w:rPr>
          <w:rFonts w:ascii="Arial" w:hAnsi="Arial" w:cs="Arial"/>
          <w:sz w:val="22"/>
          <w:szCs w:val="20"/>
        </w:rPr>
        <w:t>)</w:t>
      </w:r>
    </w:p>
    <w:p w14:paraId="1569317B" w14:textId="66573A7B" w:rsidR="00CF772C" w:rsidRPr="00431AB6" w:rsidRDefault="006A428A" w:rsidP="00CF772C">
      <w:pPr>
        <w:pStyle w:val="BodyText1"/>
        <w:numPr>
          <w:ilvl w:val="0"/>
          <w:numId w:val="11"/>
        </w:numPr>
        <w:spacing w:before="0"/>
        <w:ind w:left="426"/>
        <w:jc w:val="both"/>
        <w:rPr>
          <w:rFonts w:ascii="Arial" w:hAnsi="Arial" w:cs="Arial"/>
          <w:sz w:val="22"/>
          <w:szCs w:val="20"/>
        </w:rPr>
      </w:pPr>
      <w:r>
        <w:rPr>
          <w:rFonts w:ascii="Arial" w:hAnsi="Arial" w:cs="Arial"/>
          <w:sz w:val="22"/>
          <w:szCs w:val="20"/>
        </w:rPr>
        <w:t>Haematological toxicity – life-threatening (Grade 4) in patients with cHL</w:t>
      </w:r>
    </w:p>
    <w:p w14:paraId="7F9BF9B8" w14:textId="64E78CE9" w:rsidR="00CF772C" w:rsidRPr="00431AB6" w:rsidRDefault="006A428A" w:rsidP="00CF772C">
      <w:pPr>
        <w:pStyle w:val="BodyText1"/>
        <w:numPr>
          <w:ilvl w:val="0"/>
          <w:numId w:val="11"/>
        </w:numPr>
        <w:spacing w:before="0"/>
        <w:ind w:left="426"/>
        <w:jc w:val="both"/>
        <w:rPr>
          <w:rFonts w:ascii="Arial" w:hAnsi="Arial" w:cs="Arial"/>
          <w:sz w:val="22"/>
          <w:szCs w:val="20"/>
        </w:rPr>
      </w:pPr>
      <w:r>
        <w:rPr>
          <w:rFonts w:ascii="Arial" w:hAnsi="Arial" w:cs="Arial"/>
          <w:sz w:val="22"/>
          <w:szCs w:val="20"/>
        </w:rPr>
        <w:t>Immune-mediated h</w:t>
      </w:r>
      <w:r w:rsidRPr="00431AB6">
        <w:rPr>
          <w:rFonts w:ascii="Arial" w:hAnsi="Arial" w:cs="Arial"/>
          <w:sz w:val="22"/>
          <w:szCs w:val="20"/>
        </w:rPr>
        <w:t xml:space="preserve">epatitis </w:t>
      </w:r>
      <w:r w:rsidR="00CF772C" w:rsidRPr="00431AB6">
        <w:rPr>
          <w:rFonts w:ascii="Arial" w:hAnsi="Arial" w:cs="Arial"/>
          <w:sz w:val="22"/>
          <w:szCs w:val="20"/>
        </w:rPr>
        <w:t>associated with:</w:t>
      </w:r>
    </w:p>
    <w:p w14:paraId="1DC81755" w14:textId="77777777" w:rsidR="00A74F3F" w:rsidRDefault="00CF772C" w:rsidP="00017EF1">
      <w:pPr>
        <w:pStyle w:val="BodyText1"/>
        <w:numPr>
          <w:ilvl w:val="1"/>
          <w:numId w:val="11"/>
        </w:numPr>
        <w:spacing w:before="0"/>
        <w:ind w:left="993"/>
        <w:jc w:val="both"/>
        <w:rPr>
          <w:rFonts w:ascii="Arial" w:hAnsi="Arial" w:cs="Arial"/>
          <w:sz w:val="22"/>
          <w:szCs w:val="20"/>
        </w:rPr>
      </w:pPr>
      <w:r w:rsidRPr="00431AB6">
        <w:rPr>
          <w:rFonts w:ascii="Arial" w:hAnsi="Arial" w:cs="Arial"/>
          <w:sz w:val="22"/>
          <w:szCs w:val="20"/>
        </w:rPr>
        <w:t>Aspartate aminotransferase (AST) or alanine aminotransferase (ALT) &gt;3 to 5 times upper limit of normal (ULN) or total bilirubin &gt;1.5 to 3 times ULN</w:t>
      </w:r>
    </w:p>
    <w:p w14:paraId="2033EBBA" w14:textId="76E2BF58" w:rsidR="005415C5" w:rsidRPr="005415C5" w:rsidRDefault="006A428A" w:rsidP="005415C5">
      <w:pPr>
        <w:pStyle w:val="BodyText1"/>
        <w:numPr>
          <w:ilvl w:val="0"/>
          <w:numId w:val="11"/>
        </w:numPr>
        <w:spacing w:before="0"/>
        <w:ind w:left="426" w:hanging="284"/>
        <w:jc w:val="both"/>
        <w:rPr>
          <w:rFonts w:ascii="Arial" w:hAnsi="Arial" w:cs="Arial"/>
          <w:sz w:val="22"/>
          <w:szCs w:val="20"/>
        </w:rPr>
      </w:pPr>
      <w:r>
        <w:rPr>
          <w:rFonts w:ascii="Arial" w:hAnsi="Arial" w:cs="Arial"/>
          <w:sz w:val="22"/>
          <w:szCs w:val="20"/>
        </w:rPr>
        <w:t>Immune-mediated s</w:t>
      </w:r>
      <w:r w:rsidRPr="005415C5">
        <w:rPr>
          <w:rFonts w:ascii="Arial" w:hAnsi="Arial" w:cs="Arial"/>
          <w:sz w:val="22"/>
          <w:szCs w:val="20"/>
        </w:rPr>
        <w:t xml:space="preserve">evere </w:t>
      </w:r>
      <w:r w:rsidR="005415C5" w:rsidRPr="005415C5">
        <w:rPr>
          <w:rFonts w:ascii="Arial" w:hAnsi="Arial" w:cs="Arial"/>
          <w:sz w:val="22"/>
          <w:szCs w:val="20"/>
        </w:rPr>
        <w:t>skin reactions (Grade 3) or suspected Stevens-Johnson syndrome (SJS) or toxic epidermal necrolysis (TEN)</w:t>
      </w:r>
    </w:p>
    <w:p w14:paraId="72591716" w14:textId="7AEA7408" w:rsidR="00CF772C" w:rsidRPr="00294FDE" w:rsidRDefault="00CF772C" w:rsidP="00CF772C">
      <w:pPr>
        <w:pStyle w:val="BodyText1"/>
        <w:spacing w:before="0"/>
        <w:ind w:firstLine="0"/>
        <w:jc w:val="both"/>
        <w:rPr>
          <w:rStyle w:val="Strong"/>
        </w:rPr>
      </w:pPr>
      <w:r w:rsidRPr="00294FDE">
        <w:rPr>
          <w:rStyle w:val="Strong"/>
        </w:rPr>
        <w:t>Resume KEYTRUDA in patients whose adverse reactions recover to Grade 0-1</w:t>
      </w:r>
      <w:r w:rsidR="00ED6856" w:rsidRPr="00294FDE">
        <w:rPr>
          <w:rStyle w:val="Strong"/>
        </w:rPr>
        <w:t>.</w:t>
      </w:r>
    </w:p>
    <w:p w14:paraId="11BA7754" w14:textId="77777777" w:rsidR="00CF772C" w:rsidRPr="00EE12B4" w:rsidRDefault="00CF772C" w:rsidP="00CF772C">
      <w:pPr>
        <w:pStyle w:val="BodyText1"/>
        <w:spacing w:before="0"/>
        <w:ind w:firstLine="0"/>
        <w:jc w:val="both"/>
        <w:rPr>
          <w:rFonts w:ascii="Arial" w:hAnsi="Arial" w:cs="Arial"/>
          <w:b/>
          <w:sz w:val="22"/>
          <w:szCs w:val="22"/>
        </w:rPr>
      </w:pPr>
      <w:r w:rsidRPr="00294FDE">
        <w:rPr>
          <w:rStyle w:val="Strong"/>
        </w:rPr>
        <w:t>Permanently discontinue KEYTRUDA</w:t>
      </w:r>
      <w:r w:rsidR="00D56C79" w:rsidRPr="00EE12B4">
        <w:rPr>
          <w:rFonts w:ascii="Arial" w:hAnsi="Arial" w:cs="Arial"/>
          <w:b/>
          <w:sz w:val="22"/>
          <w:szCs w:val="22"/>
        </w:rPr>
        <w:t xml:space="preserve"> </w:t>
      </w:r>
      <w:r w:rsidR="00D56C79" w:rsidRPr="00EE12B4">
        <w:rPr>
          <w:rFonts w:ascii="Arial" w:hAnsi="Arial" w:cs="Arial"/>
          <w:i/>
          <w:sz w:val="22"/>
          <w:szCs w:val="20"/>
        </w:rPr>
        <w:t>[see PRECAUTIONS]</w:t>
      </w:r>
      <w:r w:rsidRPr="00EE12B4">
        <w:rPr>
          <w:rFonts w:ascii="Arial" w:hAnsi="Arial" w:cs="Arial"/>
          <w:b/>
          <w:sz w:val="22"/>
          <w:szCs w:val="22"/>
        </w:rPr>
        <w:t>:</w:t>
      </w:r>
    </w:p>
    <w:p w14:paraId="39808C43" w14:textId="77777777" w:rsidR="00806F0D" w:rsidRDefault="00CF772C" w:rsidP="00806F0D">
      <w:pPr>
        <w:pStyle w:val="ListParagraph"/>
        <w:numPr>
          <w:ilvl w:val="0"/>
          <w:numId w:val="14"/>
        </w:numPr>
      </w:pPr>
      <w:r w:rsidRPr="00EE12B4">
        <w:t>If corticosteroid dosing cannot be reduced to ≤10 mg prednisone or equivalent per day</w:t>
      </w:r>
      <w:r w:rsidR="00D56C79" w:rsidRPr="00EE12B4">
        <w:t xml:space="preserve"> within 12 weeks</w:t>
      </w:r>
    </w:p>
    <w:p w14:paraId="1391A967" w14:textId="77777777" w:rsidR="00806F0D" w:rsidRDefault="00CF772C" w:rsidP="00806F0D">
      <w:pPr>
        <w:pStyle w:val="ListParagraph"/>
        <w:numPr>
          <w:ilvl w:val="0"/>
          <w:numId w:val="14"/>
        </w:numPr>
      </w:pPr>
      <w:r w:rsidRPr="00EE12B4">
        <w:t>If a treatment-related toxicity does not resolve to Grade 0-1 within 12 weeks after last dose of KEYTRUDA</w:t>
      </w:r>
    </w:p>
    <w:p w14:paraId="561C9DB2" w14:textId="77777777" w:rsidR="00806F0D" w:rsidRDefault="00CF772C" w:rsidP="00806F0D">
      <w:pPr>
        <w:pStyle w:val="ListParagraph"/>
        <w:numPr>
          <w:ilvl w:val="0"/>
          <w:numId w:val="14"/>
        </w:numPr>
      </w:pPr>
      <w:r w:rsidRPr="00362DC6">
        <w:t>If another episode of any severe toxicity occurs</w:t>
      </w:r>
    </w:p>
    <w:p w14:paraId="22DAA83B" w14:textId="77777777" w:rsidR="00806F0D" w:rsidRDefault="00CF772C" w:rsidP="00806F0D">
      <w:pPr>
        <w:pStyle w:val="ListParagraph"/>
        <w:numPr>
          <w:ilvl w:val="0"/>
          <w:numId w:val="14"/>
        </w:numPr>
      </w:pPr>
      <w:r w:rsidRPr="00362DC6">
        <w:t>For adverse reactions including:</w:t>
      </w:r>
    </w:p>
    <w:p w14:paraId="3974AEDC" w14:textId="5301527B" w:rsidR="00806F0D" w:rsidRDefault="00CF772C" w:rsidP="00B83D8E">
      <w:pPr>
        <w:pStyle w:val="ListParagraph"/>
        <w:numPr>
          <w:ilvl w:val="1"/>
          <w:numId w:val="14"/>
        </w:numPr>
      </w:pPr>
      <w:r w:rsidRPr="00362DC6">
        <w:t>Life-threatening (Grade 4) toxicity</w:t>
      </w:r>
      <w:r w:rsidR="00B83D8E" w:rsidRPr="00B83D8E">
        <w:t xml:space="preserve"> except for endocrinopathies that improve to Grade 2 or lower and are controlled with replacement hormones</w:t>
      </w:r>
      <w:r w:rsidR="006A428A">
        <w:t>, or for haematological toxicity in patients with cHL</w:t>
      </w:r>
    </w:p>
    <w:p w14:paraId="4C64F614" w14:textId="77777777" w:rsidR="00C84540" w:rsidRDefault="00B83D8E" w:rsidP="00B83D8E">
      <w:pPr>
        <w:pStyle w:val="ListParagraph"/>
        <w:numPr>
          <w:ilvl w:val="1"/>
          <w:numId w:val="14"/>
        </w:numPr>
      </w:pPr>
      <w:r>
        <w:t>I</w:t>
      </w:r>
      <w:r w:rsidR="00CF772C" w:rsidRPr="00A97420">
        <w:t>mmune-mediated pneumonitis - severe or life-threatening (Grade 3 or 4)</w:t>
      </w:r>
      <w:r w:rsidRPr="00B83D8E">
        <w:t xml:space="preserve"> or recurrent moderate (Grade 2)</w:t>
      </w:r>
    </w:p>
    <w:p w14:paraId="58413408" w14:textId="77777777" w:rsidR="00C84540" w:rsidRPr="00C84540" w:rsidRDefault="00B83D8E" w:rsidP="00806F0D">
      <w:pPr>
        <w:pStyle w:val="ListParagraph"/>
        <w:numPr>
          <w:ilvl w:val="1"/>
          <w:numId w:val="14"/>
        </w:numPr>
      </w:pPr>
      <w:r>
        <w:rPr>
          <w:lang w:val="en-US" w:eastAsia="en-US"/>
        </w:rPr>
        <w:t>I</w:t>
      </w:r>
      <w:r w:rsidR="006D0EB2" w:rsidRPr="00C84540">
        <w:rPr>
          <w:lang w:val="en-US" w:eastAsia="en-US"/>
        </w:rPr>
        <w:t>mmune-mediated nephritis - severe or life-threatening (Grade 3 or 4)</w:t>
      </w:r>
    </w:p>
    <w:p w14:paraId="5875FDC8" w14:textId="77777777" w:rsidR="00C84540" w:rsidRDefault="00B83D8E" w:rsidP="00806F0D">
      <w:pPr>
        <w:pStyle w:val="ListParagraph"/>
        <w:numPr>
          <w:ilvl w:val="1"/>
          <w:numId w:val="14"/>
        </w:numPr>
      </w:pPr>
      <w:r>
        <w:t>I</w:t>
      </w:r>
      <w:r w:rsidR="00CF772C" w:rsidRPr="00362DC6">
        <w:t>mmune-mediated hepatitis associated with:</w:t>
      </w:r>
    </w:p>
    <w:p w14:paraId="4195CA8E" w14:textId="77777777" w:rsidR="00C84540" w:rsidRDefault="00CF772C" w:rsidP="00806F0D">
      <w:pPr>
        <w:pStyle w:val="ListParagraph"/>
        <w:numPr>
          <w:ilvl w:val="2"/>
          <w:numId w:val="14"/>
        </w:numPr>
      </w:pPr>
      <w:r w:rsidRPr="00A97420">
        <w:t>AST or ALT &gt;5 times ULN or total bilirubin &gt;3 times ULN</w:t>
      </w:r>
    </w:p>
    <w:p w14:paraId="2A888ED1" w14:textId="77777777" w:rsidR="00C84540" w:rsidRDefault="00CF772C" w:rsidP="005415C5">
      <w:pPr>
        <w:pStyle w:val="ListParagraph"/>
        <w:numPr>
          <w:ilvl w:val="1"/>
          <w:numId w:val="14"/>
        </w:numPr>
      </w:pPr>
      <w:r w:rsidRPr="00A97420">
        <w:t>For patients with liver metastasis who begin treatment with moderate (Grade 2) elevation of AST or ALT, if AST or ALT increases ≥50% relative to baseline and lasts ≥1 week</w:t>
      </w:r>
    </w:p>
    <w:p w14:paraId="53DBAA9C" w14:textId="0B401CDF" w:rsidR="005415C5" w:rsidRPr="005415C5" w:rsidRDefault="006A428A" w:rsidP="005415C5">
      <w:pPr>
        <w:pStyle w:val="ListParagraph"/>
        <w:numPr>
          <w:ilvl w:val="1"/>
          <w:numId w:val="14"/>
        </w:numPr>
        <w:rPr>
          <w:lang w:val="en-US" w:eastAsia="en-US"/>
        </w:rPr>
      </w:pPr>
      <w:r>
        <w:rPr>
          <w:lang w:val="en-US" w:eastAsia="en-US"/>
        </w:rPr>
        <w:t>Immune-mediated s</w:t>
      </w:r>
      <w:r w:rsidRPr="00DB65A5">
        <w:rPr>
          <w:lang w:val="en-US" w:eastAsia="en-US"/>
        </w:rPr>
        <w:t xml:space="preserve">evere </w:t>
      </w:r>
      <w:r w:rsidR="005415C5" w:rsidRPr="00DB65A5">
        <w:rPr>
          <w:lang w:val="en-US" w:eastAsia="en-US"/>
        </w:rPr>
        <w:t>skin reactions</w:t>
      </w:r>
      <w:r w:rsidR="005415C5">
        <w:rPr>
          <w:lang w:val="en-US" w:eastAsia="en-US"/>
        </w:rPr>
        <w:t xml:space="preserve"> </w:t>
      </w:r>
      <w:r w:rsidR="005415C5" w:rsidRPr="00DB65A5">
        <w:rPr>
          <w:lang w:val="en-US" w:eastAsia="en-US"/>
        </w:rPr>
        <w:t>(Grade</w:t>
      </w:r>
      <w:r w:rsidR="005415C5">
        <w:rPr>
          <w:lang w:val="en-US" w:eastAsia="en-US"/>
        </w:rPr>
        <w:t xml:space="preserve"> </w:t>
      </w:r>
      <w:r w:rsidR="005415C5" w:rsidRPr="00DB65A5">
        <w:rPr>
          <w:lang w:val="en-US" w:eastAsia="en-US"/>
        </w:rPr>
        <w:t>4)</w:t>
      </w:r>
      <w:r w:rsidR="005415C5">
        <w:rPr>
          <w:lang w:val="en-US" w:eastAsia="en-US"/>
        </w:rPr>
        <w:t xml:space="preserve"> </w:t>
      </w:r>
      <w:r w:rsidR="005415C5" w:rsidRPr="00DB65A5">
        <w:rPr>
          <w:lang w:val="en-US" w:eastAsia="en-US"/>
        </w:rPr>
        <w:t>or</w:t>
      </w:r>
      <w:r w:rsidR="005415C5">
        <w:rPr>
          <w:lang w:val="en-US" w:eastAsia="en-US"/>
        </w:rPr>
        <w:t xml:space="preserve"> </w:t>
      </w:r>
      <w:r w:rsidR="005415C5" w:rsidRPr="00DB65A5">
        <w:rPr>
          <w:lang w:val="en-US" w:eastAsia="en-US"/>
        </w:rPr>
        <w:t>confirmed SJS or</w:t>
      </w:r>
      <w:r w:rsidR="005415C5">
        <w:rPr>
          <w:lang w:val="en-US" w:eastAsia="en-US"/>
        </w:rPr>
        <w:t xml:space="preserve"> </w:t>
      </w:r>
      <w:r w:rsidR="005415C5" w:rsidRPr="00DB65A5">
        <w:rPr>
          <w:lang w:val="en-US" w:eastAsia="en-US"/>
        </w:rPr>
        <w:t>TEN</w:t>
      </w:r>
    </w:p>
    <w:p w14:paraId="2D2D15D7" w14:textId="77777777" w:rsidR="0004218C" w:rsidRDefault="00CF772C" w:rsidP="00D14980">
      <w:pPr>
        <w:pStyle w:val="ListParagraph"/>
        <w:numPr>
          <w:ilvl w:val="1"/>
          <w:numId w:val="14"/>
        </w:numPr>
      </w:pPr>
      <w:r w:rsidRPr="00A97420">
        <w:t>Infusion-related reactions - severe or life-threatening (Grade 3 or 4)</w:t>
      </w:r>
    </w:p>
    <w:p w14:paraId="124855C7" w14:textId="77777777" w:rsidR="00C169A1" w:rsidRPr="0004218C" w:rsidRDefault="0004218C" w:rsidP="0004218C">
      <w:pPr>
        <w:pStyle w:val="Heading2"/>
      </w:pPr>
      <w:r w:rsidRPr="00E05375">
        <w:t>Preparation and Administration</w:t>
      </w:r>
    </w:p>
    <w:p w14:paraId="7C0F66B1" w14:textId="77777777" w:rsidR="00AE44F7" w:rsidRPr="00294FDE" w:rsidRDefault="00AE44F7" w:rsidP="00844F93">
      <w:pPr>
        <w:rPr>
          <w:rStyle w:val="Strong"/>
        </w:rPr>
      </w:pPr>
      <w:r w:rsidRPr="00294FDE">
        <w:rPr>
          <w:rStyle w:val="Strong"/>
        </w:rPr>
        <w:t xml:space="preserve">Preparation </w:t>
      </w:r>
      <w:r w:rsidR="00595510" w:rsidRPr="00294FDE">
        <w:rPr>
          <w:rStyle w:val="Strong"/>
        </w:rPr>
        <w:t xml:space="preserve">of </w:t>
      </w:r>
      <w:r w:rsidR="008C2C3E" w:rsidRPr="00294FDE">
        <w:rPr>
          <w:rStyle w:val="Strong"/>
        </w:rPr>
        <w:t xml:space="preserve">KEYTRUDA 50 mg </w:t>
      </w:r>
      <w:r w:rsidR="00595510" w:rsidRPr="00294FDE">
        <w:rPr>
          <w:rStyle w:val="Strong"/>
        </w:rPr>
        <w:t xml:space="preserve">powder for </w:t>
      </w:r>
      <w:r w:rsidR="008C2C3E" w:rsidRPr="00294FDE">
        <w:rPr>
          <w:rStyle w:val="Strong"/>
        </w:rPr>
        <w:t>injection</w:t>
      </w:r>
    </w:p>
    <w:p w14:paraId="75E3855D" w14:textId="77777777" w:rsidR="00CF772C" w:rsidRPr="00921B7B" w:rsidRDefault="00CF772C" w:rsidP="00921B7B">
      <w:pPr>
        <w:pStyle w:val="BodyText1"/>
        <w:numPr>
          <w:ilvl w:val="0"/>
          <w:numId w:val="11"/>
        </w:numPr>
        <w:spacing w:before="0"/>
        <w:ind w:left="426"/>
        <w:jc w:val="both"/>
        <w:rPr>
          <w:rFonts w:ascii="Arial" w:hAnsi="Arial" w:cs="Arial"/>
          <w:sz w:val="22"/>
          <w:szCs w:val="20"/>
        </w:rPr>
      </w:pPr>
      <w:r w:rsidRPr="00921B7B">
        <w:rPr>
          <w:rFonts w:ascii="Arial" w:hAnsi="Arial" w:cs="Arial"/>
          <w:sz w:val="22"/>
          <w:szCs w:val="20"/>
        </w:rPr>
        <w:t xml:space="preserve">Prior to reconstitution, the vial of </w:t>
      </w:r>
      <w:proofErr w:type="spellStart"/>
      <w:r w:rsidRPr="00921B7B">
        <w:rPr>
          <w:rFonts w:ascii="Arial" w:hAnsi="Arial" w:cs="Arial"/>
          <w:sz w:val="22"/>
          <w:szCs w:val="20"/>
        </w:rPr>
        <w:t>lyophilised</w:t>
      </w:r>
      <w:proofErr w:type="spellEnd"/>
      <w:r w:rsidRPr="00921B7B">
        <w:rPr>
          <w:rFonts w:ascii="Arial" w:hAnsi="Arial" w:cs="Arial"/>
          <w:sz w:val="22"/>
          <w:szCs w:val="20"/>
        </w:rPr>
        <w:t xml:space="preserve"> powder can be out of refrigeration (temperatures at or below 25°C) for up to 24 hours.</w:t>
      </w:r>
    </w:p>
    <w:p w14:paraId="348044BC" w14:textId="77777777" w:rsidR="00CF772C" w:rsidRPr="00D8643B" w:rsidRDefault="00CF772C" w:rsidP="00054A4E">
      <w:pPr>
        <w:pStyle w:val="BodyText1"/>
        <w:numPr>
          <w:ilvl w:val="0"/>
          <w:numId w:val="11"/>
        </w:numPr>
        <w:spacing w:before="0"/>
        <w:ind w:left="426"/>
        <w:jc w:val="both"/>
        <w:rPr>
          <w:rFonts w:ascii="Arial" w:hAnsi="Arial" w:cs="Arial"/>
          <w:sz w:val="22"/>
          <w:szCs w:val="20"/>
        </w:rPr>
      </w:pPr>
      <w:r w:rsidRPr="00D8643B">
        <w:rPr>
          <w:rFonts w:ascii="Arial" w:hAnsi="Arial" w:cs="Arial"/>
          <w:sz w:val="22"/>
          <w:szCs w:val="20"/>
        </w:rPr>
        <w:t>Aseptically add 2.3 mL of sterile water for injection to yield a 25 mg/mL (pH 5.2-5.8) solution of KEYTRUDA.</w:t>
      </w:r>
    </w:p>
    <w:p w14:paraId="37D9B531" w14:textId="77777777" w:rsidR="00CF772C" w:rsidRPr="00AE1EF9" w:rsidRDefault="00CF772C">
      <w:pPr>
        <w:pStyle w:val="BodyText1"/>
        <w:numPr>
          <w:ilvl w:val="0"/>
          <w:numId w:val="11"/>
        </w:numPr>
        <w:spacing w:before="0"/>
        <w:ind w:left="426"/>
        <w:jc w:val="both"/>
        <w:rPr>
          <w:rFonts w:ascii="Arial" w:hAnsi="Arial" w:cs="Arial"/>
          <w:sz w:val="22"/>
          <w:szCs w:val="20"/>
        </w:rPr>
      </w:pPr>
      <w:r w:rsidRPr="00AE1EF9">
        <w:rPr>
          <w:rFonts w:ascii="Arial" w:hAnsi="Arial" w:cs="Arial"/>
          <w:sz w:val="22"/>
          <w:szCs w:val="20"/>
        </w:rPr>
        <w:lastRenderedPageBreak/>
        <w:t xml:space="preserve">To avoid foaming, deliver the water along the walls of the vial and not directly on the </w:t>
      </w:r>
      <w:proofErr w:type="spellStart"/>
      <w:r w:rsidRPr="00AE1EF9">
        <w:rPr>
          <w:rFonts w:ascii="Arial" w:hAnsi="Arial" w:cs="Arial"/>
          <w:sz w:val="22"/>
          <w:szCs w:val="20"/>
        </w:rPr>
        <w:t>lyophilised</w:t>
      </w:r>
      <w:proofErr w:type="spellEnd"/>
      <w:r w:rsidRPr="00AE1EF9">
        <w:rPr>
          <w:rFonts w:ascii="Arial" w:hAnsi="Arial" w:cs="Arial"/>
          <w:sz w:val="22"/>
          <w:szCs w:val="20"/>
        </w:rPr>
        <w:t xml:space="preserve"> powder.</w:t>
      </w:r>
    </w:p>
    <w:p w14:paraId="3608EAEC" w14:textId="77777777" w:rsidR="00CF772C" w:rsidRPr="00AE1EF9" w:rsidRDefault="00CF772C">
      <w:pPr>
        <w:pStyle w:val="BodyText1"/>
        <w:numPr>
          <w:ilvl w:val="0"/>
          <w:numId w:val="11"/>
        </w:numPr>
        <w:spacing w:before="0"/>
        <w:ind w:left="426"/>
        <w:jc w:val="both"/>
        <w:rPr>
          <w:rFonts w:ascii="Arial" w:hAnsi="Arial" w:cs="Arial"/>
          <w:sz w:val="22"/>
          <w:szCs w:val="20"/>
        </w:rPr>
      </w:pPr>
      <w:r w:rsidRPr="00AE1EF9">
        <w:rPr>
          <w:rFonts w:ascii="Arial" w:hAnsi="Arial" w:cs="Arial"/>
          <w:sz w:val="22"/>
          <w:szCs w:val="20"/>
        </w:rPr>
        <w:t xml:space="preserve">Slowly swirl the vial to allow reconstitution of the </w:t>
      </w:r>
      <w:proofErr w:type="spellStart"/>
      <w:r w:rsidRPr="00AE1EF9">
        <w:rPr>
          <w:rFonts w:ascii="Arial" w:hAnsi="Arial" w:cs="Arial"/>
          <w:sz w:val="22"/>
          <w:szCs w:val="20"/>
        </w:rPr>
        <w:t>lyophilised</w:t>
      </w:r>
      <w:proofErr w:type="spellEnd"/>
      <w:r w:rsidRPr="00AE1EF9">
        <w:rPr>
          <w:rFonts w:ascii="Arial" w:hAnsi="Arial" w:cs="Arial"/>
          <w:sz w:val="22"/>
          <w:szCs w:val="20"/>
        </w:rPr>
        <w:t xml:space="preserve"> powder. Allow up to 5 minutes for the bubbles to clear. Do not shake the vials.</w:t>
      </w:r>
    </w:p>
    <w:p w14:paraId="0F293C93" w14:textId="77777777" w:rsidR="00CF772C" w:rsidRPr="009265E5" w:rsidRDefault="00CF772C" w:rsidP="00844F93">
      <w:pPr>
        <w:pStyle w:val="BodyText1"/>
        <w:numPr>
          <w:ilvl w:val="0"/>
          <w:numId w:val="11"/>
        </w:numPr>
        <w:spacing w:before="0"/>
        <w:ind w:left="426"/>
        <w:jc w:val="both"/>
        <w:rPr>
          <w:rFonts w:ascii="Arial" w:hAnsi="Arial" w:cs="Arial"/>
          <w:sz w:val="22"/>
          <w:szCs w:val="20"/>
        </w:rPr>
      </w:pPr>
      <w:r w:rsidRPr="00A04553">
        <w:rPr>
          <w:rFonts w:ascii="Arial" w:hAnsi="Arial" w:cs="Arial"/>
          <w:sz w:val="22"/>
          <w:szCs w:val="20"/>
        </w:rPr>
        <w:t xml:space="preserve">Parenteral drug products should be inspected visually for particulate matter and discoloration prior to administration. Reconstituted KEYTRUDA is a clear to slightly opalescent, </w:t>
      </w:r>
      <w:proofErr w:type="spellStart"/>
      <w:r w:rsidR="00ED6856">
        <w:rPr>
          <w:rFonts w:ascii="Arial" w:hAnsi="Arial" w:cs="Arial"/>
          <w:sz w:val="22"/>
          <w:szCs w:val="20"/>
        </w:rPr>
        <w:t>colourless</w:t>
      </w:r>
      <w:proofErr w:type="spellEnd"/>
      <w:r w:rsidRPr="00A04553">
        <w:rPr>
          <w:rFonts w:ascii="Arial" w:hAnsi="Arial" w:cs="Arial"/>
          <w:sz w:val="22"/>
          <w:szCs w:val="20"/>
        </w:rPr>
        <w:t xml:space="preserve"> to slightly yellow solution. </w:t>
      </w:r>
      <w:r w:rsidR="005B08D4" w:rsidRPr="00A04553">
        <w:rPr>
          <w:rFonts w:ascii="Arial" w:hAnsi="Arial" w:cs="Arial"/>
          <w:sz w:val="22"/>
          <w:szCs w:val="20"/>
        </w:rPr>
        <w:t>Discard the vial if visible particles are observed.</w:t>
      </w:r>
    </w:p>
    <w:p w14:paraId="3C0588E7" w14:textId="77777777" w:rsidR="00AE44F7" w:rsidRPr="00054A4E" w:rsidRDefault="00CF772C" w:rsidP="00054A4E">
      <w:pPr>
        <w:pStyle w:val="BodyText1"/>
        <w:numPr>
          <w:ilvl w:val="0"/>
          <w:numId w:val="11"/>
        </w:numPr>
        <w:spacing w:before="0"/>
        <w:ind w:left="426"/>
        <w:jc w:val="both"/>
        <w:rPr>
          <w:rFonts w:ascii="Arial" w:hAnsi="Arial" w:cs="Arial"/>
          <w:sz w:val="22"/>
          <w:szCs w:val="20"/>
        </w:rPr>
      </w:pPr>
      <w:r w:rsidRPr="00431AB6">
        <w:rPr>
          <w:rFonts w:ascii="Arial" w:hAnsi="Arial" w:cs="Arial"/>
          <w:sz w:val="22"/>
          <w:szCs w:val="20"/>
        </w:rPr>
        <w:t xml:space="preserve">Withdraw the required volume up to 2 mL (50 mg) of KEYTRUDA and transfer into an intravenous bag containing 0.9% </w:t>
      </w:r>
      <w:r w:rsidR="005B08D4" w:rsidRPr="00431AB6">
        <w:rPr>
          <w:rFonts w:ascii="Arial" w:hAnsi="Arial" w:cs="Arial"/>
          <w:sz w:val="22"/>
          <w:szCs w:val="20"/>
        </w:rPr>
        <w:t>sodium chloride</w:t>
      </w:r>
      <w:r w:rsidRPr="00431AB6">
        <w:rPr>
          <w:rFonts w:ascii="Arial" w:hAnsi="Arial" w:cs="Arial"/>
          <w:sz w:val="22"/>
          <w:szCs w:val="20"/>
        </w:rPr>
        <w:t xml:space="preserve"> or 5% glucose (dextrose) to prepare a diluted solution with a final concentration ranging from 1 to 10 mg/mL. Mix diluted solution by gentle inversion</w:t>
      </w:r>
      <w:r w:rsidR="004B1802">
        <w:rPr>
          <w:rFonts w:ascii="Arial" w:hAnsi="Arial" w:cs="Arial"/>
          <w:sz w:val="22"/>
          <w:szCs w:val="20"/>
        </w:rPr>
        <w:t xml:space="preserve"> (</w:t>
      </w:r>
      <w:r w:rsidR="004B1802" w:rsidRPr="00844F93">
        <w:rPr>
          <w:rFonts w:ascii="Arial" w:hAnsi="Arial" w:cs="Arial"/>
          <w:b/>
          <w:sz w:val="22"/>
          <w:szCs w:val="20"/>
        </w:rPr>
        <w:t xml:space="preserve">see </w:t>
      </w:r>
      <w:r w:rsidR="004B1802" w:rsidRPr="00844F93">
        <w:rPr>
          <w:rFonts w:ascii="Arial" w:hAnsi="Arial" w:cs="Arial"/>
          <w:b/>
          <w:i/>
          <w:sz w:val="22"/>
          <w:szCs w:val="20"/>
        </w:rPr>
        <w:t>Administration</w:t>
      </w:r>
      <w:r w:rsidR="004B1802">
        <w:rPr>
          <w:rFonts w:ascii="Arial" w:hAnsi="Arial" w:cs="Arial"/>
          <w:sz w:val="22"/>
          <w:szCs w:val="20"/>
        </w:rPr>
        <w:t>)</w:t>
      </w:r>
      <w:r w:rsidRPr="00431AB6">
        <w:rPr>
          <w:rFonts w:ascii="Arial" w:hAnsi="Arial" w:cs="Arial"/>
          <w:sz w:val="22"/>
          <w:szCs w:val="20"/>
        </w:rPr>
        <w:t>.</w:t>
      </w:r>
    </w:p>
    <w:p w14:paraId="330BBB95" w14:textId="77777777" w:rsidR="00170122" w:rsidRPr="009F771F" w:rsidRDefault="00AE44F7" w:rsidP="00844F93">
      <w:pPr>
        <w:pStyle w:val="BodyText1"/>
        <w:spacing w:before="0"/>
        <w:ind w:firstLine="0"/>
        <w:jc w:val="both"/>
        <w:rPr>
          <w:rFonts w:ascii="Arial" w:hAnsi="Arial" w:cs="Arial"/>
          <w:sz w:val="22"/>
          <w:szCs w:val="20"/>
        </w:rPr>
      </w:pPr>
      <w:r w:rsidRPr="009F771F">
        <w:rPr>
          <w:rFonts w:ascii="Arial" w:hAnsi="Arial" w:cs="Arial"/>
          <w:sz w:val="22"/>
          <w:szCs w:val="20"/>
        </w:rPr>
        <w:t>Preparation</w:t>
      </w:r>
      <w:r w:rsidR="00437340" w:rsidRPr="009F771F">
        <w:rPr>
          <w:rFonts w:ascii="Arial" w:hAnsi="Arial" w:cs="Arial"/>
          <w:sz w:val="22"/>
          <w:szCs w:val="20"/>
        </w:rPr>
        <w:t xml:space="preserve"> </w:t>
      </w:r>
      <w:r w:rsidRPr="009F771F">
        <w:rPr>
          <w:rFonts w:ascii="Arial" w:hAnsi="Arial" w:cs="Arial"/>
          <w:sz w:val="22"/>
          <w:szCs w:val="20"/>
        </w:rPr>
        <w:t xml:space="preserve">of </w:t>
      </w:r>
      <w:r w:rsidR="008C2C3E" w:rsidRPr="009F771F">
        <w:rPr>
          <w:rFonts w:ascii="Arial" w:hAnsi="Arial" w:cs="Arial"/>
          <w:sz w:val="22"/>
          <w:szCs w:val="20"/>
        </w:rPr>
        <w:t xml:space="preserve">KEYTRUDA 100 mg/4 mL </w:t>
      </w:r>
      <w:r w:rsidR="00A95EB5" w:rsidRPr="009F771F">
        <w:rPr>
          <w:rFonts w:ascii="Arial" w:hAnsi="Arial" w:cs="Arial"/>
          <w:sz w:val="22"/>
          <w:szCs w:val="20"/>
        </w:rPr>
        <w:t>concentrated injection</w:t>
      </w:r>
    </w:p>
    <w:p w14:paraId="64281B78" w14:textId="77777777" w:rsidR="00AE44F7" w:rsidRDefault="00AE44F7" w:rsidP="00CF772C">
      <w:pPr>
        <w:pStyle w:val="BodyText1"/>
        <w:numPr>
          <w:ilvl w:val="0"/>
          <w:numId w:val="11"/>
        </w:numPr>
        <w:spacing w:before="0"/>
        <w:ind w:left="426"/>
        <w:jc w:val="both"/>
        <w:rPr>
          <w:rFonts w:ascii="Arial" w:hAnsi="Arial" w:cs="Arial"/>
          <w:sz w:val="22"/>
          <w:szCs w:val="20"/>
        </w:rPr>
      </w:pPr>
      <w:r>
        <w:rPr>
          <w:rFonts w:ascii="Arial" w:hAnsi="Arial" w:cs="Arial"/>
          <w:sz w:val="22"/>
          <w:szCs w:val="20"/>
        </w:rPr>
        <w:t>Protect from light. Do not freeze. Do not shake.</w:t>
      </w:r>
    </w:p>
    <w:p w14:paraId="71B2AA59" w14:textId="77777777" w:rsidR="00AE44F7" w:rsidRDefault="00AE44F7" w:rsidP="00CF772C">
      <w:pPr>
        <w:pStyle w:val="BodyText1"/>
        <w:numPr>
          <w:ilvl w:val="0"/>
          <w:numId w:val="11"/>
        </w:numPr>
        <w:spacing w:before="0"/>
        <w:ind w:left="426"/>
        <w:jc w:val="both"/>
        <w:rPr>
          <w:rFonts w:ascii="Arial" w:hAnsi="Arial" w:cs="Arial"/>
          <w:sz w:val="22"/>
          <w:szCs w:val="20"/>
        </w:rPr>
      </w:pPr>
      <w:r>
        <w:rPr>
          <w:rFonts w:ascii="Arial" w:hAnsi="Arial" w:cs="Arial"/>
          <w:sz w:val="22"/>
          <w:szCs w:val="20"/>
        </w:rPr>
        <w:t>Equilibrate the vial of KEYTRUDA to room temperature.</w:t>
      </w:r>
    </w:p>
    <w:p w14:paraId="6E3E1DC7" w14:textId="77777777" w:rsidR="00AE44F7" w:rsidRDefault="00AE44F7" w:rsidP="00CF772C">
      <w:pPr>
        <w:pStyle w:val="BodyText1"/>
        <w:numPr>
          <w:ilvl w:val="0"/>
          <w:numId w:val="11"/>
        </w:numPr>
        <w:spacing w:before="0"/>
        <w:ind w:left="426"/>
        <w:jc w:val="both"/>
        <w:rPr>
          <w:rFonts w:ascii="Arial" w:hAnsi="Arial" w:cs="Arial"/>
          <w:sz w:val="22"/>
          <w:szCs w:val="20"/>
        </w:rPr>
      </w:pPr>
      <w:r>
        <w:rPr>
          <w:rFonts w:ascii="Arial" w:hAnsi="Arial" w:cs="Arial"/>
          <w:sz w:val="22"/>
          <w:szCs w:val="20"/>
        </w:rPr>
        <w:t>Prior to dilution, the vial of liquid can be out of refrigeration (temperatures at or below 25</w:t>
      </w:r>
      <w:r w:rsidRPr="002F580C">
        <w:rPr>
          <w:rFonts w:ascii="Arial" w:hAnsi="Arial" w:cs="Arial"/>
          <w:sz w:val="22"/>
          <w:szCs w:val="20"/>
        </w:rPr>
        <w:t>°C</w:t>
      </w:r>
      <w:r>
        <w:rPr>
          <w:rFonts w:ascii="Arial" w:hAnsi="Arial" w:cs="Arial"/>
          <w:sz w:val="22"/>
          <w:szCs w:val="20"/>
        </w:rPr>
        <w:t>) for up to 24 hours.</w:t>
      </w:r>
    </w:p>
    <w:p w14:paraId="60094876" w14:textId="77777777" w:rsidR="00437340" w:rsidRDefault="00437340" w:rsidP="00844F93">
      <w:pPr>
        <w:pStyle w:val="BodyText1"/>
        <w:numPr>
          <w:ilvl w:val="0"/>
          <w:numId w:val="11"/>
        </w:numPr>
        <w:ind w:left="426"/>
        <w:rPr>
          <w:rFonts w:ascii="Arial" w:hAnsi="Arial" w:cs="Arial"/>
          <w:sz w:val="22"/>
          <w:szCs w:val="20"/>
        </w:rPr>
      </w:pPr>
      <w:r w:rsidRPr="00437340">
        <w:rPr>
          <w:rFonts w:ascii="Arial" w:hAnsi="Arial" w:cs="Arial"/>
          <w:sz w:val="22"/>
          <w:szCs w:val="20"/>
        </w:rPr>
        <w:t>Parenteral drug products should be inspected visually for particulate matter and discoloration</w:t>
      </w:r>
      <w:r>
        <w:rPr>
          <w:rFonts w:ascii="Arial" w:hAnsi="Arial" w:cs="Arial"/>
          <w:sz w:val="22"/>
          <w:szCs w:val="20"/>
        </w:rPr>
        <w:t xml:space="preserve"> </w:t>
      </w:r>
      <w:r w:rsidRPr="00054A4E">
        <w:rPr>
          <w:rFonts w:ascii="Arial" w:hAnsi="Arial" w:cs="Arial"/>
          <w:sz w:val="22"/>
          <w:szCs w:val="20"/>
        </w:rPr>
        <w:t xml:space="preserve">prior to administration. KEYTRUDA is a clear to slightly opalescent, </w:t>
      </w:r>
      <w:proofErr w:type="spellStart"/>
      <w:r w:rsidRPr="00054A4E">
        <w:rPr>
          <w:rFonts w:ascii="Arial" w:hAnsi="Arial" w:cs="Arial"/>
          <w:sz w:val="22"/>
          <w:szCs w:val="20"/>
        </w:rPr>
        <w:t>colo</w:t>
      </w:r>
      <w:r w:rsidR="003A29BC">
        <w:rPr>
          <w:rFonts w:ascii="Arial" w:hAnsi="Arial" w:cs="Arial"/>
          <w:sz w:val="22"/>
          <w:szCs w:val="20"/>
        </w:rPr>
        <w:t>u</w:t>
      </w:r>
      <w:r w:rsidRPr="00054A4E">
        <w:rPr>
          <w:rFonts w:ascii="Arial" w:hAnsi="Arial" w:cs="Arial"/>
          <w:sz w:val="22"/>
          <w:szCs w:val="20"/>
        </w:rPr>
        <w:t>rless</w:t>
      </w:r>
      <w:proofErr w:type="spellEnd"/>
      <w:r w:rsidRPr="00054A4E">
        <w:rPr>
          <w:rFonts w:ascii="Arial" w:hAnsi="Arial" w:cs="Arial"/>
          <w:sz w:val="22"/>
          <w:szCs w:val="20"/>
        </w:rPr>
        <w:t xml:space="preserve"> to slightly yellow</w:t>
      </w:r>
      <w:r>
        <w:rPr>
          <w:rFonts w:ascii="Arial" w:hAnsi="Arial" w:cs="Arial"/>
          <w:sz w:val="22"/>
          <w:szCs w:val="20"/>
        </w:rPr>
        <w:t xml:space="preserve"> </w:t>
      </w:r>
      <w:r w:rsidRPr="00054A4E">
        <w:rPr>
          <w:rFonts w:ascii="Arial" w:hAnsi="Arial" w:cs="Arial"/>
          <w:sz w:val="22"/>
          <w:szCs w:val="20"/>
        </w:rPr>
        <w:t>solution. Discard the vial if visible particles are observed.</w:t>
      </w:r>
    </w:p>
    <w:p w14:paraId="5F2DC9BB" w14:textId="77777777" w:rsidR="00437340" w:rsidRDefault="00437340" w:rsidP="00844F93">
      <w:pPr>
        <w:pStyle w:val="BodyText1"/>
        <w:numPr>
          <w:ilvl w:val="0"/>
          <w:numId w:val="11"/>
        </w:numPr>
        <w:ind w:left="426"/>
        <w:rPr>
          <w:rFonts w:ascii="Arial" w:hAnsi="Arial" w:cs="Arial"/>
          <w:sz w:val="22"/>
          <w:szCs w:val="20"/>
        </w:rPr>
      </w:pPr>
      <w:r w:rsidRPr="00437340">
        <w:rPr>
          <w:rFonts w:ascii="Arial" w:hAnsi="Arial" w:cs="Arial"/>
          <w:sz w:val="22"/>
          <w:szCs w:val="20"/>
        </w:rPr>
        <w:t>Withdraw the required volume up to 4 mL (100 mg) of KEYTRUDA and transfer into an</w:t>
      </w:r>
      <w:r>
        <w:rPr>
          <w:rFonts w:ascii="Arial" w:hAnsi="Arial" w:cs="Arial"/>
          <w:sz w:val="22"/>
          <w:szCs w:val="20"/>
        </w:rPr>
        <w:t xml:space="preserve"> </w:t>
      </w:r>
      <w:r w:rsidRPr="00054A4E">
        <w:rPr>
          <w:rFonts w:ascii="Arial" w:hAnsi="Arial" w:cs="Arial"/>
          <w:sz w:val="22"/>
          <w:szCs w:val="20"/>
        </w:rPr>
        <w:t>intravenous bag containing 0.9% sodium chloride or 5% glucose (dextrose) to prepare a</w:t>
      </w:r>
      <w:r>
        <w:rPr>
          <w:rFonts w:ascii="Arial" w:hAnsi="Arial" w:cs="Arial"/>
          <w:sz w:val="22"/>
          <w:szCs w:val="20"/>
        </w:rPr>
        <w:t xml:space="preserve"> </w:t>
      </w:r>
      <w:r w:rsidRPr="00054A4E">
        <w:rPr>
          <w:rFonts w:ascii="Arial" w:hAnsi="Arial" w:cs="Arial"/>
          <w:sz w:val="22"/>
          <w:szCs w:val="20"/>
        </w:rPr>
        <w:t>diluted</w:t>
      </w:r>
      <w:r>
        <w:rPr>
          <w:rFonts w:ascii="Arial" w:hAnsi="Arial" w:cs="Arial"/>
          <w:sz w:val="22"/>
          <w:szCs w:val="20"/>
        </w:rPr>
        <w:t xml:space="preserve"> </w:t>
      </w:r>
      <w:r w:rsidRPr="00054A4E">
        <w:rPr>
          <w:rFonts w:ascii="Arial" w:hAnsi="Arial" w:cs="Arial"/>
          <w:sz w:val="22"/>
          <w:szCs w:val="20"/>
        </w:rPr>
        <w:t>solution with a final concentration ranging from 1 to 10 mg/mL. Mix diluted solution by gentle</w:t>
      </w:r>
      <w:r>
        <w:rPr>
          <w:rFonts w:ascii="Arial" w:hAnsi="Arial" w:cs="Arial"/>
          <w:sz w:val="22"/>
          <w:szCs w:val="20"/>
        </w:rPr>
        <w:t xml:space="preserve"> </w:t>
      </w:r>
      <w:r w:rsidRPr="00054A4E">
        <w:rPr>
          <w:rFonts w:ascii="Arial" w:hAnsi="Arial" w:cs="Arial"/>
          <w:sz w:val="22"/>
          <w:szCs w:val="20"/>
        </w:rPr>
        <w:t>inversion</w:t>
      </w:r>
      <w:r w:rsidR="004B1802">
        <w:rPr>
          <w:rFonts w:ascii="Arial" w:hAnsi="Arial" w:cs="Arial"/>
          <w:sz w:val="22"/>
          <w:szCs w:val="20"/>
        </w:rPr>
        <w:t xml:space="preserve"> (</w:t>
      </w:r>
      <w:r w:rsidR="004B1802" w:rsidRPr="00844F93">
        <w:rPr>
          <w:rFonts w:ascii="Arial" w:hAnsi="Arial" w:cs="Arial"/>
          <w:b/>
          <w:sz w:val="22"/>
          <w:szCs w:val="20"/>
        </w:rPr>
        <w:t xml:space="preserve">see </w:t>
      </w:r>
      <w:r w:rsidR="004B1802" w:rsidRPr="00844F93">
        <w:rPr>
          <w:rFonts w:ascii="Arial" w:hAnsi="Arial" w:cs="Arial"/>
          <w:b/>
          <w:i/>
          <w:sz w:val="22"/>
          <w:szCs w:val="20"/>
        </w:rPr>
        <w:t>Administration</w:t>
      </w:r>
      <w:r w:rsidR="004B1802">
        <w:rPr>
          <w:rFonts w:ascii="Arial" w:hAnsi="Arial" w:cs="Arial"/>
          <w:sz w:val="22"/>
          <w:szCs w:val="20"/>
        </w:rPr>
        <w:t>)</w:t>
      </w:r>
      <w:r w:rsidRPr="00054A4E">
        <w:rPr>
          <w:rFonts w:ascii="Arial" w:hAnsi="Arial" w:cs="Arial"/>
          <w:sz w:val="22"/>
          <w:szCs w:val="20"/>
        </w:rPr>
        <w:t>.</w:t>
      </w:r>
    </w:p>
    <w:p w14:paraId="0C131379" w14:textId="77777777" w:rsidR="004B1802" w:rsidRPr="00844F93" w:rsidRDefault="004B1802" w:rsidP="009F771F">
      <w:pPr>
        <w:pStyle w:val="Heading2"/>
      </w:pPr>
      <w:r w:rsidRPr="00844F93">
        <w:t>Administration</w:t>
      </w:r>
    </w:p>
    <w:p w14:paraId="52DEBAEF" w14:textId="77777777" w:rsidR="00CF772C" w:rsidRPr="00431AB6" w:rsidRDefault="00CF772C" w:rsidP="00CF772C">
      <w:pPr>
        <w:pStyle w:val="BodyText1"/>
        <w:numPr>
          <w:ilvl w:val="0"/>
          <w:numId w:val="11"/>
        </w:numPr>
        <w:spacing w:before="0"/>
        <w:ind w:left="426"/>
        <w:jc w:val="both"/>
        <w:rPr>
          <w:rFonts w:ascii="Arial" w:hAnsi="Arial" w:cs="Arial"/>
          <w:sz w:val="22"/>
          <w:szCs w:val="20"/>
        </w:rPr>
      </w:pPr>
      <w:r w:rsidRPr="00431AB6">
        <w:rPr>
          <w:rFonts w:ascii="Arial" w:hAnsi="Arial" w:cs="Arial"/>
          <w:sz w:val="22"/>
          <w:szCs w:val="20"/>
        </w:rPr>
        <w:t>Do not freeze the infusion solution.</w:t>
      </w:r>
    </w:p>
    <w:p w14:paraId="45B64295" w14:textId="77777777" w:rsidR="00CF772C" w:rsidRPr="00431AB6" w:rsidRDefault="00CF772C" w:rsidP="00CF772C">
      <w:pPr>
        <w:pStyle w:val="BodyText1"/>
        <w:numPr>
          <w:ilvl w:val="0"/>
          <w:numId w:val="11"/>
        </w:numPr>
        <w:spacing w:before="0"/>
        <w:ind w:left="426"/>
        <w:jc w:val="both"/>
        <w:rPr>
          <w:rFonts w:ascii="Arial" w:hAnsi="Arial" w:cs="Arial"/>
          <w:sz w:val="22"/>
          <w:szCs w:val="20"/>
        </w:rPr>
      </w:pPr>
      <w:r w:rsidRPr="00431AB6">
        <w:rPr>
          <w:rFonts w:ascii="Arial" w:hAnsi="Arial" w:cs="Arial"/>
          <w:sz w:val="22"/>
          <w:szCs w:val="20"/>
        </w:rPr>
        <w:t xml:space="preserve">The product does not contain preservative. The reconstituted and/or diluted product should be used immediately. If not used immediately, reconstituted and diluted solutions of KEYTRUDA solutions </w:t>
      </w:r>
      <w:r w:rsidRPr="00431AB6">
        <w:rPr>
          <w:rFonts w:ascii="Arial" w:hAnsi="Arial" w:cs="Arial"/>
          <w:sz w:val="22"/>
          <w:szCs w:val="20"/>
        </w:rPr>
        <w:tab/>
        <w:t xml:space="preserve">may be stored at room temperature for a cumulative time of up to </w:t>
      </w:r>
      <w:r w:rsidR="003B03A0" w:rsidRPr="00431AB6">
        <w:rPr>
          <w:rFonts w:ascii="Arial" w:hAnsi="Arial" w:cs="Arial"/>
          <w:sz w:val="22"/>
          <w:szCs w:val="20"/>
        </w:rPr>
        <w:t>6 </w:t>
      </w:r>
      <w:r w:rsidRPr="00431AB6">
        <w:rPr>
          <w:rFonts w:ascii="Arial" w:hAnsi="Arial" w:cs="Arial"/>
          <w:sz w:val="22"/>
          <w:szCs w:val="20"/>
        </w:rPr>
        <w:t xml:space="preserve">hours. Reconstituted and diluted solutions of KEYTRUDA may also be stored under refrigeration at 2°C to 8°C; however, the total time from reconstitution </w:t>
      </w:r>
      <w:r w:rsidR="00844F93">
        <w:rPr>
          <w:rFonts w:ascii="Arial" w:hAnsi="Arial" w:cs="Arial"/>
          <w:sz w:val="22"/>
          <w:szCs w:val="20"/>
        </w:rPr>
        <w:t xml:space="preserve">or dilution </w:t>
      </w:r>
      <w:r w:rsidRPr="00431AB6">
        <w:rPr>
          <w:rFonts w:ascii="Arial" w:hAnsi="Arial" w:cs="Arial"/>
          <w:sz w:val="22"/>
          <w:szCs w:val="20"/>
        </w:rPr>
        <w:t>of KEYTRUDA to completion of infusion should not exceed 24 hours. If refrigerated, allow the vials and/or IV bags to come to room temperature prior to use.</w:t>
      </w:r>
    </w:p>
    <w:p w14:paraId="7C252D36" w14:textId="77777777" w:rsidR="00CF772C" w:rsidRPr="0019477B" w:rsidRDefault="00CF772C" w:rsidP="00CF772C">
      <w:pPr>
        <w:pStyle w:val="BodyText1"/>
        <w:numPr>
          <w:ilvl w:val="0"/>
          <w:numId w:val="11"/>
        </w:numPr>
        <w:spacing w:before="0"/>
        <w:ind w:left="426"/>
        <w:jc w:val="both"/>
        <w:rPr>
          <w:rFonts w:ascii="Arial" w:hAnsi="Arial" w:cs="Arial"/>
          <w:sz w:val="22"/>
          <w:szCs w:val="20"/>
        </w:rPr>
      </w:pPr>
      <w:r w:rsidRPr="0019477B">
        <w:rPr>
          <w:rFonts w:ascii="Arial" w:hAnsi="Arial" w:cs="Arial"/>
          <w:sz w:val="22"/>
          <w:szCs w:val="20"/>
        </w:rPr>
        <w:t>Administer infusion solution intravenously over 30 minutes using a sterile, non-pyrogenic, low-protein binding 0.2 to 5 µm in-line or add-on filter.</w:t>
      </w:r>
    </w:p>
    <w:p w14:paraId="39445DB7" w14:textId="77777777" w:rsidR="00CF772C" w:rsidRPr="0019477B" w:rsidRDefault="00CF772C" w:rsidP="00CF772C">
      <w:pPr>
        <w:pStyle w:val="BodyText1"/>
        <w:numPr>
          <w:ilvl w:val="0"/>
          <w:numId w:val="11"/>
        </w:numPr>
        <w:spacing w:before="0"/>
        <w:ind w:left="426"/>
        <w:jc w:val="both"/>
        <w:rPr>
          <w:rFonts w:ascii="Arial" w:hAnsi="Arial" w:cs="Arial"/>
          <w:sz w:val="22"/>
          <w:szCs w:val="20"/>
        </w:rPr>
      </w:pPr>
      <w:r w:rsidRPr="0019477B">
        <w:rPr>
          <w:rFonts w:ascii="Arial" w:hAnsi="Arial" w:cs="Arial"/>
          <w:sz w:val="22"/>
          <w:szCs w:val="20"/>
        </w:rPr>
        <w:t>Do not co-administer other drugs through the same infusion line.</w:t>
      </w:r>
    </w:p>
    <w:p w14:paraId="0ECBFAF1" w14:textId="77777777" w:rsidR="00CF772C" w:rsidRPr="00EE12B4" w:rsidRDefault="00580E6B" w:rsidP="00CF772C">
      <w:pPr>
        <w:pStyle w:val="BodyText1"/>
        <w:numPr>
          <w:ilvl w:val="0"/>
          <w:numId w:val="11"/>
        </w:numPr>
        <w:spacing w:before="0"/>
        <w:ind w:left="426"/>
        <w:jc w:val="both"/>
        <w:rPr>
          <w:rFonts w:ascii="Arial" w:hAnsi="Arial" w:cs="Arial"/>
          <w:sz w:val="22"/>
          <w:szCs w:val="20"/>
        </w:rPr>
      </w:pPr>
      <w:r w:rsidRPr="006C3F19">
        <w:rPr>
          <w:rFonts w:ascii="Arial" w:hAnsi="Arial" w:cs="Arial"/>
          <w:sz w:val="22"/>
          <w:szCs w:val="20"/>
        </w:rPr>
        <w:t>Product is for single use in one patient only, Discard any residue.</w:t>
      </w:r>
    </w:p>
    <w:p w14:paraId="78B99BFE" w14:textId="77777777" w:rsidR="003345BB" w:rsidRPr="00187C95" w:rsidRDefault="003345BB" w:rsidP="00EE12B4">
      <w:pPr>
        <w:pStyle w:val="Heading2"/>
        <w:rPr>
          <w:rFonts w:ascii="Arial" w:hAnsi="Arial" w:cs="Arial"/>
        </w:rPr>
      </w:pPr>
      <w:r w:rsidRPr="00187C95">
        <w:rPr>
          <w:rFonts w:ascii="Arial" w:hAnsi="Arial" w:cs="Arial"/>
        </w:rPr>
        <w:t>Paediatric Patients</w:t>
      </w:r>
    </w:p>
    <w:p w14:paraId="03A2610E" w14:textId="77777777" w:rsidR="003345BB" w:rsidRPr="004172BA" w:rsidRDefault="003345BB" w:rsidP="003345BB">
      <w:pPr>
        <w:rPr>
          <w:rFonts w:cs="Arial"/>
        </w:rPr>
      </w:pPr>
      <w:r w:rsidRPr="004172BA">
        <w:rPr>
          <w:rFonts w:cs="Arial"/>
        </w:rPr>
        <w:t>Safety and efficacy of KEYTRUDA in children below 18 years of age have not yet been established.</w:t>
      </w:r>
    </w:p>
    <w:p w14:paraId="3A9B455E" w14:textId="77777777" w:rsidR="003345BB" w:rsidRPr="00187C95" w:rsidRDefault="003345BB" w:rsidP="00EE12B4">
      <w:pPr>
        <w:pStyle w:val="Heading2"/>
        <w:rPr>
          <w:rFonts w:ascii="Arial" w:hAnsi="Arial" w:cs="Arial"/>
        </w:rPr>
      </w:pPr>
      <w:r w:rsidRPr="00187C95">
        <w:rPr>
          <w:rFonts w:ascii="Arial" w:hAnsi="Arial" w:cs="Arial"/>
        </w:rPr>
        <w:t>Geriatric Patients</w:t>
      </w:r>
    </w:p>
    <w:p w14:paraId="71C0FD3D" w14:textId="2ABCAE2A" w:rsidR="00CF772C" w:rsidRPr="004172BA" w:rsidRDefault="003345BB" w:rsidP="003345BB">
      <w:pPr>
        <w:rPr>
          <w:rFonts w:cs="Arial"/>
        </w:rPr>
      </w:pPr>
      <w:r w:rsidRPr="004172BA">
        <w:rPr>
          <w:rFonts w:cs="Arial"/>
        </w:rPr>
        <w:t>No overall differences in safety or efficacy were reported between elderly patients (65 years and over) and younger patients (less than 65 years). No dose adjustment is necessary in this population.</w:t>
      </w:r>
    </w:p>
    <w:p w14:paraId="481B6DFC" w14:textId="77777777" w:rsidR="00C169A1" w:rsidRPr="00187C95" w:rsidRDefault="00C169A1" w:rsidP="00EE12B4">
      <w:pPr>
        <w:pStyle w:val="Heading2"/>
        <w:rPr>
          <w:rFonts w:ascii="Arial" w:hAnsi="Arial" w:cs="Arial"/>
        </w:rPr>
      </w:pPr>
      <w:r w:rsidRPr="00187C95">
        <w:rPr>
          <w:rFonts w:ascii="Arial" w:hAnsi="Arial" w:cs="Arial"/>
        </w:rPr>
        <w:lastRenderedPageBreak/>
        <w:t>Renal Insufficiency</w:t>
      </w:r>
    </w:p>
    <w:p w14:paraId="5F573E67" w14:textId="77777777" w:rsidR="00406042" w:rsidRPr="00343CB7" w:rsidRDefault="00406042" w:rsidP="00C169A1">
      <w:pPr>
        <w:pStyle w:val="BodyText1"/>
        <w:spacing w:before="0"/>
        <w:ind w:firstLine="0"/>
        <w:jc w:val="both"/>
        <w:rPr>
          <w:rFonts w:ascii="Arial" w:hAnsi="Arial" w:cs="Arial"/>
          <w:i/>
          <w:sz w:val="22"/>
          <w:szCs w:val="20"/>
        </w:rPr>
      </w:pPr>
      <w:r w:rsidRPr="004172BA">
        <w:rPr>
          <w:rFonts w:ascii="Arial" w:hAnsi="Arial" w:cs="Arial"/>
          <w:sz w:val="22"/>
          <w:szCs w:val="20"/>
        </w:rPr>
        <w:t xml:space="preserve">No dose adjustment is needed for patients with mild or moderate renal impairment. KEYTRUDA has not been studied in patients with severe renal impairment </w:t>
      </w:r>
      <w:r w:rsidRPr="004172BA">
        <w:rPr>
          <w:rFonts w:ascii="Arial" w:hAnsi="Arial" w:cs="Arial"/>
          <w:i/>
          <w:sz w:val="22"/>
          <w:szCs w:val="20"/>
        </w:rPr>
        <w:t>[See</w:t>
      </w:r>
      <w:r w:rsidR="0076351F" w:rsidRPr="004172BA">
        <w:rPr>
          <w:rFonts w:ascii="Arial" w:hAnsi="Arial" w:cs="Arial"/>
          <w:i/>
          <w:sz w:val="22"/>
          <w:szCs w:val="20"/>
        </w:rPr>
        <w:t xml:space="preserve"> PHARMACOLOGY</w:t>
      </w:r>
      <w:r w:rsidRPr="004172BA">
        <w:rPr>
          <w:rFonts w:ascii="Arial" w:hAnsi="Arial" w:cs="Arial"/>
          <w:i/>
          <w:sz w:val="22"/>
          <w:szCs w:val="20"/>
        </w:rPr>
        <w:t>]</w:t>
      </w:r>
      <w:r w:rsidR="00D45C9B" w:rsidRPr="00343CB7">
        <w:rPr>
          <w:rFonts w:ascii="Arial" w:hAnsi="Arial" w:cs="Arial"/>
          <w:i/>
          <w:sz w:val="22"/>
          <w:szCs w:val="20"/>
        </w:rPr>
        <w:t>.</w:t>
      </w:r>
    </w:p>
    <w:p w14:paraId="2EC099E8" w14:textId="77777777" w:rsidR="00C169A1" w:rsidRPr="00187C95" w:rsidRDefault="00C169A1" w:rsidP="00EE12B4">
      <w:pPr>
        <w:pStyle w:val="Heading2"/>
        <w:rPr>
          <w:rFonts w:ascii="Arial" w:hAnsi="Arial" w:cs="Arial"/>
        </w:rPr>
      </w:pPr>
      <w:r w:rsidRPr="00187C95">
        <w:rPr>
          <w:rFonts w:ascii="Arial" w:hAnsi="Arial" w:cs="Arial"/>
        </w:rPr>
        <w:t>Hepatic Insufficiency</w:t>
      </w:r>
    </w:p>
    <w:p w14:paraId="2DDD293B" w14:textId="77777777" w:rsidR="00406042" w:rsidRPr="002164EC" w:rsidRDefault="00406042" w:rsidP="00C169A1">
      <w:pPr>
        <w:pStyle w:val="BodyText1"/>
        <w:spacing w:before="0"/>
        <w:ind w:firstLine="0"/>
        <w:jc w:val="both"/>
        <w:rPr>
          <w:rFonts w:ascii="Arial" w:hAnsi="Arial" w:cs="Arial"/>
          <w:i/>
          <w:sz w:val="22"/>
          <w:szCs w:val="20"/>
        </w:rPr>
      </w:pPr>
      <w:r w:rsidRPr="004172BA">
        <w:rPr>
          <w:rFonts w:ascii="Arial" w:hAnsi="Arial" w:cs="Arial"/>
          <w:sz w:val="22"/>
          <w:szCs w:val="20"/>
        </w:rPr>
        <w:t>No dose adjustment is needed for patients with mild hepatic impairment. KEYTRUDA has not been studied in patients with modera</w:t>
      </w:r>
      <w:r w:rsidR="00FD3D95" w:rsidRPr="004172BA">
        <w:rPr>
          <w:rFonts w:ascii="Arial" w:hAnsi="Arial" w:cs="Arial"/>
          <w:sz w:val="22"/>
          <w:szCs w:val="20"/>
        </w:rPr>
        <w:t>te or severe hepatic impairment</w:t>
      </w:r>
      <w:r w:rsidRPr="004172BA">
        <w:rPr>
          <w:rFonts w:ascii="Arial" w:hAnsi="Arial" w:cs="Arial"/>
          <w:sz w:val="22"/>
          <w:szCs w:val="20"/>
        </w:rPr>
        <w:t xml:space="preserve"> </w:t>
      </w:r>
      <w:r w:rsidRPr="004172BA">
        <w:rPr>
          <w:rFonts w:ascii="Arial" w:hAnsi="Arial" w:cs="Arial"/>
          <w:i/>
          <w:sz w:val="22"/>
          <w:szCs w:val="20"/>
        </w:rPr>
        <w:t xml:space="preserve">[See </w:t>
      </w:r>
      <w:r w:rsidR="0076351F" w:rsidRPr="00343CB7">
        <w:rPr>
          <w:rFonts w:ascii="Arial" w:hAnsi="Arial" w:cs="Arial"/>
          <w:i/>
          <w:sz w:val="22"/>
          <w:szCs w:val="20"/>
        </w:rPr>
        <w:t>PHARMACOLOGY</w:t>
      </w:r>
      <w:r w:rsidRPr="00343CB7">
        <w:rPr>
          <w:rFonts w:ascii="Arial" w:hAnsi="Arial" w:cs="Arial"/>
          <w:i/>
          <w:sz w:val="22"/>
          <w:szCs w:val="20"/>
        </w:rPr>
        <w:t>]</w:t>
      </w:r>
      <w:r w:rsidR="00D45C9B" w:rsidRPr="009F14D7">
        <w:rPr>
          <w:rFonts w:ascii="Arial" w:hAnsi="Arial" w:cs="Arial"/>
          <w:i/>
          <w:sz w:val="22"/>
          <w:szCs w:val="20"/>
        </w:rPr>
        <w:t>.</w:t>
      </w:r>
    </w:p>
    <w:p w14:paraId="0A11F9A6" w14:textId="77777777" w:rsidR="003A6F1C" w:rsidRPr="00187C95" w:rsidRDefault="003A6F1C">
      <w:pPr>
        <w:pStyle w:val="Heading1"/>
      </w:pPr>
      <w:r w:rsidRPr="00187C95">
        <w:t>OVERDOSAGE</w:t>
      </w:r>
    </w:p>
    <w:p w14:paraId="6EA31870" w14:textId="77777777" w:rsidR="00704668" w:rsidRPr="00187C95" w:rsidRDefault="00704668" w:rsidP="00704668">
      <w:pPr>
        <w:rPr>
          <w:rFonts w:cs="Arial"/>
        </w:rPr>
      </w:pPr>
      <w:r w:rsidRPr="00187C95">
        <w:rPr>
          <w:rFonts w:cs="Arial"/>
        </w:rPr>
        <w:t xml:space="preserve">There is no information on </w:t>
      </w:r>
      <w:proofErr w:type="spellStart"/>
      <w:r w:rsidRPr="00187C95">
        <w:rPr>
          <w:rFonts w:cs="Arial"/>
        </w:rPr>
        <w:t>overdosage</w:t>
      </w:r>
      <w:proofErr w:type="spellEnd"/>
      <w:r w:rsidRPr="00187C95">
        <w:rPr>
          <w:rFonts w:cs="Arial"/>
        </w:rPr>
        <w:t xml:space="preserve"> with KEYTRUDA. The maximum tolerated dose of KEYTRUDA has not been determined. In clinical trials, patients received up to 10 mg/kg with a similar safety profile to that seen in patients receiving 2 mg/kg.</w:t>
      </w:r>
    </w:p>
    <w:p w14:paraId="0E068D22" w14:textId="77777777" w:rsidR="001D71DE" w:rsidRPr="00187C95" w:rsidRDefault="00704668" w:rsidP="00704668">
      <w:pPr>
        <w:rPr>
          <w:rFonts w:cs="Arial"/>
        </w:rPr>
      </w:pPr>
      <w:r w:rsidRPr="00187C95">
        <w:rPr>
          <w:rFonts w:cs="Arial"/>
        </w:rPr>
        <w:t>In case of overdose, patients must be closely monitored for signs or symptoms of adverse reactions, and appropriate symptomatic treatment instituted.</w:t>
      </w:r>
    </w:p>
    <w:p w14:paraId="7C5B5596" w14:textId="600106AF" w:rsidR="00522256" w:rsidRPr="00187C95" w:rsidRDefault="00931C42" w:rsidP="00704668">
      <w:pPr>
        <w:rPr>
          <w:rFonts w:cs="Arial"/>
          <w:lang w:val="en-US" w:eastAsia="en-US"/>
        </w:rPr>
      </w:pPr>
      <w:r w:rsidRPr="00931C42">
        <w:rPr>
          <w:rFonts w:cs="Arial"/>
          <w:lang w:val="en-US" w:eastAsia="en-US"/>
        </w:rPr>
        <w:t>In the event of an overdose or poisoning contact the Poisons Information Centre on 131126.</w:t>
      </w:r>
    </w:p>
    <w:p w14:paraId="208D46FF" w14:textId="77777777" w:rsidR="003A6F1C" w:rsidRPr="00187C95" w:rsidRDefault="003A6F1C">
      <w:pPr>
        <w:pStyle w:val="Heading1"/>
      </w:pPr>
      <w:r w:rsidRPr="00187C95">
        <w:t>PRESENTATION</w:t>
      </w:r>
      <w:r w:rsidR="00C25BB6" w:rsidRPr="00187C95">
        <w:t xml:space="preserve"> AND STORAGE CONDITIONS</w:t>
      </w:r>
    </w:p>
    <w:p w14:paraId="66E95E1B" w14:textId="77777777" w:rsidR="008D297C" w:rsidRDefault="0053709B" w:rsidP="0053709B">
      <w:pPr>
        <w:rPr>
          <w:rFonts w:cs="Arial"/>
        </w:rPr>
      </w:pPr>
      <w:proofErr w:type="gramStart"/>
      <w:r w:rsidRPr="00187C95">
        <w:rPr>
          <w:rFonts w:cs="Arial"/>
        </w:rPr>
        <w:t>Carton of one 50 mg</w:t>
      </w:r>
      <w:r w:rsidR="00054A4E">
        <w:rPr>
          <w:rFonts w:cs="Arial"/>
        </w:rPr>
        <w:t xml:space="preserve"> </w:t>
      </w:r>
      <w:r w:rsidR="00595510">
        <w:rPr>
          <w:rFonts w:cs="Arial"/>
        </w:rPr>
        <w:t xml:space="preserve">powder for </w:t>
      </w:r>
      <w:r w:rsidR="00A95EB5">
        <w:rPr>
          <w:rFonts w:cs="Arial"/>
        </w:rPr>
        <w:t>injection</w:t>
      </w:r>
      <w:r w:rsidR="00054A4E">
        <w:rPr>
          <w:rFonts w:cs="Arial"/>
        </w:rPr>
        <w:t xml:space="preserve"> or </w:t>
      </w:r>
      <w:r w:rsidR="00170122">
        <w:rPr>
          <w:rFonts w:cs="Arial"/>
        </w:rPr>
        <w:t xml:space="preserve">one </w:t>
      </w:r>
      <w:r w:rsidR="00054A4E">
        <w:rPr>
          <w:rFonts w:cs="Arial"/>
        </w:rPr>
        <w:t>100</w:t>
      </w:r>
      <w:r w:rsidR="008C2C3E">
        <w:rPr>
          <w:rFonts w:cs="Arial"/>
        </w:rPr>
        <w:t> </w:t>
      </w:r>
      <w:r w:rsidR="00054A4E">
        <w:rPr>
          <w:rFonts w:cs="Arial"/>
        </w:rPr>
        <w:t>mg</w:t>
      </w:r>
      <w:r w:rsidR="00A95EB5">
        <w:rPr>
          <w:rFonts w:cs="Arial"/>
        </w:rPr>
        <w:t>/4 mL</w:t>
      </w:r>
      <w:r w:rsidR="00054A4E">
        <w:rPr>
          <w:rFonts w:cs="Arial"/>
        </w:rPr>
        <w:t xml:space="preserve"> </w:t>
      </w:r>
      <w:r w:rsidR="00A95EB5">
        <w:rPr>
          <w:rFonts w:cs="Arial"/>
        </w:rPr>
        <w:t>concentrated injection</w:t>
      </w:r>
      <w:r w:rsidRPr="00187C95">
        <w:rPr>
          <w:rFonts w:cs="Arial"/>
        </w:rPr>
        <w:t xml:space="preserve"> single-use vial</w:t>
      </w:r>
      <w:r w:rsidR="00021B84">
        <w:rPr>
          <w:rFonts w:cs="Arial"/>
        </w:rPr>
        <w:t>.</w:t>
      </w:r>
      <w:proofErr w:type="gramEnd"/>
    </w:p>
    <w:p w14:paraId="2DBC3BE6" w14:textId="77777777" w:rsidR="0053709B" w:rsidRPr="00187C95" w:rsidRDefault="0053709B" w:rsidP="0053709B">
      <w:pPr>
        <w:rPr>
          <w:rFonts w:cs="Arial"/>
        </w:rPr>
      </w:pPr>
      <w:proofErr w:type="gramStart"/>
      <w:r w:rsidRPr="00187C95">
        <w:rPr>
          <w:rFonts w:cs="Arial"/>
        </w:rPr>
        <w:t>Store in a refrigerator (2°C to 8°C).</w:t>
      </w:r>
      <w:proofErr w:type="gramEnd"/>
    </w:p>
    <w:p w14:paraId="63AC36E4" w14:textId="77777777" w:rsidR="00054A4E" w:rsidRDefault="00054A4E" w:rsidP="0053709B">
      <w:pPr>
        <w:rPr>
          <w:rFonts w:cs="Arial"/>
        </w:rPr>
      </w:pPr>
      <w:r>
        <w:rPr>
          <w:rFonts w:cs="Arial"/>
        </w:rPr>
        <w:t>Protect from light. Do not freeze. Do not shake.</w:t>
      </w:r>
    </w:p>
    <w:p w14:paraId="29C13F70" w14:textId="77777777" w:rsidR="003345BB" w:rsidRPr="00187C95" w:rsidRDefault="003345BB" w:rsidP="003345BB">
      <w:pPr>
        <w:rPr>
          <w:rFonts w:cs="Arial"/>
        </w:rPr>
      </w:pPr>
      <w:r w:rsidRPr="00187C95">
        <w:rPr>
          <w:rFonts w:cs="Arial"/>
        </w:rPr>
        <w:t xml:space="preserve">For storage conditions after reconstitution or dilution of the medicinal product, </w:t>
      </w:r>
      <w:r w:rsidRPr="00187C95">
        <w:rPr>
          <w:rFonts w:cs="Arial"/>
          <w:i/>
        </w:rPr>
        <w:t>see DOSAGE AND ADMINISTRATION</w:t>
      </w:r>
      <w:r w:rsidRPr="00187C95">
        <w:rPr>
          <w:rFonts w:cs="Arial"/>
        </w:rPr>
        <w:t>.</w:t>
      </w:r>
    </w:p>
    <w:p w14:paraId="4B40767D" w14:textId="77777777" w:rsidR="003A6F1C" w:rsidRPr="00187C95" w:rsidRDefault="00C25BB6">
      <w:pPr>
        <w:pStyle w:val="Heading1"/>
      </w:pPr>
      <w:r w:rsidRPr="00187C95">
        <w:t xml:space="preserve">NAME AND ADDRESS OF THE </w:t>
      </w:r>
      <w:r w:rsidR="003A6F1C" w:rsidRPr="00187C95">
        <w:t>SPONSOR</w:t>
      </w:r>
    </w:p>
    <w:p w14:paraId="030E78F3" w14:textId="77777777" w:rsidR="007D12E0" w:rsidRPr="00187C95" w:rsidRDefault="007D12E0" w:rsidP="00597398">
      <w:pPr>
        <w:rPr>
          <w:rFonts w:cs="Arial"/>
        </w:rPr>
      </w:pPr>
      <w:r w:rsidRPr="00187C95">
        <w:rPr>
          <w:rFonts w:cs="Arial"/>
        </w:rPr>
        <w:t>Merck Sharp &amp; Dohme (Australia) Pty Limited</w:t>
      </w:r>
    </w:p>
    <w:p w14:paraId="5D42A617" w14:textId="77777777" w:rsidR="00580E6B" w:rsidRPr="00187C95" w:rsidRDefault="00580E6B" w:rsidP="00597398">
      <w:pPr>
        <w:rPr>
          <w:rFonts w:cs="Arial"/>
        </w:rPr>
      </w:pPr>
      <w:r w:rsidRPr="00187C95">
        <w:rPr>
          <w:rFonts w:cs="Arial"/>
        </w:rPr>
        <w:t>Level 1, Building A, 26 Talavera Road</w:t>
      </w:r>
    </w:p>
    <w:p w14:paraId="60EAB9D1" w14:textId="77777777" w:rsidR="00580E6B" w:rsidRPr="00187C95" w:rsidRDefault="00580E6B" w:rsidP="00597398">
      <w:pPr>
        <w:rPr>
          <w:rFonts w:cs="Arial"/>
        </w:rPr>
      </w:pPr>
      <w:r w:rsidRPr="00187C95">
        <w:rPr>
          <w:rFonts w:cs="Arial"/>
        </w:rPr>
        <w:t>Macquarie Park, NSW 2113, Australia</w:t>
      </w:r>
    </w:p>
    <w:p w14:paraId="72B18E49" w14:textId="77777777" w:rsidR="00C25BB6" w:rsidRPr="00187C95" w:rsidRDefault="00C25BB6" w:rsidP="00C25BB6">
      <w:pPr>
        <w:pStyle w:val="Heading1"/>
      </w:pPr>
      <w:r w:rsidRPr="00187C95">
        <w:t>POISON SCHEDULE OF THE MEDICINE</w:t>
      </w:r>
    </w:p>
    <w:p w14:paraId="20AC8094" w14:textId="77777777" w:rsidR="00C25BB6" w:rsidRPr="00187C95" w:rsidRDefault="00C25BB6" w:rsidP="00C25BB6">
      <w:pPr>
        <w:rPr>
          <w:rFonts w:cs="Arial"/>
        </w:rPr>
      </w:pPr>
      <w:r w:rsidRPr="00187C95">
        <w:rPr>
          <w:rFonts w:cs="Arial"/>
        </w:rPr>
        <w:t>Prescription only medicine (Schedule 4)</w:t>
      </w:r>
    </w:p>
    <w:p w14:paraId="2B3CDDF7" w14:textId="77777777" w:rsidR="00C25BB6" w:rsidRPr="00187C95" w:rsidRDefault="00C25BB6" w:rsidP="00C25BB6">
      <w:pPr>
        <w:pStyle w:val="Heading1"/>
      </w:pPr>
      <w:r w:rsidRPr="00187C95">
        <w:t>DATE OF FIRST INCLUSION IN THE AUSTRALIAN REGISTER OF THERAPEUTIC GOODS (the ARTG)</w:t>
      </w:r>
    </w:p>
    <w:p w14:paraId="591C1E7A" w14:textId="77777777" w:rsidR="00C25BB6" w:rsidRPr="00187C95" w:rsidRDefault="008714EA" w:rsidP="00C25BB6">
      <w:pPr>
        <w:rPr>
          <w:rFonts w:cs="Arial"/>
        </w:rPr>
      </w:pPr>
      <w:r w:rsidRPr="00187C95">
        <w:rPr>
          <w:rFonts w:cs="Arial"/>
        </w:rPr>
        <w:t>16 April 2015</w:t>
      </w:r>
    </w:p>
    <w:p w14:paraId="30A1F351" w14:textId="77777777" w:rsidR="004804E7" w:rsidRPr="00AE1EF9" w:rsidRDefault="004804E7" w:rsidP="00EE12B4">
      <w:pPr>
        <w:pStyle w:val="Heading1"/>
      </w:pPr>
      <w:r w:rsidRPr="00AE1EF9">
        <w:t>DATE OF MOST RECENT AMENDMENT</w:t>
      </w:r>
    </w:p>
    <w:p w14:paraId="5000368D" w14:textId="738E9DAF" w:rsidR="003A6F1C" w:rsidRPr="00A04553" w:rsidRDefault="00E35FF2">
      <w:pPr>
        <w:rPr>
          <w:rFonts w:cs="Arial"/>
        </w:rPr>
      </w:pPr>
      <w:r>
        <w:rPr>
          <w:rFonts w:cs="Arial"/>
        </w:rPr>
        <w:t>01 SEPTEMBER 2017</w:t>
      </w:r>
    </w:p>
    <w:sectPr w:rsidR="003A6F1C" w:rsidRPr="00A04553" w:rsidSect="00832137">
      <w:headerReference w:type="default" r:id="rId21"/>
      <w:footerReference w:type="default" r:id="rId22"/>
      <w:footnotePr>
        <w:numFmt w:val="chicago"/>
      </w:footnotePr>
      <w:endnotePr>
        <w:numFmt w:val="decimal"/>
      </w:endnotePr>
      <w:pgSz w:w="11907" w:h="16840" w:code="9"/>
      <w:pgMar w:top="1418" w:right="1134" w:bottom="1418" w:left="1134" w:header="426"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AC904" w14:textId="77777777" w:rsidR="00E25368" w:rsidRDefault="00E25368">
      <w:r>
        <w:separator/>
      </w:r>
    </w:p>
  </w:endnote>
  <w:endnote w:type="continuationSeparator" w:id="0">
    <w:p w14:paraId="03573907" w14:textId="77777777" w:rsidR="00E25368" w:rsidRDefault="00E2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059A6" w14:textId="53E65B39" w:rsidR="00E25368" w:rsidRDefault="00E25368" w:rsidP="00D90014">
    <w:pPr>
      <w:pStyle w:val="FootnoteText"/>
      <w:tabs>
        <w:tab w:val="clear" w:pos="4513"/>
        <w:tab w:val="clear" w:pos="10348"/>
        <w:tab w:val="left" w:pos="7371"/>
        <w:tab w:val="right" w:pos="8080"/>
      </w:tabs>
      <w:spacing w:before="140"/>
      <w:rPr>
        <w:lang w:val="fr-FR"/>
      </w:rPr>
    </w:pPr>
    <w:r>
      <w:rPr>
        <w:lang w:val="fr-FR"/>
      </w:rPr>
      <w:tab/>
      <w:t xml:space="preserve">PAGE </w:t>
    </w:r>
    <w:r>
      <w:rPr>
        <w:rStyle w:val="PageNumber"/>
        <w:sz w:val="22"/>
      </w:rPr>
      <w:fldChar w:fldCharType="begin"/>
    </w:r>
    <w:r>
      <w:rPr>
        <w:rStyle w:val="PageNumber"/>
        <w:sz w:val="22"/>
        <w:lang w:val="fr-FR"/>
      </w:rPr>
      <w:instrText xml:space="preserve"> PAGE </w:instrText>
    </w:r>
    <w:r>
      <w:rPr>
        <w:rStyle w:val="PageNumber"/>
        <w:sz w:val="22"/>
      </w:rPr>
      <w:fldChar w:fldCharType="separate"/>
    </w:r>
    <w:r w:rsidR="00DC6668">
      <w:rPr>
        <w:rStyle w:val="PageNumber"/>
        <w:noProof/>
        <w:sz w:val="22"/>
        <w:lang w:val="fr-FR"/>
      </w:rPr>
      <w:t>30</w:t>
    </w:r>
    <w:r>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AD524" w14:textId="77777777" w:rsidR="00E25368" w:rsidRDefault="00E25368">
      <w:r>
        <w:separator/>
      </w:r>
    </w:p>
  </w:footnote>
  <w:footnote w:type="continuationSeparator" w:id="0">
    <w:p w14:paraId="4990E6F1" w14:textId="77777777" w:rsidR="00E25368" w:rsidRDefault="00E25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4EC4D" w14:textId="171E1721" w:rsidR="00832137" w:rsidRPr="006C2900" w:rsidRDefault="00832137" w:rsidP="006C2900">
    <w:pPr>
      <w:pBdr>
        <w:top w:val="single" w:sz="4" w:space="1" w:color="auto"/>
        <w:left w:val="single" w:sz="4" w:space="4" w:color="auto"/>
        <w:bottom w:val="single" w:sz="4" w:space="1" w:color="auto"/>
        <w:right w:val="single" w:sz="4" w:space="4" w:color="auto"/>
      </w:pBdr>
      <w:shd w:val="clear" w:color="auto" w:fill="E4F2E0"/>
      <w:spacing w:before="40" w:after="40"/>
      <w:rPr>
        <w:sz w:val="20"/>
      </w:rPr>
    </w:pPr>
    <w:r w:rsidRPr="00832137">
      <w:rPr>
        <w:sz w:val="20"/>
      </w:rPr>
      <w:t xml:space="preserve">Attachment 1: Product information for </w:t>
    </w:r>
    <w:proofErr w:type="spellStart"/>
    <w:r w:rsidRPr="00832137">
      <w:rPr>
        <w:sz w:val="20"/>
      </w:rPr>
      <w:t>AusPAR</w:t>
    </w:r>
    <w:proofErr w:type="spellEnd"/>
    <w:r w:rsidRPr="00832137">
      <w:rPr>
        <w:sz w:val="20"/>
      </w:rPr>
      <w:t xml:space="preserve"> </w:t>
    </w:r>
    <w:proofErr w:type="spellStart"/>
    <w:r w:rsidRPr="00832137">
      <w:rPr>
        <w:sz w:val="20"/>
      </w:rPr>
      <w:t>Keytruda</w:t>
    </w:r>
    <w:proofErr w:type="spellEnd"/>
    <w:r w:rsidRPr="00832137">
      <w:rPr>
        <w:sz w:val="20"/>
      </w:rPr>
      <w:t xml:space="preserve"> </w:t>
    </w:r>
    <w:proofErr w:type="spellStart"/>
    <w:r w:rsidRPr="00832137">
      <w:rPr>
        <w:sz w:val="20"/>
      </w:rPr>
      <w:t>Pembrolizumab</w:t>
    </w:r>
    <w:proofErr w:type="spellEnd"/>
    <w:r w:rsidRPr="00832137">
      <w:rPr>
        <w:sz w:val="20"/>
      </w:rPr>
      <w:t xml:space="preserve"> Merck Sharp &amp; Dohme Australia Pty Ltd PM-2016–02736-1-4 Final 30 May 2018. This Product Information was approved at the time this </w:t>
    </w:r>
    <w:proofErr w:type="spellStart"/>
    <w:r w:rsidRPr="00832137">
      <w:rPr>
        <w:sz w:val="20"/>
      </w:rPr>
      <w:t>AusPAR</w:t>
    </w:r>
    <w:proofErr w:type="spellEnd"/>
    <w:r w:rsidRPr="00832137">
      <w:rPr>
        <w:sz w:val="20"/>
      </w:rPr>
      <w:t xml:space="preserve"> was published.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9CAD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8555C"/>
    <w:multiLevelType w:val="hybridMultilevel"/>
    <w:tmpl w:val="4E1AB8D2"/>
    <w:lvl w:ilvl="0" w:tplc="ACA83F28">
      <w:start w:val="76"/>
      <w:numFmt w:val="bullet"/>
      <w:lvlText w:val=""/>
      <w:lvlJc w:val="left"/>
      <w:pPr>
        <w:ind w:left="3375" w:hanging="301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26D77"/>
    <w:multiLevelType w:val="hybridMultilevel"/>
    <w:tmpl w:val="983A7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01606E"/>
    <w:multiLevelType w:val="hybridMultilevel"/>
    <w:tmpl w:val="57B2A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7F0CD9A">
      <w:start w:val="5"/>
      <w:numFmt w:val="bullet"/>
      <w:lvlText w:val="-"/>
      <w:lvlJc w:val="left"/>
      <w:pPr>
        <w:ind w:left="2160" w:hanging="360"/>
      </w:pPr>
      <w:rPr>
        <w:rFonts w:ascii="Times New Roman" w:eastAsia="Arial Unicode MS"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61AF1"/>
    <w:multiLevelType w:val="hybridMultilevel"/>
    <w:tmpl w:val="ADB8F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E71A1"/>
    <w:multiLevelType w:val="hybridMultilevel"/>
    <w:tmpl w:val="26B40D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CE82513"/>
    <w:multiLevelType w:val="hybridMultilevel"/>
    <w:tmpl w:val="098EDF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E893184"/>
    <w:multiLevelType w:val="singleLevel"/>
    <w:tmpl w:val="708067AA"/>
    <w:lvl w:ilvl="0">
      <w:start w:val="1"/>
      <w:numFmt w:val="bullet"/>
      <w:lvlText w:val=""/>
      <w:lvlJc w:val="left"/>
      <w:pPr>
        <w:tabs>
          <w:tab w:val="num" w:pos="360"/>
        </w:tabs>
        <w:ind w:left="360" w:hanging="360"/>
      </w:pPr>
      <w:rPr>
        <w:rFonts w:ascii="Symbol" w:hAnsi="Symbol" w:hint="default"/>
      </w:rPr>
    </w:lvl>
  </w:abstractNum>
  <w:abstractNum w:abstractNumId="8">
    <w:nsid w:val="1FDE496B"/>
    <w:multiLevelType w:val="hybridMultilevel"/>
    <w:tmpl w:val="5052B7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A05A2"/>
    <w:multiLevelType w:val="hybridMultilevel"/>
    <w:tmpl w:val="0B088F8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E0CAF"/>
    <w:multiLevelType w:val="hybridMultilevel"/>
    <w:tmpl w:val="EE501A4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800F0"/>
    <w:multiLevelType w:val="hybridMultilevel"/>
    <w:tmpl w:val="58869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52509A"/>
    <w:multiLevelType w:val="hybridMultilevel"/>
    <w:tmpl w:val="26B40D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2F726607"/>
    <w:multiLevelType w:val="hybridMultilevel"/>
    <w:tmpl w:val="F5FC4606"/>
    <w:lvl w:ilvl="0" w:tplc="A914F23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247959"/>
    <w:multiLevelType w:val="hybridMultilevel"/>
    <w:tmpl w:val="A38A8F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22D2A19"/>
    <w:multiLevelType w:val="hybridMultilevel"/>
    <w:tmpl w:val="26B40D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33F90DA5"/>
    <w:multiLevelType w:val="hybridMultilevel"/>
    <w:tmpl w:val="568ED89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343344D1"/>
    <w:multiLevelType w:val="hybridMultilevel"/>
    <w:tmpl w:val="26B40D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364F28D2"/>
    <w:multiLevelType w:val="hybridMultilevel"/>
    <w:tmpl w:val="26B40D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386545AD"/>
    <w:multiLevelType w:val="hybridMultilevel"/>
    <w:tmpl w:val="26B40D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3ADD7D37"/>
    <w:multiLevelType w:val="hybridMultilevel"/>
    <w:tmpl w:val="26B40D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3B8635E4"/>
    <w:multiLevelType w:val="singleLevel"/>
    <w:tmpl w:val="708067AA"/>
    <w:lvl w:ilvl="0">
      <w:start w:val="1"/>
      <w:numFmt w:val="bullet"/>
      <w:lvlText w:val=""/>
      <w:lvlJc w:val="left"/>
      <w:pPr>
        <w:tabs>
          <w:tab w:val="num" w:pos="360"/>
        </w:tabs>
        <w:ind w:left="360" w:hanging="360"/>
      </w:pPr>
      <w:rPr>
        <w:rFonts w:ascii="Symbol" w:hAnsi="Symbol" w:hint="default"/>
      </w:rPr>
    </w:lvl>
  </w:abstractNum>
  <w:abstractNum w:abstractNumId="22">
    <w:nsid w:val="470B3FE3"/>
    <w:multiLevelType w:val="hybridMultilevel"/>
    <w:tmpl w:val="419A25A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FBE7D6D"/>
    <w:multiLevelType w:val="hybridMultilevel"/>
    <w:tmpl w:val="C8C02666"/>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1B28F7"/>
    <w:multiLevelType w:val="hybridMultilevel"/>
    <w:tmpl w:val="26B40D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nsid w:val="56105D16"/>
    <w:multiLevelType w:val="hybridMultilevel"/>
    <w:tmpl w:val="EE501A4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E17B55"/>
    <w:multiLevelType w:val="hybridMultilevel"/>
    <w:tmpl w:val="96407E4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BF3360"/>
    <w:multiLevelType w:val="hybridMultilevel"/>
    <w:tmpl w:val="455E786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E548BB"/>
    <w:multiLevelType w:val="hybridMultilevel"/>
    <w:tmpl w:val="522A9BB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0D81C80"/>
    <w:multiLevelType w:val="singleLevel"/>
    <w:tmpl w:val="708067AA"/>
    <w:lvl w:ilvl="0">
      <w:start w:val="1"/>
      <w:numFmt w:val="bullet"/>
      <w:lvlText w:val=""/>
      <w:lvlJc w:val="left"/>
      <w:pPr>
        <w:tabs>
          <w:tab w:val="num" w:pos="360"/>
        </w:tabs>
        <w:ind w:left="360" w:hanging="360"/>
      </w:pPr>
      <w:rPr>
        <w:rFonts w:ascii="Symbol" w:hAnsi="Symbol" w:hint="default"/>
      </w:rPr>
    </w:lvl>
  </w:abstractNum>
  <w:abstractNum w:abstractNumId="30">
    <w:nsid w:val="61CE5A97"/>
    <w:multiLevelType w:val="hybridMultilevel"/>
    <w:tmpl w:val="51A0F0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F11AF3"/>
    <w:multiLevelType w:val="hybridMultilevel"/>
    <w:tmpl w:val="4A12E2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1A5FD3"/>
    <w:multiLevelType w:val="hybridMultilevel"/>
    <w:tmpl w:val="26B40D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nsid w:val="6A0335C7"/>
    <w:multiLevelType w:val="hybridMultilevel"/>
    <w:tmpl w:val="3C6EB0FA"/>
    <w:lvl w:ilvl="0" w:tplc="0A86F010">
      <w:numFmt w:val="bullet"/>
      <w:lvlText w:val=""/>
      <w:lvlJc w:val="left"/>
      <w:pPr>
        <w:ind w:left="720" w:hanging="360"/>
      </w:pPr>
      <w:rPr>
        <w:rFonts w:ascii="Symbol" w:eastAsia="Times New Roman" w:hAnsi="Symbol"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690B20"/>
    <w:multiLevelType w:val="hybridMultilevel"/>
    <w:tmpl w:val="F26826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74AF3477"/>
    <w:multiLevelType w:val="hybridMultilevel"/>
    <w:tmpl w:val="26B40D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7"/>
  </w:num>
  <w:num w:numId="2">
    <w:abstractNumId w:val="29"/>
  </w:num>
  <w:num w:numId="3">
    <w:abstractNumId w:val="21"/>
  </w:num>
  <w:num w:numId="4">
    <w:abstractNumId w:val="34"/>
  </w:num>
  <w:num w:numId="5">
    <w:abstractNumId w:val="6"/>
  </w:num>
  <w:num w:numId="6">
    <w:abstractNumId w:val="16"/>
  </w:num>
  <w:num w:numId="7">
    <w:abstractNumId w:val="22"/>
  </w:num>
  <w:num w:numId="8">
    <w:abstractNumId w:val="4"/>
  </w:num>
  <w:num w:numId="9">
    <w:abstractNumId w:val="3"/>
  </w:num>
  <w:num w:numId="10">
    <w:abstractNumId w:val="31"/>
  </w:num>
  <w:num w:numId="11">
    <w:abstractNumId w:val="2"/>
  </w:num>
  <w:num w:numId="12">
    <w:abstractNumId w:val="1"/>
  </w:num>
  <w:num w:numId="13">
    <w:abstractNumId w:val="26"/>
  </w:num>
  <w:num w:numId="14">
    <w:abstractNumId w:val="11"/>
  </w:num>
  <w:num w:numId="15">
    <w:abstractNumId w:val="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8"/>
  </w:num>
  <w:num w:numId="19">
    <w:abstractNumId w:val="12"/>
  </w:num>
  <w:num w:numId="20">
    <w:abstractNumId w:val="5"/>
  </w:num>
  <w:num w:numId="21">
    <w:abstractNumId w:val="17"/>
  </w:num>
  <w:num w:numId="22">
    <w:abstractNumId w:val="9"/>
  </w:num>
  <w:num w:numId="23">
    <w:abstractNumId w:val="15"/>
  </w:num>
  <w:num w:numId="24">
    <w:abstractNumId w:val="8"/>
  </w:num>
  <w:num w:numId="25">
    <w:abstractNumId w:val="19"/>
  </w:num>
  <w:num w:numId="26">
    <w:abstractNumId w:val="27"/>
  </w:num>
  <w:num w:numId="27">
    <w:abstractNumId w:val="28"/>
  </w:num>
  <w:num w:numId="28">
    <w:abstractNumId w:val="24"/>
  </w:num>
  <w:num w:numId="29">
    <w:abstractNumId w:val="20"/>
  </w:num>
  <w:num w:numId="30">
    <w:abstractNumId w:val="25"/>
  </w:num>
  <w:num w:numId="31">
    <w:abstractNumId w:val="32"/>
  </w:num>
  <w:num w:numId="32">
    <w:abstractNumId w:val="10"/>
  </w:num>
  <w:num w:numId="33">
    <w:abstractNumId w:val="13"/>
  </w:num>
  <w:num w:numId="34">
    <w:abstractNumId w:val="33"/>
  </w:num>
  <w:num w:numId="35">
    <w:abstractNumId w:val="23"/>
  </w:num>
  <w:num w:numId="36">
    <w:abstractNumId w:val="3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2529"/>
  </w:hdrShapeDefault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7E"/>
    <w:rsid w:val="00010E35"/>
    <w:rsid w:val="0001373A"/>
    <w:rsid w:val="0001433F"/>
    <w:rsid w:val="00015B66"/>
    <w:rsid w:val="00017EF1"/>
    <w:rsid w:val="00021B84"/>
    <w:rsid w:val="00031F3A"/>
    <w:rsid w:val="00036721"/>
    <w:rsid w:val="0004218C"/>
    <w:rsid w:val="00050F53"/>
    <w:rsid w:val="00054A4E"/>
    <w:rsid w:val="00061A3F"/>
    <w:rsid w:val="00065B21"/>
    <w:rsid w:val="000663B8"/>
    <w:rsid w:val="000747BC"/>
    <w:rsid w:val="0008143A"/>
    <w:rsid w:val="000843F7"/>
    <w:rsid w:val="00084CCF"/>
    <w:rsid w:val="00086BDA"/>
    <w:rsid w:val="000903B2"/>
    <w:rsid w:val="00094ED9"/>
    <w:rsid w:val="000A0CD2"/>
    <w:rsid w:val="000A14D1"/>
    <w:rsid w:val="000A1956"/>
    <w:rsid w:val="000B179B"/>
    <w:rsid w:val="000B3C2D"/>
    <w:rsid w:val="000B4EB3"/>
    <w:rsid w:val="000B5DAF"/>
    <w:rsid w:val="000B6C29"/>
    <w:rsid w:val="000B6FBE"/>
    <w:rsid w:val="000C0C27"/>
    <w:rsid w:val="000C61A6"/>
    <w:rsid w:val="000C742A"/>
    <w:rsid w:val="000D0097"/>
    <w:rsid w:val="000E6159"/>
    <w:rsid w:val="000E6575"/>
    <w:rsid w:val="000F21C9"/>
    <w:rsid w:val="00102126"/>
    <w:rsid w:val="00107027"/>
    <w:rsid w:val="00117AEF"/>
    <w:rsid w:val="00122230"/>
    <w:rsid w:val="001250D5"/>
    <w:rsid w:val="00126790"/>
    <w:rsid w:val="001357A8"/>
    <w:rsid w:val="00144B5C"/>
    <w:rsid w:val="00150D7E"/>
    <w:rsid w:val="00154A69"/>
    <w:rsid w:val="00160F20"/>
    <w:rsid w:val="00170122"/>
    <w:rsid w:val="00174861"/>
    <w:rsid w:val="0017526F"/>
    <w:rsid w:val="001804BB"/>
    <w:rsid w:val="00182363"/>
    <w:rsid w:val="00183765"/>
    <w:rsid w:val="00184D3F"/>
    <w:rsid w:val="00185512"/>
    <w:rsid w:val="00186E9C"/>
    <w:rsid w:val="00187C95"/>
    <w:rsid w:val="0019220C"/>
    <w:rsid w:val="0019477B"/>
    <w:rsid w:val="00195AC4"/>
    <w:rsid w:val="001A3236"/>
    <w:rsid w:val="001A5F0A"/>
    <w:rsid w:val="001B0DB4"/>
    <w:rsid w:val="001B565B"/>
    <w:rsid w:val="001B66CA"/>
    <w:rsid w:val="001C2077"/>
    <w:rsid w:val="001C5717"/>
    <w:rsid w:val="001C69C7"/>
    <w:rsid w:val="001D56EB"/>
    <w:rsid w:val="001D71DE"/>
    <w:rsid w:val="001E102B"/>
    <w:rsid w:val="001F07A7"/>
    <w:rsid w:val="001F5B02"/>
    <w:rsid w:val="001F613E"/>
    <w:rsid w:val="00200388"/>
    <w:rsid w:val="0020137D"/>
    <w:rsid w:val="00204774"/>
    <w:rsid w:val="00205290"/>
    <w:rsid w:val="00206839"/>
    <w:rsid w:val="002164EC"/>
    <w:rsid w:val="00225BDC"/>
    <w:rsid w:val="002268D9"/>
    <w:rsid w:val="002351DD"/>
    <w:rsid w:val="0023576E"/>
    <w:rsid w:val="00237A6F"/>
    <w:rsid w:val="002438EE"/>
    <w:rsid w:val="00246DB6"/>
    <w:rsid w:val="0024740E"/>
    <w:rsid w:val="00257277"/>
    <w:rsid w:val="002579A0"/>
    <w:rsid w:val="002607BA"/>
    <w:rsid w:val="00262F36"/>
    <w:rsid w:val="00263559"/>
    <w:rsid w:val="00267F42"/>
    <w:rsid w:val="00273FB3"/>
    <w:rsid w:val="00277E66"/>
    <w:rsid w:val="00281FD0"/>
    <w:rsid w:val="00282CF4"/>
    <w:rsid w:val="00285160"/>
    <w:rsid w:val="0028775A"/>
    <w:rsid w:val="00294FDE"/>
    <w:rsid w:val="0029535D"/>
    <w:rsid w:val="00295DE5"/>
    <w:rsid w:val="002A3625"/>
    <w:rsid w:val="002A672D"/>
    <w:rsid w:val="002B18C2"/>
    <w:rsid w:val="002C5912"/>
    <w:rsid w:val="002C60B0"/>
    <w:rsid w:val="002D2B85"/>
    <w:rsid w:val="002E0A45"/>
    <w:rsid w:val="002E1B0B"/>
    <w:rsid w:val="002E3F6C"/>
    <w:rsid w:val="002E5BD5"/>
    <w:rsid w:val="002E6867"/>
    <w:rsid w:val="002F0ED9"/>
    <w:rsid w:val="002F62A3"/>
    <w:rsid w:val="00304E42"/>
    <w:rsid w:val="00315037"/>
    <w:rsid w:val="00316DC2"/>
    <w:rsid w:val="00330DE2"/>
    <w:rsid w:val="003345BB"/>
    <w:rsid w:val="00334C97"/>
    <w:rsid w:val="00343CB7"/>
    <w:rsid w:val="00344822"/>
    <w:rsid w:val="0034622F"/>
    <w:rsid w:val="00346970"/>
    <w:rsid w:val="00352978"/>
    <w:rsid w:val="003543FC"/>
    <w:rsid w:val="00355028"/>
    <w:rsid w:val="003550D2"/>
    <w:rsid w:val="003578FC"/>
    <w:rsid w:val="003625EB"/>
    <w:rsid w:val="003628B7"/>
    <w:rsid w:val="00362DC6"/>
    <w:rsid w:val="003653F5"/>
    <w:rsid w:val="003740C9"/>
    <w:rsid w:val="003745E6"/>
    <w:rsid w:val="00374D70"/>
    <w:rsid w:val="00382777"/>
    <w:rsid w:val="00384E9C"/>
    <w:rsid w:val="00385068"/>
    <w:rsid w:val="003853D4"/>
    <w:rsid w:val="003A29BC"/>
    <w:rsid w:val="003A6F1C"/>
    <w:rsid w:val="003B03A0"/>
    <w:rsid w:val="003B0DDD"/>
    <w:rsid w:val="003B1296"/>
    <w:rsid w:val="003B3C27"/>
    <w:rsid w:val="003B54CC"/>
    <w:rsid w:val="003C0BB3"/>
    <w:rsid w:val="003C2ACA"/>
    <w:rsid w:val="003C5087"/>
    <w:rsid w:val="003C52B7"/>
    <w:rsid w:val="003D0B2F"/>
    <w:rsid w:val="003D4CCC"/>
    <w:rsid w:val="003E065E"/>
    <w:rsid w:val="003E2FDB"/>
    <w:rsid w:val="003E3ACF"/>
    <w:rsid w:val="003E453F"/>
    <w:rsid w:val="003E708C"/>
    <w:rsid w:val="003F02D5"/>
    <w:rsid w:val="003F33AE"/>
    <w:rsid w:val="003F3B50"/>
    <w:rsid w:val="003F5FFC"/>
    <w:rsid w:val="003F6BDF"/>
    <w:rsid w:val="00406042"/>
    <w:rsid w:val="0040720C"/>
    <w:rsid w:val="0041523B"/>
    <w:rsid w:val="004172BA"/>
    <w:rsid w:val="00420A8D"/>
    <w:rsid w:val="00420ACA"/>
    <w:rsid w:val="00423414"/>
    <w:rsid w:val="00427333"/>
    <w:rsid w:val="00427725"/>
    <w:rsid w:val="00427D5A"/>
    <w:rsid w:val="00431AB6"/>
    <w:rsid w:val="0043359C"/>
    <w:rsid w:val="0043687E"/>
    <w:rsid w:val="00437340"/>
    <w:rsid w:val="00440A35"/>
    <w:rsid w:val="00443255"/>
    <w:rsid w:val="0045789A"/>
    <w:rsid w:val="0046390C"/>
    <w:rsid w:val="00465279"/>
    <w:rsid w:val="00470773"/>
    <w:rsid w:val="0047147F"/>
    <w:rsid w:val="00472DE5"/>
    <w:rsid w:val="004804E7"/>
    <w:rsid w:val="00485232"/>
    <w:rsid w:val="00491BEF"/>
    <w:rsid w:val="00491C60"/>
    <w:rsid w:val="004A1188"/>
    <w:rsid w:val="004B1802"/>
    <w:rsid w:val="004B1CD2"/>
    <w:rsid w:val="004B72DC"/>
    <w:rsid w:val="004B7C8E"/>
    <w:rsid w:val="004E071A"/>
    <w:rsid w:val="004E18C0"/>
    <w:rsid w:val="004E70E0"/>
    <w:rsid w:val="004E72EC"/>
    <w:rsid w:val="004F04D4"/>
    <w:rsid w:val="004F0D74"/>
    <w:rsid w:val="004F4E89"/>
    <w:rsid w:val="004F698C"/>
    <w:rsid w:val="004F7435"/>
    <w:rsid w:val="00507AF4"/>
    <w:rsid w:val="00511DA8"/>
    <w:rsid w:val="0051619E"/>
    <w:rsid w:val="0051660D"/>
    <w:rsid w:val="00522256"/>
    <w:rsid w:val="00526B45"/>
    <w:rsid w:val="0053450C"/>
    <w:rsid w:val="005360EB"/>
    <w:rsid w:val="0053709B"/>
    <w:rsid w:val="005415C5"/>
    <w:rsid w:val="00542761"/>
    <w:rsid w:val="00544DCC"/>
    <w:rsid w:val="00555F36"/>
    <w:rsid w:val="005567C8"/>
    <w:rsid w:val="00556B82"/>
    <w:rsid w:val="00561200"/>
    <w:rsid w:val="0056564C"/>
    <w:rsid w:val="00566D23"/>
    <w:rsid w:val="00572CB2"/>
    <w:rsid w:val="0057427A"/>
    <w:rsid w:val="00576272"/>
    <w:rsid w:val="00580E6B"/>
    <w:rsid w:val="005935D5"/>
    <w:rsid w:val="00595153"/>
    <w:rsid w:val="00595510"/>
    <w:rsid w:val="00597398"/>
    <w:rsid w:val="005B08D4"/>
    <w:rsid w:val="005B1206"/>
    <w:rsid w:val="005B4666"/>
    <w:rsid w:val="005B6302"/>
    <w:rsid w:val="005B657C"/>
    <w:rsid w:val="005C0F44"/>
    <w:rsid w:val="005C7A18"/>
    <w:rsid w:val="005E18F3"/>
    <w:rsid w:val="005F2A78"/>
    <w:rsid w:val="005F5122"/>
    <w:rsid w:val="005F57FA"/>
    <w:rsid w:val="005F5840"/>
    <w:rsid w:val="00604645"/>
    <w:rsid w:val="0060507C"/>
    <w:rsid w:val="00615ECC"/>
    <w:rsid w:val="00616762"/>
    <w:rsid w:val="00616E61"/>
    <w:rsid w:val="00621B86"/>
    <w:rsid w:val="00626C47"/>
    <w:rsid w:val="006270F5"/>
    <w:rsid w:val="00631009"/>
    <w:rsid w:val="0063623E"/>
    <w:rsid w:val="006370E8"/>
    <w:rsid w:val="006422DF"/>
    <w:rsid w:val="00643FF9"/>
    <w:rsid w:val="006645E8"/>
    <w:rsid w:val="00664605"/>
    <w:rsid w:val="00665068"/>
    <w:rsid w:val="0066560F"/>
    <w:rsid w:val="0067057B"/>
    <w:rsid w:val="00672926"/>
    <w:rsid w:val="00673DD0"/>
    <w:rsid w:val="006771BF"/>
    <w:rsid w:val="00687073"/>
    <w:rsid w:val="006901DD"/>
    <w:rsid w:val="006A031A"/>
    <w:rsid w:val="006A428A"/>
    <w:rsid w:val="006B4611"/>
    <w:rsid w:val="006C2900"/>
    <w:rsid w:val="006C3F19"/>
    <w:rsid w:val="006C613D"/>
    <w:rsid w:val="006C687A"/>
    <w:rsid w:val="006D0EB2"/>
    <w:rsid w:val="006F0F4C"/>
    <w:rsid w:val="006F3901"/>
    <w:rsid w:val="00704668"/>
    <w:rsid w:val="00721ACA"/>
    <w:rsid w:val="00732BA1"/>
    <w:rsid w:val="007459A0"/>
    <w:rsid w:val="00756A52"/>
    <w:rsid w:val="007579E3"/>
    <w:rsid w:val="0076351F"/>
    <w:rsid w:val="00775B7B"/>
    <w:rsid w:val="00777FB1"/>
    <w:rsid w:val="007816C9"/>
    <w:rsid w:val="007935F3"/>
    <w:rsid w:val="0079617D"/>
    <w:rsid w:val="007A1547"/>
    <w:rsid w:val="007B0313"/>
    <w:rsid w:val="007B1993"/>
    <w:rsid w:val="007B4A4F"/>
    <w:rsid w:val="007B7246"/>
    <w:rsid w:val="007C363B"/>
    <w:rsid w:val="007C67D1"/>
    <w:rsid w:val="007D12E0"/>
    <w:rsid w:val="007D756F"/>
    <w:rsid w:val="007D7631"/>
    <w:rsid w:val="007E3CDB"/>
    <w:rsid w:val="007E74E3"/>
    <w:rsid w:val="007F434B"/>
    <w:rsid w:val="007F5F8F"/>
    <w:rsid w:val="00806F0D"/>
    <w:rsid w:val="00807124"/>
    <w:rsid w:val="008075B3"/>
    <w:rsid w:val="00814119"/>
    <w:rsid w:val="00832137"/>
    <w:rsid w:val="00836C6E"/>
    <w:rsid w:val="00842541"/>
    <w:rsid w:val="00844F93"/>
    <w:rsid w:val="008476E9"/>
    <w:rsid w:val="00851EBF"/>
    <w:rsid w:val="00855A57"/>
    <w:rsid w:val="00860144"/>
    <w:rsid w:val="008714EA"/>
    <w:rsid w:val="0087651F"/>
    <w:rsid w:val="00877711"/>
    <w:rsid w:val="00883D6C"/>
    <w:rsid w:val="0088687F"/>
    <w:rsid w:val="00890FC1"/>
    <w:rsid w:val="008953B5"/>
    <w:rsid w:val="008A7742"/>
    <w:rsid w:val="008A7BC8"/>
    <w:rsid w:val="008B153D"/>
    <w:rsid w:val="008B5EEE"/>
    <w:rsid w:val="008C20C3"/>
    <w:rsid w:val="008C2C3E"/>
    <w:rsid w:val="008C49D3"/>
    <w:rsid w:val="008C50BD"/>
    <w:rsid w:val="008D297C"/>
    <w:rsid w:val="008E1321"/>
    <w:rsid w:val="008E50BB"/>
    <w:rsid w:val="008E53DE"/>
    <w:rsid w:val="008F0962"/>
    <w:rsid w:val="008F0CEF"/>
    <w:rsid w:val="008F46F5"/>
    <w:rsid w:val="00900323"/>
    <w:rsid w:val="009007F9"/>
    <w:rsid w:val="009118EF"/>
    <w:rsid w:val="00914BCF"/>
    <w:rsid w:val="00921B7B"/>
    <w:rsid w:val="00921EAB"/>
    <w:rsid w:val="00925396"/>
    <w:rsid w:val="009265E5"/>
    <w:rsid w:val="00926834"/>
    <w:rsid w:val="00931C42"/>
    <w:rsid w:val="00934F44"/>
    <w:rsid w:val="00941ABA"/>
    <w:rsid w:val="00943006"/>
    <w:rsid w:val="00944753"/>
    <w:rsid w:val="00951D3C"/>
    <w:rsid w:val="009552F8"/>
    <w:rsid w:val="009578E8"/>
    <w:rsid w:val="009633CC"/>
    <w:rsid w:val="00971E26"/>
    <w:rsid w:val="009720BF"/>
    <w:rsid w:val="009756BE"/>
    <w:rsid w:val="00980FB3"/>
    <w:rsid w:val="00984D50"/>
    <w:rsid w:val="00984E65"/>
    <w:rsid w:val="009902AC"/>
    <w:rsid w:val="00994BA6"/>
    <w:rsid w:val="009957BD"/>
    <w:rsid w:val="0099595E"/>
    <w:rsid w:val="009A1E8F"/>
    <w:rsid w:val="009A2676"/>
    <w:rsid w:val="009A31ED"/>
    <w:rsid w:val="009A37CA"/>
    <w:rsid w:val="009A3CB0"/>
    <w:rsid w:val="009A50DA"/>
    <w:rsid w:val="009A746A"/>
    <w:rsid w:val="009B3737"/>
    <w:rsid w:val="009B4D5D"/>
    <w:rsid w:val="009B5786"/>
    <w:rsid w:val="009C2290"/>
    <w:rsid w:val="009C51E8"/>
    <w:rsid w:val="009C5D0C"/>
    <w:rsid w:val="009D0A2B"/>
    <w:rsid w:val="009D1A54"/>
    <w:rsid w:val="009D316A"/>
    <w:rsid w:val="009D5E18"/>
    <w:rsid w:val="009D6655"/>
    <w:rsid w:val="009E62B0"/>
    <w:rsid w:val="009F14D7"/>
    <w:rsid w:val="009F4BBE"/>
    <w:rsid w:val="009F7341"/>
    <w:rsid w:val="009F771F"/>
    <w:rsid w:val="00A008C4"/>
    <w:rsid w:val="00A00944"/>
    <w:rsid w:val="00A03B20"/>
    <w:rsid w:val="00A04553"/>
    <w:rsid w:val="00A062AE"/>
    <w:rsid w:val="00A121EE"/>
    <w:rsid w:val="00A1243E"/>
    <w:rsid w:val="00A12C09"/>
    <w:rsid w:val="00A22F20"/>
    <w:rsid w:val="00A339A6"/>
    <w:rsid w:val="00A3619E"/>
    <w:rsid w:val="00A44D06"/>
    <w:rsid w:val="00A56C10"/>
    <w:rsid w:val="00A62C64"/>
    <w:rsid w:val="00A737EE"/>
    <w:rsid w:val="00A74F3F"/>
    <w:rsid w:val="00A818AD"/>
    <w:rsid w:val="00A93BB5"/>
    <w:rsid w:val="00A95EB5"/>
    <w:rsid w:val="00A96B4E"/>
    <w:rsid w:val="00A97420"/>
    <w:rsid w:val="00AA79AC"/>
    <w:rsid w:val="00AB082B"/>
    <w:rsid w:val="00AB11C5"/>
    <w:rsid w:val="00AB2191"/>
    <w:rsid w:val="00AB74ED"/>
    <w:rsid w:val="00AC7BEA"/>
    <w:rsid w:val="00AD0BD2"/>
    <w:rsid w:val="00AD20AD"/>
    <w:rsid w:val="00AD6FFF"/>
    <w:rsid w:val="00AE1EF9"/>
    <w:rsid w:val="00AE2709"/>
    <w:rsid w:val="00AE44F7"/>
    <w:rsid w:val="00AE5C10"/>
    <w:rsid w:val="00AE5D71"/>
    <w:rsid w:val="00AE6DEA"/>
    <w:rsid w:val="00AF02ED"/>
    <w:rsid w:val="00B0062B"/>
    <w:rsid w:val="00B02A1C"/>
    <w:rsid w:val="00B07F06"/>
    <w:rsid w:val="00B146C5"/>
    <w:rsid w:val="00B206FE"/>
    <w:rsid w:val="00B215D8"/>
    <w:rsid w:val="00B244FE"/>
    <w:rsid w:val="00B433DB"/>
    <w:rsid w:val="00B524E3"/>
    <w:rsid w:val="00B54580"/>
    <w:rsid w:val="00B57749"/>
    <w:rsid w:val="00B57A2C"/>
    <w:rsid w:val="00B62DEB"/>
    <w:rsid w:val="00B64EA0"/>
    <w:rsid w:val="00B659F8"/>
    <w:rsid w:val="00B65DA5"/>
    <w:rsid w:val="00B7792A"/>
    <w:rsid w:val="00B77B01"/>
    <w:rsid w:val="00B83D8E"/>
    <w:rsid w:val="00B93124"/>
    <w:rsid w:val="00B93A00"/>
    <w:rsid w:val="00BA3B47"/>
    <w:rsid w:val="00BA6D2E"/>
    <w:rsid w:val="00BB0021"/>
    <w:rsid w:val="00BB35D5"/>
    <w:rsid w:val="00BB3A3E"/>
    <w:rsid w:val="00BC1D0A"/>
    <w:rsid w:val="00BC1E41"/>
    <w:rsid w:val="00BC4DEA"/>
    <w:rsid w:val="00BC6BAE"/>
    <w:rsid w:val="00BD5D54"/>
    <w:rsid w:val="00BD6472"/>
    <w:rsid w:val="00BE663E"/>
    <w:rsid w:val="00BF0BB6"/>
    <w:rsid w:val="00BF74D3"/>
    <w:rsid w:val="00C0380B"/>
    <w:rsid w:val="00C061AD"/>
    <w:rsid w:val="00C169A1"/>
    <w:rsid w:val="00C22EAB"/>
    <w:rsid w:val="00C2547F"/>
    <w:rsid w:val="00C25BB6"/>
    <w:rsid w:val="00C307F2"/>
    <w:rsid w:val="00C33934"/>
    <w:rsid w:val="00C33F1D"/>
    <w:rsid w:val="00C34691"/>
    <w:rsid w:val="00C37383"/>
    <w:rsid w:val="00C37C7A"/>
    <w:rsid w:val="00C40A9D"/>
    <w:rsid w:val="00C54CAA"/>
    <w:rsid w:val="00C55BB4"/>
    <w:rsid w:val="00C624D9"/>
    <w:rsid w:val="00C63ACA"/>
    <w:rsid w:val="00C84540"/>
    <w:rsid w:val="00C90402"/>
    <w:rsid w:val="00C91798"/>
    <w:rsid w:val="00C9550E"/>
    <w:rsid w:val="00CA1498"/>
    <w:rsid w:val="00CA38B8"/>
    <w:rsid w:val="00CB383D"/>
    <w:rsid w:val="00CC09DA"/>
    <w:rsid w:val="00CC39C0"/>
    <w:rsid w:val="00CF2C98"/>
    <w:rsid w:val="00CF772C"/>
    <w:rsid w:val="00D00F32"/>
    <w:rsid w:val="00D037C8"/>
    <w:rsid w:val="00D0407F"/>
    <w:rsid w:val="00D040D5"/>
    <w:rsid w:val="00D058F6"/>
    <w:rsid w:val="00D05FC9"/>
    <w:rsid w:val="00D0743F"/>
    <w:rsid w:val="00D11BDA"/>
    <w:rsid w:val="00D122A6"/>
    <w:rsid w:val="00D14980"/>
    <w:rsid w:val="00D1772D"/>
    <w:rsid w:val="00D17B32"/>
    <w:rsid w:val="00D2086F"/>
    <w:rsid w:val="00D31A9A"/>
    <w:rsid w:val="00D34004"/>
    <w:rsid w:val="00D43AC2"/>
    <w:rsid w:val="00D43C2F"/>
    <w:rsid w:val="00D44390"/>
    <w:rsid w:val="00D45C9B"/>
    <w:rsid w:val="00D46F08"/>
    <w:rsid w:val="00D56C79"/>
    <w:rsid w:val="00D61E6C"/>
    <w:rsid w:val="00D6676B"/>
    <w:rsid w:val="00D67AE1"/>
    <w:rsid w:val="00D7307F"/>
    <w:rsid w:val="00D7759F"/>
    <w:rsid w:val="00D829D0"/>
    <w:rsid w:val="00D8643B"/>
    <w:rsid w:val="00D86888"/>
    <w:rsid w:val="00D90014"/>
    <w:rsid w:val="00D914B2"/>
    <w:rsid w:val="00D948F5"/>
    <w:rsid w:val="00D96B6C"/>
    <w:rsid w:val="00DA7401"/>
    <w:rsid w:val="00DB105B"/>
    <w:rsid w:val="00DB6E13"/>
    <w:rsid w:val="00DC14B3"/>
    <w:rsid w:val="00DC14EB"/>
    <w:rsid w:val="00DC6668"/>
    <w:rsid w:val="00DD16BE"/>
    <w:rsid w:val="00DD4C7E"/>
    <w:rsid w:val="00DD7CA8"/>
    <w:rsid w:val="00DE0BBF"/>
    <w:rsid w:val="00DE39D7"/>
    <w:rsid w:val="00DF7941"/>
    <w:rsid w:val="00E00727"/>
    <w:rsid w:val="00E0195D"/>
    <w:rsid w:val="00E055D2"/>
    <w:rsid w:val="00E23D5F"/>
    <w:rsid w:val="00E25368"/>
    <w:rsid w:val="00E30476"/>
    <w:rsid w:val="00E3265C"/>
    <w:rsid w:val="00E3526D"/>
    <w:rsid w:val="00E35FF2"/>
    <w:rsid w:val="00E45EEF"/>
    <w:rsid w:val="00E47CD4"/>
    <w:rsid w:val="00E50B54"/>
    <w:rsid w:val="00E5163F"/>
    <w:rsid w:val="00E51C8E"/>
    <w:rsid w:val="00E600F2"/>
    <w:rsid w:val="00E626B5"/>
    <w:rsid w:val="00E70C7E"/>
    <w:rsid w:val="00E72137"/>
    <w:rsid w:val="00E749B9"/>
    <w:rsid w:val="00E77671"/>
    <w:rsid w:val="00EA5B09"/>
    <w:rsid w:val="00EA73BB"/>
    <w:rsid w:val="00EB0CAB"/>
    <w:rsid w:val="00EB2EF5"/>
    <w:rsid w:val="00EB3BD2"/>
    <w:rsid w:val="00EB5E79"/>
    <w:rsid w:val="00EC141F"/>
    <w:rsid w:val="00EC59E2"/>
    <w:rsid w:val="00EC5BAD"/>
    <w:rsid w:val="00ED2919"/>
    <w:rsid w:val="00ED3C41"/>
    <w:rsid w:val="00ED492B"/>
    <w:rsid w:val="00ED6856"/>
    <w:rsid w:val="00ED6A15"/>
    <w:rsid w:val="00ED72A3"/>
    <w:rsid w:val="00ED7B4F"/>
    <w:rsid w:val="00EE12B4"/>
    <w:rsid w:val="00EE3876"/>
    <w:rsid w:val="00EF1E17"/>
    <w:rsid w:val="00EF2C27"/>
    <w:rsid w:val="00EF6CFB"/>
    <w:rsid w:val="00F00824"/>
    <w:rsid w:val="00F03ABE"/>
    <w:rsid w:val="00F05AB6"/>
    <w:rsid w:val="00F076CB"/>
    <w:rsid w:val="00F13B27"/>
    <w:rsid w:val="00F1729C"/>
    <w:rsid w:val="00F173D5"/>
    <w:rsid w:val="00F21A86"/>
    <w:rsid w:val="00F2676F"/>
    <w:rsid w:val="00F3582C"/>
    <w:rsid w:val="00F36A27"/>
    <w:rsid w:val="00F45BCE"/>
    <w:rsid w:val="00F541C5"/>
    <w:rsid w:val="00F56199"/>
    <w:rsid w:val="00F73353"/>
    <w:rsid w:val="00F751E9"/>
    <w:rsid w:val="00F80E06"/>
    <w:rsid w:val="00F844A0"/>
    <w:rsid w:val="00F93D3C"/>
    <w:rsid w:val="00F964AD"/>
    <w:rsid w:val="00F9712D"/>
    <w:rsid w:val="00FB455D"/>
    <w:rsid w:val="00FB5FC7"/>
    <w:rsid w:val="00FD374C"/>
    <w:rsid w:val="00FD3D95"/>
    <w:rsid w:val="00FE1899"/>
    <w:rsid w:val="00FE618F"/>
    <w:rsid w:val="00FE78DD"/>
    <w:rsid w:val="00FF3D6C"/>
    <w:rsid w:val="00FF4074"/>
    <w:rsid w:val="00FF7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95E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1C"/>
    <w:pPr>
      <w:tabs>
        <w:tab w:val="left" w:pos="-720"/>
        <w:tab w:val="center" w:pos="4513"/>
        <w:tab w:val="right" w:pos="10348"/>
      </w:tabs>
      <w:suppressAutoHyphens/>
      <w:spacing w:before="120" w:after="120"/>
    </w:pPr>
    <w:rPr>
      <w:rFonts w:ascii="Arial" w:hAnsi="Arial"/>
      <w:sz w:val="22"/>
    </w:rPr>
  </w:style>
  <w:style w:type="paragraph" w:styleId="Heading1">
    <w:name w:val="heading 1"/>
    <w:basedOn w:val="Normal"/>
    <w:next w:val="Normal"/>
    <w:autoRedefine/>
    <w:qFormat/>
    <w:rsid w:val="00B0062B"/>
    <w:pPr>
      <w:keepNext/>
      <w:spacing w:before="240"/>
      <w:outlineLvl w:val="0"/>
    </w:pPr>
    <w:rPr>
      <w:rFonts w:cs="Arial"/>
      <w:b/>
      <w:sz w:val="28"/>
    </w:rPr>
  </w:style>
  <w:style w:type="paragraph" w:styleId="Heading2">
    <w:name w:val="heading 2"/>
    <w:basedOn w:val="Normal"/>
    <w:next w:val="Normal"/>
    <w:link w:val="Heading2Char"/>
    <w:qFormat/>
    <w:rsid w:val="00294FDE"/>
    <w:pPr>
      <w:keepNext/>
      <w:spacing w:after="60"/>
      <w:outlineLvl w:val="1"/>
    </w:pPr>
    <w:rPr>
      <w:rFonts w:ascii="Univers" w:hAnsi="Univers"/>
      <w:b/>
      <w:i/>
      <w:sz w:val="24"/>
    </w:rPr>
  </w:style>
  <w:style w:type="paragraph" w:styleId="Heading3">
    <w:name w:val="heading 3"/>
    <w:basedOn w:val="Normal"/>
    <w:next w:val="Normal"/>
    <w:qFormat/>
    <w:rsid w:val="008F0CEF"/>
    <w:pPr>
      <w:autoSpaceDE w:val="0"/>
      <w:autoSpaceDN w:val="0"/>
      <w:adjustRightInd w:val="0"/>
      <w:outlineLvl w:val="2"/>
    </w:pPr>
    <w:rPr>
      <w:rFonts w:cs="Arial"/>
      <w:i/>
      <w:noProof/>
      <w:szCs w:val="22"/>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tabs>
        <w:tab w:val="left" w:pos="9000"/>
        <w:tab w:val="right" w:pos="9360"/>
      </w:tabs>
    </w:pPr>
  </w:style>
  <w:style w:type="paragraph" w:styleId="FootnoteText">
    <w:name w:val="footnote text"/>
    <w:basedOn w:val="Normal"/>
    <w:semiHidden/>
    <w:rPr>
      <w:sz w:val="20"/>
    </w:rPr>
  </w:style>
  <w:style w:type="paragraph" w:styleId="BodyText2">
    <w:name w:val="Body Text 2"/>
    <w:basedOn w:val="Normal"/>
    <w:rPr>
      <w:rFonts w:ascii="Univers" w:hAnsi="Univers"/>
    </w:rPr>
  </w:style>
  <w:style w:type="paragraph" w:styleId="BodyText3">
    <w:name w:val="Body Text 3"/>
    <w:basedOn w:val="Normal"/>
    <w:rPr>
      <w:u w:val="double"/>
    </w:r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lear" w:pos="-720"/>
        <w:tab w:val="clear" w:pos="4513"/>
        <w:tab w:val="clear" w:pos="10348"/>
        <w:tab w:val="center" w:pos="4153"/>
        <w:tab w:val="right" w:pos="8306"/>
      </w:tabs>
    </w:pPr>
  </w:style>
  <w:style w:type="paragraph" w:styleId="Footer">
    <w:name w:val="footer"/>
    <w:basedOn w:val="Normal"/>
    <w:rsid w:val="00E25368"/>
    <w:pPr>
      <w:keepNext/>
      <w:tabs>
        <w:tab w:val="clear" w:pos="-720"/>
        <w:tab w:val="clear" w:pos="4513"/>
        <w:tab w:val="clear" w:pos="10348"/>
        <w:tab w:val="center" w:pos="4153"/>
        <w:tab w:val="right" w:pos="8306"/>
      </w:tabs>
      <w:spacing w:before="0" w:after="0"/>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1357A8"/>
    <w:rPr>
      <w:sz w:val="16"/>
      <w:szCs w:val="16"/>
    </w:rPr>
  </w:style>
  <w:style w:type="paragraph" w:styleId="CommentText">
    <w:name w:val="annotation text"/>
    <w:basedOn w:val="Normal"/>
    <w:link w:val="CommentTextChar"/>
    <w:semiHidden/>
    <w:rsid w:val="001357A8"/>
    <w:rPr>
      <w:sz w:val="20"/>
    </w:rPr>
  </w:style>
  <w:style w:type="paragraph" w:styleId="CommentSubject">
    <w:name w:val="annotation subject"/>
    <w:basedOn w:val="CommentText"/>
    <w:next w:val="CommentText"/>
    <w:semiHidden/>
    <w:rsid w:val="001357A8"/>
    <w:rPr>
      <w:b/>
      <w:bCs/>
    </w:rPr>
  </w:style>
  <w:style w:type="character" w:customStyle="1" w:styleId="CommentTextChar">
    <w:name w:val="Comment Text Char"/>
    <w:link w:val="CommentText"/>
    <w:semiHidden/>
    <w:rsid w:val="000B179B"/>
    <w:rPr>
      <w:rFonts w:ascii="Arial" w:hAnsi="Arial"/>
      <w:lang w:val="en-AU" w:eastAsia="en-AU"/>
    </w:rPr>
  </w:style>
  <w:style w:type="paragraph" w:customStyle="1" w:styleId="Body">
    <w:name w:val="Body"/>
    <w:basedOn w:val="Normal"/>
    <w:link w:val="BodyChar"/>
    <w:rsid w:val="00427333"/>
    <w:pPr>
      <w:tabs>
        <w:tab w:val="clear" w:pos="-720"/>
        <w:tab w:val="clear" w:pos="4513"/>
        <w:tab w:val="clear" w:pos="10348"/>
      </w:tabs>
      <w:suppressAutoHyphens w:val="0"/>
      <w:ind w:firstLine="288"/>
    </w:pPr>
    <w:rPr>
      <w:rFonts w:eastAsia="MS Mincho"/>
      <w:sz w:val="20"/>
      <w:lang w:val="en-US" w:eastAsia="ja-JP"/>
    </w:rPr>
  </w:style>
  <w:style w:type="character" w:customStyle="1" w:styleId="BodyChar">
    <w:name w:val="Body Char"/>
    <w:link w:val="Body"/>
    <w:rsid w:val="00427333"/>
    <w:rPr>
      <w:rFonts w:ascii="Arial" w:eastAsia="MS Mincho" w:hAnsi="Arial"/>
      <w:lang w:eastAsia="ja-JP"/>
    </w:rPr>
  </w:style>
  <w:style w:type="paragraph" w:customStyle="1" w:styleId="ExtraSpace">
    <w:name w:val="Extra Space"/>
    <w:basedOn w:val="Normal"/>
    <w:next w:val="Body"/>
    <w:rsid w:val="00427333"/>
    <w:pPr>
      <w:tabs>
        <w:tab w:val="clear" w:pos="-720"/>
        <w:tab w:val="clear" w:pos="4513"/>
        <w:tab w:val="clear" w:pos="10348"/>
      </w:tabs>
      <w:suppressAutoHyphens w:val="0"/>
      <w:spacing w:line="120" w:lineRule="exact"/>
    </w:pPr>
    <w:rPr>
      <w:rFonts w:eastAsia="MS Mincho"/>
      <w:color w:val="00FF00"/>
      <w:sz w:val="20"/>
      <w:lang w:val="en-US" w:eastAsia="ja-JP"/>
    </w:rPr>
  </w:style>
  <w:style w:type="paragraph" w:customStyle="1" w:styleId="Tablecentered">
    <w:name w:val="Table: centered"/>
    <w:basedOn w:val="Normal"/>
    <w:rsid w:val="00427333"/>
    <w:pPr>
      <w:keepNext/>
      <w:tabs>
        <w:tab w:val="clear" w:pos="-720"/>
        <w:tab w:val="clear" w:pos="4513"/>
        <w:tab w:val="clear" w:pos="10348"/>
      </w:tabs>
      <w:suppressAutoHyphens w:val="0"/>
      <w:jc w:val="center"/>
    </w:pPr>
    <w:rPr>
      <w:rFonts w:eastAsia="MS Mincho"/>
      <w:sz w:val="14"/>
      <w:lang w:val="en-US" w:eastAsia="ja-JP"/>
    </w:rPr>
  </w:style>
  <w:style w:type="paragraph" w:customStyle="1" w:styleId="BodyText20">
    <w:name w:val="BodyText2"/>
    <w:basedOn w:val="Normal"/>
    <w:link w:val="BodyText2Char"/>
    <w:rsid w:val="00427333"/>
    <w:pPr>
      <w:tabs>
        <w:tab w:val="clear" w:pos="-720"/>
        <w:tab w:val="clear" w:pos="4513"/>
        <w:tab w:val="clear" w:pos="10348"/>
      </w:tabs>
      <w:suppressAutoHyphens w:val="0"/>
      <w:spacing w:before="4"/>
      <w:ind w:firstLine="317"/>
    </w:pPr>
    <w:rPr>
      <w:rFonts w:ascii="Helvetica" w:hAnsi="Helvetica"/>
      <w:sz w:val="16"/>
      <w:szCs w:val="24"/>
      <w:lang w:val="en-US" w:eastAsia="en-US"/>
    </w:rPr>
  </w:style>
  <w:style w:type="character" w:customStyle="1" w:styleId="BodyText2Char">
    <w:name w:val="BodyText2 Char"/>
    <w:link w:val="BodyText20"/>
    <w:rsid w:val="00427333"/>
    <w:rPr>
      <w:rFonts w:ascii="Helvetica" w:hAnsi="Helvetica"/>
      <w:sz w:val="16"/>
      <w:szCs w:val="24"/>
    </w:rPr>
  </w:style>
  <w:style w:type="paragraph" w:customStyle="1" w:styleId="SubSectionHeadings">
    <w:name w:val="Sub Section Headings"/>
    <w:basedOn w:val="Normal"/>
    <w:next w:val="Normal"/>
    <w:link w:val="SubSectionHeadingsChar"/>
    <w:rsid w:val="00E626B5"/>
    <w:pPr>
      <w:keepNext/>
      <w:tabs>
        <w:tab w:val="clear" w:pos="-720"/>
        <w:tab w:val="clear" w:pos="4513"/>
        <w:tab w:val="clear" w:pos="10348"/>
      </w:tabs>
      <w:suppressAutoHyphens w:val="0"/>
    </w:pPr>
    <w:rPr>
      <w:rFonts w:eastAsia="MS Mincho"/>
      <w:i/>
      <w:sz w:val="20"/>
      <w:lang w:val="en-US" w:eastAsia="ja-JP"/>
    </w:rPr>
  </w:style>
  <w:style w:type="paragraph" w:customStyle="1" w:styleId="BodyText1">
    <w:name w:val="BodyText1"/>
    <w:basedOn w:val="Normal"/>
    <w:uiPriority w:val="99"/>
    <w:rsid w:val="00E626B5"/>
    <w:pPr>
      <w:tabs>
        <w:tab w:val="clear" w:pos="-720"/>
        <w:tab w:val="clear" w:pos="4513"/>
        <w:tab w:val="clear" w:pos="10348"/>
      </w:tabs>
      <w:suppressAutoHyphens w:val="0"/>
      <w:spacing w:before="4"/>
      <w:ind w:firstLine="317"/>
    </w:pPr>
    <w:rPr>
      <w:rFonts w:ascii="Helvetica" w:hAnsi="Helvetica"/>
      <w:sz w:val="16"/>
      <w:szCs w:val="24"/>
      <w:lang w:val="en-US" w:eastAsia="en-US"/>
    </w:rPr>
  </w:style>
  <w:style w:type="character" w:customStyle="1" w:styleId="SubSectionHeadingsChar">
    <w:name w:val="Sub Section Headings Char"/>
    <w:link w:val="SubSectionHeadings"/>
    <w:rsid w:val="00E626B5"/>
    <w:rPr>
      <w:rFonts w:ascii="Arial" w:eastAsia="MS Mincho" w:hAnsi="Arial"/>
      <w:i/>
      <w:lang w:eastAsia="ja-JP"/>
    </w:rPr>
  </w:style>
  <w:style w:type="character" w:customStyle="1" w:styleId="searchhighlight">
    <w:name w:val="searchhighlight"/>
    <w:basedOn w:val="DefaultParagraphFont"/>
    <w:rsid w:val="00AD0BD2"/>
  </w:style>
  <w:style w:type="paragraph" w:customStyle="1" w:styleId="Tablelist2xhanging">
    <w:name w:val="Table: list. 2x hanging"/>
    <w:basedOn w:val="Normal"/>
    <w:rsid w:val="001B565B"/>
    <w:pPr>
      <w:keepNext/>
      <w:tabs>
        <w:tab w:val="clear" w:pos="-720"/>
        <w:tab w:val="clear" w:pos="4513"/>
        <w:tab w:val="clear" w:pos="10348"/>
      </w:tabs>
      <w:suppressAutoHyphens w:val="0"/>
      <w:ind w:left="576" w:hanging="288"/>
    </w:pPr>
    <w:rPr>
      <w:rFonts w:eastAsia="MS Mincho"/>
      <w:sz w:val="14"/>
      <w:lang w:val="en-US" w:eastAsia="ja-JP"/>
    </w:rPr>
  </w:style>
  <w:style w:type="character" w:styleId="Strong">
    <w:name w:val="Strong"/>
    <w:qFormat/>
    <w:rsid w:val="00294FDE"/>
    <w:rPr>
      <w:rFonts w:ascii="Arial" w:hAnsi="Arial"/>
      <w:b/>
      <w:bCs/>
      <w:sz w:val="22"/>
    </w:rPr>
  </w:style>
  <w:style w:type="paragraph" w:styleId="ListParagraph">
    <w:name w:val="List Paragraph"/>
    <w:basedOn w:val="Normal"/>
    <w:uiPriority w:val="34"/>
    <w:qFormat/>
    <w:rsid w:val="00806F0D"/>
    <w:pPr>
      <w:ind w:left="720"/>
      <w:contextualSpacing/>
    </w:pPr>
  </w:style>
  <w:style w:type="paragraph" w:customStyle="1" w:styleId="Default">
    <w:name w:val="Default"/>
    <w:rsid w:val="00122230"/>
    <w:pPr>
      <w:autoSpaceDE w:val="0"/>
      <w:autoSpaceDN w:val="0"/>
      <w:adjustRightInd w:val="0"/>
    </w:pPr>
    <w:rPr>
      <w:color w:val="000000"/>
      <w:sz w:val="24"/>
      <w:szCs w:val="24"/>
    </w:rPr>
  </w:style>
  <w:style w:type="character" w:customStyle="1" w:styleId="EMEABodyTextChar">
    <w:name w:val="EMEA Body Text Char"/>
    <w:basedOn w:val="DefaultParagraphFont"/>
    <w:link w:val="EMEABodyText"/>
    <w:locked/>
    <w:rsid w:val="006A031A"/>
    <w:rPr>
      <w:lang w:eastAsia="x-none"/>
    </w:rPr>
  </w:style>
  <w:style w:type="paragraph" w:customStyle="1" w:styleId="EMEABodyText">
    <w:name w:val="EMEA Body Text"/>
    <w:basedOn w:val="Normal"/>
    <w:link w:val="EMEABodyTextChar"/>
    <w:rsid w:val="006A031A"/>
    <w:pPr>
      <w:tabs>
        <w:tab w:val="clear" w:pos="-720"/>
        <w:tab w:val="clear" w:pos="4513"/>
        <w:tab w:val="clear" w:pos="10348"/>
      </w:tabs>
      <w:suppressAutoHyphens w:val="0"/>
    </w:pPr>
    <w:rPr>
      <w:rFonts w:ascii="Times New Roman" w:hAnsi="Times New Roman"/>
      <w:sz w:val="20"/>
      <w:lang w:eastAsia="x-none"/>
    </w:rPr>
  </w:style>
  <w:style w:type="paragraph" w:styleId="ListBullet">
    <w:name w:val="List Bullet"/>
    <w:basedOn w:val="Normal"/>
    <w:rsid w:val="00AE5C10"/>
    <w:pPr>
      <w:numPr>
        <w:numId w:val="15"/>
      </w:numPr>
      <w:contextualSpacing/>
    </w:pPr>
  </w:style>
  <w:style w:type="paragraph" w:styleId="Revision">
    <w:name w:val="Revision"/>
    <w:hidden/>
    <w:uiPriority w:val="99"/>
    <w:semiHidden/>
    <w:rsid w:val="005B657C"/>
    <w:rPr>
      <w:rFonts w:ascii="Arial" w:hAnsi="Arial"/>
      <w:sz w:val="22"/>
    </w:rPr>
  </w:style>
  <w:style w:type="paragraph" w:customStyle="1" w:styleId="Paragraph">
    <w:name w:val="Paragraph"/>
    <w:link w:val="ParagraphChar"/>
    <w:rsid w:val="000747BC"/>
    <w:pPr>
      <w:spacing w:before="60" w:after="240"/>
    </w:pPr>
    <w:rPr>
      <w:rFonts w:eastAsia="MS Gothic"/>
      <w:sz w:val="24"/>
      <w:szCs w:val="24"/>
      <w:lang w:val="en-US" w:eastAsia="en-US"/>
    </w:rPr>
  </w:style>
  <w:style w:type="character" w:customStyle="1" w:styleId="ParagraphChar">
    <w:name w:val="Paragraph Char"/>
    <w:link w:val="Paragraph"/>
    <w:rsid w:val="000747BC"/>
    <w:rPr>
      <w:rFonts w:eastAsia="MS Gothic"/>
      <w:sz w:val="24"/>
      <w:szCs w:val="24"/>
      <w:lang w:val="en-US" w:eastAsia="en-US"/>
    </w:rPr>
  </w:style>
  <w:style w:type="paragraph" w:styleId="NoSpacing">
    <w:name w:val="No Spacing"/>
    <w:uiPriority w:val="1"/>
    <w:qFormat/>
    <w:rsid w:val="0034622F"/>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rsid w:val="00294FDE"/>
    <w:rPr>
      <w:rFonts w:ascii="Univers" w:hAnsi="Univers"/>
      <w:b/>
      <w:i/>
      <w:sz w:val="24"/>
    </w:rPr>
  </w:style>
  <w:style w:type="paragraph" w:styleId="Caption">
    <w:name w:val="caption"/>
    <w:basedOn w:val="Normal"/>
    <w:next w:val="Normal"/>
    <w:unhideWhenUsed/>
    <w:qFormat/>
    <w:rsid w:val="000B4EB3"/>
    <w:pPr>
      <w:keepNext/>
      <w:spacing w:before="0" w:after="80"/>
    </w:pPr>
    <w:rPr>
      <w:b/>
      <w:bCs/>
      <w:sz w:val="20"/>
      <w:szCs w:val="18"/>
    </w:rPr>
  </w:style>
  <w:style w:type="paragraph" w:styleId="Title">
    <w:name w:val="Title"/>
    <w:basedOn w:val="Heading1"/>
    <w:next w:val="Normal"/>
    <w:link w:val="TitleChar"/>
    <w:qFormat/>
    <w:rsid w:val="00DE0BBF"/>
    <w:pPr>
      <w:tabs>
        <w:tab w:val="clear" w:pos="-720"/>
        <w:tab w:val="clear" w:pos="4513"/>
        <w:tab w:val="clear" w:pos="10348"/>
      </w:tabs>
      <w:spacing w:before="0" w:after="60"/>
      <w:jc w:val="center"/>
      <w:outlineLvl w:val="9"/>
    </w:pPr>
  </w:style>
  <w:style w:type="character" w:customStyle="1" w:styleId="TitleChar">
    <w:name w:val="Title Char"/>
    <w:basedOn w:val="DefaultParagraphFont"/>
    <w:link w:val="Title"/>
    <w:rsid w:val="00DE0BBF"/>
    <w:rPr>
      <w:rFonts w:ascii="Arial" w:hAnsi="Arial" w:cs="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1C"/>
    <w:pPr>
      <w:tabs>
        <w:tab w:val="left" w:pos="-720"/>
        <w:tab w:val="center" w:pos="4513"/>
        <w:tab w:val="right" w:pos="10348"/>
      </w:tabs>
      <w:suppressAutoHyphens/>
      <w:spacing w:before="120" w:after="120"/>
    </w:pPr>
    <w:rPr>
      <w:rFonts w:ascii="Arial" w:hAnsi="Arial"/>
      <w:sz w:val="22"/>
    </w:rPr>
  </w:style>
  <w:style w:type="paragraph" w:styleId="Heading1">
    <w:name w:val="heading 1"/>
    <w:basedOn w:val="Normal"/>
    <w:next w:val="Normal"/>
    <w:autoRedefine/>
    <w:qFormat/>
    <w:rsid w:val="00B0062B"/>
    <w:pPr>
      <w:keepNext/>
      <w:spacing w:before="240"/>
      <w:outlineLvl w:val="0"/>
    </w:pPr>
    <w:rPr>
      <w:rFonts w:cs="Arial"/>
      <w:b/>
      <w:sz w:val="28"/>
    </w:rPr>
  </w:style>
  <w:style w:type="paragraph" w:styleId="Heading2">
    <w:name w:val="heading 2"/>
    <w:basedOn w:val="Normal"/>
    <w:next w:val="Normal"/>
    <w:link w:val="Heading2Char"/>
    <w:qFormat/>
    <w:rsid w:val="00294FDE"/>
    <w:pPr>
      <w:keepNext/>
      <w:spacing w:after="60"/>
      <w:outlineLvl w:val="1"/>
    </w:pPr>
    <w:rPr>
      <w:rFonts w:ascii="Univers" w:hAnsi="Univers"/>
      <w:b/>
      <w:i/>
      <w:sz w:val="24"/>
    </w:rPr>
  </w:style>
  <w:style w:type="paragraph" w:styleId="Heading3">
    <w:name w:val="heading 3"/>
    <w:basedOn w:val="Normal"/>
    <w:next w:val="Normal"/>
    <w:qFormat/>
    <w:rsid w:val="008F0CEF"/>
    <w:pPr>
      <w:autoSpaceDE w:val="0"/>
      <w:autoSpaceDN w:val="0"/>
      <w:adjustRightInd w:val="0"/>
      <w:outlineLvl w:val="2"/>
    </w:pPr>
    <w:rPr>
      <w:rFonts w:cs="Arial"/>
      <w:i/>
      <w:noProof/>
      <w:szCs w:val="22"/>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tabs>
        <w:tab w:val="left" w:pos="9000"/>
        <w:tab w:val="right" w:pos="9360"/>
      </w:tabs>
    </w:pPr>
  </w:style>
  <w:style w:type="paragraph" w:styleId="FootnoteText">
    <w:name w:val="footnote text"/>
    <w:basedOn w:val="Normal"/>
    <w:semiHidden/>
    <w:rPr>
      <w:sz w:val="20"/>
    </w:rPr>
  </w:style>
  <w:style w:type="paragraph" w:styleId="BodyText2">
    <w:name w:val="Body Text 2"/>
    <w:basedOn w:val="Normal"/>
    <w:rPr>
      <w:rFonts w:ascii="Univers" w:hAnsi="Univers"/>
    </w:rPr>
  </w:style>
  <w:style w:type="paragraph" w:styleId="BodyText3">
    <w:name w:val="Body Text 3"/>
    <w:basedOn w:val="Normal"/>
    <w:rPr>
      <w:u w:val="double"/>
    </w:r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lear" w:pos="-720"/>
        <w:tab w:val="clear" w:pos="4513"/>
        <w:tab w:val="clear" w:pos="10348"/>
        <w:tab w:val="center" w:pos="4153"/>
        <w:tab w:val="right" w:pos="8306"/>
      </w:tabs>
    </w:pPr>
  </w:style>
  <w:style w:type="paragraph" w:styleId="Footer">
    <w:name w:val="footer"/>
    <w:basedOn w:val="Normal"/>
    <w:rsid w:val="00E25368"/>
    <w:pPr>
      <w:keepNext/>
      <w:tabs>
        <w:tab w:val="clear" w:pos="-720"/>
        <w:tab w:val="clear" w:pos="4513"/>
        <w:tab w:val="clear" w:pos="10348"/>
        <w:tab w:val="center" w:pos="4153"/>
        <w:tab w:val="right" w:pos="8306"/>
      </w:tabs>
      <w:spacing w:before="0" w:after="0"/>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1357A8"/>
    <w:rPr>
      <w:sz w:val="16"/>
      <w:szCs w:val="16"/>
    </w:rPr>
  </w:style>
  <w:style w:type="paragraph" w:styleId="CommentText">
    <w:name w:val="annotation text"/>
    <w:basedOn w:val="Normal"/>
    <w:link w:val="CommentTextChar"/>
    <w:semiHidden/>
    <w:rsid w:val="001357A8"/>
    <w:rPr>
      <w:sz w:val="20"/>
    </w:rPr>
  </w:style>
  <w:style w:type="paragraph" w:styleId="CommentSubject">
    <w:name w:val="annotation subject"/>
    <w:basedOn w:val="CommentText"/>
    <w:next w:val="CommentText"/>
    <w:semiHidden/>
    <w:rsid w:val="001357A8"/>
    <w:rPr>
      <w:b/>
      <w:bCs/>
    </w:rPr>
  </w:style>
  <w:style w:type="character" w:customStyle="1" w:styleId="CommentTextChar">
    <w:name w:val="Comment Text Char"/>
    <w:link w:val="CommentText"/>
    <w:semiHidden/>
    <w:rsid w:val="000B179B"/>
    <w:rPr>
      <w:rFonts w:ascii="Arial" w:hAnsi="Arial"/>
      <w:lang w:val="en-AU" w:eastAsia="en-AU"/>
    </w:rPr>
  </w:style>
  <w:style w:type="paragraph" w:customStyle="1" w:styleId="Body">
    <w:name w:val="Body"/>
    <w:basedOn w:val="Normal"/>
    <w:link w:val="BodyChar"/>
    <w:rsid w:val="00427333"/>
    <w:pPr>
      <w:tabs>
        <w:tab w:val="clear" w:pos="-720"/>
        <w:tab w:val="clear" w:pos="4513"/>
        <w:tab w:val="clear" w:pos="10348"/>
      </w:tabs>
      <w:suppressAutoHyphens w:val="0"/>
      <w:ind w:firstLine="288"/>
    </w:pPr>
    <w:rPr>
      <w:rFonts w:eastAsia="MS Mincho"/>
      <w:sz w:val="20"/>
      <w:lang w:val="en-US" w:eastAsia="ja-JP"/>
    </w:rPr>
  </w:style>
  <w:style w:type="character" w:customStyle="1" w:styleId="BodyChar">
    <w:name w:val="Body Char"/>
    <w:link w:val="Body"/>
    <w:rsid w:val="00427333"/>
    <w:rPr>
      <w:rFonts w:ascii="Arial" w:eastAsia="MS Mincho" w:hAnsi="Arial"/>
      <w:lang w:eastAsia="ja-JP"/>
    </w:rPr>
  </w:style>
  <w:style w:type="paragraph" w:customStyle="1" w:styleId="ExtraSpace">
    <w:name w:val="Extra Space"/>
    <w:basedOn w:val="Normal"/>
    <w:next w:val="Body"/>
    <w:rsid w:val="00427333"/>
    <w:pPr>
      <w:tabs>
        <w:tab w:val="clear" w:pos="-720"/>
        <w:tab w:val="clear" w:pos="4513"/>
        <w:tab w:val="clear" w:pos="10348"/>
      </w:tabs>
      <w:suppressAutoHyphens w:val="0"/>
      <w:spacing w:line="120" w:lineRule="exact"/>
    </w:pPr>
    <w:rPr>
      <w:rFonts w:eastAsia="MS Mincho"/>
      <w:color w:val="00FF00"/>
      <w:sz w:val="20"/>
      <w:lang w:val="en-US" w:eastAsia="ja-JP"/>
    </w:rPr>
  </w:style>
  <w:style w:type="paragraph" w:customStyle="1" w:styleId="Tablecentered">
    <w:name w:val="Table: centered"/>
    <w:basedOn w:val="Normal"/>
    <w:rsid w:val="00427333"/>
    <w:pPr>
      <w:keepNext/>
      <w:tabs>
        <w:tab w:val="clear" w:pos="-720"/>
        <w:tab w:val="clear" w:pos="4513"/>
        <w:tab w:val="clear" w:pos="10348"/>
      </w:tabs>
      <w:suppressAutoHyphens w:val="0"/>
      <w:jc w:val="center"/>
    </w:pPr>
    <w:rPr>
      <w:rFonts w:eastAsia="MS Mincho"/>
      <w:sz w:val="14"/>
      <w:lang w:val="en-US" w:eastAsia="ja-JP"/>
    </w:rPr>
  </w:style>
  <w:style w:type="paragraph" w:customStyle="1" w:styleId="BodyText20">
    <w:name w:val="BodyText2"/>
    <w:basedOn w:val="Normal"/>
    <w:link w:val="BodyText2Char"/>
    <w:rsid w:val="00427333"/>
    <w:pPr>
      <w:tabs>
        <w:tab w:val="clear" w:pos="-720"/>
        <w:tab w:val="clear" w:pos="4513"/>
        <w:tab w:val="clear" w:pos="10348"/>
      </w:tabs>
      <w:suppressAutoHyphens w:val="0"/>
      <w:spacing w:before="4"/>
      <w:ind w:firstLine="317"/>
    </w:pPr>
    <w:rPr>
      <w:rFonts w:ascii="Helvetica" w:hAnsi="Helvetica"/>
      <w:sz w:val="16"/>
      <w:szCs w:val="24"/>
      <w:lang w:val="en-US" w:eastAsia="en-US"/>
    </w:rPr>
  </w:style>
  <w:style w:type="character" w:customStyle="1" w:styleId="BodyText2Char">
    <w:name w:val="BodyText2 Char"/>
    <w:link w:val="BodyText20"/>
    <w:rsid w:val="00427333"/>
    <w:rPr>
      <w:rFonts w:ascii="Helvetica" w:hAnsi="Helvetica"/>
      <w:sz w:val="16"/>
      <w:szCs w:val="24"/>
    </w:rPr>
  </w:style>
  <w:style w:type="paragraph" w:customStyle="1" w:styleId="SubSectionHeadings">
    <w:name w:val="Sub Section Headings"/>
    <w:basedOn w:val="Normal"/>
    <w:next w:val="Normal"/>
    <w:link w:val="SubSectionHeadingsChar"/>
    <w:rsid w:val="00E626B5"/>
    <w:pPr>
      <w:keepNext/>
      <w:tabs>
        <w:tab w:val="clear" w:pos="-720"/>
        <w:tab w:val="clear" w:pos="4513"/>
        <w:tab w:val="clear" w:pos="10348"/>
      </w:tabs>
      <w:suppressAutoHyphens w:val="0"/>
    </w:pPr>
    <w:rPr>
      <w:rFonts w:eastAsia="MS Mincho"/>
      <w:i/>
      <w:sz w:val="20"/>
      <w:lang w:val="en-US" w:eastAsia="ja-JP"/>
    </w:rPr>
  </w:style>
  <w:style w:type="paragraph" w:customStyle="1" w:styleId="BodyText1">
    <w:name w:val="BodyText1"/>
    <w:basedOn w:val="Normal"/>
    <w:uiPriority w:val="99"/>
    <w:rsid w:val="00E626B5"/>
    <w:pPr>
      <w:tabs>
        <w:tab w:val="clear" w:pos="-720"/>
        <w:tab w:val="clear" w:pos="4513"/>
        <w:tab w:val="clear" w:pos="10348"/>
      </w:tabs>
      <w:suppressAutoHyphens w:val="0"/>
      <w:spacing w:before="4"/>
      <w:ind w:firstLine="317"/>
    </w:pPr>
    <w:rPr>
      <w:rFonts w:ascii="Helvetica" w:hAnsi="Helvetica"/>
      <w:sz w:val="16"/>
      <w:szCs w:val="24"/>
      <w:lang w:val="en-US" w:eastAsia="en-US"/>
    </w:rPr>
  </w:style>
  <w:style w:type="character" w:customStyle="1" w:styleId="SubSectionHeadingsChar">
    <w:name w:val="Sub Section Headings Char"/>
    <w:link w:val="SubSectionHeadings"/>
    <w:rsid w:val="00E626B5"/>
    <w:rPr>
      <w:rFonts w:ascii="Arial" w:eastAsia="MS Mincho" w:hAnsi="Arial"/>
      <w:i/>
      <w:lang w:eastAsia="ja-JP"/>
    </w:rPr>
  </w:style>
  <w:style w:type="character" w:customStyle="1" w:styleId="searchhighlight">
    <w:name w:val="searchhighlight"/>
    <w:basedOn w:val="DefaultParagraphFont"/>
    <w:rsid w:val="00AD0BD2"/>
  </w:style>
  <w:style w:type="paragraph" w:customStyle="1" w:styleId="Tablelist2xhanging">
    <w:name w:val="Table: list. 2x hanging"/>
    <w:basedOn w:val="Normal"/>
    <w:rsid w:val="001B565B"/>
    <w:pPr>
      <w:keepNext/>
      <w:tabs>
        <w:tab w:val="clear" w:pos="-720"/>
        <w:tab w:val="clear" w:pos="4513"/>
        <w:tab w:val="clear" w:pos="10348"/>
      </w:tabs>
      <w:suppressAutoHyphens w:val="0"/>
      <w:ind w:left="576" w:hanging="288"/>
    </w:pPr>
    <w:rPr>
      <w:rFonts w:eastAsia="MS Mincho"/>
      <w:sz w:val="14"/>
      <w:lang w:val="en-US" w:eastAsia="ja-JP"/>
    </w:rPr>
  </w:style>
  <w:style w:type="character" w:styleId="Strong">
    <w:name w:val="Strong"/>
    <w:qFormat/>
    <w:rsid w:val="00294FDE"/>
    <w:rPr>
      <w:rFonts w:ascii="Arial" w:hAnsi="Arial"/>
      <w:b/>
      <w:bCs/>
      <w:sz w:val="22"/>
    </w:rPr>
  </w:style>
  <w:style w:type="paragraph" w:styleId="ListParagraph">
    <w:name w:val="List Paragraph"/>
    <w:basedOn w:val="Normal"/>
    <w:uiPriority w:val="34"/>
    <w:qFormat/>
    <w:rsid w:val="00806F0D"/>
    <w:pPr>
      <w:ind w:left="720"/>
      <w:contextualSpacing/>
    </w:pPr>
  </w:style>
  <w:style w:type="paragraph" w:customStyle="1" w:styleId="Default">
    <w:name w:val="Default"/>
    <w:rsid w:val="00122230"/>
    <w:pPr>
      <w:autoSpaceDE w:val="0"/>
      <w:autoSpaceDN w:val="0"/>
      <w:adjustRightInd w:val="0"/>
    </w:pPr>
    <w:rPr>
      <w:color w:val="000000"/>
      <w:sz w:val="24"/>
      <w:szCs w:val="24"/>
    </w:rPr>
  </w:style>
  <w:style w:type="character" w:customStyle="1" w:styleId="EMEABodyTextChar">
    <w:name w:val="EMEA Body Text Char"/>
    <w:basedOn w:val="DefaultParagraphFont"/>
    <w:link w:val="EMEABodyText"/>
    <w:locked/>
    <w:rsid w:val="006A031A"/>
    <w:rPr>
      <w:lang w:eastAsia="x-none"/>
    </w:rPr>
  </w:style>
  <w:style w:type="paragraph" w:customStyle="1" w:styleId="EMEABodyText">
    <w:name w:val="EMEA Body Text"/>
    <w:basedOn w:val="Normal"/>
    <w:link w:val="EMEABodyTextChar"/>
    <w:rsid w:val="006A031A"/>
    <w:pPr>
      <w:tabs>
        <w:tab w:val="clear" w:pos="-720"/>
        <w:tab w:val="clear" w:pos="4513"/>
        <w:tab w:val="clear" w:pos="10348"/>
      </w:tabs>
      <w:suppressAutoHyphens w:val="0"/>
    </w:pPr>
    <w:rPr>
      <w:rFonts w:ascii="Times New Roman" w:hAnsi="Times New Roman"/>
      <w:sz w:val="20"/>
      <w:lang w:eastAsia="x-none"/>
    </w:rPr>
  </w:style>
  <w:style w:type="paragraph" w:styleId="ListBullet">
    <w:name w:val="List Bullet"/>
    <w:basedOn w:val="Normal"/>
    <w:rsid w:val="00AE5C10"/>
    <w:pPr>
      <w:numPr>
        <w:numId w:val="15"/>
      </w:numPr>
      <w:contextualSpacing/>
    </w:pPr>
  </w:style>
  <w:style w:type="paragraph" w:styleId="Revision">
    <w:name w:val="Revision"/>
    <w:hidden/>
    <w:uiPriority w:val="99"/>
    <w:semiHidden/>
    <w:rsid w:val="005B657C"/>
    <w:rPr>
      <w:rFonts w:ascii="Arial" w:hAnsi="Arial"/>
      <w:sz w:val="22"/>
    </w:rPr>
  </w:style>
  <w:style w:type="paragraph" w:customStyle="1" w:styleId="Paragraph">
    <w:name w:val="Paragraph"/>
    <w:link w:val="ParagraphChar"/>
    <w:rsid w:val="000747BC"/>
    <w:pPr>
      <w:spacing w:before="60" w:after="240"/>
    </w:pPr>
    <w:rPr>
      <w:rFonts w:eastAsia="MS Gothic"/>
      <w:sz w:val="24"/>
      <w:szCs w:val="24"/>
      <w:lang w:val="en-US" w:eastAsia="en-US"/>
    </w:rPr>
  </w:style>
  <w:style w:type="character" w:customStyle="1" w:styleId="ParagraphChar">
    <w:name w:val="Paragraph Char"/>
    <w:link w:val="Paragraph"/>
    <w:rsid w:val="000747BC"/>
    <w:rPr>
      <w:rFonts w:eastAsia="MS Gothic"/>
      <w:sz w:val="24"/>
      <w:szCs w:val="24"/>
      <w:lang w:val="en-US" w:eastAsia="en-US"/>
    </w:rPr>
  </w:style>
  <w:style w:type="paragraph" w:styleId="NoSpacing">
    <w:name w:val="No Spacing"/>
    <w:uiPriority w:val="1"/>
    <w:qFormat/>
    <w:rsid w:val="0034622F"/>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rsid w:val="00294FDE"/>
    <w:rPr>
      <w:rFonts w:ascii="Univers" w:hAnsi="Univers"/>
      <w:b/>
      <w:i/>
      <w:sz w:val="24"/>
    </w:rPr>
  </w:style>
  <w:style w:type="paragraph" w:styleId="Caption">
    <w:name w:val="caption"/>
    <w:basedOn w:val="Normal"/>
    <w:next w:val="Normal"/>
    <w:unhideWhenUsed/>
    <w:qFormat/>
    <w:rsid w:val="000B4EB3"/>
    <w:pPr>
      <w:keepNext/>
      <w:spacing w:before="0" w:after="80"/>
    </w:pPr>
    <w:rPr>
      <w:b/>
      <w:bCs/>
      <w:sz w:val="20"/>
      <w:szCs w:val="18"/>
    </w:rPr>
  </w:style>
  <w:style w:type="paragraph" w:styleId="Title">
    <w:name w:val="Title"/>
    <w:basedOn w:val="Heading1"/>
    <w:next w:val="Normal"/>
    <w:link w:val="TitleChar"/>
    <w:qFormat/>
    <w:rsid w:val="00DE0BBF"/>
    <w:pPr>
      <w:tabs>
        <w:tab w:val="clear" w:pos="-720"/>
        <w:tab w:val="clear" w:pos="4513"/>
        <w:tab w:val="clear" w:pos="10348"/>
      </w:tabs>
      <w:spacing w:before="0" w:after="60"/>
      <w:jc w:val="center"/>
      <w:outlineLvl w:val="9"/>
    </w:pPr>
  </w:style>
  <w:style w:type="character" w:customStyle="1" w:styleId="TitleChar">
    <w:name w:val="Title Char"/>
    <w:basedOn w:val="DefaultParagraphFont"/>
    <w:link w:val="Title"/>
    <w:rsid w:val="00DE0BBF"/>
    <w:rPr>
      <w:rFonts w:ascii="Arial" w:hAnsi="Arial" w:cs="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3807">
      <w:bodyDiv w:val="1"/>
      <w:marLeft w:val="0"/>
      <w:marRight w:val="0"/>
      <w:marTop w:val="0"/>
      <w:marBottom w:val="0"/>
      <w:divBdr>
        <w:top w:val="none" w:sz="0" w:space="0" w:color="auto"/>
        <w:left w:val="none" w:sz="0" w:space="0" w:color="auto"/>
        <w:bottom w:val="none" w:sz="0" w:space="0" w:color="auto"/>
        <w:right w:val="none" w:sz="0" w:space="0" w:color="auto"/>
      </w:divBdr>
    </w:div>
    <w:div w:id="81679772">
      <w:bodyDiv w:val="1"/>
      <w:marLeft w:val="0"/>
      <w:marRight w:val="0"/>
      <w:marTop w:val="0"/>
      <w:marBottom w:val="0"/>
      <w:divBdr>
        <w:top w:val="none" w:sz="0" w:space="0" w:color="auto"/>
        <w:left w:val="none" w:sz="0" w:space="0" w:color="auto"/>
        <w:bottom w:val="none" w:sz="0" w:space="0" w:color="auto"/>
        <w:right w:val="none" w:sz="0" w:space="0" w:color="auto"/>
      </w:divBdr>
    </w:div>
    <w:div w:id="162472003">
      <w:bodyDiv w:val="1"/>
      <w:marLeft w:val="0"/>
      <w:marRight w:val="0"/>
      <w:marTop w:val="0"/>
      <w:marBottom w:val="0"/>
      <w:divBdr>
        <w:top w:val="none" w:sz="0" w:space="0" w:color="auto"/>
        <w:left w:val="none" w:sz="0" w:space="0" w:color="auto"/>
        <w:bottom w:val="none" w:sz="0" w:space="0" w:color="auto"/>
        <w:right w:val="none" w:sz="0" w:space="0" w:color="auto"/>
      </w:divBdr>
    </w:div>
    <w:div w:id="282465561">
      <w:bodyDiv w:val="1"/>
      <w:marLeft w:val="0"/>
      <w:marRight w:val="0"/>
      <w:marTop w:val="0"/>
      <w:marBottom w:val="0"/>
      <w:divBdr>
        <w:top w:val="none" w:sz="0" w:space="0" w:color="auto"/>
        <w:left w:val="none" w:sz="0" w:space="0" w:color="auto"/>
        <w:bottom w:val="none" w:sz="0" w:space="0" w:color="auto"/>
        <w:right w:val="none" w:sz="0" w:space="0" w:color="auto"/>
      </w:divBdr>
    </w:div>
    <w:div w:id="527108219">
      <w:bodyDiv w:val="1"/>
      <w:marLeft w:val="0"/>
      <w:marRight w:val="0"/>
      <w:marTop w:val="0"/>
      <w:marBottom w:val="0"/>
      <w:divBdr>
        <w:top w:val="none" w:sz="0" w:space="0" w:color="auto"/>
        <w:left w:val="none" w:sz="0" w:space="0" w:color="auto"/>
        <w:bottom w:val="none" w:sz="0" w:space="0" w:color="auto"/>
        <w:right w:val="none" w:sz="0" w:space="0" w:color="auto"/>
      </w:divBdr>
    </w:div>
    <w:div w:id="555823239">
      <w:bodyDiv w:val="1"/>
      <w:marLeft w:val="0"/>
      <w:marRight w:val="0"/>
      <w:marTop w:val="0"/>
      <w:marBottom w:val="0"/>
      <w:divBdr>
        <w:top w:val="none" w:sz="0" w:space="0" w:color="auto"/>
        <w:left w:val="none" w:sz="0" w:space="0" w:color="auto"/>
        <w:bottom w:val="none" w:sz="0" w:space="0" w:color="auto"/>
        <w:right w:val="none" w:sz="0" w:space="0" w:color="auto"/>
      </w:divBdr>
    </w:div>
    <w:div w:id="710305463">
      <w:bodyDiv w:val="1"/>
      <w:marLeft w:val="0"/>
      <w:marRight w:val="0"/>
      <w:marTop w:val="0"/>
      <w:marBottom w:val="0"/>
      <w:divBdr>
        <w:top w:val="none" w:sz="0" w:space="0" w:color="auto"/>
        <w:left w:val="none" w:sz="0" w:space="0" w:color="auto"/>
        <w:bottom w:val="none" w:sz="0" w:space="0" w:color="auto"/>
        <w:right w:val="none" w:sz="0" w:space="0" w:color="auto"/>
      </w:divBdr>
    </w:div>
    <w:div w:id="851146704">
      <w:bodyDiv w:val="1"/>
      <w:marLeft w:val="0"/>
      <w:marRight w:val="0"/>
      <w:marTop w:val="0"/>
      <w:marBottom w:val="0"/>
      <w:divBdr>
        <w:top w:val="none" w:sz="0" w:space="0" w:color="auto"/>
        <w:left w:val="none" w:sz="0" w:space="0" w:color="auto"/>
        <w:bottom w:val="none" w:sz="0" w:space="0" w:color="auto"/>
        <w:right w:val="none" w:sz="0" w:space="0" w:color="auto"/>
      </w:divBdr>
    </w:div>
    <w:div w:id="1021860280">
      <w:bodyDiv w:val="1"/>
      <w:marLeft w:val="0"/>
      <w:marRight w:val="0"/>
      <w:marTop w:val="0"/>
      <w:marBottom w:val="0"/>
      <w:divBdr>
        <w:top w:val="none" w:sz="0" w:space="0" w:color="auto"/>
        <w:left w:val="none" w:sz="0" w:space="0" w:color="auto"/>
        <w:bottom w:val="none" w:sz="0" w:space="0" w:color="auto"/>
        <w:right w:val="none" w:sz="0" w:space="0" w:color="auto"/>
      </w:divBdr>
    </w:div>
    <w:div w:id="1068771371">
      <w:bodyDiv w:val="1"/>
      <w:marLeft w:val="0"/>
      <w:marRight w:val="0"/>
      <w:marTop w:val="0"/>
      <w:marBottom w:val="0"/>
      <w:divBdr>
        <w:top w:val="none" w:sz="0" w:space="0" w:color="auto"/>
        <w:left w:val="none" w:sz="0" w:space="0" w:color="auto"/>
        <w:bottom w:val="none" w:sz="0" w:space="0" w:color="auto"/>
        <w:right w:val="none" w:sz="0" w:space="0" w:color="auto"/>
      </w:divBdr>
    </w:div>
    <w:div w:id="1077899854">
      <w:bodyDiv w:val="1"/>
      <w:marLeft w:val="0"/>
      <w:marRight w:val="0"/>
      <w:marTop w:val="0"/>
      <w:marBottom w:val="0"/>
      <w:divBdr>
        <w:top w:val="none" w:sz="0" w:space="0" w:color="auto"/>
        <w:left w:val="none" w:sz="0" w:space="0" w:color="auto"/>
        <w:bottom w:val="none" w:sz="0" w:space="0" w:color="auto"/>
        <w:right w:val="none" w:sz="0" w:space="0" w:color="auto"/>
      </w:divBdr>
    </w:div>
    <w:div w:id="1089079136">
      <w:bodyDiv w:val="1"/>
      <w:marLeft w:val="0"/>
      <w:marRight w:val="0"/>
      <w:marTop w:val="0"/>
      <w:marBottom w:val="0"/>
      <w:divBdr>
        <w:top w:val="none" w:sz="0" w:space="0" w:color="auto"/>
        <w:left w:val="none" w:sz="0" w:space="0" w:color="auto"/>
        <w:bottom w:val="none" w:sz="0" w:space="0" w:color="auto"/>
        <w:right w:val="none" w:sz="0" w:space="0" w:color="auto"/>
      </w:divBdr>
    </w:div>
    <w:div w:id="1302659269">
      <w:bodyDiv w:val="1"/>
      <w:marLeft w:val="0"/>
      <w:marRight w:val="0"/>
      <w:marTop w:val="0"/>
      <w:marBottom w:val="0"/>
      <w:divBdr>
        <w:top w:val="none" w:sz="0" w:space="0" w:color="auto"/>
        <w:left w:val="none" w:sz="0" w:space="0" w:color="auto"/>
        <w:bottom w:val="none" w:sz="0" w:space="0" w:color="auto"/>
        <w:right w:val="none" w:sz="0" w:space="0" w:color="auto"/>
      </w:divBdr>
    </w:div>
    <w:div w:id="1693415958">
      <w:bodyDiv w:val="1"/>
      <w:marLeft w:val="0"/>
      <w:marRight w:val="0"/>
      <w:marTop w:val="0"/>
      <w:marBottom w:val="0"/>
      <w:divBdr>
        <w:top w:val="none" w:sz="0" w:space="0" w:color="auto"/>
        <w:left w:val="none" w:sz="0" w:space="0" w:color="auto"/>
        <w:bottom w:val="none" w:sz="0" w:space="0" w:color="auto"/>
        <w:right w:val="none" w:sz="0" w:space="0" w:color="auto"/>
      </w:divBdr>
    </w:div>
    <w:div w:id="1805080647">
      <w:bodyDiv w:val="1"/>
      <w:marLeft w:val="0"/>
      <w:marRight w:val="0"/>
      <w:marTop w:val="0"/>
      <w:marBottom w:val="0"/>
      <w:divBdr>
        <w:top w:val="none" w:sz="0" w:space="0" w:color="auto"/>
        <w:left w:val="none" w:sz="0" w:space="0" w:color="auto"/>
        <w:bottom w:val="none" w:sz="0" w:space="0" w:color="auto"/>
        <w:right w:val="none" w:sz="0" w:space="0" w:color="auto"/>
      </w:divBdr>
    </w:div>
    <w:div w:id="2006010831">
      <w:bodyDiv w:val="1"/>
      <w:marLeft w:val="0"/>
      <w:marRight w:val="0"/>
      <w:marTop w:val="0"/>
      <w:marBottom w:val="0"/>
      <w:divBdr>
        <w:top w:val="none" w:sz="0" w:space="0" w:color="auto"/>
        <w:left w:val="none" w:sz="0" w:space="0" w:color="auto"/>
        <w:bottom w:val="none" w:sz="0" w:space="0" w:color="auto"/>
        <w:right w:val="none" w:sz="0" w:space="0" w:color="auto"/>
      </w:divBdr>
    </w:div>
    <w:div w:id="20128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7E68ACC01DE46BAB8D5F65BAC05EC" ma:contentTypeVersion="1" ma:contentTypeDescription="Create a new document." ma:contentTypeScope="" ma:versionID="bb3ea9ee07c508757d50ee6b508bcde9">
  <xsd:schema xmlns:xsd="http://www.w3.org/2001/XMLSchema" xmlns:xs="http://www.w3.org/2001/XMLSchema" xmlns:p="http://schemas.microsoft.com/office/2006/metadata/properties" xmlns:ns2="d353fcf7-205b-40c5-a3af-4cf3a5e9c355" xmlns:ns3="9db20a44-376d-4c97-8d2b-88532430f6d7" targetNamespace="http://schemas.microsoft.com/office/2006/metadata/properties" ma:root="true" ma:fieldsID="f0e2eda1c908dcc4eb356f3cd77ebf05" ns2:_="" ns3:_="">
    <xsd:import namespace="d353fcf7-205b-40c5-a3af-4cf3a5e9c355"/>
    <xsd:import namespace="9db20a44-376d-4c97-8d2b-88532430f6d7"/>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3fcf7-205b-40c5-a3af-4cf3a5e9c3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b20a44-376d-4c97-8d2b-88532430f6d7"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9db20a44-376d-4c97-8d2b-88532430f6d7" xsi:nil="true"/>
    <_dlc_DocId xmlns="d353fcf7-205b-40c5-a3af-4cf3a5e9c355">EFYCX3CDVRKR-1794191079-103163</_dlc_DocId>
    <_dlc_DocIdUrl xmlns="d353fcf7-205b-40c5-a3af-4cf3a5e9c355">
      <Url>http://spapp.merck.com/sites/ANZMarket/REGAFF/_layouts/DocIdRedir.aspx?ID=EFYCX3CDVRKR-1794191079-103163</Url>
      <Description>EFYCX3CDVRKR-1794191079-103163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EEBA-0524-452C-B1A3-441FC3BEF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3fcf7-205b-40c5-a3af-4cf3a5e9c355"/>
    <ds:schemaRef ds:uri="9db20a44-376d-4c97-8d2b-88532430f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32C82-5544-4F1B-AFB0-048347F3E00E}">
  <ds:schemaRefs>
    <ds:schemaRef ds:uri="http://schemas.microsoft.com/office/2006/documentManagement/types"/>
    <ds:schemaRef ds:uri="9db20a44-376d-4c97-8d2b-88532430f6d7"/>
    <ds:schemaRef ds:uri="http://schemas.microsoft.com/office/infopath/2007/PartnerControls"/>
    <ds:schemaRef ds:uri="http://purl.org/dc/elements/1.1/"/>
    <ds:schemaRef ds:uri="http://schemas.openxmlformats.org/package/2006/metadata/core-properties"/>
    <ds:schemaRef ds:uri="http://purl.org/dc/terms/"/>
    <ds:schemaRef ds:uri="http://www.w3.org/XML/1998/namespace"/>
    <ds:schemaRef ds:uri="d353fcf7-205b-40c5-a3af-4cf3a5e9c35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8E90317-F6CE-46B4-A8CE-0B53F0B37EF7}">
  <ds:schemaRefs>
    <ds:schemaRef ds:uri="http://schemas.microsoft.com/sharepoint/v3/contenttype/forms"/>
  </ds:schemaRefs>
</ds:datastoreItem>
</file>

<file path=customXml/itemProps4.xml><?xml version="1.0" encoding="utf-8"?>
<ds:datastoreItem xmlns:ds="http://schemas.openxmlformats.org/officeDocument/2006/customXml" ds:itemID="{0D94368D-82BE-432E-ADD7-8C7F3F9C110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C6F31FDD-99A1-4D72-B805-C67396274C47}">
  <ds:schemaRefs>
    <ds:schemaRef ds:uri="http://schemas.microsoft.com/sharepoint/events"/>
  </ds:schemaRefs>
</ds:datastoreItem>
</file>

<file path=customXml/itemProps6.xml><?xml version="1.0" encoding="utf-8"?>
<ds:datastoreItem xmlns:ds="http://schemas.openxmlformats.org/officeDocument/2006/customXml" ds:itemID="{F644759C-A8A4-4CBC-8B3A-68587227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10965</Words>
  <Characters>61027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AusPAR Attachment 1: Product Information for  Pembrolizumab [Keytruda]</vt:lpstr>
    </vt:vector>
  </TitlesOfParts>
  <Company>Merck</Company>
  <LinksUpToDate>false</LinksUpToDate>
  <CharactersWithSpaces>71849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Pembrolizumab [Keytruda]</dc:title>
  <dc:subject>prescription medicines</dc:subject>
  <dc:creator>msd</dc:creator>
  <cp:keywords>ausPar</cp:keywords>
  <cp:lastModifiedBy>Therapeutic Goods Administration</cp:lastModifiedBy>
  <cp:revision>18</cp:revision>
  <cp:lastPrinted>2018-06-26T03:03:00Z</cp:lastPrinted>
  <dcterms:created xsi:type="dcterms:W3CDTF">2018-04-09T01:37:00Z</dcterms:created>
  <dcterms:modified xsi:type="dcterms:W3CDTF">2018-06-26T03:04:00Z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9e9e1b20-b727-4d3e-a106-b99b6301829c</vt:lpwstr>
  </property>
  <property fmtid="{D5CDD505-2E9C-101B-9397-08002B2CF9AE}" pid="3" name="ContentTypeId">
    <vt:lpwstr>0x01010052E7E68ACC01DE46BAB8D5F65BAC05EC</vt:lpwstr>
  </property>
  <property fmtid="{D5CDD505-2E9C-101B-9397-08002B2CF9AE}" pid="4" name="Order">
    <vt:r8>5914000</vt:r8>
  </property>
  <property fmtid="{D5CDD505-2E9C-101B-9397-08002B2CF9AE}" pid="5" name="xd_ProgID">
    <vt:lpwstr/>
  </property>
  <property fmtid="{D5CDD505-2E9C-101B-9397-08002B2CF9AE}" pid="6" name="_CopySource">
    <vt:lpwstr>http://spapp.merck.com/sites/ANZMarket/REGAFF/PRODPROJ/KEYTRUDA/PROJECTS/011/Other/03-AU_Post_approval/KEYTRUDA_PI_A20170131_v8AU.docx</vt:lpwstr>
  </property>
  <property fmtid="{D5CDD505-2E9C-101B-9397-08002B2CF9AE}" pid="7" name="TemplateUrl">
    <vt:lpwstr/>
  </property>
  <property fmtid="{D5CDD505-2E9C-101B-9397-08002B2CF9AE}" pid="8" name="docIndexRef">
    <vt:lpwstr>23f8bc63-803e-4771-b338-120cf0261fc9</vt:lpwstr>
  </property>
  <property fmtid="{D5CDD505-2E9C-101B-9397-08002B2CF9AE}" pid="9" name="bjSaver">
    <vt:lpwstr>uLPDBiJ8TtYhwr5h5oGMet9XjjOOnG1D</vt:lpwstr>
  </property>
  <property fmtid="{D5CDD505-2E9C-101B-9397-08002B2CF9AE}" pid="10"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11" name="bjDocumentLabelXML-0">
    <vt:lpwstr>nternal/label"&gt;&lt;element uid="9920fcc9-9f43-4d43-9e3e-b98a219cfd55" value="" /&gt;&lt;/sisl&gt;</vt:lpwstr>
  </property>
  <property fmtid="{D5CDD505-2E9C-101B-9397-08002B2CF9AE}" pid="12" name="bjDocumentSecurityLabel">
    <vt:lpwstr>Not Classified</vt:lpwstr>
  </property>
  <property fmtid="{D5CDD505-2E9C-101B-9397-08002B2CF9AE}" pid="13" name="_AdHocReviewCycleID">
    <vt:i4>-855414813</vt:i4>
  </property>
  <property fmtid="{D5CDD505-2E9C-101B-9397-08002B2CF9AE}" pid="14" name="_NewReviewCycle">
    <vt:lpwstr/>
  </property>
  <property fmtid="{D5CDD505-2E9C-101B-9397-08002B2CF9AE}" pid="15" name="_EmailSubject">
    <vt:lpwstr>Draft AusPAR for Keytruda 2016-02736-1-4 Response due 6 April 2018 [SEC=UNCLASSIFIED]</vt:lpwstr>
  </property>
  <property fmtid="{D5CDD505-2E9C-101B-9397-08002B2CF9AE}" pid="16" name="_AuthorEmail">
    <vt:lpwstr>ian.napier@merck.com</vt:lpwstr>
  </property>
  <property fmtid="{D5CDD505-2E9C-101B-9397-08002B2CF9AE}" pid="17" name="_AuthorEmailDisplayName">
    <vt:lpwstr>Napier, Ian</vt:lpwstr>
  </property>
  <property fmtid="{D5CDD505-2E9C-101B-9397-08002B2CF9AE}" pid="18" name="_ReviewingToolsShownOnce">
    <vt:lpwstr/>
  </property>
</Properties>
</file>