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ay 2018"/>
      </w:tblPr>
      <w:tblGrid>
        <w:gridCol w:w="3652"/>
      </w:tblGrid>
      <w:tr w:rsidR="008E7846" w:rsidRPr="00487162" w14:paraId="5CBEB119" w14:textId="77777777" w:rsidTr="00BF1190">
        <w:trPr>
          <w:trHeight w:val="1863"/>
        </w:trPr>
        <w:tc>
          <w:tcPr>
            <w:tcW w:w="3652" w:type="dxa"/>
            <w:tcBorders>
              <w:top w:val="nil"/>
              <w:left w:val="nil"/>
              <w:bottom w:val="nil"/>
              <w:right w:val="nil"/>
            </w:tcBorders>
          </w:tcPr>
          <w:p w14:paraId="5CBEB118" w14:textId="3EFEA958" w:rsidR="008E7846" w:rsidRPr="00096AA7" w:rsidRDefault="003E3B31" w:rsidP="00774CD1">
            <w:pPr>
              <w:rPr>
                <w:rFonts w:ascii="Arial" w:hAnsi="Arial" w:cs="Arial"/>
                <w:b/>
                <w:color w:val="002C47"/>
                <w:sz w:val="36"/>
                <w:szCs w:val="36"/>
              </w:rPr>
            </w:pPr>
            <w:r>
              <w:rPr>
                <w:rFonts w:ascii="Arial" w:hAnsi="Arial" w:cs="Arial"/>
                <w:b/>
                <w:color w:val="002C47"/>
                <w:sz w:val="36"/>
                <w:szCs w:val="36"/>
              </w:rPr>
              <w:t xml:space="preserve">May </w:t>
            </w:r>
            <w:r w:rsidR="00774CD1">
              <w:rPr>
                <w:rFonts w:ascii="Arial" w:hAnsi="Arial" w:cs="Arial"/>
                <w:b/>
                <w:color w:val="002C47"/>
                <w:sz w:val="36"/>
                <w:szCs w:val="36"/>
              </w:rPr>
              <w:t>2018</w:t>
            </w:r>
          </w:p>
        </w:tc>
      </w:tr>
    </w:tbl>
    <w:tbl>
      <w:tblPr>
        <w:tblpPr w:leftFromText="180" w:rightFromText="180" w:vertAnchor="page" w:tblpY="3316"/>
        <w:tblW w:w="9508" w:type="dxa"/>
        <w:tblLayout w:type="fixed"/>
        <w:tblLook w:val="04A0" w:firstRow="1" w:lastRow="0" w:firstColumn="1" w:lastColumn="0" w:noHBand="0" w:noVBand="1"/>
        <w:tblDescription w:val="Australian Public Assessment Report for Pembrolizumab&#10;Proprietary Product Name: Keytruda&#10;Sponsor: Merck Sharp &amp; Dohme Australia Pty Ltd&#10;"/>
      </w:tblPr>
      <w:tblGrid>
        <w:gridCol w:w="9508"/>
      </w:tblGrid>
      <w:tr w:rsidR="0032583B" w:rsidRPr="00A964D1" w14:paraId="5CBEB11B" w14:textId="77777777" w:rsidTr="006515C1">
        <w:trPr>
          <w:trHeight w:val="883"/>
        </w:trPr>
        <w:tc>
          <w:tcPr>
            <w:tcW w:w="9508" w:type="dxa"/>
          </w:tcPr>
          <w:p w14:paraId="5CBEB11A" w14:textId="77777777" w:rsidR="0032583B" w:rsidRPr="00A964D1" w:rsidRDefault="0032583B" w:rsidP="00BD2AE2">
            <w:pPr>
              <w:pStyle w:val="Title"/>
              <w:rPr>
                <w:color w:val="FFFFFF" w:themeColor="background1"/>
              </w:rPr>
            </w:pPr>
            <w:r w:rsidRPr="00A964D1">
              <w:rPr>
                <w:color w:val="FFFFFF" w:themeColor="background1"/>
              </w:rPr>
              <w:t xml:space="preserve">Australian Public Assessment Report for </w:t>
            </w:r>
            <w:proofErr w:type="spellStart"/>
            <w:r w:rsidR="00BD2AE2">
              <w:rPr>
                <w:color w:val="FFFFFF" w:themeColor="background1"/>
              </w:rPr>
              <w:t>Pembrolizumab</w:t>
            </w:r>
            <w:proofErr w:type="spellEnd"/>
          </w:p>
        </w:tc>
      </w:tr>
      <w:tr w:rsidR="0032583B" w:rsidRPr="00B64760" w14:paraId="5CBEB11D" w14:textId="77777777" w:rsidTr="006515C1">
        <w:trPr>
          <w:trHeight w:val="957"/>
        </w:trPr>
        <w:tc>
          <w:tcPr>
            <w:tcW w:w="9508" w:type="dxa"/>
          </w:tcPr>
          <w:p w14:paraId="5CBEB11C" w14:textId="77777777" w:rsidR="0032583B" w:rsidRPr="008E7846" w:rsidRDefault="0032583B" w:rsidP="00A0219D">
            <w:pPr>
              <w:pStyle w:val="Subtitle"/>
              <w:rPr>
                <w:color w:val="FFFFFF" w:themeColor="background1"/>
              </w:rPr>
            </w:pPr>
            <w:r w:rsidRPr="008E7846">
              <w:rPr>
                <w:color w:val="FFFFFF" w:themeColor="background1"/>
              </w:rPr>
              <w:t xml:space="preserve">Proprietary Product Name: </w:t>
            </w:r>
            <w:proofErr w:type="spellStart"/>
            <w:r w:rsidR="00A0219D">
              <w:rPr>
                <w:color w:val="FFFFFF" w:themeColor="background1"/>
              </w:rPr>
              <w:t>Keytruda</w:t>
            </w:r>
            <w:proofErr w:type="spellEnd"/>
          </w:p>
        </w:tc>
      </w:tr>
      <w:tr w:rsidR="0032583B" w:rsidRPr="00B64760" w14:paraId="5CBEB11F" w14:textId="77777777" w:rsidTr="006515C1">
        <w:trPr>
          <w:trHeight w:val="495"/>
        </w:trPr>
        <w:tc>
          <w:tcPr>
            <w:tcW w:w="9508" w:type="dxa"/>
          </w:tcPr>
          <w:p w14:paraId="5CBEB11E" w14:textId="77777777" w:rsidR="0032583B" w:rsidRPr="008E7846" w:rsidRDefault="0032583B" w:rsidP="00BD2AE2">
            <w:pPr>
              <w:pStyle w:val="Subtitle"/>
              <w:rPr>
                <w:color w:val="FFFFFF" w:themeColor="background1"/>
              </w:rPr>
            </w:pPr>
            <w:r w:rsidRPr="008E7846">
              <w:rPr>
                <w:color w:val="FFFFFF" w:themeColor="background1"/>
              </w:rPr>
              <w:t xml:space="preserve">Sponsor: </w:t>
            </w:r>
            <w:r w:rsidR="00BD2AE2">
              <w:rPr>
                <w:color w:val="FFFFFF" w:themeColor="background1"/>
              </w:rPr>
              <w:t>Merck Sharp &amp; Dohme Australia Pty Ltd</w:t>
            </w:r>
          </w:p>
        </w:tc>
      </w:tr>
    </w:tbl>
    <w:p w14:paraId="5CBEB120" w14:textId="77777777" w:rsidR="008E7846" w:rsidRPr="0085156D" w:rsidRDefault="008E7846" w:rsidP="0085156D">
      <w:r w:rsidRPr="0085156D">
        <w:br w:type="page"/>
      </w:r>
    </w:p>
    <w:p w14:paraId="5CBEB121" w14:textId="77777777" w:rsidR="008E7846" w:rsidRPr="001F6CBA" w:rsidRDefault="008E7846" w:rsidP="008E7846">
      <w:pPr>
        <w:pStyle w:val="NonTOCHeading2"/>
      </w:pPr>
      <w:r w:rsidRPr="001F6CBA">
        <w:lastRenderedPageBreak/>
        <w:t>About the Therapeutic Goods Administration (TGA)</w:t>
      </w:r>
    </w:p>
    <w:p w14:paraId="5CBEB122" w14:textId="77777777" w:rsidR="008E7846" w:rsidRDefault="008E7846" w:rsidP="00833FAF">
      <w:pPr>
        <w:pStyle w:val="ListBullet"/>
        <w:numPr>
          <w:ilvl w:val="0"/>
          <w:numId w:val="2"/>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CBEB123" w14:textId="77777777" w:rsidR="008E7846" w:rsidRDefault="00C80137" w:rsidP="00833FAF">
      <w:pPr>
        <w:pStyle w:val="ListBullet"/>
        <w:numPr>
          <w:ilvl w:val="0"/>
          <w:numId w:val="2"/>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CBEB124" w14:textId="77777777" w:rsidR="008E7846" w:rsidRDefault="008E7846" w:rsidP="00833FAF">
      <w:pPr>
        <w:pStyle w:val="ListBullet"/>
        <w:numPr>
          <w:ilvl w:val="0"/>
          <w:numId w:val="2"/>
        </w:numPr>
        <w:ind w:left="357" w:hanging="357"/>
      </w:pPr>
      <w:r>
        <w:t>The work of the TGA is based on applying scientific and clinical expertise to decision-making, to ensure that the benefits to consumers outweigh any risks associated with the use of medicines and medical devices.</w:t>
      </w:r>
    </w:p>
    <w:p w14:paraId="5CBEB125" w14:textId="77777777" w:rsidR="008E7846" w:rsidRDefault="008E7846" w:rsidP="00833FAF">
      <w:pPr>
        <w:pStyle w:val="ListBullet"/>
        <w:numPr>
          <w:ilvl w:val="0"/>
          <w:numId w:val="2"/>
        </w:numPr>
        <w:ind w:left="357" w:hanging="357"/>
      </w:pPr>
      <w:r>
        <w:t>The TGA relies on the public, healthcare professionals and industry to report problems with medicines or medical devices. TGA investigates reports received by it to determine any necessary regulatory action.</w:t>
      </w:r>
    </w:p>
    <w:p w14:paraId="5CBEB126" w14:textId="77777777" w:rsidR="00441C3F" w:rsidRDefault="008E7846" w:rsidP="00833FAF">
      <w:pPr>
        <w:pStyle w:val="ListBullet"/>
        <w:numPr>
          <w:ilvl w:val="0"/>
          <w:numId w:val="2"/>
        </w:numPr>
        <w:ind w:left="357" w:hanging="357"/>
      </w:pPr>
      <w:r>
        <w:t xml:space="preserve">To report a problem with a medicine or medical device, please see the information on </w:t>
      </w:r>
      <w:r w:rsidR="00441C3F">
        <w:t>the TGA website &lt;</w:t>
      </w:r>
      <w:hyperlink r:id="rId10" w:history="1">
        <w:r w:rsidR="00441C3F">
          <w:rPr>
            <w:rStyle w:val="Hyperlink"/>
          </w:rPr>
          <w:t>https://www.tga.gov.au</w:t>
        </w:r>
      </w:hyperlink>
      <w:r w:rsidR="00441C3F">
        <w:t>&gt;.</w:t>
      </w:r>
    </w:p>
    <w:p w14:paraId="5CBEB127" w14:textId="77777777" w:rsidR="008E7846" w:rsidRDefault="008E7846" w:rsidP="00875A6B">
      <w:pPr>
        <w:pStyle w:val="NonTOCHeading2"/>
      </w:pPr>
      <w:r>
        <w:t xml:space="preserve">About </w:t>
      </w:r>
      <w:proofErr w:type="spellStart"/>
      <w:r>
        <w:t>AusPARs</w:t>
      </w:r>
      <w:proofErr w:type="spellEnd"/>
    </w:p>
    <w:p w14:paraId="5CBEB128" w14:textId="77777777" w:rsidR="008E7846" w:rsidRDefault="008E7846" w:rsidP="00833FAF">
      <w:pPr>
        <w:pStyle w:val="ListBullet"/>
        <w:numPr>
          <w:ilvl w:val="0"/>
          <w:numId w:val="2"/>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5CBEB129" w14:textId="77777777" w:rsidR="008E7846" w:rsidRDefault="008E7846" w:rsidP="00833FAF">
      <w:pPr>
        <w:pStyle w:val="ListBullet"/>
        <w:numPr>
          <w:ilvl w:val="0"/>
          <w:numId w:val="2"/>
        </w:numPr>
        <w:ind w:left="357" w:hanging="357"/>
      </w:pPr>
      <w:proofErr w:type="spellStart"/>
      <w:r>
        <w:t>AusPARs</w:t>
      </w:r>
      <w:proofErr w:type="spellEnd"/>
      <w:r>
        <w:t xml:space="preserve"> are prepared and published by the TGA.</w:t>
      </w:r>
    </w:p>
    <w:p w14:paraId="5CBEB12A" w14:textId="77777777" w:rsidR="008E7846" w:rsidRDefault="008E7846" w:rsidP="00833FAF">
      <w:pPr>
        <w:pStyle w:val="ListBullet"/>
        <w:numPr>
          <w:ilvl w:val="0"/>
          <w:numId w:val="2"/>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5CBEB12B" w14:textId="77777777" w:rsidR="008E7846" w:rsidRDefault="008E7846" w:rsidP="00833FAF">
      <w:pPr>
        <w:pStyle w:val="ListBullet"/>
        <w:numPr>
          <w:ilvl w:val="0"/>
          <w:numId w:val="2"/>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5CBEB12C" w14:textId="77777777" w:rsidR="00B452CE" w:rsidRDefault="008E7846" w:rsidP="00833FAF">
      <w:pPr>
        <w:pStyle w:val="ListBullet"/>
        <w:numPr>
          <w:ilvl w:val="0"/>
          <w:numId w:val="2"/>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5CBEB12D" w14:textId="77777777" w:rsidR="00924482" w:rsidRPr="00DF1D7F" w:rsidRDefault="00924482" w:rsidP="00F54B65">
      <w:pPr>
        <w:pStyle w:val="LegalSubheading"/>
        <w:spacing w:before="3120"/>
      </w:pPr>
      <w:r w:rsidRPr="00DF1D7F">
        <w:t>Copyright</w:t>
      </w:r>
    </w:p>
    <w:p w14:paraId="5CBEB12E" w14:textId="5EA7AE9F" w:rsidR="00924482" w:rsidRDefault="00924482" w:rsidP="00924482">
      <w:pPr>
        <w:pStyle w:val="LegalCopy"/>
      </w:pPr>
      <w:r w:rsidRPr="00191B3B">
        <w:rPr>
          <w:rFonts w:cs="Arial"/>
          <w:lang w:val="en-GB"/>
        </w:rPr>
        <w:t>© Comm</w:t>
      </w:r>
      <w:r>
        <w:rPr>
          <w:rFonts w:cs="Arial"/>
          <w:lang w:val="en-GB"/>
        </w:rPr>
        <w:t>onwealth of Australia 201</w:t>
      </w:r>
      <w:r w:rsidR="008D4AD1">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5CBEB12F"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5CBEB130" w14:textId="77777777" w:rsidR="0089635C" w:rsidRPr="00F8652A" w:rsidRDefault="0089635C" w:rsidP="0010788A">
          <w:pPr>
            <w:pStyle w:val="Contents"/>
            <w:rPr>
              <w:sz w:val="46"/>
              <w:szCs w:val="46"/>
            </w:rPr>
          </w:pPr>
          <w:r w:rsidRPr="00F8652A">
            <w:rPr>
              <w:sz w:val="46"/>
              <w:szCs w:val="46"/>
            </w:rPr>
            <w:t>Contents</w:t>
          </w:r>
        </w:p>
        <w:p w14:paraId="12566BF9" w14:textId="77777777" w:rsidR="00F8652A" w:rsidRDefault="00F8652A">
          <w:pPr>
            <w:pStyle w:val="TOC2"/>
            <w:rPr>
              <w:rFonts w:asciiTheme="minorHAnsi" w:eastAsiaTheme="minorEastAsia" w:hAnsiTheme="minorHAnsi" w:cstheme="minorBidi"/>
              <w:b w:val="0"/>
              <w:noProof/>
              <w:sz w:val="22"/>
              <w:lang w:eastAsia="en-AU"/>
            </w:rPr>
          </w:pPr>
          <w:r>
            <w:rPr>
              <w:b w:val="0"/>
            </w:rPr>
            <w:fldChar w:fldCharType="begin"/>
          </w:r>
          <w:r>
            <w:rPr>
              <w:b w:val="0"/>
            </w:rPr>
            <w:instrText xml:space="preserve"> TOC \o "1-3" \h \z \u </w:instrText>
          </w:r>
          <w:r>
            <w:rPr>
              <w:b w:val="0"/>
            </w:rPr>
            <w:fldChar w:fldCharType="separate"/>
          </w:r>
          <w:hyperlink w:anchor="_Toc517786122" w:history="1">
            <w:r w:rsidRPr="0030476F">
              <w:rPr>
                <w:rStyle w:val="Hyperlink"/>
                <w:noProof/>
              </w:rPr>
              <w:t>Common abbreviations</w:t>
            </w:r>
            <w:r>
              <w:rPr>
                <w:noProof/>
                <w:webHidden/>
              </w:rPr>
              <w:tab/>
            </w:r>
            <w:r>
              <w:rPr>
                <w:noProof/>
                <w:webHidden/>
              </w:rPr>
              <w:fldChar w:fldCharType="begin"/>
            </w:r>
            <w:r>
              <w:rPr>
                <w:noProof/>
                <w:webHidden/>
              </w:rPr>
              <w:instrText xml:space="preserve"> PAGEREF _Toc517786122 \h </w:instrText>
            </w:r>
            <w:r>
              <w:rPr>
                <w:noProof/>
                <w:webHidden/>
              </w:rPr>
            </w:r>
            <w:r>
              <w:rPr>
                <w:noProof/>
                <w:webHidden/>
              </w:rPr>
              <w:fldChar w:fldCharType="separate"/>
            </w:r>
            <w:r>
              <w:rPr>
                <w:noProof/>
                <w:webHidden/>
              </w:rPr>
              <w:t>4</w:t>
            </w:r>
            <w:r>
              <w:rPr>
                <w:noProof/>
                <w:webHidden/>
              </w:rPr>
              <w:fldChar w:fldCharType="end"/>
            </w:r>
          </w:hyperlink>
        </w:p>
        <w:p w14:paraId="1878DF6A" w14:textId="77777777" w:rsidR="00F8652A" w:rsidRDefault="00F8652A">
          <w:pPr>
            <w:pStyle w:val="TOC2"/>
            <w:rPr>
              <w:rFonts w:asciiTheme="minorHAnsi" w:eastAsiaTheme="minorEastAsia" w:hAnsiTheme="minorHAnsi" w:cstheme="minorBidi"/>
              <w:b w:val="0"/>
              <w:noProof/>
              <w:sz w:val="22"/>
              <w:lang w:eastAsia="en-AU"/>
            </w:rPr>
          </w:pPr>
          <w:hyperlink w:anchor="_Toc517786123" w:history="1">
            <w:r w:rsidRPr="0030476F">
              <w:rPr>
                <w:rStyle w:val="Hyperlink"/>
                <w:noProof/>
              </w:rPr>
              <w:t>I. Introduction to product submission</w:t>
            </w:r>
            <w:r>
              <w:rPr>
                <w:noProof/>
                <w:webHidden/>
              </w:rPr>
              <w:tab/>
            </w:r>
            <w:r>
              <w:rPr>
                <w:noProof/>
                <w:webHidden/>
              </w:rPr>
              <w:fldChar w:fldCharType="begin"/>
            </w:r>
            <w:r>
              <w:rPr>
                <w:noProof/>
                <w:webHidden/>
              </w:rPr>
              <w:instrText xml:space="preserve"> PAGEREF _Toc517786123 \h </w:instrText>
            </w:r>
            <w:r>
              <w:rPr>
                <w:noProof/>
                <w:webHidden/>
              </w:rPr>
            </w:r>
            <w:r>
              <w:rPr>
                <w:noProof/>
                <w:webHidden/>
              </w:rPr>
              <w:fldChar w:fldCharType="separate"/>
            </w:r>
            <w:r>
              <w:rPr>
                <w:noProof/>
                <w:webHidden/>
              </w:rPr>
              <w:t>8</w:t>
            </w:r>
            <w:r>
              <w:rPr>
                <w:noProof/>
                <w:webHidden/>
              </w:rPr>
              <w:fldChar w:fldCharType="end"/>
            </w:r>
          </w:hyperlink>
        </w:p>
        <w:p w14:paraId="701FA292" w14:textId="77777777" w:rsidR="00F8652A" w:rsidRDefault="00F8652A">
          <w:pPr>
            <w:pStyle w:val="TOC3"/>
            <w:rPr>
              <w:rFonts w:asciiTheme="minorHAnsi" w:eastAsiaTheme="minorEastAsia" w:hAnsiTheme="minorHAnsi" w:cstheme="minorBidi"/>
              <w:noProof/>
              <w:lang w:eastAsia="en-AU"/>
            </w:rPr>
          </w:pPr>
          <w:hyperlink w:anchor="_Toc517786124" w:history="1">
            <w:r w:rsidRPr="0030476F">
              <w:rPr>
                <w:rStyle w:val="Hyperlink"/>
                <w:noProof/>
                <w:lang w:eastAsia="en-AU"/>
              </w:rPr>
              <w:t>Submission details</w:t>
            </w:r>
            <w:r>
              <w:rPr>
                <w:noProof/>
                <w:webHidden/>
              </w:rPr>
              <w:tab/>
            </w:r>
            <w:r>
              <w:rPr>
                <w:noProof/>
                <w:webHidden/>
              </w:rPr>
              <w:fldChar w:fldCharType="begin"/>
            </w:r>
            <w:r>
              <w:rPr>
                <w:noProof/>
                <w:webHidden/>
              </w:rPr>
              <w:instrText xml:space="preserve"> PAGEREF _Toc517786124 \h </w:instrText>
            </w:r>
            <w:r>
              <w:rPr>
                <w:noProof/>
                <w:webHidden/>
              </w:rPr>
            </w:r>
            <w:r>
              <w:rPr>
                <w:noProof/>
                <w:webHidden/>
              </w:rPr>
              <w:fldChar w:fldCharType="separate"/>
            </w:r>
            <w:r>
              <w:rPr>
                <w:noProof/>
                <w:webHidden/>
              </w:rPr>
              <w:t>8</w:t>
            </w:r>
            <w:r>
              <w:rPr>
                <w:noProof/>
                <w:webHidden/>
              </w:rPr>
              <w:fldChar w:fldCharType="end"/>
            </w:r>
          </w:hyperlink>
        </w:p>
        <w:p w14:paraId="08ACBCAB" w14:textId="77777777" w:rsidR="00F8652A" w:rsidRDefault="00F8652A">
          <w:pPr>
            <w:pStyle w:val="TOC3"/>
            <w:rPr>
              <w:rFonts w:asciiTheme="minorHAnsi" w:eastAsiaTheme="minorEastAsia" w:hAnsiTheme="minorHAnsi" w:cstheme="minorBidi"/>
              <w:noProof/>
              <w:lang w:eastAsia="en-AU"/>
            </w:rPr>
          </w:pPr>
          <w:hyperlink w:anchor="_Toc517786125" w:history="1">
            <w:r w:rsidRPr="0030476F">
              <w:rPr>
                <w:rStyle w:val="Hyperlink"/>
                <w:noProof/>
              </w:rPr>
              <w:t>Product background</w:t>
            </w:r>
            <w:r>
              <w:rPr>
                <w:noProof/>
                <w:webHidden/>
              </w:rPr>
              <w:tab/>
            </w:r>
            <w:r>
              <w:rPr>
                <w:noProof/>
                <w:webHidden/>
              </w:rPr>
              <w:fldChar w:fldCharType="begin"/>
            </w:r>
            <w:r>
              <w:rPr>
                <w:noProof/>
                <w:webHidden/>
              </w:rPr>
              <w:instrText xml:space="preserve"> PAGEREF _Toc517786125 \h </w:instrText>
            </w:r>
            <w:r>
              <w:rPr>
                <w:noProof/>
                <w:webHidden/>
              </w:rPr>
            </w:r>
            <w:r>
              <w:rPr>
                <w:noProof/>
                <w:webHidden/>
              </w:rPr>
              <w:fldChar w:fldCharType="separate"/>
            </w:r>
            <w:r>
              <w:rPr>
                <w:noProof/>
                <w:webHidden/>
              </w:rPr>
              <w:t>8</w:t>
            </w:r>
            <w:r>
              <w:rPr>
                <w:noProof/>
                <w:webHidden/>
              </w:rPr>
              <w:fldChar w:fldCharType="end"/>
            </w:r>
          </w:hyperlink>
        </w:p>
        <w:p w14:paraId="65CEA8BC" w14:textId="77777777" w:rsidR="00F8652A" w:rsidRDefault="00F8652A">
          <w:pPr>
            <w:pStyle w:val="TOC3"/>
            <w:rPr>
              <w:rFonts w:asciiTheme="minorHAnsi" w:eastAsiaTheme="minorEastAsia" w:hAnsiTheme="minorHAnsi" w:cstheme="minorBidi"/>
              <w:noProof/>
              <w:lang w:eastAsia="en-AU"/>
            </w:rPr>
          </w:pPr>
          <w:hyperlink w:anchor="_Toc517786126" w:history="1">
            <w:r w:rsidRPr="0030476F">
              <w:rPr>
                <w:rStyle w:val="Hyperlink"/>
                <w:noProof/>
              </w:rPr>
              <w:t>Regulatory status</w:t>
            </w:r>
            <w:r>
              <w:rPr>
                <w:noProof/>
                <w:webHidden/>
              </w:rPr>
              <w:tab/>
            </w:r>
            <w:r>
              <w:rPr>
                <w:noProof/>
                <w:webHidden/>
              </w:rPr>
              <w:fldChar w:fldCharType="begin"/>
            </w:r>
            <w:r>
              <w:rPr>
                <w:noProof/>
                <w:webHidden/>
              </w:rPr>
              <w:instrText xml:space="preserve"> PAGEREF _Toc517786126 \h </w:instrText>
            </w:r>
            <w:r>
              <w:rPr>
                <w:noProof/>
                <w:webHidden/>
              </w:rPr>
            </w:r>
            <w:r>
              <w:rPr>
                <w:noProof/>
                <w:webHidden/>
              </w:rPr>
              <w:fldChar w:fldCharType="separate"/>
            </w:r>
            <w:r>
              <w:rPr>
                <w:noProof/>
                <w:webHidden/>
              </w:rPr>
              <w:t>12</w:t>
            </w:r>
            <w:r>
              <w:rPr>
                <w:noProof/>
                <w:webHidden/>
              </w:rPr>
              <w:fldChar w:fldCharType="end"/>
            </w:r>
          </w:hyperlink>
        </w:p>
        <w:p w14:paraId="442C327A" w14:textId="77777777" w:rsidR="00F8652A" w:rsidRDefault="00F8652A">
          <w:pPr>
            <w:pStyle w:val="TOC3"/>
            <w:rPr>
              <w:rFonts w:asciiTheme="minorHAnsi" w:eastAsiaTheme="minorEastAsia" w:hAnsiTheme="minorHAnsi" w:cstheme="minorBidi"/>
              <w:noProof/>
              <w:lang w:eastAsia="en-AU"/>
            </w:rPr>
          </w:pPr>
          <w:hyperlink w:anchor="_Toc517786127" w:history="1">
            <w:r w:rsidRPr="0030476F">
              <w:rPr>
                <w:rStyle w:val="Hyperlink"/>
                <w:noProof/>
              </w:rPr>
              <w:t>Product Information</w:t>
            </w:r>
            <w:r>
              <w:rPr>
                <w:noProof/>
                <w:webHidden/>
              </w:rPr>
              <w:tab/>
            </w:r>
            <w:r>
              <w:rPr>
                <w:noProof/>
                <w:webHidden/>
              </w:rPr>
              <w:fldChar w:fldCharType="begin"/>
            </w:r>
            <w:r>
              <w:rPr>
                <w:noProof/>
                <w:webHidden/>
              </w:rPr>
              <w:instrText xml:space="preserve"> PAGEREF _Toc517786127 \h </w:instrText>
            </w:r>
            <w:r>
              <w:rPr>
                <w:noProof/>
                <w:webHidden/>
              </w:rPr>
            </w:r>
            <w:r>
              <w:rPr>
                <w:noProof/>
                <w:webHidden/>
              </w:rPr>
              <w:fldChar w:fldCharType="separate"/>
            </w:r>
            <w:r>
              <w:rPr>
                <w:noProof/>
                <w:webHidden/>
              </w:rPr>
              <w:t>12</w:t>
            </w:r>
            <w:r>
              <w:rPr>
                <w:noProof/>
                <w:webHidden/>
              </w:rPr>
              <w:fldChar w:fldCharType="end"/>
            </w:r>
          </w:hyperlink>
        </w:p>
        <w:p w14:paraId="6E9947A9" w14:textId="77777777" w:rsidR="00F8652A" w:rsidRDefault="00F8652A">
          <w:pPr>
            <w:pStyle w:val="TOC2"/>
            <w:rPr>
              <w:rFonts w:asciiTheme="minorHAnsi" w:eastAsiaTheme="minorEastAsia" w:hAnsiTheme="minorHAnsi" w:cstheme="minorBidi"/>
              <w:b w:val="0"/>
              <w:noProof/>
              <w:sz w:val="22"/>
              <w:lang w:eastAsia="en-AU"/>
            </w:rPr>
          </w:pPr>
          <w:hyperlink w:anchor="_Toc517786128" w:history="1">
            <w:r w:rsidRPr="0030476F">
              <w:rPr>
                <w:rStyle w:val="Hyperlink"/>
                <w:noProof/>
              </w:rPr>
              <w:t>II. Registration timeline</w:t>
            </w:r>
            <w:r>
              <w:rPr>
                <w:noProof/>
                <w:webHidden/>
              </w:rPr>
              <w:tab/>
            </w:r>
            <w:r>
              <w:rPr>
                <w:noProof/>
                <w:webHidden/>
              </w:rPr>
              <w:fldChar w:fldCharType="begin"/>
            </w:r>
            <w:r>
              <w:rPr>
                <w:noProof/>
                <w:webHidden/>
              </w:rPr>
              <w:instrText xml:space="preserve"> PAGEREF _Toc517786128 \h </w:instrText>
            </w:r>
            <w:r>
              <w:rPr>
                <w:noProof/>
                <w:webHidden/>
              </w:rPr>
            </w:r>
            <w:r>
              <w:rPr>
                <w:noProof/>
                <w:webHidden/>
              </w:rPr>
              <w:fldChar w:fldCharType="separate"/>
            </w:r>
            <w:r>
              <w:rPr>
                <w:noProof/>
                <w:webHidden/>
              </w:rPr>
              <w:t>13</w:t>
            </w:r>
            <w:r>
              <w:rPr>
                <w:noProof/>
                <w:webHidden/>
              </w:rPr>
              <w:fldChar w:fldCharType="end"/>
            </w:r>
          </w:hyperlink>
        </w:p>
        <w:p w14:paraId="095F1A54" w14:textId="77777777" w:rsidR="00F8652A" w:rsidRDefault="00F8652A">
          <w:pPr>
            <w:pStyle w:val="TOC2"/>
            <w:rPr>
              <w:rFonts w:asciiTheme="minorHAnsi" w:eastAsiaTheme="minorEastAsia" w:hAnsiTheme="minorHAnsi" w:cstheme="minorBidi"/>
              <w:b w:val="0"/>
              <w:noProof/>
              <w:sz w:val="22"/>
              <w:lang w:eastAsia="en-AU"/>
            </w:rPr>
          </w:pPr>
          <w:hyperlink w:anchor="_Toc517786129" w:history="1">
            <w:r w:rsidRPr="0030476F">
              <w:rPr>
                <w:rStyle w:val="Hyperlink"/>
                <w:noProof/>
              </w:rPr>
              <w:t>III. Quality findings</w:t>
            </w:r>
            <w:r>
              <w:rPr>
                <w:noProof/>
                <w:webHidden/>
              </w:rPr>
              <w:tab/>
            </w:r>
            <w:r>
              <w:rPr>
                <w:noProof/>
                <w:webHidden/>
              </w:rPr>
              <w:fldChar w:fldCharType="begin"/>
            </w:r>
            <w:r>
              <w:rPr>
                <w:noProof/>
                <w:webHidden/>
              </w:rPr>
              <w:instrText xml:space="preserve"> PAGEREF _Toc517786129 \h </w:instrText>
            </w:r>
            <w:r>
              <w:rPr>
                <w:noProof/>
                <w:webHidden/>
              </w:rPr>
            </w:r>
            <w:r>
              <w:rPr>
                <w:noProof/>
                <w:webHidden/>
              </w:rPr>
              <w:fldChar w:fldCharType="separate"/>
            </w:r>
            <w:r>
              <w:rPr>
                <w:noProof/>
                <w:webHidden/>
              </w:rPr>
              <w:t>13</w:t>
            </w:r>
            <w:r>
              <w:rPr>
                <w:noProof/>
                <w:webHidden/>
              </w:rPr>
              <w:fldChar w:fldCharType="end"/>
            </w:r>
          </w:hyperlink>
        </w:p>
        <w:p w14:paraId="2081CCA1" w14:textId="77777777" w:rsidR="00F8652A" w:rsidRDefault="00F8652A">
          <w:pPr>
            <w:pStyle w:val="TOC3"/>
            <w:rPr>
              <w:rFonts w:asciiTheme="minorHAnsi" w:eastAsiaTheme="minorEastAsia" w:hAnsiTheme="minorHAnsi" w:cstheme="minorBidi"/>
              <w:noProof/>
              <w:lang w:eastAsia="en-AU"/>
            </w:rPr>
          </w:pPr>
          <w:hyperlink w:anchor="_Toc517786130" w:history="1">
            <w:r w:rsidRPr="0030476F">
              <w:rPr>
                <w:rStyle w:val="Hyperlink"/>
                <w:noProof/>
              </w:rPr>
              <w:t>Drug product</w:t>
            </w:r>
            <w:r>
              <w:rPr>
                <w:noProof/>
                <w:webHidden/>
              </w:rPr>
              <w:tab/>
            </w:r>
            <w:r>
              <w:rPr>
                <w:noProof/>
                <w:webHidden/>
              </w:rPr>
              <w:fldChar w:fldCharType="begin"/>
            </w:r>
            <w:r>
              <w:rPr>
                <w:noProof/>
                <w:webHidden/>
              </w:rPr>
              <w:instrText xml:space="preserve"> PAGEREF _Toc517786130 \h </w:instrText>
            </w:r>
            <w:r>
              <w:rPr>
                <w:noProof/>
                <w:webHidden/>
              </w:rPr>
            </w:r>
            <w:r>
              <w:rPr>
                <w:noProof/>
                <w:webHidden/>
              </w:rPr>
              <w:fldChar w:fldCharType="separate"/>
            </w:r>
            <w:r>
              <w:rPr>
                <w:noProof/>
                <w:webHidden/>
              </w:rPr>
              <w:t>13</w:t>
            </w:r>
            <w:r>
              <w:rPr>
                <w:noProof/>
                <w:webHidden/>
              </w:rPr>
              <w:fldChar w:fldCharType="end"/>
            </w:r>
          </w:hyperlink>
        </w:p>
        <w:p w14:paraId="2E93F43C" w14:textId="77777777" w:rsidR="00F8652A" w:rsidRDefault="00F8652A">
          <w:pPr>
            <w:pStyle w:val="TOC2"/>
            <w:rPr>
              <w:rFonts w:asciiTheme="minorHAnsi" w:eastAsiaTheme="minorEastAsia" w:hAnsiTheme="minorHAnsi" w:cstheme="minorBidi"/>
              <w:b w:val="0"/>
              <w:noProof/>
              <w:sz w:val="22"/>
              <w:lang w:eastAsia="en-AU"/>
            </w:rPr>
          </w:pPr>
          <w:hyperlink w:anchor="_Toc517786131" w:history="1">
            <w:r w:rsidRPr="0030476F">
              <w:rPr>
                <w:rStyle w:val="Hyperlink"/>
                <w:noProof/>
              </w:rPr>
              <w:t>IV. Nonclinical findings</w:t>
            </w:r>
            <w:r>
              <w:rPr>
                <w:noProof/>
                <w:webHidden/>
              </w:rPr>
              <w:tab/>
            </w:r>
            <w:r>
              <w:rPr>
                <w:noProof/>
                <w:webHidden/>
              </w:rPr>
              <w:fldChar w:fldCharType="begin"/>
            </w:r>
            <w:r>
              <w:rPr>
                <w:noProof/>
                <w:webHidden/>
              </w:rPr>
              <w:instrText xml:space="preserve"> PAGEREF _Toc517786131 \h </w:instrText>
            </w:r>
            <w:r>
              <w:rPr>
                <w:noProof/>
                <w:webHidden/>
              </w:rPr>
            </w:r>
            <w:r>
              <w:rPr>
                <w:noProof/>
                <w:webHidden/>
              </w:rPr>
              <w:fldChar w:fldCharType="separate"/>
            </w:r>
            <w:r>
              <w:rPr>
                <w:noProof/>
                <w:webHidden/>
              </w:rPr>
              <w:t>14</w:t>
            </w:r>
            <w:r>
              <w:rPr>
                <w:noProof/>
                <w:webHidden/>
              </w:rPr>
              <w:fldChar w:fldCharType="end"/>
            </w:r>
          </w:hyperlink>
        </w:p>
        <w:p w14:paraId="7D0D8107" w14:textId="77777777" w:rsidR="00F8652A" w:rsidRDefault="00F8652A">
          <w:pPr>
            <w:pStyle w:val="TOC2"/>
            <w:rPr>
              <w:rFonts w:asciiTheme="minorHAnsi" w:eastAsiaTheme="minorEastAsia" w:hAnsiTheme="minorHAnsi" w:cstheme="minorBidi"/>
              <w:b w:val="0"/>
              <w:noProof/>
              <w:sz w:val="22"/>
              <w:lang w:eastAsia="en-AU"/>
            </w:rPr>
          </w:pPr>
          <w:hyperlink w:anchor="_Toc517786132" w:history="1">
            <w:r w:rsidRPr="0030476F">
              <w:rPr>
                <w:rStyle w:val="Hyperlink"/>
                <w:noProof/>
              </w:rPr>
              <w:t>V. Clinical findings</w:t>
            </w:r>
            <w:r>
              <w:rPr>
                <w:noProof/>
                <w:webHidden/>
              </w:rPr>
              <w:tab/>
            </w:r>
            <w:r>
              <w:rPr>
                <w:noProof/>
                <w:webHidden/>
              </w:rPr>
              <w:fldChar w:fldCharType="begin"/>
            </w:r>
            <w:r>
              <w:rPr>
                <w:noProof/>
                <w:webHidden/>
              </w:rPr>
              <w:instrText xml:space="preserve"> PAGEREF _Toc517786132 \h </w:instrText>
            </w:r>
            <w:r>
              <w:rPr>
                <w:noProof/>
                <w:webHidden/>
              </w:rPr>
            </w:r>
            <w:r>
              <w:rPr>
                <w:noProof/>
                <w:webHidden/>
              </w:rPr>
              <w:fldChar w:fldCharType="separate"/>
            </w:r>
            <w:r>
              <w:rPr>
                <w:noProof/>
                <w:webHidden/>
              </w:rPr>
              <w:t>14</w:t>
            </w:r>
            <w:r>
              <w:rPr>
                <w:noProof/>
                <w:webHidden/>
              </w:rPr>
              <w:fldChar w:fldCharType="end"/>
            </w:r>
          </w:hyperlink>
        </w:p>
        <w:p w14:paraId="0A1BE494" w14:textId="77777777" w:rsidR="00F8652A" w:rsidRDefault="00F8652A">
          <w:pPr>
            <w:pStyle w:val="TOC3"/>
            <w:rPr>
              <w:rFonts w:asciiTheme="minorHAnsi" w:eastAsiaTheme="minorEastAsia" w:hAnsiTheme="minorHAnsi" w:cstheme="minorBidi"/>
              <w:noProof/>
              <w:lang w:eastAsia="en-AU"/>
            </w:rPr>
          </w:pPr>
          <w:hyperlink w:anchor="_Toc517786133" w:history="1">
            <w:r w:rsidRPr="0030476F">
              <w:rPr>
                <w:rStyle w:val="Hyperlink"/>
                <w:noProof/>
              </w:rPr>
              <w:t>Introduction</w:t>
            </w:r>
            <w:r>
              <w:rPr>
                <w:noProof/>
                <w:webHidden/>
              </w:rPr>
              <w:tab/>
            </w:r>
            <w:r>
              <w:rPr>
                <w:noProof/>
                <w:webHidden/>
              </w:rPr>
              <w:fldChar w:fldCharType="begin"/>
            </w:r>
            <w:r>
              <w:rPr>
                <w:noProof/>
                <w:webHidden/>
              </w:rPr>
              <w:instrText xml:space="preserve"> PAGEREF _Toc517786133 \h </w:instrText>
            </w:r>
            <w:r>
              <w:rPr>
                <w:noProof/>
                <w:webHidden/>
              </w:rPr>
            </w:r>
            <w:r>
              <w:rPr>
                <w:noProof/>
                <w:webHidden/>
              </w:rPr>
              <w:fldChar w:fldCharType="separate"/>
            </w:r>
            <w:r>
              <w:rPr>
                <w:noProof/>
                <w:webHidden/>
              </w:rPr>
              <w:t>14</w:t>
            </w:r>
            <w:r>
              <w:rPr>
                <w:noProof/>
                <w:webHidden/>
              </w:rPr>
              <w:fldChar w:fldCharType="end"/>
            </w:r>
          </w:hyperlink>
        </w:p>
        <w:p w14:paraId="6B1CBEFB" w14:textId="77777777" w:rsidR="00F8652A" w:rsidRDefault="00F8652A">
          <w:pPr>
            <w:pStyle w:val="TOC3"/>
            <w:rPr>
              <w:rFonts w:asciiTheme="minorHAnsi" w:eastAsiaTheme="minorEastAsia" w:hAnsiTheme="minorHAnsi" w:cstheme="minorBidi"/>
              <w:noProof/>
              <w:lang w:eastAsia="en-AU"/>
            </w:rPr>
          </w:pPr>
          <w:hyperlink w:anchor="_Toc517786134" w:history="1">
            <w:r w:rsidRPr="0030476F">
              <w:rPr>
                <w:rStyle w:val="Hyperlink"/>
                <w:noProof/>
              </w:rPr>
              <w:t>Pharmacokinetics</w:t>
            </w:r>
            <w:r>
              <w:rPr>
                <w:noProof/>
                <w:webHidden/>
              </w:rPr>
              <w:tab/>
            </w:r>
            <w:r>
              <w:rPr>
                <w:noProof/>
                <w:webHidden/>
              </w:rPr>
              <w:fldChar w:fldCharType="begin"/>
            </w:r>
            <w:r>
              <w:rPr>
                <w:noProof/>
                <w:webHidden/>
              </w:rPr>
              <w:instrText xml:space="preserve"> PAGEREF _Toc517786134 \h </w:instrText>
            </w:r>
            <w:r>
              <w:rPr>
                <w:noProof/>
                <w:webHidden/>
              </w:rPr>
            </w:r>
            <w:r>
              <w:rPr>
                <w:noProof/>
                <w:webHidden/>
              </w:rPr>
              <w:fldChar w:fldCharType="separate"/>
            </w:r>
            <w:r>
              <w:rPr>
                <w:noProof/>
                <w:webHidden/>
              </w:rPr>
              <w:t>16</w:t>
            </w:r>
            <w:r>
              <w:rPr>
                <w:noProof/>
                <w:webHidden/>
              </w:rPr>
              <w:fldChar w:fldCharType="end"/>
            </w:r>
          </w:hyperlink>
        </w:p>
        <w:p w14:paraId="48D78C62" w14:textId="77777777" w:rsidR="00F8652A" w:rsidRDefault="00F8652A">
          <w:pPr>
            <w:pStyle w:val="TOC3"/>
            <w:rPr>
              <w:rFonts w:asciiTheme="minorHAnsi" w:eastAsiaTheme="minorEastAsia" w:hAnsiTheme="minorHAnsi" w:cstheme="minorBidi"/>
              <w:noProof/>
              <w:lang w:eastAsia="en-AU"/>
            </w:rPr>
          </w:pPr>
          <w:hyperlink w:anchor="_Toc517786135" w:history="1">
            <w:r w:rsidRPr="0030476F">
              <w:rPr>
                <w:rStyle w:val="Hyperlink"/>
                <w:noProof/>
              </w:rPr>
              <w:t>Pharmacodynamics</w:t>
            </w:r>
            <w:r>
              <w:rPr>
                <w:noProof/>
                <w:webHidden/>
              </w:rPr>
              <w:tab/>
            </w:r>
            <w:r>
              <w:rPr>
                <w:noProof/>
                <w:webHidden/>
              </w:rPr>
              <w:fldChar w:fldCharType="begin"/>
            </w:r>
            <w:r>
              <w:rPr>
                <w:noProof/>
                <w:webHidden/>
              </w:rPr>
              <w:instrText xml:space="preserve"> PAGEREF _Toc517786135 \h </w:instrText>
            </w:r>
            <w:r>
              <w:rPr>
                <w:noProof/>
                <w:webHidden/>
              </w:rPr>
            </w:r>
            <w:r>
              <w:rPr>
                <w:noProof/>
                <w:webHidden/>
              </w:rPr>
              <w:fldChar w:fldCharType="separate"/>
            </w:r>
            <w:r>
              <w:rPr>
                <w:noProof/>
                <w:webHidden/>
              </w:rPr>
              <w:t>16</w:t>
            </w:r>
            <w:r>
              <w:rPr>
                <w:noProof/>
                <w:webHidden/>
              </w:rPr>
              <w:fldChar w:fldCharType="end"/>
            </w:r>
          </w:hyperlink>
        </w:p>
        <w:p w14:paraId="10316658" w14:textId="77777777" w:rsidR="00F8652A" w:rsidRDefault="00F8652A">
          <w:pPr>
            <w:pStyle w:val="TOC3"/>
            <w:rPr>
              <w:rFonts w:asciiTheme="minorHAnsi" w:eastAsiaTheme="minorEastAsia" w:hAnsiTheme="minorHAnsi" w:cstheme="minorBidi"/>
              <w:noProof/>
              <w:lang w:eastAsia="en-AU"/>
            </w:rPr>
          </w:pPr>
          <w:hyperlink w:anchor="_Toc517786136" w:history="1">
            <w:r w:rsidRPr="0030476F">
              <w:rPr>
                <w:rStyle w:val="Hyperlink"/>
                <w:noProof/>
              </w:rPr>
              <w:t>Dosage selection for the pivotal studies</w:t>
            </w:r>
            <w:r>
              <w:rPr>
                <w:noProof/>
                <w:webHidden/>
              </w:rPr>
              <w:tab/>
            </w:r>
            <w:r>
              <w:rPr>
                <w:noProof/>
                <w:webHidden/>
              </w:rPr>
              <w:fldChar w:fldCharType="begin"/>
            </w:r>
            <w:r>
              <w:rPr>
                <w:noProof/>
                <w:webHidden/>
              </w:rPr>
              <w:instrText xml:space="preserve"> PAGEREF _Toc517786136 \h </w:instrText>
            </w:r>
            <w:r>
              <w:rPr>
                <w:noProof/>
                <w:webHidden/>
              </w:rPr>
            </w:r>
            <w:r>
              <w:rPr>
                <w:noProof/>
                <w:webHidden/>
              </w:rPr>
              <w:fldChar w:fldCharType="separate"/>
            </w:r>
            <w:r>
              <w:rPr>
                <w:noProof/>
                <w:webHidden/>
              </w:rPr>
              <w:t>16</w:t>
            </w:r>
            <w:r>
              <w:rPr>
                <w:noProof/>
                <w:webHidden/>
              </w:rPr>
              <w:fldChar w:fldCharType="end"/>
            </w:r>
          </w:hyperlink>
        </w:p>
        <w:p w14:paraId="522FF02C" w14:textId="77777777" w:rsidR="00F8652A" w:rsidRDefault="00F8652A">
          <w:pPr>
            <w:pStyle w:val="TOC3"/>
            <w:rPr>
              <w:rFonts w:asciiTheme="minorHAnsi" w:eastAsiaTheme="minorEastAsia" w:hAnsiTheme="minorHAnsi" w:cstheme="minorBidi"/>
              <w:noProof/>
              <w:lang w:eastAsia="en-AU"/>
            </w:rPr>
          </w:pPr>
          <w:hyperlink w:anchor="_Toc517786137" w:history="1">
            <w:r w:rsidRPr="0030476F">
              <w:rPr>
                <w:rStyle w:val="Hyperlink"/>
                <w:noProof/>
              </w:rPr>
              <w:t>Efficacy</w:t>
            </w:r>
            <w:r>
              <w:rPr>
                <w:noProof/>
                <w:webHidden/>
              </w:rPr>
              <w:tab/>
            </w:r>
            <w:r>
              <w:rPr>
                <w:noProof/>
                <w:webHidden/>
              </w:rPr>
              <w:fldChar w:fldCharType="begin"/>
            </w:r>
            <w:r>
              <w:rPr>
                <w:noProof/>
                <w:webHidden/>
              </w:rPr>
              <w:instrText xml:space="preserve"> PAGEREF _Toc517786137 \h </w:instrText>
            </w:r>
            <w:r>
              <w:rPr>
                <w:noProof/>
                <w:webHidden/>
              </w:rPr>
            </w:r>
            <w:r>
              <w:rPr>
                <w:noProof/>
                <w:webHidden/>
              </w:rPr>
              <w:fldChar w:fldCharType="separate"/>
            </w:r>
            <w:r>
              <w:rPr>
                <w:noProof/>
                <w:webHidden/>
              </w:rPr>
              <w:t>17</w:t>
            </w:r>
            <w:r>
              <w:rPr>
                <w:noProof/>
                <w:webHidden/>
              </w:rPr>
              <w:fldChar w:fldCharType="end"/>
            </w:r>
          </w:hyperlink>
        </w:p>
        <w:p w14:paraId="141D964A" w14:textId="77777777" w:rsidR="00F8652A" w:rsidRDefault="00F8652A">
          <w:pPr>
            <w:pStyle w:val="TOC3"/>
            <w:rPr>
              <w:rFonts w:asciiTheme="minorHAnsi" w:eastAsiaTheme="minorEastAsia" w:hAnsiTheme="minorHAnsi" w:cstheme="minorBidi"/>
              <w:noProof/>
              <w:lang w:eastAsia="en-AU"/>
            </w:rPr>
          </w:pPr>
          <w:hyperlink w:anchor="_Toc517786138" w:history="1">
            <w:r w:rsidRPr="0030476F">
              <w:rPr>
                <w:rStyle w:val="Hyperlink"/>
                <w:noProof/>
              </w:rPr>
              <w:t>Safety</w:t>
            </w:r>
            <w:r>
              <w:rPr>
                <w:noProof/>
                <w:webHidden/>
              </w:rPr>
              <w:tab/>
            </w:r>
            <w:r>
              <w:rPr>
                <w:noProof/>
                <w:webHidden/>
              </w:rPr>
              <w:fldChar w:fldCharType="begin"/>
            </w:r>
            <w:r>
              <w:rPr>
                <w:noProof/>
                <w:webHidden/>
              </w:rPr>
              <w:instrText xml:space="preserve"> PAGEREF _Toc517786138 \h </w:instrText>
            </w:r>
            <w:r>
              <w:rPr>
                <w:noProof/>
                <w:webHidden/>
              </w:rPr>
            </w:r>
            <w:r>
              <w:rPr>
                <w:noProof/>
                <w:webHidden/>
              </w:rPr>
              <w:fldChar w:fldCharType="separate"/>
            </w:r>
            <w:r>
              <w:rPr>
                <w:noProof/>
                <w:webHidden/>
              </w:rPr>
              <w:t>18</w:t>
            </w:r>
            <w:r>
              <w:rPr>
                <w:noProof/>
                <w:webHidden/>
              </w:rPr>
              <w:fldChar w:fldCharType="end"/>
            </w:r>
          </w:hyperlink>
        </w:p>
        <w:p w14:paraId="4E1B413D" w14:textId="77777777" w:rsidR="00F8652A" w:rsidRDefault="00F8652A">
          <w:pPr>
            <w:pStyle w:val="TOC3"/>
            <w:rPr>
              <w:rFonts w:asciiTheme="minorHAnsi" w:eastAsiaTheme="minorEastAsia" w:hAnsiTheme="minorHAnsi" w:cstheme="minorBidi"/>
              <w:noProof/>
              <w:lang w:eastAsia="en-AU"/>
            </w:rPr>
          </w:pPr>
          <w:hyperlink w:anchor="_Toc517786139" w:history="1">
            <w:r w:rsidRPr="0030476F">
              <w:rPr>
                <w:rStyle w:val="Hyperlink"/>
                <w:noProof/>
              </w:rPr>
              <w:t>First Round Benefit-Risk Assessment</w:t>
            </w:r>
            <w:r>
              <w:rPr>
                <w:noProof/>
                <w:webHidden/>
              </w:rPr>
              <w:tab/>
            </w:r>
            <w:r>
              <w:rPr>
                <w:noProof/>
                <w:webHidden/>
              </w:rPr>
              <w:fldChar w:fldCharType="begin"/>
            </w:r>
            <w:r>
              <w:rPr>
                <w:noProof/>
                <w:webHidden/>
              </w:rPr>
              <w:instrText xml:space="preserve"> PAGEREF _Toc517786139 \h </w:instrText>
            </w:r>
            <w:r>
              <w:rPr>
                <w:noProof/>
                <w:webHidden/>
              </w:rPr>
            </w:r>
            <w:r>
              <w:rPr>
                <w:noProof/>
                <w:webHidden/>
              </w:rPr>
              <w:fldChar w:fldCharType="separate"/>
            </w:r>
            <w:r>
              <w:rPr>
                <w:noProof/>
                <w:webHidden/>
              </w:rPr>
              <w:t>22</w:t>
            </w:r>
            <w:r>
              <w:rPr>
                <w:noProof/>
                <w:webHidden/>
              </w:rPr>
              <w:fldChar w:fldCharType="end"/>
            </w:r>
          </w:hyperlink>
        </w:p>
        <w:p w14:paraId="06A2AF62" w14:textId="77777777" w:rsidR="00F8652A" w:rsidRDefault="00F8652A">
          <w:pPr>
            <w:pStyle w:val="TOC3"/>
            <w:rPr>
              <w:rFonts w:asciiTheme="minorHAnsi" w:eastAsiaTheme="minorEastAsia" w:hAnsiTheme="minorHAnsi" w:cstheme="minorBidi"/>
              <w:noProof/>
              <w:lang w:eastAsia="en-AU"/>
            </w:rPr>
          </w:pPr>
          <w:hyperlink w:anchor="_Toc517786140" w:history="1">
            <w:r w:rsidRPr="0030476F">
              <w:rPr>
                <w:rStyle w:val="Hyperlink"/>
                <w:noProof/>
              </w:rPr>
              <w:t>First Round Recommendation Regarding Authorisation</w:t>
            </w:r>
            <w:r>
              <w:rPr>
                <w:noProof/>
                <w:webHidden/>
              </w:rPr>
              <w:tab/>
            </w:r>
            <w:r>
              <w:rPr>
                <w:noProof/>
                <w:webHidden/>
              </w:rPr>
              <w:fldChar w:fldCharType="begin"/>
            </w:r>
            <w:r>
              <w:rPr>
                <w:noProof/>
                <w:webHidden/>
              </w:rPr>
              <w:instrText xml:space="preserve"> PAGEREF _Toc517786140 \h </w:instrText>
            </w:r>
            <w:r>
              <w:rPr>
                <w:noProof/>
                <w:webHidden/>
              </w:rPr>
            </w:r>
            <w:r>
              <w:rPr>
                <w:noProof/>
                <w:webHidden/>
              </w:rPr>
              <w:fldChar w:fldCharType="separate"/>
            </w:r>
            <w:r>
              <w:rPr>
                <w:noProof/>
                <w:webHidden/>
              </w:rPr>
              <w:t>23</w:t>
            </w:r>
            <w:r>
              <w:rPr>
                <w:noProof/>
                <w:webHidden/>
              </w:rPr>
              <w:fldChar w:fldCharType="end"/>
            </w:r>
          </w:hyperlink>
        </w:p>
        <w:p w14:paraId="2A2EFD7F" w14:textId="77777777" w:rsidR="00F8652A" w:rsidRDefault="00F8652A">
          <w:pPr>
            <w:pStyle w:val="TOC3"/>
            <w:rPr>
              <w:rFonts w:asciiTheme="minorHAnsi" w:eastAsiaTheme="minorEastAsia" w:hAnsiTheme="minorHAnsi" w:cstheme="minorBidi"/>
              <w:noProof/>
              <w:lang w:eastAsia="en-AU"/>
            </w:rPr>
          </w:pPr>
          <w:hyperlink w:anchor="_Toc517786141" w:history="1">
            <w:r w:rsidRPr="0030476F">
              <w:rPr>
                <w:rStyle w:val="Hyperlink"/>
                <w:noProof/>
              </w:rPr>
              <w:t>First round recommendation regarding authorisation</w:t>
            </w:r>
            <w:r>
              <w:rPr>
                <w:noProof/>
                <w:webHidden/>
              </w:rPr>
              <w:tab/>
            </w:r>
            <w:r>
              <w:rPr>
                <w:noProof/>
                <w:webHidden/>
              </w:rPr>
              <w:fldChar w:fldCharType="begin"/>
            </w:r>
            <w:r>
              <w:rPr>
                <w:noProof/>
                <w:webHidden/>
              </w:rPr>
              <w:instrText xml:space="preserve"> PAGEREF _Toc517786141 \h </w:instrText>
            </w:r>
            <w:r>
              <w:rPr>
                <w:noProof/>
                <w:webHidden/>
              </w:rPr>
            </w:r>
            <w:r>
              <w:rPr>
                <w:noProof/>
                <w:webHidden/>
              </w:rPr>
              <w:fldChar w:fldCharType="separate"/>
            </w:r>
            <w:r>
              <w:rPr>
                <w:noProof/>
                <w:webHidden/>
              </w:rPr>
              <w:t>23</w:t>
            </w:r>
            <w:r>
              <w:rPr>
                <w:noProof/>
                <w:webHidden/>
              </w:rPr>
              <w:fldChar w:fldCharType="end"/>
            </w:r>
          </w:hyperlink>
        </w:p>
        <w:p w14:paraId="67BFC222" w14:textId="77777777" w:rsidR="00F8652A" w:rsidRDefault="00F8652A">
          <w:pPr>
            <w:pStyle w:val="TOC3"/>
            <w:rPr>
              <w:rFonts w:asciiTheme="minorHAnsi" w:eastAsiaTheme="minorEastAsia" w:hAnsiTheme="minorHAnsi" w:cstheme="minorBidi"/>
              <w:noProof/>
              <w:lang w:eastAsia="en-AU"/>
            </w:rPr>
          </w:pPr>
          <w:hyperlink w:anchor="_Toc517786142" w:history="1">
            <w:r w:rsidRPr="0030476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_Toc517786142 \h </w:instrText>
            </w:r>
            <w:r>
              <w:rPr>
                <w:noProof/>
                <w:webHidden/>
              </w:rPr>
            </w:r>
            <w:r>
              <w:rPr>
                <w:noProof/>
                <w:webHidden/>
              </w:rPr>
              <w:fldChar w:fldCharType="separate"/>
            </w:r>
            <w:r>
              <w:rPr>
                <w:noProof/>
                <w:webHidden/>
              </w:rPr>
              <w:t>23</w:t>
            </w:r>
            <w:r>
              <w:rPr>
                <w:noProof/>
                <w:webHidden/>
              </w:rPr>
              <w:fldChar w:fldCharType="end"/>
            </w:r>
          </w:hyperlink>
        </w:p>
        <w:p w14:paraId="428779C1" w14:textId="77777777" w:rsidR="00F8652A" w:rsidRDefault="00F8652A">
          <w:pPr>
            <w:pStyle w:val="TOC3"/>
            <w:rPr>
              <w:rFonts w:asciiTheme="minorHAnsi" w:eastAsiaTheme="minorEastAsia" w:hAnsiTheme="minorHAnsi" w:cstheme="minorBidi"/>
              <w:noProof/>
              <w:lang w:eastAsia="en-AU"/>
            </w:rPr>
          </w:pPr>
          <w:hyperlink w:anchor="_Toc517786143" w:history="1">
            <w:r w:rsidRPr="0030476F">
              <w:rPr>
                <w:rStyle w:val="Hyperlink"/>
                <w:noProof/>
              </w:rPr>
              <w:t>Second Round Benefit-Risk Assessment</w:t>
            </w:r>
            <w:r>
              <w:rPr>
                <w:noProof/>
                <w:webHidden/>
              </w:rPr>
              <w:tab/>
            </w:r>
            <w:r>
              <w:rPr>
                <w:noProof/>
                <w:webHidden/>
              </w:rPr>
              <w:fldChar w:fldCharType="begin"/>
            </w:r>
            <w:r>
              <w:rPr>
                <w:noProof/>
                <w:webHidden/>
              </w:rPr>
              <w:instrText xml:space="preserve"> PAGEREF _Toc517786143 \h </w:instrText>
            </w:r>
            <w:r>
              <w:rPr>
                <w:noProof/>
                <w:webHidden/>
              </w:rPr>
            </w:r>
            <w:r>
              <w:rPr>
                <w:noProof/>
                <w:webHidden/>
              </w:rPr>
              <w:fldChar w:fldCharType="separate"/>
            </w:r>
            <w:r>
              <w:rPr>
                <w:noProof/>
                <w:webHidden/>
              </w:rPr>
              <w:t>24</w:t>
            </w:r>
            <w:r>
              <w:rPr>
                <w:noProof/>
                <w:webHidden/>
              </w:rPr>
              <w:fldChar w:fldCharType="end"/>
            </w:r>
          </w:hyperlink>
        </w:p>
        <w:p w14:paraId="6256AE10" w14:textId="77777777" w:rsidR="00F8652A" w:rsidRDefault="00F8652A">
          <w:pPr>
            <w:pStyle w:val="TOC3"/>
            <w:rPr>
              <w:rFonts w:asciiTheme="minorHAnsi" w:eastAsiaTheme="minorEastAsia" w:hAnsiTheme="minorHAnsi" w:cstheme="minorBidi"/>
              <w:noProof/>
              <w:lang w:eastAsia="en-AU"/>
            </w:rPr>
          </w:pPr>
          <w:hyperlink w:anchor="_Toc517786144" w:history="1">
            <w:r w:rsidRPr="0030476F">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_Toc517786144 \h </w:instrText>
            </w:r>
            <w:r>
              <w:rPr>
                <w:noProof/>
                <w:webHidden/>
              </w:rPr>
            </w:r>
            <w:r>
              <w:rPr>
                <w:noProof/>
                <w:webHidden/>
              </w:rPr>
              <w:fldChar w:fldCharType="separate"/>
            </w:r>
            <w:r>
              <w:rPr>
                <w:noProof/>
                <w:webHidden/>
              </w:rPr>
              <w:t>24</w:t>
            </w:r>
            <w:r>
              <w:rPr>
                <w:noProof/>
                <w:webHidden/>
              </w:rPr>
              <w:fldChar w:fldCharType="end"/>
            </w:r>
          </w:hyperlink>
        </w:p>
        <w:p w14:paraId="32608A8F" w14:textId="77777777" w:rsidR="00F8652A" w:rsidRDefault="00F8652A">
          <w:pPr>
            <w:pStyle w:val="TOC2"/>
            <w:rPr>
              <w:rFonts w:asciiTheme="minorHAnsi" w:eastAsiaTheme="minorEastAsia" w:hAnsiTheme="minorHAnsi" w:cstheme="minorBidi"/>
              <w:b w:val="0"/>
              <w:noProof/>
              <w:sz w:val="22"/>
              <w:lang w:eastAsia="en-AU"/>
            </w:rPr>
          </w:pPr>
          <w:hyperlink w:anchor="_Toc517786145" w:history="1">
            <w:r w:rsidRPr="0030476F">
              <w:rPr>
                <w:rStyle w:val="Hyperlink"/>
                <w:noProof/>
              </w:rPr>
              <w:t>VI. Pharmacovigilance findings</w:t>
            </w:r>
            <w:r>
              <w:rPr>
                <w:noProof/>
                <w:webHidden/>
              </w:rPr>
              <w:tab/>
            </w:r>
            <w:r>
              <w:rPr>
                <w:noProof/>
                <w:webHidden/>
              </w:rPr>
              <w:fldChar w:fldCharType="begin"/>
            </w:r>
            <w:r>
              <w:rPr>
                <w:noProof/>
                <w:webHidden/>
              </w:rPr>
              <w:instrText xml:space="preserve"> PAGEREF _Toc517786145 \h </w:instrText>
            </w:r>
            <w:r>
              <w:rPr>
                <w:noProof/>
                <w:webHidden/>
              </w:rPr>
            </w:r>
            <w:r>
              <w:rPr>
                <w:noProof/>
                <w:webHidden/>
              </w:rPr>
              <w:fldChar w:fldCharType="separate"/>
            </w:r>
            <w:r>
              <w:rPr>
                <w:noProof/>
                <w:webHidden/>
              </w:rPr>
              <w:t>24</w:t>
            </w:r>
            <w:r>
              <w:rPr>
                <w:noProof/>
                <w:webHidden/>
              </w:rPr>
              <w:fldChar w:fldCharType="end"/>
            </w:r>
          </w:hyperlink>
        </w:p>
        <w:p w14:paraId="3CB05542" w14:textId="77777777" w:rsidR="00F8652A" w:rsidRDefault="00F8652A">
          <w:pPr>
            <w:pStyle w:val="TOC3"/>
            <w:rPr>
              <w:rFonts w:asciiTheme="minorHAnsi" w:eastAsiaTheme="minorEastAsia" w:hAnsiTheme="minorHAnsi" w:cstheme="minorBidi"/>
              <w:noProof/>
              <w:lang w:eastAsia="en-AU"/>
            </w:rPr>
          </w:pPr>
          <w:hyperlink w:anchor="_Toc517786146" w:history="1">
            <w:r w:rsidRPr="0030476F">
              <w:rPr>
                <w:rStyle w:val="Hyperlink"/>
                <w:noProof/>
                <w:lang w:eastAsia="en-AU"/>
              </w:rPr>
              <w:t>Risk management plan</w:t>
            </w:r>
            <w:r>
              <w:rPr>
                <w:noProof/>
                <w:webHidden/>
              </w:rPr>
              <w:tab/>
            </w:r>
            <w:r>
              <w:rPr>
                <w:noProof/>
                <w:webHidden/>
              </w:rPr>
              <w:fldChar w:fldCharType="begin"/>
            </w:r>
            <w:r>
              <w:rPr>
                <w:noProof/>
                <w:webHidden/>
              </w:rPr>
              <w:instrText xml:space="preserve"> PAGEREF _Toc517786146 \h </w:instrText>
            </w:r>
            <w:r>
              <w:rPr>
                <w:noProof/>
                <w:webHidden/>
              </w:rPr>
            </w:r>
            <w:r>
              <w:rPr>
                <w:noProof/>
                <w:webHidden/>
              </w:rPr>
              <w:fldChar w:fldCharType="separate"/>
            </w:r>
            <w:r>
              <w:rPr>
                <w:noProof/>
                <w:webHidden/>
              </w:rPr>
              <w:t>24</w:t>
            </w:r>
            <w:r>
              <w:rPr>
                <w:noProof/>
                <w:webHidden/>
              </w:rPr>
              <w:fldChar w:fldCharType="end"/>
            </w:r>
          </w:hyperlink>
        </w:p>
        <w:p w14:paraId="53C39F7D" w14:textId="77777777" w:rsidR="00F8652A" w:rsidRDefault="00F8652A">
          <w:pPr>
            <w:pStyle w:val="TOC2"/>
            <w:rPr>
              <w:rFonts w:asciiTheme="minorHAnsi" w:eastAsiaTheme="minorEastAsia" w:hAnsiTheme="minorHAnsi" w:cstheme="minorBidi"/>
              <w:b w:val="0"/>
              <w:noProof/>
              <w:sz w:val="22"/>
              <w:lang w:eastAsia="en-AU"/>
            </w:rPr>
          </w:pPr>
          <w:hyperlink w:anchor="_Toc517786147" w:history="1">
            <w:r w:rsidRPr="0030476F">
              <w:rPr>
                <w:rStyle w:val="Hyperlink"/>
                <w:noProof/>
              </w:rPr>
              <w:t>VII. Overall conclusion and risk/benefit assessment</w:t>
            </w:r>
            <w:r>
              <w:rPr>
                <w:noProof/>
                <w:webHidden/>
              </w:rPr>
              <w:tab/>
            </w:r>
            <w:r>
              <w:rPr>
                <w:noProof/>
                <w:webHidden/>
              </w:rPr>
              <w:fldChar w:fldCharType="begin"/>
            </w:r>
            <w:r>
              <w:rPr>
                <w:noProof/>
                <w:webHidden/>
              </w:rPr>
              <w:instrText xml:space="preserve"> PAGEREF _Toc517786147 \h </w:instrText>
            </w:r>
            <w:r>
              <w:rPr>
                <w:noProof/>
                <w:webHidden/>
              </w:rPr>
            </w:r>
            <w:r>
              <w:rPr>
                <w:noProof/>
                <w:webHidden/>
              </w:rPr>
              <w:fldChar w:fldCharType="separate"/>
            </w:r>
            <w:r>
              <w:rPr>
                <w:noProof/>
                <w:webHidden/>
              </w:rPr>
              <w:t>27</w:t>
            </w:r>
            <w:r>
              <w:rPr>
                <w:noProof/>
                <w:webHidden/>
              </w:rPr>
              <w:fldChar w:fldCharType="end"/>
            </w:r>
          </w:hyperlink>
        </w:p>
        <w:p w14:paraId="12CA6870" w14:textId="77777777" w:rsidR="00F8652A" w:rsidRDefault="00F8652A">
          <w:pPr>
            <w:pStyle w:val="TOC3"/>
            <w:rPr>
              <w:rFonts w:asciiTheme="minorHAnsi" w:eastAsiaTheme="minorEastAsia" w:hAnsiTheme="minorHAnsi" w:cstheme="minorBidi"/>
              <w:noProof/>
              <w:lang w:eastAsia="en-AU"/>
            </w:rPr>
          </w:pPr>
          <w:hyperlink w:anchor="_Toc517786148" w:history="1">
            <w:r w:rsidRPr="0030476F">
              <w:rPr>
                <w:rStyle w:val="Hyperlink"/>
                <w:noProof/>
              </w:rPr>
              <w:t>Quality</w:t>
            </w:r>
            <w:r>
              <w:rPr>
                <w:noProof/>
                <w:webHidden/>
              </w:rPr>
              <w:tab/>
            </w:r>
            <w:r>
              <w:rPr>
                <w:noProof/>
                <w:webHidden/>
              </w:rPr>
              <w:fldChar w:fldCharType="begin"/>
            </w:r>
            <w:r>
              <w:rPr>
                <w:noProof/>
                <w:webHidden/>
              </w:rPr>
              <w:instrText xml:space="preserve"> PAGEREF _Toc517786148 \h </w:instrText>
            </w:r>
            <w:r>
              <w:rPr>
                <w:noProof/>
                <w:webHidden/>
              </w:rPr>
            </w:r>
            <w:r>
              <w:rPr>
                <w:noProof/>
                <w:webHidden/>
              </w:rPr>
              <w:fldChar w:fldCharType="separate"/>
            </w:r>
            <w:r>
              <w:rPr>
                <w:noProof/>
                <w:webHidden/>
              </w:rPr>
              <w:t>27</w:t>
            </w:r>
            <w:r>
              <w:rPr>
                <w:noProof/>
                <w:webHidden/>
              </w:rPr>
              <w:fldChar w:fldCharType="end"/>
            </w:r>
          </w:hyperlink>
        </w:p>
        <w:p w14:paraId="7A1544FC" w14:textId="77777777" w:rsidR="00F8652A" w:rsidRDefault="00F8652A">
          <w:pPr>
            <w:pStyle w:val="TOC3"/>
            <w:rPr>
              <w:rFonts w:asciiTheme="minorHAnsi" w:eastAsiaTheme="minorEastAsia" w:hAnsiTheme="minorHAnsi" w:cstheme="minorBidi"/>
              <w:noProof/>
              <w:lang w:eastAsia="en-AU"/>
            </w:rPr>
          </w:pPr>
          <w:hyperlink w:anchor="_Toc517786149" w:history="1">
            <w:r w:rsidRPr="0030476F">
              <w:rPr>
                <w:rStyle w:val="Hyperlink"/>
                <w:noProof/>
              </w:rPr>
              <w:t>Nonclinical</w:t>
            </w:r>
            <w:r>
              <w:rPr>
                <w:noProof/>
                <w:webHidden/>
              </w:rPr>
              <w:tab/>
            </w:r>
            <w:r>
              <w:rPr>
                <w:noProof/>
                <w:webHidden/>
              </w:rPr>
              <w:fldChar w:fldCharType="begin"/>
            </w:r>
            <w:r>
              <w:rPr>
                <w:noProof/>
                <w:webHidden/>
              </w:rPr>
              <w:instrText xml:space="preserve"> PAGEREF _Toc517786149 \h </w:instrText>
            </w:r>
            <w:r>
              <w:rPr>
                <w:noProof/>
                <w:webHidden/>
              </w:rPr>
            </w:r>
            <w:r>
              <w:rPr>
                <w:noProof/>
                <w:webHidden/>
              </w:rPr>
              <w:fldChar w:fldCharType="separate"/>
            </w:r>
            <w:r>
              <w:rPr>
                <w:noProof/>
                <w:webHidden/>
              </w:rPr>
              <w:t>27</w:t>
            </w:r>
            <w:r>
              <w:rPr>
                <w:noProof/>
                <w:webHidden/>
              </w:rPr>
              <w:fldChar w:fldCharType="end"/>
            </w:r>
          </w:hyperlink>
        </w:p>
        <w:p w14:paraId="1D046F82" w14:textId="77777777" w:rsidR="00F8652A" w:rsidRDefault="00F8652A">
          <w:pPr>
            <w:pStyle w:val="TOC3"/>
            <w:rPr>
              <w:rFonts w:asciiTheme="minorHAnsi" w:eastAsiaTheme="minorEastAsia" w:hAnsiTheme="minorHAnsi" w:cstheme="minorBidi"/>
              <w:noProof/>
              <w:lang w:eastAsia="en-AU"/>
            </w:rPr>
          </w:pPr>
          <w:hyperlink w:anchor="_Toc517786150" w:history="1">
            <w:r w:rsidRPr="0030476F">
              <w:rPr>
                <w:rStyle w:val="Hyperlink"/>
                <w:noProof/>
              </w:rPr>
              <w:t>Clinical</w:t>
            </w:r>
            <w:r>
              <w:rPr>
                <w:noProof/>
                <w:webHidden/>
              </w:rPr>
              <w:tab/>
            </w:r>
            <w:r>
              <w:rPr>
                <w:noProof/>
                <w:webHidden/>
              </w:rPr>
              <w:fldChar w:fldCharType="begin"/>
            </w:r>
            <w:r>
              <w:rPr>
                <w:noProof/>
                <w:webHidden/>
              </w:rPr>
              <w:instrText xml:space="preserve"> PAGEREF _Toc517786150 \h </w:instrText>
            </w:r>
            <w:r>
              <w:rPr>
                <w:noProof/>
                <w:webHidden/>
              </w:rPr>
            </w:r>
            <w:r>
              <w:rPr>
                <w:noProof/>
                <w:webHidden/>
              </w:rPr>
              <w:fldChar w:fldCharType="separate"/>
            </w:r>
            <w:r>
              <w:rPr>
                <w:noProof/>
                <w:webHidden/>
              </w:rPr>
              <w:t>27</w:t>
            </w:r>
            <w:r>
              <w:rPr>
                <w:noProof/>
                <w:webHidden/>
              </w:rPr>
              <w:fldChar w:fldCharType="end"/>
            </w:r>
          </w:hyperlink>
        </w:p>
        <w:p w14:paraId="4E36A0B9" w14:textId="77777777" w:rsidR="00F8652A" w:rsidRDefault="00F8652A">
          <w:pPr>
            <w:pStyle w:val="TOC3"/>
            <w:rPr>
              <w:rFonts w:asciiTheme="minorHAnsi" w:eastAsiaTheme="minorEastAsia" w:hAnsiTheme="minorHAnsi" w:cstheme="minorBidi"/>
              <w:noProof/>
              <w:lang w:eastAsia="en-AU"/>
            </w:rPr>
          </w:pPr>
          <w:hyperlink w:anchor="_Toc517786151" w:history="1">
            <w:r w:rsidRPr="0030476F">
              <w:rPr>
                <w:rStyle w:val="Hyperlink"/>
                <w:noProof/>
                <w:lang w:eastAsia="en-AU"/>
              </w:rPr>
              <w:t>Risk management plan</w:t>
            </w:r>
            <w:r>
              <w:rPr>
                <w:noProof/>
                <w:webHidden/>
              </w:rPr>
              <w:tab/>
            </w:r>
            <w:r>
              <w:rPr>
                <w:noProof/>
                <w:webHidden/>
              </w:rPr>
              <w:fldChar w:fldCharType="begin"/>
            </w:r>
            <w:r>
              <w:rPr>
                <w:noProof/>
                <w:webHidden/>
              </w:rPr>
              <w:instrText xml:space="preserve"> PAGEREF _Toc517786151 \h </w:instrText>
            </w:r>
            <w:r>
              <w:rPr>
                <w:noProof/>
                <w:webHidden/>
              </w:rPr>
            </w:r>
            <w:r>
              <w:rPr>
                <w:noProof/>
                <w:webHidden/>
              </w:rPr>
              <w:fldChar w:fldCharType="separate"/>
            </w:r>
            <w:r>
              <w:rPr>
                <w:noProof/>
                <w:webHidden/>
              </w:rPr>
              <w:t>39</w:t>
            </w:r>
            <w:r>
              <w:rPr>
                <w:noProof/>
                <w:webHidden/>
              </w:rPr>
              <w:fldChar w:fldCharType="end"/>
            </w:r>
          </w:hyperlink>
        </w:p>
        <w:p w14:paraId="20C0B286" w14:textId="77777777" w:rsidR="00F8652A" w:rsidRDefault="00F8652A">
          <w:pPr>
            <w:pStyle w:val="TOC3"/>
            <w:rPr>
              <w:rFonts w:asciiTheme="minorHAnsi" w:eastAsiaTheme="minorEastAsia" w:hAnsiTheme="minorHAnsi" w:cstheme="minorBidi"/>
              <w:noProof/>
              <w:lang w:eastAsia="en-AU"/>
            </w:rPr>
          </w:pPr>
          <w:hyperlink w:anchor="_Toc517786152" w:history="1">
            <w:r w:rsidRPr="0030476F">
              <w:rPr>
                <w:rStyle w:val="Hyperlink"/>
                <w:noProof/>
              </w:rPr>
              <w:t>Risk-benefit analysis</w:t>
            </w:r>
            <w:r>
              <w:rPr>
                <w:noProof/>
                <w:webHidden/>
              </w:rPr>
              <w:tab/>
            </w:r>
            <w:r>
              <w:rPr>
                <w:noProof/>
                <w:webHidden/>
              </w:rPr>
              <w:fldChar w:fldCharType="begin"/>
            </w:r>
            <w:r>
              <w:rPr>
                <w:noProof/>
                <w:webHidden/>
              </w:rPr>
              <w:instrText xml:space="preserve"> PAGEREF _Toc517786152 \h </w:instrText>
            </w:r>
            <w:r>
              <w:rPr>
                <w:noProof/>
                <w:webHidden/>
              </w:rPr>
            </w:r>
            <w:r>
              <w:rPr>
                <w:noProof/>
                <w:webHidden/>
              </w:rPr>
              <w:fldChar w:fldCharType="separate"/>
            </w:r>
            <w:r>
              <w:rPr>
                <w:noProof/>
                <w:webHidden/>
              </w:rPr>
              <w:t>40</w:t>
            </w:r>
            <w:r>
              <w:rPr>
                <w:noProof/>
                <w:webHidden/>
              </w:rPr>
              <w:fldChar w:fldCharType="end"/>
            </w:r>
          </w:hyperlink>
        </w:p>
        <w:p w14:paraId="1B8D85F0" w14:textId="77777777" w:rsidR="00F8652A" w:rsidRDefault="00F8652A">
          <w:pPr>
            <w:pStyle w:val="TOC3"/>
            <w:rPr>
              <w:rFonts w:asciiTheme="minorHAnsi" w:eastAsiaTheme="minorEastAsia" w:hAnsiTheme="minorHAnsi" w:cstheme="minorBidi"/>
              <w:noProof/>
              <w:lang w:eastAsia="en-AU"/>
            </w:rPr>
          </w:pPr>
          <w:hyperlink w:anchor="_Toc517786153" w:history="1">
            <w:r w:rsidRPr="0030476F">
              <w:rPr>
                <w:rStyle w:val="Hyperlink"/>
                <w:noProof/>
              </w:rPr>
              <w:t>Outcome</w:t>
            </w:r>
            <w:r>
              <w:rPr>
                <w:noProof/>
                <w:webHidden/>
              </w:rPr>
              <w:tab/>
            </w:r>
            <w:r>
              <w:rPr>
                <w:noProof/>
                <w:webHidden/>
              </w:rPr>
              <w:fldChar w:fldCharType="begin"/>
            </w:r>
            <w:r>
              <w:rPr>
                <w:noProof/>
                <w:webHidden/>
              </w:rPr>
              <w:instrText xml:space="preserve"> PAGEREF _Toc517786153 \h </w:instrText>
            </w:r>
            <w:r>
              <w:rPr>
                <w:noProof/>
                <w:webHidden/>
              </w:rPr>
            </w:r>
            <w:r>
              <w:rPr>
                <w:noProof/>
                <w:webHidden/>
              </w:rPr>
              <w:fldChar w:fldCharType="separate"/>
            </w:r>
            <w:r>
              <w:rPr>
                <w:noProof/>
                <w:webHidden/>
              </w:rPr>
              <w:t>53</w:t>
            </w:r>
            <w:r>
              <w:rPr>
                <w:noProof/>
                <w:webHidden/>
              </w:rPr>
              <w:fldChar w:fldCharType="end"/>
            </w:r>
          </w:hyperlink>
        </w:p>
        <w:p w14:paraId="1F581810" w14:textId="77777777" w:rsidR="00F8652A" w:rsidRDefault="00F8652A">
          <w:pPr>
            <w:pStyle w:val="TOC2"/>
            <w:rPr>
              <w:rFonts w:asciiTheme="minorHAnsi" w:eastAsiaTheme="minorEastAsia" w:hAnsiTheme="minorHAnsi" w:cstheme="minorBidi"/>
              <w:b w:val="0"/>
              <w:noProof/>
              <w:sz w:val="22"/>
              <w:lang w:eastAsia="en-AU"/>
            </w:rPr>
          </w:pPr>
          <w:hyperlink w:anchor="_Toc517786154" w:history="1">
            <w:r w:rsidRPr="0030476F">
              <w:rPr>
                <w:rStyle w:val="Hyperlink"/>
                <w:noProof/>
              </w:rPr>
              <w:t>Attachment 1. Product Information</w:t>
            </w:r>
            <w:r>
              <w:rPr>
                <w:noProof/>
                <w:webHidden/>
              </w:rPr>
              <w:tab/>
            </w:r>
            <w:r>
              <w:rPr>
                <w:noProof/>
                <w:webHidden/>
              </w:rPr>
              <w:fldChar w:fldCharType="begin"/>
            </w:r>
            <w:r>
              <w:rPr>
                <w:noProof/>
                <w:webHidden/>
              </w:rPr>
              <w:instrText xml:space="preserve"> PAGEREF _Toc517786154 \h </w:instrText>
            </w:r>
            <w:r>
              <w:rPr>
                <w:noProof/>
                <w:webHidden/>
              </w:rPr>
            </w:r>
            <w:r>
              <w:rPr>
                <w:noProof/>
                <w:webHidden/>
              </w:rPr>
              <w:fldChar w:fldCharType="separate"/>
            </w:r>
            <w:r>
              <w:rPr>
                <w:noProof/>
                <w:webHidden/>
              </w:rPr>
              <w:t>53</w:t>
            </w:r>
            <w:r>
              <w:rPr>
                <w:noProof/>
                <w:webHidden/>
              </w:rPr>
              <w:fldChar w:fldCharType="end"/>
            </w:r>
          </w:hyperlink>
        </w:p>
        <w:p w14:paraId="119FE96B" w14:textId="77777777" w:rsidR="00F8652A" w:rsidRDefault="00F8652A">
          <w:pPr>
            <w:pStyle w:val="TOC2"/>
            <w:rPr>
              <w:rFonts w:asciiTheme="minorHAnsi" w:eastAsiaTheme="minorEastAsia" w:hAnsiTheme="minorHAnsi" w:cstheme="minorBidi"/>
              <w:b w:val="0"/>
              <w:noProof/>
              <w:sz w:val="22"/>
              <w:lang w:eastAsia="en-AU"/>
            </w:rPr>
          </w:pPr>
          <w:hyperlink w:anchor="_Toc517786155" w:history="1">
            <w:r w:rsidRPr="0030476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_Toc517786155 \h </w:instrText>
            </w:r>
            <w:r>
              <w:rPr>
                <w:noProof/>
                <w:webHidden/>
              </w:rPr>
            </w:r>
            <w:r>
              <w:rPr>
                <w:noProof/>
                <w:webHidden/>
              </w:rPr>
              <w:fldChar w:fldCharType="separate"/>
            </w:r>
            <w:r>
              <w:rPr>
                <w:noProof/>
                <w:webHidden/>
              </w:rPr>
              <w:t>53</w:t>
            </w:r>
            <w:r>
              <w:rPr>
                <w:noProof/>
                <w:webHidden/>
              </w:rPr>
              <w:fldChar w:fldCharType="end"/>
            </w:r>
          </w:hyperlink>
        </w:p>
        <w:p w14:paraId="5CBEB153" w14:textId="7A34913A" w:rsidR="003A7F6C" w:rsidRPr="00B811C6" w:rsidRDefault="00F8652A" w:rsidP="00F8652A">
          <w:r>
            <w:rPr>
              <w:rFonts w:asciiTheme="majorHAnsi" w:hAnsiTheme="majorHAnsi"/>
              <w:b/>
              <w:sz w:val="24"/>
            </w:rPr>
            <w:fldChar w:fldCharType="end"/>
          </w:r>
        </w:p>
      </w:sdtContent>
    </w:sdt>
    <w:bookmarkStart w:id="2" w:name="_Toc314842482" w:displacedByCustomXml="prev"/>
    <w:p w14:paraId="5CBEB155"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517786122"/>
      <w:r>
        <w:lastRenderedPageBreak/>
        <w:t>Common</w:t>
      </w:r>
      <w:r w:rsidR="00FD119B" w:rsidRPr="00FD119B">
        <w:t xml:space="preserve"> abbreviations</w:t>
      </w:r>
      <w:bookmarkEnd w:id="3"/>
      <w:bookmarkEnd w:id="4"/>
      <w:bookmarkEnd w:id="5"/>
      <w:bookmarkEnd w:id="6"/>
      <w:bookmarkEnd w:id="7"/>
    </w:p>
    <w:tbl>
      <w:tblPr>
        <w:tblStyle w:val="TableTGAblue"/>
        <w:tblW w:w="0" w:type="auto"/>
        <w:tblLayout w:type="fixed"/>
        <w:tblLook w:val="04A0" w:firstRow="1" w:lastRow="0" w:firstColumn="1" w:lastColumn="0" w:noHBand="0" w:noVBand="1"/>
        <w:tblDescription w:val="Common abbreviations"/>
      </w:tblPr>
      <w:tblGrid>
        <w:gridCol w:w="2376"/>
        <w:gridCol w:w="6344"/>
      </w:tblGrid>
      <w:tr w:rsidR="00FD119B" w:rsidRPr="00FD119B" w14:paraId="5CBEB158" w14:textId="77777777" w:rsidTr="00A0219D">
        <w:trPr>
          <w:cnfStyle w:val="100000000000" w:firstRow="1" w:lastRow="0" w:firstColumn="0" w:lastColumn="0" w:oddVBand="0" w:evenVBand="0" w:oddHBand="0" w:evenHBand="0" w:firstRowFirstColumn="0" w:firstRowLastColumn="0" w:lastRowFirstColumn="0" w:lastRowLastColumn="0"/>
        </w:trPr>
        <w:tc>
          <w:tcPr>
            <w:tcW w:w="2376" w:type="dxa"/>
          </w:tcPr>
          <w:p w14:paraId="5CBEB156"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344" w:type="dxa"/>
          </w:tcPr>
          <w:p w14:paraId="5CBEB157" w14:textId="77777777" w:rsidR="00FD119B" w:rsidRPr="00FD119B" w:rsidRDefault="00FD119B" w:rsidP="00FD119B">
            <w:pPr>
              <w:keepNext w:val="0"/>
              <w:ind w:left="0" w:right="0"/>
              <w:rPr>
                <w:szCs w:val="22"/>
                <w:lang w:eastAsia="en-US"/>
              </w:rPr>
            </w:pPr>
            <w:r w:rsidRPr="00FD119B">
              <w:rPr>
                <w:szCs w:val="22"/>
                <w:lang w:eastAsia="en-US"/>
              </w:rPr>
              <w:t>Meaning</w:t>
            </w:r>
          </w:p>
        </w:tc>
      </w:tr>
      <w:tr w:rsidR="00A0219D" w:rsidRPr="006318D3" w14:paraId="5CBEB15B" w14:textId="77777777" w:rsidTr="00A0219D">
        <w:tc>
          <w:tcPr>
            <w:tcW w:w="2376" w:type="dxa"/>
          </w:tcPr>
          <w:p w14:paraId="5CBEB159" w14:textId="77777777" w:rsidR="00A0219D" w:rsidRPr="006318D3" w:rsidRDefault="00A0219D" w:rsidP="00A0219D">
            <w:pPr>
              <w:rPr>
                <w:lang w:eastAsia="ja-JP"/>
              </w:rPr>
            </w:pPr>
            <w:r w:rsidRPr="006318D3">
              <w:rPr>
                <w:lang w:eastAsia="ja-JP"/>
              </w:rPr>
              <w:t xml:space="preserve">ADA </w:t>
            </w:r>
          </w:p>
        </w:tc>
        <w:tc>
          <w:tcPr>
            <w:tcW w:w="6344" w:type="dxa"/>
          </w:tcPr>
          <w:p w14:paraId="5CBEB15A" w14:textId="77777777" w:rsidR="00A0219D" w:rsidRPr="006318D3" w:rsidRDefault="00A0219D" w:rsidP="00A0219D">
            <w:pPr>
              <w:rPr>
                <w:lang w:eastAsia="ja-JP"/>
              </w:rPr>
            </w:pPr>
            <w:r w:rsidRPr="006318D3">
              <w:rPr>
                <w:lang w:eastAsia="ja-JP"/>
              </w:rPr>
              <w:t>Anti-drug antibody</w:t>
            </w:r>
          </w:p>
        </w:tc>
      </w:tr>
      <w:tr w:rsidR="00A0219D" w:rsidRPr="006318D3" w14:paraId="5CBEB15E" w14:textId="77777777" w:rsidTr="00A0219D">
        <w:tc>
          <w:tcPr>
            <w:tcW w:w="2376" w:type="dxa"/>
          </w:tcPr>
          <w:p w14:paraId="5CBEB15C" w14:textId="77777777" w:rsidR="00A0219D" w:rsidRPr="006318D3" w:rsidRDefault="00A0219D" w:rsidP="00A0219D">
            <w:pPr>
              <w:rPr>
                <w:lang w:eastAsia="ja-JP"/>
              </w:rPr>
            </w:pPr>
            <w:r w:rsidRPr="006318D3">
              <w:rPr>
                <w:lang w:eastAsia="ja-JP"/>
              </w:rPr>
              <w:t xml:space="preserve">AE </w:t>
            </w:r>
          </w:p>
        </w:tc>
        <w:tc>
          <w:tcPr>
            <w:tcW w:w="6344" w:type="dxa"/>
          </w:tcPr>
          <w:p w14:paraId="5CBEB15D" w14:textId="77777777" w:rsidR="00A0219D" w:rsidRPr="006318D3" w:rsidRDefault="00A0219D" w:rsidP="00A0219D">
            <w:pPr>
              <w:rPr>
                <w:lang w:eastAsia="ja-JP"/>
              </w:rPr>
            </w:pPr>
            <w:r w:rsidRPr="006318D3">
              <w:rPr>
                <w:lang w:eastAsia="ja-JP"/>
              </w:rPr>
              <w:t>Adverse event</w:t>
            </w:r>
          </w:p>
        </w:tc>
      </w:tr>
      <w:tr w:rsidR="00A0219D" w:rsidRPr="006318D3" w14:paraId="5CBEB161" w14:textId="77777777" w:rsidTr="00A0219D">
        <w:tc>
          <w:tcPr>
            <w:tcW w:w="2376" w:type="dxa"/>
          </w:tcPr>
          <w:p w14:paraId="5CBEB15F" w14:textId="77777777" w:rsidR="00A0219D" w:rsidRPr="006318D3" w:rsidRDefault="00A0219D" w:rsidP="00A0219D">
            <w:pPr>
              <w:rPr>
                <w:lang w:eastAsia="ja-JP"/>
              </w:rPr>
            </w:pPr>
            <w:r w:rsidRPr="006318D3">
              <w:rPr>
                <w:lang w:eastAsia="ja-JP"/>
              </w:rPr>
              <w:t xml:space="preserve">AEOSI </w:t>
            </w:r>
          </w:p>
        </w:tc>
        <w:tc>
          <w:tcPr>
            <w:tcW w:w="6344" w:type="dxa"/>
          </w:tcPr>
          <w:p w14:paraId="5CBEB160" w14:textId="77777777" w:rsidR="00A0219D" w:rsidRPr="006318D3" w:rsidRDefault="00A0219D" w:rsidP="00A0219D">
            <w:pPr>
              <w:rPr>
                <w:lang w:eastAsia="ja-JP"/>
              </w:rPr>
            </w:pPr>
            <w:r w:rsidRPr="006318D3">
              <w:rPr>
                <w:lang w:eastAsia="ja-JP"/>
              </w:rPr>
              <w:t>Adverse event of special interest (also called ESI)</w:t>
            </w:r>
          </w:p>
        </w:tc>
      </w:tr>
      <w:tr w:rsidR="00A0219D" w:rsidRPr="006318D3" w14:paraId="5CBEB164" w14:textId="77777777" w:rsidTr="00A0219D">
        <w:tc>
          <w:tcPr>
            <w:tcW w:w="2376" w:type="dxa"/>
          </w:tcPr>
          <w:p w14:paraId="5CBEB162" w14:textId="77777777" w:rsidR="00A0219D" w:rsidRPr="006318D3" w:rsidRDefault="00A0219D" w:rsidP="00A0219D">
            <w:pPr>
              <w:rPr>
                <w:lang w:eastAsia="ja-JP"/>
              </w:rPr>
            </w:pPr>
            <w:r w:rsidRPr="006318D3">
              <w:rPr>
                <w:lang w:eastAsia="ja-JP"/>
              </w:rPr>
              <w:t xml:space="preserve">ALP </w:t>
            </w:r>
          </w:p>
        </w:tc>
        <w:tc>
          <w:tcPr>
            <w:tcW w:w="6344" w:type="dxa"/>
          </w:tcPr>
          <w:p w14:paraId="5CBEB163" w14:textId="77777777" w:rsidR="00A0219D" w:rsidRPr="006318D3" w:rsidRDefault="00A0219D" w:rsidP="00A0219D">
            <w:pPr>
              <w:rPr>
                <w:lang w:eastAsia="ja-JP"/>
              </w:rPr>
            </w:pPr>
            <w:r w:rsidRPr="006318D3">
              <w:rPr>
                <w:lang w:eastAsia="ja-JP"/>
              </w:rPr>
              <w:t>alkaline phosphatase</w:t>
            </w:r>
          </w:p>
        </w:tc>
      </w:tr>
      <w:tr w:rsidR="00A0219D" w:rsidRPr="006318D3" w14:paraId="5CBEB167" w14:textId="77777777" w:rsidTr="00A0219D">
        <w:tc>
          <w:tcPr>
            <w:tcW w:w="2376" w:type="dxa"/>
          </w:tcPr>
          <w:p w14:paraId="5CBEB165" w14:textId="77777777" w:rsidR="00A0219D" w:rsidRPr="006318D3" w:rsidRDefault="00A0219D" w:rsidP="00A0219D">
            <w:pPr>
              <w:rPr>
                <w:lang w:eastAsia="ja-JP"/>
              </w:rPr>
            </w:pPr>
            <w:r w:rsidRPr="006318D3">
              <w:rPr>
                <w:lang w:eastAsia="ja-JP"/>
              </w:rPr>
              <w:t xml:space="preserve">ALT </w:t>
            </w:r>
          </w:p>
        </w:tc>
        <w:tc>
          <w:tcPr>
            <w:tcW w:w="6344" w:type="dxa"/>
          </w:tcPr>
          <w:p w14:paraId="5CBEB166" w14:textId="77777777" w:rsidR="00A0219D" w:rsidRPr="006318D3" w:rsidRDefault="00A0219D" w:rsidP="00A0219D">
            <w:pPr>
              <w:rPr>
                <w:lang w:eastAsia="ja-JP"/>
              </w:rPr>
            </w:pPr>
            <w:r w:rsidRPr="006318D3">
              <w:rPr>
                <w:lang w:eastAsia="ja-JP"/>
              </w:rPr>
              <w:t>Alanine aminotransferase</w:t>
            </w:r>
          </w:p>
        </w:tc>
      </w:tr>
      <w:tr w:rsidR="00A0219D" w:rsidRPr="006318D3" w14:paraId="5CBEB16A" w14:textId="77777777" w:rsidTr="00A0219D">
        <w:tc>
          <w:tcPr>
            <w:tcW w:w="2376" w:type="dxa"/>
          </w:tcPr>
          <w:p w14:paraId="5CBEB168" w14:textId="77777777" w:rsidR="00A0219D" w:rsidRPr="006318D3" w:rsidRDefault="00A0219D" w:rsidP="00A0219D">
            <w:pPr>
              <w:rPr>
                <w:lang w:eastAsia="ja-JP"/>
              </w:rPr>
            </w:pPr>
            <w:r w:rsidRPr="006318D3">
              <w:rPr>
                <w:lang w:eastAsia="ja-JP"/>
              </w:rPr>
              <w:t xml:space="preserve">AN </w:t>
            </w:r>
          </w:p>
        </w:tc>
        <w:tc>
          <w:tcPr>
            <w:tcW w:w="6344" w:type="dxa"/>
          </w:tcPr>
          <w:p w14:paraId="5CBEB169" w14:textId="77777777" w:rsidR="00A0219D" w:rsidRPr="006318D3" w:rsidRDefault="00A0219D" w:rsidP="00A0219D">
            <w:pPr>
              <w:rPr>
                <w:lang w:eastAsia="ja-JP"/>
              </w:rPr>
            </w:pPr>
            <w:r w:rsidRPr="006318D3">
              <w:rPr>
                <w:lang w:eastAsia="ja-JP"/>
              </w:rPr>
              <w:t>allocation number</w:t>
            </w:r>
          </w:p>
        </w:tc>
      </w:tr>
      <w:tr w:rsidR="00A0219D" w:rsidRPr="006318D3" w14:paraId="5CBEB16D" w14:textId="77777777" w:rsidTr="00A0219D">
        <w:tc>
          <w:tcPr>
            <w:tcW w:w="2376" w:type="dxa"/>
          </w:tcPr>
          <w:p w14:paraId="5CBEB16B" w14:textId="77777777" w:rsidR="00A0219D" w:rsidRPr="006318D3" w:rsidRDefault="00A0219D" w:rsidP="00A0219D">
            <w:pPr>
              <w:rPr>
                <w:lang w:eastAsia="ja-JP"/>
              </w:rPr>
            </w:pPr>
            <w:proofErr w:type="spellStart"/>
            <w:r w:rsidRPr="006318D3">
              <w:rPr>
                <w:lang w:eastAsia="ja-JP"/>
              </w:rPr>
              <w:t>APaT</w:t>
            </w:r>
            <w:proofErr w:type="spellEnd"/>
          </w:p>
        </w:tc>
        <w:tc>
          <w:tcPr>
            <w:tcW w:w="6344" w:type="dxa"/>
          </w:tcPr>
          <w:p w14:paraId="5CBEB16C" w14:textId="77777777" w:rsidR="00A0219D" w:rsidRPr="006318D3" w:rsidRDefault="00A0219D" w:rsidP="00A0219D">
            <w:pPr>
              <w:rPr>
                <w:lang w:eastAsia="ja-JP"/>
              </w:rPr>
            </w:pPr>
            <w:r w:rsidRPr="006318D3">
              <w:rPr>
                <w:lang w:eastAsia="ja-JP"/>
              </w:rPr>
              <w:t>All patients as treated</w:t>
            </w:r>
          </w:p>
        </w:tc>
      </w:tr>
      <w:tr w:rsidR="00A0219D" w:rsidRPr="006318D3" w14:paraId="5CBEB170" w14:textId="77777777" w:rsidTr="00A0219D">
        <w:tc>
          <w:tcPr>
            <w:tcW w:w="2376" w:type="dxa"/>
          </w:tcPr>
          <w:p w14:paraId="5CBEB16E" w14:textId="77777777" w:rsidR="00A0219D" w:rsidRPr="006318D3" w:rsidRDefault="00A0219D" w:rsidP="00A0219D">
            <w:pPr>
              <w:rPr>
                <w:lang w:eastAsia="ja-JP"/>
              </w:rPr>
            </w:pPr>
            <w:proofErr w:type="spellStart"/>
            <w:r w:rsidRPr="006318D3">
              <w:rPr>
                <w:lang w:eastAsia="ja-JP"/>
              </w:rPr>
              <w:t>ASaT</w:t>
            </w:r>
            <w:proofErr w:type="spellEnd"/>
            <w:r w:rsidRPr="006318D3">
              <w:rPr>
                <w:lang w:eastAsia="ja-JP"/>
              </w:rPr>
              <w:t xml:space="preserve"> </w:t>
            </w:r>
          </w:p>
        </w:tc>
        <w:tc>
          <w:tcPr>
            <w:tcW w:w="6344" w:type="dxa"/>
          </w:tcPr>
          <w:p w14:paraId="5CBEB16F" w14:textId="77777777" w:rsidR="00A0219D" w:rsidRPr="006318D3" w:rsidRDefault="00A0219D" w:rsidP="00A0219D">
            <w:pPr>
              <w:rPr>
                <w:lang w:eastAsia="ja-JP"/>
              </w:rPr>
            </w:pPr>
            <w:r w:rsidRPr="006318D3">
              <w:rPr>
                <w:lang w:eastAsia="ja-JP"/>
              </w:rPr>
              <w:t>All subjects as treated</w:t>
            </w:r>
          </w:p>
        </w:tc>
      </w:tr>
      <w:tr w:rsidR="00A0219D" w:rsidRPr="006318D3" w14:paraId="5CBEB173" w14:textId="77777777" w:rsidTr="00A0219D">
        <w:tc>
          <w:tcPr>
            <w:tcW w:w="2376" w:type="dxa"/>
          </w:tcPr>
          <w:p w14:paraId="5CBEB171" w14:textId="77777777" w:rsidR="00A0219D" w:rsidRPr="006318D3" w:rsidRDefault="00A0219D" w:rsidP="00A0219D">
            <w:pPr>
              <w:rPr>
                <w:lang w:eastAsia="ja-JP"/>
              </w:rPr>
            </w:pPr>
            <w:r w:rsidRPr="006318D3">
              <w:rPr>
                <w:lang w:eastAsia="ja-JP"/>
              </w:rPr>
              <w:t xml:space="preserve">AST </w:t>
            </w:r>
          </w:p>
        </w:tc>
        <w:tc>
          <w:tcPr>
            <w:tcW w:w="6344" w:type="dxa"/>
          </w:tcPr>
          <w:p w14:paraId="5CBEB172" w14:textId="77777777" w:rsidR="00A0219D" w:rsidRPr="006318D3" w:rsidRDefault="00A0219D" w:rsidP="00A0219D">
            <w:pPr>
              <w:rPr>
                <w:lang w:eastAsia="ja-JP"/>
              </w:rPr>
            </w:pPr>
            <w:r w:rsidRPr="006318D3">
              <w:rPr>
                <w:lang w:eastAsia="ja-JP"/>
              </w:rPr>
              <w:t>Aspartate aminotransferase</w:t>
            </w:r>
          </w:p>
        </w:tc>
      </w:tr>
      <w:tr w:rsidR="00A0219D" w:rsidRPr="006318D3" w14:paraId="5CBEB176" w14:textId="77777777" w:rsidTr="00A0219D">
        <w:tc>
          <w:tcPr>
            <w:tcW w:w="2376" w:type="dxa"/>
          </w:tcPr>
          <w:p w14:paraId="5CBEB174" w14:textId="77777777" w:rsidR="00A0219D" w:rsidRPr="006318D3" w:rsidRDefault="00A0219D" w:rsidP="00F6157E">
            <w:pPr>
              <w:rPr>
                <w:lang w:eastAsia="ja-JP"/>
              </w:rPr>
            </w:pPr>
            <w:r w:rsidRPr="006318D3">
              <w:rPr>
                <w:lang w:eastAsia="ja-JP"/>
              </w:rPr>
              <w:t>ASCT</w:t>
            </w:r>
          </w:p>
        </w:tc>
        <w:tc>
          <w:tcPr>
            <w:tcW w:w="6344" w:type="dxa"/>
          </w:tcPr>
          <w:p w14:paraId="5CBEB175" w14:textId="77777777" w:rsidR="00A0219D" w:rsidRPr="006318D3" w:rsidRDefault="00A0219D" w:rsidP="00A0219D">
            <w:pPr>
              <w:rPr>
                <w:lang w:eastAsia="ja-JP"/>
              </w:rPr>
            </w:pPr>
            <w:r w:rsidRPr="006318D3">
              <w:rPr>
                <w:lang w:eastAsia="ja-JP"/>
              </w:rPr>
              <w:t>autologous stem cell transplantation</w:t>
            </w:r>
          </w:p>
        </w:tc>
      </w:tr>
      <w:tr w:rsidR="00A0219D" w:rsidRPr="006318D3" w14:paraId="5CBEB179" w14:textId="77777777" w:rsidTr="00A0219D">
        <w:tc>
          <w:tcPr>
            <w:tcW w:w="2376" w:type="dxa"/>
          </w:tcPr>
          <w:p w14:paraId="5CBEB177" w14:textId="77777777" w:rsidR="00A0219D" w:rsidRPr="006318D3" w:rsidRDefault="00A0219D" w:rsidP="00A0219D">
            <w:pPr>
              <w:rPr>
                <w:lang w:eastAsia="ja-JP"/>
              </w:rPr>
            </w:pPr>
            <w:r w:rsidRPr="006318D3">
              <w:rPr>
                <w:lang w:eastAsia="ja-JP"/>
              </w:rPr>
              <w:t xml:space="preserve">BICR </w:t>
            </w:r>
          </w:p>
        </w:tc>
        <w:tc>
          <w:tcPr>
            <w:tcW w:w="6344" w:type="dxa"/>
          </w:tcPr>
          <w:p w14:paraId="5CBEB178" w14:textId="77777777" w:rsidR="00A0219D" w:rsidRPr="006318D3" w:rsidRDefault="00A0219D" w:rsidP="00A0219D">
            <w:pPr>
              <w:rPr>
                <w:lang w:eastAsia="ja-JP"/>
              </w:rPr>
            </w:pPr>
            <w:r w:rsidRPr="006318D3">
              <w:rPr>
                <w:lang w:eastAsia="ja-JP"/>
              </w:rPr>
              <w:t>Blinded, independent central review</w:t>
            </w:r>
          </w:p>
        </w:tc>
      </w:tr>
      <w:tr w:rsidR="00A0219D" w:rsidRPr="006318D3" w14:paraId="5CBEB17C" w14:textId="77777777" w:rsidTr="00A0219D">
        <w:tc>
          <w:tcPr>
            <w:tcW w:w="2376" w:type="dxa"/>
          </w:tcPr>
          <w:p w14:paraId="5CBEB17A" w14:textId="77777777" w:rsidR="00A0219D" w:rsidRPr="006318D3" w:rsidRDefault="00A0219D" w:rsidP="00A0219D">
            <w:pPr>
              <w:rPr>
                <w:lang w:eastAsia="ja-JP"/>
              </w:rPr>
            </w:pPr>
            <w:r w:rsidRPr="006318D3">
              <w:rPr>
                <w:lang w:eastAsia="ja-JP"/>
              </w:rPr>
              <w:t xml:space="preserve">BV </w:t>
            </w:r>
          </w:p>
        </w:tc>
        <w:tc>
          <w:tcPr>
            <w:tcW w:w="6344" w:type="dxa"/>
          </w:tcPr>
          <w:p w14:paraId="5CBEB17B" w14:textId="77777777" w:rsidR="00A0219D" w:rsidRPr="006318D3" w:rsidRDefault="00A0219D" w:rsidP="00A0219D">
            <w:pPr>
              <w:rPr>
                <w:lang w:eastAsia="ja-JP"/>
              </w:rPr>
            </w:pPr>
            <w:proofErr w:type="spellStart"/>
            <w:r w:rsidRPr="006318D3">
              <w:rPr>
                <w:lang w:eastAsia="ja-JP"/>
              </w:rPr>
              <w:t>brentuximab</w:t>
            </w:r>
            <w:proofErr w:type="spellEnd"/>
            <w:r w:rsidRPr="006318D3">
              <w:rPr>
                <w:lang w:eastAsia="ja-JP"/>
              </w:rPr>
              <w:t xml:space="preserve"> </w:t>
            </w:r>
            <w:proofErr w:type="spellStart"/>
            <w:r w:rsidRPr="006318D3">
              <w:rPr>
                <w:lang w:eastAsia="ja-JP"/>
              </w:rPr>
              <w:t>vedotin</w:t>
            </w:r>
            <w:proofErr w:type="spellEnd"/>
          </w:p>
        </w:tc>
      </w:tr>
      <w:tr w:rsidR="00A0219D" w:rsidRPr="006318D3" w14:paraId="5CBEB17F" w14:textId="77777777" w:rsidTr="00A0219D">
        <w:tc>
          <w:tcPr>
            <w:tcW w:w="2376" w:type="dxa"/>
          </w:tcPr>
          <w:p w14:paraId="5CBEB17D" w14:textId="77777777" w:rsidR="00A0219D" w:rsidRPr="006318D3" w:rsidRDefault="00A0219D" w:rsidP="00A0219D">
            <w:pPr>
              <w:rPr>
                <w:lang w:eastAsia="ja-JP"/>
              </w:rPr>
            </w:pPr>
            <w:proofErr w:type="spellStart"/>
            <w:r w:rsidRPr="006318D3">
              <w:rPr>
                <w:lang w:eastAsia="ja-JP"/>
              </w:rPr>
              <w:t>cHL</w:t>
            </w:r>
            <w:proofErr w:type="spellEnd"/>
            <w:r w:rsidRPr="006318D3">
              <w:rPr>
                <w:lang w:eastAsia="ja-JP"/>
              </w:rPr>
              <w:t xml:space="preserve"> </w:t>
            </w:r>
          </w:p>
        </w:tc>
        <w:tc>
          <w:tcPr>
            <w:tcW w:w="6344" w:type="dxa"/>
          </w:tcPr>
          <w:p w14:paraId="5CBEB17E" w14:textId="77777777" w:rsidR="00A0219D" w:rsidRPr="006318D3" w:rsidRDefault="00A0219D" w:rsidP="00A0219D">
            <w:pPr>
              <w:rPr>
                <w:lang w:eastAsia="ja-JP"/>
              </w:rPr>
            </w:pPr>
            <w:r w:rsidRPr="006318D3">
              <w:rPr>
                <w:lang w:eastAsia="ja-JP"/>
              </w:rPr>
              <w:t>classical Hodgkin lymphoma</w:t>
            </w:r>
          </w:p>
        </w:tc>
      </w:tr>
      <w:tr w:rsidR="00A0219D" w:rsidRPr="006318D3" w14:paraId="5CBEB182" w14:textId="77777777" w:rsidTr="00A0219D">
        <w:tc>
          <w:tcPr>
            <w:tcW w:w="2376" w:type="dxa"/>
          </w:tcPr>
          <w:p w14:paraId="5CBEB180" w14:textId="77777777" w:rsidR="00A0219D" w:rsidRPr="006318D3" w:rsidRDefault="00A0219D" w:rsidP="00A0219D">
            <w:pPr>
              <w:rPr>
                <w:lang w:eastAsia="ja-JP"/>
              </w:rPr>
            </w:pPr>
            <w:r w:rsidRPr="006318D3">
              <w:rPr>
                <w:lang w:eastAsia="ja-JP"/>
              </w:rPr>
              <w:t xml:space="preserve">CI </w:t>
            </w:r>
          </w:p>
        </w:tc>
        <w:tc>
          <w:tcPr>
            <w:tcW w:w="6344" w:type="dxa"/>
          </w:tcPr>
          <w:p w14:paraId="5CBEB181" w14:textId="77777777" w:rsidR="00A0219D" w:rsidRPr="006318D3" w:rsidRDefault="00A0219D" w:rsidP="00A0219D">
            <w:pPr>
              <w:rPr>
                <w:lang w:eastAsia="ja-JP"/>
              </w:rPr>
            </w:pPr>
            <w:r w:rsidRPr="006318D3">
              <w:rPr>
                <w:lang w:eastAsia="ja-JP"/>
              </w:rPr>
              <w:t>Confidence interval</w:t>
            </w:r>
          </w:p>
        </w:tc>
      </w:tr>
      <w:tr w:rsidR="00A0219D" w:rsidRPr="006318D3" w14:paraId="5CBEB185" w14:textId="77777777" w:rsidTr="00A0219D">
        <w:tc>
          <w:tcPr>
            <w:tcW w:w="2376" w:type="dxa"/>
          </w:tcPr>
          <w:p w14:paraId="5CBEB183" w14:textId="77777777" w:rsidR="00A0219D" w:rsidRPr="006318D3" w:rsidRDefault="00A0219D" w:rsidP="00A0219D">
            <w:pPr>
              <w:rPr>
                <w:lang w:eastAsia="ja-JP"/>
              </w:rPr>
            </w:pPr>
            <w:r w:rsidRPr="006318D3">
              <w:rPr>
                <w:lang w:eastAsia="ja-JP"/>
              </w:rPr>
              <w:t>CO</w:t>
            </w:r>
          </w:p>
        </w:tc>
        <w:tc>
          <w:tcPr>
            <w:tcW w:w="6344" w:type="dxa"/>
          </w:tcPr>
          <w:p w14:paraId="5CBEB184" w14:textId="77777777" w:rsidR="00A0219D" w:rsidRPr="006318D3" w:rsidRDefault="00A0219D" w:rsidP="00A0219D">
            <w:pPr>
              <w:rPr>
                <w:lang w:eastAsia="ja-JP"/>
              </w:rPr>
            </w:pPr>
            <w:r w:rsidRPr="006318D3">
              <w:rPr>
                <w:lang w:eastAsia="ja-JP"/>
              </w:rPr>
              <w:t>Clinical overview</w:t>
            </w:r>
          </w:p>
        </w:tc>
      </w:tr>
      <w:tr w:rsidR="00A0219D" w:rsidRPr="006318D3" w14:paraId="5CBEB188" w14:textId="77777777" w:rsidTr="00A0219D">
        <w:tc>
          <w:tcPr>
            <w:tcW w:w="2376" w:type="dxa"/>
          </w:tcPr>
          <w:p w14:paraId="5CBEB186" w14:textId="77777777" w:rsidR="00A0219D" w:rsidRPr="006318D3" w:rsidRDefault="00A0219D" w:rsidP="00A0219D">
            <w:pPr>
              <w:rPr>
                <w:lang w:eastAsia="ja-JP"/>
              </w:rPr>
            </w:pPr>
            <w:r w:rsidRPr="006318D3">
              <w:rPr>
                <w:lang w:eastAsia="ja-JP"/>
              </w:rPr>
              <w:t xml:space="preserve">CR </w:t>
            </w:r>
          </w:p>
        </w:tc>
        <w:tc>
          <w:tcPr>
            <w:tcW w:w="6344" w:type="dxa"/>
          </w:tcPr>
          <w:p w14:paraId="5CBEB187" w14:textId="77777777" w:rsidR="00A0219D" w:rsidRPr="006318D3" w:rsidRDefault="00A0219D" w:rsidP="00A0219D">
            <w:pPr>
              <w:rPr>
                <w:lang w:eastAsia="ja-JP"/>
              </w:rPr>
            </w:pPr>
            <w:r w:rsidRPr="006318D3">
              <w:rPr>
                <w:lang w:eastAsia="ja-JP"/>
              </w:rPr>
              <w:t>Complete response or remission</w:t>
            </w:r>
          </w:p>
        </w:tc>
      </w:tr>
      <w:tr w:rsidR="00A0219D" w:rsidRPr="006318D3" w14:paraId="5CBEB18B" w14:textId="77777777" w:rsidTr="00A0219D">
        <w:tc>
          <w:tcPr>
            <w:tcW w:w="2376" w:type="dxa"/>
          </w:tcPr>
          <w:p w14:paraId="5CBEB189" w14:textId="77777777" w:rsidR="00A0219D" w:rsidRPr="006318D3" w:rsidRDefault="00A0219D" w:rsidP="00A0219D">
            <w:pPr>
              <w:rPr>
                <w:lang w:eastAsia="ja-JP"/>
              </w:rPr>
            </w:pPr>
            <w:r w:rsidRPr="006318D3">
              <w:rPr>
                <w:lang w:eastAsia="ja-JP"/>
              </w:rPr>
              <w:t xml:space="preserve">CRR </w:t>
            </w:r>
          </w:p>
        </w:tc>
        <w:tc>
          <w:tcPr>
            <w:tcW w:w="6344" w:type="dxa"/>
          </w:tcPr>
          <w:p w14:paraId="5CBEB18A" w14:textId="77777777" w:rsidR="00A0219D" w:rsidRPr="006318D3" w:rsidRDefault="00A0219D" w:rsidP="00A0219D">
            <w:pPr>
              <w:rPr>
                <w:lang w:eastAsia="ja-JP"/>
              </w:rPr>
            </w:pPr>
            <w:r w:rsidRPr="006318D3">
              <w:rPr>
                <w:lang w:eastAsia="ja-JP"/>
              </w:rPr>
              <w:t>Complete Remission Rate</w:t>
            </w:r>
          </w:p>
        </w:tc>
      </w:tr>
      <w:tr w:rsidR="00A0219D" w:rsidRPr="006318D3" w14:paraId="5CBEB18E" w14:textId="77777777" w:rsidTr="00A0219D">
        <w:tc>
          <w:tcPr>
            <w:tcW w:w="2376" w:type="dxa"/>
          </w:tcPr>
          <w:p w14:paraId="5CBEB18C" w14:textId="77777777" w:rsidR="00A0219D" w:rsidRPr="006318D3" w:rsidRDefault="00A0219D" w:rsidP="00A0219D">
            <w:pPr>
              <w:rPr>
                <w:lang w:eastAsia="ja-JP"/>
              </w:rPr>
            </w:pPr>
            <w:r w:rsidRPr="006318D3">
              <w:rPr>
                <w:lang w:eastAsia="ja-JP"/>
              </w:rPr>
              <w:t xml:space="preserve">CSR </w:t>
            </w:r>
          </w:p>
        </w:tc>
        <w:tc>
          <w:tcPr>
            <w:tcW w:w="6344" w:type="dxa"/>
          </w:tcPr>
          <w:p w14:paraId="5CBEB18D" w14:textId="77777777" w:rsidR="00A0219D" w:rsidRPr="006318D3" w:rsidRDefault="00A0219D" w:rsidP="00A0219D">
            <w:pPr>
              <w:rPr>
                <w:lang w:eastAsia="ja-JP"/>
              </w:rPr>
            </w:pPr>
            <w:r w:rsidRPr="006318D3">
              <w:rPr>
                <w:lang w:eastAsia="ja-JP"/>
              </w:rPr>
              <w:t>Clinical study report</w:t>
            </w:r>
          </w:p>
        </w:tc>
      </w:tr>
      <w:tr w:rsidR="00A0219D" w:rsidRPr="006318D3" w14:paraId="5CBEB191" w14:textId="77777777" w:rsidTr="00A0219D">
        <w:tc>
          <w:tcPr>
            <w:tcW w:w="2376" w:type="dxa"/>
          </w:tcPr>
          <w:p w14:paraId="5CBEB18F" w14:textId="77777777" w:rsidR="00A0219D" w:rsidRPr="006318D3" w:rsidRDefault="00A0219D" w:rsidP="00A0219D">
            <w:pPr>
              <w:rPr>
                <w:lang w:eastAsia="ja-JP"/>
              </w:rPr>
            </w:pPr>
            <w:r w:rsidRPr="006318D3">
              <w:rPr>
                <w:lang w:eastAsia="ja-JP"/>
              </w:rPr>
              <w:t xml:space="preserve">CT </w:t>
            </w:r>
          </w:p>
        </w:tc>
        <w:tc>
          <w:tcPr>
            <w:tcW w:w="6344" w:type="dxa"/>
          </w:tcPr>
          <w:p w14:paraId="5CBEB190" w14:textId="77777777" w:rsidR="00A0219D" w:rsidRPr="006318D3" w:rsidRDefault="00A0219D" w:rsidP="00A0219D">
            <w:pPr>
              <w:rPr>
                <w:lang w:eastAsia="ja-JP"/>
              </w:rPr>
            </w:pPr>
            <w:r w:rsidRPr="006318D3">
              <w:rPr>
                <w:lang w:eastAsia="ja-JP"/>
              </w:rPr>
              <w:t>Computerized tomography</w:t>
            </w:r>
          </w:p>
        </w:tc>
      </w:tr>
      <w:tr w:rsidR="00A0219D" w:rsidRPr="006318D3" w14:paraId="5CBEB194" w14:textId="77777777" w:rsidTr="00A0219D">
        <w:tc>
          <w:tcPr>
            <w:tcW w:w="2376" w:type="dxa"/>
          </w:tcPr>
          <w:p w14:paraId="5CBEB192" w14:textId="77777777" w:rsidR="00A0219D" w:rsidRPr="006318D3" w:rsidRDefault="00A0219D" w:rsidP="00A0219D">
            <w:pPr>
              <w:rPr>
                <w:lang w:eastAsia="ja-JP"/>
              </w:rPr>
            </w:pPr>
            <w:r w:rsidRPr="006318D3">
              <w:rPr>
                <w:lang w:eastAsia="ja-JP"/>
              </w:rPr>
              <w:t xml:space="preserve">CTCAE </w:t>
            </w:r>
          </w:p>
        </w:tc>
        <w:tc>
          <w:tcPr>
            <w:tcW w:w="6344" w:type="dxa"/>
          </w:tcPr>
          <w:p w14:paraId="5CBEB193" w14:textId="77777777" w:rsidR="00A0219D" w:rsidRPr="006318D3" w:rsidRDefault="00A0219D" w:rsidP="00A0219D">
            <w:pPr>
              <w:rPr>
                <w:lang w:eastAsia="ja-JP"/>
              </w:rPr>
            </w:pPr>
            <w:r w:rsidRPr="006318D3">
              <w:rPr>
                <w:lang w:eastAsia="ja-JP"/>
              </w:rPr>
              <w:t>Common Terminology Criteria for Adverse Events</w:t>
            </w:r>
          </w:p>
        </w:tc>
      </w:tr>
      <w:tr w:rsidR="00A0219D" w:rsidRPr="006318D3" w14:paraId="5CBEB197" w14:textId="77777777" w:rsidTr="00A0219D">
        <w:tc>
          <w:tcPr>
            <w:tcW w:w="2376" w:type="dxa"/>
          </w:tcPr>
          <w:p w14:paraId="5CBEB195" w14:textId="77777777" w:rsidR="00A0219D" w:rsidRPr="006318D3" w:rsidRDefault="00A0219D" w:rsidP="00A0219D">
            <w:pPr>
              <w:rPr>
                <w:lang w:eastAsia="ja-JP"/>
              </w:rPr>
            </w:pPr>
            <w:r w:rsidRPr="006318D3">
              <w:rPr>
                <w:lang w:eastAsia="ja-JP"/>
              </w:rPr>
              <w:t xml:space="preserve">DOR </w:t>
            </w:r>
          </w:p>
        </w:tc>
        <w:tc>
          <w:tcPr>
            <w:tcW w:w="6344" w:type="dxa"/>
          </w:tcPr>
          <w:p w14:paraId="5CBEB196" w14:textId="77777777" w:rsidR="00A0219D" w:rsidRPr="006318D3" w:rsidRDefault="00A0219D" w:rsidP="00A0219D">
            <w:pPr>
              <w:rPr>
                <w:lang w:eastAsia="ja-JP"/>
              </w:rPr>
            </w:pPr>
            <w:r w:rsidRPr="006318D3">
              <w:rPr>
                <w:lang w:eastAsia="ja-JP"/>
              </w:rPr>
              <w:t>Duration of Response</w:t>
            </w:r>
          </w:p>
        </w:tc>
      </w:tr>
      <w:tr w:rsidR="00A0219D" w:rsidRPr="006318D3" w14:paraId="5CBEB19A" w14:textId="77777777" w:rsidTr="00A0219D">
        <w:tc>
          <w:tcPr>
            <w:tcW w:w="2376" w:type="dxa"/>
          </w:tcPr>
          <w:p w14:paraId="5CBEB198" w14:textId="77777777" w:rsidR="00A0219D" w:rsidRPr="006318D3" w:rsidRDefault="00A0219D" w:rsidP="00A0219D">
            <w:pPr>
              <w:rPr>
                <w:lang w:eastAsia="ja-JP"/>
              </w:rPr>
            </w:pPr>
            <w:r w:rsidRPr="006318D3">
              <w:rPr>
                <w:lang w:eastAsia="ja-JP"/>
              </w:rPr>
              <w:t xml:space="preserve">ECI </w:t>
            </w:r>
          </w:p>
        </w:tc>
        <w:tc>
          <w:tcPr>
            <w:tcW w:w="6344" w:type="dxa"/>
          </w:tcPr>
          <w:p w14:paraId="5CBEB199" w14:textId="77777777" w:rsidR="00A0219D" w:rsidRPr="006318D3" w:rsidRDefault="00A0219D" w:rsidP="00A0219D">
            <w:pPr>
              <w:rPr>
                <w:lang w:eastAsia="ja-JP"/>
              </w:rPr>
            </w:pPr>
            <w:r w:rsidRPr="006318D3">
              <w:rPr>
                <w:lang w:eastAsia="ja-JP"/>
              </w:rPr>
              <w:t>Events of Clinical Interest</w:t>
            </w:r>
          </w:p>
        </w:tc>
      </w:tr>
      <w:tr w:rsidR="00A0219D" w:rsidRPr="006318D3" w14:paraId="5CBEB19D" w14:textId="77777777" w:rsidTr="00A0219D">
        <w:tc>
          <w:tcPr>
            <w:tcW w:w="2376" w:type="dxa"/>
          </w:tcPr>
          <w:p w14:paraId="5CBEB19B" w14:textId="77777777" w:rsidR="00A0219D" w:rsidRPr="006318D3" w:rsidRDefault="00A0219D" w:rsidP="00A0219D">
            <w:pPr>
              <w:rPr>
                <w:lang w:eastAsia="ja-JP"/>
              </w:rPr>
            </w:pPr>
            <w:r w:rsidRPr="006318D3">
              <w:rPr>
                <w:lang w:eastAsia="ja-JP"/>
              </w:rPr>
              <w:t xml:space="preserve">ECOG </w:t>
            </w:r>
          </w:p>
        </w:tc>
        <w:tc>
          <w:tcPr>
            <w:tcW w:w="6344" w:type="dxa"/>
          </w:tcPr>
          <w:p w14:paraId="5CBEB19C" w14:textId="77777777" w:rsidR="00A0219D" w:rsidRPr="006318D3" w:rsidRDefault="00A0219D" w:rsidP="00A0219D">
            <w:pPr>
              <w:rPr>
                <w:lang w:eastAsia="ja-JP"/>
              </w:rPr>
            </w:pPr>
            <w:r w:rsidRPr="006318D3">
              <w:rPr>
                <w:lang w:eastAsia="ja-JP"/>
              </w:rPr>
              <w:t>Eastern Cooperative Oncology Group</w:t>
            </w:r>
          </w:p>
        </w:tc>
      </w:tr>
      <w:tr w:rsidR="00A0219D" w:rsidRPr="006318D3" w14:paraId="5CBEB1A0" w14:textId="77777777" w:rsidTr="00A0219D">
        <w:tc>
          <w:tcPr>
            <w:tcW w:w="2376" w:type="dxa"/>
          </w:tcPr>
          <w:p w14:paraId="5CBEB19E" w14:textId="77777777" w:rsidR="00A0219D" w:rsidRPr="006318D3" w:rsidRDefault="00A0219D" w:rsidP="00A0219D">
            <w:pPr>
              <w:rPr>
                <w:lang w:eastAsia="ja-JP"/>
              </w:rPr>
            </w:pPr>
            <w:r w:rsidRPr="006318D3">
              <w:rPr>
                <w:lang w:eastAsia="ja-JP"/>
              </w:rPr>
              <w:t xml:space="preserve">EORTC </w:t>
            </w:r>
          </w:p>
        </w:tc>
        <w:tc>
          <w:tcPr>
            <w:tcW w:w="6344" w:type="dxa"/>
          </w:tcPr>
          <w:p w14:paraId="5CBEB19F" w14:textId="77777777" w:rsidR="00A0219D" w:rsidRPr="006318D3" w:rsidRDefault="00A0219D" w:rsidP="00A0219D">
            <w:pPr>
              <w:rPr>
                <w:lang w:eastAsia="ja-JP"/>
              </w:rPr>
            </w:pPr>
            <w:r w:rsidRPr="006318D3">
              <w:rPr>
                <w:lang w:eastAsia="ja-JP"/>
              </w:rPr>
              <w:t>European Organization for Research and Treatment of Cancer</w:t>
            </w:r>
          </w:p>
        </w:tc>
      </w:tr>
      <w:tr w:rsidR="00A0219D" w:rsidRPr="006318D3" w14:paraId="5CBEB1A3" w14:textId="77777777" w:rsidTr="00A0219D">
        <w:tc>
          <w:tcPr>
            <w:tcW w:w="2376" w:type="dxa"/>
          </w:tcPr>
          <w:p w14:paraId="5CBEB1A1" w14:textId="77777777" w:rsidR="00A0219D" w:rsidRPr="006318D3" w:rsidRDefault="00A0219D" w:rsidP="00A0219D">
            <w:pPr>
              <w:rPr>
                <w:lang w:eastAsia="ja-JP"/>
              </w:rPr>
            </w:pPr>
            <w:r w:rsidRPr="006318D3">
              <w:rPr>
                <w:lang w:eastAsia="ja-JP"/>
              </w:rPr>
              <w:lastRenderedPageBreak/>
              <w:t xml:space="preserve">EU </w:t>
            </w:r>
          </w:p>
        </w:tc>
        <w:tc>
          <w:tcPr>
            <w:tcW w:w="6344" w:type="dxa"/>
          </w:tcPr>
          <w:p w14:paraId="5CBEB1A2" w14:textId="77777777" w:rsidR="00A0219D" w:rsidRPr="006318D3" w:rsidRDefault="00A0219D" w:rsidP="00A0219D">
            <w:pPr>
              <w:rPr>
                <w:lang w:eastAsia="ja-JP"/>
              </w:rPr>
            </w:pPr>
            <w:r w:rsidRPr="006318D3">
              <w:rPr>
                <w:lang w:eastAsia="ja-JP"/>
              </w:rPr>
              <w:t>European Union</w:t>
            </w:r>
          </w:p>
        </w:tc>
      </w:tr>
      <w:tr w:rsidR="00A0219D" w:rsidRPr="006318D3" w14:paraId="5CBEB1A6" w14:textId="77777777" w:rsidTr="00A0219D">
        <w:tc>
          <w:tcPr>
            <w:tcW w:w="2376" w:type="dxa"/>
          </w:tcPr>
          <w:p w14:paraId="5CBEB1A4" w14:textId="77777777" w:rsidR="00A0219D" w:rsidRPr="006318D3" w:rsidRDefault="00A0219D" w:rsidP="00A0219D">
            <w:pPr>
              <w:rPr>
                <w:lang w:eastAsia="ja-JP"/>
              </w:rPr>
            </w:pPr>
            <w:proofErr w:type="spellStart"/>
            <w:r w:rsidRPr="006318D3">
              <w:rPr>
                <w:lang w:eastAsia="ja-JP"/>
              </w:rPr>
              <w:t>EuroQoL</w:t>
            </w:r>
            <w:proofErr w:type="spellEnd"/>
            <w:r w:rsidRPr="006318D3">
              <w:rPr>
                <w:lang w:eastAsia="ja-JP"/>
              </w:rPr>
              <w:t xml:space="preserve"> EQ-5D </w:t>
            </w:r>
          </w:p>
        </w:tc>
        <w:tc>
          <w:tcPr>
            <w:tcW w:w="6344" w:type="dxa"/>
          </w:tcPr>
          <w:p w14:paraId="5CBEB1A5" w14:textId="77777777" w:rsidR="00A0219D" w:rsidRPr="006318D3" w:rsidRDefault="00A0219D" w:rsidP="00A0219D">
            <w:pPr>
              <w:rPr>
                <w:lang w:eastAsia="ja-JP"/>
              </w:rPr>
            </w:pPr>
            <w:r w:rsidRPr="006318D3">
              <w:rPr>
                <w:lang w:eastAsia="ja-JP"/>
              </w:rPr>
              <w:t>European Quality of Life Five Dimensions Questionnaire</w:t>
            </w:r>
          </w:p>
        </w:tc>
      </w:tr>
      <w:tr w:rsidR="00A0219D" w:rsidRPr="006318D3" w14:paraId="5CBEB1A9" w14:textId="77777777" w:rsidTr="00A0219D">
        <w:tc>
          <w:tcPr>
            <w:tcW w:w="2376" w:type="dxa"/>
          </w:tcPr>
          <w:p w14:paraId="5CBEB1A7" w14:textId="77777777" w:rsidR="00A0219D" w:rsidRPr="006318D3" w:rsidRDefault="00A0219D" w:rsidP="00A0219D">
            <w:pPr>
              <w:rPr>
                <w:lang w:eastAsia="ja-JP"/>
              </w:rPr>
            </w:pPr>
            <w:r w:rsidRPr="006318D3">
              <w:rPr>
                <w:lang w:eastAsia="ja-JP"/>
              </w:rPr>
              <w:t xml:space="preserve">FAS </w:t>
            </w:r>
          </w:p>
        </w:tc>
        <w:tc>
          <w:tcPr>
            <w:tcW w:w="6344" w:type="dxa"/>
          </w:tcPr>
          <w:p w14:paraId="5CBEB1A8" w14:textId="77777777" w:rsidR="00A0219D" w:rsidRPr="006318D3" w:rsidRDefault="00A0219D" w:rsidP="00A0219D">
            <w:pPr>
              <w:rPr>
                <w:lang w:eastAsia="ja-JP"/>
              </w:rPr>
            </w:pPr>
            <w:r w:rsidRPr="006318D3">
              <w:rPr>
                <w:lang w:eastAsia="ja-JP"/>
              </w:rPr>
              <w:t>Full Analysis Set</w:t>
            </w:r>
          </w:p>
        </w:tc>
      </w:tr>
      <w:tr w:rsidR="00A0219D" w:rsidRPr="006318D3" w14:paraId="5CBEB1AC" w14:textId="77777777" w:rsidTr="00A0219D">
        <w:tc>
          <w:tcPr>
            <w:tcW w:w="2376" w:type="dxa"/>
          </w:tcPr>
          <w:p w14:paraId="5CBEB1AA" w14:textId="77777777" w:rsidR="00A0219D" w:rsidRPr="006318D3" w:rsidRDefault="00A0219D" w:rsidP="00A0219D">
            <w:pPr>
              <w:rPr>
                <w:lang w:eastAsia="ja-JP"/>
              </w:rPr>
            </w:pPr>
            <w:r w:rsidRPr="006318D3">
              <w:rPr>
                <w:lang w:eastAsia="ja-JP"/>
              </w:rPr>
              <w:t xml:space="preserve">FDA </w:t>
            </w:r>
          </w:p>
        </w:tc>
        <w:tc>
          <w:tcPr>
            <w:tcW w:w="6344" w:type="dxa"/>
          </w:tcPr>
          <w:p w14:paraId="5CBEB1AB" w14:textId="77777777" w:rsidR="00A0219D" w:rsidRPr="006318D3" w:rsidRDefault="00A0219D" w:rsidP="00A0219D">
            <w:pPr>
              <w:rPr>
                <w:lang w:eastAsia="ja-JP"/>
              </w:rPr>
            </w:pPr>
            <w:r w:rsidRPr="006318D3">
              <w:rPr>
                <w:lang w:eastAsia="ja-JP"/>
              </w:rPr>
              <w:t>Food and Drug Administration</w:t>
            </w:r>
          </w:p>
        </w:tc>
      </w:tr>
      <w:tr w:rsidR="00A0219D" w:rsidRPr="006318D3" w14:paraId="5CBEB1AF" w14:textId="77777777" w:rsidTr="00A0219D">
        <w:tc>
          <w:tcPr>
            <w:tcW w:w="2376" w:type="dxa"/>
          </w:tcPr>
          <w:p w14:paraId="5CBEB1AD" w14:textId="77777777" w:rsidR="00A0219D" w:rsidRPr="006318D3" w:rsidRDefault="00A0219D" w:rsidP="00A0219D">
            <w:pPr>
              <w:rPr>
                <w:lang w:eastAsia="ja-JP"/>
              </w:rPr>
            </w:pPr>
            <w:r w:rsidRPr="006318D3">
              <w:rPr>
                <w:lang w:eastAsia="ja-JP"/>
              </w:rPr>
              <w:t xml:space="preserve">GCP </w:t>
            </w:r>
          </w:p>
        </w:tc>
        <w:tc>
          <w:tcPr>
            <w:tcW w:w="6344" w:type="dxa"/>
          </w:tcPr>
          <w:p w14:paraId="5CBEB1AE" w14:textId="77777777" w:rsidR="00A0219D" w:rsidRPr="006318D3" w:rsidRDefault="00A0219D" w:rsidP="00A0219D">
            <w:pPr>
              <w:rPr>
                <w:lang w:eastAsia="ja-JP"/>
              </w:rPr>
            </w:pPr>
            <w:r w:rsidRPr="006318D3">
              <w:rPr>
                <w:lang w:eastAsia="ja-JP"/>
              </w:rPr>
              <w:t>Good Clinical Practice</w:t>
            </w:r>
          </w:p>
        </w:tc>
      </w:tr>
      <w:tr w:rsidR="00A0219D" w:rsidRPr="006318D3" w14:paraId="5CBEB1B2" w14:textId="77777777" w:rsidTr="00A0219D">
        <w:tc>
          <w:tcPr>
            <w:tcW w:w="2376" w:type="dxa"/>
          </w:tcPr>
          <w:p w14:paraId="5CBEB1B0" w14:textId="77777777" w:rsidR="00A0219D" w:rsidRPr="006318D3" w:rsidRDefault="00A0219D" w:rsidP="00A0219D">
            <w:pPr>
              <w:rPr>
                <w:lang w:eastAsia="ja-JP"/>
              </w:rPr>
            </w:pPr>
            <w:r w:rsidRPr="006318D3">
              <w:rPr>
                <w:lang w:eastAsia="ja-JP"/>
              </w:rPr>
              <w:t>GVHD</w:t>
            </w:r>
          </w:p>
        </w:tc>
        <w:tc>
          <w:tcPr>
            <w:tcW w:w="6344" w:type="dxa"/>
          </w:tcPr>
          <w:p w14:paraId="5CBEB1B1" w14:textId="77777777" w:rsidR="00A0219D" w:rsidRPr="006318D3" w:rsidRDefault="00A0219D" w:rsidP="00A0219D">
            <w:pPr>
              <w:rPr>
                <w:lang w:eastAsia="ja-JP"/>
              </w:rPr>
            </w:pPr>
            <w:r w:rsidRPr="006318D3">
              <w:rPr>
                <w:lang w:eastAsia="ja-JP"/>
              </w:rPr>
              <w:t>Graft versus host disease</w:t>
            </w:r>
          </w:p>
        </w:tc>
      </w:tr>
      <w:tr w:rsidR="00A0219D" w:rsidRPr="006318D3" w14:paraId="5CBEB1B5" w14:textId="77777777" w:rsidTr="00A0219D">
        <w:tc>
          <w:tcPr>
            <w:tcW w:w="2376" w:type="dxa"/>
          </w:tcPr>
          <w:p w14:paraId="5CBEB1B3" w14:textId="77777777" w:rsidR="00A0219D" w:rsidRPr="006318D3" w:rsidRDefault="00A0219D" w:rsidP="00A0219D">
            <w:pPr>
              <w:rPr>
                <w:lang w:eastAsia="ja-JP"/>
              </w:rPr>
            </w:pPr>
            <w:r w:rsidRPr="006318D3">
              <w:rPr>
                <w:lang w:eastAsia="ja-JP"/>
              </w:rPr>
              <w:t xml:space="preserve">HL </w:t>
            </w:r>
          </w:p>
        </w:tc>
        <w:tc>
          <w:tcPr>
            <w:tcW w:w="6344" w:type="dxa"/>
          </w:tcPr>
          <w:p w14:paraId="5CBEB1B4" w14:textId="77777777" w:rsidR="00A0219D" w:rsidRPr="006318D3" w:rsidRDefault="00A0219D" w:rsidP="00A0219D">
            <w:pPr>
              <w:rPr>
                <w:lang w:eastAsia="ja-JP"/>
              </w:rPr>
            </w:pPr>
            <w:r w:rsidRPr="006318D3">
              <w:rPr>
                <w:lang w:eastAsia="ja-JP"/>
              </w:rPr>
              <w:t>Hodgkin lymphoma</w:t>
            </w:r>
          </w:p>
        </w:tc>
      </w:tr>
      <w:tr w:rsidR="00A0219D" w:rsidRPr="006318D3" w14:paraId="5CBEB1B8" w14:textId="77777777" w:rsidTr="00A0219D">
        <w:tc>
          <w:tcPr>
            <w:tcW w:w="2376" w:type="dxa"/>
          </w:tcPr>
          <w:p w14:paraId="5CBEB1B6" w14:textId="77777777" w:rsidR="00A0219D" w:rsidRPr="006318D3" w:rsidRDefault="00A0219D" w:rsidP="00A0219D">
            <w:pPr>
              <w:rPr>
                <w:lang w:eastAsia="ja-JP"/>
              </w:rPr>
            </w:pPr>
            <w:r w:rsidRPr="006318D3">
              <w:rPr>
                <w:lang w:eastAsia="ja-JP"/>
              </w:rPr>
              <w:t>HNSCC</w:t>
            </w:r>
          </w:p>
        </w:tc>
        <w:tc>
          <w:tcPr>
            <w:tcW w:w="6344" w:type="dxa"/>
          </w:tcPr>
          <w:p w14:paraId="5CBEB1B7" w14:textId="6080CEF0" w:rsidR="00A0219D" w:rsidRPr="006318D3" w:rsidRDefault="00A0219D" w:rsidP="00821F3D">
            <w:pPr>
              <w:rPr>
                <w:lang w:eastAsia="ja-JP"/>
              </w:rPr>
            </w:pPr>
            <w:r w:rsidRPr="006318D3">
              <w:rPr>
                <w:lang w:eastAsia="ja-JP"/>
              </w:rPr>
              <w:t xml:space="preserve">Head and neck </w:t>
            </w:r>
            <w:r w:rsidR="00821F3D">
              <w:rPr>
                <w:lang w:eastAsia="ja-JP"/>
              </w:rPr>
              <w:t>squamous</w:t>
            </w:r>
            <w:r w:rsidR="00821F3D" w:rsidRPr="006318D3">
              <w:rPr>
                <w:lang w:eastAsia="ja-JP"/>
              </w:rPr>
              <w:t xml:space="preserve"> </w:t>
            </w:r>
            <w:r w:rsidRPr="006318D3">
              <w:rPr>
                <w:lang w:eastAsia="ja-JP"/>
              </w:rPr>
              <w:t>cell cancer</w:t>
            </w:r>
          </w:p>
        </w:tc>
      </w:tr>
      <w:tr w:rsidR="00A0219D" w:rsidRPr="006318D3" w14:paraId="5CBEB1BB" w14:textId="77777777" w:rsidTr="00A0219D">
        <w:tc>
          <w:tcPr>
            <w:tcW w:w="2376" w:type="dxa"/>
          </w:tcPr>
          <w:p w14:paraId="5CBEB1B9" w14:textId="77777777" w:rsidR="00A0219D" w:rsidRPr="006318D3" w:rsidRDefault="00A0219D" w:rsidP="00A0219D">
            <w:pPr>
              <w:rPr>
                <w:lang w:eastAsia="ja-JP"/>
              </w:rPr>
            </w:pPr>
            <w:r w:rsidRPr="006318D3">
              <w:rPr>
                <w:lang w:eastAsia="ja-JP"/>
              </w:rPr>
              <w:t xml:space="preserve">ICH </w:t>
            </w:r>
          </w:p>
        </w:tc>
        <w:tc>
          <w:tcPr>
            <w:tcW w:w="6344" w:type="dxa"/>
          </w:tcPr>
          <w:p w14:paraId="5CBEB1BA" w14:textId="77777777" w:rsidR="00A0219D" w:rsidRPr="006318D3" w:rsidRDefault="00A0219D" w:rsidP="00A0219D">
            <w:pPr>
              <w:rPr>
                <w:lang w:eastAsia="ja-JP"/>
              </w:rPr>
            </w:pPr>
            <w:r w:rsidRPr="006318D3">
              <w:rPr>
                <w:lang w:eastAsia="ja-JP"/>
              </w:rPr>
              <w:t>International Conference on Harmonization</w:t>
            </w:r>
          </w:p>
        </w:tc>
      </w:tr>
      <w:tr w:rsidR="00A0219D" w:rsidRPr="006318D3" w14:paraId="5CBEB1BE" w14:textId="77777777" w:rsidTr="00A0219D">
        <w:tc>
          <w:tcPr>
            <w:tcW w:w="2376" w:type="dxa"/>
          </w:tcPr>
          <w:p w14:paraId="5CBEB1BC" w14:textId="77777777" w:rsidR="00A0219D" w:rsidRPr="006318D3" w:rsidRDefault="00A0219D" w:rsidP="00A0219D">
            <w:pPr>
              <w:rPr>
                <w:lang w:eastAsia="ja-JP"/>
              </w:rPr>
            </w:pPr>
            <w:r w:rsidRPr="006318D3">
              <w:rPr>
                <w:lang w:eastAsia="ja-JP"/>
              </w:rPr>
              <w:t xml:space="preserve">IEC </w:t>
            </w:r>
          </w:p>
        </w:tc>
        <w:tc>
          <w:tcPr>
            <w:tcW w:w="6344" w:type="dxa"/>
          </w:tcPr>
          <w:p w14:paraId="5CBEB1BD" w14:textId="77777777" w:rsidR="00A0219D" w:rsidRPr="006318D3" w:rsidRDefault="00A0219D" w:rsidP="00A0219D">
            <w:pPr>
              <w:rPr>
                <w:lang w:eastAsia="ja-JP"/>
              </w:rPr>
            </w:pPr>
            <w:r w:rsidRPr="006318D3">
              <w:rPr>
                <w:lang w:eastAsia="ja-JP"/>
              </w:rPr>
              <w:t>Independent Ethics Committee</w:t>
            </w:r>
          </w:p>
        </w:tc>
      </w:tr>
      <w:tr w:rsidR="00A0219D" w:rsidRPr="006318D3" w14:paraId="5CBEB1C1" w14:textId="77777777" w:rsidTr="00A0219D">
        <w:tc>
          <w:tcPr>
            <w:tcW w:w="2376" w:type="dxa"/>
          </w:tcPr>
          <w:p w14:paraId="5CBEB1BF" w14:textId="77777777" w:rsidR="00A0219D" w:rsidRPr="006318D3" w:rsidRDefault="00A0219D" w:rsidP="00A0219D">
            <w:pPr>
              <w:rPr>
                <w:lang w:eastAsia="ja-JP"/>
              </w:rPr>
            </w:pPr>
            <w:r w:rsidRPr="006318D3">
              <w:rPr>
                <w:lang w:eastAsia="ja-JP"/>
              </w:rPr>
              <w:t xml:space="preserve">IND </w:t>
            </w:r>
          </w:p>
        </w:tc>
        <w:tc>
          <w:tcPr>
            <w:tcW w:w="6344" w:type="dxa"/>
          </w:tcPr>
          <w:p w14:paraId="5CBEB1C0" w14:textId="77777777" w:rsidR="00A0219D" w:rsidRPr="006318D3" w:rsidRDefault="00A0219D" w:rsidP="00A0219D">
            <w:pPr>
              <w:rPr>
                <w:lang w:eastAsia="ja-JP"/>
              </w:rPr>
            </w:pPr>
            <w:r w:rsidRPr="006318D3">
              <w:rPr>
                <w:lang w:eastAsia="ja-JP"/>
              </w:rPr>
              <w:t>Investigational New Drug</w:t>
            </w:r>
          </w:p>
        </w:tc>
      </w:tr>
      <w:tr w:rsidR="00A0219D" w:rsidRPr="006318D3" w14:paraId="5CBEB1C4" w14:textId="77777777" w:rsidTr="00A0219D">
        <w:tc>
          <w:tcPr>
            <w:tcW w:w="2376" w:type="dxa"/>
          </w:tcPr>
          <w:p w14:paraId="5CBEB1C2" w14:textId="77777777" w:rsidR="00A0219D" w:rsidRPr="006318D3" w:rsidRDefault="00A0219D" w:rsidP="00A0219D">
            <w:pPr>
              <w:rPr>
                <w:lang w:eastAsia="ja-JP"/>
              </w:rPr>
            </w:pPr>
            <w:proofErr w:type="spellStart"/>
            <w:r w:rsidRPr="006318D3">
              <w:rPr>
                <w:lang w:eastAsia="ja-JP"/>
              </w:rPr>
              <w:t>irAE</w:t>
            </w:r>
            <w:proofErr w:type="spellEnd"/>
            <w:r w:rsidRPr="006318D3">
              <w:rPr>
                <w:lang w:eastAsia="ja-JP"/>
              </w:rPr>
              <w:t xml:space="preserve"> </w:t>
            </w:r>
          </w:p>
        </w:tc>
        <w:tc>
          <w:tcPr>
            <w:tcW w:w="6344" w:type="dxa"/>
          </w:tcPr>
          <w:p w14:paraId="5CBEB1C3" w14:textId="77777777" w:rsidR="00A0219D" w:rsidRPr="006318D3" w:rsidRDefault="00A0219D" w:rsidP="00A0219D">
            <w:pPr>
              <w:rPr>
                <w:lang w:eastAsia="ja-JP"/>
              </w:rPr>
            </w:pPr>
            <w:r w:rsidRPr="006318D3">
              <w:rPr>
                <w:lang w:eastAsia="ja-JP"/>
              </w:rPr>
              <w:t xml:space="preserve">immune-related </w:t>
            </w:r>
            <w:r w:rsidR="00DD165C" w:rsidRPr="006318D3">
              <w:rPr>
                <w:lang w:eastAsia="ja-JP"/>
              </w:rPr>
              <w:t>Adverse Event</w:t>
            </w:r>
          </w:p>
        </w:tc>
      </w:tr>
      <w:tr w:rsidR="00A0219D" w:rsidRPr="006318D3" w14:paraId="5CBEB1C7" w14:textId="77777777" w:rsidTr="00A0219D">
        <w:tc>
          <w:tcPr>
            <w:tcW w:w="2376" w:type="dxa"/>
          </w:tcPr>
          <w:p w14:paraId="5CBEB1C5" w14:textId="77777777" w:rsidR="00A0219D" w:rsidRPr="006318D3" w:rsidRDefault="00A0219D" w:rsidP="00A0219D">
            <w:pPr>
              <w:rPr>
                <w:lang w:eastAsia="ja-JP"/>
              </w:rPr>
            </w:pPr>
            <w:r w:rsidRPr="006318D3">
              <w:rPr>
                <w:lang w:eastAsia="ja-JP"/>
              </w:rPr>
              <w:t>ISS</w:t>
            </w:r>
          </w:p>
        </w:tc>
        <w:tc>
          <w:tcPr>
            <w:tcW w:w="6344" w:type="dxa"/>
          </w:tcPr>
          <w:p w14:paraId="5CBEB1C6" w14:textId="77777777" w:rsidR="00A0219D" w:rsidRPr="006318D3" w:rsidRDefault="00A0219D" w:rsidP="00A0219D">
            <w:pPr>
              <w:rPr>
                <w:lang w:eastAsia="ja-JP"/>
              </w:rPr>
            </w:pPr>
            <w:r w:rsidRPr="006318D3">
              <w:rPr>
                <w:lang w:eastAsia="ja-JP"/>
              </w:rPr>
              <w:t>integrated summary of safety</w:t>
            </w:r>
          </w:p>
        </w:tc>
      </w:tr>
      <w:tr w:rsidR="00A0219D" w:rsidRPr="006318D3" w14:paraId="5CBEB1CA" w14:textId="77777777" w:rsidTr="00A0219D">
        <w:tc>
          <w:tcPr>
            <w:tcW w:w="2376" w:type="dxa"/>
          </w:tcPr>
          <w:p w14:paraId="5CBEB1C8" w14:textId="77777777" w:rsidR="00A0219D" w:rsidRPr="006318D3" w:rsidRDefault="00A0219D" w:rsidP="00A0219D">
            <w:pPr>
              <w:rPr>
                <w:lang w:eastAsia="ja-JP"/>
              </w:rPr>
            </w:pPr>
            <w:r w:rsidRPr="006318D3">
              <w:rPr>
                <w:lang w:eastAsia="ja-JP"/>
              </w:rPr>
              <w:t xml:space="preserve">IV </w:t>
            </w:r>
          </w:p>
        </w:tc>
        <w:tc>
          <w:tcPr>
            <w:tcW w:w="6344" w:type="dxa"/>
          </w:tcPr>
          <w:p w14:paraId="5CBEB1C9" w14:textId="77777777" w:rsidR="00A0219D" w:rsidRPr="006318D3" w:rsidRDefault="00A0219D" w:rsidP="00A0219D">
            <w:pPr>
              <w:rPr>
                <w:lang w:eastAsia="ja-JP"/>
              </w:rPr>
            </w:pPr>
            <w:r w:rsidRPr="006318D3">
              <w:rPr>
                <w:lang w:eastAsia="ja-JP"/>
              </w:rPr>
              <w:t>Intravenous</w:t>
            </w:r>
          </w:p>
        </w:tc>
      </w:tr>
      <w:tr w:rsidR="00A0219D" w:rsidRPr="006318D3" w14:paraId="5CBEB1CD" w14:textId="77777777" w:rsidTr="00A0219D">
        <w:tc>
          <w:tcPr>
            <w:tcW w:w="2376" w:type="dxa"/>
          </w:tcPr>
          <w:p w14:paraId="5CBEB1CB" w14:textId="77777777" w:rsidR="00A0219D" w:rsidRPr="006318D3" w:rsidRDefault="00A0219D" w:rsidP="00A0219D">
            <w:pPr>
              <w:rPr>
                <w:lang w:eastAsia="ja-JP"/>
              </w:rPr>
            </w:pPr>
            <w:r w:rsidRPr="006318D3">
              <w:rPr>
                <w:lang w:eastAsia="ja-JP"/>
              </w:rPr>
              <w:t xml:space="preserve">IWG </w:t>
            </w:r>
          </w:p>
        </w:tc>
        <w:tc>
          <w:tcPr>
            <w:tcW w:w="6344" w:type="dxa"/>
          </w:tcPr>
          <w:p w14:paraId="5CBEB1CC" w14:textId="77777777" w:rsidR="00A0219D" w:rsidRPr="006318D3" w:rsidRDefault="00A0219D" w:rsidP="00A0219D">
            <w:pPr>
              <w:rPr>
                <w:lang w:eastAsia="ja-JP"/>
              </w:rPr>
            </w:pPr>
            <w:r w:rsidRPr="006318D3">
              <w:rPr>
                <w:lang w:eastAsia="ja-JP"/>
              </w:rPr>
              <w:t>International Working Group</w:t>
            </w:r>
          </w:p>
        </w:tc>
      </w:tr>
      <w:tr w:rsidR="00A0219D" w:rsidRPr="006318D3" w14:paraId="5CBEB1D0" w14:textId="77777777" w:rsidTr="00A0219D">
        <w:tc>
          <w:tcPr>
            <w:tcW w:w="2376" w:type="dxa"/>
          </w:tcPr>
          <w:p w14:paraId="5CBEB1CE" w14:textId="77777777" w:rsidR="00A0219D" w:rsidRPr="006318D3" w:rsidRDefault="00A0219D" w:rsidP="00A0219D">
            <w:pPr>
              <w:rPr>
                <w:lang w:eastAsia="ja-JP"/>
              </w:rPr>
            </w:pPr>
            <w:r w:rsidRPr="006318D3">
              <w:rPr>
                <w:lang w:eastAsia="ja-JP"/>
              </w:rPr>
              <w:t xml:space="preserve">IVRS/IXRS </w:t>
            </w:r>
          </w:p>
        </w:tc>
        <w:tc>
          <w:tcPr>
            <w:tcW w:w="6344" w:type="dxa"/>
          </w:tcPr>
          <w:p w14:paraId="5CBEB1CF" w14:textId="77777777" w:rsidR="00A0219D" w:rsidRPr="006318D3" w:rsidRDefault="00A0219D" w:rsidP="00A0219D">
            <w:pPr>
              <w:rPr>
                <w:lang w:eastAsia="ja-JP"/>
              </w:rPr>
            </w:pPr>
            <w:r w:rsidRPr="006318D3">
              <w:rPr>
                <w:lang w:eastAsia="ja-JP"/>
              </w:rPr>
              <w:t>Interactive Voice Response System/web access system</w:t>
            </w:r>
          </w:p>
        </w:tc>
      </w:tr>
      <w:tr w:rsidR="00A0219D" w:rsidRPr="006318D3" w14:paraId="5CBEB1D3" w14:textId="77777777" w:rsidTr="00A0219D">
        <w:tc>
          <w:tcPr>
            <w:tcW w:w="2376" w:type="dxa"/>
          </w:tcPr>
          <w:p w14:paraId="5CBEB1D1" w14:textId="77777777" w:rsidR="00A0219D" w:rsidRPr="006318D3" w:rsidRDefault="00A0219D" w:rsidP="00A0219D">
            <w:r w:rsidRPr="006318D3">
              <w:t>KN013</w:t>
            </w:r>
          </w:p>
        </w:tc>
        <w:tc>
          <w:tcPr>
            <w:tcW w:w="6344" w:type="dxa"/>
          </w:tcPr>
          <w:p w14:paraId="5CBEB1D2" w14:textId="77777777" w:rsidR="00A0219D" w:rsidRPr="006318D3" w:rsidRDefault="00A0219D" w:rsidP="00A0219D">
            <w:r w:rsidRPr="006318D3">
              <w:t xml:space="preserve">Phase </w:t>
            </w:r>
            <w:proofErr w:type="spellStart"/>
            <w:r w:rsidRPr="006318D3">
              <w:t>Ib</w:t>
            </w:r>
            <w:proofErr w:type="spellEnd"/>
            <w:r w:rsidRPr="006318D3">
              <w:t xml:space="preserve"> clinical study KEYNOTE -013</w:t>
            </w:r>
          </w:p>
        </w:tc>
      </w:tr>
      <w:tr w:rsidR="00A0219D" w:rsidRPr="006318D3" w14:paraId="5CBEB1D6" w14:textId="77777777" w:rsidTr="00A0219D">
        <w:tc>
          <w:tcPr>
            <w:tcW w:w="2376" w:type="dxa"/>
          </w:tcPr>
          <w:p w14:paraId="5CBEB1D4" w14:textId="77777777" w:rsidR="00A0219D" w:rsidRPr="006318D3" w:rsidRDefault="00A0219D" w:rsidP="00A0219D">
            <w:r w:rsidRPr="006318D3">
              <w:t>KN087</w:t>
            </w:r>
          </w:p>
        </w:tc>
        <w:tc>
          <w:tcPr>
            <w:tcW w:w="6344" w:type="dxa"/>
          </w:tcPr>
          <w:p w14:paraId="5CBEB1D5" w14:textId="77777777" w:rsidR="00A0219D" w:rsidRPr="006318D3" w:rsidRDefault="00A0219D" w:rsidP="00A0219D">
            <w:r w:rsidRPr="006318D3">
              <w:t>Phase II clinical study KEYNOTE -087</w:t>
            </w:r>
          </w:p>
        </w:tc>
      </w:tr>
      <w:tr w:rsidR="00A0219D" w:rsidRPr="006318D3" w14:paraId="5CBEB1D9" w14:textId="77777777" w:rsidTr="00A0219D">
        <w:tc>
          <w:tcPr>
            <w:tcW w:w="2376" w:type="dxa"/>
          </w:tcPr>
          <w:p w14:paraId="5CBEB1D7" w14:textId="77777777" w:rsidR="00A0219D" w:rsidRPr="006318D3" w:rsidRDefault="00A0219D" w:rsidP="00A0219D">
            <w:proofErr w:type="spellStart"/>
            <w:r w:rsidRPr="006318D3">
              <w:t>mAb</w:t>
            </w:r>
            <w:proofErr w:type="spellEnd"/>
          </w:p>
        </w:tc>
        <w:tc>
          <w:tcPr>
            <w:tcW w:w="6344" w:type="dxa"/>
          </w:tcPr>
          <w:p w14:paraId="5CBEB1D8" w14:textId="77777777" w:rsidR="00A0219D" w:rsidRPr="006318D3" w:rsidRDefault="00A0219D" w:rsidP="00760808">
            <w:pPr>
              <w:rPr>
                <w:lang w:eastAsia="ja-JP"/>
              </w:rPr>
            </w:pPr>
            <w:r w:rsidRPr="006318D3">
              <w:t xml:space="preserve">monoclonal </w:t>
            </w:r>
            <w:r w:rsidR="00760808">
              <w:t>A</w:t>
            </w:r>
            <w:r w:rsidRPr="006318D3">
              <w:t>ntibody</w:t>
            </w:r>
          </w:p>
        </w:tc>
      </w:tr>
      <w:tr w:rsidR="00A0219D" w:rsidRPr="006318D3" w14:paraId="5CBEB1DC" w14:textId="77777777" w:rsidTr="00A0219D">
        <w:tc>
          <w:tcPr>
            <w:tcW w:w="2376" w:type="dxa"/>
          </w:tcPr>
          <w:p w14:paraId="5CBEB1DA" w14:textId="77777777" w:rsidR="00A0219D" w:rsidRPr="006318D3" w:rsidRDefault="00A0219D" w:rsidP="00A0219D">
            <w:pPr>
              <w:rPr>
                <w:lang w:eastAsia="ja-JP"/>
              </w:rPr>
            </w:pPr>
            <w:r w:rsidRPr="006318D3">
              <w:rPr>
                <w:lang w:eastAsia="ja-JP"/>
              </w:rPr>
              <w:t>MDS</w:t>
            </w:r>
          </w:p>
        </w:tc>
        <w:tc>
          <w:tcPr>
            <w:tcW w:w="6344" w:type="dxa"/>
          </w:tcPr>
          <w:p w14:paraId="5CBEB1DB" w14:textId="77777777" w:rsidR="00A0219D" w:rsidRPr="00760808" w:rsidRDefault="00760808" w:rsidP="00760808">
            <w:r w:rsidRPr="00760808">
              <w:t>Myelodysplastic Syndrome</w:t>
            </w:r>
          </w:p>
        </w:tc>
      </w:tr>
      <w:tr w:rsidR="00A0219D" w:rsidRPr="006318D3" w14:paraId="5CBEB1DF" w14:textId="77777777" w:rsidTr="00A0219D">
        <w:tc>
          <w:tcPr>
            <w:tcW w:w="2376" w:type="dxa"/>
          </w:tcPr>
          <w:p w14:paraId="5CBEB1DD" w14:textId="77777777" w:rsidR="00A0219D" w:rsidRPr="006318D3" w:rsidRDefault="00A0219D" w:rsidP="00A0219D">
            <w:pPr>
              <w:rPr>
                <w:lang w:eastAsia="ja-JP"/>
              </w:rPr>
            </w:pPr>
            <w:proofErr w:type="spellStart"/>
            <w:r w:rsidRPr="006318D3">
              <w:rPr>
                <w:lang w:eastAsia="ja-JP"/>
              </w:rPr>
              <w:t>MedDRA</w:t>
            </w:r>
            <w:proofErr w:type="spellEnd"/>
            <w:r w:rsidRPr="006318D3">
              <w:rPr>
                <w:lang w:eastAsia="ja-JP"/>
              </w:rPr>
              <w:t xml:space="preserve"> </w:t>
            </w:r>
          </w:p>
        </w:tc>
        <w:tc>
          <w:tcPr>
            <w:tcW w:w="6344" w:type="dxa"/>
          </w:tcPr>
          <w:p w14:paraId="5CBEB1DE" w14:textId="77777777" w:rsidR="00A0219D" w:rsidRPr="006318D3" w:rsidRDefault="00A0219D" w:rsidP="00A0219D">
            <w:pPr>
              <w:rPr>
                <w:lang w:eastAsia="ja-JP"/>
              </w:rPr>
            </w:pPr>
            <w:r w:rsidRPr="006318D3">
              <w:rPr>
                <w:lang w:eastAsia="ja-JP"/>
              </w:rPr>
              <w:t>Medical Dictionary of Regulatory Activities</w:t>
            </w:r>
          </w:p>
        </w:tc>
      </w:tr>
      <w:tr w:rsidR="00A0219D" w:rsidRPr="006318D3" w14:paraId="5CBEB1E2" w14:textId="77777777" w:rsidTr="00A0219D">
        <w:tc>
          <w:tcPr>
            <w:tcW w:w="2376" w:type="dxa"/>
          </w:tcPr>
          <w:p w14:paraId="5CBEB1E0" w14:textId="77777777" w:rsidR="00A0219D" w:rsidRPr="006318D3" w:rsidRDefault="00A0219D" w:rsidP="00A0219D">
            <w:pPr>
              <w:rPr>
                <w:lang w:eastAsia="ja-JP"/>
              </w:rPr>
            </w:pPr>
            <w:r w:rsidRPr="006318D3">
              <w:t>MK-3475</w:t>
            </w:r>
          </w:p>
        </w:tc>
        <w:tc>
          <w:tcPr>
            <w:tcW w:w="6344" w:type="dxa"/>
          </w:tcPr>
          <w:p w14:paraId="5CBEB1E1" w14:textId="77777777" w:rsidR="00A0219D" w:rsidRPr="006318D3" w:rsidRDefault="00A0219D" w:rsidP="00A0219D">
            <w:pPr>
              <w:rPr>
                <w:lang w:eastAsia="ja-JP"/>
              </w:rPr>
            </w:pPr>
            <w:proofErr w:type="spellStart"/>
            <w:r w:rsidRPr="006318D3">
              <w:t>Pembrolizumab</w:t>
            </w:r>
            <w:proofErr w:type="spellEnd"/>
          </w:p>
        </w:tc>
      </w:tr>
      <w:tr w:rsidR="00A0219D" w:rsidRPr="006318D3" w14:paraId="5CBEB1E5" w14:textId="77777777" w:rsidTr="00A0219D">
        <w:tc>
          <w:tcPr>
            <w:tcW w:w="2376" w:type="dxa"/>
          </w:tcPr>
          <w:p w14:paraId="5CBEB1E3" w14:textId="77777777" w:rsidR="00A0219D" w:rsidRPr="006318D3" w:rsidRDefault="00A0219D" w:rsidP="00A0219D">
            <w:pPr>
              <w:rPr>
                <w:lang w:eastAsia="ja-JP"/>
              </w:rPr>
            </w:pPr>
            <w:r w:rsidRPr="006318D3">
              <w:rPr>
                <w:lang w:eastAsia="ja-JP"/>
              </w:rPr>
              <w:t>MM</w:t>
            </w:r>
          </w:p>
        </w:tc>
        <w:tc>
          <w:tcPr>
            <w:tcW w:w="6344" w:type="dxa"/>
          </w:tcPr>
          <w:p w14:paraId="5CBEB1E4" w14:textId="77777777" w:rsidR="00A0219D" w:rsidRPr="006318D3" w:rsidRDefault="00760808" w:rsidP="00A0219D">
            <w:pPr>
              <w:rPr>
                <w:lang w:eastAsia="ja-JP"/>
              </w:rPr>
            </w:pPr>
            <w:r w:rsidRPr="006318D3">
              <w:rPr>
                <w:lang w:eastAsia="ja-JP"/>
              </w:rPr>
              <w:t>Multiple Myeloma</w:t>
            </w:r>
          </w:p>
        </w:tc>
      </w:tr>
      <w:tr w:rsidR="00A0219D" w:rsidRPr="006318D3" w14:paraId="5CBEB1E8" w14:textId="77777777" w:rsidTr="00A0219D">
        <w:tc>
          <w:tcPr>
            <w:tcW w:w="2376" w:type="dxa"/>
          </w:tcPr>
          <w:p w14:paraId="5CBEB1E6" w14:textId="77777777" w:rsidR="00A0219D" w:rsidRPr="006318D3" w:rsidRDefault="00A0219D" w:rsidP="00A0219D">
            <w:pPr>
              <w:rPr>
                <w:lang w:eastAsia="ja-JP"/>
              </w:rPr>
            </w:pPr>
            <w:r w:rsidRPr="006318D3">
              <w:rPr>
                <w:lang w:eastAsia="ja-JP"/>
              </w:rPr>
              <w:t>MSI-H</w:t>
            </w:r>
          </w:p>
        </w:tc>
        <w:tc>
          <w:tcPr>
            <w:tcW w:w="6344" w:type="dxa"/>
          </w:tcPr>
          <w:p w14:paraId="5CBEB1E7" w14:textId="77777777" w:rsidR="00A0219D" w:rsidRPr="006318D3" w:rsidRDefault="00A0219D" w:rsidP="00A0219D">
            <w:pPr>
              <w:rPr>
                <w:lang w:eastAsia="ja-JP"/>
              </w:rPr>
            </w:pPr>
            <w:r w:rsidRPr="006318D3">
              <w:rPr>
                <w:lang w:eastAsia="ja-JP"/>
              </w:rPr>
              <w:t>Microsatellite instability high</w:t>
            </w:r>
          </w:p>
        </w:tc>
      </w:tr>
      <w:tr w:rsidR="00A0219D" w:rsidRPr="006318D3" w14:paraId="5CBEB1EB" w14:textId="77777777" w:rsidTr="00A0219D">
        <w:tc>
          <w:tcPr>
            <w:tcW w:w="2376" w:type="dxa"/>
          </w:tcPr>
          <w:p w14:paraId="5CBEB1E9" w14:textId="77777777" w:rsidR="00A0219D" w:rsidRPr="006318D3" w:rsidRDefault="00A0219D" w:rsidP="00A0219D">
            <w:pPr>
              <w:rPr>
                <w:lang w:eastAsia="ja-JP"/>
              </w:rPr>
            </w:pPr>
            <w:r w:rsidRPr="006318D3">
              <w:rPr>
                <w:lang w:eastAsia="ja-JP"/>
              </w:rPr>
              <w:t xml:space="preserve">NCI </w:t>
            </w:r>
          </w:p>
        </w:tc>
        <w:tc>
          <w:tcPr>
            <w:tcW w:w="6344" w:type="dxa"/>
          </w:tcPr>
          <w:p w14:paraId="5CBEB1EA" w14:textId="77777777" w:rsidR="00A0219D" w:rsidRPr="006318D3" w:rsidRDefault="00A0219D" w:rsidP="00A0219D">
            <w:pPr>
              <w:rPr>
                <w:lang w:eastAsia="ja-JP"/>
              </w:rPr>
            </w:pPr>
            <w:r w:rsidRPr="006318D3">
              <w:rPr>
                <w:lang w:eastAsia="ja-JP"/>
              </w:rPr>
              <w:t>National Cancer Institute</w:t>
            </w:r>
          </w:p>
        </w:tc>
      </w:tr>
      <w:tr w:rsidR="00A0219D" w:rsidRPr="006318D3" w14:paraId="5CBEB1EE" w14:textId="77777777" w:rsidTr="00A0219D">
        <w:tc>
          <w:tcPr>
            <w:tcW w:w="2376" w:type="dxa"/>
          </w:tcPr>
          <w:p w14:paraId="5CBEB1EC" w14:textId="77777777" w:rsidR="00A0219D" w:rsidRPr="006318D3" w:rsidRDefault="00A0219D" w:rsidP="00A0219D">
            <w:pPr>
              <w:rPr>
                <w:lang w:eastAsia="ja-JP"/>
              </w:rPr>
            </w:pPr>
            <w:r w:rsidRPr="006318D3">
              <w:rPr>
                <w:lang w:eastAsia="ja-JP"/>
              </w:rPr>
              <w:t>ND</w:t>
            </w:r>
          </w:p>
        </w:tc>
        <w:tc>
          <w:tcPr>
            <w:tcW w:w="6344" w:type="dxa"/>
          </w:tcPr>
          <w:p w14:paraId="5CBEB1ED" w14:textId="77777777" w:rsidR="00A0219D" w:rsidRPr="006318D3" w:rsidRDefault="00A0219D" w:rsidP="00A0219D">
            <w:pPr>
              <w:rPr>
                <w:lang w:eastAsia="ja-JP"/>
              </w:rPr>
            </w:pPr>
            <w:r w:rsidRPr="006318D3">
              <w:rPr>
                <w:lang w:eastAsia="ja-JP"/>
              </w:rPr>
              <w:t>Not determined</w:t>
            </w:r>
          </w:p>
        </w:tc>
      </w:tr>
      <w:tr w:rsidR="00A0219D" w:rsidRPr="006318D3" w14:paraId="5CBEB1F1" w14:textId="77777777" w:rsidTr="00A0219D">
        <w:tc>
          <w:tcPr>
            <w:tcW w:w="2376" w:type="dxa"/>
          </w:tcPr>
          <w:p w14:paraId="5CBEB1EF" w14:textId="77777777" w:rsidR="00A0219D" w:rsidRPr="006318D3" w:rsidRDefault="00A0219D" w:rsidP="00A0219D">
            <w:pPr>
              <w:rPr>
                <w:lang w:eastAsia="ja-JP"/>
              </w:rPr>
            </w:pPr>
            <w:r w:rsidRPr="006318D3">
              <w:rPr>
                <w:lang w:eastAsia="ja-JP"/>
              </w:rPr>
              <w:lastRenderedPageBreak/>
              <w:t xml:space="preserve">NSCLC </w:t>
            </w:r>
          </w:p>
        </w:tc>
        <w:tc>
          <w:tcPr>
            <w:tcW w:w="6344" w:type="dxa"/>
          </w:tcPr>
          <w:p w14:paraId="5CBEB1F0" w14:textId="77777777" w:rsidR="00A0219D" w:rsidRPr="006318D3" w:rsidRDefault="00A0219D" w:rsidP="00A0219D">
            <w:pPr>
              <w:rPr>
                <w:lang w:eastAsia="ja-JP"/>
              </w:rPr>
            </w:pPr>
            <w:r w:rsidRPr="006318D3">
              <w:rPr>
                <w:lang w:eastAsia="ja-JP"/>
              </w:rPr>
              <w:t>Non-small cell lung cancer</w:t>
            </w:r>
          </w:p>
        </w:tc>
      </w:tr>
      <w:tr w:rsidR="00A0219D" w:rsidRPr="006318D3" w14:paraId="5CBEB1F4" w14:textId="77777777" w:rsidTr="00A0219D">
        <w:tc>
          <w:tcPr>
            <w:tcW w:w="2376" w:type="dxa"/>
          </w:tcPr>
          <w:p w14:paraId="5CBEB1F2" w14:textId="77777777" w:rsidR="00A0219D" w:rsidRPr="006318D3" w:rsidRDefault="00A0219D" w:rsidP="00A0219D">
            <w:pPr>
              <w:rPr>
                <w:lang w:eastAsia="ja-JP"/>
              </w:rPr>
            </w:pPr>
            <w:r w:rsidRPr="006318D3">
              <w:rPr>
                <w:lang w:eastAsia="ja-JP"/>
              </w:rPr>
              <w:t xml:space="preserve">ORR </w:t>
            </w:r>
          </w:p>
        </w:tc>
        <w:tc>
          <w:tcPr>
            <w:tcW w:w="6344" w:type="dxa"/>
          </w:tcPr>
          <w:p w14:paraId="5CBEB1F3" w14:textId="77777777" w:rsidR="00A0219D" w:rsidRPr="006318D3" w:rsidRDefault="00A0219D" w:rsidP="00A0219D">
            <w:pPr>
              <w:rPr>
                <w:lang w:eastAsia="ja-JP"/>
              </w:rPr>
            </w:pPr>
            <w:r w:rsidRPr="006318D3">
              <w:rPr>
                <w:lang w:eastAsia="ja-JP"/>
              </w:rPr>
              <w:t>Objective Response Rate / Overall Response Rate (used interchangeably)</w:t>
            </w:r>
          </w:p>
        </w:tc>
      </w:tr>
      <w:tr w:rsidR="00A0219D" w:rsidRPr="006318D3" w14:paraId="5CBEB1F7" w14:textId="77777777" w:rsidTr="00A0219D">
        <w:tc>
          <w:tcPr>
            <w:tcW w:w="2376" w:type="dxa"/>
          </w:tcPr>
          <w:p w14:paraId="5CBEB1F5" w14:textId="77777777" w:rsidR="00A0219D" w:rsidRPr="006318D3" w:rsidRDefault="00A0219D" w:rsidP="00A0219D">
            <w:pPr>
              <w:rPr>
                <w:lang w:eastAsia="ja-JP"/>
              </w:rPr>
            </w:pPr>
            <w:r w:rsidRPr="006318D3">
              <w:rPr>
                <w:lang w:eastAsia="ja-JP"/>
              </w:rPr>
              <w:t xml:space="preserve">OS </w:t>
            </w:r>
          </w:p>
        </w:tc>
        <w:tc>
          <w:tcPr>
            <w:tcW w:w="6344" w:type="dxa"/>
          </w:tcPr>
          <w:p w14:paraId="5CBEB1F6" w14:textId="77777777" w:rsidR="00A0219D" w:rsidRPr="006318D3" w:rsidRDefault="00A0219D" w:rsidP="00A0219D">
            <w:pPr>
              <w:rPr>
                <w:lang w:eastAsia="ja-JP"/>
              </w:rPr>
            </w:pPr>
            <w:r w:rsidRPr="006318D3">
              <w:rPr>
                <w:lang w:eastAsia="ja-JP"/>
              </w:rPr>
              <w:t>Overall Survival</w:t>
            </w:r>
          </w:p>
        </w:tc>
      </w:tr>
      <w:tr w:rsidR="00A0219D" w:rsidRPr="006318D3" w14:paraId="5CBEB1FA" w14:textId="77777777" w:rsidTr="00A0219D">
        <w:tc>
          <w:tcPr>
            <w:tcW w:w="2376" w:type="dxa"/>
          </w:tcPr>
          <w:p w14:paraId="5CBEB1F8" w14:textId="77777777" w:rsidR="00A0219D" w:rsidRPr="006318D3" w:rsidRDefault="00A0219D" w:rsidP="00A0219D">
            <w:pPr>
              <w:rPr>
                <w:lang w:eastAsia="ja-JP"/>
              </w:rPr>
            </w:pPr>
            <w:r w:rsidRPr="006318D3">
              <w:rPr>
                <w:lang w:eastAsia="ja-JP"/>
              </w:rPr>
              <w:t xml:space="preserve">PD </w:t>
            </w:r>
          </w:p>
        </w:tc>
        <w:tc>
          <w:tcPr>
            <w:tcW w:w="6344" w:type="dxa"/>
          </w:tcPr>
          <w:p w14:paraId="5CBEB1F9" w14:textId="77777777" w:rsidR="00A0219D" w:rsidRPr="006318D3" w:rsidRDefault="00A0219D" w:rsidP="00A0219D">
            <w:pPr>
              <w:rPr>
                <w:lang w:eastAsia="ja-JP"/>
              </w:rPr>
            </w:pPr>
            <w:r w:rsidRPr="006318D3">
              <w:rPr>
                <w:lang w:eastAsia="ja-JP"/>
              </w:rPr>
              <w:t>Progressive disease</w:t>
            </w:r>
          </w:p>
        </w:tc>
      </w:tr>
      <w:tr w:rsidR="00A0219D" w:rsidRPr="006318D3" w14:paraId="5CBEB1FD" w14:textId="77777777" w:rsidTr="00A0219D">
        <w:tc>
          <w:tcPr>
            <w:tcW w:w="2376" w:type="dxa"/>
          </w:tcPr>
          <w:p w14:paraId="5CBEB1FB" w14:textId="77777777" w:rsidR="00A0219D" w:rsidRPr="006318D3" w:rsidRDefault="00A0219D" w:rsidP="00A0219D">
            <w:pPr>
              <w:rPr>
                <w:lang w:eastAsia="ja-JP"/>
              </w:rPr>
            </w:pPr>
            <w:r w:rsidRPr="006318D3">
              <w:rPr>
                <w:lang w:eastAsia="ja-JP"/>
              </w:rPr>
              <w:t xml:space="preserve">PD-1 </w:t>
            </w:r>
          </w:p>
        </w:tc>
        <w:tc>
          <w:tcPr>
            <w:tcW w:w="6344" w:type="dxa"/>
          </w:tcPr>
          <w:p w14:paraId="5CBEB1FC" w14:textId="77777777" w:rsidR="00A0219D" w:rsidRPr="006318D3" w:rsidRDefault="00A0219D" w:rsidP="00A0219D">
            <w:pPr>
              <w:rPr>
                <w:lang w:eastAsia="ja-JP"/>
              </w:rPr>
            </w:pPr>
            <w:r w:rsidRPr="006318D3">
              <w:rPr>
                <w:lang w:eastAsia="ja-JP"/>
              </w:rPr>
              <w:t>Programmed cell death 1</w:t>
            </w:r>
          </w:p>
        </w:tc>
      </w:tr>
      <w:tr w:rsidR="00A0219D" w:rsidRPr="006318D3" w14:paraId="5CBEB200" w14:textId="77777777" w:rsidTr="00A0219D">
        <w:tc>
          <w:tcPr>
            <w:tcW w:w="2376" w:type="dxa"/>
          </w:tcPr>
          <w:p w14:paraId="5CBEB1FE" w14:textId="77777777" w:rsidR="00A0219D" w:rsidRPr="006318D3" w:rsidRDefault="00A0219D" w:rsidP="00A0219D">
            <w:pPr>
              <w:rPr>
                <w:lang w:eastAsia="ja-JP"/>
              </w:rPr>
            </w:pPr>
            <w:r w:rsidRPr="006318D3">
              <w:rPr>
                <w:lang w:eastAsia="ja-JP"/>
              </w:rPr>
              <w:t xml:space="preserve">PD-L1 </w:t>
            </w:r>
          </w:p>
        </w:tc>
        <w:tc>
          <w:tcPr>
            <w:tcW w:w="6344" w:type="dxa"/>
          </w:tcPr>
          <w:p w14:paraId="5CBEB1FF" w14:textId="77777777" w:rsidR="00A0219D" w:rsidRPr="006318D3" w:rsidRDefault="00A0219D" w:rsidP="00A0219D">
            <w:pPr>
              <w:rPr>
                <w:lang w:eastAsia="ja-JP"/>
              </w:rPr>
            </w:pPr>
            <w:r w:rsidRPr="006318D3">
              <w:rPr>
                <w:lang w:eastAsia="ja-JP"/>
              </w:rPr>
              <w:t>Programmed cell death 1 ligand 1</w:t>
            </w:r>
          </w:p>
        </w:tc>
      </w:tr>
      <w:tr w:rsidR="00A0219D" w:rsidRPr="006318D3" w14:paraId="5CBEB203" w14:textId="77777777" w:rsidTr="00A0219D">
        <w:tc>
          <w:tcPr>
            <w:tcW w:w="2376" w:type="dxa"/>
          </w:tcPr>
          <w:p w14:paraId="5CBEB201" w14:textId="77777777" w:rsidR="00A0219D" w:rsidRPr="006318D3" w:rsidRDefault="00A0219D" w:rsidP="00A0219D">
            <w:pPr>
              <w:rPr>
                <w:lang w:eastAsia="ja-JP"/>
              </w:rPr>
            </w:pPr>
            <w:r w:rsidRPr="006318D3">
              <w:rPr>
                <w:lang w:eastAsia="ja-JP"/>
              </w:rPr>
              <w:t xml:space="preserve">PD-L2 </w:t>
            </w:r>
          </w:p>
        </w:tc>
        <w:tc>
          <w:tcPr>
            <w:tcW w:w="6344" w:type="dxa"/>
          </w:tcPr>
          <w:p w14:paraId="5CBEB202" w14:textId="77777777" w:rsidR="00A0219D" w:rsidRPr="006318D3" w:rsidRDefault="00A0219D" w:rsidP="00A0219D">
            <w:pPr>
              <w:rPr>
                <w:lang w:eastAsia="ja-JP"/>
              </w:rPr>
            </w:pPr>
            <w:r w:rsidRPr="006318D3">
              <w:rPr>
                <w:lang w:eastAsia="ja-JP"/>
              </w:rPr>
              <w:t>Programmed cell death 1 ligand 2</w:t>
            </w:r>
          </w:p>
        </w:tc>
      </w:tr>
      <w:tr w:rsidR="00A0219D" w:rsidRPr="006318D3" w14:paraId="5CBEB206" w14:textId="77777777" w:rsidTr="00A0219D">
        <w:tc>
          <w:tcPr>
            <w:tcW w:w="2376" w:type="dxa"/>
          </w:tcPr>
          <w:p w14:paraId="5CBEB204" w14:textId="77777777" w:rsidR="00A0219D" w:rsidRPr="006318D3" w:rsidRDefault="00A0219D" w:rsidP="00A0219D">
            <w:pPr>
              <w:rPr>
                <w:lang w:eastAsia="ja-JP"/>
              </w:rPr>
            </w:pPr>
            <w:r w:rsidRPr="006318D3">
              <w:rPr>
                <w:lang w:eastAsia="ja-JP"/>
              </w:rPr>
              <w:t xml:space="preserve">PFS </w:t>
            </w:r>
          </w:p>
        </w:tc>
        <w:tc>
          <w:tcPr>
            <w:tcW w:w="6344" w:type="dxa"/>
          </w:tcPr>
          <w:p w14:paraId="5CBEB205" w14:textId="77777777" w:rsidR="00A0219D" w:rsidRPr="006318D3" w:rsidRDefault="00A0219D" w:rsidP="00A0219D">
            <w:pPr>
              <w:rPr>
                <w:lang w:eastAsia="ja-JP"/>
              </w:rPr>
            </w:pPr>
            <w:r w:rsidRPr="006318D3">
              <w:rPr>
                <w:lang w:eastAsia="ja-JP"/>
              </w:rPr>
              <w:t>Progression Free Survival</w:t>
            </w:r>
          </w:p>
        </w:tc>
      </w:tr>
      <w:tr w:rsidR="00A0219D" w:rsidRPr="006318D3" w14:paraId="5CBEB209" w14:textId="77777777" w:rsidTr="00A0219D">
        <w:tc>
          <w:tcPr>
            <w:tcW w:w="2376" w:type="dxa"/>
          </w:tcPr>
          <w:p w14:paraId="5CBEB207" w14:textId="77777777" w:rsidR="00A0219D" w:rsidRPr="006318D3" w:rsidRDefault="00A0219D" w:rsidP="00A0219D">
            <w:pPr>
              <w:rPr>
                <w:lang w:eastAsia="ja-JP"/>
              </w:rPr>
            </w:pPr>
            <w:r w:rsidRPr="006318D3">
              <w:rPr>
                <w:lang w:eastAsia="ja-JP"/>
              </w:rPr>
              <w:t xml:space="preserve">PK </w:t>
            </w:r>
          </w:p>
        </w:tc>
        <w:tc>
          <w:tcPr>
            <w:tcW w:w="6344" w:type="dxa"/>
          </w:tcPr>
          <w:p w14:paraId="5CBEB208" w14:textId="77777777" w:rsidR="00A0219D" w:rsidRPr="006318D3" w:rsidRDefault="00A0219D" w:rsidP="00A0219D">
            <w:pPr>
              <w:rPr>
                <w:lang w:eastAsia="ja-JP"/>
              </w:rPr>
            </w:pPr>
            <w:r w:rsidRPr="006318D3">
              <w:rPr>
                <w:lang w:eastAsia="ja-JP"/>
              </w:rPr>
              <w:t>Pharmacokinetic</w:t>
            </w:r>
          </w:p>
        </w:tc>
      </w:tr>
      <w:tr w:rsidR="00A0219D" w:rsidRPr="006318D3" w14:paraId="5CBEB20C" w14:textId="77777777" w:rsidTr="00A0219D">
        <w:tc>
          <w:tcPr>
            <w:tcW w:w="2376" w:type="dxa"/>
          </w:tcPr>
          <w:p w14:paraId="5CBEB20A" w14:textId="77777777" w:rsidR="00A0219D" w:rsidRPr="006318D3" w:rsidRDefault="00A0219D" w:rsidP="00A0219D">
            <w:pPr>
              <w:rPr>
                <w:lang w:eastAsia="ja-JP"/>
              </w:rPr>
            </w:pPr>
            <w:r w:rsidRPr="006318D3">
              <w:rPr>
                <w:lang w:eastAsia="ja-JP"/>
              </w:rPr>
              <w:t>PMBCL</w:t>
            </w:r>
          </w:p>
        </w:tc>
        <w:tc>
          <w:tcPr>
            <w:tcW w:w="6344" w:type="dxa"/>
          </w:tcPr>
          <w:p w14:paraId="5CBEB20B" w14:textId="77777777" w:rsidR="00A0219D" w:rsidRPr="006318D3" w:rsidRDefault="00760808" w:rsidP="00A0219D">
            <w:pPr>
              <w:rPr>
                <w:lang w:eastAsia="ja-JP"/>
              </w:rPr>
            </w:pPr>
            <w:r w:rsidRPr="006318D3">
              <w:rPr>
                <w:lang w:eastAsia="ja-JP"/>
              </w:rPr>
              <w:t xml:space="preserve">Primary Mediastinal </w:t>
            </w:r>
            <w:r w:rsidR="00A0219D" w:rsidRPr="006318D3">
              <w:rPr>
                <w:lang w:eastAsia="ja-JP"/>
              </w:rPr>
              <w:t>B</w:t>
            </w:r>
            <w:r w:rsidRPr="006318D3">
              <w:rPr>
                <w:lang w:eastAsia="ja-JP"/>
              </w:rPr>
              <w:t>-Cell Lymphoma</w:t>
            </w:r>
          </w:p>
        </w:tc>
      </w:tr>
      <w:tr w:rsidR="00A0219D" w:rsidRPr="006318D3" w14:paraId="5CBEB20F" w14:textId="77777777" w:rsidTr="00A0219D">
        <w:tc>
          <w:tcPr>
            <w:tcW w:w="2376" w:type="dxa"/>
          </w:tcPr>
          <w:p w14:paraId="5CBEB20D" w14:textId="77777777" w:rsidR="00A0219D" w:rsidRPr="006318D3" w:rsidRDefault="00A0219D" w:rsidP="00A0219D">
            <w:pPr>
              <w:rPr>
                <w:lang w:eastAsia="ja-JP"/>
              </w:rPr>
            </w:pPr>
            <w:r w:rsidRPr="006318D3">
              <w:rPr>
                <w:lang w:eastAsia="ja-JP"/>
              </w:rPr>
              <w:t xml:space="preserve">PR </w:t>
            </w:r>
          </w:p>
        </w:tc>
        <w:tc>
          <w:tcPr>
            <w:tcW w:w="6344" w:type="dxa"/>
          </w:tcPr>
          <w:p w14:paraId="5CBEB20E" w14:textId="77777777" w:rsidR="00A0219D" w:rsidRPr="006318D3" w:rsidRDefault="00A0219D" w:rsidP="00A0219D">
            <w:pPr>
              <w:rPr>
                <w:lang w:eastAsia="ja-JP"/>
              </w:rPr>
            </w:pPr>
            <w:r w:rsidRPr="006318D3">
              <w:rPr>
                <w:lang w:eastAsia="ja-JP"/>
              </w:rPr>
              <w:t>Partial remission</w:t>
            </w:r>
          </w:p>
        </w:tc>
      </w:tr>
      <w:tr w:rsidR="00A0219D" w:rsidRPr="006318D3" w14:paraId="5CBEB212" w14:textId="77777777" w:rsidTr="00A0219D">
        <w:tc>
          <w:tcPr>
            <w:tcW w:w="2376" w:type="dxa"/>
          </w:tcPr>
          <w:p w14:paraId="5CBEB210" w14:textId="77777777" w:rsidR="00A0219D" w:rsidRPr="006318D3" w:rsidRDefault="00A0219D" w:rsidP="00A0219D">
            <w:pPr>
              <w:rPr>
                <w:lang w:eastAsia="ja-JP"/>
              </w:rPr>
            </w:pPr>
            <w:r w:rsidRPr="006318D3">
              <w:rPr>
                <w:lang w:eastAsia="ja-JP"/>
              </w:rPr>
              <w:t xml:space="preserve">PRO </w:t>
            </w:r>
          </w:p>
        </w:tc>
        <w:tc>
          <w:tcPr>
            <w:tcW w:w="6344" w:type="dxa"/>
          </w:tcPr>
          <w:p w14:paraId="5CBEB211" w14:textId="77777777" w:rsidR="00A0219D" w:rsidRPr="006318D3" w:rsidRDefault="00A0219D" w:rsidP="00A0219D">
            <w:pPr>
              <w:rPr>
                <w:lang w:eastAsia="ja-JP"/>
              </w:rPr>
            </w:pPr>
            <w:r w:rsidRPr="006318D3">
              <w:rPr>
                <w:lang w:eastAsia="ja-JP"/>
              </w:rPr>
              <w:t>Patient Reported Outcome</w:t>
            </w:r>
          </w:p>
        </w:tc>
      </w:tr>
      <w:tr w:rsidR="00A0219D" w:rsidRPr="006318D3" w14:paraId="5CBEB215" w14:textId="77777777" w:rsidTr="00A0219D">
        <w:tc>
          <w:tcPr>
            <w:tcW w:w="2376" w:type="dxa"/>
          </w:tcPr>
          <w:p w14:paraId="5CBEB213" w14:textId="77777777" w:rsidR="00A0219D" w:rsidRPr="006318D3" w:rsidRDefault="00A0219D" w:rsidP="00A0219D">
            <w:pPr>
              <w:rPr>
                <w:lang w:eastAsia="ja-JP"/>
              </w:rPr>
            </w:pPr>
            <w:r w:rsidRPr="006318D3">
              <w:rPr>
                <w:lang w:eastAsia="ja-JP"/>
              </w:rPr>
              <w:t xml:space="preserve">PT </w:t>
            </w:r>
          </w:p>
        </w:tc>
        <w:tc>
          <w:tcPr>
            <w:tcW w:w="6344" w:type="dxa"/>
          </w:tcPr>
          <w:p w14:paraId="5CBEB214" w14:textId="77777777" w:rsidR="00A0219D" w:rsidRPr="006318D3" w:rsidRDefault="00A0219D" w:rsidP="00A0219D">
            <w:pPr>
              <w:rPr>
                <w:lang w:eastAsia="ja-JP"/>
              </w:rPr>
            </w:pPr>
            <w:r w:rsidRPr="006318D3">
              <w:rPr>
                <w:lang w:eastAsia="ja-JP"/>
              </w:rPr>
              <w:t>Preferred term (</w:t>
            </w:r>
            <w:proofErr w:type="spellStart"/>
            <w:r w:rsidRPr="006318D3">
              <w:rPr>
                <w:lang w:eastAsia="ja-JP"/>
              </w:rPr>
              <w:t>MedDRA</w:t>
            </w:r>
            <w:proofErr w:type="spellEnd"/>
            <w:r w:rsidRPr="006318D3">
              <w:rPr>
                <w:lang w:eastAsia="ja-JP"/>
              </w:rPr>
              <w:t>)</w:t>
            </w:r>
          </w:p>
        </w:tc>
      </w:tr>
      <w:tr w:rsidR="00A0219D" w:rsidRPr="006318D3" w14:paraId="5CBEB218" w14:textId="77777777" w:rsidTr="00A0219D">
        <w:tc>
          <w:tcPr>
            <w:tcW w:w="2376" w:type="dxa"/>
          </w:tcPr>
          <w:p w14:paraId="5CBEB216" w14:textId="77777777" w:rsidR="00A0219D" w:rsidRPr="006318D3" w:rsidRDefault="00A0219D" w:rsidP="00A0219D">
            <w:pPr>
              <w:rPr>
                <w:lang w:eastAsia="ja-JP"/>
              </w:rPr>
            </w:pPr>
            <w:r w:rsidRPr="006318D3">
              <w:rPr>
                <w:lang w:eastAsia="ja-JP"/>
              </w:rPr>
              <w:t>Q2W</w:t>
            </w:r>
          </w:p>
        </w:tc>
        <w:tc>
          <w:tcPr>
            <w:tcW w:w="6344" w:type="dxa"/>
          </w:tcPr>
          <w:p w14:paraId="5CBEB217" w14:textId="77777777" w:rsidR="00A0219D" w:rsidRPr="006318D3" w:rsidRDefault="00A0219D" w:rsidP="00A0219D">
            <w:pPr>
              <w:rPr>
                <w:lang w:eastAsia="ja-JP"/>
              </w:rPr>
            </w:pPr>
            <w:r w:rsidRPr="006318D3">
              <w:rPr>
                <w:lang w:eastAsia="ja-JP"/>
              </w:rPr>
              <w:t>Every two weeks</w:t>
            </w:r>
          </w:p>
        </w:tc>
      </w:tr>
      <w:tr w:rsidR="00A0219D" w:rsidRPr="006318D3" w14:paraId="5CBEB21B" w14:textId="77777777" w:rsidTr="00A0219D">
        <w:tc>
          <w:tcPr>
            <w:tcW w:w="2376" w:type="dxa"/>
          </w:tcPr>
          <w:p w14:paraId="5CBEB219" w14:textId="77777777" w:rsidR="00A0219D" w:rsidRPr="006318D3" w:rsidRDefault="00A0219D" w:rsidP="00A0219D">
            <w:pPr>
              <w:rPr>
                <w:lang w:eastAsia="ja-JP"/>
              </w:rPr>
            </w:pPr>
            <w:r w:rsidRPr="006318D3">
              <w:rPr>
                <w:lang w:eastAsia="ja-JP"/>
              </w:rPr>
              <w:t xml:space="preserve">Q3W </w:t>
            </w:r>
          </w:p>
        </w:tc>
        <w:tc>
          <w:tcPr>
            <w:tcW w:w="6344" w:type="dxa"/>
          </w:tcPr>
          <w:p w14:paraId="5CBEB21A" w14:textId="77777777" w:rsidR="00A0219D" w:rsidRPr="006318D3" w:rsidRDefault="00A0219D" w:rsidP="00A0219D">
            <w:pPr>
              <w:rPr>
                <w:lang w:eastAsia="ja-JP"/>
              </w:rPr>
            </w:pPr>
            <w:r w:rsidRPr="006318D3">
              <w:rPr>
                <w:lang w:eastAsia="ja-JP"/>
              </w:rPr>
              <w:t>Every three weeks</w:t>
            </w:r>
          </w:p>
        </w:tc>
      </w:tr>
      <w:tr w:rsidR="00A0219D" w:rsidRPr="006318D3" w14:paraId="5CBEB21E" w14:textId="77777777" w:rsidTr="00A0219D">
        <w:tc>
          <w:tcPr>
            <w:tcW w:w="2376" w:type="dxa"/>
          </w:tcPr>
          <w:p w14:paraId="5CBEB21C" w14:textId="77777777" w:rsidR="00A0219D" w:rsidRPr="006318D3" w:rsidRDefault="00A0219D" w:rsidP="00A0219D">
            <w:pPr>
              <w:rPr>
                <w:lang w:eastAsia="ja-JP"/>
              </w:rPr>
            </w:pPr>
            <w:r w:rsidRPr="006318D3">
              <w:rPr>
                <w:lang w:eastAsia="ja-JP"/>
              </w:rPr>
              <w:t xml:space="preserve">QC </w:t>
            </w:r>
          </w:p>
        </w:tc>
        <w:tc>
          <w:tcPr>
            <w:tcW w:w="6344" w:type="dxa"/>
          </w:tcPr>
          <w:p w14:paraId="5CBEB21D" w14:textId="77777777" w:rsidR="00A0219D" w:rsidRPr="006318D3" w:rsidRDefault="00A0219D" w:rsidP="00A0219D">
            <w:pPr>
              <w:rPr>
                <w:lang w:eastAsia="ja-JP"/>
              </w:rPr>
            </w:pPr>
            <w:r w:rsidRPr="006318D3">
              <w:rPr>
                <w:lang w:eastAsia="ja-JP"/>
              </w:rPr>
              <w:t>Quality Control</w:t>
            </w:r>
          </w:p>
        </w:tc>
      </w:tr>
      <w:tr w:rsidR="00A0219D" w:rsidRPr="006318D3" w14:paraId="5CBEB221" w14:textId="77777777" w:rsidTr="00A0219D">
        <w:tc>
          <w:tcPr>
            <w:tcW w:w="2376" w:type="dxa"/>
          </w:tcPr>
          <w:p w14:paraId="5CBEB21F" w14:textId="77777777" w:rsidR="00A0219D" w:rsidRPr="006318D3" w:rsidRDefault="00A0219D" w:rsidP="00A0219D">
            <w:pPr>
              <w:rPr>
                <w:lang w:eastAsia="ja-JP"/>
              </w:rPr>
            </w:pPr>
            <w:r w:rsidRPr="006318D3">
              <w:rPr>
                <w:lang w:eastAsia="ja-JP"/>
              </w:rPr>
              <w:t xml:space="preserve">QLQ-C30 </w:t>
            </w:r>
          </w:p>
        </w:tc>
        <w:tc>
          <w:tcPr>
            <w:tcW w:w="6344" w:type="dxa"/>
          </w:tcPr>
          <w:p w14:paraId="5CBEB220" w14:textId="77777777" w:rsidR="00A0219D" w:rsidRPr="006318D3" w:rsidRDefault="00A0219D" w:rsidP="00A0219D">
            <w:pPr>
              <w:rPr>
                <w:lang w:eastAsia="ja-JP"/>
              </w:rPr>
            </w:pPr>
            <w:r w:rsidRPr="006318D3">
              <w:rPr>
                <w:lang w:eastAsia="ja-JP"/>
              </w:rPr>
              <w:t>Quality of Life Questionnaire C30</w:t>
            </w:r>
          </w:p>
        </w:tc>
      </w:tr>
      <w:tr w:rsidR="00A0219D" w:rsidRPr="006318D3" w14:paraId="5CBEB224" w14:textId="77777777" w:rsidTr="00A0219D">
        <w:tc>
          <w:tcPr>
            <w:tcW w:w="2376" w:type="dxa"/>
          </w:tcPr>
          <w:p w14:paraId="5CBEB222" w14:textId="77777777" w:rsidR="00A0219D" w:rsidRPr="006318D3" w:rsidRDefault="00A0219D" w:rsidP="00A0219D">
            <w:pPr>
              <w:rPr>
                <w:lang w:eastAsia="ja-JP"/>
              </w:rPr>
            </w:pPr>
            <w:proofErr w:type="spellStart"/>
            <w:r w:rsidRPr="006318D3">
              <w:rPr>
                <w:lang w:eastAsia="ja-JP"/>
              </w:rPr>
              <w:t>QoL</w:t>
            </w:r>
            <w:proofErr w:type="spellEnd"/>
            <w:r w:rsidRPr="006318D3">
              <w:rPr>
                <w:lang w:eastAsia="ja-JP"/>
              </w:rPr>
              <w:t xml:space="preserve"> </w:t>
            </w:r>
          </w:p>
        </w:tc>
        <w:tc>
          <w:tcPr>
            <w:tcW w:w="6344" w:type="dxa"/>
          </w:tcPr>
          <w:p w14:paraId="5CBEB223" w14:textId="77777777" w:rsidR="00A0219D" w:rsidRPr="006318D3" w:rsidRDefault="00A0219D" w:rsidP="00A0219D">
            <w:pPr>
              <w:rPr>
                <w:lang w:eastAsia="ja-JP"/>
              </w:rPr>
            </w:pPr>
            <w:r w:rsidRPr="006318D3">
              <w:rPr>
                <w:lang w:eastAsia="ja-JP"/>
              </w:rPr>
              <w:t>Quality of life</w:t>
            </w:r>
          </w:p>
        </w:tc>
      </w:tr>
      <w:tr w:rsidR="00A0219D" w:rsidRPr="006318D3" w14:paraId="5CBEB227" w14:textId="77777777" w:rsidTr="00A0219D">
        <w:tc>
          <w:tcPr>
            <w:tcW w:w="2376" w:type="dxa"/>
          </w:tcPr>
          <w:p w14:paraId="5CBEB225" w14:textId="77777777" w:rsidR="00A0219D" w:rsidRPr="006318D3" w:rsidRDefault="00A0219D" w:rsidP="00A0219D">
            <w:pPr>
              <w:rPr>
                <w:lang w:eastAsia="ja-JP"/>
              </w:rPr>
            </w:pPr>
            <w:proofErr w:type="spellStart"/>
            <w:r w:rsidRPr="006318D3">
              <w:rPr>
                <w:lang w:eastAsia="ja-JP"/>
              </w:rPr>
              <w:t>rrcHL</w:t>
            </w:r>
            <w:proofErr w:type="spellEnd"/>
            <w:r w:rsidRPr="006318D3">
              <w:rPr>
                <w:lang w:eastAsia="ja-JP"/>
              </w:rPr>
              <w:t xml:space="preserve"> </w:t>
            </w:r>
          </w:p>
        </w:tc>
        <w:tc>
          <w:tcPr>
            <w:tcW w:w="6344" w:type="dxa"/>
          </w:tcPr>
          <w:p w14:paraId="5CBEB226" w14:textId="77777777" w:rsidR="00A0219D" w:rsidRPr="006318D3" w:rsidRDefault="00A0219D" w:rsidP="00A0219D">
            <w:pPr>
              <w:rPr>
                <w:lang w:eastAsia="ja-JP"/>
              </w:rPr>
            </w:pPr>
            <w:r w:rsidRPr="006318D3">
              <w:rPr>
                <w:lang w:eastAsia="ja-JP"/>
              </w:rPr>
              <w:t>relapse</w:t>
            </w:r>
            <w:r w:rsidR="00760808">
              <w:rPr>
                <w:lang w:eastAsia="ja-JP"/>
              </w:rPr>
              <w:t>d/refractory classical Hodgkin L</w:t>
            </w:r>
            <w:r w:rsidRPr="006318D3">
              <w:rPr>
                <w:lang w:eastAsia="ja-JP"/>
              </w:rPr>
              <w:t>ymphoma</w:t>
            </w:r>
          </w:p>
        </w:tc>
      </w:tr>
      <w:tr w:rsidR="00A0219D" w:rsidRPr="006318D3" w14:paraId="5CBEB22A" w14:textId="77777777" w:rsidTr="00A0219D">
        <w:tc>
          <w:tcPr>
            <w:tcW w:w="2376" w:type="dxa"/>
          </w:tcPr>
          <w:p w14:paraId="5CBEB228" w14:textId="77777777" w:rsidR="00A0219D" w:rsidRPr="006318D3" w:rsidRDefault="00A0219D" w:rsidP="00A0219D">
            <w:pPr>
              <w:rPr>
                <w:lang w:eastAsia="ja-JP"/>
              </w:rPr>
            </w:pPr>
            <w:r w:rsidRPr="006318D3">
              <w:rPr>
                <w:lang w:eastAsia="ja-JP"/>
              </w:rPr>
              <w:t xml:space="preserve">SAE </w:t>
            </w:r>
          </w:p>
        </w:tc>
        <w:tc>
          <w:tcPr>
            <w:tcW w:w="6344" w:type="dxa"/>
          </w:tcPr>
          <w:p w14:paraId="5CBEB229" w14:textId="77777777" w:rsidR="00A0219D" w:rsidRPr="006318D3" w:rsidRDefault="00A0219D" w:rsidP="00A0219D">
            <w:pPr>
              <w:rPr>
                <w:lang w:eastAsia="ja-JP"/>
              </w:rPr>
            </w:pPr>
            <w:r w:rsidRPr="006318D3">
              <w:rPr>
                <w:lang w:eastAsia="ja-JP"/>
              </w:rPr>
              <w:t>Serious adverse event</w:t>
            </w:r>
          </w:p>
        </w:tc>
      </w:tr>
      <w:tr w:rsidR="00A0219D" w:rsidRPr="006318D3" w14:paraId="5CBEB22D" w14:textId="77777777" w:rsidTr="00A0219D">
        <w:tc>
          <w:tcPr>
            <w:tcW w:w="2376" w:type="dxa"/>
          </w:tcPr>
          <w:p w14:paraId="5CBEB22B" w14:textId="77777777" w:rsidR="00A0219D" w:rsidRPr="006318D3" w:rsidRDefault="00A0219D" w:rsidP="00A0219D">
            <w:pPr>
              <w:rPr>
                <w:lang w:eastAsia="ja-JP"/>
              </w:rPr>
            </w:pPr>
            <w:r w:rsidRPr="006318D3">
              <w:rPr>
                <w:lang w:eastAsia="ja-JP"/>
              </w:rPr>
              <w:t xml:space="preserve">SAP </w:t>
            </w:r>
          </w:p>
        </w:tc>
        <w:tc>
          <w:tcPr>
            <w:tcW w:w="6344" w:type="dxa"/>
          </w:tcPr>
          <w:p w14:paraId="5CBEB22C" w14:textId="77777777" w:rsidR="00A0219D" w:rsidRPr="006318D3" w:rsidRDefault="00A0219D" w:rsidP="00A0219D">
            <w:pPr>
              <w:rPr>
                <w:lang w:eastAsia="ja-JP"/>
              </w:rPr>
            </w:pPr>
            <w:r w:rsidRPr="006318D3">
              <w:rPr>
                <w:lang w:eastAsia="ja-JP"/>
              </w:rPr>
              <w:t>Statistical analysis plan</w:t>
            </w:r>
          </w:p>
        </w:tc>
      </w:tr>
      <w:tr w:rsidR="00A0219D" w:rsidRPr="006318D3" w14:paraId="5CBEB230" w14:textId="77777777" w:rsidTr="00A0219D">
        <w:tc>
          <w:tcPr>
            <w:tcW w:w="2376" w:type="dxa"/>
          </w:tcPr>
          <w:p w14:paraId="5CBEB22E" w14:textId="77777777" w:rsidR="00A0219D" w:rsidRPr="006318D3" w:rsidRDefault="00A0219D" w:rsidP="00A0219D">
            <w:pPr>
              <w:rPr>
                <w:lang w:eastAsia="ja-JP"/>
              </w:rPr>
            </w:pPr>
            <w:r w:rsidRPr="006318D3">
              <w:rPr>
                <w:lang w:eastAsia="ja-JP"/>
              </w:rPr>
              <w:t xml:space="preserve">SCT </w:t>
            </w:r>
          </w:p>
        </w:tc>
        <w:tc>
          <w:tcPr>
            <w:tcW w:w="6344" w:type="dxa"/>
          </w:tcPr>
          <w:p w14:paraId="5CBEB22F" w14:textId="77777777" w:rsidR="00A0219D" w:rsidRPr="006318D3" w:rsidRDefault="00A0219D" w:rsidP="00A0219D">
            <w:pPr>
              <w:rPr>
                <w:lang w:eastAsia="ja-JP"/>
              </w:rPr>
            </w:pPr>
            <w:r w:rsidRPr="006318D3">
              <w:rPr>
                <w:lang w:eastAsia="ja-JP"/>
              </w:rPr>
              <w:t>Stem cell transplant</w:t>
            </w:r>
          </w:p>
        </w:tc>
      </w:tr>
      <w:tr w:rsidR="00A0219D" w:rsidRPr="006318D3" w14:paraId="5CBEB233" w14:textId="77777777" w:rsidTr="00A0219D">
        <w:tc>
          <w:tcPr>
            <w:tcW w:w="2376" w:type="dxa"/>
          </w:tcPr>
          <w:p w14:paraId="5CBEB231" w14:textId="77777777" w:rsidR="00A0219D" w:rsidRPr="006318D3" w:rsidRDefault="00A0219D" w:rsidP="00A0219D">
            <w:pPr>
              <w:rPr>
                <w:lang w:eastAsia="ja-JP"/>
              </w:rPr>
            </w:pPr>
            <w:r w:rsidRPr="006318D3">
              <w:rPr>
                <w:lang w:eastAsia="ja-JP"/>
              </w:rPr>
              <w:t xml:space="preserve">SD </w:t>
            </w:r>
          </w:p>
        </w:tc>
        <w:tc>
          <w:tcPr>
            <w:tcW w:w="6344" w:type="dxa"/>
          </w:tcPr>
          <w:p w14:paraId="5CBEB232" w14:textId="77777777" w:rsidR="00A0219D" w:rsidRPr="006318D3" w:rsidRDefault="00A0219D" w:rsidP="00A0219D">
            <w:pPr>
              <w:rPr>
                <w:lang w:eastAsia="ja-JP"/>
              </w:rPr>
            </w:pPr>
            <w:r w:rsidRPr="006318D3">
              <w:rPr>
                <w:lang w:eastAsia="ja-JP"/>
              </w:rPr>
              <w:t>Stable disease</w:t>
            </w:r>
          </w:p>
        </w:tc>
      </w:tr>
      <w:tr w:rsidR="00A0219D" w:rsidRPr="006318D3" w14:paraId="5CBEB236" w14:textId="77777777" w:rsidTr="00A0219D">
        <w:tc>
          <w:tcPr>
            <w:tcW w:w="2376" w:type="dxa"/>
          </w:tcPr>
          <w:p w14:paraId="5CBEB234" w14:textId="77777777" w:rsidR="00A0219D" w:rsidRPr="006318D3" w:rsidRDefault="00A0219D" w:rsidP="00A0219D">
            <w:pPr>
              <w:rPr>
                <w:lang w:eastAsia="ja-JP"/>
              </w:rPr>
            </w:pPr>
            <w:r w:rsidRPr="006318D3">
              <w:rPr>
                <w:lang w:eastAsia="ja-JP"/>
              </w:rPr>
              <w:t>SFU</w:t>
            </w:r>
          </w:p>
        </w:tc>
        <w:tc>
          <w:tcPr>
            <w:tcW w:w="6344" w:type="dxa"/>
          </w:tcPr>
          <w:p w14:paraId="5CBEB235" w14:textId="77777777" w:rsidR="00A0219D" w:rsidRPr="006318D3" w:rsidRDefault="00A0219D" w:rsidP="00A0219D">
            <w:pPr>
              <w:rPr>
                <w:lang w:eastAsia="ja-JP"/>
              </w:rPr>
            </w:pPr>
            <w:r w:rsidRPr="006318D3">
              <w:rPr>
                <w:lang w:eastAsia="ja-JP"/>
              </w:rPr>
              <w:t>Survival follow-up</w:t>
            </w:r>
          </w:p>
        </w:tc>
      </w:tr>
      <w:tr w:rsidR="00A0219D" w:rsidRPr="006318D3" w14:paraId="5CBEB239" w14:textId="77777777" w:rsidTr="00A0219D">
        <w:tc>
          <w:tcPr>
            <w:tcW w:w="2376" w:type="dxa"/>
          </w:tcPr>
          <w:p w14:paraId="5CBEB237" w14:textId="77777777" w:rsidR="00A0219D" w:rsidRPr="006318D3" w:rsidRDefault="00A0219D" w:rsidP="00A0219D">
            <w:pPr>
              <w:rPr>
                <w:lang w:eastAsia="ja-JP"/>
              </w:rPr>
            </w:pPr>
            <w:r w:rsidRPr="006318D3">
              <w:rPr>
                <w:lang w:eastAsia="ja-JP"/>
              </w:rPr>
              <w:t xml:space="preserve">SOC </w:t>
            </w:r>
          </w:p>
        </w:tc>
        <w:tc>
          <w:tcPr>
            <w:tcW w:w="6344" w:type="dxa"/>
          </w:tcPr>
          <w:p w14:paraId="5CBEB238" w14:textId="77777777" w:rsidR="00A0219D" w:rsidRPr="006318D3" w:rsidRDefault="00A0219D" w:rsidP="00A0219D">
            <w:pPr>
              <w:rPr>
                <w:lang w:eastAsia="ja-JP"/>
              </w:rPr>
            </w:pPr>
            <w:r w:rsidRPr="006318D3">
              <w:rPr>
                <w:lang w:eastAsia="ja-JP"/>
              </w:rPr>
              <w:t>System Organ Class (</w:t>
            </w:r>
            <w:proofErr w:type="spellStart"/>
            <w:r w:rsidRPr="006318D3">
              <w:rPr>
                <w:lang w:eastAsia="ja-JP"/>
              </w:rPr>
              <w:t>MedDRA</w:t>
            </w:r>
            <w:proofErr w:type="spellEnd"/>
            <w:r w:rsidRPr="006318D3">
              <w:rPr>
                <w:lang w:eastAsia="ja-JP"/>
              </w:rPr>
              <w:t>)</w:t>
            </w:r>
          </w:p>
        </w:tc>
      </w:tr>
      <w:tr w:rsidR="00A0219D" w:rsidRPr="006318D3" w14:paraId="5CBEB23C" w14:textId="77777777" w:rsidTr="00A0219D">
        <w:tc>
          <w:tcPr>
            <w:tcW w:w="2376" w:type="dxa"/>
          </w:tcPr>
          <w:p w14:paraId="5CBEB23A" w14:textId="77777777" w:rsidR="00A0219D" w:rsidRPr="006318D3" w:rsidRDefault="00A0219D" w:rsidP="00A0219D">
            <w:pPr>
              <w:rPr>
                <w:lang w:eastAsia="ja-JP"/>
              </w:rPr>
            </w:pPr>
            <w:r w:rsidRPr="006318D3">
              <w:rPr>
                <w:lang w:eastAsia="ja-JP"/>
              </w:rPr>
              <w:lastRenderedPageBreak/>
              <w:t>UC</w:t>
            </w:r>
          </w:p>
        </w:tc>
        <w:tc>
          <w:tcPr>
            <w:tcW w:w="6344" w:type="dxa"/>
          </w:tcPr>
          <w:p w14:paraId="5CBEB23B" w14:textId="77777777" w:rsidR="00A0219D" w:rsidRPr="006318D3" w:rsidRDefault="00A0219D" w:rsidP="00A0219D">
            <w:pPr>
              <w:rPr>
                <w:lang w:eastAsia="ja-JP"/>
              </w:rPr>
            </w:pPr>
            <w:r w:rsidRPr="006318D3">
              <w:rPr>
                <w:lang w:eastAsia="ja-JP"/>
              </w:rPr>
              <w:t>Urothelial cancer</w:t>
            </w:r>
          </w:p>
        </w:tc>
      </w:tr>
      <w:tr w:rsidR="00A0219D" w:rsidRPr="006318D3" w14:paraId="5CBEB23F" w14:textId="77777777" w:rsidTr="00A0219D">
        <w:tc>
          <w:tcPr>
            <w:tcW w:w="2376" w:type="dxa"/>
          </w:tcPr>
          <w:p w14:paraId="5CBEB23D" w14:textId="77777777" w:rsidR="00A0219D" w:rsidRPr="006318D3" w:rsidRDefault="00A0219D" w:rsidP="00A0219D">
            <w:pPr>
              <w:rPr>
                <w:lang w:eastAsia="ja-JP"/>
              </w:rPr>
            </w:pPr>
            <w:r w:rsidRPr="006318D3">
              <w:rPr>
                <w:lang w:eastAsia="ja-JP"/>
              </w:rPr>
              <w:t xml:space="preserve">ULN </w:t>
            </w:r>
          </w:p>
        </w:tc>
        <w:tc>
          <w:tcPr>
            <w:tcW w:w="6344" w:type="dxa"/>
          </w:tcPr>
          <w:p w14:paraId="5CBEB23E" w14:textId="77777777" w:rsidR="00A0219D" w:rsidRPr="006318D3" w:rsidRDefault="00A0219D" w:rsidP="00A0219D">
            <w:pPr>
              <w:rPr>
                <w:lang w:eastAsia="ja-JP"/>
              </w:rPr>
            </w:pPr>
            <w:r w:rsidRPr="006318D3">
              <w:rPr>
                <w:lang w:eastAsia="ja-JP"/>
              </w:rPr>
              <w:t>Upper limit of normal</w:t>
            </w:r>
          </w:p>
        </w:tc>
      </w:tr>
      <w:tr w:rsidR="00A0219D" w:rsidRPr="006318D3" w14:paraId="5CBEB242" w14:textId="77777777" w:rsidTr="00A0219D">
        <w:tc>
          <w:tcPr>
            <w:tcW w:w="2376" w:type="dxa"/>
          </w:tcPr>
          <w:p w14:paraId="5CBEB240" w14:textId="77777777" w:rsidR="00A0219D" w:rsidRPr="006318D3" w:rsidRDefault="00A0219D" w:rsidP="00A0219D">
            <w:pPr>
              <w:rPr>
                <w:lang w:eastAsia="ja-JP"/>
              </w:rPr>
            </w:pPr>
            <w:r w:rsidRPr="006318D3">
              <w:rPr>
                <w:lang w:eastAsia="ja-JP"/>
              </w:rPr>
              <w:t xml:space="preserve">US </w:t>
            </w:r>
          </w:p>
        </w:tc>
        <w:tc>
          <w:tcPr>
            <w:tcW w:w="6344" w:type="dxa"/>
          </w:tcPr>
          <w:p w14:paraId="5CBEB241" w14:textId="77777777" w:rsidR="00A0219D" w:rsidRPr="006318D3" w:rsidRDefault="00A0219D" w:rsidP="00A0219D">
            <w:pPr>
              <w:rPr>
                <w:lang w:eastAsia="ja-JP"/>
              </w:rPr>
            </w:pPr>
            <w:r w:rsidRPr="006318D3">
              <w:rPr>
                <w:lang w:eastAsia="ja-JP"/>
              </w:rPr>
              <w:t>United States</w:t>
            </w:r>
          </w:p>
        </w:tc>
      </w:tr>
    </w:tbl>
    <w:p w14:paraId="5CBEB244" w14:textId="77777777" w:rsidR="008E7846" w:rsidRDefault="00F53C07" w:rsidP="00F8652A">
      <w:pPr>
        <w:pStyle w:val="Heading2"/>
        <w:pageBreakBefore/>
      </w:pPr>
      <w:bookmarkStart w:id="8" w:name="_Toc517786123"/>
      <w:r>
        <w:lastRenderedPageBreak/>
        <w:t>I.</w:t>
      </w:r>
      <w:r w:rsidR="008E7846">
        <w:t xml:space="preserve"> Introduction to product submission</w:t>
      </w:r>
      <w:bookmarkEnd w:id="0"/>
      <w:bookmarkEnd w:id="2"/>
      <w:bookmarkEnd w:id="8"/>
    </w:p>
    <w:p w14:paraId="5CBEB245" w14:textId="77777777" w:rsidR="008E7846" w:rsidRDefault="008E7846" w:rsidP="008E7846">
      <w:pPr>
        <w:pStyle w:val="Heading3"/>
        <w:rPr>
          <w:lang w:eastAsia="en-AU"/>
        </w:rPr>
      </w:pPr>
      <w:bookmarkStart w:id="9" w:name="_Toc247691502"/>
      <w:bookmarkStart w:id="10" w:name="_Toc314842483"/>
      <w:bookmarkStart w:id="11" w:name="_Toc517786124"/>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14:paraId="5CBEB248" w14:textId="77777777" w:rsidTr="00F8652A">
        <w:trPr>
          <w:trHeight w:hRule="exact" w:val="454"/>
        </w:trPr>
        <w:tc>
          <w:tcPr>
            <w:tcW w:w="2907" w:type="dxa"/>
          </w:tcPr>
          <w:p w14:paraId="5CBEB246"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5CBEB247" w14:textId="77777777" w:rsidR="008E7846" w:rsidRPr="003D1E62" w:rsidRDefault="004E571F" w:rsidP="004E571F">
            <w:r>
              <w:t>Extension of indications</w:t>
            </w:r>
          </w:p>
        </w:tc>
      </w:tr>
      <w:tr w:rsidR="008E7846" w:rsidRPr="003D1E62" w14:paraId="5CBEB24B" w14:textId="77777777" w:rsidTr="00F8652A">
        <w:trPr>
          <w:trHeight w:hRule="exact" w:val="454"/>
        </w:trPr>
        <w:tc>
          <w:tcPr>
            <w:tcW w:w="2907" w:type="dxa"/>
          </w:tcPr>
          <w:p w14:paraId="5CBEB249" w14:textId="77777777" w:rsidR="008E7846" w:rsidRPr="003D1E62" w:rsidRDefault="008E7846" w:rsidP="003D1E62">
            <w:r w:rsidRPr="003D1E62">
              <w:rPr>
                <w:i/>
              </w:rPr>
              <w:t>Decision</w:t>
            </w:r>
            <w:r w:rsidRPr="003D1E62">
              <w:t>:</w:t>
            </w:r>
          </w:p>
        </w:tc>
        <w:tc>
          <w:tcPr>
            <w:tcW w:w="6590" w:type="dxa"/>
            <w:gridSpan w:val="2"/>
          </w:tcPr>
          <w:p w14:paraId="5CBEB24A" w14:textId="77777777" w:rsidR="008E7846" w:rsidRPr="003D1E62" w:rsidRDefault="004E571F" w:rsidP="004E571F">
            <w:r>
              <w:t>Approved</w:t>
            </w:r>
          </w:p>
        </w:tc>
      </w:tr>
      <w:tr w:rsidR="008E7846" w:rsidRPr="003D1E62" w14:paraId="5CBEB24E" w14:textId="77777777" w:rsidTr="00F8652A">
        <w:trPr>
          <w:trHeight w:hRule="exact" w:val="454"/>
        </w:trPr>
        <w:tc>
          <w:tcPr>
            <w:tcW w:w="2907" w:type="dxa"/>
          </w:tcPr>
          <w:p w14:paraId="5CBEB24C"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5CBEB24D" w14:textId="77777777" w:rsidR="008E7846" w:rsidRPr="003D1E62" w:rsidRDefault="00164FDD" w:rsidP="001B5C90">
            <w:r w:rsidRPr="00164FDD">
              <w:t>1 September 2017</w:t>
            </w:r>
          </w:p>
        </w:tc>
      </w:tr>
      <w:tr w:rsidR="00ED2922" w:rsidRPr="003D1E62" w14:paraId="5CBEB251" w14:textId="77777777" w:rsidTr="00F8652A">
        <w:trPr>
          <w:trHeight w:hRule="exact" w:val="454"/>
        </w:trPr>
        <w:tc>
          <w:tcPr>
            <w:tcW w:w="2907" w:type="dxa"/>
          </w:tcPr>
          <w:p w14:paraId="5CBEB24F" w14:textId="77777777" w:rsidR="00ED2922" w:rsidRPr="00441C3F" w:rsidRDefault="00ED2922" w:rsidP="001B5C90">
            <w:pPr>
              <w:rPr>
                <w:i/>
              </w:rPr>
            </w:pPr>
            <w:r w:rsidRPr="00441C3F">
              <w:rPr>
                <w:i/>
              </w:rPr>
              <w:t>Date of entry onto ARTG</w:t>
            </w:r>
          </w:p>
        </w:tc>
        <w:tc>
          <w:tcPr>
            <w:tcW w:w="6590" w:type="dxa"/>
            <w:gridSpan w:val="2"/>
          </w:tcPr>
          <w:p w14:paraId="5CBEB250" w14:textId="77777777" w:rsidR="00ED2922" w:rsidRPr="00441C3F" w:rsidRDefault="005002DD" w:rsidP="00EC463D">
            <w:pPr>
              <w:rPr>
                <w:i/>
              </w:rPr>
            </w:pPr>
            <w:r>
              <w:t>7 September 2017</w:t>
            </w:r>
          </w:p>
        </w:tc>
      </w:tr>
      <w:tr w:rsidR="008E7846" w:rsidRPr="00487162" w14:paraId="5CBEB255" w14:textId="77777777" w:rsidTr="00F8652A">
        <w:trPr>
          <w:gridAfter w:val="1"/>
          <w:wAfter w:w="283" w:type="dxa"/>
        </w:trPr>
        <w:tc>
          <w:tcPr>
            <w:tcW w:w="2907" w:type="dxa"/>
          </w:tcPr>
          <w:p w14:paraId="5CBEB253" w14:textId="77777777" w:rsidR="008E7846" w:rsidRPr="00487162" w:rsidRDefault="001B5C90" w:rsidP="00E45619">
            <w:pPr>
              <w:rPr>
                <w:i/>
              </w:rPr>
            </w:pPr>
            <w:r>
              <w:rPr>
                <w:i/>
              </w:rPr>
              <w:t>Active ingredient(s):</w:t>
            </w:r>
          </w:p>
        </w:tc>
        <w:tc>
          <w:tcPr>
            <w:tcW w:w="6307" w:type="dxa"/>
          </w:tcPr>
          <w:p w14:paraId="5CBEB254" w14:textId="77777777" w:rsidR="008E7846" w:rsidRPr="00487162" w:rsidRDefault="004E571F" w:rsidP="00E45619">
            <w:proofErr w:type="spellStart"/>
            <w:r w:rsidRPr="004E571F">
              <w:t>Pembrolizumab</w:t>
            </w:r>
            <w:proofErr w:type="spellEnd"/>
          </w:p>
        </w:tc>
      </w:tr>
      <w:tr w:rsidR="008E7846" w:rsidRPr="00487162" w14:paraId="5CBEB258" w14:textId="77777777" w:rsidTr="00F8652A">
        <w:trPr>
          <w:gridAfter w:val="1"/>
          <w:wAfter w:w="283" w:type="dxa"/>
        </w:trPr>
        <w:tc>
          <w:tcPr>
            <w:tcW w:w="2907" w:type="dxa"/>
          </w:tcPr>
          <w:p w14:paraId="5CBEB256" w14:textId="77777777" w:rsidR="008E7846" w:rsidRPr="00487162" w:rsidRDefault="008E7846" w:rsidP="001B5C90">
            <w:pPr>
              <w:rPr>
                <w:i/>
              </w:rPr>
            </w:pPr>
            <w:r w:rsidRPr="00487162">
              <w:rPr>
                <w:i/>
              </w:rPr>
              <w:t>Product</w:t>
            </w:r>
            <w:r w:rsidR="001B5C90">
              <w:rPr>
                <w:i/>
              </w:rPr>
              <w:t xml:space="preserve"> name(s):</w:t>
            </w:r>
          </w:p>
        </w:tc>
        <w:tc>
          <w:tcPr>
            <w:tcW w:w="6307" w:type="dxa"/>
          </w:tcPr>
          <w:p w14:paraId="5CBEB257" w14:textId="77777777" w:rsidR="008E7846" w:rsidRPr="00487162" w:rsidRDefault="004E571F" w:rsidP="00E45619">
            <w:proofErr w:type="spellStart"/>
            <w:r>
              <w:t>Keytruda</w:t>
            </w:r>
            <w:proofErr w:type="spellEnd"/>
          </w:p>
        </w:tc>
      </w:tr>
      <w:tr w:rsidR="008E7846" w:rsidRPr="00487162" w14:paraId="5CBEB25C" w14:textId="77777777" w:rsidTr="00F8652A">
        <w:trPr>
          <w:gridAfter w:val="1"/>
          <w:wAfter w:w="283" w:type="dxa"/>
        </w:trPr>
        <w:tc>
          <w:tcPr>
            <w:tcW w:w="2907" w:type="dxa"/>
          </w:tcPr>
          <w:p w14:paraId="5CBEB25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CBEB25A" w14:textId="77777777" w:rsidR="008E7846" w:rsidRDefault="0076528D" w:rsidP="00E45619">
            <w:r w:rsidRPr="0076528D">
              <w:t>Merck Sharp &amp; Dohme (Australia) Pty L</w:t>
            </w:r>
            <w:r w:rsidR="00DA10E8">
              <w:t>td</w:t>
            </w:r>
          </w:p>
          <w:p w14:paraId="5CBEB25B" w14:textId="77777777" w:rsidR="00774CD1" w:rsidRPr="00487162" w:rsidRDefault="00774CD1" w:rsidP="00E45619">
            <w:r>
              <w:t>26 Talavera Road Macquarie Park 2113 NSW</w:t>
            </w:r>
          </w:p>
        </w:tc>
      </w:tr>
      <w:tr w:rsidR="008E7846" w:rsidRPr="00487162" w14:paraId="5CBEB25F" w14:textId="77777777" w:rsidTr="00F8652A">
        <w:trPr>
          <w:gridAfter w:val="1"/>
          <w:wAfter w:w="283" w:type="dxa"/>
        </w:trPr>
        <w:tc>
          <w:tcPr>
            <w:tcW w:w="2907" w:type="dxa"/>
          </w:tcPr>
          <w:p w14:paraId="5CBEB25D" w14:textId="77777777" w:rsidR="008E7846" w:rsidRPr="00487162" w:rsidRDefault="001B5C90" w:rsidP="00E45619">
            <w:pPr>
              <w:rPr>
                <w:i/>
              </w:rPr>
            </w:pPr>
            <w:r>
              <w:rPr>
                <w:i/>
              </w:rPr>
              <w:t>Dose form(s):</w:t>
            </w:r>
          </w:p>
        </w:tc>
        <w:tc>
          <w:tcPr>
            <w:tcW w:w="6307" w:type="dxa"/>
          </w:tcPr>
          <w:p w14:paraId="5CBEB25E" w14:textId="77777777" w:rsidR="008E7846" w:rsidRPr="00DD165C" w:rsidRDefault="00164FDD" w:rsidP="00DD165C">
            <w:r w:rsidRPr="00DD165C">
              <w:t xml:space="preserve">Powder for injection </w:t>
            </w:r>
            <w:r w:rsidR="00DD165C" w:rsidRPr="00DD165C">
              <w:t>and</w:t>
            </w:r>
            <w:r w:rsidRPr="00DD165C">
              <w:t xml:space="preserve"> </w:t>
            </w:r>
            <w:r w:rsidR="00DD165C" w:rsidRPr="00DD165C">
              <w:t>Concentrated s</w:t>
            </w:r>
            <w:r w:rsidRPr="00DD165C">
              <w:t xml:space="preserve">olution for injection </w:t>
            </w:r>
          </w:p>
        </w:tc>
      </w:tr>
      <w:tr w:rsidR="008E7846" w:rsidRPr="00487162" w14:paraId="5CBEB262" w14:textId="77777777" w:rsidTr="00F8652A">
        <w:trPr>
          <w:gridAfter w:val="1"/>
          <w:wAfter w:w="283" w:type="dxa"/>
        </w:trPr>
        <w:tc>
          <w:tcPr>
            <w:tcW w:w="2907" w:type="dxa"/>
          </w:tcPr>
          <w:p w14:paraId="5CBEB260" w14:textId="77777777" w:rsidR="008E7846" w:rsidRPr="00487162" w:rsidRDefault="008E7846" w:rsidP="00E45619">
            <w:pPr>
              <w:rPr>
                <w:i/>
              </w:rPr>
            </w:pPr>
            <w:r w:rsidRPr="00487162">
              <w:rPr>
                <w:i/>
              </w:rPr>
              <w:t xml:space="preserve">Strength(s): </w:t>
            </w:r>
          </w:p>
        </w:tc>
        <w:tc>
          <w:tcPr>
            <w:tcW w:w="6307" w:type="dxa"/>
          </w:tcPr>
          <w:p w14:paraId="5CBEB261" w14:textId="77777777" w:rsidR="008E7846" w:rsidRPr="00DD165C" w:rsidRDefault="00164FDD" w:rsidP="00760808">
            <w:r w:rsidRPr="00DD165C">
              <w:t xml:space="preserve">50 mg </w:t>
            </w:r>
            <w:r w:rsidR="00760808" w:rsidRPr="00DD165C">
              <w:t>and</w:t>
            </w:r>
            <w:r w:rsidRPr="00DD165C">
              <w:t xml:space="preserve"> 100</w:t>
            </w:r>
            <w:r w:rsidR="00760808" w:rsidRPr="00DD165C">
              <w:t xml:space="preserve"> mg/4 mL </w:t>
            </w:r>
          </w:p>
        </w:tc>
      </w:tr>
      <w:tr w:rsidR="008E7846" w:rsidRPr="00487162" w14:paraId="5CBEB265" w14:textId="77777777" w:rsidTr="00F8652A">
        <w:trPr>
          <w:gridAfter w:val="1"/>
          <w:wAfter w:w="283" w:type="dxa"/>
        </w:trPr>
        <w:tc>
          <w:tcPr>
            <w:tcW w:w="2907" w:type="dxa"/>
          </w:tcPr>
          <w:p w14:paraId="5CBEB263" w14:textId="77777777" w:rsidR="008E7846" w:rsidRPr="00487162" w:rsidRDefault="008E7846" w:rsidP="00E45619">
            <w:pPr>
              <w:rPr>
                <w:i/>
              </w:rPr>
            </w:pPr>
            <w:r w:rsidRPr="00487162">
              <w:rPr>
                <w:i/>
              </w:rPr>
              <w:t>Container(s):</w:t>
            </w:r>
          </w:p>
        </w:tc>
        <w:tc>
          <w:tcPr>
            <w:tcW w:w="6307" w:type="dxa"/>
          </w:tcPr>
          <w:p w14:paraId="5CBEB264" w14:textId="77777777" w:rsidR="008E7846" w:rsidRPr="00DD165C" w:rsidRDefault="00DD165C" w:rsidP="00E45619">
            <w:r w:rsidRPr="00DD165C">
              <w:t>S</w:t>
            </w:r>
            <w:r w:rsidR="00164FDD" w:rsidRPr="00DD165C">
              <w:t>ingle use vial</w:t>
            </w:r>
          </w:p>
        </w:tc>
      </w:tr>
      <w:tr w:rsidR="008E7846" w:rsidRPr="00487162" w14:paraId="5CBEB268" w14:textId="77777777" w:rsidTr="00F8652A">
        <w:trPr>
          <w:gridAfter w:val="1"/>
          <w:wAfter w:w="283" w:type="dxa"/>
        </w:trPr>
        <w:tc>
          <w:tcPr>
            <w:tcW w:w="2907" w:type="dxa"/>
          </w:tcPr>
          <w:p w14:paraId="5CBEB266" w14:textId="77777777" w:rsidR="008E7846" w:rsidRPr="00487162" w:rsidRDefault="008E7846" w:rsidP="00E45619">
            <w:pPr>
              <w:rPr>
                <w:i/>
              </w:rPr>
            </w:pPr>
            <w:r w:rsidRPr="00487162">
              <w:rPr>
                <w:i/>
              </w:rPr>
              <w:t>Pack size(s):</w:t>
            </w:r>
          </w:p>
        </w:tc>
        <w:tc>
          <w:tcPr>
            <w:tcW w:w="6307" w:type="dxa"/>
          </w:tcPr>
          <w:p w14:paraId="5CBEB267" w14:textId="77777777" w:rsidR="008E7846" w:rsidRPr="00487162" w:rsidRDefault="00164FDD" w:rsidP="00E45619">
            <w:r>
              <w:t>1’s</w:t>
            </w:r>
          </w:p>
        </w:tc>
      </w:tr>
      <w:tr w:rsidR="008E7846" w:rsidRPr="00487162" w14:paraId="5CBEB26E" w14:textId="77777777" w:rsidTr="00F8652A">
        <w:trPr>
          <w:gridAfter w:val="1"/>
          <w:wAfter w:w="283" w:type="dxa"/>
        </w:trPr>
        <w:tc>
          <w:tcPr>
            <w:tcW w:w="2907" w:type="dxa"/>
          </w:tcPr>
          <w:p w14:paraId="5CBEB26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CBEB26A" w14:textId="77777777" w:rsidR="00164FDD" w:rsidRDefault="00957DB3" w:rsidP="00164FDD">
            <w:proofErr w:type="spellStart"/>
            <w:r>
              <w:t>Keytruda</w:t>
            </w:r>
            <w:proofErr w:type="spellEnd"/>
            <w:r w:rsidR="00164FDD">
              <w:t xml:space="preserve"> as monotherapy is indicated for the treatment of adult patients with relapsed or refractory classical Hodgkin Lymphoma (</w:t>
            </w:r>
            <w:proofErr w:type="spellStart"/>
            <w:r w:rsidR="00164FDD">
              <w:t>cHL</w:t>
            </w:r>
            <w:proofErr w:type="spellEnd"/>
            <w:r w:rsidR="00164FDD">
              <w:t>):</w:t>
            </w:r>
          </w:p>
          <w:p w14:paraId="5CBEB26B" w14:textId="77777777" w:rsidR="00164FDD" w:rsidRDefault="00164FDD" w:rsidP="00957DB3">
            <w:pPr>
              <w:pStyle w:val="Numberbullet0"/>
            </w:pPr>
            <w:r>
              <w:t>following autologous stem cell transplant (ASCT) or</w:t>
            </w:r>
          </w:p>
          <w:p w14:paraId="5CBEB26C" w14:textId="77777777" w:rsidR="00164FDD" w:rsidRDefault="00164FDD" w:rsidP="00957DB3">
            <w:pPr>
              <w:pStyle w:val="Numberbullet0"/>
            </w:pPr>
            <w:proofErr w:type="gramStart"/>
            <w:r>
              <w:t>following</w:t>
            </w:r>
            <w:proofErr w:type="gramEnd"/>
            <w:r>
              <w:t xml:space="preserve"> at least two prior therapies when ASCT or multi-agent chemotherapy is not a treatment option.</w:t>
            </w:r>
          </w:p>
          <w:p w14:paraId="5CBEB26D" w14:textId="77777777" w:rsidR="008E7846" w:rsidRPr="00487162" w:rsidRDefault="00164FDD" w:rsidP="00164FDD">
            <w:pPr>
              <w:rPr>
                <w:rFonts w:eastAsia="MS Mincho"/>
                <w:lang w:eastAsia="ja-JP"/>
              </w:rPr>
            </w:pPr>
            <w:r>
              <w:t xml:space="preserve">The approval of this indication is on the basis of objective response rate (ORR). See </w:t>
            </w:r>
            <w:r w:rsidR="00957DB3">
              <w:t>Clinical Trial</w:t>
            </w:r>
            <w:r>
              <w:t>.</w:t>
            </w:r>
          </w:p>
        </w:tc>
      </w:tr>
      <w:tr w:rsidR="008E7846" w:rsidRPr="00487162" w14:paraId="5CBEB271" w14:textId="77777777" w:rsidTr="00F8652A">
        <w:trPr>
          <w:gridAfter w:val="1"/>
          <w:wAfter w:w="283" w:type="dxa"/>
        </w:trPr>
        <w:tc>
          <w:tcPr>
            <w:tcW w:w="2907" w:type="dxa"/>
          </w:tcPr>
          <w:p w14:paraId="5CBEB26F" w14:textId="77777777" w:rsidR="008E7846" w:rsidRPr="00487162" w:rsidRDefault="008E7846" w:rsidP="00E45619">
            <w:pPr>
              <w:rPr>
                <w:i/>
              </w:rPr>
            </w:pPr>
            <w:r w:rsidRPr="00487162">
              <w:rPr>
                <w:i/>
              </w:rPr>
              <w:t>Route(s) of administration:</w:t>
            </w:r>
          </w:p>
        </w:tc>
        <w:tc>
          <w:tcPr>
            <w:tcW w:w="6307" w:type="dxa"/>
          </w:tcPr>
          <w:p w14:paraId="5CBEB270" w14:textId="77777777" w:rsidR="008E7846" w:rsidRPr="00487162" w:rsidRDefault="00164FDD" w:rsidP="00E45619">
            <w:r>
              <w:t xml:space="preserve">Intravenous </w:t>
            </w:r>
            <w:r w:rsidR="00DD165C">
              <w:t xml:space="preserve">(IV) </w:t>
            </w:r>
            <w:r>
              <w:t>infusion over 30 minutes every 3 weeks.</w:t>
            </w:r>
          </w:p>
        </w:tc>
      </w:tr>
      <w:tr w:rsidR="008E7846" w:rsidRPr="00487162" w14:paraId="5CBEB274" w14:textId="77777777" w:rsidTr="00F8652A">
        <w:trPr>
          <w:gridAfter w:val="1"/>
          <w:wAfter w:w="283" w:type="dxa"/>
        </w:trPr>
        <w:tc>
          <w:tcPr>
            <w:tcW w:w="2907" w:type="dxa"/>
          </w:tcPr>
          <w:p w14:paraId="5CBEB272" w14:textId="77777777" w:rsidR="008E7846" w:rsidRPr="00487162" w:rsidRDefault="008E7846" w:rsidP="00E45619">
            <w:pPr>
              <w:rPr>
                <w:i/>
              </w:rPr>
            </w:pPr>
            <w:r w:rsidRPr="00487162">
              <w:rPr>
                <w:i/>
              </w:rPr>
              <w:t>Dosage:</w:t>
            </w:r>
          </w:p>
        </w:tc>
        <w:tc>
          <w:tcPr>
            <w:tcW w:w="6307" w:type="dxa"/>
          </w:tcPr>
          <w:p w14:paraId="5CBEB273" w14:textId="77777777" w:rsidR="008E7846" w:rsidRPr="00487162" w:rsidRDefault="00164FDD" w:rsidP="005002DD">
            <w:r>
              <w:t xml:space="preserve">The recommended dose of </w:t>
            </w:r>
            <w:proofErr w:type="spellStart"/>
            <w:r w:rsidR="00957DB3">
              <w:t>Keytruda</w:t>
            </w:r>
            <w:proofErr w:type="spellEnd"/>
            <w:r w:rsidR="005002DD">
              <w:t xml:space="preserve"> is </w:t>
            </w:r>
            <w:r>
              <w:t>200 mg for head and neck cancer, classical Hodgkin Lymphoma, or previously untreated NSCLC.</w:t>
            </w:r>
          </w:p>
        </w:tc>
      </w:tr>
      <w:tr w:rsidR="008E7846" w:rsidRPr="00487162" w14:paraId="5CBEB277" w14:textId="77777777" w:rsidTr="00F8652A">
        <w:trPr>
          <w:gridAfter w:val="1"/>
          <w:wAfter w:w="283" w:type="dxa"/>
        </w:trPr>
        <w:tc>
          <w:tcPr>
            <w:tcW w:w="2907" w:type="dxa"/>
          </w:tcPr>
          <w:p w14:paraId="5CBEB275"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5CBEB276" w14:textId="77777777" w:rsidR="008E7846" w:rsidRPr="00487162" w:rsidRDefault="00164FDD" w:rsidP="00E45619">
            <w:r w:rsidRPr="00164FDD">
              <w:t>226597</w:t>
            </w:r>
            <w:r>
              <w:t xml:space="preserve">, </w:t>
            </w:r>
            <w:r w:rsidRPr="00164FDD">
              <w:t>263932</w:t>
            </w:r>
          </w:p>
        </w:tc>
      </w:tr>
    </w:tbl>
    <w:p w14:paraId="5CBEB278" w14:textId="77777777" w:rsidR="008E7846" w:rsidRDefault="008E7846" w:rsidP="008E7846">
      <w:pPr>
        <w:pStyle w:val="Heading3"/>
      </w:pPr>
      <w:bookmarkStart w:id="12" w:name="_Toc247691503"/>
      <w:bookmarkStart w:id="13" w:name="_Toc314842484"/>
      <w:bookmarkStart w:id="14" w:name="_Toc517786125"/>
      <w:r>
        <w:t>Product background</w:t>
      </w:r>
      <w:bookmarkEnd w:id="12"/>
      <w:bookmarkEnd w:id="13"/>
      <w:bookmarkEnd w:id="14"/>
    </w:p>
    <w:p w14:paraId="5CBEB279" w14:textId="77777777" w:rsidR="0076528D" w:rsidRDefault="00957DB3" w:rsidP="00940A89">
      <w:r>
        <w:t>T</w:t>
      </w:r>
      <w:r w:rsidR="00940A89" w:rsidRPr="00940A89">
        <w:t xml:space="preserve">his </w:t>
      </w:r>
      <w:proofErr w:type="spellStart"/>
      <w:r w:rsidR="00940A89" w:rsidRPr="00940A89">
        <w:t>AusPAR</w:t>
      </w:r>
      <w:proofErr w:type="spellEnd"/>
      <w:r w:rsidR="00940A89" w:rsidRPr="00940A89">
        <w:t xml:space="preserve"> describes the application by the sponsor to </w:t>
      </w:r>
      <w:r w:rsidR="0076528D" w:rsidRPr="0076528D">
        <w:t xml:space="preserve">extend the indications for </w:t>
      </w:r>
      <w:proofErr w:type="spellStart"/>
      <w:r w:rsidR="0076528D" w:rsidRPr="0076528D">
        <w:t>pembrolizumab</w:t>
      </w:r>
      <w:proofErr w:type="spellEnd"/>
      <w:r w:rsidR="0076528D" w:rsidRPr="0076528D">
        <w:t xml:space="preserve"> (</w:t>
      </w:r>
      <w:proofErr w:type="spellStart"/>
      <w:r>
        <w:t>Keytruda</w:t>
      </w:r>
      <w:proofErr w:type="spellEnd"/>
      <w:r w:rsidR="0076528D" w:rsidRPr="0076528D">
        <w:t>) to include classical Hodgkin lymphoma</w:t>
      </w:r>
      <w:r>
        <w:t xml:space="preserve"> as follows;</w:t>
      </w:r>
    </w:p>
    <w:p w14:paraId="5CBEB27A" w14:textId="77777777" w:rsidR="00957DB3" w:rsidRPr="00957DB3" w:rsidRDefault="00957DB3" w:rsidP="00957DB3">
      <w:pPr>
        <w:ind w:left="720"/>
        <w:rPr>
          <w:i/>
        </w:rPr>
      </w:pPr>
      <w:proofErr w:type="spellStart"/>
      <w:r w:rsidRPr="00957DB3">
        <w:rPr>
          <w:i/>
        </w:rPr>
        <w:t>Keytruda</w:t>
      </w:r>
      <w:proofErr w:type="spellEnd"/>
      <w:r w:rsidRPr="00957DB3">
        <w:rPr>
          <w:i/>
        </w:rPr>
        <w:t xml:space="preserve"> is indicated for the treatment of patients with refractory classical Hodgkin Lymphoma, or those who have relapsed after 3 or more prior lines of therapy.</w:t>
      </w:r>
    </w:p>
    <w:p w14:paraId="5CBEB27B" w14:textId="77777777" w:rsidR="0060194D" w:rsidRPr="00605AD4" w:rsidRDefault="0060194D" w:rsidP="0060194D">
      <w:r w:rsidRPr="009F7D40">
        <w:lastRenderedPageBreak/>
        <w:t>Amendments to th</w:t>
      </w:r>
      <w:r w:rsidR="0029052F">
        <w:t>e</w:t>
      </w:r>
      <w:r w:rsidRPr="009F7D40">
        <w:t xml:space="preserve"> proposed indications were proposed by the </w:t>
      </w:r>
      <w:r w:rsidR="00DD165C">
        <w:t xml:space="preserve">TGA </w:t>
      </w:r>
      <w:r w:rsidRPr="009F7D40">
        <w:t xml:space="preserve">clinical evaluator and the </w:t>
      </w:r>
      <w:r w:rsidR="00DD165C">
        <w:t xml:space="preserve">TGA </w:t>
      </w:r>
      <w:r w:rsidRPr="009F7D40">
        <w:t xml:space="preserve">Delegate (see </w:t>
      </w:r>
      <w:r w:rsidRPr="009F7D40">
        <w:rPr>
          <w:i/>
        </w:rPr>
        <w:t>First Round Recommendation Regarding Authorisation</w:t>
      </w:r>
      <w:r w:rsidRPr="009F7D40">
        <w:t xml:space="preserve"> and </w:t>
      </w:r>
      <w:r w:rsidRPr="009F7D40">
        <w:rPr>
          <w:i/>
        </w:rPr>
        <w:t>Overall conclusion and risk benefit analysis</w:t>
      </w:r>
      <w:r w:rsidRPr="009F7D40">
        <w:t xml:space="preserve"> below).</w:t>
      </w:r>
    </w:p>
    <w:p w14:paraId="5CBEB27C" w14:textId="77777777" w:rsidR="00A0219D" w:rsidRPr="00DD165C" w:rsidRDefault="00EA352D" w:rsidP="00DD165C">
      <w:proofErr w:type="spellStart"/>
      <w:r w:rsidRPr="00DD165C">
        <w:t>Keytruda</w:t>
      </w:r>
      <w:proofErr w:type="spellEnd"/>
      <w:r w:rsidRPr="00DD165C">
        <w:t xml:space="preserve"> is currently approved at the same dose for the treatment non-small cell lung cancer and head and neck squamous cell carcinoma, and dosed at 2 mg/kg bodyweight for the treatment of melanoma or previously treated non-small cell lung cancer</w:t>
      </w:r>
      <w:r w:rsidR="00DD165C">
        <w:t>.</w:t>
      </w:r>
      <w:r w:rsidR="00DD165C">
        <w:rPr>
          <w:rStyle w:val="FootnoteReference"/>
        </w:rPr>
        <w:footnoteReference w:id="2"/>
      </w:r>
    </w:p>
    <w:p w14:paraId="5CBEB27D" w14:textId="77777777" w:rsidR="004E571F" w:rsidRDefault="004E571F" w:rsidP="00940A89">
      <w:r w:rsidRPr="00DD165C">
        <w:t xml:space="preserve">The proposed dose for classical Hodgkin Lymphoma is a fixed dose of 200 mg </w:t>
      </w:r>
      <w:proofErr w:type="spellStart"/>
      <w:r w:rsidRPr="00DD165C">
        <w:t>pembrolizumab</w:t>
      </w:r>
      <w:proofErr w:type="spellEnd"/>
      <w:r w:rsidRPr="00DD165C">
        <w:t xml:space="preserve"> administered intravenously every 3 weeks.</w:t>
      </w:r>
    </w:p>
    <w:p w14:paraId="5CBEB27E" w14:textId="77777777" w:rsidR="00DF1FCC" w:rsidRDefault="0029052F" w:rsidP="00DF1FCC">
      <w:pPr>
        <w:pStyle w:val="Heading4"/>
      </w:pPr>
      <w:r>
        <w:t xml:space="preserve">Mechanism of action of </w:t>
      </w:r>
      <w:proofErr w:type="spellStart"/>
      <w:r>
        <w:t>p</w:t>
      </w:r>
      <w:r w:rsidR="00DF1FCC" w:rsidRPr="00BC045C">
        <w:t>embrolizumab</w:t>
      </w:r>
      <w:proofErr w:type="spellEnd"/>
    </w:p>
    <w:p w14:paraId="5CBEB27F" w14:textId="77777777" w:rsidR="00DF1FCC" w:rsidRDefault="0029052F" w:rsidP="00DF1FCC">
      <w:proofErr w:type="spellStart"/>
      <w:r>
        <w:t>P</w:t>
      </w:r>
      <w:r w:rsidR="00DF1FCC">
        <w:t>embrolizumab</w:t>
      </w:r>
      <w:proofErr w:type="spellEnd"/>
      <w:r w:rsidR="00DF1FCC">
        <w:t xml:space="preserve"> is a selective humanised monoclonal antibody designed to block the interaction between PD-1 and its ligands, PD-L1 (also known as CD274 or B7-H1) and PD-L2 (also known as CD273 or B7-DC),</w:t>
      </w:r>
      <w:r w:rsidR="00DF1FCC" w:rsidRPr="00B537FA">
        <w:t xml:space="preserve"> </w:t>
      </w:r>
      <w:r w:rsidR="00DF1FCC">
        <w:t xml:space="preserve">on activated T-lymphocytes. </w:t>
      </w:r>
      <w:proofErr w:type="spellStart"/>
      <w:r w:rsidR="00DF1FCC">
        <w:t>Pembrolizumab</w:t>
      </w:r>
      <w:proofErr w:type="spellEnd"/>
      <w:r w:rsidR="00DF1FCC">
        <w:t xml:space="preserve"> is an IgG4 kappa immunoglobulin with an approximate molecular weight of 149 </w:t>
      </w:r>
      <w:proofErr w:type="spellStart"/>
      <w:r w:rsidR="00DF1FCC">
        <w:t>kDa</w:t>
      </w:r>
      <w:proofErr w:type="spellEnd"/>
      <w:r w:rsidR="00DF1FCC">
        <w:t xml:space="preserve">. </w:t>
      </w:r>
      <w:proofErr w:type="spellStart"/>
      <w:r w:rsidR="00DF1FCC">
        <w:t>Pembrolizumab</w:t>
      </w:r>
      <w:proofErr w:type="spellEnd"/>
      <w:r w:rsidR="00DF1FCC">
        <w:t xml:space="preserve"> is produced in Chinese hamster ovary cells by recombinant DNA technology.</w:t>
      </w:r>
    </w:p>
    <w:p w14:paraId="1F57F627" w14:textId="77777777" w:rsidR="00F8652A" w:rsidRDefault="00DF1FCC" w:rsidP="00DF1FCC">
      <w:r>
        <w:t>Similar to the CTLA-4 receptor, stimulation of PD-1 results in an inhibitory effect on T-cell function. The normal function of the PD-1 receptor is to limit or ‘check’ overstimulation of immune responses. Multiple normal tissues express PD-L1, whereas PD-L2 is expressed primarily on haematopoietic cells.</w:t>
      </w:r>
    </w:p>
    <w:p w14:paraId="5CBEB281" w14:textId="6A28191A" w:rsidR="00DF1FCC" w:rsidRDefault="00DF1FCC" w:rsidP="00DF1FCC">
      <w:r>
        <w:t>Several different tumours, including melanoma, express PD-L1. Tumour expression of PD-L1 may result in inhibition of T-cell mediated anti-tumour effects.</w:t>
      </w:r>
    </w:p>
    <w:p w14:paraId="5CBEB282" w14:textId="77777777" w:rsidR="00DF1FCC" w:rsidRPr="00074238" w:rsidRDefault="00DF1FCC" w:rsidP="00DF1FCC">
      <w:r>
        <w:t xml:space="preserve">The clinical rationale for PD-1 receptor blockade with </w:t>
      </w:r>
      <w:proofErr w:type="spellStart"/>
      <w:r>
        <w:t>pembrolizumab</w:t>
      </w:r>
      <w:proofErr w:type="spellEnd"/>
      <w:r>
        <w:t xml:space="preserve"> is to remove such inhibition.</w:t>
      </w:r>
    </w:p>
    <w:p w14:paraId="5CBEB283" w14:textId="77777777" w:rsidR="000476AD" w:rsidRDefault="000476AD" w:rsidP="00ED59E7">
      <w:pPr>
        <w:pStyle w:val="Heading4"/>
      </w:pPr>
      <w:r>
        <w:t xml:space="preserve">Classical </w:t>
      </w:r>
      <w:r w:rsidRPr="00305116">
        <w:t>Hodgkin lymphoma (HL)</w:t>
      </w:r>
    </w:p>
    <w:p w14:paraId="4D4E15C5" w14:textId="77777777" w:rsidR="00F8652A" w:rsidRDefault="000476AD" w:rsidP="00ED59E7">
      <w:pPr>
        <w:rPr>
          <w:rFonts w:asciiTheme="minorHAnsi" w:hAnsiTheme="minorHAnsi"/>
        </w:rPr>
      </w:pPr>
      <w:r w:rsidRPr="00E51376">
        <w:rPr>
          <w:rFonts w:asciiTheme="minorHAnsi" w:hAnsiTheme="minorHAnsi"/>
        </w:rPr>
        <w:t>Hodgkin lymphoma (HL) is an uncommon B-cell lymphoid malignancy</w:t>
      </w:r>
      <w:r>
        <w:rPr>
          <w:rFonts w:asciiTheme="minorHAnsi" w:hAnsiTheme="minorHAnsi"/>
        </w:rPr>
        <w:t xml:space="preserve"> which </w:t>
      </w:r>
      <w:r w:rsidRPr="005E7507">
        <w:t xml:space="preserve">accounts for approximately 10% of all lymphomas and approximately 0.6% of all cancers diagnosed in the developed world annually. </w:t>
      </w:r>
      <w:r>
        <w:rPr>
          <w:rFonts w:asciiTheme="minorHAnsi" w:hAnsiTheme="minorHAnsi"/>
        </w:rPr>
        <w:t>‘Classic’ Hodgkin lymphoma (</w:t>
      </w:r>
      <w:proofErr w:type="spellStart"/>
      <w:r>
        <w:rPr>
          <w:rFonts w:asciiTheme="minorHAnsi" w:hAnsiTheme="minorHAnsi"/>
        </w:rPr>
        <w:t>c</w:t>
      </w:r>
      <w:r w:rsidRPr="005717B9">
        <w:rPr>
          <w:rFonts w:asciiTheme="minorHAnsi" w:hAnsiTheme="minorHAnsi"/>
        </w:rPr>
        <w:t>HL</w:t>
      </w:r>
      <w:proofErr w:type="spellEnd"/>
      <w:r w:rsidRPr="005717B9">
        <w:rPr>
          <w:rFonts w:asciiTheme="minorHAnsi" w:hAnsiTheme="minorHAnsi"/>
        </w:rPr>
        <w:t xml:space="preserve">) </w:t>
      </w:r>
      <w:r>
        <w:rPr>
          <w:rFonts w:asciiTheme="minorHAnsi" w:hAnsiTheme="minorHAnsi"/>
        </w:rPr>
        <w:t xml:space="preserve">is the more common entity, </w:t>
      </w:r>
      <w:r w:rsidRPr="005717B9">
        <w:rPr>
          <w:rFonts w:asciiTheme="minorHAnsi" w:hAnsiTheme="minorHAnsi"/>
        </w:rPr>
        <w:t>a</w:t>
      </w:r>
      <w:r>
        <w:rPr>
          <w:rFonts w:asciiTheme="minorHAnsi" w:hAnsiTheme="minorHAnsi"/>
        </w:rPr>
        <w:t xml:space="preserve"> monoclonal lymphoid malignancy characterised by the presence of </w:t>
      </w:r>
      <w:r w:rsidRPr="005717B9">
        <w:rPr>
          <w:rFonts w:asciiTheme="minorHAnsi" w:hAnsiTheme="minorHAnsi"/>
        </w:rPr>
        <w:t xml:space="preserve">multinucleated Reed-Sternberg </w:t>
      </w:r>
      <w:r>
        <w:rPr>
          <w:rFonts w:asciiTheme="minorHAnsi" w:hAnsiTheme="minorHAnsi"/>
        </w:rPr>
        <w:t xml:space="preserve">(R-S) </w:t>
      </w:r>
      <w:r w:rsidRPr="005717B9">
        <w:rPr>
          <w:rFonts w:asciiTheme="minorHAnsi" w:hAnsiTheme="minorHAnsi"/>
        </w:rPr>
        <w:t>cells,</w:t>
      </w:r>
      <w:r>
        <w:rPr>
          <w:rFonts w:asciiTheme="minorHAnsi" w:hAnsiTheme="minorHAnsi"/>
        </w:rPr>
        <w:t xml:space="preserve"> mostly </w:t>
      </w:r>
      <w:r w:rsidRPr="005717B9">
        <w:rPr>
          <w:rFonts w:asciiTheme="minorHAnsi" w:hAnsiTheme="minorHAnsi"/>
        </w:rPr>
        <w:t>of B-cell origin a</w:t>
      </w:r>
      <w:r>
        <w:rPr>
          <w:rFonts w:asciiTheme="minorHAnsi" w:hAnsiTheme="minorHAnsi"/>
        </w:rPr>
        <w:t xml:space="preserve">nd accounting for 1 to 10% of </w:t>
      </w:r>
      <w:r w:rsidRPr="005717B9">
        <w:rPr>
          <w:rFonts w:asciiTheme="minorHAnsi" w:hAnsiTheme="minorHAnsi"/>
        </w:rPr>
        <w:t xml:space="preserve">the cells in the tumour tissue. </w:t>
      </w:r>
      <w:r w:rsidRPr="0038712D">
        <w:rPr>
          <w:rFonts w:asciiTheme="minorHAnsi" w:hAnsiTheme="minorHAnsi"/>
        </w:rPr>
        <w:t>Programmed death 1 (PD-1) ligands PD-L1 and PD-L2 are overexpressed by Reed-Sternberg cells in classical HL</w:t>
      </w:r>
      <w:r>
        <w:rPr>
          <w:rFonts w:asciiTheme="minorHAnsi" w:hAnsiTheme="minorHAnsi"/>
        </w:rPr>
        <w:t xml:space="preserve">. </w:t>
      </w:r>
      <w:r w:rsidRPr="005717B9">
        <w:rPr>
          <w:rFonts w:asciiTheme="minorHAnsi" w:hAnsiTheme="minorHAnsi"/>
        </w:rPr>
        <w:t>The remaining cells are a mixed</w:t>
      </w:r>
      <w:r>
        <w:rPr>
          <w:rFonts w:asciiTheme="minorHAnsi" w:hAnsiTheme="minorHAnsi"/>
        </w:rPr>
        <w:t xml:space="preserve"> infiltrate of various lymphoid </w:t>
      </w:r>
      <w:r w:rsidRPr="005717B9">
        <w:rPr>
          <w:rFonts w:asciiTheme="minorHAnsi" w:hAnsiTheme="minorHAnsi"/>
        </w:rPr>
        <w:t>cells, including regulatory T-cells and macrophages</w:t>
      </w:r>
      <w:r>
        <w:rPr>
          <w:rFonts w:asciiTheme="minorHAnsi" w:hAnsiTheme="minorHAnsi"/>
        </w:rPr>
        <w:t xml:space="preserve">. </w:t>
      </w:r>
      <w:r w:rsidRPr="00A13692">
        <w:rPr>
          <w:rFonts w:asciiTheme="minorHAnsi" w:hAnsiTheme="minorHAnsi"/>
        </w:rPr>
        <w:t xml:space="preserve">In nearly all cases of </w:t>
      </w:r>
      <w:proofErr w:type="spellStart"/>
      <w:r w:rsidRPr="00A13692">
        <w:rPr>
          <w:rFonts w:asciiTheme="minorHAnsi" w:hAnsiTheme="minorHAnsi"/>
        </w:rPr>
        <w:t>cHL</w:t>
      </w:r>
      <w:proofErr w:type="spellEnd"/>
      <w:r w:rsidRPr="00A13692">
        <w:rPr>
          <w:rFonts w:asciiTheme="minorHAnsi" w:hAnsiTheme="minorHAnsi"/>
        </w:rPr>
        <w:t>, R-S cells express CD30, a glycoprotein belonging to the tumour necrosis factor receptor superfamily.</w:t>
      </w:r>
    </w:p>
    <w:p w14:paraId="5CBEB285" w14:textId="0C8B0BBD" w:rsidR="000476AD" w:rsidRPr="005717B9" w:rsidRDefault="000476AD" w:rsidP="00ED59E7">
      <w:pPr>
        <w:rPr>
          <w:rFonts w:asciiTheme="minorHAnsi" w:hAnsiTheme="minorHAnsi"/>
        </w:rPr>
      </w:pPr>
      <w:r w:rsidRPr="005717B9">
        <w:rPr>
          <w:rFonts w:asciiTheme="minorHAnsi" w:hAnsiTheme="minorHAnsi"/>
        </w:rPr>
        <w:t>The 2011 incidence</w:t>
      </w:r>
      <w:r w:rsidR="0029052F">
        <w:rPr>
          <w:rFonts w:asciiTheme="minorHAnsi" w:hAnsiTheme="minorHAnsi"/>
        </w:rPr>
        <w:t xml:space="preserve"> and </w:t>
      </w:r>
      <w:r w:rsidRPr="005717B9">
        <w:rPr>
          <w:rFonts w:asciiTheme="minorHAnsi" w:hAnsiTheme="minorHAnsi"/>
        </w:rPr>
        <w:t xml:space="preserve">2012 mortality rates for </w:t>
      </w:r>
      <w:r>
        <w:rPr>
          <w:rFonts w:asciiTheme="minorHAnsi" w:hAnsiTheme="minorHAnsi"/>
        </w:rPr>
        <w:t xml:space="preserve">HL in </w:t>
      </w:r>
      <w:r w:rsidRPr="005717B9">
        <w:rPr>
          <w:rFonts w:asciiTheme="minorHAnsi" w:hAnsiTheme="minorHAnsi"/>
        </w:rPr>
        <w:t>Australia w</w:t>
      </w:r>
      <w:r>
        <w:rPr>
          <w:rFonts w:asciiTheme="minorHAnsi" w:hAnsiTheme="minorHAnsi"/>
        </w:rPr>
        <w:t>ere 606 and 78, respectively. T</w:t>
      </w:r>
      <w:r w:rsidRPr="005717B9">
        <w:rPr>
          <w:rFonts w:asciiTheme="minorHAnsi" w:hAnsiTheme="minorHAnsi"/>
        </w:rPr>
        <w:t>he age-adjusted incidence rate for this period is 2.7/100,000 population</w:t>
      </w:r>
      <w:r w:rsidR="009F7D40">
        <w:rPr>
          <w:rFonts w:asciiTheme="minorHAnsi" w:hAnsiTheme="minorHAnsi"/>
        </w:rPr>
        <w:t>.</w:t>
      </w:r>
      <w:r w:rsidR="009F7D40">
        <w:rPr>
          <w:rStyle w:val="FootnoteReference"/>
          <w:rFonts w:asciiTheme="minorHAnsi" w:hAnsiTheme="minorHAnsi"/>
        </w:rPr>
        <w:footnoteReference w:id="3"/>
      </w:r>
    </w:p>
    <w:p w14:paraId="470E4015" w14:textId="77777777" w:rsidR="00F8652A" w:rsidRDefault="00B537FA" w:rsidP="00B537FA">
      <w:r>
        <w:lastRenderedPageBreak/>
        <w:t>The likelihood of relapse of Hodgkin lymphoma (HL; formerly called Hodgkin's disease) from initial therapy in the current era of systemic or combined modality therapy is approximately 10 to 15 percent for localised HL and 20 to 40 percent for more advanced stages (that is, IIIB or IV), dependent on prognostic factors. Approximately 40 to 50 percent of these relapses will occur in the first 12 months from induction. In addition, approximately 10 to 15 percent will have disease resistant to initial therapy.</w:t>
      </w:r>
    </w:p>
    <w:p w14:paraId="5CBEB287" w14:textId="47A604AD" w:rsidR="008D3DD5" w:rsidRPr="008D3DD5" w:rsidRDefault="008D3DD5" w:rsidP="008D3DD5">
      <w:pPr>
        <w:pStyle w:val="Heading5"/>
      </w:pPr>
      <w:r w:rsidRPr="008D3DD5">
        <w:t>Current treatment options</w:t>
      </w:r>
    </w:p>
    <w:p w14:paraId="5CBEB288" w14:textId="77777777" w:rsidR="003A383B" w:rsidRDefault="008D3DD5" w:rsidP="00B537FA">
      <w:r w:rsidRPr="008D3DD5">
        <w:t xml:space="preserve">The standard of care for patients with relapsed or refractory </w:t>
      </w:r>
      <w:proofErr w:type="spellStart"/>
      <w:r w:rsidRPr="008D3DD5">
        <w:t>cHL</w:t>
      </w:r>
      <w:proofErr w:type="spellEnd"/>
      <w:r w:rsidRPr="008D3DD5">
        <w:t xml:space="preserve"> (</w:t>
      </w:r>
      <w:proofErr w:type="spellStart"/>
      <w:r w:rsidRPr="008D3DD5">
        <w:t>rrcHL</w:t>
      </w:r>
      <w:proofErr w:type="spellEnd"/>
      <w:r w:rsidRPr="008D3DD5">
        <w:t>) to frontline chemotherapy is salvage chemotherapy followed by ASCT unless ineligible.</w:t>
      </w:r>
    </w:p>
    <w:p w14:paraId="5CBEB289" w14:textId="77777777" w:rsidR="003A383B" w:rsidRDefault="003A383B" w:rsidP="003A383B">
      <w:r>
        <w:t xml:space="preserve">Salvage chemotherapy regimens such as dexamethasone/high-dose Ara-C/cisplatin (DHAP), </w:t>
      </w:r>
      <w:proofErr w:type="spellStart"/>
      <w:r>
        <w:t>ifosfamide</w:t>
      </w:r>
      <w:proofErr w:type="spellEnd"/>
      <w:r>
        <w:t>/gemcitabine/</w:t>
      </w:r>
      <w:proofErr w:type="spellStart"/>
      <w:r>
        <w:t>vinorelbine</w:t>
      </w:r>
      <w:proofErr w:type="spellEnd"/>
      <w:r>
        <w:t xml:space="preserve"> (IGEV) or </w:t>
      </w:r>
      <w:proofErr w:type="spellStart"/>
      <w:r>
        <w:t>ifosfamide</w:t>
      </w:r>
      <w:proofErr w:type="spellEnd"/>
      <w:r>
        <w:t xml:space="preserve">/carboplatin/ etoposide (ICE) are given to reduce the tumour burden and determine eligibility for </w:t>
      </w:r>
      <w:r w:rsidR="00151D57" w:rsidRPr="008D3DD5">
        <w:t>autologous hematopoietic cell transplantation</w:t>
      </w:r>
      <w:r w:rsidR="00151D57">
        <w:t xml:space="preserve"> (</w:t>
      </w:r>
      <w:r>
        <w:t>ASCT</w:t>
      </w:r>
      <w:r w:rsidR="00151D57">
        <w:t>). See e</w:t>
      </w:r>
      <w:r>
        <w:t>xcerpt from the NCCN guideline for Hodgkin Lymphoma below.</w:t>
      </w:r>
    </w:p>
    <w:p w14:paraId="5CBEB28A" w14:textId="77777777" w:rsidR="003A383B" w:rsidRPr="00A02D8B" w:rsidRDefault="003A383B" w:rsidP="00D92572">
      <w:pPr>
        <w:pStyle w:val="TableCaption"/>
        <w:rPr>
          <w:b w:val="0"/>
        </w:rPr>
      </w:pPr>
      <w:r>
        <w:t xml:space="preserve">Table 1: </w:t>
      </w:r>
      <w:r w:rsidRPr="00A45A27">
        <w:t>Excerpt from the NCCN Guideline for Hodgkin Lymphoma</w:t>
      </w:r>
    </w:p>
    <w:p w14:paraId="5CBEB28B" w14:textId="77777777" w:rsidR="003A383B" w:rsidRDefault="003A383B" w:rsidP="003A383B">
      <w:pPr>
        <w:rPr>
          <w:rFonts w:asciiTheme="minorHAnsi" w:eastAsia="Times New Roman" w:hAnsiTheme="minorHAnsi"/>
          <w:b/>
          <w:bCs/>
          <w:sz w:val="24"/>
          <w:szCs w:val="24"/>
        </w:rPr>
      </w:pPr>
      <w:r>
        <w:rPr>
          <w:noProof/>
          <w:lang w:eastAsia="en-AU"/>
        </w:rPr>
        <w:drawing>
          <wp:inline distT="0" distB="0" distL="0" distR="0" wp14:anchorId="5CBEB950" wp14:editId="5CBEB951">
            <wp:extent cx="4980561" cy="2833485"/>
            <wp:effectExtent l="0" t="0" r="0" b="5080"/>
            <wp:docPr id="14" name="Picture 14" descr="Table 1: Excerpt from the NCCN Guideline for Hodgkin Lymp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668" cy="2832408"/>
                    </a:xfrm>
                    <a:prstGeom prst="rect">
                      <a:avLst/>
                    </a:prstGeom>
                    <a:noFill/>
                    <a:ln>
                      <a:noFill/>
                    </a:ln>
                  </pic:spPr>
                </pic:pic>
              </a:graphicData>
            </a:graphic>
          </wp:inline>
        </w:drawing>
      </w:r>
    </w:p>
    <w:p w14:paraId="5CBEB28C" w14:textId="77777777" w:rsidR="00B537FA" w:rsidRPr="008D3DD5" w:rsidRDefault="00B537FA" w:rsidP="00B537FA">
      <w:r w:rsidRPr="008D3DD5">
        <w:t xml:space="preserve">Salvage therapy can achieve durable responses and remissions in approximately one-half of these patients. Patients with high risk disease, a second relapse, or progressive, resistant disease are candidates for high dose chemotherapy and </w:t>
      </w:r>
      <w:r w:rsidR="008D3DD5" w:rsidRPr="008D3DD5">
        <w:t>ASCT</w:t>
      </w:r>
      <w:r w:rsidRPr="008D3DD5">
        <w:t>.</w:t>
      </w:r>
    </w:p>
    <w:p w14:paraId="5E725930" w14:textId="77777777" w:rsidR="00F8652A" w:rsidRDefault="0029052F" w:rsidP="00B537FA">
      <w:r w:rsidRPr="008D3DD5">
        <w:t xml:space="preserve">Second and third </w:t>
      </w:r>
      <w:r w:rsidR="00B537FA" w:rsidRPr="008D3DD5">
        <w:t xml:space="preserve">line chemotherapy combinations generally achieve complete remission (CR) in 30 to 40 percent of patients with aggressive or resistant disease. They are frequently used as </w:t>
      </w:r>
      <w:proofErr w:type="spellStart"/>
      <w:r w:rsidR="00B537FA" w:rsidRPr="008D3DD5">
        <w:t>cytoreductive</w:t>
      </w:r>
      <w:proofErr w:type="spellEnd"/>
      <w:r w:rsidR="00B537FA" w:rsidRPr="008D3DD5">
        <w:t xml:space="preserve"> agents prior to proceeding to high dose chemotherapy and ASCT. Salvage chemother</w:t>
      </w:r>
      <w:r w:rsidRPr="008D3DD5">
        <w:t xml:space="preserve">apy without progression to high </w:t>
      </w:r>
      <w:r w:rsidR="00B537FA" w:rsidRPr="008D3DD5">
        <w:t>dose chemotherapy and autologous stem cell transplantation results in 8 to 10</w:t>
      </w:r>
      <w:r w:rsidR="0087400D" w:rsidRPr="008D3DD5">
        <w:t xml:space="preserve"> </w:t>
      </w:r>
      <w:r w:rsidR="00B537FA" w:rsidRPr="008D3DD5">
        <w:t>year overall survival rates of 21 to 27 percent with freedom from treatment failure of 16 percent.</w:t>
      </w:r>
    </w:p>
    <w:p w14:paraId="67CB9AF3" w14:textId="77777777" w:rsidR="00F8652A" w:rsidRDefault="00B537FA" w:rsidP="00B537FA">
      <w:r w:rsidRPr="008D3DD5">
        <w:t xml:space="preserve">Patients who </w:t>
      </w:r>
      <w:r w:rsidR="008D3DD5" w:rsidRPr="008D3DD5">
        <w:t xml:space="preserve">are ineligible for or </w:t>
      </w:r>
      <w:r w:rsidRPr="008D3DD5">
        <w:t xml:space="preserve">relapse following </w:t>
      </w:r>
      <w:r w:rsidR="0029052F" w:rsidRPr="008D3DD5">
        <w:t>A</w:t>
      </w:r>
      <w:r w:rsidRPr="008D3DD5">
        <w:t>SCT can only achieve palliation with conventional dose chemotherapy. Options for such patients include treatment with an immunotoxin (</w:t>
      </w:r>
      <w:r w:rsidR="0087400D" w:rsidRPr="008D3DD5">
        <w:t>for example,</w:t>
      </w:r>
      <w:r w:rsidRPr="008D3DD5">
        <w:t xml:space="preserve"> </w:t>
      </w:r>
      <w:proofErr w:type="spellStart"/>
      <w:r w:rsidRPr="008D3DD5">
        <w:t>brentuximab</w:t>
      </w:r>
      <w:proofErr w:type="spellEnd"/>
      <w:r w:rsidRPr="008D3DD5">
        <w:t xml:space="preserve"> </w:t>
      </w:r>
      <w:proofErr w:type="spellStart"/>
      <w:r w:rsidRPr="008D3DD5">
        <w:t>vedotin</w:t>
      </w:r>
      <w:proofErr w:type="spellEnd"/>
      <w:r w:rsidRPr="008D3DD5">
        <w:t>), PD-1 blockade or referral for allogeneic transplantation.</w:t>
      </w:r>
    </w:p>
    <w:p w14:paraId="072BCE8F" w14:textId="77777777" w:rsidR="00F8652A" w:rsidRDefault="00B537FA" w:rsidP="00B537FA">
      <w:r w:rsidRPr="008D3DD5">
        <w:t>A systematic literature rev</w:t>
      </w:r>
      <w:r w:rsidR="00DF1FCC" w:rsidRPr="008D3DD5">
        <w:t>iew was performed to characteris</w:t>
      </w:r>
      <w:r w:rsidRPr="008D3DD5">
        <w:t xml:space="preserve">e the response in heavily </w:t>
      </w:r>
      <w:proofErr w:type="spellStart"/>
      <w:r w:rsidRPr="008D3DD5">
        <w:t>pretreated</w:t>
      </w:r>
      <w:proofErr w:type="spellEnd"/>
      <w:r w:rsidRPr="008D3DD5">
        <w:t xml:space="preserve"> refractory/relapsed HL patients with the treatments recommended by National Comprehensive Cancer Network. The systematic literature review found studies in HL patients who are refractory/relapsed after </w:t>
      </w:r>
      <w:r w:rsidR="00D65F50" w:rsidRPr="008D3DD5">
        <w:t xml:space="preserve">≥ </w:t>
      </w:r>
      <w:r w:rsidRPr="008D3DD5">
        <w:t xml:space="preserve">3 treatments (similar to the population studied in KEYNOTE-013 and </w:t>
      </w:r>
      <w:r w:rsidR="00151D57">
        <w:t>KEYNOTE-087) as shown in Table 2</w:t>
      </w:r>
      <w:r w:rsidRPr="008D3DD5">
        <w:t>.</w:t>
      </w:r>
    </w:p>
    <w:p w14:paraId="5CBEB290" w14:textId="09045B36" w:rsidR="003A383B" w:rsidRDefault="003A383B" w:rsidP="00D92572">
      <w:pPr>
        <w:pStyle w:val="TableCaption"/>
      </w:pPr>
      <w:bookmarkStart w:id="15" w:name="_Ref465782237"/>
      <w:bookmarkStart w:id="16" w:name="_Toc483227458"/>
      <w:r>
        <w:lastRenderedPageBreak/>
        <w:t>Table</w:t>
      </w:r>
      <w:bookmarkEnd w:id="15"/>
      <w:r>
        <w:t xml:space="preserve"> </w:t>
      </w:r>
      <w:r w:rsidR="00151D57">
        <w:t>2</w:t>
      </w:r>
      <w:r>
        <w:t xml:space="preserve">: </w:t>
      </w:r>
      <w:r w:rsidRPr="00A33647">
        <w:t xml:space="preserve">Studies in Patients Who Have Relapsed After </w:t>
      </w:r>
      <w:r>
        <w:t xml:space="preserve">≥ </w:t>
      </w:r>
      <w:r w:rsidRPr="00A33647">
        <w:t>3 Treatments (by Decreasing Study Size)</w:t>
      </w:r>
      <w:bookmarkEnd w:id="16"/>
    </w:p>
    <w:p w14:paraId="5CBEB291" w14:textId="77777777" w:rsidR="003A383B" w:rsidRDefault="003A383B" w:rsidP="003A383B">
      <w:r>
        <w:rPr>
          <w:noProof/>
          <w:lang w:eastAsia="en-AU"/>
        </w:rPr>
        <w:drawing>
          <wp:inline distT="0" distB="0" distL="0" distR="0" wp14:anchorId="5CBEB952" wp14:editId="5CBEB953">
            <wp:extent cx="5301788" cy="2821021"/>
            <wp:effectExtent l="0" t="0" r="0" b="0"/>
            <wp:docPr id="3" name="Picture 3" descr="Table 2: Studies in Patients Who Have Relapsed After ≥ 3 Treatments (by Decreasing Stud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84" t="2500" r="1470" b="2474"/>
                    <a:stretch/>
                  </pic:blipFill>
                  <pic:spPr bwMode="auto">
                    <a:xfrm>
                      <a:off x="0" y="0"/>
                      <a:ext cx="5300565" cy="2820370"/>
                    </a:xfrm>
                    <a:prstGeom prst="rect">
                      <a:avLst/>
                    </a:prstGeom>
                    <a:ln>
                      <a:noFill/>
                    </a:ln>
                    <a:extLst>
                      <a:ext uri="{53640926-AAD7-44D8-BBD7-CCE9431645EC}">
                        <a14:shadowObscured xmlns:a14="http://schemas.microsoft.com/office/drawing/2010/main"/>
                      </a:ext>
                    </a:extLst>
                  </pic:spPr>
                </pic:pic>
              </a:graphicData>
            </a:graphic>
          </wp:inline>
        </w:drawing>
      </w:r>
    </w:p>
    <w:p w14:paraId="5CBEB292" w14:textId="77777777" w:rsidR="000476AD" w:rsidRDefault="000476AD" w:rsidP="005B26FA">
      <w:r w:rsidRPr="001B6EDD">
        <w:t xml:space="preserve">For patients who are ineligible for or fail ASCT, treatments include other chemotherapy agents such as the antibody drug conjugate </w:t>
      </w:r>
      <w:proofErr w:type="spellStart"/>
      <w:r w:rsidRPr="001B6EDD">
        <w:t>brentuximab</w:t>
      </w:r>
      <w:proofErr w:type="spellEnd"/>
      <w:r w:rsidRPr="001B6EDD">
        <w:t xml:space="preserve"> </w:t>
      </w:r>
      <w:proofErr w:type="spellStart"/>
      <w:r w:rsidRPr="001B6EDD">
        <w:t>vedotin</w:t>
      </w:r>
      <w:proofErr w:type="spellEnd"/>
      <w:r w:rsidRPr="001B6EDD">
        <w:t xml:space="preserve"> (BV</w:t>
      </w:r>
      <w:r w:rsidRPr="007B031A">
        <w:t xml:space="preserve">). </w:t>
      </w:r>
      <w:r w:rsidR="004F4829">
        <w:t xml:space="preserve">Figure </w:t>
      </w:r>
      <w:r w:rsidR="00606070">
        <w:t>1</w:t>
      </w:r>
      <w:r w:rsidR="004F4829">
        <w:t xml:space="preserve"> in Attachment 2 provides </w:t>
      </w:r>
      <w:r w:rsidRPr="001B6EDD">
        <w:t xml:space="preserve">an example of a suggested algorithm for the treatment of patients who relapse after ASCT </w:t>
      </w:r>
      <w:r w:rsidRPr="009F7D40">
        <w:t xml:space="preserve">by </w:t>
      </w:r>
      <w:proofErr w:type="spellStart"/>
      <w:r w:rsidRPr="009F7D40">
        <w:t>Alinari</w:t>
      </w:r>
      <w:proofErr w:type="spellEnd"/>
      <w:r w:rsidRPr="009F7D40">
        <w:t xml:space="preserve"> L and Blum KA.</w:t>
      </w:r>
      <w:bookmarkStart w:id="17" w:name="_Ref509325486"/>
      <w:r w:rsidR="009F7D40" w:rsidRPr="009F7D40">
        <w:rPr>
          <w:rStyle w:val="FootnoteReference"/>
        </w:rPr>
        <w:footnoteReference w:id="4"/>
      </w:r>
      <w:bookmarkEnd w:id="17"/>
    </w:p>
    <w:p w14:paraId="5CBEB293" w14:textId="77777777" w:rsidR="000476AD" w:rsidRPr="001B6EDD" w:rsidRDefault="000476AD" w:rsidP="005B26FA">
      <w:r w:rsidRPr="001B6EDD">
        <w:t xml:space="preserve">In December 2013, </w:t>
      </w:r>
      <w:proofErr w:type="spellStart"/>
      <w:r w:rsidRPr="001B6EDD">
        <w:t>brentuximab</w:t>
      </w:r>
      <w:proofErr w:type="spellEnd"/>
      <w:r w:rsidRPr="001B6EDD">
        <w:t xml:space="preserve"> </w:t>
      </w:r>
      <w:proofErr w:type="spellStart"/>
      <w:r w:rsidRPr="001B6EDD">
        <w:t>vedotin</w:t>
      </w:r>
      <w:proofErr w:type="spellEnd"/>
      <w:r w:rsidRPr="001B6EDD">
        <w:t xml:space="preserve"> was approved in Australia for the indications of:</w:t>
      </w:r>
    </w:p>
    <w:p w14:paraId="5CBEB294" w14:textId="77777777" w:rsidR="000476AD" w:rsidRPr="005B26FA" w:rsidRDefault="000476AD" w:rsidP="005B26FA">
      <w:pPr>
        <w:spacing w:before="0" w:after="0" w:line="240" w:lineRule="auto"/>
        <w:ind w:left="425"/>
        <w:rPr>
          <w:rFonts w:asciiTheme="minorHAnsi" w:hAnsiTheme="minorHAnsi"/>
          <w:i/>
        </w:rPr>
      </w:pPr>
      <w:r w:rsidRPr="005B26FA">
        <w:rPr>
          <w:rFonts w:asciiTheme="minorHAnsi" w:hAnsiTheme="minorHAnsi"/>
          <w:i/>
        </w:rPr>
        <w:t>Treatment of adult patients with relapsed or refractory CD30+ Hodgkin lymphoma (HL):</w:t>
      </w:r>
    </w:p>
    <w:p w14:paraId="5CBEB295" w14:textId="77777777" w:rsidR="000476AD" w:rsidRPr="005B26FA" w:rsidRDefault="005B26FA" w:rsidP="005B2867">
      <w:pPr>
        <w:pStyle w:val="Numberbullet0"/>
        <w:numPr>
          <w:ilvl w:val="0"/>
          <w:numId w:val="13"/>
        </w:numPr>
        <w:ind w:left="850"/>
        <w:rPr>
          <w:i/>
        </w:rPr>
      </w:pPr>
      <w:r w:rsidRPr="005B26FA">
        <w:rPr>
          <w:i/>
        </w:rPr>
        <w:t>F</w:t>
      </w:r>
      <w:r w:rsidR="000476AD" w:rsidRPr="005B26FA">
        <w:rPr>
          <w:i/>
        </w:rPr>
        <w:t>ollowing autologous stem cell transplant (ASCT) or</w:t>
      </w:r>
    </w:p>
    <w:p w14:paraId="5CBEB296" w14:textId="77777777" w:rsidR="000476AD" w:rsidRPr="005B26FA" w:rsidRDefault="005B26FA" w:rsidP="005B2867">
      <w:pPr>
        <w:pStyle w:val="Numberbullet0"/>
        <w:numPr>
          <w:ilvl w:val="0"/>
          <w:numId w:val="13"/>
        </w:numPr>
        <w:ind w:left="850"/>
        <w:rPr>
          <w:i/>
        </w:rPr>
      </w:pPr>
      <w:r w:rsidRPr="005B26FA">
        <w:rPr>
          <w:i/>
        </w:rPr>
        <w:t>F</w:t>
      </w:r>
      <w:r w:rsidR="000476AD" w:rsidRPr="005B26FA">
        <w:rPr>
          <w:i/>
        </w:rPr>
        <w:t>ollowing at least two prior therapies when ASCT or multi-agent chemotherapy is not a treatment option</w:t>
      </w:r>
    </w:p>
    <w:p w14:paraId="5CBEB297" w14:textId="77777777" w:rsidR="000476AD" w:rsidRPr="005B26FA" w:rsidRDefault="000476AD" w:rsidP="005B26FA">
      <w:pPr>
        <w:spacing w:before="0" w:after="0" w:line="240" w:lineRule="auto"/>
        <w:ind w:left="425"/>
        <w:rPr>
          <w:rFonts w:asciiTheme="minorHAnsi" w:hAnsiTheme="minorHAnsi"/>
          <w:i/>
        </w:rPr>
      </w:pPr>
      <w:r w:rsidRPr="005B26FA">
        <w:rPr>
          <w:rFonts w:asciiTheme="minorHAnsi" w:hAnsiTheme="minorHAnsi"/>
          <w:i/>
        </w:rPr>
        <w:t>Treatment of adult patients with relapsed or refractory systemic anaplastic large cell lymphoma (</w:t>
      </w:r>
      <w:proofErr w:type="spellStart"/>
      <w:r w:rsidRPr="005B26FA">
        <w:rPr>
          <w:rFonts w:asciiTheme="minorHAnsi" w:hAnsiTheme="minorHAnsi"/>
          <w:i/>
        </w:rPr>
        <w:t>sALCL</w:t>
      </w:r>
      <w:proofErr w:type="spellEnd"/>
      <w:r w:rsidRPr="005B26FA">
        <w:rPr>
          <w:rFonts w:asciiTheme="minorHAnsi" w:hAnsiTheme="minorHAnsi"/>
          <w:i/>
        </w:rPr>
        <w:t>)</w:t>
      </w:r>
    </w:p>
    <w:p w14:paraId="5CBEB298" w14:textId="5D5865F5" w:rsidR="000476AD" w:rsidRPr="001B6EDD" w:rsidRDefault="000476AD" w:rsidP="009D188B">
      <w:pPr>
        <w:pStyle w:val="Caption"/>
        <w:ind w:left="426"/>
      </w:pPr>
      <w:r w:rsidRPr="009D188B">
        <w:t>www.ebs.tga.gov.au/ebs/picmi/picmirepository.nsf/pdf?OpenAgent&amp;id=CP-2014-PI-01042-1&amp;d=2017022816114622483</w:t>
      </w:r>
    </w:p>
    <w:p w14:paraId="5CBEB299" w14:textId="77777777" w:rsidR="000476AD" w:rsidRPr="001B6EDD" w:rsidRDefault="000476AD" w:rsidP="005B26FA">
      <w:r w:rsidRPr="001B6EDD">
        <w:t xml:space="preserve">In May 2017, the indications for </w:t>
      </w:r>
      <w:proofErr w:type="spellStart"/>
      <w:r w:rsidRPr="001B6EDD">
        <w:t>nivolumab</w:t>
      </w:r>
      <w:proofErr w:type="spellEnd"/>
      <w:r w:rsidRPr="001B6EDD">
        <w:t xml:space="preserve"> (</w:t>
      </w:r>
      <w:proofErr w:type="spellStart"/>
      <w:r w:rsidR="005B26FA" w:rsidRPr="001B6EDD">
        <w:t>Opdivo</w:t>
      </w:r>
      <w:proofErr w:type="spellEnd"/>
      <w:r w:rsidRPr="001B6EDD">
        <w:t>) were extended in Australia. Approval was granted for the following additional indication:</w:t>
      </w:r>
    </w:p>
    <w:p w14:paraId="5CBEB29A" w14:textId="77777777" w:rsidR="000476AD" w:rsidRPr="001B6EDD" w:rsidRDefault="00ED59E7" w:rsidP="000476AD">
      <w:pPr>
        <w:spacing w:before="0" w:line="240" w:lineRule="auto"/>
        <w:ind w:left="720"/>
        <w:rPr>
          <w:b/>
          <w:i/>
        </w:rPr>
      </w:pPr>
      <w:r>
        <w:rPr>
          <w:rFonts w:asciiTheme="minorHAnsi" w:hAnsiTheme="minorHAnsi"/>
          <w:i/>
        </w:rPr>
        <w:t>‘</w:t>
      </w:r>
      <w:proofErr w:type="spellStart"/>
      <w:r w:rsidR="005B26FA" w:rsidRPr="001B6EDD">
        <w:rPr>
          <w:rFonts w:asciiTheme="minorHAnsi" w:hAnsiTheme="minorHAnsi"/>
          <w:i/>
        </w:rPr>
        <w:t>Opdivo</w:t>
      </w:r>
      <w:proofErr w:type="spellEnd"/>
      <w:r w:rsidR="000476AD" w:rsidRPr="001B6EDD">
        <w:rPr>
          <w:rFonts w:asciiTheme="minorHAnsi" w:hAnsiTheme="minorHAnsi"/>
          <w:i/>
        </w:rPr>
        <w:t>, as monotherapy is indicated for the treatment of adult patients with relapsed or refractory classical Hodgkin lymphoma (</w:t>
      </w:r>
      <w:proofErr w:type="spellStart"/>
      <w:r w:rsidR="000476AD" w:rsidRPr="001B6EDD">
        <w:rPr>
          <w:rFonts w:asciiTheme="minorHAnsi" w:hAnsiTheme="minorHAnsi"/>
          <w:i/>
        </w:rPr>
        <w:t>cHL</w:t>
      </w:r>
      <w:proofErr w:type="spellEnd"/>
      <w:r w:rsidR="000476AD" w:rsidRPr="001B6EDD">
        <w:rPr>
          <w:rFonts w:asciiTheme="minorHAnsi" w:hAnsiTheme="minorHAnsi"/>
          <w:i/>
        </w:rPr>
        <w:t xml:space="preserve">) after autologous stem cell transplant and treatment with </w:t>
      </w:r>
      <w:proofErr w:type="spellStart"/>
      <w:r w:rsidR="000476AD" w:rsidRPr="001B6EDD">
        <w:rPr>
          <w:rFonts w:asciiTheme="minorHAnsi" w:hAnsiTheme="minorHAnsi"/>
          <w:i/>
        </w:rPr>
        <w:t>brentuximab</w:t>
      </w:r>
      <w:proofErr w:type="spellEnd"/>
      <w:r w:rsidR="000476AD" w:rsidRPr="001B6EDD">
        <w:rPr>
          <w:rFonts w:asciiTheme="minorHAnsi" w:hAnsiTheme="minorHAnsi"/>
          <w:i/>
        </w:rPr>
        <w:t xml:space="preserve"> </w:t>
      </w:r>
      <w:proofErr w:type="spellStart"/>
      <w:r w:rsidR="000476AD" w:rsidRPr="001B6EDD">
        <w:rPr>
          <w:rFonts w:asciiTheme="minorHAnsi" w:hAnsiTheme="minorHAnsi"/>
          <w:i/>
        </w:rPr>
        <w:t>vedotin</w:t>
      </w:r>
      <w:proofErr w:type="spellEnd"/>
      <w:r w:rsidR="000476AD" w:rsidRPr="001B6EDD">
        <w:rPr>
          <w:rFonts w:asciiTheme="minorHAnsi" w:hAnsiTheme="minorHAnsi"/>
          <w:i/>
        </w:rPr>
        <w:t xml:space="preserve">. The approval of this indication is based on objective response rate. </w:t>
      </w:r>
      <w:proofErr w:type="gramStart"/>
      <w:r w:rsidR="000476AD" w:rsidRPr="001B6EDD">
        <w:rPr>
          <w:rFonts w:asciiTheme="minorHAnsi" w:hAnsiTheme="minorHAnsi"/>
          <w:i/>
        </w:rPr>
        <w:t>See CLINICAL TRIALS.</w:t>
      </w:r>
      <w:r>
        <w:rPr>
          <w:rFonts w:asciiTheme="minorHAnsi" w:hAnsiTheme="minorHAnsi"/>
          <w:i/>
        </w:rPr>
        <w:t>’</w:t>
      </w:r>
      <w:proofErr w:type="gramEnd"/>
    </w:p>
    <w:p w14:paraId="5CBEB29B" w14:textId="77777777" w:rsidR="000476AD" w:rsidRDefault="000476AD" w:rsidP="00B537FA">
      <w:pPr>
        <w:pStyle w:val="Heading4"/>
      </w:pPr>
      <w:r w:rsidRPr="009A1FA4">
        <w:t>Regulatory guidelines</w:t>
      </w:r>
    </w:p>
    <w:p w14:paraId="5CBEB29C" w14:textId="77777777" w:rsidR="000476AD" w:rsidRPr="00F73DE9" w:rsidRDefault="000476AD" w:rsidP="00B537FA">
      <w:r w:rsidRPr="00F73DE9">
        <w:t>The following guidelines, which have been adopted by the TGA, are considered relevant to the current application:</w:t>
      </w:r>
    </w:p>
    <w:p w14:paraId="5CBEB29D" w14:textId="77777777" w:rsidR="000476AD" w:rsidRPr="00F73DE9" w:rsidRDefault="000476AD" w:rsidP="005B2867">
      <w:pPr>
        <w:pStyle w:val="Numberbullet0"/>
        <w:numPr>
          <w:ilvl w:val="0"/>
          <w:numId w:val="14"/>
        </w:numPr>
      </w:pPr>
      <w:r w:rsidRPr="00F73DE9">
        <w:t>Guideline on the evaluation of anticancer medicinal products in man EMA/CHMP/205/95/Rev.4 (and relevant appendices).The TGA has adopted the EU (3).</w:t>
      </w:r>
    </w:p>
    <w:p w14:paraId="5CBEB29E" w14:textId="77777777" w:rsidR="000476AD" w:rsidRPr="00F73DE9" w:rsidRDefault="000476AD" w:rsidP="005B2867">
      <w:pPr>
        <w:pStyle w:val="Numberbullet0"/>
        <w:numPr>
          <w:ilvl w:val="0"/>
          <w:numId w:val="14"/>
        </w:numPr>
      </w:pPr>
      <w:r w:rsidRPr="00F73DE9">
        <w:lastRenderedPageBreak/>
        <w:t xml:space="preserve">EMA/CPMP/EWP/2330/99: </w:t>
      </w:r>
      <w:r w:rsidR="00ED59E7">
        <w:t>‘</w:t>
      </w:r>
      <w:r w:rsidRPr="00F73DE9">
        <w:t xml:space="preserve">Points to consider on application with 1) Meta-analyses; 2) </w:t>
      </w:r>
      <w:proofErr w:type="gramStart"/>
      <w:r w:rsidRPr="00F73DE9">
        <w:t>One</w:t>
      </w:r>
      <w:proofErr w:type="gramEnd"/>
      <w:r w:rsidRPr="00F73DE9">
        <w:t xml:space="preserve"> pivotal study</w:t>
      </w:r>
      <w:r w:rsidR="00ED59E7">
        <w:t>’</w:t>
      </w:r>
      <w:r w:rsidRPr="00F73DE9">
        <w:t xml:space="preserve"> (4).</w:t>
      </w:r>
    </w:p>
    <w:p w14:paraId="5CBEB29F" w14:textId="77777777" w:rsidR="000476AD" w:rsidRDefault="000476AD" w:rsidP="000476AD">
      <w:pPr>
        <w:rPr>
          <w:rFonts w:asciiTheme="minorHAnsi" w:hAnsiTheme="minorHAnsi"/>
        </w:rPr>
      </w:pPr>
      <w:r w:rsidRPr="00F73DE9">
        <w:rPr>
          <w:rFonts w:asciiTheme="minorHAnsi" w:hAnsiTheme="minorHAnsi"/>
        </w:rPr>
        <w:t>Guidelines are not legally binding but variation from recommendations in such guidelines may suggest a need for close examination of particular quality, efficacy and/ or safety issues.</w:t>
      </w:r>
    </w:p>
    <w:p w14:paraId="5CBEB2A0" w14:textId="77777777" w:rsidR="008E7846" w:rsidRPr="003F31A2" w:rsidRDefault="00386150" w:rsidP="008E7846">
      <w:pPr>
        <w:pStyle w:val="Heading3"/>
      </w:pPr>
      <w:bookmarkStart w:id="18" w:name="_Toc314842485"/>
      <w:bookmarkStart w:id="19" w:name="_Toc247691504"/>
      <w:bookmarkStart w:id="20" w:name="_Toc517786126"/>
      <w:r>
        <w:t>Regulatory s</w:t>
      </w:r>
      <w:r w:rsidR="008E7846">
        <w:t>tatus</w:t>
      </w:r>
      <w:bookmarkEnd w:id="18"/>
      <w:bookmarkEnd w:id="19"/>
      <w:bookmarkEnd w:id="20"/>
    </w:p>
    <w:p w14:paraId="5CBEB2A1" w14:textId="77777777" w:rsidR="000476AD" w:rsidRDefault="000476AD" w:rsidP="00DF1FCC">
      <w:bookmarkStart w:id="21" w:name="_Toc247691505"/>
      <w:bookmarkStart w:id="22" w:name="_Toc314842486"/>
      <w:proofErr w:type="spellStart"/>
      <w:r>
        <w:t>Pembrolizumab</w:t>
      </w:r>
      <w:proofErr w:type="spellEnd"/>
      <w:r>
        <w:t xml:space="preserve"> was first included in the Australian Register of Therapeutic Goods (ARTG) on 16 April 2015. The most recent amendment at the time of writing this overview was </w:t>
      </w:r>
      <w:r w:rsidR="00DF1FCC">
        <w:t xml:space="preserve">20 </w:t>
      </w:r>
      <w:r>
        <w:t>March 2017.</w:t>
      </w:r>
    </w:p>
    <w:p w14:paraId="5CBEB2A2" w14:textId="77777777" w:rsidR="00DF1FCC" w:rsidRPr="00F30618" w:rsidRDefault="00DF1FCC" w:rsidP="00F30618">
      <w:r w:rsidRPr="00F30618">
        <w:t xml:space="preserve">The following is a summary of </w:t>
      </w:r>
      <w:r w:rsidR="004F4829" w:rsidRPr="00F30618">
        <w:t>international regulatory status</w:t>
      </w:r>
      <w:r w:rsidR="004F4829" w:rsidRPr="00F30618">
        <w:rPr>
          <w:bCs/>
        </w:rPr>
        <w:t xml:space="preserve"> </w:t>
      </w:r>
      <w:r w:rsidR="004F4829">
        <w:rPr>
          <w:bCs/>
        </w:rPr>
        <w:t xml:space="preserve">of </w:t>
      </w:r>
      <w:proofErr w:type="spellStart"/>
      <w:r w:rsidRPr="00F30618">
        <w:t>Keytruda</w:t>
      </w:r>
      <w:proofErr w:type="spellEnd"/>
      <w:r w:rsidR="004F4829">
        <w:t xml:space="preserve"> (</w:t>
      </w:r>
      <w:r w:rsidRPr="00F30618">
        <w:t xml:space="preserve">as of </w:t>
      </w:r>
      <w:r w:rsidRPr="00F30618">
        <w:rPr>
          <w:bCs/>
        </w:rPr>
        <w:t>19 June 2017</w:t>
      </w:r>
      <w:r w:rsidR="004F4829">
        <w:rPr>
          <w:bCs/>
        </w:rPr>
        <w:t>)</w:t>
      </w:r>
      <w:r w:rsidRPr="00F30618">
        <w:t>:</w:t>
      </w:r>
    </w:p>
    <w:p w14:paraId="39B6DEDD" w14:textId="77777777" w:rsidR="00F8652A" w:rsidRDefault="000476AD" w:rsidP="00BC55E8">
      <w:pPr>
        <w:pStyle w:val="Heading4"/>
      </w:pPr>
      <w:r w:rsidRPr="00A02D8B">
        <w:t>U</w:t>
      </w:r>
      <w:r>
        <w:t xml:space="preserve">nited </w:t>
      </w:r>
      <w:r w:rsidRPr="00A02D8B">
        <w:t>S</w:t>
      </w:r>
      <w:r>
        <w:t xml:space="preserve">tates of </w:t>
      </w:r>
      <w:r w:rsidRPr="00A02D8B">
        <w:t>A</w:t>
      </w:r>
      <w:r>
        <w:t>merica (USA)</w:t>
      </w:r>
    </w:p>
    <w:p w14:paraId="5CBEB2A4" w14:textId="0659AFB8" w:rsidR="000476AD" w:rsidRPr="00F73DE9" w:rsidRDefault="000476AD" w:rsidP="00DF1FCC">
      <w:r w:rsidRPr="00F73DE9">
        <w:t xml:space="preserve">On </w:t>
      </w:r>
      <w:r w:rsidR="00DF1FCC">
        <w:t xml:space="preserve">14 </w:t>
      </w:r>
      <w:r w:rsidRPr="00F73DE9">
        <w:t xml:space="preserve">March 2017 FDA granted accelerated approval to </w:t>
      </w:r>
      <w:proofErr w:type="spellStart"/>
      <w:r w:rsidRPr="00F73DE9">
        <w:t>pembrolizumab</w:t>
      </w:r>
      <w:proofErr w:type="spellEnd"/>
      <w:r w:rsidRPr="00F73DE9">
        <w:t xml:space="preserve"> (</w:t>
      </w:r>
      <w:proofErr w:type="spellStart"/>
      <w:r w:rsidR="00957DB3">
        <w:t>Keytruda</w:t>
      </w:r>
      <w:proofErr w:type="spellEnd"/>
      <w:r w:rsidRPr="00F73DE9">
        <w:t>) for the treatment of adult and paediatric patients with refractory classical Hodgkin lymphoma (</w:t>
      </w:r>
      <w:proofErr w:type="spellStart"/>
      <w:r w:rsidRPr="00F73DE9">
        <w:t>cHL</w:t>
      </w:r>
      <w:proofErr w:type="spellEnd"/>
      <w:r w:rsidRPr="00F73DE9">
        <w:t>) or those who have relapsed after three or more prior lines of therapy</w:t>
      </w:r>
      <w:r w:rsidR="009F7D40">
        <w:t>.</w:t>
      </w:r>
      <w:r w:rsidR="009F7D40">
        <w:rPr>
          <w:rStyle w:val="FootnoteReference"/>
        </w:rPr>
        <w:footnoteReference w:id="5"/>
      </w:r>
    </w:p>
    <w:p w14:paraId="435F542A" w14:textId="77777777" w:rsidR="00F8652A" w:rsidRDefault="000476AD" w:rsidP="00DF1FCC">
      <w:r w:rsidRPr="00F73DE9">
        <w:t>The wording of the approved indication in this setting is as follows:</w:t>
      </w:r>
    </w:p>
    <w:p w14:paraId="5CBEB2A6" w14:textId="3790A6E4" w:rsidR="000476AD" w:rsidRPr="00DF1FCC" w:rsidRDefault="00ED59E7" w:rsidP="00DF1FCC">
      <w:pPr>
        <w:ind w:left="720"/>
        <w:rPr>
          <w:i/>
        </w:rPr>
      </w:pPr>
      <w:proofErr w:type="gramStart"/>
      <w:r w:rsidRPr="00DF1FCC">
        <w:rPr>
          <w:i/>
        </w:rPr>
        <w:t>‘</w:t>
      </w:r>
      <w:r w:rsidR="000476AD" w:rsidRPr="00DF1FCC">
        <w:rPr>
          <w:i/>
        </w:rPr>
        <w:t xml:space="preserve">For the treatment of adult and </w:t>
      </w:r>
      <w:proofErr w:type="spellStart"/>
      <w:r w:rsidR="000476AD" w:rsidRPr="00DF1FCC">
        <w:rPr>
          <w:i/>
        </w:rPr>
        <w:t>pediatric</w:t>
      </w:r>
      <w:proofErr w:type="spellEnd"/>
      <w:r w:rsidR="000476AD" w:rsidRPr="00DF1FCC">
        <w:rPr>
          <w:i/>
        </w:rPr>
        <w:t xml:space="preserve"> patients with refractory </w:t>
      </w:r>
      <w:proofErr w:type="spellStart"/>
      <w:r w:rsidR="000476AD" w:rsidRPr="00DF1FCC">
        <w:rPr>
          <w:i/>
        </w:rPr>
        <w:t>cHL</w:t>
      </w:r>
      <w:proofErr w:type="spellEnd"/>
      <w:r w:rsidR="000476AD" w:rsidRPr="00DF1FCC">
        <w:rPr>
          <w:i/>
        </w:rPr>
        <w:t>, or who have relapsed after 3 or more prior lines of therapy.</w:t>
      </w:r>
      <w:proofErr w:type="gramEnd"/>
      <w:r w:rsidR="000476AD" w:rsidRPr="00DF1FCC">
        <w:rPr>
          <w:i/>
        </w:rPr>
        <w:t xml:space="preserve"> This indication is approved under accelerated approval based on </w:t>
      </w:r>
      <w:proofErr w:type="spellStart"/>
      <w:r w:rsidR="000476AD" w:rsidRPr="00DF1FCC">
        <w:rPr>
          <w:i/>
        </w:rPr>
        <w:t>tumor</w:t>
      </w:r>
      <w:proofErr w:type="spellEnd"/>
      <w:r w:rsidR="000476AD" w:rsidRPr="00DF1FCC">
        <w:rPr>
          <w:i/>
        </w:rPr>
        <w:t xml:space="preserve"> response rate and durability of response. Continued approval for this indication may be contingent upon verification and description of clinical benefit in the confirmatory trials.</w:t>
      </w:r>
      <w:r w:rsidRPr="00DF1FCC">
        <w:rPr>
          <w:i/>
        </w:rPr>
        <w:t>’</w:t>
      </w:r>
    </w:p>
    <w:p w14:paraId="3DC9F9F3" w14:textId="77777777" w:rsidR="00F8652A" w:rsidRDefault="000476AD" w:rsidP="00D92572">
      <w:pPr>
        <w:rPr>
          <w:rFonts w:eastAsia="Times New Roman"/>
          <w:bCs/>
          <w:color w:val="001523"/>
        </w:rPr>
      </w:pPr>
      <w:r w:rsidRPr="00F73DE9">
        <w:rPr>
          <w:rFonts w:eastAsia="Times New Roman"/>
          <w:bCs/>
          <w:color w:val="001523"/>
        </w:rPr>
        <w:t xml:space="preserve">See United States Product Information </w:t>
      </w:r>
      <w:r w:rsidRPr="00D92572">
        <w:t>document</w:t>
      </w:r>
      <w:r w:rsidRPr="00F73DE9">
        <w:rPr>
          <w:rFonts w:eastAsia="Times New Roman"/>
          <w:bCs/>
          <w:color w:val="001523"/>
        </w:rPr>
        <w:t xml:space="preserve"> at: </w:t>
      </w:r>
      <w:r w:rsidR="00F57565" w:rsidRPr="00F57565">
        <w:rPr>
          <w:rFonts w:asciiTheme="minorHAnsi" w:hAnsiTheme="minorHAnsi"/>
        </w:rPr>
        <w:t>www.accessdata.fda.gov/drugsatfda_docs/label/2017/125514s014lbl.pdf</w:t>
      </w:r>
    </w:p>
    <w:p w14:paraId="32DA6CAF" w14:textId="77777777" w:rsidR="00F8652A" w:rsidRDefault="000476AD" w:rsidP="00BC55E8">
      <w:pPr>
        <w:pStyle w:val="Heading4"/>
      </w:pPr>
      <w:r w:rsidRPr="00A02D8B">
        <w:t>E</w:t>
      </w:r>
      <w:r>
        <w:t xml:space="preserve">uropean </w:t>
      </w:r>
      <w:r w:rsidRPr="00A02D8B">
        <w:t>U</w:t>
      </w:r>
      <w:r>
        <w:t>nion (EU)</w:t>
      </w:r>
      <w:r w:rsidRPr="00A02D8B">
        <w:t xml:space="preserve"> – E</w:t>
      </w:r>
      <w:r>
        <w:t xml:space="preserve">uropean </w:t>
      </w:r>
      <w:r w:rsidRPr="00A02D8B">
        <w:t>M</w:t>
      </w:r>
      <w:r>
        <w:t xml:space="preserve">edicines </w:t>
      </w:r>
      <w:r w:rsidRPr="00A02D8B">
        <w:t>A</w:t>
      </w:r>
      <w:r>
        <w:t>gency (EMA)</w:t>
      </w:r>
      <w:r w:rsidR="00DF1FCC">
        <w:t xml:space="preserve"> (as of </w:t>
      </w:r>
      <w:r>
        <w:t>19 June 2017</w:t>
      </w:r>
      <w:r w:rsidRPr="00A02D8B">
        <w:t>)</w:t>
      </w:r>
    </w:p>
    <w:p w14:paraId="5CBEB2A9" w14:textId="0886B500" w:rsidR="000476AD" w:rsidRPr="00F73DE9" w:rsidRDefault="000476AD" w:rsidP="000476AD">
      <w:pPr>
        <w:autoSpaceDE w:val="0"/>
        <w:autoSpaceDN w:val="0"/>
        <w:spacing w:before="0" w:after="0" w:line="240" w:lineRule="auto"/>
        <w:rPr>
          <w:rFonts w:asciiTheme="minorHAnsi" w:eastAsia="Times New Roman" w:hAnsiTheme="minorHAnsi"/>
          <w:bCs/>
          <w:color w:val="001523"/>
        </w:rPr>
      </w:pPr>
      <w:r w:rsidRPr="00F73DE9">
        <w:rPr>
          <w:rFonts w:asciiTheme="minorHAnsi" w:eastAsia="Times New Roman" w:hAnsiTheme="minorHAnsi"/>
          <w:bCs/>
          <w:color w:val="001523"/>
        </w:rPr>
        <w:t>On</w:t>
      </w:r>
      <w:r w:rsidR="00DF1FCC">
        <w:rPr>
          <w:rFonts w:asciiTheme="minorHAnsi" w:eastAsia="Times New Roman" w:hAnsiTheme="minorHAnsi"/>
          <w:bCs/>
          <w:color w:val="001523"/>
        </w:rPr>
        <w:t xml:space="preserve"> 2</w:t>
      </w:r>
      <w:r w:rsidRPr="00F73DE9">
        <w:rPr>
          <w:rFonts w:asciiTheme="minorHAnsi" w:eastAsia="Times New Roman" w:hAnsiTheme="minorHAnsi"/>
          <w:bCs/>
          <w:color w:val="001523"/>
        </w:rPr>
        <w:t xml:space="preserve"> May 2017, an application to extend the indications of </w:t>
      </w:r>
      <w:proofErr w:type="spellStart"/>
      <w:r w:rsidRPr="00F73DE9">
        <w:rPr>
          <w:rFonts w:asciiTheme="minorHAnsi" w:eastAsia="Times New Roman" w:hAnsiTheme="minorHAnsi"/>
          <w:bCs/>
          <w:color w:val="001523"/>
        </w:rPr>
        <w:t>pembrolizumab</w:t>
      </w:r>
      <w:proofErr w:type="spellEnd"/>
      <w:r w:rsidRPr="00F73DE9">
        <w:rPr>
          <w:rFonts w:asciiTheme="minorHAnsi" w:eastAsia="Times New Roman" w:hAnsiTheme="minorHAnsi"/>
          <w:bCs/>
          <w:color w:val="001523"/>
        </w:rPr>
        <w:t xml:space="preserve"> (</w:t>
      </w:r>
      <w:proofErr w:type="spellStart"/>
      <w:r w:rsidR="00957DB3">
        <w:rPr>
          <w:rFonts w:asciiTheme="minorHAnsi" w:eastAsia="Times New Roman" w:hAnsiTheme="minorHAnsi"/>
          <w:bCs/>
          <w:color w:val="001523"/>
        </w:rPr>
        <w:t>Keytruda</w:t>
      </w:r>
      <w:proofErr w:type="spellEnd"/>
      <w:r w:rsidRPr="00F73DE9">
        <w:rPr>
          <w:rFonts w:asciiTheme="minorHAnsi" w:eastAsia="Times New Roman" w:hAnsiTheme="minorHAnsi"/>
          <w:bCs/>
          <w:color w:val="001523"/>
        </w:rPr>
        <w:t>) to include monotherapy treatment of adult patients with relapsed or refractory classical Hodgkin Lymphoma (</w:t>
      </w:r>
      <w:proofErr w:type="spellStart"/>
      <w:r w:rsidRPr="00F73DE9">
        <w:rPr>
          <w:rFonts w:asciiTheme="minorHAnsi" w:eastAsia="Times New Roman" w:hAnsiTheme="minorHAnsi"/>
          <w:bCs/>
          <w:color w:val="001523"/>
        </w:rPr>
        <w:t>cHL</w:t>
      </w:r>
      <w:proofErr w:type="spellEnd"/>
      <w:r w:rsidRPr="00F73DE9">
        <w:rPr>
          <w:rFonts w:asciiTheme="minorHAnsi" w:eastAsia="Times New Roman" w:hAnsiTheme="minorHAnsi"/>
          <w:bCs/>
          <w:color w:val="001523"/>
        </w:rPr>
        <w:t xml:space="preserve">) who have failed ASCT and have </w:t>
      </w:r>
      <w:proofErr w:type="spellStart"/>
      <w:r w:rsidRPr="00F73DE9">
        <w:rPr>
          <w:rFonts w:asciiTheme="minorHAnsi" w:eastAsia="Times New Roman" w:hAnsiTheme="minorHAnsi"/>
          <w:bCs/>
          <w:color w:val="001523"/>
        </w:rPr>
        <w:t>brentuximab</w:t>
      </w:r>
      <w:proofErr w:type="spellEnd"/>
      <w:r w:rsidRPr="00F73DE9">
        <w:rPr>
          <w:rFonts w:asciiTheme="minorHAnsi" w:eastAsia="Times New Roman" w:hAnsiTheme="minorHAnsi"/>
          <w:bCs/>
          <w:color w:val="001523"/>
        </w:rPr>
        <w:t xml:space="preserve"> </w:t>
      </w:r>
      <w:proofErr w:type="spellStart"/>
      <w:r w:rsidRPr="00F73DE9">
        <w:rPr>
          <w:rFonts w:asciiTheme="minorHAnsi" w:eastAsia="Times New Roman" w:hAnsiTheme="minorHAnsi"/>
          <w:bCs/>
          <w:color w:val="001523"/>
        </w:rPr>
        <w:t>vedotin</w:t>
      </w:r>
      <w:proofErr w:type="spellEnd"/>
      <w:r w:rsidRPr="00F73DE9">
        <w:rPr>
          <w:rFonts w:asciiTheme="minorHAnsi" w:eastAsia="Times New Roman" w:hAnsiTheme="minorHAnsi"/>
          <w:bCs/>
          <w:color w:val="001523"/>
        </w:rPr>
        <w:t xml:space="preserve"> (BV) or who are transplant ineligible and </w:t>
      </w:r>
      <w:proofErr w:type="gramStart"/>
      <w:r w:rsidRPr="00F73DE9">
        <w:rPr>
          <w:rFonts w:asciiTheme="minorHAnsi" w:eastAsia="Times New Roman" w:hAnsiTheme="minorHAnsi"/>
          <w:bCs/>
          <w:color w:val="001523"/>
        </w:rPr>
        <w:t>have</w:t>
      </w:r>
      <w:proofErr w:type="gramEnd"/>
      <w:r w:rsidRPr="00F73DE9">
        <w:rPr>
          <w:rFonts w:asciiTheme="minorHAnsi" w:eastAsia="Times New Roman" w:hAnsiTheme="minorHAnsi"/>
          <w:bCs/>
          <w:color w:val="001523"/>
        </w:rPr>
        <w:t xml:space="preserve"> failed BV was </w:t>
      </w:r>
      <w:r w:rsidR="00DF1FCC" w:rsidRPr="00F73DE9">
        <w:rPr>
          <w:rFonts w:asciiTheme="minorHAnsi" w:eastAsia="Times New Roman" w:hAnsiTheme="minorHAnsi"/>
          <w:bCs/>
          <w:color w:val="001523"/>
        </w:rPr>
        <w:t>approved</w:t>
      </w:r>
      <w:r w:rsidRPr="00F73DE9">
        <w:rPr>
          <w:rFonts w:asciiTheme="minorHAnsi" w:eastAsia="Times New Roman" w:hAnsiTheme="minorHAnsi"/>
          <w:bCs/>
          <w:color w:val="001523"/>
        </w:rPr>
        <w:t>.</w:t>
      </w:r>
      <w:r w:rsidR="009F7D40">
        <w:rPr>
          <w:rStyle w:val="FootnoteReference"/>
          <w:rFonts w:asciiTheme="minorHAnsi" w:eastAsia="Times New Roman" w:hAnsiTheme="minorHAnsi"/>
          <w:bCs/>
          <w:color w:val="001523"/>
        </w:rPr>
        <w:footnoteReference w:id="6"/>
      </w:r>
    </w:p>
    <w:p w14:paraId="5CBEB2AA" w14:textId="77777777" w:rsidR="000476AD" w:rsidRPr="00F73DE9" w:rsidRDefault="000476AD" w:rsidP="00DF1FCC">
      <w:r w:rsidRPr="00F73DE9">
        <w:t>The wording of the approved indication in this setting is as follows:</w:t>
      </w:r>
    </w:p>
    <w:p w14:paraId="07C30E0A" w14:textId="77777777" w:rsidR="00F8652A" w:rsidRDefault="00ED59E7" w:rsidP="00DF1FCC">
      <w:pPr>
        <w:ind w:left="720"/>
        <w:rPr>
          <w:i/>
        </w:rPr>
      </w:pPr>
      <w:r w:rsidRPr="00DF1FCC">
        <w:rPr>
          <w:i/>
        </w:rPr>
        <w:t>‘</w:t>
      </w:r>
      <w:proofErr w:type="spellStart"/>
      <w:r w:rsidR="00957DB3" w:rsidRPr="00DF1FCC">
        <w:rPr>
          <w:i/>
        </w:rPr>
        <w:t>Keytruda</w:t>
      </w:r>
      <w:proofErr w:type="spellEnd"/>
      <w:r w:rsidR="000476AD" w:rsidRPr="00DF1FCC">
        <w:rPr>
          <w:i/>
        </w:rPr>
        <w:t xml:space="preserve"> as monotherapy is indicated for the treatment of adult patients with relapsed or refractory classical Hodgkin lymphoma (</w:t>
      </w:r>
      <w:proofErr w:type="spellStart"/>
      <w:r w:rsidR="000476AD" w:rsidRPr="00DF1FCC">
        <w:rPr>
          <w:i/>
        </w:rPr>
        <w:t>cHL</w:t>
      </w:r>
      <w:proofErr w:type="spellEnd"/>
      <w:r w:rsidR="000476AD" w:rsidRPr="00DF1FCC">
        <w:rPr>
          <w:i/>
        </w:rPr>
        <w:t xml:space="preserve">) who have failed autologous stem cell transplant (ASCT) and </w:t>
      </w:r>
      <w:proofErr w:type="spellStart"/>
      <w:r w:rsidR="000476AD" w:rsidRPr="00DF1FCC">
        <w:rPr>
          <w:i/>
        </w:rPr>
        <w:t>brentuximab</w:t>
      </w:r>
      <w:proofErr w:type="spellEnd"/>
      <w:r w:rsidR="000476AD" w:rsidRPr="00DF1FCC">
        <w:rPr>
          <w:i/>
        </w:rPr>
        <w:t xml:space="preserve"> </w:t>
      </w:r>
      <w:proofErr w:type="spellStart"/>
      <w:r w:rsidR="000476AD" w:rsidRPr="00DF1FCC">
        <w:rPr>
          <w:i/>
        </w:rPr>
        <w:t>vedotin</w:t>
      </w:r>
      <w:proofErr w:type="spellEnd"/>
      <w:r w:rsidR="000476AD" w:rsidRPr="00DF1FCC">
        <w:rPr>
          <w:i/>
        </w:rPr>
        <w:t xml:space="preserve"> (BV), or who are transplant-ineligible and have failed BV.</w:t>
      </w:r>
      <w:r w:rsidRPr="00DF1FCC">
        <w:rPr>
          <w:i/>
        </w:rPr>
        <w:t>’</w:t>
      </w:r>
    </w:p>
    <w:p w14:paraId="5CBEB2AC" w14:textId="00884B72" w:rsidR="000476AD" w:rsidRPr="00F73DE9" w:rsidRDefault="000476AD" w:rsidP="00DF1FCC">
      <w:pPr>
        <w:rPr>
          <w:rFonts w:cs="Calibri"/>
        </w:rPr>
      </w:pPr>
      <w:r w:rsidRPr="00F73DE9">
        <w:rPr>
          <w:rFonts w:eastAsia="Times New Roman"/>
          <w:bCs/>
          <w:color w:val="001523"/>
        </w:rPr>
        <w:t xml:space="preserve">See </w:t>
      </w:r>
      <w:hyperlink r:id="rId17" w:history="1">
        <w:r w:rsidRPr="00F57565">
          <w:rPr>
            <w:rStyle w:val="Hyperlink"/>
            <w:rFonts w:eastAsia="Times New Roman"/>
            <w:bCs/>
          </w:rPr>
          <w:t>European Union SmPC at</w:t>
        </w:r>
      </w:hyperlink>
      <w:r w:rsidRPr="00F73DE9">
        <w:rPr>
          <w:rFonts w:eastAsia="Times New Roman"/>
          <w:bCs/>
          <w:color w:val="001523"/>
        </w:rPr>
        <w:t xml:space="preserve">: </w:t>
      </w:r>
      <w:r w:rsidRPr="00F57565">
        <w:rPr>
          <w:rFonts w:asciiTheme="minorHAnsi" w:hAnsiTheme="minorHAnsi" w:cs="Calibri"/>
        </w:rPr>
        <w:t>www.ema.europa.eu/docs/en_GB/document_library/EPAR_-_Product_Information/human/003820/WC500190990.pdf</w:t>
      </w:r>
    </w:p>
    <w:p w14:paraId="5CBEB2AD" w14:textId="77777777" w:rsidR="008E7846" w:rsidRDefault="008E7846" w:rsidP="00940A89">
      <w:pPr>
        <w:pStyle w:val="Heading3"/>
      </w:pPr>
      <w:bookmarkStart w:id="23" w:name="_Toc517786127"/>
      <w:r>
        <w:t>Product Information</w:t>
      </w:r>
      <w:bookmarkEnd w:id="21"/>
      <w:bookmarkEnd w:id="22"/>
      <w:bookmarkEnd w:id="23"/>
    </w:p>
    <w:p w14:paraId="5CBEB2AE" w14:textId="417A3BEE"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8" w:history="1">
        <w:r w:rsidR="00F57565" w:rsidRPr="00FE6173">
          <w:rPr>
            <w:rStyle w:val="Hyperlink"/>
          </w:rPr>
          <w:t>https://www.tga.gov.au/product-information-pi</w:t>
        </w:r>
      </w:hyperlink>
      <w:r w:rsidR="00441C3F">
        <w:t>&gt;</w:t>
      </w:r>
      <w:r w:rsidR="00940A89" w:rsidRPr="00940A89">
        <w:t>.</w:t>
      </w:r>
    </w:p>
    <w:p w14:paraId="5CBEB2AF" w14:textId="77777777" w:rsidR="00BD2AE2" w:rsidRDefault="00BD2AE2" w:rsidP="00BD2AE2">
      <w:pPr>
        <w:pStyle w:val="Heading2"/>
      </w:pPr>
      <w:bookmarkStart w:id="26" w:name="_Toc507501096"/>
      <w:bookmarkStart w:id="27" w:name="_Toc517786128"/>
      <w:r>
        <w:lastRenderedPageBreak/>
        <w:t>II. Registration timeline</w:t>
      </w:r>
      <w:bookmarkEnd w:id="26"/>
      <w:bookmarkEnd w:id="27"/>
    </w:p>
    <w:p w14:paraId="5CBEB2B0" w14:textId="77777777" w:rsidR="00BD2AE2" w:rsidRDefault="00BD2AE2" w:rsidP="008F3099">
      <w:pPr>
        <w:pStyle w:val="TableCaption"/>
      </w:pPr>
      <w:r>
        <w:t xml:space="preserve">Table </w:t>
      </w:r>
      <w:r w:rsidR="004F4829">
        <w:t>3</w:t>
      </w:r>
      <w:r>
        <w:t xml:space="preserve">: Registration timeline for </w:t>
      </w:r>
      <w:r w:rsidRPr="008F3099">
        <w:t>Submission</w:t>
      </w:r>
      <w:r>
        <w:t xml:space="preserve"> PM-201</w:t>
      </w:r>
      <w:r w:rsidR="004F4829">
        <w:t>6</w:t>
      </w:r>
      <w:r>
        <w:t>-0</w:t>
      </w:r>
      <w:r w:rsidR="004F4829">
        <w:t>2736</w:t>
      </w:r>
      <w:r>
        <w:t>-1-4</w:t>
      </w:r>
    </w:p>
    <w:tbl>
      <w:tblPr>
        <w:tblStyle w:val="TableTGAblue"/>
        <w:tblW w:w="0" w:type="auto"/>
        <w:tblInd w:w="250" w:type="dxa"/>
        <w:tblLook w:val="04A0" w:firstRow="1" w:lastRow="0" w:firstColumn="1" w:lastColumn="0" w:noHBand="0" w:noVBand="1"/>
        <w:tblDescription w:val="Table 3: Registration timeline for Submission PM-2016-02736-1-4"/>
      </w:tblPr>
      <w:tblGrid>
        <w:gridCol w:w="5670"/>
        <w:gridCol w:w="2800"/>
      </w:tblGrid>
      <w:tr w:rsidR="00BD2AE2" w:rsidRPr="00C633D6" w14:paraId="5CBEB2B3" w14:textId="77777777" w:rsidTr="004F4829">
        <w:trPr>
          <w:cnfStyle w:val="100000000000" w:firstRow="1" w:lastRow="0" w:firstColumn="0" w:lastColumn="0" w:oddVBand="0" w:evenVBand="0" w:oddHBand="0" w:evenHBand="0" w:firstRowFirstColumn="0" w:firstRowLastColumn="0" w:lastRowFirstColumn="0" w:lastRowLastColumn="0"/>
        </w:trPr>
        <w:tc>
          <w:tcPr>
            <w:tcW w:w="5670" w:type="dxa"/>
          </w:tcPr>
          <w:p w14:paraId="5CBEB2B1" w14:textId="77777777" w:rsidR="00BD2AE2" w:rsidRPr="002A6578" w:rsidRDefault="00BD2AE2" w:rsidP="00957DB3">
            <w:pPr>
              <w:rPr>
                <w:sz w:val="20"/>
                <w:szCs w:val="20"/>
              </w:rPr>
            </w:pPr>
            <w:r w:rsidRPr="002A6578">
              <w:rPr>
                <w:sz w:val="20"/>
                <w:szCs w:val="20"/>
              </w:rPr>
              <w:t>Description</w:t>
            </w:r>
          </w:p>
        </w:tc>
        <w:tc>
          <w:tcPr>
            <w:tcW w:w="2800" w:type="dxa"/>
          </w:tcPr>
          <w:p w14:paraId="5CBEB2B2" w14:textId="77777777" w:rsidR="00BD2AE2" w:rsidRPr="002A6578" w:rsidRDefault="00BD2AE2" w:rsidP="00957DB3">
            <w:pPr>
              <w:rPr>
                <w:sz w:val="20"/>
                <w:szCs w:val="20"/>
              </w:rPr>
            </w:pPr>
            <w:r w:rsidRPr="002A6578">
              <w:rPr>
                <w:sz w:val="20"/>
                <w:szCs w:val="20"/>
              </w:rPr>
              <w:t>Date</w:t>
            </w:r>
          </w:p>
        </w:tc>
      </w:tr>
      <w:tr w:rsidR="00BD2AE2" w:rsidRPr="008D5479" w14:paraId="5CBEB2B6" w14:textId="77777777" w:rsidTr="004F4829">
        <w:tc>
          <w:tcPr>
            <w:tcW w:w="5670" w:type="dxa"/>
          </w:tcPr>
          <w:p w14:paraId="5CBEB2B4" w14:textId="77777777" w:rsidR="00BD2AE2" w:rsidRPr="002A6578" w:rsidRDefault="00BD2AE2" w:rsidP="00957DB3">
            <w:pPr>
              <w:keepNext/>
              <w:rPr>
                <w:sz w:val="20"/>
                <w:szCs w:val="20"/>
              </w:rPr>
            </w:pPr>
            <w:r w:rsidRPr="002A6578">
              <w:rPr>
                <w:sz w:val="20"/>
                <w:szCs w:val="20"/>
              </w:rPr>
              <w:t>Submission dossier accepted and 1st round evaluation commenced</w:t>
            </w:r>
          </w:p>
        </w:tc>
        <w:tc>
          <w:tcPr>
            <w:tcW w:w="2800" w:type="dxa"/>
          </w:tcPr>
          <w:p w14:paraId="5CBEB2B5" w14:textId="77777777" w:rsidR="00BD2AE2" w:rsidRPr="002A6578" w:rsidRDefault="00275701" w:rsidP="00957DB3">
            <w:pPr>
              <w:keepNext/>
              <w:rPr>
                <w:color w:val="auto"/>
                <w:sz w:val="20"/>
                <w:szCs w:val="20"/>
              </w:rPr>
            </w:pPr>
            <w:r>
              <w:rPr>
                <w:color w:val="auto"/>
                <w:sz w:val="20"/>
                <w:szCs w:val="20"/>
              </w:rPr>
              <w:t>31 October 2016</w:t>
            </w:r>
          </w:p>
        </w:tc>
      </w:tr>
      <w:tr w:rsidR="00BD2AE2" w:rsidRPr="008D5479" w14:paraId="5CBEB2B9" w14:textId="77777777" w:rsidTr="004F4829">
        <w:tc>
          <w:tcPr>
            <w:tcW w:w="5670" w:type="dxa"/>
          </w:tcPr>
          <w:p w14:paraId="5CBEB2B7" w14:textId="77777777" w:rsidR="00BD2AE2" w:rsidRPr="002A6578" w:rsidRDefault="00BD2AE2" w:rsidP="00957DB3">
            <w:pPr>
              <w:keepNext/>
              <w:rPr>
                <w:sz w:val="20"/>
                <w:szCs w:val="20"/>
              </w:rPr>
            </w:pPr>
            <w:r w:rsidRPr="002A6578">
              <w:rPr>
                <w:sz w:val="20"/>
                <w:szCs w:val="20"/>
              </w:rPr>
              <w:t>1st round evaluation completed</w:t>
            </w:r>
          </w:p>
        </w:tc>
        <w:tc>
          <w:tcPr>
            <w:tcW w:w="2800" w:type="dxa"/>
          </w:tcPr>
          <w:p w14:paraId="5CBEB2B8" w14:textId="77777777" w:rsidR="00BD2AE2" w:rsidRPr="002A6578" w:rsidRDefault="00275701" w:rsidP="00957DB3">
            <w:pPr>
              <w:keepNext/>
              <w:rPr>
                <w:color w:val="auto"/>
                <w:sz w:val="20"/>
                <w:szCs w:val="20"/>
              </w:rPr>
            </w:pPr>
            <w:r>
              <w:rPr>
                <w:color w:val="auto"/>
                <w:sz w:val="20"/>
                <w:szCs w:val="20"/>
              </w:rPr>
              <w:t>3 April 2017</w:t>
            </w:r>
          </w:p>
        </w:tc>
      </w:tr>
      <w:tr w:rsidR="00BD2AE2" w:rsidRPr="00F0799B" w14:paraId="5CBEB2BC" w14:textId="77777777" w:rsidTr="004F4829">
        <w:tc>
          <w:tcPr>
            <w:tcW w:w="5670" w:type="dxa"/>
          </w:tcPr>
          <w:p w14:paraId="5CBEB2BA" w14:textId="77777777" w:rsidR="00BD2AE2" w:rsidRPr="002A6578" w:rsidRDefault="00BD2AE2" w:rsidP="00957DB3">
            <w:pPr>
              <w:keepNext/>
              <w:rPr>
                <w:sz w:val="20"/>
                <w:szCs w:val="20"/>
              </w:rPr>
            </w:pPr>
            <w:r w:rsidRPr="002A6578">
              <w:rPr>
                <w:sz w:val="20"/>
                <w:szCs w:val="20"/>
              </w:rPr>
              <w:t>Sponsor provides responses on questions raised in 1st round evaluation</w:t>
            </w:r>
          </w:p>
        </w:tc>
        <w:tc>
          <w:tcPr>
            <w:tcW w:w="2800" w:type="dxa"/>
          </w:tcPr>
          <w:p w14:paraId="5CBEB2BB" w14:textId="77777777" w:rsidR="00BD2AE2" w:rsidRPr="002A6578" w:rsidRDefault="00275701" w:rsidP="00957DB3">
            <w:pPr>
              <w:keepNext/>
              <w:rPr>
                <w:color w:val="auto"/>
                <w:sz w:val="20"/>
                <w:szCs w:val="20"/>
              </w:rPr>
            </w:pPr>
            <w:r>
              <w:rPr>
                <w:color w:val="auto"/>
                <w:sz w:val="20"/>
                <w:szCs w:val="20"/>
              </w:rPr>
              <w:t>27 April 2017</w:t>
            </w:r>
          </w:p>
        </w:tc>
      </w:tr>
      <w:tr w:rsidR="00BD2AE2" w:rsidRPr="00F0799B" w14:paraId="5CBEB2BF" w14:textId="77777777" w:rsidTr="004F4829">
        <w:tc>
          <w:tcPr>
            <w:tcW w:w="5670" w:type="dxa"/>
          </w:tcPr>
          <w:p w14:paraId="5CBEB2BD" w14:textId="77777777" w:rsidR="00BD2AE2" w:rsidRPr="002A6578" w:rsidRDefault="00BD2AE2" w:rsidP="00957DB3">
            <w:pPr>
              <w:keepNext/>
              <w:rPr>
                <w:sz w:val="20"/>
                <w:szCs w:val="20"/>
              </w:rPr>
            </w:pPr>
            <w:r w:rsidRPr="002A6578">
              <w:rPr>
                <w:sz w:val="20"/>
                <w:szCs w:val="20"/>
              </w:rPr>
              <w:t>2nd round evaluation completed</w:t>
            </w:r>
          </w:p>
        </w:tc>
        <w:tc>
          <w:tcPr>
            <w:tcW w:w="2800" w:type="dxa"/>
          </w:tcPr>
          <w:p w14:paraId="5CBEB2BE" w14:textId="77777777" w:rsidR="00BD2AE2" w:rsidRPr="002A6578" w:rsidRDefault="00275701" w:rsidP="00957DB3">
            <w:pPr>
              <w:keepNext/>
              <w:rPr>
                <w:color w:val="auto"/>
                <w:sz w:val="20"/>
                <w:szCs w:val="20"/>
              </w:rPr>
            </w:pPr>
            <w:r>
              <w:rPr>
                <w:color w:val="auto"/>
                <w:sz w:val="20"/>
                <w:szCs w:val="20"/>
              </w:rPr>
              <w:t>27 June 2017</w:t>
            </w:r>
          </w:p>
        </w:tc>
      </w:tr>
      <w:tr w:rsidR="00BD2AE2" w:rsidRPr="00F0799B" w14:paraId="5CBEB2C2" w14:textId="77777777" w:rsidTr="004F4829">
        <w:tc>
          <w:tcPr>
            <w:tcW w:w="5670" w:type="dxa"/>
          </w:tcPr>
          <w:p w14:paraId="5CBEB2C0" w14:textId="77777777" w:rsidR="00BD2AE2" w:rsidRPr="002A6578" w:rsidRDefault="00BD2AE2" w:rsidP="00957DB3">
            <w:pPr>
              <w:keepNext/>
              <w:rPr>
                <w:sz w:val="20"/>
                <w:szCs w:val="20"/>
              </w:rPr>
            </w:pPr>
            <w:r>
              <w:rPr>
                <w:sz w:val="20"/>
                <w:szCs w:val="20"/>
              </w:rPr>
              <w:t>R</w:t>
            </w:r>
            <w:r w:rsidRPr="002A6578">
              <w:rPr>
                <w:sz w:val="20"/>
                <w:szCs w:val="20"/>
              </w:rPr>
              <w:t>equest for Advisory Committee advice</w:t>
            </w:r>
            <w:r>
              <w:rPr>
                <w:sz w:val="20"/>
                <w:szCs w:val="20"/>
              </w:rPr>
              <w:t xml:space="preserve"> and/or Delegate’s Overview</w:t>
            </w:r>
          </w:p>
        </w:tc>
        <w:tc>
          <w:tcPr>
            <w:tcW w:w="2800" w:type="dxa"/>
          </w:tcPr>
          <w:p w14:paraId="5CBEB2C1" w14:textId="77777777" w:rsidR="00BD2AE2" w:rsidRPr="002A6578" w:rsidRDefault="007A204F" w:rsidP="00957DB3">
            <w:pPr>
              <w:keepNext/>
              <w:rPr>
                <w:color w:val="auto"/>
                <w:sz w:val="20"/>
                <w:szCs w:val="20"/>
              </w:rPr>
            </w:pPr>
            <w:r>
              <w:rPr>
                <w:color w:val="auto"/>
                <w:sz w:val="20"/>
                <w:szCs w:val="20"/>
              </w:rPr>
              <w:t>3 July 2017</w:t>
            </w:r>
          </w:p>
        </w:tc>
      </w:tr>
      <w:tr w:rsidR="00BD2AE2" w:rsidRPr="00F0799B" w14:paraId="5CBEB2C5" w14:textId="77777777" w:rsidTr="004F4829">
        <w:tc>
          <w:tcPr>
            <w:tcW w:w="5670" w:type="dxa"/>
          </w:tcPr>
          <w:p w14:paraId="5CBEB2C3" w14:textId="77777777" w:rsidR="00BD2AE2" w:rsidRPr="002A6578" w:rsidRDefault="00BD2AE2" w:rsidP="00957DB3">
            <w:pPr>
              <w:keepNext/>
              <w:rPr>
                <w:sz w:val="20"/>
                <w:szCs w:val="20"/>
              </w:rPr>
            </w:pPr>
            <w:r w:rsidRPr="002A6578">
              <w:rPr>
                <w:sz w:val="20"/>
                <w:szCs w:val="20"/>
              </w:rPr>
              <w:t>Sponsor’s response</w:t>
            </w:r>
            <w:r>
              <w:rPr>
                <w:sz w:val="20"/>
                <w:szCs w:val="20"/>
              </w:rPr>
              <w:t xml:space="preserve"> to Delegate’s Overview</w:t>
            </w:r>
          </w:p>
        </w:tc>
        <w:tc>
          <w:tcPr>
            <w:tcW w:w="2800" w:type="dxa"/>
          </w:tcPr>
          <w:p w14:paraId="5CBEB2C4" w14:textId="77777777" w:rsidR="00BD2AE2" w:rsidRPr="002A6578" w:rsidRDefault="00BD2AE2" w:rsidP="00957DB3">
            <w:pPr>
              <w:keepNext/>
              <w:rPr>
                <w:color w:val="auto"/>
                <w:sz w:val="20"/>
                <w:szCs w:val="20"/>
              </w:rPr>
            </w:pPr>
            <w:r>
              <w:rPr>
                <w:color w:val="auto"/>
                <w:sz w:val="20"/>
                <w:szCs w:val="20"/>
              </w:rPr>
              <w:t>15 July 2017</w:t>
            </w:r>
          </w:p>
        </w:tc>
      </w:tr>
      <w:tr w:rsidR="00BD2AE2" w:rsidRPr="00F0799B" w14:paraId="5CBEB2C8" w14:textId="77777777" w:rsidTr="004F4829">
        <w:trPr>
          <w:trHeight w:val="618"/>
        </w:trPr>
        <w:tc>
          <w:tcPr>
            <w:tcW w:w="5670" w:type="dxa"/>
          </w:tcPr>
          <w:p w14:paraId="5CBEB2C6" w14:textId="77777777" w:rsidR="00BD2AE2" w:rsidRPr="002A6578" w:rsidRDefault="00BD2AE2" w:rsidP="00957DB3">
            <w:pPr>
              <w:keepNext/>
              <w:rPr>
                <w:sz w:val="20"/>
                <w:szCs w:val="20"/>
              </w:rPr>
            </w:pPr>
            <w:r w:rsidRPr="002A6578">
              <w:rPr>
                <w:sz w:val="20"/>
                <w:szCs w:val="20"/>
              </w:rPr>
              <w:t>Advisory Committee meeting</w:t>
            </w:r>
          </w:p>
        </w:tc>
        <w:tc>
          <w:tcPr>
            <w:tcW w:w="2800" w:type="dxa"/>
          </w:tcPr>
          <w:p w14:paraId="5CBEB2C7" w14:textId="77777777" w:rsidR="00BD2AE2" w:rsidRPr="002A6578" w:rsidRDefault="00275701" w:rsidP="00957DB3">
            <w:pPr>
              <w:keepNext/>
              <w:rPr>
                <w:color w:val="auto"/>
                <w:sz w:val="20"/>
                <w:szCs w:val="20"/>
              </w:rPr>
            </w:pPr>
            <w:r>
              <w:rPr>
                <w:color w:val="auto"/>
                <w:sz w:val="20"/>
                <w:szCs w:val="20"/>
              </w:rPr>
              <w:t>4 August 2017</w:t>
            </w:r>
          </w:p>
        </w:tc>
      </w:tr>
      <w:tr w:rsidR="00BD2AE2" w:rsidRPr="00F0799B" w14:paraId="5CBEB2CB" w14:textId="77777777" w:rsidTr="004F4829">
        <w:tc>
          <w:tcPr>
            <w:tcW w:w="5670" w:type="dxa"/>
          </w:tcPr>
          <w:p w14:paraId="5CBEB2C9" w14:textId="77777777" w:rsidR="00BD2AE2" w:rsidRPr="002A6578" w:rsidRDefault="00BD2AE2" w:rsidP="00957DB3">
            <w:pPr>
              <w:keepNext/>
              <w:rPr>
                <w:sz w:val="20"/>
                <w:szCs w:val="20"/>
              </w:rPr>
            </w:pPr>
            <w:r w:rsidRPr="002A6578">
              <w:rPr>
                <w:sz w:val="20"/>
                <w:szCs w:val="20"/>
              </w:rPr>
              <w:t>Registration decision</w:t>
            </w:r>
          </w:p>
        </w:tc>
        <w:tc>
          <w:tcPr>
            <w:tcW w:w="2800" w:type="dxa"/>
          </w:tcPr>
          <w:p w14:paraId="5CBEB2CA" w14:textId="77777777" w:rsidR="00BD2AE2" w:rsidRPr="002A6578" w:rsidRDefault="00BD2AE2" w:rsidP="00957DB3">
            <w:pPr>
              <w:keepNext/>
              <w:rPr>
                <w:color w:val="auto"/>
                <w:sz w:val="20"/>
                <w:szCs w:val="20"/>
              </w:rPr>
            </w:pPr>
            <w:r>
              <w:rPr>
                <w:color w:val="auto"/>
                <w:sz w:val="20"/>
                <w:szCs w:val="20"/>
              </w:rPr>
              <w:t>1 September 2017</w:t>
            </w:r>
          </w:p>
        </w:tc>
      </w:tr>
      <w:tr w:rsidR="00BD2AE2" w:rsidRPr="00F0799B" w14:paraId="5CBEB2CE" w14:textId="77777777" w:rsidTr="004F4829">
        <w:tc>
          <w:tcPr>
            <w:tcW w:w="5670" w:type="dxa"/>
          </w:tcPr>
          <w:p w14:paraId="5CBEB2CC" w14:textId="77777777" w:rsidR="00BD2AE2" w:rsidRPr="002A6578" w:rsidRDefault="00BD2AE2" w:rsidP="00957DB3">
            <w:pPr>
              <w:keepNext/>
              <w:rPr>
                <w:sz w:val="20"/>
                <w:szCs w:val="20"/>
              </w:rPr>
            </w:pPr>
            <w:r w:rsidRPr="002A6578">
              <w:rPr>
                <w:sz w:val="20"/>
                <w:szCs w:val="20"/>
              </w:rPr>
              <w:t>Entry onto ARTG</w:t>
            </w:r>
          </w:p>
        </w:tc>
        <w:tc>
          <w:tcPr>
            <w:tcW w:w="2800" w:type="dxa"/>
          </w:tcPr>
          <w:p w14:paraId="5CBEB2CD" w14:textId="77777777" w:rsidR="00BD2AE2" w:rsidRPr="002A6578" w:rsidRDefault="00F30618" w:rsidP="00957DB3">
            <w:pPr>
              <w:keepNext/>
              <w:rPr>
                <w:color w:val="auto"/>
                <w:sz w:val="20"/>
                <w:szCs w:val="20"/>
              </w:rPr>
            </w:pPr>
            <w:r>
              <w:rPr>
                <w:color w:val="auto"/>
                <w:sz w:val="20"/>
                <w:szCs w:val="20"/>
              </w:rPr>
              <w:t>7 September 2017</w:t>
            </w:r>
          </w:p>
        </w:tc>
      </w:tr>
      <w:tr w:rsidR="00BD2AE2" w:rsidRPr="008D5479" w14:paraId="5CBEB2D1" w14:textId="77777777" w:rsidTr="004F4829">
        <w:tc>
          <w:tcPr>
            <w:tcW w:w="5670" w:type="dxa"/>
          </w:tcPr>
          <w:p w14:paraId="5CBEB2CF" w14:textId="77777777" w:rsidR="00BD2AE2" w:rsidRPr="002A6578" w:rsidRDefault="00BD2AE2" w:rsidP="00957DB3">
            <w:pPr>
              <w:keepNext/>
              <w:rPr>
                <w:sz w:val="20"/>
                <w:szCs w:val="20"/>
              </w:rPr>
            </w:pPr>
            <w:r w:rsidRPr="002A6578">
              <w:rPr>
                <w:sz w:val="20"/>
                <w:szCs w:val="20"/>
              </w:rPr>
              <w:t xml:space="preserve">Number of TGA working days from </w:t>
            </w:r>
            <w:r>
              <w:rPr>
                <w:sz w:val="20"/>
                <w:szCs w:val="20"/>
              </w:rPr>
              <w:t>commencement of evaluation</w:t>
            </w:r>
            <w:r w:rsidR="00D65F50">
              <w:rPr>
                <w:sz w:val="20"/>
                <w:szCs w:val="20"/>
              </w:rPr>
              <w:t xml:space="preserve"> </w:t>
            </w:r>
            <w:r w:rsidRPr="002A6578">
              <w:rPr>
                <w:sz w:val="20"/>
                <w:szCs w:val="20"/>
              </w:rPr>
              <w:t>to registration decision *</w:t>
            </w:r>
          </w:p>
        </w:tc>
        <w:tc>
          <w:tcPr>
            <w:tcW w:w="2800" w:type="dxa"/>
          </w:tcPr>
          <w:p w14:paraId="5CBEB2D0" w14:textId="77777777" w:rsidR="00BD2AE2" w:rsidRPr="002A6578" w:rsidRDefault="00275701" w:rsidP="00957DB3">
            <w:pPr>
              <w:keepNext/>
              <w:rPr>
                <w:color w:val="auto"/>
                <w:sz w:val="20"/>
                <w:szCs w:val="20"/>
              </w:rPr>
            </w:pPr>
            <w:r>
              <w:rPr>
                <w:color w:val="auto"/>
                <w:sz w:val="20"/>
                <w:szCs w:val="20"/>
              </w:rPr>
              <w:t>195</w:t>
            </w:r>
          </w:p>
        </w:tc>
      </w:tr>
    </w:tbl>
    <w:p w14:paraId="5CBEB2D2" w14:textId="77777777" w:rsidR="00BD2AE2" w:rsidRPr="008D5479" w:rsidRDefault="00BD2AE2" w:rsidP="00BD2AE2">
      <w:pPr>
        <w:pStyle w:val="TableDescription"/>
        <w:keepNext/>
      </w:pPr>
      <w:r>
        <w:t>* Statutory timeframe: 255 working days.</w:t>
      </w:r>
    </w:p>
    <w:p w14:paraId="5CBEB2D3" w14:textId="77777777" w:rsidR="008E7846" w:rsidRDefault="00BD2AE2" w:rsidP="008E7846">
      <w:pPr>
        <w:pStyle w:val="Heading2"/>
        <w:ind w:left="-11"/>
      </w:pPr>
      <w:bookmarkStart w:id="28" w:name="_Toc517786129"/>
      <w:r>
        <w:t>I</w:t>
      </w:r>
      <w:r w:rsidR="008E7846">
        <w:t>II. Quality</w:t>
      </w:r>
      <w:bookmarkEnd w:id="1"/>
      <w:r w:rsidR="008E7846">
        <w:t xml:space="preserve"> findings</w:t>
      </w:r>
      <w:bookmarkEnd w:id="24"/>
      <w:bookmarkEnd w:id="25"/>
      <w:bookmarkEnd w:id="28"/>
    </w:p>
    <w:p w14:paraId="2105350D" w14:textId="77777777" w:rsidR="00F8652A" w:rsidRDefault="00DA3875" w:rsidP="00320CF4">
      <w:bookmarkStart w:id="29" w:name="_Toc247691507"/>
      <w:bookmarkStart w:id="30" w:name="_Toc314842488"/>
      <w:r w:rsidRPr="00940A89">
        <w:t>There was no requirement for a quality evaluation in a submission of this type.</w:t>
      </w:r>
    </w:p>
    <w:p w14:paraId="5CBEB2D5" w14:textId="6EC5456C" w:rsidR="00320CF4" w:rsidRPr="0076528D" w:rsidRDefault="00320CF4" w:rsidP="00320CF4">
      <w:r>
        <w:t>No new dosage forms or strengths are proposed.</w:t>
      </w:r>
    </w:p>
    <w:p w14:paraId="5CBEB2D6" w14:textId="77777777" w:rsidR="00DA3875" w:rsidRDefault="00DA3875" w:rsidP="00DA3875">
      <w:pPr>
        <w:pStyle w:val="Heading3"/>
      </w:pPr>
      <w:bookmarkStart w:id="31" w:name="_Toc517786130"/>
      <w:bookmarkEnd w:id="29"/>
      <w:bookmarkEnd w:id="30"/>
      <w:r>
        <w:t>Drug product</w:t>
      </w:r>
      <w:bookmarkEnd w:id="31"/>
    </w:p>
    <w:p w14:paraId="6D4AD54C" w14:textId="77777777" w:rsidR="00F8652A" w:rsidRDefault="00542EEB" w:rsidP="00542EEB">
      <w:pPr>
        <w:pStyle w:val="Heading4"/>
      </w:pPr>
      <w:r>
        <w:t>Powder for solution for infusion</w:t>
      </w:r>
    </w:p>
    <w:p w14:paraId="30D2CE8F" w14:textId="77777777" w:rsidR="00F8652A" w:rsidRDefault="00542EEB" w:rsidP="00542EEB">
      <w:proofErr w:type="spellStart"/>
      <w:r>
        <w:t>Keytruda</w:t>
      </w:r>
      <w:proofErr w:type="spellEnd"/>
      <w:r>
        <w:t xml:space="preserve"> powder for solution for infusion is a sterile, preservative-free white to off-white lyophilised powder.</w:t>
      </w:r>
    </w:p>
    <w:p w14:paraId="063EC861" w14:textId="369FF04F" w:rsidR="00F8652A" w:rsidRDefault="00542EEB" w:rsidP="00542EEB">
      <w:r>
        <w:t xml:space="preserve">One vial contains 50 mg of </w:t>
      </w:r>
      <w:proofErr w:type="spellStart"/>
      <w:r>
        <w:t>pembrolizumab</w:t>
      </w:r>
      <w:proofErr w:type="spellEnd"/>
      <w:r>
        <w:t>.</w:t>
      </w:r>
    </w:p>
    <w:p w14:paraId="5CBEB2DA" w14:textId="1096DA3B" w:rsidR="00542EEB" w:rsidRDefault="00542EEB" w:rsidP="00542EEB">
      <w:r>
        <w:t xml:space="preserve">After reconstitution, 1 mL of solution contains 25 mg of </w:t>
      </w:r>
      <w:proofErr w:type="spellStart"/>
      <w:r>
        <w:t>pembrolizumab</w:t>
      </w:r>
      <w:proofErr w:type="spellEnd"/>
      <w:r>
        <w:t>.</w:t>
      </w:r>
    </w:p>
    <w:p w14:paraId="5CBEB2DB" w14:textId="77777777" w:rsidR="00542EEB" w:rsidRDefault="00542EEB" w:rsidP="00542EEB">
      <w:pPr>
        <w:pStyle w:val="Heading4"/>
      </w:pPr>
      <w:r>
        <w:t>Solution for infusion</w:t>
      </w:r>
    </w:p>
    <w:p w14:paraId="5CBEB2DC" w14:textId="77777777" w:rsidR="00542EEB" w:rsidRDefault="00542EEB" w:rsidP="00542EEB">
      <w:proofErr w:type="spellStart"/>
      <w:r>
        <w:t>Keytruda</w:t>
      </w:r>
      <w:proofErr w:type="spellEnd"/>
      <w:r>
        <w:t xml:space="preserve"> solution for infusion is a sterile, preservative-free, clear to slightly opalescent, colourless to slightly yellow solution.</w:t>
      </w:r>
    </w:p>
    <w:p w14:paraId="5CBEB2DD" w14:textId="77777777" w:rsidR="00542EEB" w:rsidRDefault="00542EEB" w:rsidP="00542EEB">
      <w:r>
        <w:t xml:space="preserve">One vial contains 100 mg of </w:t>
      </w:r>
      <w:proofErr w:type="spellStart"/>
      <w:r>
        <w:t>pembrolizumab</w:t>
      </w:r>
      <w:proofErr w:type="spellEnd"/>
      <w:r>
        <w:t xml:space="preserve"> in 4 mL of solution.</w:t>
      </w:r>
    </w:p>
    <w:p w14:paraId="5CBEB2DE" w14:textId="77777777" w:rsidR="00DA3875" w:rsidRDefault="00DA3875" w:rsidP="00DA3875">
      <w:pPr>
        <w:pStyle w:val="Heading4"/>
      </w:pPr>
      <w:r>
        <w:lastRenderedPageBreak/>
        <w:t>List of excipients</w:t>
      </w:r>
    </w:p>
    <w:p w14:paraId="5CBEB2DF" w14:textId="77777777" w:rsidR="00DA3875" w:rsidRDefault="00DA3875" w:rsidP="00DA3875">
      <w:r>
        <w:t>Histidine</w:t>
      </w:r>
    </w:p>
    <w:p w14:paraId="5CBEB2E0" w14:textId="77777777" w:rsidR="00DA3875" w:rsidRDefault="00DA3875" w:rsidP="00DA3875">
      <w:r>
        <w:t>Histidine hydrochloride monohydrate Sucrose</w:t>
      </w:r>
    </w:p>
    <w:p w14:paraId="5CBEB2E1" w14:textId="77777777" w:rsidR="00DA3875" w:rsidRPr="00164FDD" w:rsidRDefault="00DA3875" w:rsidP="00DA3875">
      <w:r>
        <w:t>Polysorbate-80 Water for Injections</w:t>
      </w:r>
    </w:p>
    <w:p w14:paraId="5CBEB2E2" w14:textId="77777777" w:rsidR="008E7846" w:rsidRDefault="008E7846" w:rsidP="008E7846">
      <w:pPr>
        <w:pStyle w:val="Heading2"/>
      </w:pPr>
      <w:bookmarkStart w:id="32" w:name="_Toc196046439"/>
      <w:bookmarkStart w:id="33" w:name="_Toc247691510"/>
      <w:bookmarkStart w:id="34" w:name="_Toc314842494"/>
      <w:bookmarkStart w:id="35" w:name="_Toc517786131"/>
      <w:r>
        <w:t>I</w:t>
      </w:r>
      <w:r w:rsidR="00BD2AE2">
        <w:t>V</w:t>
      </w:r>
      <w:r>
        <w:t>. Nonclinical</w:t>
      </w:r>
      <w:bookmarkEnd w:id="32"/>
      <w:r>
        <w:t xml:space="preserve"> findings</w:t>
      </w:r>
      <w:bookmarkEnd w:id="33"/>
      <w:bookmarkEnd w:id="34"/>
      <w:bookmarkEnd w:id="35"/>
    </w:p>
    <w:p w14:paraId="5CBEB2E3" w14:textId="77777777" w:rsidR="00940A89" w:rsidRDefault="00940A89" w:rsidP="000E6196">
      <w:bookmarkStart w:id="36" w:name="_Toc247691511"/>
      <w:bookmarkStart w:id="37" w:name="_Toc314842495"/>
      <w:r>
        <w:t>There was no requirement for a nonclinical evaluation in a submission of this type.</w:t>
      </w:r>
    </w:p>
    <w:p w14:paraId="5CBEB2E4" w14:textId="77777777" w:rsidR="008E7846" w:rsidRPr="00254787" w:rsidRDefault="008E7846" w:rsidP="008E7846">
      <w:pPr>
        <w:pStyle w:val="Heading2"/>
      </w:pPr>
      <w:bookmarkStart w:id="38" w:name="_Toc196046462"/>
      <w:bookmarkStart w:id="39" w:name="_Toc247691516"/>
      <w:bookmarkStart w:id="40" w:name="_Toc314842500"/>
      <w:bookmarkStart w:id="41" w:name="_Toc163441353"/>
      <w:bookmarkStart w:id="42" w:name="_Toc163441348"/>
      <w:bookmarkStart w:id="43" w:name="_Toc517786132"/>
      <w:bookmarkEnd w:id="36"/>
      <w:bookmarkEnd w:id="37"/>
      <w:r>
        <w:t xml:space="preserve">V. </w:t>
      </w:r>
      <w:r w:rsidRPr="00254787">
        <w:t>Clinical</w:t>
      </w:r>
      <w:bookmarkEnd w:id="38"/>
      <w:r>
        <w:t xml:space="preserve"> </w:t>
      </w:r>
      <w:r w:rsidR="003A7F6C">
        <w:t>f</w:t>
      </w:r>
      <w:r>
        <w:t>indings</w:t>
      </w:r>
      <w:bookmarkEnd w:id="39"/>
      <w:bookmarkEnd w:id="40"/>
      <w:bookmarkEnd w:id="43"/>
    </w:p>
    <w:p w14:paraId="5CBEB2E5" w14:textId="77777777" w:rsidR="00C80137" w:rsidRDefault="00C80137" w:rsidP="00D425BB">
      <w:bookmarkStart w:id="4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5CBEB2E6" w14:textId="77777777" w:rsidR="008E7846" w:rsidRDefault="008E7846" w:rsidP="008E7846">
      <w:pPr>
        <w:pStyle w:val="Heading3"/>
      </w:pPr>
      <w:bookmarkStart w:id="45" w:name="_Toc247691517"/>
      <w:bookmarkStart w:id="46" w:name="_Toc314842501"/>
      <w:bookmarkStart w:id="47" w:name="_Toc517786133"/>
      <w:r w:rsidRPr="00254787">
        <w:t>Introduction</w:t>
      </w:r>
      <w:bookmarkEnd w:id="44"/>
      <w:bookmarkEnd w:id="45"/>
      <w:bookmarkEnd w:id="46"/>
      <w:bookmarkEnd w:id="47"/>
    </w:p>
    <w:p w14:paraId="5CBEB2E7" w14:textId="77777777" w:rsidR="00605AD4" w:rsidRDefault="00605AD4" w:rsidP="00605AD4">
      <w:pPr>
        <w:pStyle w:val="Heading4"/>
      </w:pPr>
      <w:bookmarkStart w:id="48" w:name="_Toc196046464"/>
      <w:bookmarkStart w:id="49" w:name="_Toc247691518"/>
      <w:bookmarkStart w:id="50" w:name="_Toc314842502"/>
      <w:r w:rsidRPr="00605AD4">
        <w:t xml:space="preserve">Clinical </w:t>
      </w:r>
      <w:r w:rsidR="00EF59DC">
        <w:t>r</w:t>
      </w:r>
      <w:r w:rsidRPr="00605AD4">
        <w:t>ationale</w:t>
      </w:r>
    </w:p>
    <w:p w14:paraId="5CBEB2E8" w14:textId="77777777" w:rsidR="0076528D" w:rsidRDefault="0076528D" w:rsidP="0076528D">
      <w:r>
        <w:t xml:space="preserve">Several different tumours, including melanoma, express PD-L1. Tumour expression of PD-L1 may result in inhibition of T-cell mediated anti-tumour effects. The clinical rationale for PD-1 receptor blockade with </w:t>
      </w:r>
      <w:proofErr w:type="spellStart"/>
      <w:r>
        <w:t>pembrolizumab</w:t>
      </w:r>
      <w:proofErr w:type="spellEnd"/>
      <w:r>
        <w:t xml:space="preserve"> is to remove such inhibition.</w:t>
      </w:r>
    </w:p>
    <w:p w14:paraId="5CBEB2E9" w14:textId="77777777" w:rsidR="0076528D" w:rsidRDefault="0076528D" w:rsidP="0076528D">
      <w:r>
        <w:t xml:space="preserve">The PD-1/PD-L1 pathway plays a critical role in </w:t>
      </w:r>
      <w:proofErr w:type="spellStart"/>
      <w:r>
        <w:t>tumor</w:t>
      </w:r>
      <w:proofErr w:type="spellEnd"/>
      <w:r>
        <w:t xml:space="preserve"> evasion and is an attractive target for therapeutic intervention in HL. High frequency of expression of PD-L1 by immunohistochemistry and flow cytometry has been demonstrated in </w:t>
      </w:r>
      <w:proofErr w:type="spellStart"/>
      <w:r>
        <w:t>cHL.</w:t>
      </w:r>
      <w:proofErr w:type="spellEnd"/>
      <w:r>
        <w:t xml:space="preserve"> A recent integrated analysis reveals selective 9p24.1 amplification, which includes the PD-L1 and PD-L2 loci, increased PD-L1 and PD-L2 expression, and further induction via Janus Kinase 2 in nodular </w:t>
      </w:r>
      <w:proofErr w:type="spellStart"/>
      <w:r>
        <w:t>sclerosing</w:t>
      </w:r>
      <w:proofErr w:type="spellEnd"/>
      <w:r>
        <w:t xml:space="preserve"> HL. Furthermore, Epstein–Barr virus infection of malignant Reed Sternberg cells, which is implicated in approximately 40% of cases of HL, contributes to overexpression of PD-L1 even in the absence of 9p24.1 amplification. The Epstein-Barr virus latent membrane protein 1 exerts direct and indirect effects on PD-L1 promoter and enhancer elements leading to increased PD-L1 protein expression. The high expression of PD-L1 on </w:t>
      </w:r>
      <w:proofErr w:type="spellStart"/>
      <w:r>
        <w:t>tumor</w:t>
      </w:r>
      <w:proofErr w:type="spellEnd"/>
      <w:r>
        <w:t xml:space="preserve"> cells has been found to correlate with poor prognosis and survival in various cancers. The observed correlation of clinical prognosis with PD-L1 expression in multiple cancers suggests that the PD-1/PD-L1 pathway plays a critical role in </w:t>
      </w:r>
      <w:proofErr w:type="spellStart"/>
      <w:r>
        <w:t>tumor</w:t>
      </w:r>
      <w:proofErr w:type="spellEnd"/>
      <w:r>
        <w:t xml:space="preserve"> evasion and is thus an attractive target for therapeutic intervention. Preclinical in vitro and in vivo experiments have shown that PD-1 and/or PD-L1 blockade using monoclonal antibodies can result in activation of anti-</w:t>
      </w:r>
      <w:proofErr w:type="spellStart"/>
      <w:r>
        <w:t>tumor</w:t>
      </w:r>
      <w:proofErr w:type="spellEnd"/>
      <w:r>
        <w:t xml:space="preserve"> T cells and subsequent </w:t>
      </w:r>
      <w:proofErr w:type="spellStart"/>
      <w:r>
        <w:t>tumor</w:t>
      </w:r>
      <w:proofErr w:type="spellEnd"/>
      <w:r>
        <w:t xml:space="preserve"> regression. Emerging clinical data and the recent US FDA accelerated approval in </w:t>
      </w:r>
      <w:proofErr w:type="spellStart"/>
      <w:r>
        <w:t>cHL</w:t>
      </w:r>
      <w:proofErr w:type="spellEnd"/>
      <w:r>
        <w:t xml:space="preserve"> for </w:t>
      </w:r>
      <w:proofErr w:type="spellStart"/>
      <w:r>
        <w:t>nivolumab</w:t>
      </w:r>
      <w:proofErr w:type="spellEnd"/>
      <w:r>
        <w:t>, a PD-1 inhibitor, further validates the PD-1/PD-L1 pathway for therapeutic intervention.</w:t>
      </w:r>
    </w:p>
    <w:p w14:paraId="5CBEB2EA" w14:textId="77777777" w:rsidR="0076528D" w:rsidRPr="0076528D" w:rsidRDefault="0076528D" w:rsidP="0076528D">
      <w:proofErr w:type="spellStart"/>
      <w:r>
        <w:t>Pembrolizumab</w:t>
      </w:r>
      <w:proofErr w:type="spellEnd"/>
      <w:r>
        <w:t xml:space="preserve"> is a pot</w:t>
      </w:r>
      <w:r w:rsidR="009B58E6">
        <w:t>ent and highly selective humanis</w:t>
      </w:r>
      <w:r>
        <w:t xml:space="preserve">ed </w:t>
      </w:r>
      <w:proofErr w:type="spellStart"/>
      <w:r>
        <w:t>mAb</w:t>
      </w:r>
      <w:proofErr w:type="spellEnd"/>
      <w:r>
        <w:t xml:space="preserve"> of the immunoglobulin G4 (IgG4)/kappa isotype designed to directly block the interaction between PD-1 and its ligands, PD-L1 and PD-L2. This blockade enhances functional activity of the target lymphocytes to facilitate </w:t>
      </w:r>
      <w:proofErr w:type="spellStart"/>
      <w:r>
        <w:t>tumor</w:t>
      </w:r>
      <w:proofErr w:type="spellEnd"/>
      <w:r>
        <w:t xml:space="preserve"> regression and ultimately immune rejection. In vitro and in vivo experiments have shown that PD-1 and/or PD-L1 blockade using monoclonal antibodies can result in activation of anti-</w:t>
      </w:r>
      <w:proofErr w:type="spellStart"/>
      <w:r>
        <w:t>tumor</w:t>
      </w:r>
      <w:proofErr w:type="spellEnd"/>
      <w:r>
        <w:t xml:space="preserve"> T cells and subsequent </w:t>
      </w:r>
      <w:proofErr w:type="spellStart"/>
      <w:r>
        <w:t>tumor</w:t>
      </w:r>
      <w:proofErr w:type="spellEnd"/>
      <w:r>
        <w:t xml:space="preserve"> regression.</w:t>
      </w:r>
    </w:p>
    <w:p w14:paraId="5CBEB2EB" w14:textId="77777777" w:rsidR="00605AD4" w:rsidRDefault="00605AD4" w:rsidP="00605AD4">
      <w:pPr>
        <w:pStyle w:val="Heading4"/>
      </w:pPr>
      <w:r w:rsidRPr="00605AD4">
        <w:lastRenderedPageBreak/>
        <w:t>Contents of the clinical dossier</w:t>
      </w:r>
    </w:p>
    <w:p w14:paraId="5CBEB2EC" w14:textId="77777777" w:rsidR="0076528D" w:rsidRDefault="0076528D" w:rsidP="009B58E6">
      <w:pPr>
        <w:pStyle w:val="Heading5"/>
      </w:pPr>
      <w:r>
        <w:t>Scope of the clinical dossier</w:t>
      </w:r>
    </w:p>
    <w:p w14:paraId="5CBEB2ED" w14:textId="77777777" w:rsidR="0076528D" w:rsidRDefault="0076528D" w:rsidP="0076528D">
      <w:r>
        <w:t xml:space="preserve">The submission contained the following clinical information including a table summarising the studies in the </w:t>
      </w:r>
      <w:r w:rsidR="00320CF4">
        <w:t xml:space="preserve">sponsor’s </w:t>
      </w:r>
      <w:r>
        <w:t xml:space="preserve">HL clinical development program (Table </w:t>
      </w:r>
      <w:r w:rsidR="00320CF4">
        <w:t>4</w:t>
      </w:r>
      <w:r>
        <w:t>):</w:t>
      </w:r>
    </w:p>
    <w:p w14:paraId="5CBEB2EE" w14:textId="77777777" w:rsidR="0076528D" w:rsidRDefault="0076528D" w:rsidP="00320CF4">
      <w:pPr>
        <w:pStyle w:val="Tabletitle0"/>
      </w:pPr>
      <w:r w:rsidRPr="00320CF4">
        <w:t xml:space="preserve">Table </w:t>
      </w:r>
      <w:r w:rsidR="00320CF4" w:rsidRPr="00320CF4">
        <w:t>4</w:t>
      </w:r>
      <w:r w:rsidRPr="00320CF4">
        <w:t xml:space="preserve">: Summary of studies in the </w:t>
      </w:r>
      <w:r w:rsidR="00320CF4">
        <w:t xml:space="preserve">sponsor’s </w:t>
      </w:r>
      <w:r w:rsidRPr="00320CF4">
        <w:t>Hodgkin Lymphoma clinical development program</w:t>
      </w:r>
    </w:p>
    <w:p w14:paraId="5CBEB2EF" w14:textId="77777777" w:rsidR="00E4230B" w:rsidRDefault="00E4230B" w:rsidP="0076528D">
      <w:r>
        <w:rPr>
          <w:noProof/>
          <w:lang w:eastAsia="en-AU"/>
        </w:rPr>
        <w:drawing>
          <wp:inline distT="0" distB="0" distL="0" distR="0" wp14:anchorId="5CBEB954" wp14:editId="5CBEB955">
            <wp:extent cx="4623634" cy="3813243"/>
            <wp:effectExtent l="0" t="0" r="5715" b="0"/>
            <wp:docPr id="4" name="Picture 4" descr="Table 4: Summary of studies in the Hodgkin Lymphoma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28606" cy="3817344"/>
                    </a:xfrm>
                    <a:prstGeom prst="rect">
                      <a:avLst/>
                    </a:prstGeom>
                  </pic:spPr>
                </pic:pic>
              </a:graphicData>
            </a:graphic>
          </wp:inline>
        </w:drawing>
      </w:r>
    </w:p>
    <w:p w14:paraId="5CBEB2F0" w14:textId="77777777" w:rsidR="009B58E6" w:rsidRDefault="009B58E6" w:rsidP="0076528D">
      <w:r>
        <w:t>The submission included:</w:t>
      </w:r>
    </w:p>
    <w:p w14:paraId="757B2E15" w14:textId="77777777" w:rsidR="00F8652A" w:rsidRDefault="0076528D" w:rsidP="009B58E6">
      <w:pPr>
        <w:pStyle w:val="ListBullet"/>
      </w:pPr>
      <w:r>
        <w:t xml:space="preserve">Four interim reports of bioanalytical and analytical methods for human studies: regarding detection of anti-MK-3475 antibodies in human serum in </w:t>
      </w:r>
      <w:r w:rsidR="00ED605C">
        <w:t>S</w:t>
      </w:r>
      <w:r>
        <w:t>tudy KN013 and KN087.</w:t>
      </w:r>
    </w:p>
    <w:p w14:paraId="574EFF73" w14:textId="77777777" w:rsidR="00F8652A" w:rsidRDefault="00ED605C" w:rsidP="009B58E6">
      <w:pPr>
        <w:pStyle w:val="ListBullet"/>
      </w:pPr>
      <w:r>
        <w:t>One pivotal P</w:t>
      </w:r>
      <w:r w:rsidR="0076528D">
        <w:t xml:space="preserve">hase II safety and efficacy clinical study report of </w:t>
      </w:r>
      <w:proofErr w:type="spellStart"/>
      <w:r w:rsidR="0076528D">
        <w:t>pembrolizumab</w:t>
      </w:r>
      <w:proofErr w:type="spellEnd"/>
      <w:r w:rsidR="0076528D">
        <w:t xml:space="preserve"> in subjects with relapsed or refractory classical Hodgkin lymphoma: KEYNOTE -087.</w:t>
      </w:r>
    </w:p>
    <w:p w14:paraId="102B0C86" w14:textId="77777777" w:rsidR="00F8652A" w:rsidRDefault="00ED605C" w:rsidP="009B58E6">
      <w:pPr>
        <w:pStyle w:val="ListBullet"/>
      </w:pPr>
      <w:r>
        <w:t>One supportive P</w:t>
      </w:r>
      <w:r w:rsidR="0076528D">
        <w:t xml:space="preserve">hase </w:t>
      </w:r>
      <w:proofErr w:type="spellStart"/>
      <w:r w:rsidR="0076528D">
        <w:t>Ib</w:t>
      </w:r>
      <w:proofErr w:type="spellEnd"/>
      <w:r w:rsidR="0076528D">
        <w:t xml:space="preserve"> safety and efficacy clinical study report of </w:t>
      </w:r>
      <w:proofErr w:type="spellStart"/>
      <w:r w:rsidR="0076528D">
        <w:t>pembrolizumab</w:t>
      </w:r>
      <w:proofErr w:type="spellEnd"/>
      <w:r w:rsidR="0076528D">
        <w:t xml:space="preserve"> in the cohort of subjects with relapsed or refractory nodular </w:t>
      </w:r>
      <w:proofErr w:type="spellStart"/>
      <w:r w:rsidR="0076528D">
        <w:t>sclerosing</w:t>
      </w:r>
      <w:proofErr w:type="spellEnd"/>
      <w:r w:rsidR="0076528D">
        <w:t xml:space="preserve"> or mixed cellularity Hodgkin lymphoma. The entire study was performed in subjects with hematologic malignancies: KEYNOTE -013.</w:t>
      </w:r>
    </w:p>
    <w:p w14:paraId="5CBEB2F4" w14:textId="0CAAD145" w:rsidR="0076528D" w:rsidRDefault="0076528D" w:rsidP="009B58E6">
      <w:pPr>
        <w:pStyle w:val="ListBullet"/>
      </w:pPr>
      <w:r>
        <w:t xml:space="preserve">One </w:t>
      </w:r>
      <w:proofErr w:type="spellStart"/>
      <w:r>
        <w:t>PopPK</w:t>
      </w:r>
      <w:proofErr w:type="spellEnd"/>
      <w:r>
        <w:t xml:space="preserve"> study; Application of Population Pharmacokinetic Model for </w:t>
      </w:r>
      <w:proofErr w:type="spellStart"/>
      <w:r>
        <w:t>Pembrolizumab</w:t>
      </w:r>
      <w:proofErr w:type="spellEnd"/>
      <w:r>
        <w:t xml:space="preserve"> (MK-3475) to Patients with Hodgkin Lymphoma (Protocol 001, 002, 006, 013 and 087)</w:t>
      </w:r>
    </w:p>
    <w:p w14:paraId="450B5965" w14:textId="77777777" w:rsidR="00F8652A" w:rsidRDefault="0076528D" w:rsidP="009B58E6">
      <w:pPr>
        <w:pStyle w:val="ListBullet"/>
      </w:pPr>
      <w:r>
        <w:t>One Study of Dose-</w:t>
      </w:r>
      <w:proofErr w:type="spellStart"/>
      <w:r>
        <w:t>Tumor</w:t>
      </w:r>
      <w:proofErr w:type="spellEnd"/>
      <w:r>
        <w:t xml:space="preserve"> size Relationship in </w:t>
      </w:r>
      <w:proofErr w:type="spellStart"/>
      <w:r>
        <w:t>Pembrolizumab</w:t>
      </w:r>
      <w:proofErr w:type="spellEnd"/>
      <w:r>
        <w:t>-(MK-3475) Treated Subjects with Refractory/Relapsed Classical Hodgkin Lymphoma (</w:t>
      </w:r>
      <w:proofErr w:type="spellStart"/>
      <w:r>
        <w:t>rrcHL</w:t>
      </w:r>
      <w:proofErr w:type="spellEnd"/>
      <w:r>
        <w:t>) From Protocols KN013 and KN087.</w:t>
      </w:r>
    </w:p>
    <w:p w14:paraId="1BCCE380" w14:textId="77777777" w:rsidR="00F8652A" w:rsidRDefault="0076528D" w:rsidP="009B58E6">
      <w:pPr>
        <w:pStyle w:val="ListBullet"/>
      </w:pPr>
      <w:r>
        <w:t xml:space="preserve">One Study of Pharmacokinetics of </w:t>
      </w:r>
      <w:proofErr w:type="spellStart"/>
      <w:r>
        <w:t>Pembrolizumab</w:t>
      </w:r>
      <w:proofErr w:type="spellEnd"/>
      <w:r>
        <w:t xml:space="preserve"> in First-Line NSCLC on Protocol 024.</w:t>
      </w:r>
    </w:p>
    <w:p w14:paraId="5CBEB2F7" w14:textId="5F716217" w:rsidR="0076528D" w:rsidRPr="0076528D" w:rsidRDefault="0076528D" w:rsidP="009B58E6">
      <w:pPr>
        <w:pStyle w:val="ListBullet"/>
      </w:pPr>
      <w:r>
        <w:t>Literature references.</w:t>
      </w:r>
    </w:p>
    <w:p w14:paraId="5CBEB2F8" w14:textId="77777777" w:rsidR="00605AD4" w:rsidRDefault="00605AD4" w:rsidP="00605AD4">
      <w:pPr>
        <w:pStyle w:val="Heading4"/>
      </w:pPr>
      <w:r w:rsidRPr="00605AD4">
        <w:t>Paediatric data</w:t>
      </w:r>
    </w:p>
    <w:p w14:paraId="270F5012" w14:textId="77777777" w:rsidR="00F8652A" w:rsidRDefault="0076528D" w:rsidP="0076528D">
      <w:r>
        <w:t xml:space="preserve">There </w:t>
      </w:r>
      <w:r w:rsidR="00320CF4">
        <w:t>were</w:t>
      </w:r>
      <w:r>
        <w:t xml:space="preserve"> no p</w:t>
      </w:r>
      <w:r w:rsidR="00320CF4">
        <w:t>aediatric data provided. There wa</w:t>
      </w:r>
      <w:r>
        <w:t>s no paediatric development plan.</w:t>
      </w:r>
    </w:p>
    <w:p w14:paraId="63DC123C" w14:textId="77777777" w:rsidR="00F8652A" w:rsidRDefault="00ED605C" w:rsidP="0076528D">
      <w:r>
        <w:lastRenderedPageBreak/>
        <w:t xml:space="preserve">A </w:t>
      </w:r>
      <w:proofErr w:type="spellStart"/>
      <w:r w:rsidR="0076528D">
        <w:t>Pediatric</w:t>
      </w:r>
      <w:proofErr w:type="spellEnd"/>
      <w:r w:rsidR="0076528D">
        <w:t xml:space="preserve"> Waiver </w:t>
      </w:r>
      <w:r>
        <w:t xml:space="preserve">was </w:t>
      </w:r>
      <w:r w:rsidR="0076528D">
        <w:t xml:space="preserve">granted </w:t>
      </w:r>
      <w:r>
        <w:t xml:space="preserve">by the FDA on 21 </w:t>
      </w:r>
      <w:r w:rsidR="0076528D">
        <w:t>Jan</w:t>
      </w:r>
      <w:r>
        <w:t xml:space="preserve">uary </w:t>
      </w:r>
      <w:r w:rsidR="0076528D">
        <w:t>2016.</w:t>
      </w:r>
    </w:p>
    <w:p w14:paraId="5CBEB2FB" w14:textId="117F8348" w:rsidR="0076528D" w:rsidRPr="0076528D" w:rsidRDefault="0076528D" w:rsidP="0076528D">
      <w:r>
        <w:t xml:space="preserve">A </w:t>
      </w:r>
      <w:proofErr w:type="spellStart"/>
      <w:r>
        <w:t>Pediatric</w:t>
      </w:r>
      <w:proofErr w:type="spellEnd"/>
      <w:r>
        <w:t xml:space="preserve"> Investigation Plan covering the condition </w:t>
      </w:r>
      <w:r w:rsidR="00ED59E7">
        <w:t>‘</w:t>
      </w:r>
      <w:r>
        <w:t>Treatment of Hodgkin Lymphoma</w:t>
      </w:r>
      <w:r w:rsidR="00ED59E7">
        <w:t>’</w:t>
      </w:r>
      <w:r>
        <w:t xml:space="preserve"> was adopted by EMA for </w:t>
      </w:r>
      <w:proofErr w:type="spellStart"/>
      <w:r>
        <w:t>pembrolizumab</w:t>
      </w:r>
      <w:proofErr w:type="spellEnd"/>
      <w:r>
        <w:t xml:space="preserve"> on 01</w:t>
      </w:r>
      <w:r w:rsidR="00ED605C">
        <w:t xml:space="preserve"> </w:t>
      </w:r>
      <w:r>
        <w:t>Aug</w:t>
      </w:r>
      <w:r w:rsidR="00ED605C">
        <w:t>ust 2</w:t>
      </w:r>
      <w:r>
        <w:t>016 (EMEA-001474-PIP02-16).</w:t>
      </w:r>
    </w:p>
    <w:p w14:paraId="5CBEB2FC" w14:textId="77777777" w:rsidR="00605AD4" w:rsidRPr="00E4230B" w:rsidRDefault="00605AD4" w:rsidP="00605AD4">
      <w:pPr>
        <w:pStyle w:val="Heading4"/>
      </w:pPr>
      <w:r w:rsidRPr="00E4230B">
        <w:t>Good clinical practice</w:t>
      </w:r>
    </w:p>
    <w:p w14:paraId="5CBEB2FD" w14:textId="77777777" w:rsidR="00E4230B" w:rsidRPr="00E4230B" w:rsidRDefault="00E4230B" w:rsidP="00E4230B">
      <w:r w:rsidRPr="00E4230B">
        <w:t>The clinical study reports for KN013 and KN087 include the following statement:</w:t>
      </w:r>
    </w:p>
    <w:p w14:paraId="5CBEB2FE" w14:textId="77777777" w:rsidR="00E4230B" w:rsidRDefault="00E4230B" w:rsidP="00E4230B">
      <w:pPr>
        <w:ind w:left="720"/>
      </w:pPr>
      <w:r w:rsidRPr="00E4230B">
        <w:rPr>
          <w:i/>
        </w:rPr>
        <w:t>This trial</w:t>
      </w:r>
      <w:r w:rsidRPr="008A1E16">
        <w:rPr>
          <w:i/>
        </w:rPr>
        <w:t xml:space="preserve"> was conducted in substantial conformance with GCP requirements and applicable country and/or local statutes and regulations regarding ethical committee review, informed consent, and the protection of human subjects participating in biomedical research</w:t>
      </w:r>
      <w:r>
        <w:t>.</w:t>
      </w:r>
    </w:p>
    <w:p w14:paraId="5CBEB2FF" w14:textId="77777777" w:rsidR="008E7846" w:rsidRDefault="008E7846" w:rsidP="00605AD4">
      <w:pPr>
        <w:pStyle w:val="Heading3"/>
      </w:pPr>
      <w:bookmarkStart w:id="51" w:name="_Toc517786134"/>
      <w:r w:rsidRPr="00254787">
        <w:t>Pharmacokinetics</w:t>
      </w:r>
      <w:bookmarkEnd w:id="41"/>
      <w:bookmarkEnd w:id="48"/>
      <w:bookmarkEnd w:id="49"/>
      <w:bookmarkEnd w:id="50"/>
      <w:bookmarkEnd w:id="51"/>
    </w:p>
    <w:p w14:paraId="7EED1D90" w14:textId="77777777" w:rsidR="00F8652A" w:rsidRDefault="00605AD4" w:rsidP="00605AD4">
      <w:pPr>
        <w:pStyle w:val="Heading4"/>
      </w:pPr>
      <w:r>
        <w:t>Studies providing pharmacokinetic data</w:t>
      </w:r>
    </w:p>
    <w:p w14:paraId="74736925" w14:textId="77777777" w:rsidR="00F8652A" w:rsidRDefault="0076528D" w:rsidP="0076528D">
      <w:r>
        <w:t>No designated pharmacokinetics studies but sparse samples (see below) for pharmacokinetic analysis and immunogenicity samples were collected in KN013 (10 mg/kg Q2W) and KN087 (200 mg Q3W).</w:t>
      </w:r>
    </w:p>
    <w:p w14:paraId="5CBEB302" w14:textId="69942C46" w:rsidR="00605AD4" w:rsidRDefault="00605AD4" w:rsidP="00605AD4">
      <w:pPr>
        <w:pStyle w:val="Heading4"/>
      </w:pPr>
      <w:r>
        <w:t>Evaluator’s conclusions on pharmacokinetics</w:t>
      </w:r>
    </w:p>
    <w:p w14:paraId="5CBEB303" w14:textId="77777777" w:rsidR="0076528D" w:rsidRPr="0076528D" w:rsidRDefault="0076528D" w:rsidP="0076528D">
      <w:r>
        <w:t xml:space="preserve">Overall, the proposed dose of 200 mg </w:t>
      </w:r>
      <w:r w:rsidR="00ED605C">
        <w:t>every 3 weeks (</w:t>
      </w:r>
      <w:r>
        <w:t>Q3W</w:t>
      </w:r>
      <w:r w:rsidR="00ED605C">
        <w:t>)</w:t>
      </w:r>
      <w:r>
        <w:t xml:space="preserve"> is supported by data in </w:t>
      </w:r>
      <w:proofErr w:type="spellStart"/>
      <w:r>
        <w:t>rrcHL</w:t>
      </w:r>
      <w:proofErr w:type="spellEnd"/>
      <w:r>
        <w:t xml:space="preserve"> subjects along with evidence in melanoma, NSCLC and HNSCC subjects. </w:t>
      </w:r>
      <w:proofErr w:type="spellStart"/>
      <w:r>
        <w:t>Pembrolizumab</w:t>
      </w:r>
      <w:proofErr w:type="spellEnd"/>
      <w:r>
        <w:t xml:space="preserve"> pharmacokinetics </w:t>
      </w:r>
      <w:proofErr w:type="gramStart"/>
      <w:r>
        <w:t>are</w:t>
      </w:r>
      <w:proofErr w:type="gramEnd"/>
      <w:r>
        <w:t xml:space="preserve"> consistent across indications and are typical for therapeutic monoclonal antibodies with low clearance and limited volume of distribution. </w:t>
      </w:r>
      <w:proofErr w:type="spellStart"/>
      <w:r>
        <w:t>Pembrolizumab</w:t>
      </w:r>
      <w:proofErr w:type="spellEnd"/>
      <w:r>
        <w:t xml:space="preserve"> has a low potential to elicit the formation of anti-drug antibodies.</w:t>
      </w:r>
    </w:p>
    <w:p w14:paraId="5CBEB304" w14:textId="77777777" w:rsidR="008E7846" w:rsidRDefault="008E7846" w:rsidP="008E7846">
      <w:pPr>
        <w:pStyle w:val="Heading3"/>
      </w:pPr>
      <w:bookmarkStart w:id="52" w:name="_Toc196046481"/>
      <w:bookmarkStart w:id="53" w:name="_Toc247691520"/>
      <w:bookmarkStart w:id="54" w:name="_Toc314842503"/>
      <w:bookmarkStart w:id="55" w:name="_Toc517786135"/>
      <w:r w:rsidRPr="00254787">
        <w:t>Pharmacodynamics</w:t>
      </w:r>
      <w:bookmarkEnd w:id="42"/>
      <w:bookmarkEnd w:id="52"/>
      <w:bookmarkEnd w:id="53"/>
      <w:bookmarkEnd w:id="54"/>
      <w:bookmarkEnd w:id="55"/>
    </w:p>
    <w:p w14:paraId="2AA6A720" w14:textId="77777777" w:rsidR="00F8652A" w:rsidRDefault="00ED605C" w:rsidP="00ED605C">
      <w:r>
        <w:t>There wa</w:t>
      </w:r>
      <w:r w:rsidR="0076528D" w:rsidRPr="0076528D">
        <w:t>s no new information regarding pharmacodynamics.</w:t>
      </w:r>
    </w:p>
    <w:p w14:paraId="5CBEB306" w14:textId="0A95A9FB" w:rsidR="008E7846" w:rsidRDefault="00605AD4" w:rsidP="0076528D">
      <w:pPr>
        <w:pStyle w:val="Heading3"/>
      </w:pPr>
      <w:bookmarkStart w:id="56" w:name="_Toc517786136"/>
      <w:r>
        <w:t>Dosage selection for the pivotal studies</w:t>
      </w:r>
      <w:bookmarkEnd w:id="56"/>
    </w:p>
    <w:p w14:paraId="5CBEB307" w14:textId="77777777" w:rsidR="0076528D" w:rsidRDefault="0076528D" w:rsidP="00ED605C">
      <w:pPr>
        <w:pStyle w:val="Heading4"/>
      </w:pPr>
      <w:r>
        <w:t>Proposed 200 mg Q3W Dosing Regimen</w:t>
      </w:r>
    </w:p>
    <w:p w14:paraId="5CBEB308" w14:textId="68EE9024" w:rsidR="0076528D" w:rsidRDefault="0076528D" w:rsidP="0076528D">
      <w:r>
        <w:t xml:space="preserve">A dosing regimen of 200 mg Q3W is recommended for </w:t>
      </w:r>
      <w:proofErr w:type="spellStart"/>
      <w:r>
        <w:t>pembrolizumab</w:t>
      </w:r>
      <w:proofErr w:type="spellEnd"/>
      <w:r>
        <w:t xml:space="preserve"> in the treatment of </w:t>
      </w:r>
      <w:proofErr w:type="spellStart"/>
      <w:r>
        <w:t>rrcHL</w:t>
      </w:r>
      <w:proofErr w:type="spellEnd"/>
      <w:r>
        <w:t xml:space="preserve">. The proposed 200 mg Q3W regimen was included in the </w:t>
      </w:r>
      <w:proofErr w:type="spellStart"/>
      <w:r>
        <w:t>rrcHL</w:t>
      </w:r>
      <w:proofErr w:type="spellEnd"/>
      <w:r>
        <w:t xml:space="preserve"> trial KN087. The basis for this </w:t>
      </w:r>
      <w:r w:rsidR="0049158D">
        <w:t>and the evaluator’s discussion of dosage selection is detailed in Attachment 2.</w:t>
      </w:r>
    </w:p>
    <w:p w14:paraId="5CBEB309" w14:textId="77777777" w:rsidR="0076528D" w:rsidRDefault="0076528D" w:rsidP="0049158D">
      <w:pPr>
        <w:pStyle w:val="Heading4"/>
      </w:pPr>
      <w:r>
        <w:t>Evaluator’s conclusions on dose finding for the pivotal studies</w:t>
      </w:r>
    </w:p>
    <w:p w14:paraId="5CBEB30A" w14:textId="77777777" w:rsidR="0076528D" w:rsidRPr="0076528D" w:rsidRDefault="0076528D" w:rsidP="0076528D">
      <w:r>
        <w:t xml:space="preserve">The sponsor has demonstrated that the proposed fixed regimen of 200 mg IV Q3W is acceptable by showing that exposure is maintained within previously established therapeutic window and that efficacy is comparable in </w:t>
      </w:r>
      <w:proofErr w:type="spellStart"/>
      <w:r>
        <w:t>cHL</w:t>
      </w:r>
      <w:proofErr w:type="spellEnd"/>
      <w:r>
        <w:t>, although KN013 is a small study. Safety is also comparable to previous studies in other malignancies using other (higher and lower) doses.</w:t>
      </w:r>
    </w:p>
    <w:p w14:paraId="5CBEB30B" w14:textId="77777777" w:rsidR="008E7846" w:rsidRPr="00254787" w:rsidRDefault="008E7846" w:rsidP="008E7846">
      <w:pPr>
        <w:pStyle w:val="Heading3"/>
      </w:pPr>
      <w:bookmarkStart w:id="57" w:name="_Toc163441372"/>
      <w:bookmarkStart w:id="58" w:name="_Toc196046485"/>
      <w:bookmarkStart w:id="59" w:name="_Toc247691521"/>
      <w:bookmarkStart w:id="60" w:name="_Toc314842504"/>
      <w:bookmarkStart w:id="61" w:name="_Toc517786137"/>
      <w:r w:rsidRPr="00254787">
        <w:lastRenderedPageBreak/>
        <w:t>Efficacy</w:t>
      </w:r>
      <w:bookmarkEnd w:id="57"/>
      <w:bookmarkEnd w:id="58"/>
      <w:bookmarkEnd w:id="59"/>
      <w:bookmarkEnd w:id="60"/>
      <w:bookmarkEnd w:id="61"/>
    </w:p>
    <w:p w14:paraId="5CBEB30C" w14:textId="77777777" w:rsidR="00605AD4" w:rsidRDefault="00605AD4" w:rsidP="00605AD4">
      <w:pPr>
        <w:pStyle w:val="Heading4"/>
      </w:pPr>
      <w:bookmarkStart w:id="62" w:name="_Toc184439992"/>
      <w:bookmarkStart w:id="63" w:name="_Toc184440279"/>
      <w:bookmarkStart w:id="64" w:name="_Toc184444657"/>
      <w:bookmarkStart w:id="65" w:name="_Toc196046487"/>
      <w:r>
        <w:t>Studies providing efficacy data</w:t>
      </w:r>
    </w:p>
    <w:p w14:paraId="2B91B4C7" w14:textId="77777777" w:rsidR="00F8652A" w:rsidRDefault="003F1F28" w:rsidP="003F1F28">
      <w:pPr>
        <w:pStyle w:val="ListBullet"/>
        <w:numPr>
          <w:ilvl w:val="0"/>
          <w:numId w:val="2"/>
        </w:numPr>
      </w:pPr>
      <w:r>
        <w:t>One pivotal Phase II safety and efficacy clinical study report in subjects with relapsed or refractory classical HL: KEYNOTE -087.</w:t>
      </w:r>
    </w:p>
    <w:p w14:paraId="61426715" w14:textId="77777777" w:rsidR="00F8652A" w:rsidRDefault="003F1F28" w:rsidP="003F1F28">
      <w:pPr>
        <w:pStyle w:val="ListBullet"/>
        <w:numPr>
          <w:ilvl w:val="0"/>
          <w:numId w:val="2"/>
        </w:numPr>
      </w:pPr>
      <w:r>
        <w:t xml:space="preserve">One supportive Phase </w:t>
      </w:r>
      <w:proofErr w:type="spellStart"/>
      <w:r>
        <w:t>Ib</w:t>
      </w:r>
      <w:proofErr w:type="spellEnd"/>
      <w:r>
        <w:t xml:space="preserve"> safety and efficacy clinical study in the cohort of subjects with relapsed or refractory nodular </w:t>
      </w:r>
      <w:proofErr w:type="spellStart"/>
      <w:r>
        <w:t>sclerosing</w:t>
      </w:r>
      <w:proofErr w:type="spellEnd"/>
      <w:r>
        <w:t xml:space="preserve"> or mixed cellularity HL. The entire study was performed in subjects with hematologic malignancies: KEYNOTE -013.</w:t>
      </w:r>
    </w:p>
    <w:p w14:paraId="5CBEB30F" w14:textId="0FD10891" w:rsidR="008E7846" w:rsidRDefault="00605AD4" w:rsidP="00605AD4">
      <w:pPr>
        <w:pStyle w:val="Heading4"/>
      </w:pPr>
      <w:r>
        <w:t>Evaluator’s conclusions on efficacy</w:t>
      </w:r>
    </w:p>
    <w:p w14:paraId="10C777CA" w14:textId="77777777" w:rsidR="00F8652A" w:rsidRDefault="0076528D" w:rsidP="0076528D">
      <w:r>
        <w:t>The indication population consist of 24</w:t>
      </w:r>
      <w:r w:rsidR="001B7AD0">
        <w:t xml:space="preserve">1 subjects with </w:t>
      </w:r>
      <w:proofErr w:type="spellStart"/>
      <w:r w:rsidR="001B7AD0">
        <w:t>rrcHL</w:t>
      </w:r>
      <w:proofErr w:type="spellEnd"/>
      <w:r w:rsidR="001B7AD0">
        <w:t xml:space="preserve"> from P</w:t>
      </w:r>
      <w:r>
        <w:t xml:space="preserve">hase </w:t>
      </w:r>
      <w:proofErr w:type="spellStart"/>
      <w:r>
        <w:t>Ib</w:t>
      </w:r>
      <w:proofErr w:type="spellEnd"/>
      <w:r>
        <w:t xml:space="preserve"> study KEYNOTE-013 (31 subjects=13%) and </w:t>
      </w:r>
      <w:r w:rsidR="001B7AD0">
        <w:t xml:space="preserve">the pivotal trial </w:t>
      </w:r>
      <w:r w:rsidR="00EA75DD">
        <w:t>P</w:t>
      </w:r>
      <w:r>
        <w:t>hase II study KEYNOTE-087 (230 subjects=87%).</w:t>
      </w:r>
    </w:p>
    <w:p w14:paraId="128476EF" w14:textId="77777777" w:rsidR="00F8652A" w:rsidRDefault="001B7AD0" w:rsidP="00320CF4">
      <w:r>
        <w:t xml:space="preserve">In </w:t>
      </w:r>
      <w:r w:rsidR="0076528D">
        <w:t xml:space="preserve">Study KEYNOTE-013 (KN013) </w:t>
      </w:r>
      <w:r>
        <w:t>t</w:t>
      </w:r>
      <w:r w:rsidR="0076528D">
        <w:t>he dose is different (10</w:t>
      </w:r>
      <w:r w:rsidR="00EA75DD">
        <w:t xml:space="preserve"> </w:t>
      </w:r>
      <w:r w:rsidR="0076528D">
        <w:t>mg/kg</w:t>
      </w:r>
      <w:r w:rsidR="00EA75DD">
        <w:t xml:space="preserve"> every 2 weeks (</w:t>
      </w:r>
      <w:r w:rsidR="0076528D">
        <w:t>Q2W</w:t>
      </w:r>
      <w:r w:rsidR="00EA75DD">
        <w:t>)</w:t>
      </w:r>
      <w:r w:rsidR="0076528D">
        <w:t>) from the proposed dose in the PI (200</w:t>
      </w:r>
      <w:r w:rsidR="00EA75DD">
        <w:t xml:space="preserve"> </w:t>
      </w:r>
      <w:r w:rsidR="00320CF4">
        <w:t>mg Q3W). This is an interim report.</w:t>
      </w:r>
    </w:p>
    <w:p w14:paraId="0FE1C4F7" w14:textId="77777777" w:rsidR="00F8652A" w:rsidRDefault="0076528D" w:rsidP="0076528D">
      <w:r>
        <w:t>KEYNOTE-087 (KN087) us</w:t>
      </w:r>
      <w:r w:rsidR="001B7AD0">
        <w:t>ed</w:t>
      </w:r>
      <w:r>
        <w:t xml:space="preserve"> the proposed fixed dose of 20</w:t>
      </w:r>
      <w:r w:rsidR="00CC4E8D">
        <w:t>0 mg</w:t>
      </w:r>
      <w:r>
        <w:t xml:space="preserve"> Q3W. This is an interim report.</w:t>
      </w:r>
    </w:p>
    <w:p w14:paraId="5CBEB313" w14:textId="7ED36BF6" w:rsidR="001B7AD0" w:rsidRDefault="001B7AD0" w:rsidP="0076528D">
      <w:r>
        <w:t>Mo</w:t>
      </w:r>
      <w:r w:rsidR="00320CF4">
        <w:t>re details of these two studies are</w:t>
      </w:r>
      <w:r>
        <w:t xml:space="preserve"> provided in Attachment 2.</w:t>
      </w:r>
    </w:p>
    <w:p w14:paraId="5CBEB314" w14:textId="77777777" w:rsidR="001B7AD0" w:rsidRDefault="001B7AD0" w:rsidP="001B7AD0">
      <w:pPr>
        <w:pStyle w:val="Heading5"/>
      </w:pPr>
      <w:r>
        <w:t>Background</w:t>
      </w:r>
    </w:p>
    <w:p w14:paraId="40089922" w14:textId="77777777" w:rsidR="00F8652A" w:rsidRDefault="0076528D" w:rsidP="0076528D">
      <w:proofErr w:type="spellStart"/>
      <w:proofErr w:type="gramStart"/>
      <w:r>
        <w:t>cHL</w:t>
      </w:r>
      <w:proofErr w:type="spellEnd"/>
      <w:proofErr w:type="gramEnd"/>
      <w:r>
        <w:t xml:space="preserve"> patients relapsing after second or third line treatment including ASCT have a poor prognosis, so there is a need for improved treatment.</w:t>
      </w:r>
    </w:p>
    <w:p w14:paraId="5F68896C" w14:textId="77777777" w:rsidR="00F8652A" w:rsidRDefault="0076528D" w:rsidP="0076528D">
      <w:r>
        <w:t>Second and third-line chemotherapy combinations generally achieve complete remission (CR) in 30 to 40 percent of patients with aggressive or resistant disease (</w:t>
      </w:r>
      <w:proofErr w:type="spellStart"/>
      <w:r>
        <w:t>cHL</w:t>
      </w:r>
      <w:proofErr w:type="spellEnd"/>
      <w:r>
        <w:t xml:space="preserve">). They are frequently used as </w:t>
      </w:r>
      <w:proofErr w:type="spellStart"/>
      <w:r>
        <w:t>cytoreductive</w:t>
      </w:r>
      <w:proofErr w:type="spellEnd"/>
      <w:r>
        <w:t xml:space="preserve"> agents prior to proceeding to high dose chemotherapy and ASCT. Salvage chemotherapy without progression to high-dose chemotherapy and ASCT results in 8 to 10</w:t>
      </w:r>
      <w:r w:rsidR="001B7AD0">
        <w:t xml:space="preserve"> </w:t>
      </w:r>
      <w:proofErr w:type="gramStart"/>
      <w:r>
        <w:t>year</w:t>
      </w:r>
      <w:proofErr w:type="gramEnd"/>
      <w:r>
        <w:t xml:space="preserve"> overall survival rates of 21 to 27 percent with freedom from treatment failure of 16 percent.</w:t>
      </w:r>
      <w:r w:rsidR="00E4230B">
        <w:rPr>
          <w:rStyle w:val="FootnoteReference"/>
        </w:rPr>
        <w:footnoteReference w:id="7"/>
      </w:r>
    </w:p>
    <w:p w14:paraId="5CBEB317" w14:textId="24E77B0E" w:rsidR="0076528D" w:rsidRDefault="00ED59E7" w:rsidP="0076528D">
      <w:r>
        <w:t>‘</w:t>
      </w:r>
      <w:r w:rsidR="0076528D" w:rsidRPr="001B7AD0">
        <w:rPr>
          <w:i/>
        </w:rPr>
        <w:t xml:space="preserve">The median overall survival (OS) of patients who relapse after ASCT was initially reported to be &lt;1 year. More recent data suggest that the median OS may be closer to 2 years. The availability of novel therapies to treat </w:t>
      </w:r>
      <w:proofErr w:type="spellStart"/>
      <w:r w:rsidR="0076528D" w:rsidRPr="001B7AD0">
        <w:rPr>
          <w:i/>
        </w:rPr>
        <w:t>cHL</w:t>
      </w:r>
      <w:proofErr w:type="spellEnd"/>
      <w:r w:rsidR="0076528D" w:rsidRPr="001B7AD0">
        <w:rPr>
          <w:i/>
        </w:rPr>
        <w:t xml:space="preserve"> patients that relapse after ASCT as well as the availability of allogeneic stem cell transplant (SCT) for selected patients may all contribute to this improved OS</w:t>
      </w:r>
      <w:r w:rsidR="0076528D">
        <w:t>.</w:t>
      </w:r>
      <w:r>
        <w:t>’</w:t>
      </w:r>
      <w:r w:rsidR="00E4230B" w:rsidRPr="00E4230B">
        <w:rPr>
          <w:vertAlign w:val="superscript"/>
        </w:rPr>
        <w:fldChar w:fldCharType="begin"/>
      </w:r>
      <w:r w:rsidR="00E4230B" w:rsidRPr="00E4230B">
        <w:rPr>
          <w:vertAlign w:val="superscript"/>
        </w:rPr>
        <w:instrText xml:space="preserve"> NOTEREF _Ref509325486 \h </w:instrText>
      </w:r>
      <w:r w:rsidR="00E4230B">
        <w:rPr>
          <w:vertAlign w:val="superscript"/>
        </w:rPr>
        <w:instrText xml:space="preserve"> \* MERGEFORMAT </w:instrText>
      </w:r>
      <w:r w:rsidR="00E4230B" w:rsidRPr="00E4230B">
        <w:rPr>
          <w:vertAlign w:val="superscript"/>
        </w:rPr>
      </w:r>
      <w:r w:rsidR="00E4230B" w:rsidRPr="00E4230B">
        <w:rPr>
          <w:vertAlign w:val="superscript"/>
        </w:rPr>
        <w:fldChar w:fldCharType="separate"/>
      </w:r>
      <w:r w:rsidR="00FE7F2B">
        <w:rPr>
          <w:vertAlign w:val="superscript"/>
        </w:rPr>
        <w:t>3</w:t>
      </w:r>
      <w:r w:rsidR="00E4230B" w:rsidRPr="00E4230B">
        <w:rPr>
          <w:vertAlign w:val="superscript"/>
        </w:rPr>
        <w:fldChar w:fldCharType="end"/>
      </w:r>
    </w:p>
    <w:p w14:paraId="136966B6" w14:textId="77777777" w:rsidR="00F8652A" w:rsidRDefault="0076528D" w:rsidP="0076528D">
      <w:r>
        <w:t xml:space="preserve">The results of </w:t>
      </w:r>
      <w:r w:rsidR="00ED605C">
        <w:t>Study KN</w:t>
      </w:r>
      <w:r>
        <w:t xml:space="preserve">087 indicate that </w:t>
      </w:r>
      <w:proofErr w:type="spellStart"/>
      <w:r>
        <w:t>pembrolizumab</w:t>
      </w:r>
      <w:proofErr w:type="spellEnd"/>
      <w:r>
        <w:t xml:space="preserve"> produces objective responses in a substantial proportion of patients with relapsed/refractory </w:t>
      </w:r>
      <w:proofErr w:type="spellStart"/>
      <w:r>
        <w:t>cHL</w:t>
      </w:r>
      <w:proofErr w:type="spellEnd"/>
      <w:r>
        <w:t xml:space="preserve"> (</w:t>
      </w:r>
      <w:r w:rsidR="001B7AD0">
        <w:t>objective response rate (</w:t>
      </w:r>
      <w:r>
        <w:t>ORR</w:t>
      </w:r>
      <w:r w:rsidR="001B7AD0">
        <w:t>)</w:t>
      </w:r>
      <w:r>
        <w:t xml:space="preserve"> 68.1%, CR 21.9%).</w:t>
      </w:r>
    </w:p>
    <w:p w14:paraId="1293C287" w14:textId="77777777" w:rsidR="00F8652A" w:rsidRDefault="0076528D" w:rsidP="0076528D">
      <w:r>
        <w:t>High response rates were observed in all three cohorts but the follow-up is very short (7.1 months): Among the 143 subjects with response, a response of at least 3 months in duration was observed in 45 subjects (86.9% by Kaplan-Meier method) and a response of at least 6 months in duration was observed in 4 subjects (65.3% by Kaplan-Meier method). At the time of the data cut-off, 115 (80.4%) responders had ongoing response.</w:t>
      </w:r>
    </w:p>
    <w:p w14:paraId="453AF5E2" w14:textId="77777777" w:rsidR="00F8652A" w:rsidRDefault="0076528D" w:rsidP="0076528D">
      <w:r>
        <w:t>Median PFS is 10.8 months. Overall survival data are not mature.</w:t>
      </w:r>
    </w:p>
    <w:p w14:paraId="17340A97" w14:textId="77777777" w:rsidR="00F8652A" w:rsidRDefault="0076528D" w:rsidP="0076528D">
      <w:r>
        <w:t xml:space="preserve">The efficacy results observed were comparable to </w:t>
      </w:r>
      <w:proofErr w:type="spellStart"/>
      <w:r>
        <w:t>brentuximab</w:t>
      </w:r>
      <w:proofErr w:type="spellEnd"/>
      <w:r>
        <w:t xml:space="preserve"> </w:t>
      </w:r>
      <w:proofErr w:type="spellStart"/>
      <w:r>
        <w:t>vedotin</w:t>
      </w:r>
      <w:proofErr w:type="spellEnd"/>
      <w:r>
        <w:t xml:space="preserve"> (ORR 75%, CR 33%) registered for the treatment of relapsed/refractory </w:t>
      </w:r>
      <w:proofErr w:type="spellStart"/>
      <w:r>
        <w:t>cHL.</w:t>
      </w:r>
      <w:proofErr w:type="spellEnd"/>
    </w:p>
    <w:p w14:paraId="4D63120A" w14:textId="77777777" w:rsidR="00F8652A" w:rsidRDefault="0076528D" w:rsidP="0076528D">
      <w:r>
        <w:t>The dose was higher in KN013 but the efficacy results were comparable in the two trials (KN087/ KN013: ORR 68.1%/58%, CR 21.9%/ 19.4%) making the suggested fixed dose of 200</w:t>
      </w:r>
      <w:r w:rsidR="001B7AD0">
        <w:t xml:space="preserve"> </w:t>
      </w:r>
      <w:r>
        <w:t>mg Q3W acceptable with regards to efficacy.</w:t>
      </w:r>
    </w:p>
    <w:p w14:paraId="5CBEB31D" w14:textId="4286EDF1" w:rsidR="0076528D" w:rsidRDefault="0076528D" w:rsidP="0076528D">
      <w:r>
        <w:lastRenderedPageBreak/>
        <w:t xml:space="preserve">The data are limited in that </w:t>
      </w:r>
      <w:proofErr w:type="spellStart"/>
      <w:r>
        <w:t>pembrolizumab</w:t>
      </w:r>
      <w:proofErr w:type="spellEnd"/>
      <w:r>
        <w:t xml:space="preserve"> has not been compared with a registered agent in a randomised controlled trial. Its place in the therapy of relapsed/refractory </w:t>
      </w:r>
      <w:proofErr w:type="spellStart"/>
      <w:r>
        <w:t>cHL</w:t>
      </w:r>
      <w:proofErr w:type="spellEnd"/>
      <w:r>
        <w:t xml:space="preserve"> is therefore uncertain. However the data clearly indicate that the drug has clinically significant activity in this disease.</w:t>
      </w:r>
    </w:p>
    <w:p w14:paraId="645F58FB" w14:textId="77777777" w:rsidR="00F8652A" w:rsidRDefault="0076528D" w:rsidP="0076528D">
      <w:r>
        <w:t>The results of KEYNOTE-204 will hopefully demonstrate the place rela</w:t>
      </w:r>
      <w:r w:rsidR="00965227">
        <w:t>tive to BV: This is an ongoing Phase III, randomis</w:t>
      </w:r>
      <w:r>
        <w:t xml:space="preserve">ed, open-label clinical trial to compare </w:t>
      </w:r>
      <w:proofErr w:type="spellStart"/>
      <w:r>
        <w:t>pembrolizumab</w:t>
      </w:r>
      <w:proofErr w:type="spellEnd"/>
      <w:r>
        <w:t xml:space="preserve"> with </w:t>
      </w:r>
      <w:proofErr w:type="spellStart"/>
      <w:r>
        <w:t>brentuximab</w:t>
      </w:r>
      <w:proofErr w:type="spellEnd"/>
      <w:r>
        <w:t xml:space="preserve"> </w:t>
      </w:r>
      <w:proofErr w:type="spellStart"/>
      <w:r>
        <w:t>vedotin</w:t>
      </w:r>
      <w:proofErr w:type="spellEnd"/>
      <w:r>
        <w:t xml:space="preserve"> in subjects with relapsed or refractory </w:t>
      </w:r>
      <w:proofErr w:type="spellStart"/>
      <w:r>
        <w:t>cHL</w:t>
      </w:r>
      <w:proofErr w:type="spellEnd"/>
      <w:r>
        <w:t xml:space="preserve"> (with and without ASCT). The primary objectives of the study are to compare </w:t>
      </w:r>
      <w:r w:rsidR="00965227">
        <w:t>progression free survival (</w:t>
      </w:r>
      <w:r>
        <w:t>PFS</w:t>
      </w:r>
      <w:r w:rsidR="00965227">
        <w:t>)</w:t>
      </w:r>
      <w:r>
        <w:t xml:space="preserve"> by blinded independent central review and OS between treatment arms. Approximately 300 patients will be enrolled to receive either </w:t>
      </w:r>
      <w:proofErr w:type="spellStart"/>
      <w:r>
        <w:t>pembrolizumab</w:t>
      </w:r>
      <w:proofErr w:type="spellEnd"/>
      <w:r>
        <w:t xml:space="preserve"> 200 mg intravenous</w:t>
      </w:r>
      <w:r w:rsidR="00965227">
        <w:t>ly</w:t>
      </w:r>
      <w:r>
        <w:t xml:space="preserve"> every 3 weeks or </w:t>
      </w:r>
      <w:proofErr w:type="spellStart"/>
      <w:r>
        <w:t>brentuximab</w:t>
      </w:r>
      <w:proofErr w:type="spellEnd"/>
      <w:r>
        <w:t xml:space="preserve"> </w:t>
      </w:r>
      <w:proofErr w:type="spellStart"/>
      <w:r>
        <w:t>vedotin</w:t>
      </w:r>
      <w:proofErr w:type="spellEnd"/>
      <w:r>
        <w:t xml:space="preserve"> 1.8 mg/kg intravenous every 3 weeks. The trial is recruiting.</w:t>
      </w:r>
    </w:p>
    <w:p w14:paraId="5CBEB31F" w14:textId="6CB7DB27" w:rsidR="00965227" w:rsidRDefault="0076528D" w:rsidP="00965227">
      <w:pPr>
        <w:pStyle w:val="Heading5"/>
      </w:pPr>
      <w:r>
        <w:t>Conclusion</w:t>
      </w:r>
    </w:p>
    <w:p w14:paraId="5CBEB320" w14:textId="77777777" w:rsidR="0076528D" w:rsidRPr="0076528D" w:rsidRDefault="0076528D" w:rsidP="0076528D">
      <w:r>
        <w:t xml:space="preserve">ORR is convincing but demonstration of longer </w:t>
      </w:r>
      <w:r w:rsidR="00965227" w:rsidRPr="006318D3">
        <w:rPr>
          <w:lang w:eastAsia="ja-JP"/>
        </w:rPr>
        <w:t>Duration of Response</w:t>
      </w:r>
      <w:r w:rsidR="00965227">
        <w:t xml:space="preserve"> (</w:t>
      </w:r>
      <w:r>
        <w:t>DOR</w:t>
      </w:r>
      <w:r w:rsidR="00965227">
        <w:t>)</w:t>
      </w:r>
      <w:r>
        <w:t xml:space="preserve"> due to the short follow up of 7.1 month in KN087 is lacking (4 patients have &gt; 6 months DOR). OS data are immature. There are no randomised trials with </w:t>
      </w:r>
      <w:proofErr w:type="spellStart"/>
      <w:r>
        <w:t>pembrolizumab</w:t>
      </w:r>
      <w:proofErr w:type="spellEnd"/>
      <w:r>
        <w:t xml:space="preserve"> in this patients group.</w:t>
      </w:r>
    </w:p>
    <w:p w14:paraId="5CBEB321" w14:textId="77777777" w:rsidR="008E7846" w:rsidRPr="002E238E" w:rsidRDefault="008E7846" w:rsidP="008E7846">
      <w:pPr>
        <w:pStyle w:val="Heading3"/>
      </w:pPr>
      <w:bookmarkStart w:id="66" w:name="_Toc163441378"/>
      <w:bookmarkStart w:id="67" w:name="_Toc196046495"/>
      <w:bookmarkStart w:id="68" w:name="_Toc247691522"/>
      <w:bookmarkStart w:id="69" w:name="_Toc314842505"/>
      <w:bookmarkStart w:id="70" w:name="_Toc517786138"/>
      <w:bookmarkEnd w:id="62"/>
      <w:bookmarkEnd w:id="63"/>
      <w:bookmarkEnd w:id="64"/>
      <w:bookmarkEnd w:id="65"/>
      <w:r w:rsidRPr="002E238E">
        <w:t>Safety</w:t>
      </w:r>
      <w:bookmarkEnd w:id="66"/>
      <w:bookmarkEnd w:id="67"/>
      <w:bookmarkEnd w:id="68"/>
      <w:bookmarkEnd w:id="69"/>
      <w:bookmarkEnd w:id="70"/>
    </w:p>
    <w:p w14:paraId="5CBEB322" w14:textId="77777777" w:rsidR="00605AD4" w:rsidRDefault="00605AD4" w:rsidP="00605AD4">
      <w:pPr>
        <w:pStyle w:val="Heading4"/>
      </w:pPr>
      <w:bookmarkStart w:id="71" w:name="_Toc247691524"/>
      <w:bookmarkStart w:id="72" w:name="_Toc314842508"/>
      <w:bookmarkStart w:id="73" w:name="_Toc196046504"/>
      <w:bookmarkStart w:id="74" w:name="_Toc163441390"/>
      <w:r w:rsidRPr="00605AD4">
        <w:t>Studies providing safety data</w:t>
      </w:r>
    </w:p>
    <w:p w14:paraId="5A224E53" w14:textId="77777777" w:rsidR="00F8652A" w:rsidRDefault="0076528D" w:rsidP="0076528D">
      <w:r>
        <w:t xml:space="preserve">The main safety data included in the submission were those generated in study KEYNOTE-087. See </w:t>
      </w:r>
      <w:r w:rsidR="00965227">
        <w:t xml:space="preserve">Attachment 2 Efficacy </w:t>
      </w:r>
      <w:r>
        <w:t>for further details about th</w:t>
      </w:r>
      <w:r w:rsidR="00492232">
        <w:t>is</w:t>
      </w:r>
      <w:r>
        <w:t xml:space="preserve"> study. No studies assessed safety as the sole primary outcome.</w:t>
      </w:r>
    </w:p>
    <w:p w14:paraId="5CBEB324" w14:textId="38E59217" w:rsidR="0076528D" w:rsidRDefault="0076528D" w:rsidP="00965227">
      <w:pPr>
        <w:pStyle w:val="Heading5"/>
      </w:pPr>
      <w:r>
        <w:t>KEYNOTE-087</w:t>
      </w:r>
    </w:p>
    <w:p w14:paraId="5CBEB325" w14:textId="77777777" w:rsidR="0076528D" w:rsidRDefault="0076528D" w:rsidP="00965227">
      <w:pPr>
        <w:pStyle w:val="Heading6"/>
      </w:pPr>
      <w:r>
        <w:t>Primary Objectives</w:t>
      </w:r>
    </w:p>
    <w:p w14:paraId="5CBEB326" w14:textId="77777777" w:rsidR="0076528D" w:rsidRDefault="0076528D" w:rsidP="0076528D">
      <w:r>
        <w:t xml:space="preserve">Within each of the 3 specified cohorts with </w:t>
      </w:r>
      <w:proofErr w:type="spellStart"/>
      <w:r>
        <w:t>rrcHL</w:t>
      </w:r>
      <w:proofErr w:type="spellEnd"/>
      <w:r>
        <w:t xml:space="preserve"> and pooled:</w:t>
      </w:r>
    </w:p>
    <w:p w14:paraId="5CBEB327" w14:textId="77777777" w:rsidR="0076528D" w:rsidRDefault="0076528D" w:rsidP="005B2867">
      <w:pPr>
        <w:pStyle w:val="Numberbullet0"/>
        <w:numPr>
          <w:ilvl w:val="0"/>
          <w:numId w:val="15"/>
        </w:numPr>
      </w:pPr>
      <w:r>
        <w:t xml:space="preserve">To determine the safety and tolerability of </w:t>
      </w:r>
      <w:proofErr w:type="spellStart"/>
      <w:r>
        <w:t>pembrolizumab</w:t>
      </w:r>
      <w:proofErr w:type="spellEnd"/>
      <w:r>
        <w:t>.</w:t>
      </w:r>
    </w:p>
    <w:p w14:paraId="5CBEB328" w14:textId="77777777" w:rsidR="0076528D" w:rsidRDefault="0076528D" w:rsidP="00965227">
      <w:pPr>
        <w:pStyle w:val="Numberbullet0"/>
        <w:numPr>
          <w:ilvl w:val="0"/>
          <w:numId w:val="0"/>
        </w:numPr>
        <w:ind w:left="425"/>
      </w:pPr>
      <w:r>
        <w:t xml:space="preserve">Within each of the 3 cohorts of subjects with </w:t>
      </w:r>
      <w:proofErr w:type="spellStart"/>
      <w:r>
        <w:t>rrcHL</w:t>
      </w:r>
      <w:proofErr w:type="spellEnd"/>
      <w:r>
        <w:t>:</w:t>
      </w:r>
    </w:p>
    <w:p w14:paraId="02D9B59E" w14:textId="77777777" w:rsidR="00F8652A" w:rsidRDefault="0076528D" w:rsidP="005B2867">
      <w:pPr>
        <w:pStyle w:val="Numberbullet0"/>
        <w:numPr>
          <w:ilvl w:val="0"/>
          <w:numId w:val="15"/>
        </w:numPr>
      </w:pPr>
      <w:r>
        <w:t xml:space="preserve">To evaluate the Objective Response Rate (ORR) of </w:t>
      </w:r>
      <w:proofErr w:type="spellStart"/>
      <w:r>
        <w:t>pembrolizumab</w:t>
      </w:r>
      <w:proofErr w:type="spellEnd"/>
      <w:r>
        <w:t xml:space="preserve"> by blinded, independent central review (BICR) according to the </w:t>
      </w:r>
      <w:r w:rsidR="002231A7" w:rsidRPr="006318D3">
        <w:rPr>
          <w:lang w:eastAsia="ja-JP"/>
        </w:rPr>
        <w:t>International Working Group</w:t>
      </w:r>
      <w:r w:rsidR="002231A7">
        <w:t xml:space="preserve"> (</w:t>
      </w:r>
      <w:r>
        <w:t>IWG</w:t>
      </w:r>
      <w:r w:rsidR="002231A7">
        <w:t>)</w:t>
      </w:r>
      <w:r>
        <w:t xml:space="preserve"> response criteria.</w:t>
      </w:r>
    </w:p>
    <w:p w14:paraId="5CBEB32A" w14:textId="7123BB6A" w:rsidR="0076528D" w:rsidRDefault="0076528D" w:rsidP="00965227">
      <w:r>
        <w:t xml:space="preserve">The primary safety objective </w:t>
      </w:r>
      <w:r w:rsidR="00965227">
        <w:t>of this study was to characteris</w:t>
      </w:r>
      <w:r>
        <w:t xml:space="preserve">e the safety and tolerability of </w:t>
      </w:r>
      <w:proofErr w:type="spellStart"/>
      <w:r>
        <w:t>pembrolizumab</w:t>
      </w:r>
      <w:proofErr w:type="spellEnd"/>
      <w:r>
        <w:t xml:space="preserve"> in subjects with relapsed or refractory Hodgkin Lymphoma. The primary safety analysis was based on subjects who experienced toxicities as defined by </w:t>
      </w:r>
      <w:r w:rsidR="00965227" w:rsidRPr="006318D3">
        <w:rPr>
          <w:lang w:eastAsia="ja-JP"/>
        </w:rPr>
        <w:t>Common Terminology Criteria for Adverse Events</w:t>
      </w:r>
      <w:r w:rsidR="00965227">
        <w:t xml:space="preserve"> (</w:t>
      </w:r>
      <w:r>
        <w:t>CTCAE</w:t>
      </w:r>
      <w:r w:rsidR="00965227">
        <w:t>)</w:t>
      </w:r>
      <w:r>
        <w:t xml:space="preserve"> criteria. Safety was assessed by quantifying the toxicities and grades experienced by subjects who have received </w:t>
      </w:r>
      <w:proofErr w:type="spellStart"/>
      <w:r>
        <w:t>pembrolizumab</w:t>
      </w:r>
      <w:proofErr w:type="spellEnd"/>
      <w:r>
        <w:t xml:space="preserve">, including </w:t>
      </w:r>
      <w:r w:rsidR="00965227">
        <w:t>serious adverse events (</w:t>
      </w:r>
      <w:r>
        <w:t>SAEs</w:t>
      </w:r>
      <w:r w:rsidR="00965227">
        <w:t>)</w:t>
      </w:r>
      <w:r>
        <w:t xml:space="preserve"> and </w:t>
      </w:r>
      <w:r w:rsidR="00965227" w:rsidRPr="006318D3">
        <w:rPr>
          <w:lang w:eastAsia="ja-JP"/>
        </w:rPr>
        <w:t>Events of Clinical Interest</w:t>
      </w:r>
      <w:r w:rsidR="00965227">
        <w:t xml:space="preserve"> (</w:t>
      </w:r>
      <w:r>
        <w:t>ECIs</w:t>
      </w:r>
      <w:r w:rsidR="00965227">
        <w:t>)</w:t>
      </w:r>
      <w:r>
        <w:t>.</w:t>
      </w:r>
    </w:p>
    <w:p w14:paraId="5CBEB32B" w14:textId="77777777" w:rsidR="0076528D" w:rsidRDefault="0076528D" w:rsidP="00965227">
      <w:r>
        <w:t>Safety was assessed by reported adverse events using CTCAE, Version 4.0. The attribution to drug, time-of-onset, duration of the event, its resolution, and any concomitant medications administer</w:t>
      </w:r>
      <w:r w:rsidR="00965227">
        <w:t>ed was recorded. AEs were analys</w:t>
      </w:r>
      <w:r>
        <w:t>ed including but not limited to all AEs, SAEs, fatal AEs and laboratory changes. Furthermore, the occurrence of a Grade 2 or higher immune-related adverse events (</w:t>
      </w:r>
      <w:proofErr w:type="spellStart"/>
      <w:r>
        <w:t>irAEs</w:t>
      </w:r>
      <w:proofErr w:type="spellEnd"/>
      <w:r>
        <w:t>) were collected and designated as immune-related events of clinical interest.</w:t>
      </w:r>
    </w:p>
    <w:p w14:paraId="5CBEB32C" w14:textId="77777777" w:rsidR="0076528D" w:rsidRDefault="0076528D" w:rsidP="00965227">
      <w:pPr>
        <w:pStyle w:val="Heading5"/>
      </w:pPr>
      <w:r>
        <w:t>Other studies</w:t>
      </w:r>
    </w:p>
    <w:p w14:paraId="5E5275C6" w14:textId="77777777" w:rsidR="00F8652A" w:rsidRDefault="0076528D" w:rsidP="0076528D">
      <w:r>
        <w:t>Study KEYNOTE-013 wa</w:t>
      </w:r>
      <w:r w:rsidR="00D65F50">
        <w:t xml:space="preserve">s a </w:t>
      </w:r>
      <w:proofErr w:type="spellStart"/>
      <w:r w:rsidR="00D65F50">
        <w:t>multicenter</w:t>
      </w:r>
      <w:proofErr w:type="spellEnd"/>
      <w:r w:rsidR="00D65F50">
        <w:t>, multi-cohort, P</w:t>
      </w:r>
      <w:r>
        <w:t xml:space="preserve">hase </w:t>
      </w:r>
      <w:proofErr w:type="spellStart"/>
      <w:r w:rsidR="00D65F50">
        <w:t>I</w:t>
      </w:r>
      <w:r>
        <w:t>b</w:t>
      </w:r>
      <w:proofErr w:type="spellEnd"/>
      <w:r>
        <w:t xml:space="preserve"> trial of </w:t>
      </w:r>
      <w:proofErr w:type="spellStart"/>
      <w:r>
        <w:t>pembrolizumab</w:t>
      </w:r>
      <w:proofErr w:type="spellEnd"/>
      <w:r>
        <w:t xml:space="preserve"> in subjects with haematological malignancies to determine the safety and efficacy of </w:t>
      </w:r>
      <w:proofErr w:type="spellStart"/>
      <w:r>
        <w:t>pembrolizumab</w:t>
      </w:r>
      <w:proofErr w:type="spellEnd"/>
      <w:r>
        <w:t xml:space="preserve">. Cohort 3 included 31 subjects with </w:t>
      </w:r>
      <w:proofErr w:type="spellStart"/>
      <w:r>
        <w:t>rrcHL</w:t>
      </w:r>
      <w:proofErr w:type="spellEnd"/>
      <w:r>
        <w:t xml:space="preserve">, which are described in the CSR. See </w:t>
      </w:r>
      <w:r w:rsidR="00D65F50">
        <w:t>Attachment 2 Efficacy</w:t>
      </w:r>
      <w:r>
        <w:t xml:space="preserve"> for further details. This study is not described separ</w:t>
      </w:r>
      <w:r w:rsidR="00D65F50">
        <w:t xml:space="preserve">ately in Attachment 2 </w:t>
      </w:r>
      <w:r>
        <w:t xml:space="preserve">but is included in the </w:t>
      </w:r>
      <w:proofErr w:type="spellStart"/>
      <w:r>
        <w:t>rrcHL</w:t>
      </w:r>
      <w:proofErr w:type="spellEnd"/>
      <w:r>
        <w:t xml:space="preserve"> group in the integrated analysis of safety where it contributes 31 of the 241 subjects (12.8%).</w:t>
      </w:r>
    </w:p>
    <w:p w14:paraId="071CDB57" w14:textId="77777777" w:rsidR="00F8652A" w:rsidRDefault="0076528D" w:rsidP="0076528D">
      <w:r>
        <w:lastRenderedPageBreak/>
        <w:t xml:space="preserve">In the Summary of Safety document the safety data are presented for the two studies in </w:t>
      </w:r>
      <w:proofErr w:type="spellStart"/>
      <w:r>
        <w:t>rrcHL</w:t>
      </w:r>
      <w:proofErr w:type="spellEnd"/>
      <w:r>
        <w:t xml:space="preserve"> combined and for the two </w:t>
      </w:r>
      <w:r w:rsidRPr="00492232">
        <w:t>populations described in Table 5.</w:t>
      </w:r>
    </w:p>
    <w:p w14:paraId="0EDCC726" w14:textId="77777777" w:rsidR="00F8652A" w:rsidRDefault="0076528D" w:rsidP="0076528D">
      <w:r>
        <w:t xml:space="preserve">The Reference Population, or Reference Safety Dataset, comprises subjects treated with </w:t>
      </w:r>
      <w:proofErr w:type="spellStart"/>
      <w:r>
        <w:t>pembrolizumab</w:t>
      </w:r>
      <w:proofErr w:type="spellEnd"/>
      <w:r>
        <w:t xml:space="preserve"> in studies KEYNOTE-001 (Part B1, B2, B3, D, C, F1, F2, and F3), KEYNOTE-002 (original phase), KEYNOTE-006 and KEYNOTE-010. This population is included to enable a safety profile comparison of the HL Population to the established safety profile of the non-small cell lung cancer (NSCLC) and melanoma populations, according to the </w:t>
      </w:r>
      <w:r w:rsidR="00D65F50">
        <w:t>sponsor</w:t>
      </w:r>
      <w:r>
        <w:t>.</w:t>
      </w:r>
    </w:p>
    <w:p w14:paraId="5CBEB330" w14:textId="7917531F" w:rsidR="0076528D" w:rsidRDefault="0076528D" w:rsidP="00492232">
      <w:pPr>
        <w:pStyle w:val="Tabletitle0"/>
      </w:pPr>
      <w:r w:rsidRPr="00492232">
        <w:t>Table 5: Study populations for safety analyses</w:t>
      </w:r>
    </w:p>
    <w:p w14:paraId="5CBEB331" w14:textId="77777777" w:rsidR="001E1AE4" w:rsidRDefault="001E1AE4" w:rsidP="001E1AE4">
      <w:pPr>
        <w:ind w:left="113"/>
        <w:rPr>
          <w:lang w:eastAsia="ja-JP"/>
        </w:rPr>
      </w:pPr>
      <w:r>
        <w:rPr>
          <w:noProof/>
          <w:lang w:eastAsia="en-AU"/>
        </w:rPr>
        <w:drawing>
          <wp:inline distT="0" distB="0" distL="0" distR="0" wp14:anchorId="5CBEB956" wp14:editId="5CBEB957">
            <wp:extent cx="5019472" cy="1861388"/>
            <wp:effectExtent l="0" t="0" r="0" b="5715"/>
            <wp:docPr id="123" name="Picture 123" descr="Table 5: Study populations for safe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18313" cy="1860958"/>
                    </a:xfrm>
                    <a:prstGeom prst="rect">
                      <a:avLst/>
                    </a:prstGeom>
                  </pic:spPr>
                </pic:pic>
              </a:graphicData>
            </a:graphic>
          </wp:inline>
        </w:drawing>
      </w:r>
    </w:p>
    <w:p w14:paraId="5CBEB332" w14:textId="77777777" w:rsidR="0076528D" w:rsidRPr="0076528D" w:rsidRDefault="0076528D" w:rsidP="0076528D">
      <w:r>
        <w:t xml:space="preserve">The Reference Safety Dataset is the dataset referred to in the PI. The doses vary from 2 g/kg Q3W, 10 mg/kg Q3W and 10 mg/kg Q2W and as such include doses higher than the proposed dose of 200 mg Q3W for </w:t>
      </w:r>
      <w:proofErr w:type="spellStart"/>
      <w:r>
        <w:t>cHL</w:t>
      </w:r>
      <w:proofErr w:type="spellEnd"/>
      <w:r>
        <w:t xml:space="preserve"> patients.</w:t>
      </w:r>
    </w:p>
    <w:p w14:paraId="5CBEB333" w14:textId="77777777" w:rsidR="00605AD4" w:rsidRDefault="00605AD4" w:rsidP="00605AD4">
      <w:pPr>
        <w:pStyle w:val="Heading4"/>
      </w:pPr>
      <w:r w:rsidRPr="00605AD4">
        <w:t>Patient exposure</w:t>
      </w:r>
    </w:p>
    <w:p w14:paraId="4E669312" w14:textId="77777777" w:rsidR="00F8652A" w:rsidRDefault="0076528D" w:rsidP="0076528D">
      <w:r>
        <w:t xml:space="preserve">The exposure for the two studies in </w:t>
      </w:r>
      <w:proofErr w:type="spellStart"/>
      <w:r>
        <w:t>rrcHL</w:t>
      </w:r>
      <w:proofErr w:type="spellEnd"/>
      <w:r>
        <w:t xml:space="preserve"> (KN013 </w:t>
      </w:r>
      <w:r w:rsidRPr="00492232">
        <w:t>and KN087), the reference safety dataset and the cumulative running safety dataset is shown in Table 6.</w:t>
      </w:r>
    </w:p>
    <w:p w14:paraId="5CBEB335" w14:textId="46D0AC16" w:rsidR="0076528D" w:rsidRDefault="0076528D" w:rsidP="00D92572">
      <w:pPr>
        <w:pStyle w:val="TableCaption"/>
      </w:pPr>
      <w:r w:rsidRPr="00492232">
        <w:t xml:space="preserve">Table 6: Clinical Trial Exposure to Drug by Duration. Subjects Treated with </w:t>
      </w:r>
      <w:proofErr w:type="spellStart"/>
      <w:r w:rsidRPr="00492232">
        <w:t>Pembrolizumab</w:t>
      </w:r>
      <w:proofErr w:type="spellEnd"/>
      <w:r w:rsidRPr="00492232">
        <w:t xml:space="preserve"> (HL and Reference Safety Dataset) (</w:t>
      </w:r>
      <w:proofErr w:type="spellStart"/>
      <w:r w:rsidRPr="00492232">
        <w:t>APaT</w:t>
      </w:r>
      <w:proofErr w:type="spellEnd"/>
      <w:r w:rsidRPr="00492232">
        <w:t xml:space="preserve"> Population)</w:t>
      </w:r>
    </w:p>
    <w:p w14:paraId="5CBEB336" w14:textId="77777777" w:rsidR="001E1AE4" w:rsidRDefault="001E1AE4" w:rsidP="001E1AE4">
      <w:r>
        <w:rPr>
          <w:noProof/>
          <w:lang w:eastAsia="en-AU"/>
        </w:rPr>
        <w:drawing>
          <wp:inline distT="0" distB="0" distL="0" distR="0" wp14:anchorId="5CBEB958" wp14:editId="5CBEB959">
            <wp:extent cx="5590161" cy="1307830"/>
            <wp:effectExtent l="0" t="0" r="0" b="6985"/>
            <wp:docPr id="92" name="Picture 92" descr="Table 6: Clinical Trial Exposure to Drug by Duration. Subjects Treated with Pembrolizumab (HL and Reference Safety Dataset)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244" t="3816" r="1244"/>
                    <a:stretch/>
                  </pic:blipFill>
                  <pic:spPr bwMode="auto">
                    <a:xfrm>
                      <a:off x="0" y="0"/>
                      <a:ext cx="5588869" cy="1307528"/>
                    </a:xfrm>
                    <a:prstGeom prst="rect">
                      <a:avLst/>
                    </a:prstGeom>
                    <a:ln>
                      <a:noFill/>
                    </a:ln>
                    <a:extLst>
                      <a:ext uri="{53640926-AAD7-44D8-BBD7-CCE9431645EC}">
                        <a14:shadowObscured xmlns:a14="http://schemas.microsoft.com/office/drawing/2010/main"/>
                      </a:ext>
                    </a:extLst>
                  </pic:spPr>
                </pic:pic>
              </a:graphicData>
            </a:graphic>
          </wp:inline>
        </w:drawing>
      </w:r>
    </w:p>
    <w:p w14:paraId="5CBEB337" w14:textId="77777777" w:rsidR="0076528D" w:rsidRDefault="00D65F50" w:rsidP="00D65F50">
      <w:pPr>
        <w:pStyle w:val="Heading5"/>
      </w:pPr>
      <w:r>
        <w:t>KEYNOTE-087</w:t>
      </w:r>
    </w:p>
    <w:p w14:paraId="5CBEB338" w14:textId="77777777" w:rsidR="0076528D" w:rsidRDefault="0076528D" w:rsidP="0076528D">
      <w:r>
        <w:t>Duration of exposure was measured from the date of the first dose to the date of the last dose of treatment received.</w:t>
      </w:r>
    </w:p>
    <w:p w14:paraId="5CBEB339" w14:textId="77777777" w:rsidR="0076528D" w:rsidRDefault="0076528D" w:rsidP="0076528D">
      <w:r>
        <w:t xml:space="preserve">Subjects were exposed to </w:t>
      </w:r>
      <w:proofErr w:type="spellStart"/>
      <w:r>
        <w:t>pembrolizumab</w:t>
      </w:r>
      <w:proofErr w:type="spellEnd"/>
      <w:r>
        <w:t xml:space="preserve"> for a median of 176 days (range: 1 to 357), resulting in a median of 9 administrations (range</w:t>
      </w:r>
      <w:r w:rsidRPr="007D6DFD">
        <w:t xml:space="preserve">: 1 to 18) (Table 7). Overall, 189 of 210 (90.0%) subjects remained on </w:t>
      </w:r>
      <w:proofErr w:type="spellStart"/>
      <w:r w:rsidRPr="007D6DFD">
        <w:t>pembrolizumab</w:t>
      </w:r>
      <w:proofErr w:type="spellEnd"/>
      <w:r w:rsidRPr="007D6DFD">
        <w:t xml:space="preserve"> for </w:t>
      </w:r>
      <w:r w:rsidR="00D65F50" w:rsidRPr="007D6DFD">
        <w:t xml:space="preserve">≥ </w:t>
      </w:r>
      <w:r w:rsidRPr="007D6DFD">
        <w:t xml:space="preserve">3 months and 99 (47.1%) remained on </w:t>
      </w:r>
      <w:proofErr w:type="spellStart"/>
      <w:r w:rsidRPr="007D6DFD">
        <w:t>pembrolizumab</w:t>
      </w:r>
      <w:proofErr w:type="spellEnd"/>
      <w:r w:rsidRPr="007D6DFD">
        <w:t xml:space="preserve"> for </w:t>
      </w:r>
      <w:r w:rsidR="00D65F50" w:rsidRPr="007D6DFD">
        <w:t xml:space="preserve">≥ </w:t>
      </w:r>
      <w:r w:rsidRPr="007D6DFD">
        <w:t>6 months (</w:t>
      </w:r>
      <w:r w:rsidR="007D6DFD" w:rsidRPr="007D6DFD">
        <w:t xml:space="preserve">Table </w:t>
      </w:r>
      <w:r w:rsidRPr="007D6DFD">
        <w:t>8). No subject</w:t>
      </w:r>
      <w:r>
        <w:t xml:space="preserve"> has yet to be exposed to </w:t>
      </w:r>
      <w:proofErr w:type="spellStart"/>
      <w:r>
        <w:t>pembrolizumab</w:t>
      </w:r>
      <w:proofErr w:type="spellEnd"/>
      <w:r>
        <w:t xml:space="preserve"> for 12 months or more.</w:t>
      </w:r>
    </w:p>
    <w:p w14:paraId="5CBEB33A" w14:textId="77777777" w:rsidR="001E1AE4" w:rsidRDefault="001E1AE4" w:rsidP="007D6DFD">
      <w:pPr>
        <w:pStyle w:val="Tabletitle0"/>
      </w:pPr>
      <w:bookmarkStart w:id="75" w:name="_Ref468197948"/>
      <w:bookmarkStart w:id="76" w:name="_Toc483227484"/>
      <w:r>
        <w:lastRenderedPageBreak/>
        <w:t xml:space="preserve">Table </w:t>
      </w:r>
      <w:r w:rsidR="007D6DFD">
        <w:t>7</w:t>
      </w:r>
      <w:bookmarkEnd w:id="75"/>
      <w:r>
        <w:t xml:space="preserve">: </w:t>
      </w:r>
      <w:r w:rsidRPr="00BE5DA9">
        <w:t>Summary of Drug Exposure by Cohort</w:t>
      </w:r>
      <w:r>
        <w:t xml:space="preserve"> </w:t>
      </w:r>
      <w:r w:rsidRPr="00BE5DA9">
        <w:t>(</w:t>
      </w:r>
      <w:proofErr w:type="spellStart"/>
      <w:proofErr w:type="gramStart"/>
      <w:r w:rsidRPr="00BE5DA9">
        <w:t>ASaT</w:t>
      </w:r>
      <w:proofErr w:type="spellEnd"/>
      <w:proofErr w:type="gramEnd"/>
      <w:r w:rsidRPr="00BE5DA9">
        <w:t xml:space="preserve"> Population</w:t>
      </w:r>
      <w:r>
        <w:t>, Study KN087</w:t>
      </w:r>
      <w:r w:rsidRPr="00BE5DA9">
        <w:t>)</w:t>
      </w:r>
      <w:bookmarkEnd w:id="76"/>
    </w:p>
    <w:p w14:paraId="5CBEB33B" w14:textId="77777777" w:rsidR="001E1AE4" w:rsidRDefault="001E1AE4" w:rsidP="001E1AE4">
      <w:r>
        <w:rPr>
          <w:noProof/>
          <w:lang w:eastAsia="en-AU"/>
        </w:rPr>
        <w:drawing>
          <wp:inline distT="0" distB="0" distL="0" distR="0" wp14:anchorId="5CBEB95A" wp14:editId="5CBEB95B">
            <wp:extent cx="5259421" cy="2588691"/>
            <wp:effectExtent l="0" t="0" r="0" b="2540"/>
            <wp:docPr id="93" name="Picture 93" descr="Table 7: Summary of Drug Exposure by Cohort (ASaT Population, Study KN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59483" cy="2588721"/>
                    </a:xfrm>
                    <a:prstGeom prst="rect">
                      <a:avLst/>
                    </a:prstGeom>
                  </pic:spPr>
                </pic:pic>
              </a:graphicData>
            </a:graphic>
          </wp:inline>
        </w:drawing>
      </w:r>
    </w:p>
    <w:p w14:paraId="5CBEB33C" w14:textId="77777777" w:rsidR="001E1AE4" w:rsidRDefault="001E1AE4" w:rsidP="007D6DFD">
      <w:pPr>
        <w:pStyle w:val="Tabletitle0"/>
      </w:pPr>
      <w:bookmarkStart w:id="77" w:name="_Ref468197973"/>
      <w:bookmarkStart w:id="78" w:name="_Toc483227485"/>
      <w:r>
        <w:t xml:space="preserve">Table </w:t>
      </w:r>
      <w:r w:rsidR="007D6DFD">
        <w:t>8</w:t>
      </w:r>
      <w:bookmarkEnd w:id="77"/>
      <w:r>
        <w:t xml:space="preserve">: </w:t>
      </w:r>
      <w:r w:rsidRPr="00CD5337">
        <w:t>Cl</w:t>
      </w:r>
      <w:r>
        <w:t xml:space="preserve">inical Trial Exposure to </w:t>
      </w:r>
      <w:proofErr w:type="spellStart"/>
      <w:r>
        <w:t>Pembrolizumab</w:t>
      </w:r>
      <w:proofErr w:type="spellEnd"/>
      <w:r w:rsidRPr="00CD5337">
        <w:t xml:space="preserve"> by Duration</w:t>
      </w:r>
      <w:r>
        <w:t xml:space="preserve"> </w:t>
      </w:r>
      <w:r w:rsidRPr="00CD5337">
        <w:t>(</w:t>
      </w:r>
      <w:proofErr w:type="spellStart"/>
      <w:proofErr w:type="gramStart"/>
      <w:r w:rsidRPr="00CD5337">
        <w:t>ASaT</w:t>
      </w:r>
      <w:proofErr w:type="spellEnd"/>
      <w:proofErr w:type="gramEnd"/>
      <w:r w:rsidRPr="00CD5337">
        <w:t xml:space="preserve"> Population</w:t>
      </w:r>
      <w:r>
        <w:t>, Study KN087</w:t>
      </w:r>
      <w:r w:rsidRPr="00CD5337">
        <w:t>)</w:t>
      </w:r>
      <w:bookmarkEnd w:id="78"/>
    </w:p>
    <w:p w14:paraId="5CBEB33D" w14:textId="77777777" w:rsidR="001E1AE4" w:rsidRDefault="001E1AE4" w:rsidP="001E1AE4">
      <w:r>
        <w:rPr>
          <w:noProof/>
          <w:lang w:eastAsia="en-AU"/>
        </w:rPr>
        <w:drawing>
          <wp:inline distT="0" distB="0" distL="0" distR="0" wp14:anchorId="5CBEB95C" wp14:editId="5CBEB95D">
            <wp:extent cx="5557736" cy="1318181"/>
            <wp:effectExtent l="0" t="0" r="5080" b="0"/>
            <wp:docPr id="94" name="Picture 94" descr="Table 8: Clinical Trial Exposure to Pembrolizumab by Duration (ASaT Population, Study KN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556452" cy="1317877"/>
                    </a:xfrm>
                    <a:prstGeom prst="rect">
                      <a:avLst/>
                    </a:prstGeom>
                  </pic:spPr>
                </pic:pic>
              </a:graphicData>
            </a:graphic>
          </wp:inline>
        </w:drawing>
      </w:r>
    </w:p>
    <w:p w14:paraId="5CBEB33E" w14:textId="77777777" w:rsidR="00605AD4" w:rsidRDefault="00605AD4" w:rsidP="00605AD4">
      <w:pPr>
        <w:pStyle w:val="Heading4"/>
      </w:pPr>
      <w:r w:rsidRPr="007D6DFD">
        <w:t>Safety issues with the potential for major regulatory impact</w:t>
      </w:r>
    </w:p>
    <w:p w14:paraId="5CBEB33F" w14:textId="77777777" w:rsidR="007D6DFD" w:rsidRDefault="001E1AE4" w:rsidP="001E1AE4">
      <w:r>
        <w:t>To assess whether laboratory abnormalities represented clinically meaningful changes from baseline, an analysis of the shifts from baseline in the CTCAE grades of laboratory abnormalities (based on the highest CTCAE grade for a given laboratory test during the study) was performed. A clinically meaningful worsening in CTCAE Grade was defined as a shift from less than Grade 3 to Grade 3, 4, or 5; or a shift from</w:t>
      </w:r>
      <w:r w:rsidR="007D6DFD">
        <w:t xml:space="preserve"> Grade 0 to Grade 2.</w:t>
      </w:r>
    </w:p>
    <w:p w14:paraId="5CBEB340" w14:textId="77777777" w:rsidR="001E1AE4" w:rsidRDefault="001E1AE4" w:rsidP="001E1AE4">
      <w:r>
        <w:t xml:space="preserve">Clinically meaningful worsening in laboratory CTCAE grades was comparable between subjects in the HL Population and the Reference Population. In the HL Population, the laboratory abnormalities with the most frequent (incidence &gt; 10%), clinically meaningful worsening in CTCAE grade, included phosphate decreased (46 [19.1%]), lymphocytes decreased (31 [12.9%]), and neutrophils decreased (31 [12.9%]). In comparison, the most frequently occurring laboratory abnormalities with a clinically meaningful worsening in CTCAE grades among the 2799 subjects in the Reference Population included phosphate decreased (470 [16.8%]), lymphocytes decreased (438 [15.6%]), and glucose increased (296 [10.6%]). Thus, no change occurred in the safety profile of </w:t>
      </w:r>
      <w:proofErr w:type="spellStart"/>
      <w:r>
        <w:t>pembrolizumab</w:t>
      </w:r>
      <w:proofErr w:type="spellEnd"/>
      <w:r>
        <w:t xml:space="preserve"> with the addition of new data from subjects with HL.</w:t>
      </w:r>
    </w:p>
    <w:p w14:paraId="5CBEB341" w14:textId="77777777" w:rsidR="001E1AE4" w:rsidRDefault="001E1AE4" w:rsidP="001E1AE4">
      <w:r>
        <w:t xml:space="preserve">For details of thyroid related AEs and haematological toxicity see Attachment 2 </w:t>
      </w:r>
      <w:bookmarkStart w:id="79" w:name="_Toc241374321"/>
      <w:bookmarkStart w:id="80" w:name="_Ref271044780"/>
      <w:bookmarkStart w:id="81" w:name="_Ref271196640"/>
      <w:bookmarkStart w:id="82" w:name="_Ref272333085"/>
      <w:bookmarkStart w:id="83" w:name="_Toc272414668"/>
      <w:bookmarkStart w:id="84" w:name="_Toc290888532"/>
      <w:bookmarkStart w:id="85" w:name="_Toc416353748"/>
      <w:bookmarkStart w:id="86" w:name="_Toc421005291"/>
      <w:bookmarkStart w:id="87" w:name="_Toc432079168"/>
      <w:bookmarkStart w:id="88" w:name="_Toc432080741"/>
      <w:bookmarkStart w:id="89" w:name="_Toc483227419"/>
      <w:r w:rsidRPr="001E1AE4">
        <w:rPr>
          <w:i/>
        </w:rPr>
        <w:t xml:space="preserve">Evaluation of issues </w:t>
      </w:r>
      <w:bookmarkEnd w:id="79"/>
      <w:bookmarkEnd w:id="80"/>
      <w:bookmarkEnd w:id="81"/>
      <w:bookmarkEnd w:id="82"/>
      <w:bookmarkEnd w:id="83"/>
      <w:bookmarkEnd w:id="84"/>
      <w:bookmarkEnd w:id="85"/>
      <w:bookmarkEnd w:id="86"/>
      <w:r w:rsidRPr="001E1AE4">
        <w:rPr>
          <w:i/>
        </w:rPr>
        <w:t>with possible regulatory impact</w:t>
      </w:r>
      <w:bookmarkEnd w:id="87"/>
      <w:bookmarkEnd w:id="88"/>
      <w:bookmarkEnd w:id="89"/>
      <w:r w:rsidRPr="001E1AE4">
        <w:rPr>
          <w:i/>
        </w:rPr>
        <w:t>.</w:t>
      </w:r>
    </w:p>
    <w:p w14:paraId="5CBEB342" w14:textId="77777777" w:rsidR="00605AD4" w:rsidRDefault="00605AD4" w:rsidP="00605AD4">
      <w:pPr>
        <w:pStyle w:val="Heading4"/>
      </w:pPr>
      <w:proofErr w:type="spellStart"/>
      <w:r w:rsidRPr="00605AD4">
        <w:t>Postmarketing</w:t>
      </w:r>
      <w:proofErr w:type="spellEnd"/>
      <w:r w:rsidRPr="00605AD4">
        <w:t xml:space="preserve"> data</w:t>
      </w:r>
    </w:p>
    <w:p w14:paraId="5CBEB343" w14:textId="77777777" w:rsidR="0076528D" w:rsidRPr="0076528D" w:rsidRDefault="0076528D" w:rsidP="0076528D">
      <w:r>
        <w:t xml:space="preserve">No information </w:t>
      </w:r>
      <w:r w:rsidR="00D65F50">
        <w:t xml:space="preserve">was </w:t>
      </w:r>
      <w:r>
        <w:t>provided in the dossier.</w:t>
      </w:r>
    </w:p>
    <w:p w14:paraId="5CBEB344" w14:textId="77777777" w:rsidR="00605AD4" w:rsidRPr="00605AD4" w:rsidRDefault="00605AD4" w:rsidP="00605AD4">
      <w:pPr>
        <w:pStyle w:val="Heading4"/>
      </w:pPr>
      <w:r w:rsidRPr="00605AD4">
        <w:lastRenderedPageBreak/>
        <w:t>Evaluator’s conclusions on safety</w:t>
      </w:r>
    </w:p>
    <w:p w14:paraId="349F61A7" w14:textId="77777777" w:rsidR="00F8652A" w:rsidRDefault="0076528D" w:rsidP="0076528D">
      <w:r>
        <w:t xml:space="preserve">The indication population consisted of 241 subjects with </w:t>
      </w:r>
      <w:proofErr w:type="spellStart"/>
      <w:r>
        <w:t>rrcHL</w:t>
      </w:r>
      <w:proofErr w:type="spellEnd"/>
      <w:r>
        <w:t xml:space="preserve"> from the </w:t>
      </w:r>
      <w:r w:rsidR="00D65F50">
        <w:t xml:space="preserve">Phase </w:t>
      </w:r>
      <w:proofErr w:type="spellStart"/>
      <w:r w:rsidR="00D65F50">
        <w:t>Ib</w:t>
      </w:r>
      <w:proofErr w:type="spellEnd"/>
      <w:r>
        <w:t xml:space="preserve"> study KEYNOTE-013 (31 subjects) </w:t>
      </w:r>
      <w:r w:rsidR="00F6157E">
        <w:t>and P</w:t>
      </w:r>
      <w:r>
        <w:t xml:space="preserve">hase II KEYNOTE-087 (230 subjects=87%), who received at least one dose </w:t>
      </w:r>
      <w:r w:rsidR="00F6157E">
        <w:t xml:space="preserve">of </w:t>
      </w:r>
      <w:proofErr w:type="spellStart"/>
      <w:r w:rsidR="00F6157E">
        <w:t>pembrolizumab</w:t>
      </w:r>
      <w:proofErr w:type="spellEnd"/>
      <w:r w:rsidR="00F6157E">
        <w:t>. There are no P</w:t>
      </w:r>
      <w:r>
        <w:t xml:space="preserve">hase III studies. The median extent of exposure was 5.82 months with 117 patients (48.5%) receiving </w:t>
      </w:r>
      <w:r w:rsidR="00D65F50">
        <w:t xml:space="preserve">≥ </w:t>
      </w:r>
      <w:r>
        <w:t xml:space="preserve">6 months of treatment and 11 patients (4.6%) receiving </w:t>
      </w:r>
      <w:r w:rsidR="00D65F50">
        <w:t xml:space="preserve">≥ </w:t>
      </w:r>
      <w:r>
        <w:t>12 months of treatment. Median follow up was 7.4 months.</w:t>
      </w:r>
    </w:p>
    <w:p w14:paraId="709564E6" w14:textId="77777777" w:rsidR="00F8652A" w:rsidRDefault="0076528D" w:rsidP="0076528D">
      <w:r>
        <w:t xml:space="preserve">The dose administered in </w:t>
      </w:r>
      <w:r w:rsidR="00ED605C">
        <w:t>Study KN</w:t>
      </w:r>
      <w:r>
        <w:t>013 was 10 mg/kg Q2W and 200 mg Q3W (fixed dose) in KN0</w:t>
      </w:r>
      <w:r w:rsidR="00F6157E">
        <w:t>87, the latter is the dose the s</w:t>
      </w:r>
      <w:r>
        <w:t>ponsor is applying for.</w:t>
      </w:r>
    </w:p>
    <w:p w14:paraId="500707B1" w14:textId="77777777" w:rsidR="00F8652A" w:rsidRDefault="0076528D" w:rsidP="0076528D">
      <w:r>
        <w:t xml:space="preserve">The indication population was compared to the Reference Safety Dataset (also called Reference Population), which consisted of NSCLC and melanoma subjects from earlier studies (2799 subjects). The median extent of exposure was 4.17 months with 1656 patients (41.2%) receiving </w:t>
      </w:r>
      <w:r w:rsidR="00D65F50">
        <w:t xml:space="preserve">≥ </w:t>
      </w:r>
      <w:r>
        <w:t xml:space="preserve">6 months of treatment and 600 patients (21.4%) receiving </w:t>
      </w:r>
      <w:r w:rsidR="00D65F50">
        <w:t>≥</w:t>
      </w:r>
      <w:r w:rsidR="00F6157E">
        <w:noBreakHyphen/>
      </w:r>
      <w:r>
        <w:t>12 months of treatment.</w:t>
      </w:r>
    </w:p>
    <w:p w14:paraId="5CBEB348" w14:textId="2E4CB6A1" w:rsidR="0076528D" w:rsidRDefault="0076528D" w:rsidP="0076528D">
      <w:r>
        <w:t xml:space="preserve">The incidence of AEs and drug-related AEs among subjects in the </w:t>
      </w:r>
      <w:proofErr w:type="spellStart"/>
      <w:r>
        <w:t>cHL</w:t>
      </w:r>
      <w:proofErr w:type="spellEnd"/>
      <w:r>
        <w:t xml:space="preserve"> population was overall comparable to that of the Reference Population with no new AEs. The main exceptions were in the preferred term ‘Pyrexia’ and </w:t>
      </w:r>
      <w:r w:rsidR="00F6157E">
        <w:t>System Organ Class (</w:t>
      </w:r>
      <w:r>
        <w:t>SOC</w:t>
      </w:r>
      <w:r w:rsidR="00F6157E">
        <w:t>)</w:t>
      </w:r>
      <w:r>
        <w:t xml:space="preserve"> ‘Infections’ with twice as many (%) in the </w:t>
      </w:r>
      <w:proofErr w:type="spellStart"/>
      <w:r>
        <w:t>cHL</w:t>
      </w:r>
      <w:proofErr w:type="spellEnd"/>
      <w:r>
        <w:t xml:space="preserve"> population compared to the Reference Dataset. Although not unexpected, the way that that will affect long-term outcome is uncertain due to the short exposure and follow-up in this group. Age </w:t>
      </w:r>
      <w:r w:rsidR="00D65F50">
        <w:t xml:space="preserve">≥ </w:t>
      </w:r>
      <w:r>
        <w:t xml:space="preserve">65 years was a risk factor in the reference population as well as in the </w:t>
      </w:r>
      <w:proofErr w:type="spellStart"/>
      <w:r>
        <w:t>cHL</w:t>
      </w:r>
      <w:proofErr w:type="spellEnd"/>
      <w:r>
        <w:t xml:space="preserve"> population, although the numbers are small (11 subjects) in the latter group.</w:t>
      </w:r>
    </w:p>
    <w:p w14:paraId="11F8D71A" w14:textId="77777777" w:rsidR="00F8652A" w:rsidRDefault="0076528D" w:rsidP="0076528D">
      <w:r>
        <w:t xml:space="preserve">In the </w:t>
      </w:r>
      <w:proofErr w:type="spellStart"/>
      <w:r>
        <w:t>cHL</w:t>
      </w:r>
      <w:proofErr w:type="spellEnd"/>
      <w:r>
        <w:t xml:space="preserve"> population the adverse events of special interest (AEOSIs), including immune-mediated AEs, were comparable to the reference population apart from there being more </w:t>
      </w:r>
      <w:proofErr w:type="spellStart"/>
      <w:r>
        <w:t>cHL</w:t>
      </w:r>
      <w:proofErr w:type="spellEnd"/>
      <w:r>
        <w:t xml:space="preserve"> subjects with hypothyroidism which can be explained by previous radiation therapy.</w:t>
      </w:r>
    </w:p>
    <w:p w14:paraId="25EE335C" w14:textId="77777777" w:rsidR="00F8652A" w:rsidRDefault="0076528D" w:rsidP="0076528D">
      <w:r>
        <w:t xml:space="preserve">The contribution of </w:t>
      </w:r>
      <w:proofErr w:type="spellStart"/>
      <w:r>
        <w:t>pembrolizumab</w:t>
      </w:r>
      <w:proofErr w:type="spellEnd"/>
      <w:r>
        <w:t xml:space="preserve"> to the development of </w:t>
      </w:r>
      <w:r w:rsidR="00F6157E" w:rsidRPr="006318D3">
        <w:rPr>
          <w:lang w:eastAsia="ja-JP"/>
        </w:rPr>
        <w:t>Graft versus host disease</w:t>
      </w:r>
      <w:r w:rsidR="00F6157E">
        <w:t xml:space="preserve"> (</w:t>
      </w:r>
      <w:r>
        <w:t>GVHD</w:t>
      </w:r>
      <w:r w:rsidR="00F6157E">
        <w:t>)</w:t>
      </w:r>
      <w:r>
        <w:t xml:space="preserve"> in patients receiving allogeneic-SCT is still unclear; more data is needed.</w:t>
      </w:r>
      <w:r w:rsidR="00D65F50">
        <w:t xml:space="preserve"> </w:t>
      </w:r>
      <w:r>
        <w:t xml:space="preserve">The other PD-1 inhibitor on the market, </w:t>
      </w:r>
      <w:proofErr w:type="spellStart"/>
      <w:r>
        <w:t>nivolumab</w:t>
      </w:r>
      <w:proofErr w:type="spellEnd"/>
      <w:r>
        <w:t xml:space="preserve">, has a warning in the EMA </w:t>
      </w:r>
      <w:proofErr w:type="spellStart"/>
      <w:r>
        <w:t>SmPC</w:t>
      </w:r>
      <w:proofErr w:type="spellEnd"/>
      <w:r>
        <w:t>:</w:t>
      </w:r>
    </w:p>
    <w:p w14:paraId="17EE0629" w14:textId="77777777" w:rsidR="00F8652A" w:rsidRDefault="0076528D" w:rsidP="00F6157E">
      <w:pPr>
        <w:ind w:left="720"/>
        <w:rPr>
          <w:i/>
        </w:rPr>
      </w:pPr>
      <w:r w:rsidRPr="00F6157E">
        <w:rPr>
          <w:i/>
        </w:rPr>
        <w:t>Complications of allogeneic Haematopoietic Stem Cell Transplant (HSCT) in classical Hodgkin Lymphoma</w:t>
      </w:r>
    </w:p>
    <w:p w14:paraId="5CBEB34C" w14:textId="3E35258A" w:rsidR="0076528D" w:rsidRDefault="0076528D" w:rsidP="00F6157E">
      <w:pPr>
        <w:ind w:left="720"/>
      </w:pPr>
      <w:r w:rsidRPr="00F6157E">
        <w:rPr>
          <w:i/>
        </w:rPr>
        <w:t xml:space="preserve">Preliminary results from the follow-up of patients undergoing allogeneic HSCT after previous exposure to </w:t>
      </w:r>
      <w:proofErr w:type="spellStart"/>
      <w:r w:rsidRPr="00F6157E">
        <w:rPr>
          <w:i/>
        </w:rPr>
        <w:t>nivolumab</w:t>
      </w:r>
      <w:proofErr w:type="spellEnd"/>
      <w:r w:rsidRPr="00F6157E">
        <w:rPr>
          <w:i/>
        </w:rPr>
        <w:t xml:space="preserve"> showed a higher than expected number of cases of acute graft-versus-host-disease (GVHD) and transplant related mortality (TRM). Until further data become available, careful consideration to the potential benefits of HSCT and the possible increased risk of transplant related complications should be made case by case (see section 4.8).</w:t>
      </w:r>
    </w:p>
    <w:p w14:paraId="3FACAA23" w14:textId="77777777" w:rsidR="00F8652A" w:rsidRDefault="0076528D" w:rsidP="0076528D">
      <w:r>
        <w:t xml:space="preserve">Going through the safety conclusions in the </w:t>
      </w:r>
      <w:r w:rsidR="00F6157E">
        <w:t xml:space="preserve">sponsor’s </w:t>
      </w:r>
      <w:r>
        <w:t xml:space="preserve">Clinical overview </w:t>
      </w:r>
      <w:r w:rsidR="00F6157E">
        <w:t xml:space="preserve">the evaluator </w:t>
      </w:r>
      <w:r>
        <w:t>agree</w:t>
      </w:r>
      <w:r w:rsidR="00F6157E">
        <w:t>s</w:t>
      </w:r>
      <w:r>
        <w:t xml:space="preserve"> with the sponsor’s statements except regarding </w:t>
      </w:r>
      <w:r w:rsidR="005616A2">
        <w:t>allogenic</w:t>
      </w:r>
      <w:r>
        <w:t xml:space="preserve"> SCT and GVHD, which </w:t>
      </w:r>
      <w:r w:rsidR="00F6157E">
        <w:t xml:space="preserve">the evaluator </w:t>
      </w:r>
      <w:r>
        <w:t xml:space="preserve">believe </w:t>
      </w:r>
      <w:r w:rsidR="00F6157E">
        <w:t>are</w:t>
      </w:r>
      <w:r>
        <w:t xml:space="preserve"> unresolved, see above.</w:t>
      </w:r>
    </w:p>
    <w:p w14:paraId="6AFCD1ED" w14:textId="77777777" w:rsidR="00F8652A" w:rsidRDefault="0076528D" w:rsidP="0076528D">
      <w:r>
        <w:t xml:space="preserve">The exposure to </w:t>
      </w:r>
      <w:proofErr w:type="spellStart"/>
      <w:r>
        <w:t>pembrolizumab</w:t>
      </w:r>
      <w:proofErr w:type="spellEnd"/>
      <w:r>
        <w:t xml:space="preserve"> is </w:t>
      </w:r>
      <w:r w:rsidRPr="007D6DFD">
        <w:t xml:space="preserve">still short with 5.82 months for the </w:t>
      </w:r>
      <w:proofErr w:type="spellStart"/>
      <w:r w:rsidRPr="007D6DFD">
        <w:t>cHL</w:t>
      </w:r>
      <w:proofErr w:type="spellEnd"/>
      <w:r w:rsidRPr="007D6DFD">
        <w:t xml:space="preserve"> population and 4.17 months for the Reference Safety Dataset (Table </w:t>
      </w:r>
      <w:r w:rsidR="007D6DFD" w:rsidRPr="007D6DFD">
        <w:t>9</w:t>
      </w:r>
      <w:r w:rsidRPr="007D6DFD">
        <w:t>), which makes long term side-effects difficult to evaluate although 600 patients in the Reference Dataset has had &gt;12 months of treatment, so there is some long term</w:t>
      </w:r>
      <w:r>
        <w:t xml:space="preserve"> data in these patient groups (melanoma and NSCLC). As there are more infections and pyrexia in the </w:t>
      </w:r>
      <w:proofErr w:type="spellStart"/>
      <w:r>
        <w:t>cHL</w:t>
      </w:r>
      <w:proofErr w:type="spellEnd"/>
      <w:r>
        <w:t xml:space="preserve"> population, the effect on long-term outcome is uncertain.</w:t>
      </w:r>
    </w:p>
    <w:p w14:paraId="5CBEB34F" w14:textId="5E07C426" w:rsidR="001E1AE4" w:rsidRDefault="001E1AE4" w:rsidP="00D92572">
      <w:pPr>
        <w:pStyle w:val="TableCaption"/>
      </w:pPr>
      <w:bookmarkStart w:id="90" w:name="_Ref473125065"/>
      <w:bookmarkStart w:id="91" w:name="_Toc483227502"/>
      <w:r>
        <w:lastRenderedPageBreak/>
        <w:t xml:space="preserve">Table </w:t>
      </w:r>
      <w:r w:rsidR="007D6DFD">
        <w:t>9:</w:t>
      </w:r>
      <w:bookmarkEnd w:id="90"/>
      <w:r>
        <w:t xml:space="preserve"> </w:t>
      </w:r>
      <w:r w:rsidRPr="00374576">
        <w:t>Summary of Drug Exposure</w:t>
      </w:r>
      <w:r>
        <w:t xml:space="preserve">. </w:t>
      </w:r>
      <w:r w:rsidRPr="00374576">
        <w:t>Subjects Treated with MK-3475 from KN013</w:t>
      </w:r>
      <w:r>
        <w:t>1</w:t>
      </w:r>
      <w:r w:rsidRPr="00374576">
        <w:t xml:space="preserve">, KN087, KN001, KN002, KN006, KN010, </w:t>
      </w:r>
      <w:r w:rsidR="005616A2" w:rsidRPr="00374576">
        <w:t>KN0122,</w:t>
      </w:r>
      <w:r w:rsidRPr="00374576">
        <w:t xml:space="preserve"> </w:t>
      </w:r>
      <w:r w:rsidR="005616A2" w:rsidRPr="00374576">
        <w:t>KN0163,</w:t>
      </w:r>
      <w:r w:rsidRPr="00374576">
        <w:t xml:space="preserve"> KN024, and KN164</w:t>
      </w:r>
      <w:r>
        <w:t xml:space="preserve"> </w:t>
      </w:r>
      <w:r w:rsidRPr="00374576">
        <w:t>(</w:t>
      </w:r>
      <w:proofErr w:type="spellStart"/>
      <w:r w:rsidRPr="00374576">
        <w:t>APaT</w:t>
      </w:r>
      <w:proofErr w:type="spellEnd"/>
      <w:r w:rsidRPr="00374576">
        <w:t xml:space="preserve"> Population)</w:t>
      </w:r>
      <w:bookmarkEnd w:id="91"/>
    </w:p>
    <w:p w14:paraId="5CBEB350" w14:textId="77777777" w:rsidR="001E1AE4" w:rsidRDefault="001E1AE4" w:rsidP="001E1AE4">
      <w:r>
        <w:rPr>
          <w:noProof/>
          <w:lang w:eastAsia="en-AU"/>
        </w:rPr>
        <w:drawing>
          <wp:inline distT="0" distB="0" distL="0" distR="0" wp14:anchorId="5CBEB95E" wp14:editId="656BB03D">
            <wp:extent cx="5603132" cy="1549534"/>
            <wp:effectExtent l="0" t="0" r="0" b="0"/>
            <wp:docPr id="132" name="Picture 132" descr="Table 9: Summary of Drug Exposure. Subjects Treated with MK-3475 from KN0131, KN087, KN001, KN002, KN006, KN010, KN0122, KN0163, KN024, and KN164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l="1018" t="2847" r="1132"/>
                    <a:stretch/>
                  </pic:blipFill>
                  <pic:spPr bwMode="auto">
                    <a:xfrm>
                      <a:off x="0" y="0"/>
                      <a:ext cx="5608196" cy="1550935"/>
                    </a:xfrm>
                    <a:prstGeom prst="rect">
                      <a:avLst/>
                    </a:prstGeom>
                    <a:ln>
                      <a:noFill/>
                    </a:ln>
                    <a:extLst>
                      <a:ext uri="{53640926-AAD7-44D8-BBD7-CCE9431645EC}">
                        <a14:shadowObscured xmlns:a14="http://schemas.microsoft.com/office/drawing/2010/main"/>
                      </a:ext>
                    </a:extLst>
                  </pic:spPr>
                </pic:pic>
              </a:graphicData>
            </a:graphic>
          </wp:inline>
        </w:drawing>
      </w:r>
    </w:p>
    <w:p w14:paraId="5CBEB351" w14:textId="77777777" w:rsidR="00605AD4" w:rsidRDefault="00605AD4" w:rsidP="00605AD4">
      <w:pPr>
        <w:pStyle w:val="Heading3"/>
        <w:rPr>
          <w:rFonts w:eastAsia="Cambria"/>
        </w:rPr>
      </w:pPr>
      <w:bookmarkStart w:id="92" w:name="_Toc517786139"/>
      <w:r w:rsidRPr="00605AD4">
        <w:rPr>
          <w:rFonts w:eastAsia="Cambria"/>
        </w:rPr>
        <w:t>First Round Benefit-Risk Assessment</w:t>
      </w:r>
      <w:bookmarkEnd w:id="92"/>
    </w:p>
    <w:p w14:paraId="5CBEB352" w14:textId="77777777" w:rsidR="007D6DFD" w:rsidRPr="007D6DFD" w:rsidRDefault="007D6DFD" w:rsidP="007D6DFD">
      <w:pPr>
        <w:pStyle w:val="Heading4"/>
      </w:pPr>
      <w:r>
        <w:t>F</w:t>
      </w:r>
      <w:r w:rsidRPr="0076528D">
        <w:t>irst round assessment of benefits</w:t>
      </w:r>
    </w:p>
    <w:p w14:paraId="5CBEB353" w14:textId="77777777" w:rsidR="00605AD4" w:rsidRDefault="009D304C" w:rsidP="00605AD4">
      <w:r>
        <w:t>The following table summarises the clinical evaluator’s f</w:t>
      </w:r>
      <w:r w:rsidR="0076528D" w:rsidRPr="0076528D">
        <w:t>irst round assessment of benefits</w:t>
      </w:r>
      <w:r>
        <w:t>:</w:t>
      </w:r>
    </w:p>
    <w:p w14:paraId="5CBEB354" w14:textId="77777777" w:rsidR="009D304C" w:rsidRDefault="009D304C" w:rsidP="008F3099">
      <w:pPr>
        <w:pStyle w:val="TableCaption"/>
      </w:pPr>
      <w:r>
        <w:t xml:space="preserve">Table </w:t>
      </w:r>
      <w:r w:rsidR="007D6DFD">
        <w:t>10</w:t>
      </w:r>
      <w:r>
        <w:t>: F</w:t>
      </w:r>
      <w:r w:rsidRPr="0076528D">
        <w:t>irst round assessment of benefits</w:t>
      </w:r>
    </w:p>
    <w:tbl>
      <w:tblPr>
        <w:tblStyle w:val="TableGrid"/>
        <w:tblW w:w="0" w:type="auto"/>
        <w:tblInd w:w="108" w:type="dxa"/>
        <w:tblLook w:val="04A0" w:firstRow="1" w:lastRow="0" w:firstColumn="1" w:lastColumn="0" w:noHBand="0" w:noVBand="1"/>
        <w:tblDescription w:val="Table 10: First round assessment of benefits"/>
      </w:tblPr>
      <w:tblGrid>
        <w:gridCol w:w="4417"/>
        <w:gridCol w:w="4195"/>
      </w:tblGrid>
      <w:tr w:rsidR="0076528D" w:rsidRPr="00C37A1D" w14:paraId="5CBEB356" w14:textId="77777777" w:rsidTr="009D304C">
        <w:trPr>
          <w:tblHeader/>
        </w:trPr>
        <w:tc>
          <w:tcPr>
            <w:tcW w:w="8612" w:type="dxa"/>
            <w:gridSpan w:val="2"/>
            <w:shd w:val="clear" w:color="auto" w:fill="006DA7" w:themeFill="accent3"/>
          </w:tcPr>
          <w:p w14:paraId="5CBEB355" w14:textId="77777777" w:rsidR="0076528D" w:rsidRPr="009D304C" w:rsidRDefault="0076528D" w:rsidP="00957DB3">
            <w:pPr>
              <w:rPr>
                <w:rFonts w:asciiTheme="minorHAnsi" w:hAnsiTheme="minorHAnsi"/>
                <w:b/>
                <w:color w:val="FFFFFF" w:themeColor="background1"/>
                <w:sz w:val="20"/>
                <w:szCs w:val="20"/>
              </w:rPr>
            </w:pPr>
            <w:r w:rsidRPr="009D304C">
              <w:rPr>
                <w:rFonts w:asciiTheme="minorHAnsi" w:hAnsiTheme="minorHAnsi"/>
                <w:b/>
                <w:color w:val="FFFFFF" w:themeColor="background1"/>
                <w:sz w:val="20"/>
                <w:szCs w:val="20"/>
              </w:rPr>
              <w:t>Indication</w:t>
            </w:r>
          </w:p>
        </w:tc>
      </w:tr>
      <w:tr w:rsidR="0076528D" w:rsidRPr="00C37A1D" w14:paraId="5CBEB359" w14:textId="77777777" w:rsidTr="009D304C">
        <w:trPr>
          <w:tblHeader/>
        </w:trPr>
        <w:tc>
          <w:tcPr>
            <w:tcW w:w="4417" w:type="dxa"/>
            <w:shd w:val="clear" w:color="auto" w:fill="00517D" w:themeFill="accent3" w:themeFillShade="BF"/>
          </w:tcPr>
          <w:p w14:paraId="5CBEB357" w14:textId="77777777" w:rsidR="0076528D" w:rsidRPr="009D304C" w:rsidRDefault="0076528D" w:rsidP="00957DB3">
            <w:pPr>
              <w:rPr>
                <w:rFonts w:asciiTheme="minorHAnsi" w:hAnsiTheme="minorHAnsi"/>
                <w:b/>
                <w:color w:val="FFFFFF" w:themeColor="background1"/>
                <w:sz w:val="20"/>
                <w:szCs w:val="20"/>
              </w:rPr>
            </w:pPr>
            <w:r w:rsidRPr="009D304C">
              <w:rPr>
                <w:rFonts w:asciiTheme="minorHAnsi" w:hAnsiTheme="minorHAnsi"/>
                <w:b/>
                <w:color w:val="FFFFFF" w:themeColor="background1"/>
                <w:sz w:val="20"/>
                <w:szCs w:val="20"/>
              </w:rPr>
              <w:t>Benefits</w:t>
            </w:r>
          </w:p>
        </w:tc>
        <w:tc>
          <w:tcPr>
            <w:tcW w:w="4195" w:type="dxa"/>
            <w:shd w:val="clear" w:color="auto" w:fill="00517D" w:themeFill="accent3" w:themeFillShade="BF"/>
          </w:tcPr>
          <w:p w14:paraId="5CBEB358" w14:textId="77777777" w:rsidR="0076528D" w:rsidRPr="009D304C" w:rsidRDefault="0076528D" w:rsidP="00957DB3">
            <w:pPr>
              <w:rPr>
                <w:rFonts w:asciiTheme="minorHAnsi" w:hAnsiTheme="minorHAnsi"/>
                <w:b/>
                <w:color w:val="FFFFFF" w:themeColor="background1"/>
                <w:sz w:val="20"/>
                <w:szCs w:val="20"/>
              </w:rPr>
            </w:pPr>
            <w:r w:rsidRPr="009D304C">
              <w:rPr>
                <w:rFonts w:asciiTheme="minorHAnsi" w:hAnsiTheme="minorHAnsi"/>
                <w:b/>
                <w:color w:val="FFFFFF" w:themeColor="background1"/>
                <w:sz w:val="20"/>
                <w:szCs w:val="20"/>
              </w:rPr>
              <w:t>Strengths and Uncertainties</w:t>
            </w:r>
          </w:p>
        </w:tc>
      </w:tr>
      <w:tr w:rsidR="0076528D" w:rsidRPr="00C37A1D" w14:paraId="5CBEB367" w14:textId="77777777" w:rsidTr="009D304C">
        <w:tc>
          <w:tcPr>
            <w:tcW w:w="4417" w:type="dxa"/>
          </w:tcPr>
          <w:p w14:paraId="3FFBC3BF" w14:textId="77777777" w:rsidR="00F8652A" w:rsidRDefault="0076528D" w:rsidP="00957DB3">
            <w:pPr>
              <w:rPr>
                <w:rFonts w:cstheme="minorHAnsi"/>
                <w:i/>
                <w:sz w:val="20"/>
                <w:szCs w:val="20"/>
              </w:rPr>
            </w:pPr>
            <w:r w:rsidRPr="009D304C">
              <w:rPr>
                <w:rFonts w:asciiTheme="minorHAnsi" w:hAnsiTheme="minorHAnsi" w:cstheme="minorHAnsi"/>
                <w:i/>
                <w:sz w:val="20"/>
                <w:szCs w:val="20"/>
              </w:rPr>
              <w:t xml:space="preserve">There is an unmet need for improvement in </w:t>
            </w:r>
            <w:proofErr w:type="spellStart"/>
            <w:r w:rsidRPr="009D304C">
              <w:rPr>
                <w:rFonts w:asciiTheme="minorHAnsi" w:hAnsiTheme="minorHAnsi" w:cstheme="minorHAnsi"/>
                <w:i/>
                <w:sz w:val="20"/>
                <w:szCs w:val="20"/>
              </w:rPr>
              <w:t>cHL</w:t>
            </w:r>
            <w:proofErr w:type="spellEnd"/>
            <w:r w:rsidRPr="009D304C">
              <w:rPr>
                <w:rFonts w:asciiTheme="minorHAnsi" w:hAnsiTheme="minorHAnsi" w:cstheme="minorHAnsi"/>
                <w:i/>
                <w:sz w:val="20"/>
                <w:szCs w:val="20"/>
              </w:rPr>
              <w:t xml:space="preserve"> pt.’s who progress after </w:t>
            </w:r>
            <w:r w:rsidR="00D65F50" w:rsidRPr="009D304C">
              <w:rPr>
                <w:rFonts w:cstheme="minorHAnsi"/>
                <w:i/>
                <w:sz w:val="20"/>
                <w:szCs w:val="20"/>
              </w:rPr>
              <w:t xml:space="preserve">≥ </w:t>
            </w:r>
            <w:r w:rsidRPr="009D304C">
              <w:rPr>
                <w:rFonts w:cstheme="minorHAnsi"/>
                <w:i/>
                <w:sz w:val="20"/>
                <w:szCs w:val="20"/>
              </w:rPr>
              <w:t>3 lines of therapy, which this study seem to meet, at least short-term:</w:t>
            </w:r>
          </w:p>
          <w:p w14:paraId="5CBEB35B" w14:textId="000E4F10" w:rsidR="0076528D" w:rsidRPr="009D304C" w:rsidRDefault="0076528D" w:rsidP="00957DB3">
            <w:pPr>
              <w:rPr>
                <w:rFonts w:asciiTheme="minorHAnsi" w:hAnsiTheme="minorHAnsi" w:cstheme="minorHAnsi"/>
                <w:i/>
                <w:sz w:val="20"/>
                <w:szCs w:val="20"/>
              </w:rPr>
            </w:pPr>
            <w:r w:rsidRPr="009D304C">
              <w:rPr>
                <w:rFonts w:asciiTheme="minorHAnsi" w:hAnsiTheme="minorHAnsi" w:cstheme="minorHAnsi"/>
                <w:i/>
                <w:sz w:val="20"/>
                <w:szCs w:val="20"/>
              </w:rPr>
              <w:t xml:space="preserve">ORR of 68.1% and CR 21.9% in the pivotal </w:t>
            </w:r>
            <w:r w:rsidR="00ED605C" w:rsidRPr="009D304C">
              <w:rPr>
                <w:rFonts w:asciiTheme="minorHAnsi" w:hAnsiTheme="minorHAnsi" w:cstheme="minorHAnsi"/>
                <w:i/>
                <w:sz w:val="20"/>
                <w:szCs w:val="20"/>
              </w:rPr>
              <w:t>Study KN</w:t>
            </w:r>
            <w:r w:rsidRPr="009D304C">
              <w:rPr>
                <w:rFonts w:asciiTheme="minorHAnsi" w:hAnsiTheme="minorHAnsi" w:cstheme="minorHAnsi"/>
                <w:i/>
                <w:sz w:val="20"/>
                <w:szCs w:val="20"/>
              </w:rPr>
              <w:t xml:space="preserve">087, which is high relative to other treatments and comparable to BV. It is also comparable to </w:t>
            </w:r>
            <w:proofErr w:type="spellStart"/>
            <w:r w:rsidRPr="009D304C">
              <w:rPr>
                <w:rFonts w:asciiTheme="minorHAnsi" w:hAnsiTheme="minorHAnsi" w:cstheme="minorHAnsi"/>
                <w:i/>
                <w:sz w:val="20"/>
                <w:szCs w:val="20"/>
              </w:rPr>
              <w:t>nivolumab</w:t>
            </w:r>
            <w:proofErr w:type="spellEnd"/>
            <w:r w:rsidRPr="009D304C">
              <w:rPr>
                <w:rFonts w:asciiTheme="minorHAnsi" w:hAnsiTheme="minorHAnsi" w:cstheme="minorHAnsi"/>
                <w:i/>
                <w:sz w:val="20"/>
                <w:szCs w:val="20"/>
              </w:rPr>
              <w:t xml:space="preserve"> in </w:t>
            </w:r>
            <w:proofErr w:type="spellStart"/>
            <w:r w:rsidRPr="009D304C">
              <w:rPr>
                <w:rFonts w:asciiTheme="minorHAnsi" w:hAnsiTheme="minorHAnsi" w:cstheme="minorHAnsi"/>
                <w:i/>
                <w:sz w:val="20"/>
                <w:szCs w:val="20"/>
              </w:rPr>
              <w:t>cHL</w:t>
            </w:r>
            <w:proofErr w:type="spellEnd"/>
            <w:r w:rsidRPr="009D304C">
              <w:rPr>
                <w:rFonts w:asciiTheme="minorHAnsi" w:hAnsiTheme="minorHAnsi" w:cstheme="minorHAnsi"/>
                <w:i/>
                <w:sz w:val="20"/>
                <w:szCs w:val="20"/>
              </w:rPr>
              <w:t xml:space="preserve"> p</w:t>
            </w:r>
            <w:r w:rsidR="005616A2">
              <w:rPr>
                <w:rFonts w:asciiTheme="minorHAnsi" w:hAnsiTheme="minorHAnsi" w:cstheme="minorHAnsi"/>
                <w:i/>
                <w:sz w:val="20"/>
                <w:szCs w:val="20"/>
              </w:rPr>
              <w:t>atients</w:t>
            </w:r>
            <w:r w:rsidRPr="009D304C">
              <w:rPr>
                <w:rFonts w:asciiTheme="minorHAnsi" w:hAnsiTheme="minorHAnsi" w:cstheme="minorHAnsi"/>
                <w:i/>
                <w:sz w:val="20"/>
                <w:szCs w:val="20"/>
              </w:rPr>
              <w:t xml:space="preserve"> after ASCT and BV (ORR 68%) and higher than the CR of 8% seen in this </w:t>
            </w:r>
            <w:proofErr w:type="gramStart"/>
            <w:r w:rsidRPr="009D304C">
              <w:rPr>
                <w:rFonts w:asciiTheme="minorHAnsi" w:hAnsiTheme="minorHAnsi" w:cstheme="minorHAnsi"/>
                <w:i/>
                <w:sz w:val="20"/>
                <w:szCs w:val="20"/>
              </w:rPr>
              <w:t>study</w:t>
            </w:r>
            <w:proofErr w:type="gramEnd"/>
            <w:r w:rsidRPr="009D304C">
              <w:rPr>
                <w:rFonts w:asciiTheme="minorHAnsi" w:hAnsiTheme="minorHAnsi" w:cstheme="minorHAnsi"/>
                <w:i/>
                <w:sz w:val="20"/>
                <w:szCs w:val="20"/>
              </w:rPr>
              <w:t xml:space="preserve"> (EMA </w:t>
            </w:r>
            <w:proofErr w:type="spellStart"/>
            <w:r w:rsidRPr="009D304C">
              <w:rPr>
                <w:rFonts w:asciiTheme="minorHAnsi" w:hAnsiTheme="minorHAnsi" w:cstheme="minorHAnsi"/>
                <w:i/>
                <w:sz w:val="20"/>
                <w:szCs w:val="20"/>
              </w:rPr>
              <w:t>SmPC</w:t>
            </w:r>
            <w:proofErr w:type="spellEnd"/>
            <w:r w:rsidR="008F3099">
              <w:rPr>
                <w:rFonts w:asciiTheme="minorHAnsi" w:hAnsiTheme="minorHAnsi" w:cstheme="minorHAnsi"/>
                <w:i/>
                <w:sz w:val="20"/>
                <w:szCs w:val="20"/>
              </w:rPr>
              <w:t>).</w:t>
            </w:r>
          </w:p>
          <w:p w14:paraId="5CBEB35F" w14:textId="65241349" w:rsidR="0076528D" w:rsidRPr="009D304C" w:rsidRDefault="009D304C" w:rsidP="00D92572">
            <w:pPr>
              <w:rPr>
                <w:rFonts w:asciiTheme="minorHAnsi" w:hAnsiTheme="minorHAnsi" w:cstheme="minorHAnsi"/>
                <w:i/>
                <w:sz w:val="20"/>
                <w:szCs w:val="20"/>
              </w:rPr>
            </w:pPr>
            <w:r>
              <w:rPr>
                <w:rFonts w:asciiTheme="minorHAnsi" w:hAnsiTheme="minorHAnsi" w:cstheme="minorHAnsi"/>
                <w:i/>
                <w:sz w:val="20"/>
                <w:szCs w:val="20"/>
              </w:rPr>
              <w:t xml:space="preserve">The smaller phase </w:t>
            </w:r>
            <w:proofErr w:type="spellStart"/>
            <w:r>
              <w:rPr>
                <w:rFonts w:asciiTheme="minorHAnsi" w:hAnsiTheme="minorHAnsi" w:cstheme="minorHAnsi"/>
                <w:i/>
                <w:sz w:val="20"/>
                <w:szCs w:val="20"/>
              </w:rPr>
              <w:t>I</w:t>
            </w:r>
            <w:r w:rsidR="0076528D" w:rsidRPr="009D304C">
              <w:rPr>
                <w:rFonts w:asciiTheme="minorHAnsi" w:hAnsiTheme="minorHAnsi" w:cstheme="minorHAnsi"/>
                <w:i/>
                <w:sz w:val="20"/>
                <w:szCs w:val="20"/>
              </w:rPr>
              <w:t>b</w:t>
            </w:r>
            <w:proofErr w:type="spellEnd"/>
            <w:r w:rsidR="0076528D" w:rsidRPr="009D304C">
              <w:rPr>
                <w:rFonts w:asciiTheme="minorHAnsi" w:hAnsiTheme="minorHAnsi" w:cstheme="minorHAnsi"/>
                <w:i/>
                <w:sz w:val="20"/>
                <w:szCs w:val="20"/>
              </w:rPr>
              <w:t xml:space="preserve"> </w:t>
            </w:r>
            <w:r w:rsidR="00ED605C" w:rsidRPr="009D304C">
              <w:rPr>
                <w:rFonts w:asciiTheme="minorHAnsi" w:hAnsiTheme="minorHAnsi" w:cstheme="minorHAnsi"/>
                <w:i/>
                <w:sz w:val="20"/>
                <w:szCs w:val="20"/>
              </w:rPr>
              <w:t>Study KN</w:t>
            </w:r>
            <w:r w:rsidR="0076528D" w:rsidRPr="009D304C">
              <w:rPr>
                <w:rFonts w:asciiTheme="minorHAnsi" w:hAnsiTheme="minorHAnsi" w:cstheme="minorHAnsi"/>
                <w:i/>
                <w:sz w:val="20"/>
                <w:szCs w:val="20"/>
              </w:rPr>
              <w:t>013 supports these results.</w:t>
            </w:r>
            <w:r w:rsidR="00D92572" w:rsidRPr="009D304C">
              <w:rPr>
                <w:rFonts w:asciiTheme="minorHAnsi" w:hAnsiTheme="minorHAnsi" w:cstheme="minorHAnsi"/>
                <w:i/>
                <w:sz w:val="20"/>
                <w:szCs w:val="20"/>
              </w:rPr>
              <w:t xml:space="preserve"> </w:t>
            </w:r>
            <w:r w:rsidR="0076528D" w:rsidRPr="009D304C">
              <w:rPr>
                <w:rFonts w:asciiTheme="minorHAnsi" w:hAnsiTheme="minorHAnsi" w:cstheme="minorHAnsi"/>
                <w:i/>
                <w:sz w:val="20"/>
                <w:szCs w:val="20"/>
              </w:rPr>
              <w:t>DOR not reached (Ran</w:t>
            </w:r>
            <w:r w:rsidR="008F3099">
              <w:rPr>
                <w:rFonts w:asciiTheme="minorHAnsi" w:hAnsiTheme="minorHAnsi" w:cstheme="minorHAnsi"/>
                <w:i/>
                <w:sz w:val="20"/>
                <w:szCs w:val="20"/>
              </w:rPr>
              <w:t>ge 0.0+ - 8.3+ months) (KN087).</w:t>
            </w:r>
          </w:p>
        </w:tc>
        <w:tc>
          <w:tcPr>
            <w:tcW w:w="4195" w:type="dxa"/>
          </w:tcPr>
          <w:p w14:paraId="5CBEB360" w14:textId="2599B3DD" w:rsidR="0076528D" w:rsidRPr="009D304C" w:rsidRDefault="008F3099"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Pr>
                <w:rFonts w:asciiTheme="minorHAnsi" w:hAnsiTheme="minorHAnsi" w:cstheme="minorHAnsi"/>
                <w:i/>
                <w:sz w:val="20"/>
                <w:szCs w:val="20"/>
              </w:rPr>
              <w:t>Strength:</w:t>
            </w:r>
          </w:p>
          <w:p w14:paraId="5CBEB361" w14:textId="7C44816B" w:rsidR="0076528D" w:rsidRPr="009D304C"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 xml:space="preserve">Most patients had </w:t>
            </w:r>
            <w:r w:rsidR="00D65F50" w:rsidRPr="009D304C">
              <w:rPr>
                <w:rFonts w:cstheme="minorHAnsi"/>
                <w:i/>
                <w:sz w:val="20"/>
                <w:szCs w:val="20"/>
              </w:rPr>
              <w:t xml:space="preserve">≥ </w:t>
            </w:r>
            <w:r w:rsidRPr="009D304C">
              <w:rPr>
                <w:rFonts w:cstheme="minorHAnsi"/>
                <w:i/>
                <w:sz w:val="20"/>
                <w:szCs w:val="20"/>
              </w:rPr>
              <w:t>3 lines of therapy</w:t>
            </w:r>
            <w:r w:rsidRPr="009D304C">
              <w:rPr>
                <w:rFonts w:asciiTheme="minorHAnsi" w:hAnsiTheme="minorHAnsi" w:cstheme="minorHAnsi"/>
                <w:i/>
                <w:sz w:val="20"/>
                <w:szCs w:val="20"/>
              </w:rPr>
              <w:t xml:space="preserve"> and </w:t>
            </w:r>
            <w:r w:rsidR="008F3099">
              <w:rPr>
                <w:rFonts w:asciiTheme="minorHAnsi" w:hAnsiTheme="minorHAnsi" w:cstheme="minorHAnsi"/>
                <w:i/>
                <w:sz w:val="20"/>
                <w:szCs w:val="20"/>
              </w:rPr>
              <w:t>still the ORR and CR were high.</w:t>
            </w:r>
          </w:p>
          <w:p w14:paraId="3A357B14" w14:textId="77777777" w:rsidR="00F8652A"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Uncertainties:</w:t>
            </w:r>
          </w:p>
          <w:p w14:paraId="5CBEB363" w14:textId="3891534D" w:rsidR="0076528D" w:rsidRPr="009D304C" w:rsidRDefault="009D304C"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Pr>
                <w:rFonts w:asciiTheme="minorHAnsi" w:hAnsiTheme="minorHAnsi" w:cstheme="minorHAnsi"/>
                <w:i/>
                <w:sz w:val="20"/>
                <w:szCs w:val="20"/>
              </w:rPr>
              <w:t>No randomis</w:t>
            </w:r>
            <w:r w:rsidR="0076528D" w:rsidRPr="009D304C">
              <w:rPr>
                <w:rFonts w:asciiTheme="minorHAnsi" w:hAnsiTheme="minorHAnsi" w:cstheme="minorHAnsi"/>
                <w:i/>
                <w:sz w:val="20"/>
                <w:szCs w:val="20"/>
              </w:rPr>
              <w:t>ed study (no comparator).</w:t>
            </w:r>
          </w:p>
          <w:p w14:paraId="3CC73D26" w14:textId="77777777" w:rsidR="00F8652A"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Surrogate endpoint: will this result in a longer PFS, DOR and ultimately OS?</w:t>
            </w:r>
          </w:p>
          <w:p w14:paraId="5CBEB365" w14:textId="30BF7A65" w:rsidR="0076528D" w:rsidRPr="009D304C"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The place relative to BV is uncertain m</w:t>
            </w:r>
            <w:r w:rsidR="009D304C">
              <w:rPr>
                <w:rFonts w:asciiTheme="minorHAnsi" w:hAnsiTheme="minorHAnsi" w:cstheme="minorHAnsi"/>
                <w:i/>
                <w:sz w:val="20"/>
                <w:szCs w:val="20"/>
              </w:rPr>
              <w:t>ainly due to lack of data from P</w:t>
            </w:r>
            <w:r w:rsidRPr="009D304C">
              <w:rPr>
                <w:rFonts w:asciiTheme="minorHAnsi" w:hAnsiTheme="minorHAnsi" w:cstheme="minorHAnsi"/>
                <w:i/>
                <w:sz w:val="20"/>
                <w:szCs w:val="20"/>
              </w:rPr>
              <w:t xml:space="preserve">hase </w:t>
            </w:r>
            <w:r w:rsidR="009D304C">
              <w:rPr>
                <w:rFonts w:asciiTheme="minorHAnsi" w:hAnsiTheme="minorHAnsi" w:cstheme="minorHAnsi"/>
                <w:i/>
                <w:sz w:val="20"/>
                <w:szCs w:val="20"/>
              </w:rPr>
              <w:t>III</w:t>
            </w:r>
            <w:r w:rsidRPr="009D304C">
              <w:rPr>
                <w:rFonts w:asciiTheme="minorHAnsi" w:hAnsiTheme="minorHAnsi" w:cstheme="minorHAnsi"/>
                <w:i/>
                <w:sz w:val="20"/>
                <w:szCs w:val="20"/>
              </w:rPr>
              <w:t xml:space="preserve"> trials, one of which is ongoing, and due to an heterogeneous Cohort 3, where 40% had &lt;3 prior treatments and 41.7% had BV pre-ASCT and so is di</w:t>
            </w:r>
            <w:r w:rsidR="008F3099">
              <w:rPr>
                <w:rFonts w:asciiTheme="minorHAnsi" w:hAnsiTheme="minorHAnsi" w:cstheme="minorHAnsi"/>
                <w:i/>
                <w:sz w:val="20"/>
                <w:szCs w:val="20"/>
              </w:rPr>
              <w:t>fficult to compare to Cohort 1.</w:t>
            </w:r>
          </w:p>
          <w:p w14:paraId="5CBEB366" w14:textId="77777777" w:rsidR="0076528D" w:rsidRPr="009D304C"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 xml:space="preserve">Short exposure (5.8 months) and follow-up (7.1 months): Interim report. </w:t>
            </w:r>
          </w:p>
        </w:tc>
      </w:tr>
    </w:tbl>
    <w:p w14:paraId="5CBEB368" w14:textId="77777777" w:rsidR="007D6DFD" w:rsidRDefault="007D6DFD" w:rsidP="007D6DFD">
      <w:pPr>
        <w:pStyle w:val="Heading4"/>
      </w:pPr>
      <w:r>
        <w:t>F</w:t>
      </w:r>
      <w:r w:rsidRPr="0076528D">
        <w:t>i</w:t>
      </w:r>
      <w:r>
        <w:t>rst round assessment of risks</w:t>
      </w:r>
    </w:p>
    <w:p w14:paraId="5CBEB369" w14:textId="77777777" w:rsidR="009D304C" w:rsidRDefault="009D304C" w:rsidP="009D304C">
      <w:r>
        <w:t>The following table summarises the clinical evaluator’s f</w:t>
      </w:r>
      <w:r w:rsidRPr="0076528D">
        <w:t xml:space="preserve">irst round assessment of </w:t>
      </w:r>
      <w:r>
        <w:t>risks:</w:t>
      </w:r>
    </w:p>
    <w:p w14:paraId="5CBEB36A" w14:textId="77777777" w:rsidR="0076528D" w:rsidRDefault="009D304C" w:rsidP="008F3099">
      <w:pPr>
        <w:pStyle w:val="TableCaption"/>
      </w:pPr>
      <w:r>
        <w:t xml:space="preserve">Table </w:t>
      </w:r>
      <w:r w:rsidR="007D6DFD">
        <w:t xml:space="preserve">11: </w:t>
      </w:r>
      <w:r w:rsidR="0076528D" w:rsidRPr="0076528D">
        <w:t>First round assessment of risks</w:t>
      </w:r>
    </w:p>
    <w:tbl>
      <w:tblPr>
        <w:tblStyle w:val="TableGrid"/>
        <w:tblW w:w="0" w:type="auto"/>
        <w:tblInd w:w="108" w:type="dxa"/>
        <w:tblLook w:val="04A0" w:firstRow="1" w:lastRow="0" w:firstColumn="1" w:lastColumn="0" w:noHBand="0" w:noVBand="1"/>
        <w:tblDescription w:val="Table 11: First round assessment of risks"/>
      </w:tblPr>
      <w:tblGrid>
        <w:gridCol w:w="4395"/>
        <w:gridCol w:w="4394"/>
      </w:tblGrid>
      <w:tr w:rsidR="0076528D" w:rsidRPr="00C37A1D" w14:paraId="5CBEB36D" w14:textId="77777777" w:rsidTr="00957DB3">
        <w:trPr>
          <w:tblHeader/>
        </w:trPr>
        <w:tc>
          <w:tcPr>
            <w:tcW w:w="4395" w:type="dxa"/>
            <w:shd w:val="clear" w:color="auto" w:fill="006DA7" w:themeFill="accent3"/>
          </w:tcPr>
          <w:p w14:paraId="5CBEB36B" w14:textId="77777777" w:rsidR="0076528D" w:rsidRPr="009D304C" w:rsidRDefault="0076528D" w:rsidP="00957DB3">
            <w:pPr>
              <w:rPr>
                <w:rFonts w:asciiTheme="minorHAnsi" w:hAnsiTheme="minorHAnsi"/>
                <w:b/>
                <w:color w:val="FFFFFF" w:themeColor="background1"/>
                <w:sz w:val="20"/>
                <w:szCs w:val="20"/>
              </w:rPr>
            </w:pPr>
            <w:r w:rsidRPr="009D304C">
              <w:rPr>
                <w:rFonts w:asciiTheme="minorHAnsi" w:hAnsiTheme="minorHAnsi"/>
                <w:b/>
                <w:color w:val="FFFFFF" w:themeColor="background1"/>
                <w:sz w:val="20"/>
                <w:szCs w:val="20"/>
              </w:rPr>
              <w:t>Risks</w:t>
            </w:r>
          </w:p>
        </w:tc>
        <w:tc>
          <w:tcPr>
            <w:tcW w:w="4394" w:type="dxa"/>
            <w:shd w:val="clear" w:color="auto" w:fill="006DA7" w:themeFill="accent3"/>
          </w:tcPr>
          <w:p w14:paraId="5CBEB36C" w14:textId="77777777" w:rsidR="0076528D" w:rsidRPr="009D304C" w:rsidRDefault="0076528D" w:rsidP="00957DB3">
            <w:pPr>
              <w:rPr>
                <w:rFonts w:asciiTheme="minorHAnsi" w:hAnsiTheme="minorHAnsi"/>
                <w:b/>
                <w:color w:val="FFFFFF" w:themeColor="background1"/>
                <w:sz w:val="20"/>
                <w:szCs w:val="20"/>
              </w:rPr>
            </w:pPr>
            <w:r w:rsidRPr="009D304C">
              <w:rPr>
                <w:rFonts w:asciiTheme="minorHAnsi" w:hAnsiTheme="minorHAnsi"/>
                <w:b/>
                <w:color w:val="FFFFFF" w:themeColor="background1"/>
                <w:sz w:val="20"/>
                <w:szCs w:val="20"/>
              </w:rPr>
              <w:t>Strengths and Uncertainties</w:t>
            </w:r>
          </w:p>
        </w:tc>
      </w:tr>
      <w:tr w:rsidR="0076528D" w:rsidRPr="00C37A1D" w14:paraId="5CBEB37F" w14:textId="77777777" w:rsidTr="00957DB3">
        <w:tc>
          <w:tcPr>
            <w:tcW w:w="4395" w:type="dxa"/>
          </w:tcPr>
          <w:p w14:paraId="02F3A706" w14:textId="77777777" w:rsidR="00F8652A" w:rsidRDefault="0076528D" w:rsidP="00957DB3">
            <w:pPr>
              <w:rPr>
                <w:rFonts w:asciiTheme="minorHAnsi" w:hAnsiTheme="minorHAnsi" w:cstheme="minorHAnsi"/>
                <w:i/>
                <w:sz w:val="20"/>
                <w:szCs w:val="20"/>
              </w:rPr>
            </w:pPr>
            <w:r w:rsidRPr="009D304C">
              <w:rPr>
                <w:rFonts w:asciiTheme="minorHAnsi" w:hAnsiTheme="minorHAnsi" w:cstheme="minorHAnsi"/>
                <w:i/>
                <w:sz w:val="20"/>
                <w:szCs w:val="20"/>
              </w:rPr>
              <w:t xml:space="preserve">Well known </w:t>
            </w:r>
            <w:r w:rsidRPr="009D304C">
              <w:rPr>
                <w:sz w:val="20"/>
                <w:szCs w:val="20"/>
                <w:lang w:eastAsia="ja-JP"/>
              </w:rPr>
              <w:t>adverse events of special interest</w:t>
            </w:r>
            <w:r w:rsidRPr="009D304C">
              <w:rPr>
                <w:rFonts w:asciiTheme="minorHAnsi" w:hAnsiTheme="minorHAnsi" w:cstheme="minorHAnsi"/>
                <w:i/>
                <w:sz w:val="20"/>
                <w:szCs w:val="20"/>
              </w:rPr>
              <w:t xml:space="preserve"> (AEOSIs).</w:t>
            </w:r>
          </w:p>
          <w:p w14:paraId="42E0F620" w14:textId="77777777" w:rsidR="00F8652A" w:rsidRDefault="0076528D" w:rsidP="00957DB3">
            <w:pPr>
              <w:rPr>
                <w:rFonts w:asciiTheme="minorHAnsi" w:hAnsiTheme="minorHAnsi" w:cstheme="minorHAnsi"/>
                <w:i/>
                <w:sz w:val="20"/>
                <w:szCs w:val="20"/>
              </w:rPr>
            </w:pPr>
            <w:r w:rsidRPr="009D304C">
              <w:rPr>
                <w:rFonts w:asciiTheme="minorHAnsi" w:hAnsiTheme="minorHAnsi" w:cstheme="minorHAnsi"/>
                <w:i/>
                <w:sz w:val="20"/>
                <w:szCs w:val="20"/>
              </w:rPr>
              <w:t xml:space="preserve">Infections/pyrexia twice that of the Reference </w:t>
            </w:r>
            <w:r w:rsidRPr="009D304C">
              <w:rPr>
                <w:rFonts w:asciiTheme="minorHAnsi" w:hAnsiTheme="minorHAnsi" w:cstheme="minorHAnsi"/>
                <w:i/>
                <w:sz w:val="20"/>
                <w:szCs w:val="20"/>
              </w:rPr>
              <w:lastRenderedPageBreak/>
              <w:t>Dataset.</w:t>
            </w:r>
          </w:p>
          <w:p w14:paraId="5CBEB373" w14:textId="585B5537" w:rsidR="0076528D" w:rsidRPr="009D304C" w:rsidRDefault="0076528D" w:rsidP="00957DB3">
            <w:pPr>
              <w:rPr>
                <w:rFonts w:asciiTheme="minorHAnsi" w:hAnsiTheme="minorHAnsi" w:cstheme="minorHAnsi"/>
                <w:i/>
                <w:sz w:val="20"/>
                <w:szCs w:val="20"/>
              </w:rPr>
            </w:pPr>
            <w:r w:rsidRPr="009D304C">
              <w:rPr>
                <w:rFonts w:asciiTheme="minorHAnsi" w:hAnsiTheme="minorHAnsi" w:cstheme="minorHAnsi"/>
                <w:i/>
                <w:sz w:val="20"/>
                <w:szCs w:val="20"/>
              </w:rPr>
              <w:t>More AEs with age &gt; 65 years and few patients in this category</w:t>
            </w:r>
          </w:p>
          <w:p w14:paraId="5CBEB375" w14:textId="77777777" w:rsidR="0076528D" w:rsidRPr="009D304C" w:rsidRDefault="0076528D" w:rsidP="009D304C">
            <w:pPr>
              <w:rPr>
                <w:rFonts w:asciiTheme="minorHAnsi" w:hAnsiTheme="minorHAnsi" w:cstheme="minorHAnsi"/>
                <w:i/>
                <w:sz w:val="20"/>
                <w:szCs w:val="20"/>
              </w:rPr>
            </w:pPr>
            <w:proofErr w:type="spellStart"/>
            <w:r w:rsidRPr="009D304C">
              <w:rPr>
                <w:rFonts w:asciiTheme="minorHAnsi" w:hAnsiTheme="minorHAnsi" w:cstheme="minorHAnsi"/>
                <w:i/>
                <w:sz w:val="20"/>
                <w:szCs w:val="20"/>
              </w:rPr>
              <w:t>Allo</w:t>
            </w:r>
            <w:proofErr w:type="spellEnd"/>
            <w:r w:rsidRPr="009D304C">
              <w:rPr>
                <w:rFonts w:asciiTheme="minorHAnsi" w:hAnsiTheme="minorHAnsi" w:cstheme="minorHAnsi"/>
                <w:i/>
                <w:sz w:val="20"/>
                <w:szCs w:val="20"/>
              </w:rPr>
              <w:t>-SCT: potentially heightened risk of G</w:t>
            </w:r>
            <w:r w:rsidR="009D304C">
              <w:rPr>
                <w:rFonts w:asciiTheme="minorHAnsi" w:hAnsiTheme="minorHAnsi" w:cstheme="minorHAnsi"/>
                <w:i/>
                <w:sz w:val="20"/>
                <w:szCs w:val="20"/>
              </w:rPr>
              <w:t>VHD based on anecdotal reports.</w:t>
            </w:r>
          </w:p>
        </w:tc>
        <w:tc>
          <w:tcPr>
            <w:tcW w:w="4394" w:type="dxa"/>
          </w:tcPr>
          <w:p w14:paraId="306487FE" w14:textId="77777777" w:rsidR="00F8652A"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lastRenderedPageBreak/>
              <w:t>Strengths:</w:t>
            </w:r>
          </w:p>
          <w:p w14:paraId="5CBEB377" w14:textId="4B4EFD9F" w:rsidR="0076528D" w:rsidRPr="009D304C"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 xml:space="preserve">Mainly comparable to previously observed AEOSI </w:t>
            </w:r>
            <w:r w:rsidRPr="009D304C">
              <w:rPr>
                <w:rFonts w:asciiTheme="minorHAnsi" w:hAnsiTheme="minorHAnsi" w:cstheme="minorHAnsi"/>
                <w:i/>
                <w:sz w:val="20"/>
                <w:szCs w:val="20"/>
              </w:rPr>
              <w:lastRenderedPageBreak/>
              <w:t>in large reference dataset (2799).</w:t>
            </w:r>
          </w:p>
          <w:p w14:paraId="7741D51B" w14:textId="77777777" w:rsidR="00F8652A"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Uncertainties:</w:t>
            </w:r>
          </w:p>
          <w:p w14:paraId="5CBEB379" w14:textId="1BC1DCD7" w:rsidR="0076528D" w:rsidRPr="009D304C" w:rsidRDefault="009D304C"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Pr>
                <w:rFonts w:asciiTheme="minorHAnsi" w:hAnsiTheme="minorHAnsi" w:cstheme="minorHAnsi"/>
                <w:i/>
                <w:sz w:val="20"/>
                <w:szCs w:val="20"/>
              </w:rPr>
              <w:t>No randomis</w:t>
            </w:r>
            <w:r w:rsidR="0076528D" w:rsidRPr="009D304C">
              <w:rPr>
                <w:rFonts w:asciiTheme="minorHAnsi" w:hAnsiTheme="minorHAnsi" w:cstheme="minorHAnsi"/>
                <w:i/>
                <w:sz w:val="20"/>
                <w:szCs w:val="20"/>
              </w:rPr>
              <w:t>ed study (no comparator).</w:t>
            </w:r>
          </w:p>
          <w:p w14:paraId="5CBEB37B" w14:textId="77777777" w:rsidR="0076528D" w:rsidRPr="009D304C"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Few patients &gt; 65 years of age in KN087 [19 (9%), 15 of these were in Cohort 2].</w:t>
            </w:r>
          </w:p>
          <w:p w14:paraId="5CBEB37E" w14:textId="77777777" w:rsidR="0076528D" w:rsidRPr="009D304C" w:rsidRDefault="0076528D" w:rsidP="00957DB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0"/>
                <w:szCs w:val="20"/>
              </w:rPr>
            </w:pPr>
            <w:r w:rsidRPr="009D304C">
              <w:rPr>
                <w:rFonts w:asciiTheme="minorHAnsi" w:hAnsiTheme="minorHAnsi" w:cstheme="minorHAnsi"/>
                <w:i/>
                <w:sz w:val="20"/>
                <w:szCs w:val="20"/>
              </w:rPr>
              <w:t xml:space="preserve">Study KN087/interim report: Long-term AEs due to short exposure (5.8 months) and follow-up (7.1 months) are unknown. </w:t>
            </w:r>
          </w:p>
        </w:tc>
      </w:tr>
    </w:tbl>
    <w:p w14:paraId="5CBEB380" w14:textId="77777777" w:rsidR="00605AD4" w:rsidRPr="00605AD4" w:rsidRDefault="00605AD4" w:rsidP="00605AD4">
      <w:pPr>
        <w:pStyle w:val="Heading3"/>
        <w:rPr>
          <w:rFonts w:eastAsia="Cambria"/>
        </w:rPr>
      </w:pPr>
      <w:bookmarkStart w:id="93" w:name="_Toc517786140"/>
      <w:r w:rsidRPr="00605AD4">
        <w:rPr>
          <w:rFonts w:eastAsia="Cambria"/>
        </w:rPr>
        <w:lastRenderedPageBreak/>
        <w:t>First Round Recommendation Regarding Authorisation</w:t>
      </w:r>
      <w:bookmarkEnd w:id="93"/>
    </w:p>
    <w:p w14:paraId="5CBEB381" w14:textId="77777777" w:rsidR="0076528D" w:rsidRDefault="0076528D" w:rsidP="0076528D">
      <w:r>
        <w:t xml:space="preserve">Overall, it is considered that the benefits of </w:t>
      </w:r>
      <w:proofErr w:type="spellStart"/>
      <w:r>
        <w:t>pembrolizumab</w:t>
      </w:r>
      <w:proofErr w:type="spellEnd"/>
      <w:r>
        <w:t xml:space="preserve"> outweigh its risks in this patient population although the data is sparse in the elderly population. However, the data submitted with this application are immature. Specific limitations of the data include the following:</w:t>
      </w:r>
    </w:p>
    <w:p w14:paraId="5CBEB382" w14:textId="77777777" w:rsidR="0076528D" w:rsidRDefault="0076528D" w:rsidP="009D304C">
      <w:pPr>
        <w:pStyle w:val="ListBullet"/>
      </w:pPr>
      <w:r>
        <w:t>Data on DOR and PFS are not mature.</w:t>
      </w:r>
    </w:p>
    <w:p w14:paraId="1EC72B8C" w14:textId="77777777" w:rsidR="00F8652A" w:rsidRDefault="0076528D" w:rsidP="009D304C">
      <w:pPr>
        <w:pStyle w:val="ListBullet"/>
      </w:pPr>
      <w:r>
        <w:t xml:space="preserve">There are no randomised comparisons of </w:t>
      </w:r>
      <w:proofErr w:type="spellStart"/>
      <w:r>
        <w:t>pembrolizumab</w:t>
      </w:r>
      <w:proofErr w:type="spellEnd"/>
      <w:r>
        <w:t xml:space="preserve"> against other agents registered for use in the proposed patient population.</w:t>
      </w:r>
    </w:p>
    <w:p w14:paraId="437CE90E" w14:textId="77777777" w:rsidR="00F8652A" w:rsidRDefault="0076528D" w:rsidP="007D6DFD">
      <w:r>
        <w:t xml:space="preserve">The indication proposed by the sponsor is: </w:t>
      </w:r>
      <w:proofErr w:type="spellStart"/>
      <w:r w:rsidR="00957DB3">
        <w:t>Keytruda</w:t>
      </w:r>
      <w:proofErr w:type="spellEnd"/>
      <w:r w:rsidRPr="007433C0">
        <w:t xml:space="preserve"> is indicated for the treatment of patients with refractory classical Hodgkin Lymphoma, or those who have relapsed after 3 or more prior lines of therapy.</w:t>
      </w:r>
      <w:r>
        <w:t xml:space="preserve"> This is a broad indication, which would include patients eligible for treatment with traditional salvage therapy and subsequent ASCT (primary </w:t>
      </w:r>
      <w:r w:rsidRPr="00220FBD">
        <w:t>refractory)</w:t>
      </w:r>
      <w:r>
        <w:t xml:space="preserve"> and without the need for treatment with </w:t>
      </w:r>
      <w:proofErr w:type="spellStart"/>
      <w:r>
        <w:t>brentuximab</w:t>
      </w:r>
      <w:proofErr w:type="spellEnd"/>
      <w:r>
        <w:t xml:space="preserve"> </w:t>
      </w:r>
      <w:proofErr w:type="spellStart"/>
      <w:r>
        <w:t>vedotin</w:t>
      </w:r>
      <w:proofErr w:type="spellEnd"/>
      <w:r>
        <w:t>, which is approved for third line therapy.</w:t>
      </w:r>
    </w:p>
    <w:p w14:paraId="35C73812" w14:textId="77777777" w:rsidR="00F8652A" w:rsidRDefault="0076528D" w:rsidP="0076528D">
      <w:pPr>
        <w:pStyle w:val="ListBullet"/>
        <w:numPr>
          <w:ilvl w:val="0"/>
          <w:numId w:val="0"/>
        </w:numPr>
      </w:pPr>
      <w:r>
        <w:t xml:space="preserve">It is therefore recommended that </w:t>
      </w:r>
      <w:proofErr w:type="spellStart"/>
      <w:r>
        <w:t>pembrolizumab</w:t>
      </w:r>
      <w:proofErr w:type="spellEnd"/>
      <w:r>
        <w:t xml:space="preserve"> be approved for registration but with a more restricted indication than the one proposed by the sponsor:</w:t>
      </w:r>
    </w:p>
    <w:p w14:paraId="514131F5" w14:textId="77777777" w:rsidR="00F8652A" w:rsidRDefault="00957DB3" w:rsidP="009D304C">
      <w:pPr>
        <w:ind w:left="425"/>
        <w:rPr>
          <w:i/>
        </w:rPr>
      </w:pPr>
      <w:proofErr w:type="spellStart"/>
      <w:r w:rsidRPr="009D304C">
        <w:rPr>
          <w:i/>
        </w:rPr>
        <w:t>Keytruda</w:t>
      </w:r>
      <w:proofErr w:type="spellEnd"/>
      <w:r w:rsidR="0076528D" w:rsidRPr="009D304C">
        <w:rPr>
          <w:i/>
        </w:rPr>
        <w:t xml:space="preserve"> as monotherapy is indicated for the treatment of adult patients with relapsed or refractory classical Hodgkin lymphoma (</w:t>
      </w:r>
      <w:proofErr w:type="spellStart"/>
      <w:r w:rsidR="0076528D" w:rsidRPr="009D304C">
        <w:rPr>
          <w:i/>
        </w:rPr>
        <w:t>cHL</w:t>
      </w:r>
      <w:proofErr w:type="spellEnd"/>
      <w:r w:rsidR="0076528D" w:rsidRPr="009D304C">
        <w:rPr>
          <w:i/>
        </w:rPr>
        <w:t>):</w:t>
      </w:r>
    </w:p>
    <w:p w14:paraId="547D928B" w14:textId="77777777" w:rsidR="00F8652A" w:rsidRDefault="0076528D" w:rsidP="005B2867">
      <w:pPr>
        <w:pStyle w:val="Numberbullet0"/>
        <w:numPr>
          <w:ilvl w:val="0"/>
          <w:numId w:val="16"/>
        </w:numPr>
        <w:ind w:left="850"/>
        <w:rPr>
          <w:i/>
        </w:rPr>
      </w:pPr>
      <w:r w:rsidRPr="009D304C">
        <w:rPr>
          <w:i/>
        </w:rPr>
        <w:t>following autologous stem cell transplant (ASCT) or</w:t>
      </w:r>
    </w:p>
    <w:p w14:paraId="5CBEB388" w14:textId="4D2661AA" w:rsidR="0076528D" w:rsidRPr="009D304C" w:rsidRDefault="0076528D" w:rsidP="009D304C">
      <w:pPr>
        <w:pStyle w:val="Numberbullet0"/>
        <w:ind w:left="850"/>
        <w:rPr>
          <w:i/>
        </w:rPr>
      </w:pPr>
      <w:proofErr w:type="gramStart"/>
      <w:r w:rsidRPr="009D304C">
        <w:rPr>
          <w:i/>
        </w:rPr>
        <w:t>following</w:t>
      </w:r>
      <w:proofErr w:type="gramEnd"/>
      <w:r w:rsidRPr="009D304C">
        <w:rPr>
          <w:i/>
        </w:rPr>
        <w:t xml:space="preserve"> at least two prior therapies when ASCT or multi-agent chemotherapy is not a treatment option.</w:t>
      </w:r>
    </w:p>
    <w:p w14:paraId="5CBEB389" w14:textId="77777777" w:rsidR="0076528D" w:rsidRDefault="0076528D" w:rsidP="005002DD">
      <w:pPr>
        <w:pStyle w:val="Heading3"/>
      </w:pPr>
      <w:bookmarkStart w:id="94" w:name="_Toc483227427"/>
      <w:bookmarkStart w:id="95" w:name="_Toc517786141"/>
      <w:r>
        <w:t>First round recommendation regarding authorisation</w:t>
      </w:r>
      <w:bookmarkEnd w:id="94"/>
      <w:bookmarkEnd w:id="95"/>
    </w:p>
    <w:p w14:paraId="7279CB28" w14:textId="77777777" w:rsidR="00F8652A" w:rsidRDefault="0076528D" w:rsidP="0076528D">
      <w:r>
        <w:t>It is recommended that the application be approved but with the restricted indication outlined above and with a warning regarding the heightened risk of infections in the elderly population (&gt;</w:t>
      </w:r>
      <w:r w:rsidR="009D304C">
        <w:t xml:space="preserve"> </w:t>
      </w:r>
      <w:r>
        <w:t>65 years of age) including sparse data in this population.</w:t>
      </w:r>
    </w:p>
    <w:p w14:paraId="5CBEB38B" w14:textId="706BCBE4" w:rsidR="00605AD4" w:rsidRPr="00605AD4" w:rsidRDefault="00605AD4" w:rsidP="00605AD4">
      <w:pPr>
        <w:pStyle w:val="Heading3"/>
        <w:rPr>
          <w:rFonts w:eastAsia="Cambria"/>
        </w:rPr>
      </w:pPr>
      <w:bookmarkStart w:id="96" w:name="_Toc517786142"/>
      <w:r w:rsidRPr="00605AD4">
        <w:rPr>
          <w:rFonts w:eastAsia="Cambria"/>
        </w:rPr>
        <w:t>Second Round Evaluation of clinical data submitted in response to questions</w:t>
      </w:r>
      <w:bookmarkEnd w:id="96"/>
    </w:p>
    <w:p w14:paraId="5CBEB38C" w14:textId="77777777" w:rsidR="006136D7" w:rsidRPr="00605AD4" w:rsidRDefault="006136D7" w:rsidP="006136D7">
      <w:r>
        <w:t xml:space="preserve">For details of the </w:t>
      </w:r>
      <w:r w:rsidR="009D304C">
        <w:t xml:space="preserve">clinical questions raised, </w:t>
      </w:r>
      <w:r>
        <w:t>sponsor’s responses and the evaluation of these responses please see Attachment 2.</w:t>
      </w:r>
    </w:p>
    <w:p w14:paraId="5CBEB38D" w14:textId="77777777" w:rsidR="00605AD4" w:rsidRPr="00605AD4" w:rsidRDefault="00605AD4" w:rsidP="00546154">
      <w:pPr>
        <w:pStyle w:val="Heading3"/>
        <w:rPr>
          <w:rFonts w:eastAsia="Cambria"/>
        </w:rPr>
      </w:pPr>
      <w:bookmarkStart w:id="97" w:name="_Toc517786143"/>
      <w:r w:rsidRPr="00605AD4">
        <w:rPr>
          <w:rFonts w:eastAsia="Cambria"/>
        </w:rPr>
        <w:lastRenderedPageBreak/>
        <w:t>Second Round Benefit-Risk Assessment</w:t>
      </w:r>
      <w:bookmarkEnd w:id="97"/>
    </w:p>
    <w:p w14:paraId="5CBEB38E" w14:textId="77777777" w:rsidR="0076528D" w:rsidRDefault="0076528D" w:rsidP="009D304C">
      <w:pPr>
        <w:pStyle w:val="Heading4"/>
      </w:pPr>
      <w:r>
        <w:t>Second round assessment of benefits</w:t>
      </w:r>
    </w:p>
    <w:p w14:paraId="03FDAA27" w14:textId="77777777" w:rsidR="00F8652A" w:rsidRDefault="0076528D" w:rsidP="0076528D">
      <w:r>
        <w:t xml:space="preserve">There is no change to the overall benefits as set out at the </w:t>
      </w:r>
      <w:r w:rsidR="00EA352D">
        <w:t>first round</w:t>
      </w:r>
      <w:r>
        <w:t xml:space="preserve"> evaluation stage.</w:t>
      </w:r>
    </w:p>
    <w:p w14:paraId="5CBEB390" w14:textId="4573BBEF" w:rsidR="0076528D" w:rsidRDefault="0076528D" w:rsidP="009D304C">
      <w:pPr>
        <w:pStyle w:val="Heading4"/>
      </w:pPr>
      <w:r>
        <w:t>Second round assessment of risks</w:t>
      </w:r>
    </w:p>
    <w:p w14:paraId="6EBDB54B" w14:textId="77777777" w:rsidR="00F8652A" w:rsidRDefault="0076528D" w:rsidP="0076528D">
      <w:r>
        <w:t xml:space="preserve">There is no change to the overall assessment of risks as set out at the </w:t>
      </w:r>
      <w:r w:rsidR="00EA352D">
        <w:t>first round</w:t>
      </w:r>
      <w:r>
        <w:t xml:space="preserve"> evaluation stage.</w:t>
      </w:r>
    </w:p>
    <w:p w14:paraId="5CBEB392" w14:textId="357543FB" w:rsidR="0076528D" w:rsidRDefault="0076528D" w:rsidP="00EA352D">
      <w:pPr>
        <w:pStyle w:val="Heading4"/>
      </w:pPr>
      <w:r>
        <w:t>Second round assessment of benefit-risk balance</w:t>
      </w:r>
    </w:p>
    <w:p w14:paraId="17AB3DAB" w14:textId="77777777" w:rsidR="00F8652A" w:rsidRDefault="0076528D" w:rsidP="0076528D">
      <w:r>
        <w:t xml:space="preserve">There is no change to the overall benefit-risk balance as set out at the </w:t>
      </w:r>
      <w:r w:rsidR="00EA352D">
        <w:t>first r</w:t>
      </w:r>
      <w:r>
        <w:t>ound evaluation stage.</w:t>
      </w:r>
    </w:p>
    <w:p w14:paraId="5CBEB394" w14:textId="7EE0F887" w:rsidR="0076528D" w:rsidRDefault="0076528D" w:rsidP="00EA352D">
      <w:pPr>
        <w:pStyle w:val="Heading3"/>
      </w:pPr>
      <w:bookmarkStart w:id="98" w:name="_Toc517786144"/>
      <w:r>
        <w:t>Second round recommendation regarding authorisation</w:t>
      </w:r>
      <w:bookmarkEnd w:id="98"/>
    </w:p>
    <w:p w14:paraId="5CBEB395" w14:textId="16DE4DEF" w:rsidR="00530E74" w:rsidRDefault="00530E74" w:rsidP="00530E74">
      <w:pPr>
        <w:rPr>
          <w:lang w:eastAsia="ja-JP"/>
        </w:rPr>
      </w:pPr>
      <w:r>
        <w:rPr>
          <w:lang w:eastAsia="ja-JP"/>
        </w:rPr>
        <w:t xml:space="preserve">It is recommended that </w:t>
      </w:r>
      <w:proofErr w:type="spellStart"/>
      <w:r>
        <w:rPr>
          <w:lang w:eastAsia="ja-JP"/>
        </w:rPr>
        <w:t>pembrolizumab</w:t>
      </w:r>
      <w:proofErr w:type="spellEnd"/>
      <w:r>
        <w:rPr>
          <w:lang w:eastAsia="ja-JP"/>
        </w:rPr>
        <w:t xml:space="preserve"> for </w:t>
      </w:r>
      <w:proofErr w:type="spellStart"/>
      <w:r>
        <w:rPr>
          <w:lang w:eastAsia="ja-JP"/>
        </w:rPr>
        <w:t>cHL</w:t>
      </w:r>
      <w:proofErr w:type="spellEnd"/>
      <w:r>
        <w:rPr>
          <w:lang w:eastAsia="ja-JP"/>
        </w:rPr>
        <w:t xml:space="preserve"> is approved with the updated indication:</w:t>
      </w:r>
    </w:p>
    <w:p w14:paraId="2F9B2BB3" w14:textId="77777777" w:rsidR="00F8652A" w:rsidRDefault="00530E74" w:rsidP="00530E74">
      <w:pPr>
        <w:ind w:left="425"/>
        <w:rPr>
          <w:i/>
        </w:rPr>
      </w:pPr>
      <w:proofErr w:type="spellStart"/>
      <w:r w:rsidRPr="009D304C">
        <w:rPr>
          <w:i/>
        </w:rPr>
        <w:t>Keytruda</w:t>
      </w:r>
      <w:proofErr w:type="spellEnd"/>
      <w:r w:rsidRPr="009D304C">
        <w:rPr>
          <w:i/>
        </w:rPr>
        <w:t xml:space="preserve"> as monotherapy is indicated for the treatment of adult patients with relapsed or refractory classical Hodgkin lymphoma (</w:t>
      </w:r>
      <w:proofErr w:type="spellStart"/>
      <w:r w:rsidRPr="009D304C">
        <w:rPr>
          <w:i/>
        </w:rPr>
        <w:t>cHL</w:t>
      </w:r>
      <w:proofErr w:type="spellEnd"/>
      <w:r w:rsidRPr="009D304C">
        <w:rPr>
          <w:i/>
        </w:rPr>
        <w:t>):</w:t>
      </w:r>
    </w:p>
    <w:p w14:paraId="5F6BA410" w14:textId="77777777" w:rsidR="00F8652A" w:rsidRDefault="00530E74" w:rsidP="00530E74">
      <w:pPr>
        <w:pStyle w:val="Numberbullet0"/>
        <w:numPr>
          <w:ilvl w:val="0"/>
          <w:numId w:val="13"/>
        </w:numPr>
        <w:ind w:left="850"/>
        <w:rPr>
          <w:i/>
        </w:rPr>
      </w:pPr>
      <w:r w:rsidRPr="009D304C">
        <w:rPr>
          <w:i/>
        </w:rPr>
        <w:t>following autologous stem cell transplant (ASCT) or</w:t>
      </w:r>
    </w:p>
    <w:p w14:paraId="5CBEB398" w14:textId="6EE84352" w:rsidR="00530E74" w:rsidRPr="009D304C" w:rsidRDefault="00530E74" w:rsidP="00530E74">
      <w:pPr>
        <w:pStyle w:val="Numberbullet0"/>
        <w:numPr>
          <w:ilvl w:val="0"/>
          <w:numId w:val="3"/>
        </w:numPr>
        <w:ind w:left="850"/>
        <w:rPr>
          <w:i/>
        </w:rPr>
      </w:pPr>
      <w:proofErr w:type="gramStart"/>
      <w:r w:rsidRPr="009D304C">
        <w:rPr>
          <w:i/>
        </w:rPr>
        <w:t>following</w:t>
      </w:r>
      <w:proofErr w:type="gramEnd"/>
      <w:r w:rsidRPr="009D304C">
        <w:rPr>
          <w:i/>
        </w:rPr>
        <w:t xml:space="preserve"> at least two prior therapies when ASCT or multi-agent chemotherapy is not a treatment option.</w:t>
      </w:r>
    </w:p>
    <w:p w14:paraId="5CBEB399" w14:textId="77777777" w:rsidR="00530E74" w:rsidRPr="00060AA3" w:rsidRDefault="00530E74" w:rsidP="00530E74">
      <w:pPr>
        <w:ind w:left="425"/>
        <w:rPr>
          <w:i/>
          <w:lang w:eastAsia="ja-JP"/>
        </w:rPr>
      </w:pPr>
      <w:r w:rsidRPr="00060AA3">
        <w:rPr>
          <w:i/>
          <w:lang w:eastAsia="ja-JP"/>
        </w:rPr>
        <w:t>The approval of this indication is on the basis of objective response rate (ORR). Data on progression free and overall survival is limited.</w:t>
      </w:r>
    </w:p>
    <w:p w14:paraId="5CBEB39A" w14:textId="77777777" w:rsidR="00605AD4" w:rsidRPr="00605AD4" w:rsidRDefault="00530E74" w:rsidP="0076528D">
      <w:pPr>
        <w:rPr>
          <w:lang w:eastAsia="ja-JP"/>
        </w:rPr>
      </w:pPr>
      <w:proofErr w:type="gramStart"/>
      <w:r w:rsidRPr="00861819">
        <w:rPr>
          <w:lang w:eastAsia="ja-JP"/>
        </w:rPr>
        <w:t>and</w:t>
      </w:r>
      <w:proofErr w:type="gramEnd"/>
      <w:r w:rsidRPr="00861819">
        <w:rPr>
          <w:lang w:eastAsia="ja-JP"/>
        </w:rPr>
        <w:t xml:space="preserve"> with m</w:t>
      </w:r>
      <w:r w:rsidRPr="00861819">
        <w:t xml:space="preserve">odifications of the PI and </w:t>
      </w:r>
      <w:r w:rsidR="007D6DFD">
        <w:t>Consumer Medicine Information (</w:t>
      </w:r>
      <w:r w:rsidRPr="00861819">
        <w:t>CMI</w:t>
      </w:r>
      <w:r w:rsidR="007D6DFD">
        <w:t>)</w:t>
      </w:r>
      <w:r w:rsidRPr="00861819">
        <w:t xml:space="preserve"> which all relate to safety issues (pyrexia and infections).</w:t>
      </w:r>
    </w:p>
    <w:p w14:paraId="5CBEB39B" w14:textId="77777777" w:rsidR="008E7846" w:rsidRPr="00E41208" w:rsidRDefault="008E7846" w:rsidP="00546154">
      <w:pPr>
        <w:pStyle w:val="Heading2"/>
      </w:pPr>
      <w:bookmarkStart w:id="99" w:name="_Toc517786145"/>
      <w:r w:rsidRPr="00E41208">
        <w:t>V</w:t>
      </w:r>
      <w:r w:rsidR="00BD2AE2">
        <w:t>I</w:t>
      </w:r>
      <w:r w:rsidRPr="00E41208">
        <w:t xml:space="preserve">. Pharmacovigilance </w:t>
      </w:r>
      <w:r>
        <w:t>f</w:t>
      </w:r>
      <w:r w:rsidRPr="00E41208">
        <w:t>indings</w:t>
      </w:r>
      <w:bookmarkEnd w:id="71"/>
      <w:bookmarkEnd w:id="72"/>
      <w:bookmarkEnd w:id="99"/>
    </w:p>
    <w:p w14:paraId="5CBEB39C" w14:textId="77777777" w:rsidR="008E7846" w:rsidRDefault="00386150" w:rsidP="008E7846">
      <w:pPr>
        <w:pStyle w:val="Heading3"/>
        <w:rPr>
          <w:lang w:eastAsia="en-AU"/>
        </w:rPr>
      </w:pPr>
      <w:bookmarkStart w:id="100" w:name="_Toc247691526"/>
      <w:bookmarkStart w:id="101" w:name="_Toc314842509"/>
      <w:bookmarkStart w:id="102" w:name="_Toc517786146"/>
      <w:r>
        <w:rPr>
          <w:lang w:eastAsia="en-AU"/>
        </w:rPr>
        <w:t>Risk m</w:t>
      </w:r>
      <w:r w:rsidR="008E7846">
        <w:rPr>
          <w:lang w:eastAsia="en-AU"/>
        </w:rPr>
        <w:t xml:space="preserve">anagement </w:t>
      </w:r>
      <w:r>
        <w:rPr>
          <w:lang w:eastAsia="en-AU"/>
        </w:rPr>
        <w:t>p</w:t>
      </w:r>
      <w:r w:rsidR="008E7846">
        <w:rPr>
          <w:lang w:eastAsia="en-AU"/>
        </w:rPr>
        <w:t>lan</w:t>
      </w:r>
      <w:bookmarkEnd w:id="100"/>
      <w:bookmarkEnd w:id="101"/>
      <w:bookmarkEnd w:id="102"/>
    </w:p>
    <w:p w14:paraId="5CBEB39D" w14:textId="77777777" w:rsidR="00833FAF" w:rsidRPr="0042416F" w:rsidRDefault="00833FAF" w:rsidP="00EA352D">
      <w:pPr>
        <w:pStyle w:val="ListBullet"/>
      </w:pPr>
      <w:bookmarkStart w:id="103" w:name="_Toc247691527"/>
      <w:bookmarkStart w:id="104" w:name="_Toc314842510"/>
      <w:r w:rsidRPr="00E84010">
        <w:t xml:space="preserve">The </w:t>
      </w:r>
      <w:r>
        <w:t xml:space="preserve">currently implemented </w:t>
      </w:r>
      <w:proofErr w:type="spellStart"/>
      <w:r w:rsidR="00957DB3" w:rsidRPr="00EA352D">
        <w:t>Keytruda</w:t>
      </w:r>
      <w:proofErr w:type="spellEnd"/>
      <w:r w:rsidRPr="00E84010">
        <w:t xml:space="preserve"> Risk Management Plan is</w:t>
      </w:r>
      <w:r w:rsidRPr="00A5203A">
        <w:t xml:space="preserve"> </w:t>
      </w:r>
      <w:r>
        <w:t xml:space="preserve">Core-RMP version 10.0, </w:t>
      </w:r>
      <w:r w:rsidRPr="00A5203A">
        <w:t xml:space="preserve">20 </w:t>
      </w:r>
      <w:r w:rsidRPr="00F03C39">
        <w:t>September</w:t>
      </w:r>
      <w:r w:rsidRPr="00A5203A">
        <w:t xml:space="preserve"> 201</w:t>
      </w:r>
      <w:r>
        <w:t xml:space="preserve">6; data lock point </w:t>
      </w:r>
      <w:r w:rsidR="00EA352D">
        <w:t xml:space="preserve">(DLP) </w:t>
      </w:r>
      <w:r>
        <w:t>27 June 2016</w:t>
      </w:r>
      <w:r w:rsidRPr="00A5203A">
        <w:t xml:space="preserve"> with Australian Specific Annex</w:t>
      </w:r>
      <w:r w:rsidR="00EA352D">
        <w:t xml:space="preserve"> (ASA) </w:t>
      </w:r>
      <w:r w:rsidRPr="00A5203A">
        <w:t>version 6.0</w:t>
      </w:r>
      <w:r>
        <w:t>,</w:t>
      </w:r>
      <w:r w:rsidRPr="00A5203A">
        <w:t xml:space="preserve"> 17 January 2017</w:t>
      </w:r>
      <w:r>
        <w:t>. This was approved in the evaluation of the extension of indications to include the treatment of head and neck squamous cell carcinoma.</w:t>
      </w:r>
    </w:p>
    <w:p w14:paraId="5CBEB39E" w14:textId="77777777" w:rsidR="00833FAF" w:rsidRPr="00D7798F" w:rsidRDefault="00833FAF" w:rsidP="00EA352D">
      <w:pPr>
        <w:pStyle w:val="ListBullet"/>
      </w:pPr>
      <w:r>
        <w:t xml:space="preserve">This evaluation will consider the </w:t>
      </w:r>
      <w:r w:rsidRPr="008B0380">
        <w:t xml:space="preserve">most recent </w:t>
      </w:r>
      <w:proofErr w:type="spellStart"/>
      <w:r w:rsidR="00957DB3">
        <w:t>Keytruda</w:t>
      </w:r>
      <w:proofErr w:type="spellEnd"/>
      <w:r w:rsidRPr="008B0380">
        <w:t xml:space="preserve"> Risk Management Plan submitted to the TGA by Merck Sharpe Dohme (Australia) Pty Ltd: Core-RMP version 13.0, 6 March 2017; DLP 8 December 2017 with ASA ver</w:t>
      </w:r>
      <w:r>
        <w:t>sion 8.0 (updated with revised additional risk minimisation tools), 17 March 2017.</w:t>
      </w:r>
    </w:p>
    <w:p w14:paraId="5CBEB39F" w14:textId="77777777" w:rsidR="00833FAF" w:rsidRPr="007D6DFD" w:rsidRDefault="00833FAF" w:rsidP="00EA352D">
      <w:pPr>
        <w:pStyle w:val="ListBullet"/>
      </w:pPr>
      <w:r>
        <w:t xml:space="preserve">The focus of this evaluation </w:t>
      </w:r>
      <w:r w:rsidRPr="00D7798F">
        <w:t>is on new safety related information</w:t>
      </w:r>
      <w:r>
        <w:t>,</w:t>
      </w:r>
      <w:r w:rsidRPr="00D7798F">
        <w:t xml:space="preserve"> </w:t>
      </w:r>
      <w:r>
        <w:t xml:space="preserve">changes </w:t>
      </w:r>
      <w:r w:rsidRPr="00D7798F">
        <w:t>between the RMP versions</w:t>
      </w:r>
      <w:r>
        <w:t xml:space="preserve"> and changes to the additional risk minimisation activities. A </w:t>
      </w:r>
      <w:r w:rsidRPr="007D6DFD">
        <w:t>reconciliation of unresolved recommendations from previous evaluations is also provided.</w:t>
      </w:r>
    </w:p>
    <w:p w14:paraId="5CBEB3A0" w14:textId="77777777" w:rsidR="00833FAF" w:rsidRPr="007D6DFD" w:rsidRDefault="00833FAF" w:rsidP="00EA352D">
      <w:pPr>
        <w:pStyle w:val="ListBullet"/>
      </w:pPr>
      <w:r w:rsidRPr="007D6DFD">
        <w:t>The sponsor’s proposed list of Safety Concerns and their associated risk monitoring and mitigation strategies are summarised below</w:t>
      </w:r>
      <w:r w:rsidR="00EA352D" w:rsidRPr="007D6DFD">
        <w:t xml:space="preserve"> (Table </w:t>
      </w:r>
      <w:r w:rsidR="007D6DFD">
        <w:t>12</w:t>
      </w:r>
      <w:r w:rsidR="00EA352D" w:rsidRPr="007D6DFD">
        <w:t>)</w:t>
      </w:r>
      <w:r w:rsidRPr="007D6DFD">
        <w:t>. Changes since the previous evaluation are shown in bold.</w:t>
      </w:r>
    </w:p>
    <w:p w14:paraId="5CBEB3A1" w14:textId="77777777" w:rsidR="00EA352D" w:rsidRDefault="00EA352D" w:rsidP="008F3099">
      <w:pPr>
        <w:pStyle w:val="TableCaption"/>
      </w:pPr>
      <w:r>
        <w:t xml:space="preserve">Table </w:t>
      </w:r>
      <w:r w:rsidR="007D6DFD">
        <w:t>12</w:t>
      </w:r>
      <w:r>
        <w:t>: Summary of ongoing safety concerns</w:t>
      </w:r>
    </w:p>
    <w:p w14:paraId="5CBEB3A2" w14:textId="77777777" w:rsidR="00EA352D" w:rsidRPr="00EA352D" w:rsidRDefault="00EA352D" w:rsidP="00EA352D">
      <w:pPr>
        <w:pStyle w:val="TableDescription"/>
      </w:pPr>
      <w:r>
        <w:t>R=routine and A=additional</w:t>
      </w:r>
    </w:p>
    <w:tbl>
      <w:tblPr>
        <w:tblStyle w:val="TableTGAblue"/>
        <w:tblW w:w="9469" w:type="dxa"/>
        <w:tblLayout w:type="fixed"/>
        <w:tblLook w:val="04A0" w:firstRow="1" w:lastRow="0" w:firstColumn="1" w:lastColumn="0" w:noHBand="0" w:noVBand="1"/>
        <w:tblDescription w:val="Table 12: Summary of ongoing safety concerns"/>
      </w:tblPr>
      <w:tblGrid>
        <w:gridCol w:w="1668"/>
        <w:gridCol w:w="3543"/>
        <w:gridCol w:w="1134"/>
        <w:gridCol w:w="993"/>
        <w:gridCol w:w="1083"/>
        <w:gridCol w:w="1048"/>
      </w:tblGrid>
      <w:tr w:rsidR="00833FAF" w:rsidRPr="00EA352D" w14:paraId="5CBEB3A6" w14:textId="77777777" w:rsidTr="007D6DFD">
        <w:trPr>
          <w:cnfStyle w:val="100000000000" w:firstRow="1" w:lastRow="0" w:firstColumn="0" w:lastColumn="0" w:oddVBand="0" w:evenVBand="0" w:oddHBand="0" w:evenHBand="0" w:firstRowFirstColumn="0" w:firstRowLastColumn="0" w:lastRowFirstColumn="0" w:lastRowLastColumn="0"/>
          <w:cantSplit/>
          <w:trHeight w:val="131"/>
        </w:trPr>
        <w:tc>
          <w:tcPr>
            <w:tcW w:w="5211" w:type="dxa"/>
            <w:gridSpan w:val="2"/>
            <w:vMerge w:val="restart"/>
          </w:tcPr>
          <w:p w14:paraId="5CBEB3A3" w14:textId="77777777" w:rsidR="00833FAF" w:rsidRPr="00EA352D" w:rsidRDefault="00EA352D" w:rsidP="00EA352D">
            <w:pPr>
              <w:rPr>
                <w:sz w:val="20"/>
                <w:szCs w:val="20"/>
              </w:rPr>
            </w:pPr>
            <w:r w:rsidRPr="00EA352D">
              <w:rPr>
                <w:sz w:val="20"/>
                <w:szCs w:val="20"/>
              </w:rPr>
              <w:lastRenderedPageBreak/>
              <w:t>S</w:t>
            </w:r>
            <w:r w:rsidR="00833FAF" w:rsidRPr="00EA352D">
              <w:rPr>
                <w:sz w:val="20"/>
                <w:szCs w:val="20"/>
              </w:rPr>
              <w:t>afety concerns (ASA version 8.0)</w:t>
            </w:r>
          </w:p>
        </w:tc>
        <w:tc>
          <w:tcPr>
            <w:tcW w:w="2127" w:type="dxa"/>
            <w:gridSpan w:val="2"/>
          </w:tcPr>
          <w:p w14:paraId="5CBEB3A4" w14:textId="77777777" w:rsidR="00833FAF" w:rsidRPr="00EA352D" w:rsidRDefault="00833FAF" w:rsidP="00EA352D">
            <w:pPr>
              <w:rPr>
                <w:sz w:val="20"/>
                <w:szCs w:val="20"/>
              </w:rPr>
            </w:pPr>
            <w:r w:rsidRPr="00EA352D">
              <w:rPr>
                <w:sz w:val="20"/>
                <w:szCs w:val="20"/>
              </w:rPr>
              <w:t>Pharmacovigilance</w:t>
            </w:r>
          </w:p>
        </w:tc>
        <w:tc>
          <w:tcPr>
            <w:tcW w:w="2131" w:type="dxa"/>
            <w:gridSpan w:val="2"/>
          </w:tcPr>
          <w:p w14:paraId="5CBEB3A5" w14:textId="77777777" w:rsidR="00833FAF" w:rsidRPr="00EA352D" w:rsidRDefault="00833FAF" w:rsidP="00EA352D">
            <w:pPr>
              <w:rPr>
                <w:sz w:val="20"/>
                <w:szCs w:val="20"/>
              </w:rPr>
            </w:pPr>
            <w:r w:rsidRPr="00EA352D">
              <w:rPr>
                <w:sz w:val="20"/>
                <w:szCs w:val="20"/>
              </w:rPr>
              <w:t>Risk Minimisation</w:t>
            </w:r>
          </w:p>
        </w:tc>
      </w:tr>
      <w:tr w:rsidR="00833FAF" w:rsidRPr="00EA352D" w14:paraId="5CBEB3AC" w14:textId="77777777" w:rsidTr="007D6DFD">
        <w:trPr>
          <w:cantSplit/>
          <w:trHeight w:val="150"/>
        </w:trPr>
        <w:tc>
          <w:tcPr>
            <w:tcW w:w="5211" w:type="dxa"/>
            <w:gridSpan w:val="2"/>
            <w:vMerge/>
          </w:tcPr>
          <w:p w14:paraId="5CBEB3A7" w14:textId="77777777" w:rsidR="00833FAF" w:rsidRPr="00EA352D" w:rsidRDefault="00833FAF" w:rsidP="00EA352D">
            <w:pPr>
              <w:rPr>
                <w:sz w:val="20"/>
                <w:szCs w:val="20"/>
              </w:rPr>
            </w:pPr>
          </w:p>
        </w:tc>
        <w:tc>
          <w:tcPr>
            <w:tcW w:w="1134" w:type="dxa"/>
          </w:tcPr>
          <w:p w14:paraId="5CBEB3A8" w14:textId="77777777" w:rsidR="00833FAF" w:rsidRPr="00EA352D" w:rsidRDefault="00833FAF" w:rsidP="00EA352D">
            <w:pPr>
              <w:rPr>
                <w:sz w:val="20"/>
                <w:szCs w:val="20"/>
              </w:rPr>
            </w:pPr>
            <w:r w:rsidRPr="00EA352D">
              <w:rPr>
                <w:sz w:val="20"/>
                <w:szCs w:val="20"/>
              </w:rPr>
              <w:t>R</w:t>
            </w:r>
          </w:p>
        </w:tc>
        <w:tc>
          <w:tcPr>
            <w:tcW w:w="993" w:type="dxa"/>
          </w:tcPr>
          <w:p w14:paraId="5CBEB3A9" w14:textId="77777777" w:rsidR="00833FAF" w:rsidRPr="00EA352D" w:rsidRDefault="00833FAF" w:rsidP="00EA352D">
            <w:pPr>
              <w:rPr>
                <w:sz w:val="20"/>
                <w:szCs w:val="20"/>
              </w:rPr>
            </w:pPr>
            <w:r w:rsidRPr="00EA352D">
              <w:rPr>
                <w:sz w:val="20"/>
                <w:szCs w:val="20"/>
              </w:rPr>
              <w:t>A</w:t>
            </w:r>
          </w:p>
        </w:tc>
        <w:tc>
          <w:tcPr>
            <w:tcW w:w="1083" w:type="dxa"/>
          </w:tcPr>
          <w:p w14:paraId="5CBEB3AA" w14:textId="77777777" w:rsidR="00833FAF" w:rsidRPr="00EA352D" w:rsidRDefault="00833FAF" w:rsidP="00EA352D">
            <w:pPr>
              <w:rPr>
                <w:sz w:val="20"/>
                <w:szCs w:val="20"/>
              </w:rPr>
            </w:pPr>
            <w:r w:rsidRPr="00EA352D">
              <w:rPr>
                <w:sz w:val="20"/>
                <w:szCs w:val="20"/>
              </w:rPr>
              <w:t>R</w:t>
            </w:r>
          </w:p>
        </w:tc>
        <w:tc>
          <w:tcPr>
            <w:tcW w:w="1048" w:type="dxa"/>
          </w:tcPr>
          <w:p w14:paraId="5CBEB3AB" w14:textId="77777777" w:rsidR="00833FAF" w:rsidRPr="00EA352D" w:rsidRDefault="00833FAF" w:rsidP="00EA352D">
            <w:pPr>
              <w:rPr>
                <w:sz w:val="20"/>
                <w:szCs w:val="20"/>
              </w:rPr>
            </w:pPr>
            <w:r w:rsidRPr="00EA352D">
              <w:rPr>
                <w:sz w:val="20"/>
                <w:szCs w:val="20"/>
              </w:rPr>
              <w:t>A</w:t>
            </w:r>
          </w:p>
        </w:tc>
      </w:tr>
      <w:tr w:rsidR="00833FAF" w:rsidRPr="00EA352D" w14:paraId="5CBEB3B3" w14:textId="77777777" w:rsidTr="00FE3C3F">
        <w:trPr>
          <w:trHeight w:val="137"/>
        </w:trPr>
        <w:tc>
          <w:tcPr>
            <w:tcW w:w="1668" w:type="dxa"/>
            <w:vMerge w:val="restart"/>
          </w:tcPr>
          <w:p w14:paraId="5CBEB3AD" w14:textId="77777777" w:rsidR="00833FAF" w:rsidRPr="00FE3C3F" w:rsidRDefault="00833FAF" w:rsidP="00EA352D">
            <w:pPr>
              <w:rPr>
                <w:b/>
                <w:sz w:val="20"/>
                <w:szCs w:val="20"/>
              </w:rPr>
            </w:pPr>
            <w:r w:rsidRPr="00FE3C3F">
              <w:rPr>
                <w:b/>
                <w:sz w:val="20"/>
                <w:szCs w:val="20"/>
              </w:rPr>
              <w:t>Important identified risks</w:t>
            </w:r>
          </w:p>
        </w:tc>
        <w:tc>
          <w:tcPr>
            <w:tcW w:w="3543" w:type="dxa"/>
          </w:tcPr>
          <w:p w14:paraId="5CBEB3AE" w14:textId="77777777" w:rsidR="00833FAF" w:rsidRPr="00EA352D" w:rsidRDefault="00833FAF" w:rsidP="00EA352D">
            <w:pPr>
              <w:rPr>
                <w:sz w:val="20"/>
                <w:szCs w:val="20"/>
              </w:rPr>
            </w:pPr>
            <w:r w:rsidRPr="00EA352D">
              <w:rPr>
                <w:sz w:val="20"/>
                <w:szCs w:val="20"/>
              </w:rPr>
              <w:t>Immune-mediated pneumonitis</w:t>
            </w:r>
          </w:p>
        </w:tc>
        <w:tc>
          <w:tcPr>
            <w:tcW w:w="1134" w:type="dxa"/>
          </w:tcPr>
          <w:p w14:paraId="5CBEB3AF" w14:textId="77777777" w:rsidR="00833FAF" w:rsidRPr="00EA352D" w:rsidRDefault="00833FAF" w:rsidP="00EA352D">
            <w:pPr>
              <w:rPr>
                <w:sz w:val="20"/>
                <w:szCs w:val="20"/>
              </w:rPr>
            </w:pPr>
            <w:r w:rsidRPr="00EA352D">
              <w:rPr>
                <w:sz w:val="20"/>
                <w:szCs w:val="20"/>
              </w:rPr>
              <w:sym w:font="Wingdings" w:char="F0FC"/>
            </w:r>
          </w:p>
        </w:tc>
        <w:tc>
          <w:tcPr>
            <w:tcW w:w="993" w:type="dxa"/>
          </w:tcPr>
          <w:p w14:paraId="5CBEB3B0"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3B1"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3B2" w14:textId="77777777" w:rsidR="00833FAF" w:rsidRPr="00EA352D" w:rsidRDefault="00833FAF" w:rsidP="00EA352D">
            <w:pPr>
              <w:rPr>
                <w:sz w:val="20"/>
                <w:szCs w:val="20"/>
              </w:rPr>
            </w:pPr>
            <w:r w:rsidRPr="00EA352D">
              <w:rPr>
                <w:sz w:val="20"/>
                <w:szCs w:val="20"/>
              </w:rPr>
              <w:sym w:font="Wingdings" w:char="F0FC"/>
            </w:r>
            <w:r w:rsidRPr="00EA352D">
              <w:rPr>
                <w:sz w:val="20"/>
                <w:szCs w:val="20"/>
              </w:rPr>
              <w:t xml:space="preserve"> </w:t>
            </w:r>
          </w:p>
        </w:tc>
      </w:tr>
      <w:tr w:rsidR="00833FAF" w:rsidRPr="00EA352D" w14:paraId="5CBEB3BA" w14:textId="77777777" w:rsidTr="00FE3C3F">
        <w:trPr>
          <w:trHeight w:val="94"/>
        </w:trPr>
        <w:tc>
          <w:tcPr>
            <w:tcW w:w="1668" w:type="dxa"/>
            <w:vMerge/>
          </w:tcPr>
          <w:p w14:paraId="5CBEB3B4" w14:textId="77777777" w:rsidR="00833FAF" w:rsidRPr="00FE3C3F" w:rsidRDefault="00833FAF" w:rsidP="00EA352D">
            <w:pPr>
              <w:rPr>
                <w:b/>
                <w:sz w:val="20"/>
                <w:szCs w:val="20"/>
              </w:rPr>
            </w:pPr>
          </w:p>
        </w:tc>
        <w:tc>
          <w:tcPr>
            <w:tcW w:w="3543" w:type="dxa"/>
          </w:tcPr>
          <w:p w14:paraId="5CBEB3B5" w14:textId="77777777" w:rsidR="00833FAF" w:rsidRPr="00EA352D" w:rsidRDefault="00833FAF" w:rsidP="00EA352D">
            <w:pPr>
              <w:rPr>
                <w:sz w:val="20"/>
                <w:szCs w:val="20"/>
              </w:rPr>
            </w:pPr>
            <w:r w:rsidRPr="00EA352D">
              <w:rPr>
                <w:sz w:val="20"/>
                <w:szCs w:val="20"/>
              </w:rPr>
              <w:t>Immune-mediated colitis</w:t>
            </w:r>
          </w:p>
        </w:tc>
        <w:tc>
          <w:tcPr>
            <w:tcW w:w="1134" w:type="dxa"/>
          </w:tcPr>
          <w:p w14:paraId="5CBEB3B6" w14:textId="77777777" w:rsidR="00833FAF" w:rsidRPr="00EA352D" w:rsidRDefault="00833FAF" w:rsidP="00EA352D">
            <w:pPr>
              <w:rPr>
                <w:sz w:val="20"/>
                <w:szCs w:val="20"/>
              </w:rPr>
            </w:pPr>
            <w:r w:rsidRPr="00EA352D">
              <w:rPr>
                <w:sz w:val="20"/>
                <w:szCs w:val="20"/>
              </w:rPr>
              <w:sym w:font="Wingdings" w:char="F0FC"/>
            </w:r>
          </w:p>
        </w:tc>
        <w:tc>
          <w:tcPr>
            <w:tcW w:w="993" w:type="dxa"/>
          </w:tcPr>
          <w:p w14:paraId="5CBEB3B7"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3B8"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3B9" w14:textId="77777777" w:rsidR="00833FAF" w:rsidRPr="00EA352D" w:rsidRDefault="00833FAF" w:rsidP="00EA352D">
            <w:pPr>
              <w:rPr>
                <w:sz w:val="20"/>
                <w:szCs w:val="20"/>
              </w:rPr>
            </w:pPr>
            <w:r w:rsidRPr="00EA352D">
              <w:rPr>
                <w:sz w:val="20"/>
                <w:szCs w:val="20"/>
              </w:rPr>
              <w:sym w:font="Wingdings" w:char="F0FC"/>
            </w:r>
            <w:r w:rsidRPr="00EA352D">
              <w:rPr>
                <w:sz w:val="20"/>
                <w:szCs w:val="20"/>
              </w:rPr>
              <w:t xml:space="preserve"> </w:t>
            </w:r>
          </w:p>
        </w:tc>
      </w:tr>
      <w:tr w:rsidR="00833FAF" w:rsidRPr="00EA352D" w14:paraId="5CBEB3C1" w14:textId="77777777" w:rsidTr="00FE3C3F">
        <w:trPr>
          <w:trHeight w:val="187"/>
        </w:trPr>
        <w:tc>
          <w:tcPr>
            <w:tcW w:w="1668" w:type="dxa"/>
            <w:vMerge/>
          </w:tcPr>
          <w:p w14:paraId="5CBEB3BB" w14:textId="77777777" w:rsidR="00833FAF" w:rsidRPr="00FE3C3F" w:rsidRDefault="00833FAF" w:rsidP="00EA352D">
            <w:pPr>
              <w:rPr>
                <w:b/>
                <w:sz w:val="20"/>
                <w:szCs w:val="20"/>
              </w:rPr>
            </w:pPr>
          </w:p>
        </w:tc>
        <w:tc>
          <w:tcPr>
            <w:tcW w:w="3543" w:type="dxa"/>
          </w:tcPr>
          <w:p w14:paraId="5CBEB3BC" w14:textId="77777777" w:rsidR="00833FAF" w:rsidRPr="00EA352D" w:rsidRDefault="00833FAF" w:rsidP="00EA352D">
            <w:pPr>
              <w:rPr>
                <w:sz w:val="20"/>
                <w:szCs w:val="20"/>
              </w:rPr>
            </w:pPr>
            <w:r w:rsidRPr="00EA352D">
              <w:rPr>
                <w:sz w:val="20"/>
                <w:szCs w:val="20"/>
              </w:rPr>
              <w:t>Immune-mediated hepatitis</w:t>
            </w:r>
          </w:p>
        </w:tc>
        <w:tc>
          <w:tcPr>
            <w:tcW w:w="1134" w:type="dxa"/>
          </w:tcPr>
          <w:p w14:paraId="5CBEB3BD" w14:textId="77777777" w:rsidR="00833FAF" w:rsidRPr="00EA352D" w:rsidRDefault="00833FAF" w:rsidP="00EA352D">
            <w:pPr>
              <w:rPr>
                <w:sz w:val="20"/>
                <w:szCs w:val="20"/>
              </w:rPr>
            </w:pPr>
            <w:r w:rsidRPr="00EA352D">
              <w:rPr>
                <w:sz w:val="20"/>
                <w:szCs w:val="20"/>
              </w:rPr>
              <w:sym w:font="Wingdings" w:char="F0FC"/>
            </w:r>
          </w:p>
        </w:tc>
        <w:tc>
          <w:tcPr>
            <w:tcW w:w="993" w:type="dxa"/>
          </w:tcPr>
          <w:p w14:paraId="5CBEB3BE"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3BF"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3C0" w14:textId="77777777" w:rsidR="00833FAF" w:rsidRPr="00EA352D" w:rsidRDefault="00833FAF" w:rsidP="00EA352D">
            <w:pPr>
              <w:rPr>
                <w:sz w:val="20"/>
                <w:szCs w:val="20"/>
              </w:rPr>
            </w:pPr>
            <w:r w:rsidRPr="00EA352D">
              <w:rPr>
                <w:sz w:val="20"/>
                <w:szCs w:val="20"/>
              </w:rPr>
              <w:sym w:font="Wingdings" w:char="F0FC"/>
            </w:r>
            <w:r w:rsidRPr="00EA352D">
              <w:rPr>
                <w:sz w:val="20"/>
                <w:szCs w:val="20"/>
              </w:rPr>
              <w:t xml:space="preserve"> </w:t>
            </w:r>
          </w:p>
        </w:tc>
      </w:tr>
      <w:tr w:rsidR="00833FAF" w:rsidRPr="00EA352D" w14:paraId="5CBEB3C8" w14:textId="77777777" w:rsidTr="00FE3C3F">
        <w:trPr>
          <w:trHeight w:val="187"/>
        </w:trPr>
        <w:tc>
          <w:tcPr>
            <w:tcW w:w="1668" w:type="dxa"/>
            <w:vMerge/>
          </w:tcPr>
          <w:p w14:paraId="5CBEB3C2" w14:textId="77777777" w:rsidR="00833FAF" w:rsidRPr="00FE3C3F" w:rsidRDefault="00833FAF" w:rsidP="00EA352D">
            <w:pPr>
              <w:rPr>
                <w:b/>
                <w:sz w:val="20"/>
                <w:szCs w:val="20"/>
              </w:rPr>
            </w:pPr>
          </w:p>
        </w:tc>
        <w:tc>
          <w:tcPr>
            <w:tcW w:w="3543" w:type="dxa"/>
          </w:tcPr>
          <w:p w14:paraId="5CBEB3C3" w14:textId="77777777" w:rsidR="00833FAF" w:rsidRPr="00EA352D" w:rsidRDefault="00833FAF" w:rsidP="00EA352D">
            <w:pPr>
              <w:rPr>
                <w:sz w:val="20"/>
                <w:szCs w:val="20"/>
              </w:rPr>
            </w:pPr>
            <w:r w:rsidRPr="00EA352D">
              <w:rPr>
                <w:sz w:val="20"/>
                <w:szCs w:val="20"/>
              </w:rPr>
              <w:t>Immune-mediated nephritis</w:t>
            </w:r>
          </w:p>
        </w:tc>
        <w:tc>
          <w:tcPr>
            <w:tcW w:w="1134" w:type="dxa"/>
          </w:tcPr>
          <w:p w14:paraId="5CBEB3C4" w14:textId="77777777" w:rsidR="00833FAF" w:rsidRPr="00EA352D" w:rsidRDefault="00833FAF" w:rsidP="00EA352D">
            <w:pPr>
              <w:rPr>
                <w:sz w:val="20"/>
                <w:szCs w:val="20"/>
              </w:rPr>
            </w:pPr>
            <w:r w:rsidRPr="00EA352D">
              <w:rPr>
                <w:sz w:val="20"/>
                <w:szCs w:val="20"/>
              </w:rPr>
              <w:sym w:font="Wingdings" w:char="F0FC"/>
            </w:r>
          </w:p>
        </w:tc>
        <w:tc>
          <w:tcPr>
            <w:tcW w:w="993" w:type="dxa"/>
          </w:tcPr>
          <w:p w14:paraId="5CBEB3C5"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3C6"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3C7" w14:textId="77777777" w:rsidR="00833FAF" w:rsidRPr="00EA352D" w:rsidRDefault="00833FAF" w:rsidP="00EA352D">
            <w:pPr>
              <w:rPr>
                <w:sz w:val="20"/>
                <w:szCs w:val="20"/>
              </w:rPr>
            </w:pPr>
            <w:r w:rsidRPr="00EA352D">
              <w:rPr>
                <w:sz w:val="20"/>
                <w:szCs w:val="20"/>
              </w:rPr>
              <w:sym w:font="Wingdings" w:char="F0FC"/>
            </w:r>
            <w:r w:rsidRPr="00EA352D">
              <w:rPr>
                <w:sz w:val="20"/>
                <w:szCs w:val="20"/>
              </w:rPr>
              <w:t xml:space="preserve"> </w:t>
            </w:r>
          </w:p>
        </w:tc>
      </w:tr>
      <w:tr w:rsidR="00833FAF" w:rsidRPr="00EA352D" w14:paraId="5CBEB3D2" w14:textId="77777777" w:rsidTr="00FE3C3F">
        <w:trPr>
          <w:trHeight w:val="187"/>
        </w:trPr>
        <w:tc>
          <w:tcPr>
            <w:tcW w:w="1668" w:type="dxa"/>
            <w:vMerge/>
          </w:tcPr>
          <w:p w14:paraId="5CBEB3C9" w14:textId="77777777" w:rsidR="00833FAF" w:rsidRPr="00FE3C3F" w:rsidRDefault="00833FAF" w:rsidP="00EA352D">
            <w:pPr>
              <w:rPr>
                <w:b/>
                <w:sz w:val="20"/>
                <w:szCs w:val="20"/>
              </w:rPr>
            </w:pPr>
          </w:p>
        </w:tc>
        <w:tc>
          <w:tcPr>
            <w:tcW w:w="3543" w:type="dxa"/>
          </w:tcPr>
          <w:p w14:paraId="73FA6FD1" w14:textId="77777777" w:rsidR="00F8652A" w:rsidRDefault="00833FAF" w:rsidP="00EA352D">
            <w:pPr>
              <w:rPr>
                <w:sz w:val="20"/>
                <w:szCs w:val="20"/>
              </w:rPr>
            </w:pPr>
            <w:r w:rsidRPr="00EA352D">
              <w:rPr>
                <w:sz w:val="20"/>
                <w:szCs w:val="20"/>
              </w:rPr>
              <w:t xml:space="preserve">Immune-mediated </w:t>
            </w:r>
            <w:proofErr w:type="spellStart"/>
            <w:r w:rsidRPr="00EA352D">
              <w:rPr>
                <w:sz w:val="20"/>
                <w:szCs w:val="20"/>
              </w:rPr>
              <w:t>endocrinopathies</w:t>
            </w:r>
            <w:proofErr w:type="spellEnd"/>
          </w:p>
          <w:p w14:paraId="5CBEB3CB" w14:textId="3F81DCA5" w:rsidR="00833FAF" w:rsidRPr="00EA352D" w:rsidRDefault="00833FAF" w:rsidP="00EA352D">
            <w:pPr>
              <w:rPr>
                <w:sz w:val="20"/>
                <w:szCs w:val="20"/>
              </w:rPr>
            </w:pPr>
            <w:proofErr w:type="spellStart"/>
            <w:r w:rsidRPr="00EA352D">
              <w:rPr>
                <w:sz w:val="20"/>
                <w:szCs w:val="20"/>
              </w:rPr>
              <w:t>Hypophysitis</w:t>
            </w:r>
            <w:proofErr w:type="spellEnd"/>
            <w:r w:rsidRPr="00EA352D">
              <w:rPr>
                <w:sz w:val="20"/>
                <w:szCs w:val="20"/>
              </w:rPr>
              <w:t xml:space="preserve"> (including hypopituitarism and secondary adrenal insufficiency)</w:t>
            </w:r>
          </w:p>
          <w:p w14:paraId="5CBEB3CC" w14:textId="77777777" w:rsidR="00833FAF" w:rsidRPr="00EA352D" w:rsidRDefault="00833FAF" w:rsidP="00EA352D">
            <w:pPr>
              <w:rPr>
                <w:sz w:val="20"/>
                <w:szCs w:val="20"/>
              </w:rPr>
            </w:pPr>
            <w:r w:rsidRPr="00EA352D">
              <w:rPr>
                <w:sz w:val="20"/>
                <w:szCs w:val="20"/>
              </w:rPr>
              <w:t>Thyroid disorder (hypothyroidism, hyperthyroidism, thyroiditis)</w:t>
            </w:r>
          </w:p>
          <w:p w14:paraId="5CBEB3CD" w14:textId="77777777" w:rsidR="00833FAF" w:rsidRPr="00EA352D" w:rsidRDefault="00833FAF" w:rsidP="00EA352D">
            <w:pPr>
              <w:rPr>
                <w:sz w:val="20"/>
                <w:szCs w:val="20"/>
              </w:rPr>
            </w:pPr>
            <w:r w:rsidRPr="00EA352D">
              <w:rPr>
                <w:sz w:val="20"/>
                <w:szCs w:val="20"/>
              </w:rPr>
              <w:t>Type 1 diabetes mellitus</w:t>
            </w:r>
          </w:p>
        </w:tc>
        <w:tc>
          <w:tcPr>
            <w:tcW w:w="1134" w:type="dxa"/>
          </w:tcPr>
          <w:p w14:paraId="5CBEB3CE" w14:textId="77777777" w:rsidR="00833FAF" w:rsidRPr="00EA352D" w:rsidRDefault="00833FAF" w:rsidP="00EA352D">
            <w:pPr>
              <w:rPr>
                <w:sz w:val="20"/>
                <w:szCs w:val="20"/>
              </w:rPr>
            </w:pPr>
            <w:r w:rsidRPr="00EA352D">
              <w:rPr>
                <w:sz w:val="20"/>
                <w:szCs w:val="20"/>
              </w:rPr>
              <w:sym w:font="Wingdings" w:char="F0FC"/>
            </w:r>
          </w:p>
        </w:tc>
        <w:tc>
          <w:tcPr>
            <w:tcW w:w="993" w:type="dxa"/>
          </w:tcPr>
          <w:p w14:paraId="5CBEB3CF"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3D0"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3D1" w14:textId="77777777" w:rsidR="00833FAF" w:rsidRPr="00EA352D" w:rsidRDefault="00833FAF" w:rsidP="00EA352D">
            <w:pPr>
              <w:rPr>
                <w:sz w:val="20"/>
                <w:szCs w:val="20"/>
              </w:rPr>
            </w:pPr>
            <w:r w:rsidRPr="00EA352D">
              <w:rPr>
                <w:sz w:val="20"/>
                <w:szCs w:val="20"/>
              </w:rPr>
              <w:sym w:font="Wingdings" w:char="F0FC"/>
            </w:r>
            <w:r w:rsidRPr="00EA352D">
              <w:rPr>
                <w:sz w:val="20"/>
                <w:szCs w:val="20"/>
              </w:rPr>
              <w:t xml:space="preserve"> </w:t>
            </w:r>
          </w:p>
        </w:tc>
      </w:tr>
      <w:tr w:rsidR="00833FAF" w:rsidRPr="00EA352D" w14:paraId="5CBEB3D9" w14:textId="77777777" w:rsidTr="00FE3C3F">
        <w:trPr>
          <w:trHeight w:val="187"/>
        </w:trPr>
        <w:tc>
          <w:tcPr>
            <w:tcW w:w="1668" w:type="dxa"/>
            <w:vMerge/>
          </w:tcPr>
          <w:p w14:paraId="5CBEB3D3" w14:textId="77777777" w:rsidR="00833FAF" w:rsidRPr="00FE3C3F" w:rsidRDefault="00833FAF" w:rsidP="00EA352D">
            <w:pPr>
              <w:rPr>
                <w:b/>
                <w:sz w:val="20"/>
                <w:szCs w:val="20"/>
              </w:rPr>
            </w:pPr>
          </w:p>
        </w:tc>
        <w:tc>
          <w:tcPr>
            <w:tcW w:w="3543" w:type="dxa"/>
          </w:tcPr>
          <w:p w14:paraId="5CBEB3D4" w14:textId="77777777" w:rsidR="00833FAF" w:rsidRPr="00702A64" w:rsidRDefault="00833FAF" w:rsidP="00EA352D">
            <w:pPr>
              <w:rPr>
                <w:b/>
                <w:sz w:val="20"/>
                <w:szCs w:val="20"/>
              </w:rPr>
            </w:pPr>
            <w:r w:rsidRPr="00702A64">
              <w:rPr>
                <w:b/>
                <w:sz w:val="20"/>
                <w:szCs w:val="20"/>
              </w:rPr>
              <w:t>Severe skin reactions, including Stevens-Johnson syndrome (SJS) and Toxic Epidermal Necrolysis (TEN)</w:t>
            </w:r>
          </w:p>
        </w:tc>
        <w:tc>
          <w:tcPr>
            <w:tcW w:w="1134" w:type="dxa"/>
          </w:tcPr>
          <w:p w14:paraId="5CBEB3D5" w14:textId="77777777" w:rsidR="00833FAF" w:rsidRPr="00702A64" w:rsidRDefault="00833FAF" w:rsidP="00EA352D">
            <w:pPr>
              <w:rPr>
                <w:b/>
                <w:sz w:val="20"/>
                <w:szCs w:val="20"/>
              </w:rPr>
            </w:pPr>
            <w:r w:rsidRPr="00702A64">
              <w:rPr>
                <w:b/>
                <w:sz w:val="20"/>
                <w:szCs w:val="20"/>
              </w:rPr>
              <w:sym w:font="Wingdings" w:char="F0FC"/>
            </w:r>
          </w:p>
        </w:tc>
        <w:tc>
          <w:tcPr>
            <w:tcW w:w="993" w:type="dxa"/>
          </w:tcPr>
          <w:p w14:paraId="5CBEB3D6" w14:textId="77777777" w:rsidR="00833FAF" w:rsidRPr="00702A64" w:rsidRDefault="00833FAF" w:rsidP="00EA352D">
            <w:pPr>
              <w:rPr>
                <w:b/>
                <w:sz w:val="20"/>
                <w:szCs w:val="20"/>
              </w:rPr>
            </w:pPr>
            <w:r w:rsidRPr="00702A64">
              <w:rPr>
                <w:b/>
                <w:sz w:val="20"/>
                <w:szCs w:val="20"/>
              </w:rPr>
              <w:sym w:font="Wingdings" w:char="F0FC"/>
            </w:r>
            <w:r w:rsidRPr="00702A64">
              <w:rPr>
                <w:b/>
                <w:sz w:val="20"/>
                <w:szCs w:val="20"/>
              </w:rPr>
              <w:t>*</w:t>
            </w:r>
          </w:p>
        </w:tc>
        <w:tc>
          <w:tcPr>
            <w:tcW w:w="1083" w:type="dxa"/>
          </w:tcPr>
          <w:p w14:paraId="5CBEB3D7" w14:textId="77777777" w:rsidR="00833FAF" w:rsidRPr="00702A64" w:rsidRDefault="00833FAF" w:rsidP="00EA352D">
            <w:pPr>
              <w:rPr>
                <w:b/>
                <w:sz w:val="20"/>
                <w:szCs w:val="20"/>
              </w:rPr>
            </w:pPr>
            <w:r w:rsidRPr="00702A64">
              <w:rPr>
                <w:b/>
                <w:sz w:val="20"/>
                <w:szCs w:val="20"/>
              </w:rPr>
              <w:sym w:font="Wingdings" w:char="F0FC"/>
            </w:r>
          </w:p>
        </w:tc>
        <w:tc>
          <w:tcPr>
            <w:tcW w:w="1048" w:type="dxa"/>
          </w:tcPr>
          <w:p w14:paraId="5CBEB3D8" w14:textId="77777777" w:rsidR="00833FAF" w:rsidRPr="00702A64" w:rsidRDefault="00833FAF" w:rsidP="00EA352D">
            <w:pPr>
              <w:rPr>
                <w:b/>
                <w:sz w:val="20"/>
                <w:szCs w:val="20"/>
              </w:rPr>
            </w:pPr>
            <w:r w:rsidRPr="00702A64">
              <w:rPr>
                <w:b/>
                <w:sz w:val="20"/>
                <w:szCs w:val="20"/>
              </w:rPr>
              <w:sym w:font="Wingdings" w:char="F0FC"/>
            </w:r>
            <w:r w:rsidRPr="00702A64">
              <w:rPr>
                <w:b/>
                <w:sz w:val="20"/>
                <w:szCs w:val="20"/>
              </w:rPr>
              <w:t xml:space="preserve"> + DHCP letter</w:t>
            </w:r>
          </w:p>
        </w:tc>
      </w:tr>
      <w:tr w:rsidR="00833FAF" w:rsidRPr="00EA352D" w14:paraId="5CBEB3E6" w14:textId="77777777" w:rsidTr="00FE3C3F">
        <w:trPr>
          <w:trHeight w:val="187"/>
        </w:trPr>
        <w:tc>
          <w:tcPr>
            <w:tcW w:w="1668" w:type="dxa"/>
            <w:vMerge/>
          </w:tcPr>
          <w:p w14:paraId="5CBEB3DA" w14:textId="77777777" w:rsidR="00833FAF" w:rsidRPr="00FE3C3F" w:rsidRDefault="00833FAF" w:rsidP="00EA352D">
            <w:pPr>
              <w:rPr>
                <w:b/>
                <w:sz w:val="20"/>
                <w:szCs w:val="20"/>
              </w:rPr>
            </w:pPr>
          </w:p>
        </w:tc>
        <w:tc>
          <w:tcPr>
            <w:tcW w:w="3543" w:type="dxa"/>
          </w:tcPr>
          <w:p w14:paraId="5CBEB3DB" w14:textId="77777777" w:rsidR="00833FAF" w:rsidRPr="00EA352D" w:rsidRDefault="00833FAF" w:rsidP="00EA352D">
            <w:pPr>
              <w:rPr>
                <w:sz w:val="20"/>
                <w:szCs w:val="20"/>
              </w:rPr>
            </w:pPr>
            <w:r w:rsidRPr="00EA352D">
              <w:rPr>
                <w:sz w:val="20"/>
                <w:szCs w:val="20"/>
              </w:rPr>
              <w:t>Other immune mediated adverse reactions</w:t>
            </w:r>
          </w:p>
          <w:p w14:paraId="5CBEB3DC" w14:textId="77777777" w:rsidR="00833FAF" w:rsidRPr="00EA352D" w:rsidRDefault="00833FAF" w:rsidP="00EA352D">
            <w:pPr>
              <w:rPr>
                <w:sz w:val="20"/>
                <w:szCs w:val="20"/>
              </w:rPr>
            </w:pPr>
            <w:r w:rsidRPr="00EA352D">
              <w:rPr>
                <w:sz w:val="20"/>
                <w:szCs w:val="20"/>
              </w:rPr>
              <w:t>Uveitis</w:t>
            </w:r>
          </w:p>
          <w:p w14:paraId="5CBEB3DD" w14:textId="77777777" w:rsidR="00833FAF" w:rsidRPr="00EA352D" w:rsidRDefault="00833FAF" w:rsidP="00EA352D">
            <w:pPr>
              <w:rPr>
                <w:sz w:val="20"/>
                <w:szCs w:val="20"/>
              </w:rPr>
            </w:pPr>
            <w:r w:rsidRPr="00EA352D">
              <w:rPr>
                <w:sz w:val="20"/>
                <w:szCs w:val="20"/>
              </w:rPr>
              <w:t>Myositis</w:t>
            </w:r>
          </w:p>
          <w:p w14:paraId="5CBEB3DE" w14:textId="77777777" w:rsidR="00833FAF" w:rsidRPr="00EA352D" w:rsidRDefault="00833FAF" w:rsidP="00EA352D">
            <w:pPr>
              <w:rPr>
                <w:sz w:val="20"/>
                <w:szCs w:val="20"/>
              </w:rPr>
            </w:pPr>
            <w:r w:rsidRPr="00EA352D">
              <w:rPr>
                <w:sz w:val="20"/>
                <w:szCs w:val="20"/>
              </w:rPr>
              <w:t>Guillain-Barre syndrome</w:t>
            </w:r>
          </w:p>
          <w:p w14:paraId="5CBEB3DF" w14:textId="77777777" w:rsidR="00833FAF" w:rsidRPr="00EA352D" w:rsidRDefault="00833FAF" w:rsidP="00EA352D">
            <w:pPr>
              <w:rPr>
                <w:sz w:val="20"/>
                <w:szCs w:val="20"/>
              </w:rPr>
            </w:pPr>
            <w:r w:rsidRPr="00EA352D">
              <w:rPr>
                <w:sz w:val="20"/>
                <w:szCs w:val="20"/>
              </w:rPr>
              <w:t>Pancreatitis</w:t>
            </w:r>
          </w:p>
          <w:p w14:paraId="5CBEB3E0" w14:textId="77777777" w:rsidR="00833FAF" w:rsidRPr="00702A64" w:rsidRDefault="00833FAF" w:rsidP="00EA352D">
            <w:pPr>
              <w:rPr>
                <w:b/>
                <w:sz w:val="20"/>
                <w:szCs w:val="20"/>
              </w:rPr>
            </w:pPr>
            <w:r w:rsidRPr="00702A64">
              <w:rPr>
                <w:b/>
                <w:sz w:val="20"/>
                <w:szCs w:val="20"/>
              </w:rPr>
              <w:t xml:space="preserve">Solid organ transplant rejection following </w:t>
            </w:r>
            <w:proofErr w:type="spellStart"/>
            <w:r w:rsidRPr="00702A64">
              <w:rPr>
                <w:b/>
                <w:sz w:val="20"/>
                <w:szCs w:val="20"/>
              </w:rPr>
              <w:t>Pembrolizumab</w:t>
            </w:r>
            <w:proofErr w:type="spellEnd"/>
            <w:r w:rsidRPr="00702A64">
              <w:rPr>
                <w:b/>
                <w:sz w:val="20"/>
                <w:szCs w:val="20"/>
              </w:rPr>
              <w:t xml:space="preserve"> treatment in donor organ recipients</w:t>
            </w:r>
          </w:p>
          <w:p w14:paraId="5CBEB3E1" w14:textId="77777777" w:rsidR="00833FAF" w:rsidRPr="00702A64" w:rsidRDefault="00833FAF" w:rsidP="00702A64">
            <w:pPr>
              <w:rPr>
                <w:b/>
              </w:rPr>
            </w:pPr>
            <w:r w:rsidRPr="00702A64">
              <w:rPr>
                <w:b/>
              </w:rPr>
              <w:t>Myocarditis</w:t>
            </w:r>
          </w:p>
        </w:tc>
        <w:tc>
          <w:tcPr>
            <w:tcW w:w="1134" w:type="dxa"/>
          </w:tcPr>
          <w:p w14:paraId="5CBEB3E2" w14:textId="77777777" w:rsidR="00833FAF" w:rsidRPr="00EA352D" w:rsidRDefault="00833FAF" w:rsidP="00EA352D">
            <w:pPr>
              <w:rPr>
                <w:sz w:val="20"/>
                <w:szCs w:val="20"/>
              </w:rPr>
            </w:pPr>
            <w:r w:rsidRPr="00EA352D">
              <w:rPr>
                <w:sz w:val="20"/>
                <w:szCs w:val="20"/>
              </w:rPr>
              <w:sym w:font="Wingdings" w:char="F0FC"/>
            </w:r>
          </w:p>
        </w:tc>
        <w:tc>
          <w:tcPr>
            <w:tcW w:w="993" w:type="dxa"/>
          </w:tcPr>
          <w:p w14:paraId="5CBEB3E3"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3E4"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3E5" w14:textId="77777777" w:rsidR="00833FAF" w:rsidRPr="00EA352D" w:rsidRDefault="00833FAF" w:rsidP="00EA352D">
            <w:pPr>
              <w:rPr>
                <w:sz w:val="20"/>
                <w:szCs w:val="20"/>
              </w:rPr>
            </w:pPr>
            <w:r w:rsidRPr="00EA352D">
              <w:rPr>
                <w:sz w:val="20"/>
                <w:szCs w:val="20"/>
              </w:rPr>
              <w:sym w:font="Wingdings" w:char="F0FC"/>
            </w:r>
          </w:p>
        </w:tc>
      </w:tr>
      <w:tr w:rsidR="00833FAF" w:rsidRPr="00EA352D" w14:paraId="5CBEB3ED" w14:textId="77777777" w:rsidTr="00FE3C3F">
        <w:trPr>
          <w:trHeight w:val="187"/>
        </w:trPr>
        <w:tc>
          <w:tcPr>
            <w:tcW w:w="1668" w:type="dxa"/>
            <w:vMerge/>
          </w:tcPr>
          <w:p w14:paraId="5CBEB3E7" w14:textId="77777777" w:rsidR="00833FAF" w:rsidRPr="00FE3C3F" w:rsidRDefault="00833FAF" w:rsidP="00EA352D">
            <w:pPr>
              <w:rPr>
                <w:b/>
                <w:sz w:val="20"/>
                <w:szCs w:val="20"/>
              </w:rPr>
            </w:pPr>
          </w:p>
        </w:tc>
        <w:tc>
          <w:tcPr>
            <w:tcW w:w="3543" w:type="dxa"/>
          </w:tcPr>
          <w:p w14:paraId="5CBEB3E8" w14:textId="77777777" w:rsidR="00833FAF" w:rsidRPr="00EA352D" w:rsidRDefault="00833FAF" w:rsidP="00EA352D">
            <w:pPr>
              <w:rPr>
                <w:sz w:val="20"/>
                <w:szCs w:val="20"/>
              </w:rPr>
            </w:pPr>
            <w:r w:rsidRPr="00EA352D">
              <w:rPr>
                <w:sz w:val="20"/>
                <w:szCs w:val="20"/>
              </w:rPr>
              <w:t>Infusion-related reactions</w:t>
            </w:r>
          </w:p>
        </w:tc>
        <w:tc>
          <w:tcPr>
            <w:tcW w:w="1134" w:type="dxa"/>
          </w:tcPr>
          <w:p w14:paraId="5CBEB3E9" w14:textId="77777777" w:rsidR="00833FAF" w:rsidRPr="00EA352D" w:rsidRDefault="00833FAF" w:rsidP="00EA352D">
            <w:pPr>
              <w:rPr>
                <w:sz w:val="20"/>
                <w:szCs w:val="20"/>
              </w:rPr>
            </w:pPr>
            <w:r w:rsidRPr="00EA352D">
              <w:rPr>
                <w:sz w:val="20"/>
                <w:szCs w:val="20"/>
              </w:rPr>
              <w:sym w:font="Wingdings" w:char="F0FC"/>
            </w:r>
          </w:p>
        </w:tc>
        <w:tc>
          <w:tcPr>
            <w:tcW w:w="993" w:type="dxa"/>
          </w:tcPr>
          <w:p w14:paraId="5CBEB3EA"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3EB"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3EC" w14:textId="77777777" w:rsidR="00833FAF" w:rsidRPr="00EA352D" w:rsidRDefault="00833FAF" w:rsidP="00EA352D">
            <w:pPr>
              <w:rPr>
                <w:sz w:val="20"/>
                <w:szCs w:val="20"/>
              </w:rPr>
            </w:pPr>
            <w:r w:rsidRPr="00EA352D">
              <w:rPr>
                <w:sz w:val="20"/>
                <w:szCs w:val="20"/>
              </w:rPr>
              <w:sym w:font="Wingdings" w:char="F0FC"/>
            </w:r>
            <w:r w:rsidRPr="00EA352D">
              <w:rPr>
                <w:sz w:val="20"/>
                <w:szCs w:val="20"/>
              </w:rPr>
              <w:t xml:space="preserve"> </w:t>
            </w:r>
          </w:p>
        </w:tc>
      </w:tr>
      <w:tr w:rsidR="00833FAF" w:rsidRPr="00EA352D" w14:paraId="5CBEB3F6" w14:textId="77777777" w:rsidTr="00FE3C3F">
        <w:trPr>
          <w:trHeight w:val="488"/>
        </w:trPr>
        <w:tc>
          <w:tcPr>
            <w:tcW w:w="1668" w:type="dxa"/>
            <w:vMerge w:val="restart"/>
          </w:tcPr>
          <w:p w14:paraId="5CBEB3EE" w14:textId="77777777" w:rsidR="00833FAF" w:rsidRPr="00FE3C3F" w:rsidRDefault="00833FAF" w:rsidP="00EA352D">
            <w:pPr>
              <w:rPr>
                <w:b/>
                <w:sz w:val="20"/>
                <w:szCs w:val="20"/>
              </w:rPr>
            </w:pPr>
            <w:r w:rsidRPr="00FE3C3F">
              <w:rPr>
                <w:b/>
                <w:sz w:val="20"/>
                <w:szCs w:val="20"/>
              </w:rPr>
              <w:t>Important potential risks</w:t>
            </w:r>
          </w:p>
        </w:tc>
        <w:tc>
          <w:tcPr>
            <w:tcW w:w="3543" w:type="dxa"/>
          </w:tcPr>
          <w:p w14:paraId="5CBEB3EF" w14:textId="77777777" w:rsidR="00833FAF" w:rsidRPr="00EA352D" w:rsidRDefault="00833FAF" w:rsidP="00EA352D">
            <w:pPr>
              <w:rPr>
                <w:sz w:val="20"/>
                <w:szCs w:val="20"/>
              </w:rPr>
            </w:pPr>
            <w:r w:rsidRPr="00EA352D">
              <w:rPr>
                <w:sz w:val="20"/>
                <w:szCs w:val="20"/>
              </w:rPr>
              <w:t>Immune mediated adverse events</w:t>
            </w:r>
          </w:p>
          <w:p w14:paraId="5CBEB3F0" w14:textId="77777777" w:rsidR="00833FAF" w:rsidRPr="00EA352D" w:rsidRDefault="00833FAF" w:rsidP="00EA352D">
            <w:pPr>
              <w:rPr>
                <w:sz w:val="20"/>
                <w:szCs w:val="20"/>
              </w:rPr>
            </w:pPr>
            <w:proofErr w:type="spellStart"/>
            <w:r w:rsidRPr="00EA352D">
              <w:rPr>
                <w:sz w:val="20"/>
                <w:szCs w:val="20"/>
              </w:rPr>
              <w:t>Myasthenic</w:t>
            </w:r>
            <w:proofErr w:type="spellEnd"/>
            <w:r w:rsidRPr="00EA352D">
              <w:rPr>
                <w:sz w:val="20"/>
                <w:szCs w:val="20"/>
              </w:rPr>
              <w:t xml:space="preserve"> syndrome</w:t>
            </w:r>
          </w:p>
        </w:tc>
        <w:tc>
          <w:tcPr>
            <w:tcW w:w="1134" w:type="dxa"/>
          </w:tcPr>
          <w:p w14:paraId="5CBEB3F1" w14:textId="77777777" w:rsidR="00833FAF" w:rsidRPr="00EA352D" w:rsidRDefault="00833FAF" w:rsidP="00EA352D">
            <w:pPr>
              <w:rPr>
                <w:sz w:val="20"/>
                <w:szCs w:val="20"/>
              </w:rPr>
            </w:pPr>
            <w:r w:rsidRPr="00EA352D">
              <w:rPr>
                <w:sz w:val="20"/>
                <w:szCs w:val="20"/>
              </w:rPr>
              <w:sym w:font="Wingdings" w:char="F0FC"/>
            </w:r>
          </w:p>
        </w:tc>
        <w:tc>
          <w:tcPr>
            <w:tcW w:w="993" w:type="dxa"/>
          </w:tcPr>
          <w:p w14:paraId="5CBEB3F2"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3F3" w14:textId="77777777" w:rsidR="00833FAF" w:rsidRPr="00EA352D" w:rsidRDefault="00833FAF" w:rsidP="00EA352D">
            <w:pPr>
              <w:rPr>
                <w:strike/>
                <w:sz w:val="20"/>
                <w:szCs w:val="20"/>
              </w:rPr>
            </w:pPr>
            <w:r w:rsidRPr="00EA352D">
              <w:rPr>
                <w:strike/>
                <w:sz w:val="20"/>
                <w:szCs w:val="20"/>
              </w:rPr>
              <w:t>‘n/a’</w:t>
            </w:r>
          </w:p>
          <w:p w14:paraId="5CBEB3F4"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3F5" w14:textId="77777777" w:rsidR="00833FAF" w:rsidRPr="00EA352D" w:rsidRDefault="00833FAF" w:rsidP="00EA352D">
            <w:pPr>
              <w:rPr>
                <w:sz w:val="20"/>
                <w:szCs w:val="20"/>
              </w:rPr>
            </w:pPr>
            <w:r w:rsidRPr="00EA352D">
              <w:rPr>
                <w:sz w:val="20"/>
                <w:szCs w:val="20"/>
              </w:rPr>
              <w:t>–</w:t>
            </w:r>
          </w:p>
        </w:tc>
      </w:tr>
      <w:tr w:rsidR="00833FAF" w:rsidRPr="00EA352D" w14:paraId="5CBEB3FE" w14:textId="77777777" w:rsidTr="00FE3C3F">
        <w:trPr>
          <w:trHeight w:val="1340"/>
        </w:trPr>
        <w:tc>
          <w:tcPr>
            <w:tcW w:w="1668" w:type="dxa"/>
            <w:vMerge/>
          </w:tcPr>
          <w:p w14:paraId="5CBEB3F7" w14:textId="77777777" w:rsidR="00833FAF" w:rsidRPr="00FE3C3F" w:rsidRDefault="00833FAF" w:rsidP="00EA352D">
            <w:pPr>
              <w:rPr>
                <w:b/>
                <w:sz w:val="20"/>
                <w:szCs w:val="20"/>
              </w:rPr>
            </w:pPr>
          </w:p>
        </w:tc>
        <w:tc>
          <w:tcPr>
            <w:tcW w:w="3543" w:type="dxa"/>
          </w:tcPr>
          <w:p w14:paraId="5CBEB3F8" w14:textId="77777777" w:rsidR="00833FAF" w:rsidRPr="00EA352D" w:rsidRDefault="00833FAF" w:rsidP="00EA352D">
            <w:pPr>
              <w:rPr>
                <w:sz w:val="20"/>
                <w:szCs w:val="20"/>
              </w:rPr>
            </w:pPr>
            <w:r w:rsidRPr="00EA352D">
              <w:rPr>
                <w:sz w:val="20"/>
                <w:szCs w:val="20"/>
              </w:rPr>
              <w:t>Immune mediated adverse events</w:t>
            </w:r>
          </w:p>
          <w:p w14:paraId="5CBEB3F9" w14:textId="77777777" w:rsidR="00833FAF" w:rsidRPr="00EA352D" w:rsidRDefault="00833FAF" w:rsidP="00EA352D">
            <w:pPr>
              <w:rPr>
                <w:sz w:val="20"/>
                <w:szCs w:val="20"/>
              </w:rPr>
            </w:pPr>
            <w:r w:rsidRPr="00EA352D">
              <w:rPr>
                <w:sz w:val="20"/>
                <w:szCs w:val="20"/>
              </w:rPr>
              <w:t xml:space="preserve">For haematological malignancies: increased risk of severe complications of allogenic stem cell transplantation in patients </w:t>
            </w:r>
            <w:r w:rsidRPr="00EA352D">
              <w:rPr>
                <w:sz w:val="20"/>
                <w:szCs w:val="20"/>
              </w:rPr>
              <w:lastRenderedPageBreak/>
              <w:t xml:space="preserve">who have previously received </w:t>
            </w:r>
            <w:proofErr w:type="spellStart"/>
            <w:r w:rsidRPr="00EA352D">
              <w:rPr>
                <w:sz w:val="20"/>
                <w:szCs w:val="20"/>
              </w:rPr>
              <w:t>pembrolizumab</w:t>
            </w:r>
            <w:proofErr w:type="spellEnd"/>
          </w:p>
        </w:tc>
        <w:tc>
          <w:tcPr>
            <w:tcW w:w="1134" w:type="dxa"/>
          </w:tcPr>
          <w:p w14:paraId="5CBEB3FA" w14:textId="77777777" w:rsidR="00833FAF" w:rsidRPr="00EA352D" w:rsidRDefault="00833FAF" w:rsidP="00EA352D">
            <w:pPr>
              <w:rPr>
                <w:sz w:val="20"/>
                <w:szCs w:val="20"/>
              </w:rPr>
            </w:pPr>
            <w:r w:rsidRPr="00EA352D">
              <w:rPr>
                <w:sz w:val="20"/>
                <w:szCs w:val="20"/>
              </w:rPr>
              <w:lastRenderedPageBreak/>
              <w:sym w:font="Wingdings" w:char="F0FC"/>
            </w:r>
          </w:p>
        </w:tc>
        <w:tc>
          <w:tcPr>
            <w:tcW w:w="993" w:type="dxa"/>
          </w:tcPr>
          <w:p w14:paraId="5CBEB3FB" w14:textId="77777777" w:rsidR="00833FAF" w:rsidRPr="00EA352D" w:rsidRDefault="00833FAF" w:rsidP="00EA352D">
            <w:pPr>
              <w:rPr>
                <w:sz w:val="20"/>
                <w:szCs w:val="20"/>
              </w:rPr>
            </w:pPr>
            <w:r w:rsidRPr="00EA352D">
              <w:rPr>
                <w:sz w:val="20"/>
                <w:szCs w:val="20"/>
              </w:rPr>
              <w:sym w:font="Wingdings" w:char="F0FC"/>
            </w:r>
          </w:p>
        </w:tc>
        <w:tc>
          <w:tcPr>
            <w:tcW w:w="1083" w:type="dxa"/>
          </w:tcPr>
          <w:p w14:paraId="5CBEB3FC" w14:textId="77777777" w:rsidR="00833FAF" w:rsidRPr="00EA352D" w:rsidRDefault="00833FAF" w:rsidP="00EA352D">
            <w:pPr>
              <w:rPr>
                <w:sz w:val="20"/>
                <w:szCs w:val="20"/>
              </w:rPr>
            </w:pPr>
            <w:r w:rsidRPr="00EA352D">
              <w:rPr>
                <w:sz w:val="20"/>
                <w:szCs w:val="20"/>
              </w:rPr>
              <w:t>X</w:t>
            </w:r>
          </w:p>
        </w:tc>
        <w:tc>
          <w:tcPr>
            <w:tcW w:w="1048" w:type="dxa"/>
          </w:tcPr>
          <w:p w14:paraId="5CBEB3FD" w14:textId="77777777" w:rsidR="00833FAF" w:rsidRPr="00EA352D" w:rsidRDefault="00833FAF" w:rsidP="00EA352D">
            <w:pPr>
              <w:rPr>
                <w:sz w:val="20"/>
                <w:szCs w:val="20"/>
              </w:rPr>
            </w:pPr>
            <w:r w:rsidRPr="00EA352D">
              <w:rPr>
                <w:sz w:val="20"/>
                <w:szCs w:val="20"/>
              </w:rPr>
              <w:t>-</w:t>
            </w:r>
          </w:p>
        </w:tc>
      </w:tr>
      <w:tr w:rsidR="00833FAF" w:rsidRPr="00EA352D" w14:paraId="5CBEB405" w14:textId="77777777" w:rsidTr="00FE3C3F">
        <w:trPr>
          <w:trHeight w:val="180"/>
        </w:trPr>
        <w:tc>
          <w:tcPr>
            <w:tcW w:w="1668" w:type="dxa"/>
            <w:vMerge/>
          </w:tcPr>
          <w:p w14:paraId="5CBEB3FF" w14:textId="77777777" w:rsidR="00833FAF" w:rsidRPr="00FE3C3F" w:rsidRDefault="00833FAF" w:rsidP="00EA352D">
            <w:pPr>
              <w:rPr>
                <w:b/>
                <w:sz w:val="20"/>
                <w:szCs w:val="20"/>
              </w:rPr>
            </w:pPr>
          </w:p>
        </w:tc>
        <w:tc>
          <w:tcPr>
            <w:tcW w:w="3543" w:type="dxa"/>
          </w:tcPr>
          <w:p w14:paraId="5CBEB400" w14:textId="77777777" w:rsidR="00833FAF" w:rsidRPr="00EA352D" w:rsidRDefault="00833FAF" w:rsidP="00EA352D">
            <w:pPr>
              <w:rPr>
                <w:sz w:val="20"/>
                <w:szCs w:val="20"/>
              </w:rPr>
            </w:pPr>
            <w:r w:rsidRPr="00EA352D">
              <w:rPr>
                <w:sz w:val="20"/>
                <w:szCs w:val="20"/>
              </w:rPr>
              <w:t>Immunogenicity</w:t>
            </w:r>
          </w:p>
        </w:tc>
        <w:tc>
          <w:tcPr>
            <w:tcW w:w="1134" w:type="dxa"/>
          </w:tcPr>
          <w:p w14:paraId="5CBEB401"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02" w14:textId="77777777" w:rsidR="00833FAF" w:rsidRPr="00702A64" w:rsidRDefault="00833FAF" w:rsidP="00EA352D">
            <w:pPr>
              <w:rPr>
                <w:b/>
                <w:sz w:val="20"/>
                <w:szCs w:val="20"/>
              </w:rPr>
            </w:pPr>
            <w:r w:rsidRPr="00702A64">
              <w:rPr>
                <w:b/>
                <w:sz w:val="20"/>
                <w:szCs w:val="20"/>
              </w:rPr>
              <w:sym w:font="Wingdings" w:char="F0FC"/>
            </w:r>
          </w:p>
        </w:tc>
        <w:tc>
          <w:tcPr>
            <w:tcW w:w="1083" w:type="dxa"/>
          </w:tcPr>
          <w:p w14:paraId="5CBEB403"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404" w14:textId="77777777" w:rsidR="00833FAF" w:rsidRPr="00EA352D" w:rsidRDefault="00833FAF" w:rsidP="00EA352D">
            <w:pPr>
              <w:rPr>
                <w:sz w:val="20"/>
                <w:szCs w:val="20"/>
              </w:rPr>
            </w:pPr>
            <w:r w:rsidRPr="00EA352D">
              <w:rPr>
                <w:sz w:val="20"/>
                <w:szCs w:val="20"/>
              </w:rPr>
              <w:t>–</w:t>
            </w:r>
          </w:p>
        </w:tc>
      </w:tr>
      <w:tr w:rsidR="00833FAF" w:rsidRPr="00EA352D" w14:paraId="5CBEB40C" w14:textId="77777777" w:rsidTr="00FE3C3F">
        <w:trPr>
          <w:trHeight w:val="178"/>
        </w:trPr>
        <w:tc>
          <w:tcPr>
            <w:tcW w:w="1668" w:type="dxa"/>
            <w:vMerge w:val="restart"/>
          </w:tcPr>
          <w:p w14:paraId="5CBEB406" w14:textId="77777777" w:rsidR="00833FAF" w:rsidRPr="00FE3C3F" w:rsidRDefault="00833FAF" w:rsidP="00EA352D">
            <w:pPr>
              <w:rPr>
                <w:b/>
                <w:sz w:val="20"/>
                <w:szCs w:val="20"/>
              </w:rPr>
            </w:pPr>
            <w:r w:rsidRPr="00FE3C3F">
              <w:rPr>
                <w:b/>
                <w:sz w:val="20"/>
                <w:szCs w:val="20"/>
              </w:rPr>
              <w:t>Missing information</w:t>
            </w:r>
          </w:p>
        </w:tc>
        <w:tc>
          <w:tcPr>
            <w:tcW w:w="3543" w:type="dxa"/>
          </w:tcPr>
          <w:p w14:paraId="5CBEB407" w14:textId="77777777" w:rsidR="00833FAF" w:rsidRPr="00EA352D" w:rsidRDefault="00833FAF" w:rsidP="00EA352D">
            <w:pPr>
              <w:rPr>
                <w:sz w:val="20"/>
                <w:szCs w:val="20"/>
              </w:rPr>
            </w:pPr>
            <w:r w:rsidRPr="00EA352D">
              <w:rPr>
                <w:sz w:val="20"/>
                <w:szCs w:val="20"/>
              </w:rPr>
              <w:t>Safety in patients with moderate or severe hepatic impairment</w:t>
            </w:r>
          </w:p>
        </w:tc>
        <w:tc>
          <w:tcPr>
            <w:tcW w:w="1134" w:type="dxa"/>
          </w:tcPr>
          <w:p w14:paraId="5CBEB408"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09" w14:textId="77777777" w:rsidR="00833FAF" w:rsidRPr="00EA352D" w:rsidRDefault="00833FAF" w:rsidP="00EA352D">
            <w:pPr>
              <w:rPr>
                <w:sz w:val="20"/>
                <w:szCs w:val="20"/>
              </w:rPr>
            </w:pPr>
            <w:r w:rsidRPr="00EA352D">
              <w:rPr>
                <w:sz w:val="20"/>
                <w:szCs w:val="20"/>
              </w:rPr>
              <w:t>–</w:t>
            </w:r>
          </w:p>
        </w:tc>
        <w:tc>
          <w:tcPr>
            <w:tcW w:w="1083" w:type="dxa"/>
          </w:tcPr>
          <w:p w14:paraId="5CBEB40A"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40B" w14:textId="77777777" w:rsidR="00833FAF" w:rsidRPr="00EA352D" w:rsidRDefault="00833FAF" w:rsidP="00EA352D">
            <w:pPr>
              <w:rPr>
                <w:sz w:val="20"/>
                <w:szCs w:val="20"/>
              </w:rPr>
            </w:pPr>
            <w:r w:rsidRPr="00EA352D">
              <w:rPr>
                <w:sz w:val="20"/>
                <w:szCs w:val="20"/>
              </w:rPr>
              <w:t>–</w:t>
            </w:r>
          </w:p>
        </w:tc>
      </w:tr>
      <w:tr w:rsidR="00833FAF" w:rsidRPr="00EA352D" w14:paraId="5CBEB413" w14:textId="77777777" w:rsidTr="00FE3C3F">
        <w:trPr>
          <w:trHeight w:val="103"/>
        </w:trPr>
        <w:tc>
          <w:tcPr>
            <w:tcW w:w="1668" w:type="dxa"/>
            <w:vMerge/>
          </w:tcPr>
          <w:p w14:paraId="5CBEB40D" w14:textId="77777777" w:rsidR="00833FAF" w:rsidRPr="00FE3C3F" w:rsidRDefault="00833FAF" w:rsidP="00EA352D">
            <w:pPr>
              <w:rPr>
                <w:b/>
                <w:sz w:val="20"/>
                <w:szCs w:val="20"/>
              </w:rPr>
            </w:pPr>
          </w:p>
        </w:tc>
        <w:tc>
          <w:tcPr>
            <w:tcW w:w="3543" w:type="dxa"/>
          </w:tcPr>
          <w:p w14:paraId="5CBEB40E" w14:textId="77777777" w:rsidR="00833FAF" w:rsidRPr="00EA352D" w:rsidRDefault="00833FAF" w:rsidP="00EA352D">
            <w:pPr>
              <w:rPr>
                <w:sz w:val="20"/>
                <w:szCs w:val="20"/>
              </w:rPr>
            </w:pPr>
            <w:r w:rsidRPr="00EA352D">
              <w:rPr>
                <w:sz w:val="20"/>
                <w:szCs w:val="20"/>
              </w:rPr>
              <w:t>Safety in patients with severe renal impairment</w:t>
            </w:r>
          </w:p>
        </w:tc>
        <w:tc>
          <w:tcPr>
            <w:tcW w:w="1134" w:type="dxa"/>
          </w:tcPr>
          <w:p w14:paraId="5CBEB40F"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10" w14:textId="77777777" w:rsidR="00833FAF" w:rsidRPr="00EA352D" w:rsidRDefault="00833FAF" w:rsidP="00EA352D">
            <w:pPr>
              <w:rPr>
                <w:sz w:val="20"/>
                <w:szCs w:val="20"/>
              </w:rPr>
            </w:pPr>
            <w:r w:rsidRPr="00EA352D">
              <w:rPr>
                <w:sz w:val="20"/>
                <w:szCs w:val="20"/>
              </w:rPr>
              <w:t>–</w:t>
            </w:r>
          </w:p>
        </w:tc>
        <w:tc>
          <w:tcPr>
            <w:tcW w:w="1083" w:type="dxa"/>
          </w:tcPr>
          <w:p w14:paraId="5CBEB411"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412" w14:textId="77777777" w:rsidR="00833FAF" w:rsidRPr="00EA352D" w:rsidRDefault="00833FAF" w:rsidP="00EA352D">
            <w:pPr>
              <w:rPr>
                <w:sz w:val="20"/>
                <w:szCs w:val="20"/>
              </w:rPr>
            </w:pPr>
            <w:r w:rsidRPr="00EA352D">
              <w:rPr>
                <w:sz w:val="20"/>
                <w:szCs w:val="20"/>
              </w:rPr>
              <w:t>–</w:t>
            </w:r>
          </w:p>
        </w:tc>
      </w:tr>
      <w:tr w:rsidR="00833FAF" w:rsidRPr="00EA352D" w14:paraId="5CBEB41A" w14:textId="77777777" w:rsidTr="00FE3C3F">
        <w:trPr>
          <w:trHeight w:val="140"/>
        </w:trPr>
        <w:tc>
          <w:tcPr>
            <w:tcW w:w="1668" w:type="dxa"/>
            <w:vMerge/>
          </w:tcPr>
          <w:p w14:paraId="5CBEB414" w14:textId="77777777" w:rsidR="00833FAF" w:rsidRPr="00FE3C3F" w:rsidRDefault="00833FAF" w:rsidP="00EA352D">
            <w:pPr>
              <w:rPr>
                <w:b/>
                <w:sz w:val="20"/>
                <w:szCs w:val="20"/>
              </w:rPr>
            </w:pPr>
          </w:p>
        </w:tc>
        <w:tc>
          <w:tcPr>
            <w:tcW w:w="3543" w:type="dxa"/>
          </w:tcPr>
          <w:p w14:paraId="5CBEB415" w14:textId="77777777" w:rsidR="00833FAF" w:rsidRPr="00EA352D" w:rsidRDefault="00833FAF" w:rsidP="00EA352D">
            <w:pPr>
              <w:rPr>
                <w:sz w:val="20"/>
                <w:szCs w:val="20"/>
              </w:rPr>
            </w:pPr>
            <w:r w:rsidRPr="00EA352D">
              <w:rPr>
                <w:sz w:val="20"/>
                <w:szCs w:val="20"/>
              </w:rPr>
              <w:t>Safety in patients with active systemic autoimmune disease</w:t>
            </w:r>
          </w:p>
        </w:tc>
        <w:tc>
          <w:tcPr>
            <w:tcW w:w="1134" w:type="dxa"/>
          </w:tcPr>
          <w:p w14:paraId="5CBEB416"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17" w14:textId="77777777" w:rsidR="00833FAF" w:rsidRPr="00EA352D" w:rsidRDefault="00833FAF" w:rsidP="00EA352D">
            <w:pPr>
              <w:rPr>
                <w:sz w:val="20"/>
                <w:szCs w:val="20"/>
              </w:rPr>
            </w:pPr>
            <w:r w:rsidRPr="00EA352D">
              <w:rPr>
                <w:sz w:val="20"/>
                <w:szCs w:val="20"/>
              </w:rPr>
              <w:t>–</w:t>
            </w:r>
          </w:p>
        </w:tc>
        <w:tc>
          <w:tcPr>
            <w:tcW w:w="1083" w:type="dxa"/>
          </w:tcPr>
          <w:p w14:paraId="5CBEB418"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419" w14:textId="77777777" w:rsidR="00833FAF" w:rsidRPr="00EA352D" w:rsidRDefault="00833FAF" w:rsidP="00EA352D">
            <w:pPr>
              <w:rPr>
                <w:sz w:val="20"/>
                <w:szCs w:val="20"/>
              </w:rPr>
            </w:pPr>
            <w:r w:rsidRPr="00EA352D">
              <w:rPr>
                <w:sz w:val="20"/>
                <w:szCs w:val="20"/>
              </w:rPr>
              <w:t>–</w:t>
            </w:r>
          </w:p>
        </w:tc>
      </w:tr>
      <w:tr w:rsidR="00833FAF" w:rsidRPr="00EA352D" w14:paraId="5CBEB421" w14:textId="77777777" w:rsidTr="00FE3C3F">
        <w:trPr>
          <w:trHeight w:val="140"/>
        </w:trPr>
        <w:tc>
          <w:tcPr>
            <w:tcW w:w="1668" w:type="dxa"/>
            <w:vMerge/>
          </w:tcPr>
          <w:p w14:paraId="5CBEB41B" w14:textId="77777777" w:rsidR="00833FAF" w:rsidRPr="00FE3C3F" w:rsidRDefault="00833FAF" w:rsidP="00EA352D">
            <w:pPr>
              <w:rPr>
                <w:b/>
                <w:sz w:val="20"/>
                <w:szCs w:val="20"/>
              </w:rPr>
            </w:pPr>
          </w:p>
        </w:tc>
        <w:tc>
          <w:tcPr>
            <w:tcW w:w="3543" w:type="dxa"/>
          </w:tcPr>
          <w:p w14:paraId="5CBEB41C" w14:textId="77777777" w:rsidR="00833FAF" w:rsidRPr="00EA352D" w:rsidRDefault="00833FAF" w:rsidP="00EA352D">
            <w:pPr>
              <w:rPr>
                <w:sz w:val="20"/>
                <w:szCs w:val="20"/>
              </w:rPr>
            </w:pPr>
            <w:r w:rsidRPr="00EA352D">
              <w:rPr>
                <w:sz w:val="20"/>
                <w:szCs w:val="20"/>
              </w:rPr>
              <w:t>Safety in patients with HIV or Hepatitis B or Hepatitis C</w:t>
            </w:r>
          </w:p>
        </w:tc>
        <w:tc>
          <w:tcPr>
            <w:tcW w:w="1134" w:type="dxa"/>
          </w:tcPr>
          <w:p w14:paraId="5CBEB41D"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1E" w14:textId="77777777" w:rsidR="00833FAF" w:rsidRPr="00EA352D" w:rsidRDefault="00833FAF" w:rsidP="00EA352D">
            <w:pPr>
              <w:rPr>
                <w:sz w:val="20"/>
                <w:szCs w:val="20"/>
              </w:rPr>
            </w:pPr>
            <w:r w:rsidRPr="00EA352D">
              <w:rPr>
                <w:sz w:val="20"/>
                <w:szCs w:val="20"/>
              </w:rPr>
              <w:t>–</w:t>
            </w:r>
          </w:p>
        </w:tc>
        <w:tc>
          <w:tcPr>
            <w:tcW w:w="1083" w:type="dxa"/>
          </w:tcPr>
          <w:p w14:paraId="5CBEB41F"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420" w14:textId="77777777" w:rsidR="00833FAF" w:rsidRPr="00EA352D" w:rsidRDefault="00833FAF" w:rsidP="00EA352D">
            <w:pPr>
              <w:rPr>
                <w:sz w:val="20"/>
                <w:szCs w:val="20"/>
              </w:rPr>
            </w:pPr>
            <w:r w:rsidRPr="00EA352D">
              <w:rPr>
                <w:sz w:val="20"/>
                <w:szCs w:val="20"/>
              </w:rPr>
              <w:t>–</w:t>
            </w:r>
          </w:p>
        </w:tc>
      </w:tr>
      <w:tr w:rsidR="00833FAF" w:rsidRPr="00EA352D" w14:paraId="5CBEB428" w14:textId="77777777" w:rsidTr="00FE3C3F">
        <w:trPr>
          <w:trHeight w:val="140"/>
        </w:trPr>
        <w:tc>
          <w:tcPr>
            <w:tcW w:w="1668" w:type="dxa"/>
            <w:vMerge/>
          </w:tcPr>
          <w:p w14:paraId="5CBEB422" w14:textId="77777777" w:rsidR="00833FAF" w:rsidRPr="00FE3C3F" w:rsidRDefault="00833FAF" w:rsidP="00EA352D">
            <w:pPr>
              <w:rPr>
                <w:b/>
                <w:sz w:val="20"/>
                <w:szCs w:val="20"/>
              </w:rPr>
            </w:pPr>
          </w:p>
        </w:tc>
        <w:tc>
          <w:tcPr>
            <w:tcW w:w="3543" w:type="dxa"/>
          </w:tcPr>
          <w:p w14:paraId="5CBEB423" w14:textId="77777777" w:rsidR="00833FAF" w:rsidRPr="00EA352D" w:rsidRDefault="00833FAF" w:rsidP="00EA352D">
            <w:pPr>
              <w:rPr>
                <w:sz w:val="20"/>
                <w:szCs w:val="20"/>
              </w:rPr>
            </w:pPr>
            <w:r w:rsidRPr="00EA352D">
              <w:rPr>
                <w:sz w:val="20"/>
                <w:szCs w:val="20"/>
              </w:rPr>
              <w:t>Safety in paediatric patients</w:t>
            </w:r>
          </w:p>
        </w:tc>
        <w:tc>
          <w:tcPr>
            <w:tcW w:w="1134" w:type="dxa"/>
          </w:tcPr>
          <w:p w14:paraId="5CBEB424"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25" w14:textId="77777777" w:rsidR="00833FAF" w:rsidRPr="00EA352D" w:rsidRDefault="00833FAF" w:rsidP="00EA352D">
            <w:pPr>
              <w:rPr>
                <w:sz w:val="20"/>
                <w:szCs w:val="20"/>
              </w:rPr>
            </w:pPr>
            <w:r w:rsidRPr="00EA352D">
              <w:rPr>
                <w:sz w:val="20"/>
                <w:szCs w:val="20"/>
              </w:rPr>
              <w:t>-</w:t>
            </w:r>
          </w:p>
        </w:tc>
        <w:tc>
          <w:tcPr>
            <w:tcW w:w="1083" w:type="dxa"/>
          </w:tcPr>
          <w:p w14:paraId="5CBEB426"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427" w14:textId="77777777" w:rsidR="00833FAF" w:rsidRPr="00EA352D" w:rsidRDefault="00833FAF" w:rsidP="00EA352D">
            <w:pPr>
              <w:rPr>
                <w:sz w:val="20"/>
                <w:szCs w:val="20"/>
              </w:rPr>
            </w:pPr>
            <w:r w:rsidRPr="00EA352D">
              <w:rPr>
                <w:sz w:val="20"/>
                <w:szCs w:val="20"/>
              </w:rPr>
              <w:t>-</w:t>
            </w:r>
          </w:p>
        </w:tc>
      </w:tr>
      <w:tr w:rsidR="00833FAF" w:rsidRPr="00EA352D" w14:paraId="5CBEB42F" w14:textId="77777777" w:rsidTr="00FE3C3F">
        <w:trPr>
          <w:trHeight w:val="140"/>
        </w:trPr>
        <w:tc>
          <w:tcPr>
            <w:tcW w:w="1668" w:type="dxa"/>
            <w:vMerge/>
          </w:tcPr>
          <w:p w14:paraId="5CBEB429" w14:textId="77777777" w:rsidR="00833FAF" w:rsidRPr="00FE3C3F" w:rsidRDefault="00833FAF" w:rsidP="00EA352D">
            <w:pPr>
              <w:rPr>
                <w:b/>
                <w:sz w:val="20"/>
                <w:szCs w:val="20"/>
              </w:rPr>
            </w:pPr>
          </w:p>
        </w:tc>
        <w:tc>
          <w:tcPr>
            <w:tcW w:w="3543" w:type="dxa"/>
          </w:tcPr>
          <w:p w14:paraId="5CBEB42A" w14:textId="77777777" w:rsidR="00833FAF" w:rsidRPr="00EA352D" w:rsidRDefault="00833FAF" w:rsidP="00EA352D">
            <w:pPr>
              <w:rPr>
                <w:sz w:val="20"/>
                <w:szCs w:val="20"/>
              </w:rPr>
            </w:pPr>
            <w:r w:rsidRPr="00EA352D">
              <w:rPr>
                <w:sz w:val="20"/>
                <w:szCs w:val="20"/>
              </w:rPr>
              <w:t>Reproductive and lactation data</w:t>
            </w:r>
          </w:p>
        </w:tc>
        <w:tc>
          <w:tcPr>
            <w:tcW w:w="1134" w:type="dxa"/>
          </w:tcPr>
          <w:p w14:paraId="5CBEB42B"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2C" w14:textId="77777777" w:rsidR="00833FAF" w:rsidRPr="00EA352D" w:rsidRDefault="00833FAF" w:rsidP="00EA352D">
            <w:pPr>
              <w:rPr>
                <w:sz w:val="20"/>
                <w:szCs w:val="20"/>
              </w:rPr>
            </w:pPr>
            <w:r w:rsidRPr="00EA352D">
              <w:rPr>
                <w:sz w:val="20"/>
                <w:szCs w:val="20"/>
              </w:rPr>
              <w:sym w:font="Wingdings" w:char="F0FC"/>
            </w:r>
            <w:r w:rsidRPr="00EA352D">
              <w:rPr>
                <w:sz w:val="20"/>
                <w:szCs w:val="20"/>
              </w:rPr>
              <w:t>*</w:t>
            </w:r>
          </w:p>
        </w:tc>
        <w:tc>
          <w:tcPr>
            <w:tcW w:w="1083" w:type="dxa"/>
          </w:tcPr>
          <w:p w14:paraId="5CBEB42D"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42E" w14:textId="77777777" w:rsidR="00833FAF" w:rsidRPr="00EA352D" w:rsidRDefault="00833FAF" w:rsidP="00EA352D">
            <w:pPr>
              <w:rPr>
                <w:sz w:val="20"/>
                <w:szCs w:val="20"/>
              </w:rPr>
            </w:pPr>
            <w:r w:rsidRPr="00EA352D">
              <w:rPr>
                <w:sz w:val="20"/>
                <w:szCs w:val="20"/>
              </w:rPr>
              <w:t>-</w:t>
            </w:r>
          </w:p>
        </w:tc>
      </w:tr>
      <w:tr w:rsidR="00833FAF" w:rsidRPr="00EA352D" w14:paraId="5CBEB436" w14:textId="77777777" w:rsidTr="00FE3C3F">
        <w:trPr>
          <w:trHeight w:val="140"/>
        </w:trPr>
        <w:tc>
          <w:tcPr>
            <w:tcW w:w="1668" w:type="dxa"/>
            <w:vMerge/>
          </w:tcPr>
          <w:p w14:paraId="5CBEB430" w14:textId="77777777" w:rsidR="00833FAF" w:rsidRPr="00FE3C3F" w:rsidRDefault="00833FAF" w:rsidP="00EA352D">
            <w:pPr>
              <w:rPr>
                <w:b/>
                <w:sz w:val="20"/>
                <w:szCs w:val="20"/>
              </w:rPr>
            </w:pPr>
          </w:p>
        </w:tc>
        <w:tc>
          <w:tcPr>
            <w:tcW w:w="3543" w:type="dxa"/>
          </w:tcPr>
          <w:p w14:paraId="5CBEB431" w14:textId="77777777" w:rsidR="00833FAF" w:rsidRPr="00EA352D" w:rsidRDefault="00833FAF" w:rsidP="00EA352D">
            <w:pPr>
              <w:rPr>
                <w:sz w:val="20"/>
                <w:szCs w:val="20"/>
              </w:rPr>
            </w:pPr>
            <w:r w:rsidRPr="00EA352D">
              <w:rPr>
                <w:sz w:val="20"/>
                <w:szCs w:val="20"/>
              </w:rPr>
              <w:t>Safety in various ethnic groups</w:t>
            </w:r>
          </w:p>
        </w:tc>
        <w:tc>
          <w:tcPr>
            <w:tcW w:w="1134" w:type="dxa"/>
          </w:tcPr>
          <w:p w14:paraId="5CBEB432"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33" w14:textId="77777777" w:rsidR="00833FAF" w:rsidRPr="00EA352D" w:rsidRDefault="00833FAF" w:rsidP="00EA352D">
            <w:pPr>
              <w:rPr>
                <w:sz w:val="20"/>
                <w:szCs w:val="20"/>
              </w:rPr>
            </w:pPr>
            <w:r w:rsidRPr="00EA352D">
              <w:rPr>
                <w:sz w:val="20"/>
                <w:szCs w:val="20"/>
              </w:rPr>
              <w:t>-</w:t>
            </w:r>
          </w:p>
        </w:tc>
        <w:tc>
          <w:tcPr>
            <w:tcW w:w="1083" w:type="dxa"/>
          </w:tcPr>
          <w:p w14:paraId="5CBEB434" w14:textId="77777777" w:rsidR="00833FAF" w:rsidRPr="00EA352D" w:rsidRDefault="00833FAF" w:rsidP="00EA352D">
            <w:pPr>
              <w:rPr>
                <w:sz w:val="20"/>
                <w:szCs w:val="20"/>
              </w:rPr>
            </w:pPr>
            <w:r w:rsidRPr="00EA352D">
              <w:rPr>
                <w:sz w:val="20"/>
                <w:szCs w:val="20"/>
              </w:rPr>
              <w:t>‘n/a’</w:t>
            </w:r>
          </w:p>
        </w:tc>
        <w:tc>
          <w:tcPr>
            <w:tcW w:w="1048" w:type="dxa"/>
          </w:tcPr>
          <w:p w14:paraId="5CBEB435" w14:textId="77777777" w:rsidR="00833FAF" w:rsidRPr="00EA352D" w:rsidRDefault="00833FAF" w:rsidP="00EA352D">
            <w:pPr>
              <w:rPr>
                <w:sz w:val="20"/>
                <w:szCs w:val="20"/>
              </w:rPr>
            </w:pPr>
            <w:r w:rsidRPr="00EA352D">
              <w:rPr>
                <w:sz w:val="20"/>
                <w:szCs w:val="20"/>
              </w:rPr>
              <w:t>-</w:t>
            </w:r>
          </w:p>
        </w:tc>
      </w:tr>
      <w:tr w:rsidR="00833FAF" w:rsidRPr="00EA352D" w14:paraId="5CBEB43D" w14:textId="77777777" w:rsidTr="00FE3C3F">
        <w:trPr>
          <w:trHeight w:val="140"/>
        </w:trPr>
        <w:tc>
          <w:tcPr>
            <w:tcW w:w="1668" w:type="dxa"/>
            <w:vMerge/>
          </w:tcPr>
          <w:p w14:paraId="5CBEB437" w14:textId="77777777" w:rsidR="00833FAF" w:rsidRPr="00FE3C3F" w:rsidRDefault="00833FAF" w:rsidP="00EA352D">
            <w:pPr>
              <w:rPr>
                <w:b/>
                <w:sz w:val="20"/>
                <w:szCs w:val="20"/>
              </w:rPr>
            </w:pPr>
          </w:p>
        </w:tc>
        <w:tc>
          <w:tcPr>
            <w:tcW w:w="3543" w:type="dxa"/>
          </w:tcPr>
          <w:p w14:paraId="5CBEB438" w14:textId="77777777" w:rsidR="00833FAF" w:rsidRPr="00EA352D" w:rsidRDefault="00833FAF" w:rsidP="00EA352D">
            <w:pPr>
              <w:rPr>
                <w:sz w:val="20"/>
                <w:szCs w:val="20"/>
              </w:rPr>
            </w:pPr>
            <w:r w:rsidRPr="00EA352D">
              <w:rPr>
                <w:sz w:val="20"/>
                <w:szCs w:val="20"/>
              </w:rPr>
              <w:t xml:space="preserve">Potential </w:t>
            </w:r>
            <w:proofErr w:type="spellStart"/>
            <w:r w:rsidRPr="00EA352D">
              <w:rPr>
                <w:sz w:val="20"/>
                <w:szCs w:val="20"/>
              </w:rPr>
              <w:t>pharmacodynamic</w:t>
            </w:r>
            <w:proofErr w:type="spellEnd"/>
            <w:r w:rsidRPr="00EA352D">
              <w:rPr>
                <w:sz w:val="20"/>
                <w:szCs w:val="20"/>
              </w:rPr>
              <w:t xml:space="preserve"> interaction with systemic </w:t>
            </w:r>
            <w:proofErr w:type="spellStart"/>
            <w:r w:rsidRPr="00EA352D">
              <w:rPr>
                <w:sz w:val="20"/>
                <w:szCs w:val="20"/>
              </w:rPr>
              <w:t>immunosuppressants</w:t>
            </w:r>
            <w:proofErr w:type="spellEnd"/>
          </w:p>
        </w:tc>
        <w:tc>
          <w:tcPr>
            <w:tcW w:w="1134" w:type="dxa"/>
          </w:tcPr>
          <w:p w14:paraId="5CBEB439" w14:textId="77777777" w:rsidR="00833FAF" w:rsidRPr="00EA352D" w:rsidRDefault="00833FAF" w:rsidP="00EA352D">
            <w:pPr>
              <w:rPr>
                <w:sz w:val="20"/>
                <w:szCs w:val="20"/>
              </w:rPr>
            </w:pPr>
            <w:r w:rsidRPr="00EA352D">
              <w:rPr>
                <w:sz w:val="20"/>
                <w:szCs w:val="20"/>
              </w:rPr>
              <w:sym w:font="Wingdings" w:char="F0FC"/>
            </w:r>
          </w:p>
        </w:tc>
        <w:tc>
          <w:tcPr>
            <w:tcW w:w="993" w:type="dxa"/>
          </w:tcPr>
          <w:p w14:paraId="5CBEB43A" w14:textId="77777777" w:rsidR="00833FAF" w:rsidRPr="00EA352D" w:rsidRDefault="00833FAF" w:rsidP="00EA352D">
            <w:pPr>
              <w:rPr>
                <w:sz w:val="20"/>
                <w:szCs w:val="20"/>
              </w:rPr>
            </w:pPr>
            <w:r w:rsidRPr="00EA352D">
              <w:rPr>
                <w:sz w:val="20"/>
                <w:szCs w:val="20"/>
              </w:rPr>
              <w:t>-</w:t>
            </w:r>
          </w:p>
        </w:tc>
        <w:tc>
          <w:tcPr>
            <w:tcW w:w="1083" w:type="dxa"/>
          </w:tcPr>
          <w:p w14:paraId="5CBEB43B" w14:textId="77777777" w:rsidR="00833FAF" w:rsidRPr="00EA352D" w:rsidRDefault="00833FAF" w:rsidP="00EA352D">
            <w:pPr>
              <w:rPr>
                <w:sz w:val="20"/>
                <w:szCs w:val="20"/>
              </w:rPr>
            </w:pPr>
            <w:r w:rsidRPr="00EA352D">
              <w:rPr>
                <w:sz w:val="20"/>
                <w:szCs w:val="20"/>
              </w:rPr>
              <w:sym w:font="Wingdings" w:char="F0FC"/>
            </w:r>
          </w:p>
        </w:tc>
        <w:tc>
          <w:tcPr>
            <w:tcW w:w="1048" w:type="dxa"/>
          </w:tcPr>
          <w:p w14:paraId="5CBEB43C" w14:textId="77777777" w:rsidR="00833FAF" w:rsidRPr="00EA352D" w:rsidRDefault="00833FAF" w:rsidP="00EA352D">
            <w:pPr>
              <w:rPr>
                <w:sz w:val="20"/>
                <w:szCs w:val="20"/>
              </w:rPr>
            </w:pPr>
            <w:r w:rsidRPr="00EA352D">
              <w:rPr>
                <w:sz w:val="20"/>
                <w:szCs w:val="20"/>
              </w:rPr>
              <w:t>-</w:t>
            </w:r>
          </w:p>
        </w:tc>
      </w:tr>
      <w:tr w:rsidR="00833FAF" w:rsidRPr="00EA352D" w14:paraId="5CBEB444" w14:textId="77777777" w:rsidTr="00EA352D">
        <w:trPr>
          <w:trHeight w:val="140"/>
        </w:trPr>
        <w:tc>
          <w:tcPr>
            <w:tcW w:w="9469" w:type="dxa"/>
            <w:gridSpan w:val="6"/>
          </w:tcPr>
          <w:p w14:paraId="5CBEB43E" w14:textId="77777777" w:rsidR="00833FAF" w:rsidRPr="00EA352D" w:rsidRDefault="00833FAF" w:rsidP="00FE3C3F">
            <w:pPr>
              <w:pStyle w:val="TableDescription"/>
              <w:rPr>
                <w:snapToGrid w:val="0"/>
              </w:rPr>
            </w:pPr>
            <w:r w:rsidRPr="00EA352D">
              <w:rPr>
                <w:snapToGrid w:val="0"/>
              </w:rPr>
              <w:t>Missing information: ‘Long term safety’ has been deleted by the sponsor without adequate justification.</w:t>
            </w:r>
          </w:p>
          <w:p w14:paraId="537B6E45" w14:textId="77777777" w:rsidR="00F8652A" w:rsidRDefault="00833FAF" w:rsidP="00FE3C3F">
            <w:pPr>
              <w:pStyle w:val="TableDescription"/>
              <w:rPr>
                <w:snapToGrid w:val="0"/>
                <w:u w:val="single"/>
              </w:rPr>
            </w:pPr>
            <w:r w:rsidRPr="00EA352D">
              <w:rPr>
                <w:snapToGrid w:val="0"/>
                <w:u w:val="single"/>
              </w:rPr>
              <w:t>Key:</w:t>
            </w:r>
          </w:p>
          <w:p w14:paraId="5CBEB440" w14:textId="69A0A8DF" w:rsidR="00833FAF" w:rsidRPr="00EA352D" w:rsidRDefault="00833FAF" w:rsidP="00FE3C3F">
            <w:pPr>
              <w:pStyle w:val="TableDescription"/>
              <w:rPr>
                <w:snapToGrid w:val="0"/>
              </w:rPr>
            </w:pPr>
            <w:r w:rsidRPr="00EA352D">
              <w:rPr>
                <w:snapToGrid w:val="0"/>
              </w:rPr>
              <w:t xml:space="preserve">* </w:t>
            </w:r>
            <w:r w:rsidRPr="00EA352D">
              <w:rPr>
                <w:snapToGrid w:val="0"/>
              </w:rPr>
              <w:tab/>
              <w:t>Enhanced routine pharmacovigilance with the use of structured targeted follow-up questionnaires</w:t>
            </w:r>
          </w:p>
          <w:p w14:paraId="5CBEB441" w14:textId="77777777" w:rsidR="00833FAF" w:rsidRPr="00EA352D" w:rsidRDefault="00833FAF" w:rsidP="00FE3C3F">
            <w:pPr>
              <w:pStyle w:val="TableDescription"/>
              <w:rPr>
                <w:snapToGrid w:val="0"/>
              </w:rPr>
            </w:pPr>
            <w:r w:rsidRPr="00EA352D">
              <w:rPr>
                <w:snapToGrid w:val="0"/>
              </w:rPr>
              <w:t>X</w:t>
            </w:r>
            <w:r w:rsidRPr="00EA352D">
              <w:rPr>
                <w:snapToGrid w:val="0"/>
              </w:rPr>
              <w:tab/>
              <w:t>Risk minimisation content in PI/CMI considered to be inadequate</w:t>
            </w:r>
          </w:p>
          <w:p w14:paraId="5CBEB442" w14:textId="77777777" w:rsidR="00833FAF" w:rsidRPr="00EA352D" w:rsidRDefault="00833FAF" w:rsidP="00FE3C3F">
            <w:pPr>
              <w:pStyle w:val="TableDescription"/>
              <w:rPr>
                <w:snapToGrid w:val="0"/>
              </w:rPr>
            </w:pPr>
            <w:r w:rsidRPr="00EA352D">
              <w:rPr>
                <w:snapToGrid w:val="0"/>
              </w:rPr>
              <w:t>‘n/a’</w:t>
            </w:r>
            <w:r w:rsidRPr="00EA352D">
              <w:rPr>
                <w:snapToGrid w:val="0"/>
              </w:rPr>
              <w:tab/>
              <w:t>Listed by the sponsor in the ASA as ‘n/a’</w:t>
            </w:r>
          </w:p>
          <w:p w14:paraId="5CBEB443" w14:textId="77777777" w:rsidR="00833FAF" w:rsidRPr="00EA352D" w:rsidRDefault="00833FAF" w:rsidP="00FE3C3F">
            <w:pPr>
              <w:pStyle w:val="TableDescription"/>
              <w:rPr>
                <w:snapToGrid w:val="0"/>
              </w:rPr>
            </w:pPr>
            <w:r w:rsidRPr="00EA352D">
              <w:rPr>
                <w:strike/>
                <w:snapToGrid w:val="0"/>
              </w:rPr>
              <w:t>‘</w:t>
            </w:r>
            <w:proofErr w:type="gramStart"/>
            <w:r w:rsidRPr="00EA352D">
              <w:rPr>
                <w:strike/>
                <w:snapToGrid w:val="0"/>
              </w:rPr>
              <w:t>n/</w:t>
            </w:r>
            <w:proofErr w:type="gramEnd"/>
            <w:r w:rsidRPr="00EA352D">
              <w:rPr>
                <w:strike/>
                <w:snapToGrid w:val="0"/>
              </w:rPr>
              <w:t>a’</w:t>
            </w:r>
            <w:r w:rsidRPr="00EA352D">
              <w:rPr>
                <w:snapToGrid w:val="0"/>
              </w:rPr>
              <w:tab/>
              <w:t>Listed by the sponsor in the ASA as ‘n/a’; however, listed in the adverse events section of PI.</w:t>
            </w:r>
          </w:p>
        </w:tc>
      </w:tr>
    </w:tbl>
    <w:p w14:paraId="5CBEB445" w14:textId="77777777" w:rsidR="00833FAF" w:rsidRPr="00C15438" w:rsidRDefault="00833FAF" w:rsidP="00FE3C3F">
      <w:pPr>
        <w:pStyle w:val="Heading4"/>
        <w:rPr>
          <w:snapToGrid w:val="0"/>
        </w:rPr>
      </w:pPr>
      <w:r w:rsidRPr="00C15438">
        <w:rPr>
          <w:snapToGrid w:val="0"/>
        </w:rPr>
        <w:t>Pharmacovigilance activities</w:t>
      </w:r>
    </w:p>
    <w:p w14:paraId="5CBEB446" w14:textId="77777777" w:rsidR="00833FAF" w:rsidRPr="00DD211C" w:rsidRDefault="00833FAF" w:rsidP="00FE3C3F">
      <w:pPr>
        <w:pStyle w:val="ListBullet"/>
        <w:rPr>
          <w:snapToGrid w:val="0"/>
        </w:rPr>
      </w:pPr>
      <w:r>
        <w:rPr>
          <w:snapToGrid w:val="0"/>
        </w:rPr>
        <w:t>Routine pharmacovigilance is proposed for all concerns, with the use of t</w:t>
      </w:r>
      <w:r w:rsidRPr="00DD211C">
        <w:rPr>
          <w:snapToGrid w:val="0"/>
        </w:rPr>
        <w:t xml:space="preserve">argeted follow up questionnaires </w:t>
      </w:r>
      <w:r>
        <w:rPr>
          <w:snapToGrid w:val="0"/>
        </w:rPr>
        <w:t>for all</w:t>
      </w:r>
      <w:r w:rsidRPr="00DD211C">
        <w:rPr>
          <w:snapToGrid w:val="0"/>
        </w:rPr>
        <w:t xml:space="preserve"> the important identified risks and for </w:t>
      </w:r>
      <w:r>
        <w:rPr>
          <w:snapToGrid w:val="0"/>
        </w:rPr>
        <w:t>the i</w:t>
      </w:r>
      <w:r w:rsidRPr="00DD211C">
        <w:rPr>
          <w:snapToGrid w:val="0"/>
        </w:rPr>
        <w:t xml:space="preserve">mportant potential risk: </w:t>
      </w:r>
      <w:r>
        <w:rPr>
          <w:snapToGrid w:val="0"/>
        </w:rPr>
        <w:t>‘</w:t>
      </w:r>
      <w:proofErr w:type="spellStart"/>
      <w:r w:rsidR="005616A2" w:rsidRPr="00DD211C">
        <w:rPr>
          <w:snapToGrid w:val="0"/>
        </w:rPr>
        <w:t>Myasthenic</w:t>
      </w:r>
      <w:proofErr w:type="spellEnd"/>
      <w:r w:rsidRPr="00DD211C">
        <w:rPr>
          <w:snapToGrid w:val="0"/>
        </w:rPr>
        <w:t xml:space="preserve"> syndrome’</w:t>
      </w:r>
      <w:r>
        <w:rPr>
          <w:snapToGrid w:val="0"/>
        </w:rPr>
        <w:t>.</w:t>
      </w:r>
    </w:p>
    <w:p w14:paraId="5CBEB447" w14:textId="77777777" w:rsidR="00833FAF" w:rsidRPr="007660EF" w:rsidRDefault="00833FAF" w:rsidP="00FE3C3F">
      <w:pPr>
        <w:pStyle w:val="ListBullet"/>
        <w:rPr>
          <w:snapToGrid w:val="0"/>
        </w:rPr>
      </w:pPr>
      <w:r w:rsidRPr="007660EF">
        <w:rPr>
          <w:snapToGrid w:val="0"/>
        </w:rPr>
        <w:t>Monitoring and analysis of safety data from the ongoing trials is listed as additional pharmacovig</w:t>
      </w:r>
      <w:r>
        <w:rPr>
          <w:snapToGrid w:val="0"/>
        </w:rPr>
        <w:t>ilance for all safety concerns; t</w:t>
      </w:r>
      <w:r w:rsidRPr="007660EF">
        <w:rPr>
          <w:snapToGrid w:val="0"/>
        </w:rPr>
        <w:t xml:space="preserve">his includes </w:t>
      </w:r>
      <w:r>
        <w:rPr>
          <w:snapToGrid w:val="0"/>
        </w:rPr>
        <w:t>monitoring of i</w:t>
      </w:r>
      <w:r w:rsidRPr="007660EF">
        <w:rPr>
          <w:snapToGrid w:val="0"/>
        </w:rPr>
        <w:t xml:space="preserve">mmunogenicity </w:t>
      </w:r>
      <w:r>
        <w:rPr>
          <w:snapToGrid w:val="0"/>
        </w:rPr>
        <w:t xml:space="preserve">which </w:t>
      </w:r>
      <w:r w:rsidRPr="007660EF">
        <w:rPr>
          <w:snapToGrid w:val="0"/>
        </w:rPr>
        <w:t xml:space="preserve">will be assessed in </w:t>
      </w:r>
      <w:r>
        <w:rPr>
          <w:snapToGrid w:val="0"/>
        </w:rPr>
        <w:t>a</w:t>
      </w:r>
      <w:r w:rsidRPr="007660EF">
        <w:rPr>
          <w:snapToGrid w:val="0"/>
        </w:rPr>
        <w:t>nti-drug antibody assessments.</w:t>
      </w:r>
    </w:p>
    <w:p w14:paraId="5CBEB448" w14:textId="77777777" w:rsidR="00833FAF" w:rsidRPr="00391612" w:rsidRDefault="00833FAF" w:rsidP="00FE3C3F">
      <w:pPr>
        <w:pStyle w:val="ListBullet"/>
        <w:rPr>
          <w:snapToGrid w:val="0"/>
        </w:rPr>
      </w:pPr>
      <w:r w:rsidRPr="00391612">
        <w:rPr>
          <w:snapToGrid w:val="0"/>
        </w:rPr>
        <w:t>No paediatric investigation plan is described</w:t>
      </w:r>
      <w:r>
        <w:rPr>
          <w:snapToGrid w:val="0"/>
        </w:rPr>
        <w:t xml:space="preserve"> in the Core-RMP with ASA.</w:t>
      </w:r>
    </w:p>
    <w:p w14:paraId="5CBEB449" w14:textId="77777777" w:rsidR="00833FAF" w:rsidRPr="00C15438" w:rsidRDefault="00833FAF" w:rsidP="00FE3C3F">
      <w:pPr>
        <w:pStyle w:val="Heading4"/>
        <w:rPr>
          <w:snapToGrid w:val="0"/>
        </w:rPr>
      </w:pPr>
      <w:r>
        <w:rPr>
          <w:snapToGrid w:val="0"/>
        </w:rPr>
        <w:t>R</w:t>
      </w:r>
      <w:r w:rsidRPr="00C15438">
        <w:rPr>
          <w:snapToGrid w:val="0"/>
        </w:rPr>
        <w:t>isk minimisation activities</w:t>
      </w:r>
    </w:p>
    <w:p w14:paraId="5CBEB44A" w14:textId="77777777" w:rsidR="00833FAF" w:rsidRPr="00DD211C" w:rsidRDefault="00833FAF" w:rsidP="00FE3C3F">
      <w:pPr>
        <w:rPr>
          <w:snapToGrid w:val="0"/>
        </w:rPr>
      </w:pPr>
      <w:r>
        <w:rPr>
          <w:snapToGrid w:val="0"/>
        </w:rPr>
        <w:t>Routine and additional risk minimisation activities are implemented to mitigate a</w:t>
      </w:r>
      <w:r w:rsidRPr="00DD211C">
        <w:rPr>
          <w:snapToGrid w:val="0"/>
        </w:rPr>
        <w:t xml:space="preserve">ll </w:t>
      </w:r>
      <w:r>
        <w:rPr>
          <w:snapToGrid w:val="0"/>
        </w:rPr>
        <w:t xml:space="preserve">the </w:t>
      </w:r>
      <w:r w:rsidRPr="00DD211C">
        <w:rPr>
          <w:snapToGrid w:val="0"/>
        </w:rPr>
        <w:t>important identified risks</w:t>
      </w:r>
      <w:r>
        <w:rPr>
          <w:snapToGrid w:val="0"/>
        </w:rPr>
        <w:t>, including</w:t>
      </w:r>
      <w:r w:rsidRPr="00DD211C">
        <w:rPr>
          <w:snapToGrid w:val="0"/>
        </w:rPr>
        <w:t>:</w:t>
      </w:r>
    </w:p>
    <w:p w14:paraId="5CBEB44B" w14:textId="77777777" w:rsidR="00833FAF" w:rsidRDefault="00833FAF" w:rsidP="00FE3C3F">
      <w:pPr>
        <w:pStyle w:val="ListBullet"/>
        <w:rPr>
          <w:snapToGrid w:val="0"/>
        </w:rPr>
      </w:pPr>
      <w:r>
        <w:rPr>
          <w:snapToGrid w:val="0"/>
        </w:rPr>
        <w:lastRenderedPageBreak/>
        <w:t>Educational materials for HCPs – updated, including a new ‘Adverse event management guide’. Further revision is recommended</w:t>
      </w:r>
      <w:r w:rsidR="00FE3C3F">
        <w:rPr>
          <w:snapToGrid w:val="0"/>
        </w:rPr>
        <w:t>.</w:t>
      </w:r>
    </w:p>
    <w:p w14:paraId="5CBEB44C" w14:textId="77777777" w:rsidR="00833FAF" w:rsidRDefault="00833FAF" w:rsidP="00FE3C3F">
      <w:pPr>
        <w:pStyle w:val="ListBullet"/>
        <w:rPr>
          <w:snapToGrid w:val="0"/>
        </w:rPr>
      </w:pPr>
      <w:r>
        <w:rPr>
          <w:snapToGrid w:val="0"/>
        </w:rPr>
        <w:t>Patient Alert cards – updated</w:t>
      </w:r>
    </w:p>
    <w:p w14:paraId="5CBEB44D" w14:textId="77777777" w:rsidR="00833FAF" w:rsidRDefault="00833FAF" w:rsidP="00FE3C3F">
      <w:pPr>
        <w:pStyle w:val="ListBullet"/>
        <w:rPr>
          <w:snapToGrid w:val="0"/>
        </w:rPr>
      </w:pPr>
      <w:r>
        <w:rPr>
          <w:snapToGrid w:val="0"/>
        </w:rPr>
        <w:t>Patient educational brochure – updated</w:t>
      </w:r>
    </w:p>
    <w:p w14:paraId="5CBEB44E" w14:textId="77777777" w:rsidR="00833FAF" w:rsidRDefault="00833FAF" w:rsidP="00FE3C3F">
      <w:pPr>
        <w:pStyle w:val="ListBullet"/>
        <w:rPr>
          <w:snapToGrid w:val="0"/>
        </w:rPr>
      </w:pPr>
      <w:r>
        <w:rPr>
          <w:snapToGrid w:val="0"/>
        </w:rPr>
        <w:t>Digital online/</w:t>
      </w:r>
      <w:r w:rsidR="005616A2">
        <w:rPr>
          <w:snapToGrid w:val="0"/>
        </w:rPr>
        <w:t>Apple store</w:t>
      </w:r>
      <w:r>
        <w:rPr>
          <w:snapToGrid w:val="0"/>
        </w:rPr>
        <w:t xml:space="preserve"> app educational tools – [not evaluated]</w:t>
      </w:r>
    </w:p>
    <w:p w14:paraId="5CBEB44F" w14:textId="77777777" w:rsidR="00833FAF" w:rsidRDefault="009D188B" w:rsidP="00FE3C3F">
      <w:pPr>
        <w:pStyle w:val="ListBullet"/>
        <w:rPr>
          <w:snapToGrid w:val="0"/>
        </w:rPr>
      </w:pPr>
      <w:hyperlink r:id="rId28" w:history="1">
        <w:r w:rsidR="00833FAF" w:rsidRPr="00580CDF">
          <w:rPr>
            <w:rStyle w:val="Hyperlink"/>
            <w:snapToGrid w:val="0"/>
            <w:kern w:val="2"/>
            <w:sz w:val="23"/>
          </w:rPr>
          <w:t>Dear Healthcare Professional Letter</w:t>
        </w:r>
      </w:hyperlink>
      <w:r w:rsidR="00833FAF" w:rsidRPr="00580CDF">
        <w:rPr>
          <w:snapToGrid w:val="0"/>
        </w:rPr>
        <w:t xml:space="preserve"> addressing the new important identified risk of Severe Skin reactions</w:t>
      </w:r>
    </w:p>
    <w:p w14:paraId="5CBEB450" w14:textId="77777777" w:rsidR="00833FAF" w:rsidRPr="00CE3A14" w:rsidRDefault="00FE3C3F" w:rsidP="00FE3C3F">
      <w:pPr>
        <w:pStyle w:val="Heading4"/>
        <w:rPr>
          <w:kern w:val="2"/>
          <w:sz w:val="23"/>
        </w:rPr>
      </w:pPr>
      <w:r>
        <w:t>RMP evaluator r</w:t>
      </w:r>
      <w:r w:rsidR="00833FAF">
        <w:t>ecommendations</w:t>
      </w:r>
    </w:p>
    <w:p w14:paraId="5CBEB451" w14:textId="77777777" w:rsidR="00833FAF" w:rsidRPr="00217DB4" w:rsidRDefault="00833FAF" w:rsidP="00FE3C3F">
      <w:pPr>
        <w:pStyle w:val="Heading5"/>
      </w:pPr>
      <w:r w:rsidRPr="00217DB4">
        <w:t>Safety Specification</w:t>
      </w:r>
    </w:p>
    <w:p w14:paraId="5CBEB452" w14:textId="77777777" w:rsidR="00833FAF" w:rsidRPr="00217DB4" w:rsidRDefault="00833FAF" w:rsidP="00FE3C3F">
      <w:r w:rsidRPr="00217DB4">
        <w:t>Any safety concerns identified by the Clinical or Nonclinical Evaluators that impact on the safety specifications should be addressed in a revised RMP</w:t>
      </w:r>
      <w:r w:rsidRPr="00217DB4">
        <w:rPr>
          <w:bCs/>
        </w:rPr>
        <w:t>.</w:t>
      </w:r>
    </w:p>
    <w:p w14:paraId="20B35147" w14:textId="77777777" w:rsidR="00F8652A" w:rsidRDefault="00833FAF" w:rsidP="00FE3C3F">
      <w:r w:rsidRPr="00217DB4">
        <w:t>The following safety concerns should be added, or their removal justified:</w:t>
      </w:r>
    </w:p>
    <w:p w14:paraId="5CBEB454" w14:textId="41421F30" w:rsidR="00833FAF" w:rsidRPr="00217DB4" w:rsidRDefault="00833FAF" w:rsidP="00FE3C3F">
      <w:pPr>
        <w:pStyle w:val="ListBullet"/>
      </w:pPr>
      <w:r w:rsidRPr="00217DB4">
        <w:t>Add Important identified risk: ‘Encephalitis’</w:t>
      </w:r>
    </w:p>
    <w:p w14:paraId="5CBEB455" w14:textId="77777777" w:rsidR="00833FAF" w:rsidRPr="00217DB4" w:rsidRDefault="00833FAF" w:rsidP="00FE3C3F">
      <w:pPr>
        <w:pStyle w:val="ListBullet"/>
      </w:pPr>
      <w:r w:rsidRPr="00217DB4">
        <w:t>Add important identified risk: ‘Sarcoidosis’</w:t>
      </w:r>
    </w:p>
    <w:p w14:paraId="5CBEB456" w14:textId="77777777" w:rsidR="00833FAF" w:rsidRPr="00217DB4" w:rsidRDefault="00833FAF" w:rsidP="00FE3C3F">
      <w:pPr>
        <w:pStyle w:val="ListBullet"/>
      </w:pPr>
      <w:r w:rsidRPr="00217DB4">
        <w:t>Justify the removal of Missing Information: ‘Long term safety data’ from the list of safety concerns in the Core-RMP with ASA.</w:t>
      </w:r>
    </w:p>
    <w:p w14:paraId="5CBEB457" w14:textId="77777777" w:rsidR="00833FAF" w:rsidRDefault="00833FAF" w:rsidP="00FE3C3F">
      <w:pPr>
        <w:pStyle w:val="Heading5"/>
      </w:pPr>
      <w:r>
        <w:t>Administrative</w:t>
      </w:r>
    </w:p>
    <w:p w14:paraId="5CBEB458" w14:textId="77777777" w:rsidR="00833FAF" w:rsidRPr="00A95637" w:rsidRDefault="00833FAF" w:rsidP="00FE3C3F">
      <w:r>
        <w:t>S</w:t>
      </w:r>
      <w:r w:rsidRPr="00A95637">
        <w:t>ubmit the current EU-RMP to TGA for reference, including the current approved EU-additional risk minimisation materials and a summary of all important differences between the current EU-RMP and the Core-RMP with ASA</w:t>
      </w:r>
    </w:p>
    <w:p w14:paraId="5CBEB459" w14:textId="77777777" w:rsidR="00833FAF" w:rsidRPr="00217DB4" w:rsidRDefault="00833FAF" w:rsidP="00FE3C3F">
      <w:pPr>
        <w:pStyle w:val="Heading5"/>
      </w:pPr>
      <w:r w:rsidRPr="00217DB4">
        <w:t>Risk Minimisation plan</w:t>
      </w:r>
    </w:p>
    <w:p w14:paraId="5CBEB45A" w14:textId="77777777" w:rsidR="00833FAF" w:rsidRDefault="00833FAF" w:rsidP="00FE3C3F">
      <w:r>
        <w:t>The additional risk minimisation tools should a</w:t>
      </w:r>
      <w:r w:rsidRPr="00217DB4">
        <w:t xml:space="preserve">ddress the </w:t>
      </w:r>
      <w:r>
        <w:t>following safety concerns adequately:</w:t>
      </w:r>
    </w:p>
    <w:p w14:paraId="5CBEB45B" w14:textId="77777777" w:rsidR="00833FAF" w:rsidRDefault="00833FAF" w:rsidP="00FE3C3F">
      <w:pPr>
        <w:pStyle w:val="ListBullet"/>
      </w:pPr>
      <w:proofErr w:type="spellStart"/>
      <w:r w:rsidRPr="00217DB4">
        <w:t>cHL</w:t>
      </w:r>
      <w:proofErr w:type="spellEnd"/>
      <w:r w:rsidRPr="00217DB4">
        <w:t xml:space="preserve"> specific increased risk of severe complications of allogenic stem cell </w:t>
      </w:r>
      <w:r>
        <w:t>transplantation in patients who</w:t>
      </w:r>
      <w:r w:rsidRPr="00217DB4">
        <w:t xml:space="preserve"> have previously received </w:t>
      </w:r>
      <w:proofErr w:type="spellStart"/>
      <w:r w:rsidRPr="00217DB4">
        <w:t>pembrolizumab</w:t>
      </w:r>
      <w:proofErr w:type="spellEnd"/>
    </w:p>
    <w:p w14:paraId="5CBEB45C" w14:textId="77777777" w:rsidR="00833FAF" w:rsidRDefault="00833FAF" w:rsidP="00FE3C3F">
      <w:pPr>
        <w:pStyle w:val="ListBullet"/>
        <w:rPr>
          <w:snapToGrid w:val="0"/>
        </w:rPr>
      </w:pPr>
      <w:r w:rsidRPr="0038793D">
        <w:rPr>
          <w:snapToGrid w:val="0"/>
        </w:rPr>
        <w:t xml:space="preserve">Solid organ transplant rejection following </w:t>
      </w:r>
      <w:proofErr w:type="spellStart"/>
      <w:r w:rsidRPr="0038793D">
        <w:rPr>
          <w:snapToGrid w:val="0"/>
        </w:rPr>
        <w:t>Pembrolizumab</w:t>
      </w:r>
      <w:proofErr w:type="spellEnd"/>
      <w:r w:rsidRPr="0038793D">
        <w:rPr>
          <w:snapToGrid w:val="0"/>
        </w:rPr>
        <w:t xml:space="preserve"> treatment in donor organ recipients</w:t>
      </w:r>
    </w:p>
    <w:p w14:paraId="5CBEB45D" w14:textId="77777777" w:rsidR="008E7846" w:rsidRPr="00792A32" w:rsidRDefault="008E7846" w:rsidP="00833FAF">
      <w:pPr>
        <w:pStyle w:val="Heading2"/>
      </w:pPr>
      <w:bookmarkStart w:id="105" w:name="_Toc517786147"/>
      <w:r>
        <w:t>VI</w:t>
      </w:r>
      <w:r w:rsidR="00BD2AE2">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3"/>
      <w:bookmarkEnd w:id="103"/>
      <w:bookmarkEnd w:id="104"/>
      <w:bookmarkEnd w:id="105"/>
    </w:p>
    <w:p w14:paraId="5CBEB45E" w14:textId="77777777" w:rsidR="008E7846" w:rsidRDefault="008E7846" w:rsidP="008E7846">
      <w:bookmarkStart w:id="106" w:name="_Toc247691528"/>
      <w:r>
        <w:t xml:space="preserve">The submission was summarised in the following </w:t>
      </w:r>
      <w:r w:rsidRPr="00EF5C48">
        <w:t xml:space="preserve">Delegate’s </w:t>
      </w:r>
      <w:r>
        <w:t>overview</w:t>
      </w:r>
      <w:r w:rsidRPr="00EF5C48">
        <w:t xml:space="preserve"> and recommendation</w:t>
      </w:r>
      <w:r>
        <w:t>s:</w:t>
      </w:r>
    </w:p>
    <w:p w14:paraId="5CBEB45F" w14:textId="77777777" w:rsidR="008E7846" w:rsidRDefault="008E7846" w:rsidP="008E7846">
      <w:pPr>
        <w:pStyle w:val="Heading3"/>
      </w:pPr>
      <w:bookmarkStart w:id="107" w:name="_Toc314842511"/>
      <w:bookmarkStart w:id="108" w:name="_Toc517786148"/>
      <w:r>
        <w:t>Quality</w:t>
      </w:r>
      <w:bookmarkEnd w:id="106"/>
      <w:bookmarkEnd w:id="107"/>
      <w:bookmarkEnd w:id="108"/>
    </w:p>
    <w:p w14:paraId="5CBEB460" w14:textId="77777777" w:rsidR="00E45619" w:rsidRDefault="008E7846" w:rsidP="003A7F6C">
      <w:r>
        <w:t>There was no requirement for a quality evaluation in a submission of this type.</w:t>
      </w:r>
    </w:p>
    <w:p w14:paraId="5CBEB461" w14:textId="77777777" w:rsidR="008E7846" w:rsidRDefault="008E7846" w:rsidP="008E7846">
      <w:pPr>
        <w:pStyle w:val="Heading3"/>
      </w:pPr>
      <w:bookmarkStart w:id="109" w:name="_Toc314842512"/>
      <w:bookmarkStart w:id="110" w:name="_Toc517786149"/>
      <w:r>
        <w:t>Nonclinical</w:t>
      </w:r>
      <w:bookmarkEnd w:id="109"/>
      <w:bookmarkEnd w:id="110"/>
    </w:p>
    <w:p w14:paraId="5CBEB462" w14:textId="77777777" w:rsidR="008E7846" w:rsidRDefault="008E7846" w:rsidP="008E7846">
      <w:r>
        <w:t>There was no requirement for a nonclinical evaluation in a submission of this type.</w:t>
      </w:r>
    </w:p>
    <w:p w14:paraId="5CBEB463" w14:textId="77777777" w:rsidR="008E7846" w:rsidRDefault="008E7846" w:rsidP="008E7846">
      <w:pPr>
        <w:pStyle w:val="Heading3"/>
      </w:pPr>
      <w:bookmarkStart w:id="111" w:name="_Toc247691530"/>
      <w:bookmarkStart w:id="112" w:name="_Toc314842513"/>
      <w:bookmarkStart w:id="113" w:name="_Toc517786150"/>
      <w:r>
        <w:t>Clinical</w:t>
      </w:r>
      <w:bookmarkEnd w:id="111"/>
      <w:bookmarkEnd w:id="112"/>
      <w:bookmarkEnd w:id="113"/>
    </w:p>
    <w:p w14:paraId="5CBEB464" w14:textId="77777777" w:rsidR="000476AD" w:rsidRPr="001B6EDD" w:rsidRDefault="000476AD" w:rsidP="00BC29CB">
      <w:bookmarkStart w:id="114" w:name="_Toc314842514"/>
      <w:r w:rsidRPr="001B6EDD">
        <w:t xml:space="preserve">The </w:t>
      </w:r>
      <w:r w:rsidR="00BC29CB" w:rsidRPr="001B6EDD">
        <w:t xml:space="preserve">clinical evaluator’s </w:t>
      </w:r>
      <w:r w:rsidRPr="001B6EDD">
        <w:t xml:space="preserve">views are presented in the </w:t>
      </w:r>
      <w:r w:rsidR="00BC29CB" w:rsidRPr="001B6EDD">
        <w:t xml:space="preserve">clinical evaluation report </w:t>
      </w:r>
      <w:r w:rsidRPr="001B6EDD">
        <w:t xml:space="preserve">(CER) </w:t>
      </w:r>
      <w:r w:rsidR="00BC29CB">
        <w:t>r</w:t>
      </w:r>
      <w:r w:rsidRPr="001B6EDD">
        <w:t>ound 2 (</w:t>
      </w:r>
      <w:r w:rsidR="00BC29CB">
        <w:t>Attachment 2</w:t>
      </w:r>
      <w:r w:rsidRPr="001B6EDD">
        <w:t xml:space="preserve">). Taking into consideration the proposed amended indication (see below), the limited data in the elderly population and the immature data presented; the evaluator recommends that the </w:t>
      </w:r>
      <w:r w:rsidRPr="001B6EDD">
        <w:lastRenderedPageBreak/>
        <w:t xml:space="preserve">benefits of </w:t>
      </w:r>
      <w:proofErr w:type="spellStart"/>
      <w:r w:rsidRPr="001B6EDD">
        <w:t>pembrolizumab</w:t>
      </w:r>
      <w:proofErr w:type="spellEnd"/>
      <w:r w:rsidRPr="001B6EDD">
        <w:t xml:space="preserve"> outweigh the risks in this patient population and th</w:t>
      </w:r>
      <w:r w:rsidR="00BC29CB">
        <w:t>at the application be approved</w:t>
      </w:r>
      <w:r w:rsidRPr="001B6EDD">
        <w:t>.</w:t>
      </w:r>
    </w:p>
    <w:p w14:paraId="6860F93F" w14:textId="77777777" w:rsidR="00F8652A" w:rsidRDefault="000476AD" w:rsidP="00BC29CB">
      <w:r w:rsidRPr="001B6EDD">
        <w:t xml:space="preserve">The evaluator recommended that the initial proposed indication should be narrowed on the basis that it would include patients eligible for treatment with traditional salvage therapy and subsequent ASCT (primary refractory) and without the need for treatment with </w:t>
      </w:r>
      <w:proofErr w:type="spellStart"/>
      <w:r w:rsidRPr="001B6EDD">
        <w:t>brentuximab</w:t>
      </w:r>
      <w:proofErr w:type="spellEnd"/>
      <w:r w:rsidRPr="001B6EDD">
        <w:t xml:space="preserve"> </w:t>
      </w:r>
      <w:proofErr w:type="spellStart"/>
      <w:r w:rsidRPr="001B6EDD">
        <w:t>vedotin</w:t>
      </w:r>
      <w:proofErr w:type="spellEnd"/>
      <w:r w:rsidRPr="001B6EDD">
        <w:t>, which is approved for third line therapy. As a result, the evaluator recommended a more restricted indication:</w:t>
      </w:r>
    </w:p>
    <w:p w14:paraId="14B76E6D" w14:textId="77777777" w:rsidR="00F8652A" w:rsidRDefault="00957DB3" w:rsidP="0060194D">
      <w:pPr>
        <w:ind w:left="720"/>
        <w:rPr>
          <w:i/>
        </w:rPr>
      </w:pPr>
      <w:proofErr w:type="spellStart"/>
      <w:r w:rsidRPr="0060194D">
        <w:rPr>
          <w:i/>
        </w:rPr>
        <w:t>Keytruda</w:t>
      </w:r>
      <w:proofErr w:type="spellEnd"/>
      <w:r w:rsidR="000476AD" w:rsidRPr="0060194D">
        <w:rPr>
          <w:i/>
        </w:rPr>
        <w:t xml:space="preserve"> as monotherapy is indicated for the treatment of adult patients with relapsed or refractory classical Hodgkin Lymphoma (</w:t>
      </w:r>
      <w:proofErr w:type="spellStart"/>
      <w:r w:rsidR="000476AD" w:rsidRPr="0060194D">
        <w:rPr>
          <w:i/>
        </w:rPr>
        <w:t>cHL</w:t>
      </w:r>
      <w:proofErr w:type="spellEnd"/>
      <w:r w:rsidR="000476AD" w:rsidRPr="0060194D">
        <w:rPr>
          <w:i/>
        </w:rPr>
        <w:t>) following autologous stem cell transplant (ASCT) or following at least two prior therapies when ASCT or multi-agent chemotherapy is not a treatment option.</w:t>
      </w:r>
    </w:p>
    <w:p w14:paraId="5CBEB467" w14:textId="6B46C318" w:rsidR="000476AD" w:rsidRPr="001B6EDD" w:rsidRDefault="0060194D" w:rsidP="00BC29CB">
      <w:r>
        <w:t>T</w:t>
      </w:r>
      <w:r w:rsidR="000476AD" w:rsidRPr="001B6EDD">
        <w:t xml:space="preserve">he </w:t>
      </w:r>
      <w:r>
        <w:t>D</w:t>
      </w:r>
      <w:r w:rsidR="000476AD" w:rsidRPr="001B6EDD">
        <w:t>elegate has proposed a further amendment to this indication (see discussion section below).</w:t>
      </w:r>
    </w:p>
    <w:p w14:paraId="0713433B" w14:textId="77777777" w:rsidR="00F8652A" w:rsidRDefault="000476AD" w:rsidP="0060194D">
      <w:pPr>
        <w:pStyle w:val="Heading4"/>
      </w:pPr>
      <w:r w:rsidRPr="001B6EDD">
        <w:t>Overview of data</w:t>
      </w:r>
    </w:p>
    <w:p w14:paraId="5CBEB469" w14:textId="5C140511" w:rsidR="000476AD" w:rsidRPr="001B6EDD" w:rsidRDefault="000476AD" w:rsidP="000476AD">
      <w:pPr>
        <w:spacing w:before="0" w:after="0" w:line="240" w:lineRule="auto"/>
        <w:rPr>
          <w:rFonts w:asciiTheme="minorHAnsi" w:hAnsiTheme="minorHAnsi"/>
        </w:rPr>
      </w:pPr>
      <w:r w:rsidRPr="001B6EDD">
        <w:rPr>
          <w:rFonts w:asciiTheme="minorHAnsi" w:hAnsiTheme="minorHAnsi"/>
        </w:rPr>
        <w:t xml:space="preserve">The clinical data package included one pivotal </w:t>
      </w:r>
      <w:r w:rsidR="0060194D">
        <w:rPr>
          <w:rFonts w:asciiTheme="minorHAnsi" w:hAnsiTheme="minorHAnsi"/>
        </w:rPr>
        <w:t>P</w:t>
      </w:r>
      <w:r w:rsidRPr="001B6EDD">
        <w:rPr>
          <w:rFonts w:asciiTheme="minorHAnsi" w:hAnsiTheme="minorHAnsi"/>
        </w:rPr>
        <w:t xml:space="preserve">hase II single-arm study investigating safety and efficacy of </w:t>
      </w:r>
      <w:proofErr w:type="spellStart"/>
      <w:r w:rsidRPr="001B6EDD">
        <w:rPr>
          <w:rFonts w:asciiTheme="minorHAnsi" w:hAnsiTheme="minorHAnsi"/>
        </w:rPr>
        <w:t>pembrolizumab</w:t>
      </w:r>
      <w:proofErr w:type="spellEnd"/>
      <w:r w:rsidRPr="001B6EDD">
        <w:rPr>
          <w:rFonts w:asciiTheme="minorHAnsi" w:hAnsiTheme="minorHAnsi"/>
        </w:rPr>
        <w:t xml:space="preserve"> in subjects with relapsed or refractory classical Hodgkin Lymphoma (KEYNOT</w:t>
      </w:r>
      <w:r w:rsidR="0060194D">
        <w:rPr>
          <w:rFonts w:asciiTheme="minorHAnsi" w:hAnsiTheme="minorHAnsi"/>
        </w:rPr>
        <w:t>E 087). This was supported by P</w:t>
      </w:r>
      <w:r w:rsidRPr="001B6EDD">
        <w:rPr>
          <w:rFonts w:asciiTheme="minorHAnsi" w:hAnsiTheme="minorHAnsi"/>
        </w:rPr>
        <w:t xml:space="preserve">hase </w:t>
      </w:r>
      <w:proofErr w:type="spellStart"/>
      <w:r w:rsidR="0060194D">
        <w:rPr>
          <w:rFonts w:asciiTheme="minorHAnsi" w:hAnsiTheme="minorHAnsi"/>
        </w:rPr>
        <w:t>I</w:t>
      </w:r>
      <w:r w:rsidRPr="001B6EDD">
        <w:rPr>
          <w:rFonts w:asciiTheme="minorHAnsi" w:hAnsiTheme="minorHAnsi"/>
        </w:rPr>
        <w:t>b</w:t>
      </w:r>
      <w:proofErr w:type="spellEnd"/>
      <w:r w:rsidRPr="001B6EDD">
        <w:rPr>
          <w:rFonts w:asciiTheme="minorHAnsi" w:hAnsiTheme="minorHAnsi"/>
        </w:rPr>
        <w:t xml:space="preserve"> safety and efficacy study of </w:t>
      </w:r>
      <w:proofErr w:type="spellStart"/>
      <w:r w:rsidR="005616A2" w:rsidRPr="001B6EDD">
        <w:rPr>
          <w:rFonts w:asciiTheme="minorHAnsi" w:hAnsiTheme="minorHAnsi"/>
        </w:rPr>
        <w:t>pembrolizumab</w:t>
      </w:r>
      <w:proofErr w:type="spellEnd"/>
      <w:r w:rsidRPr="001B6EDD">
        <w:rPr>
          <w:rFonts w:asciiTheme="minorHAnsi" w:hAnsiTheme="minorHAnsi"/>
        </w:rPr>
        <w:t xml:space="preserve"> in a cohort of subjects with relapsed or refractory nodular </w:t>
      </w:r>
      <w:proofErr w:type="spellStart"/>
      <w:r w:rsidRPr="001B6EDD">
        <w:rPr>
          <w:rFonts w:asciiTheme="minorHAnsi" w:hAnsiTheme="minorHAnsi"/>
        </w:rPr>
        <w:t>sclerosing</w:t>
      </w:r>
      <w:proofErr w:type="spellEnd"/>
      <w:r w:rsidRPr="001B6EDD">
        <w:rPr>
          <w:rFonts w:asciiTheme="minorHAnsi" w:hAnsiTheme="minorHAnsi"/>
        </w:rPr>
        <w:t xml:space="preserve"> or mixed cellularity Hodgkin lymphoma (KEYNOTE 013). A population PK study titled </w:t>
      </w:r>
      <w:r w:rsidR="00ED59E7">
        <w:rPr>
          <w:rFonts w:asciiTheme="minorHAnsi" w:hAnsiTheme="minorHAnsi"/>
        </w:rPr>
        <w:t>‘</w:t>
      </w:r>
      <w:r w:rsidRPr="001B6EDD">
        <w:rPr>
          <w:rFonts w:asciiTheme="minorHAnsi" w:hAnsiTheme="minorHAnsi"/>
        </w:rPr>
        <w:t xml:space="preserve">Application of Population Pharmacokinetic Model for </w:t>
      </w:r>
      <w:proofErr w:type="spellStart"/>
      <w:r w:rsidR="005616A2" w:rsidRPr="001B6EDD">
        <w:rPr>
          <w:rFonts w:asciiTheme="minorHAnsi" w:hAnsiTheme="minorHAnsi"/>
        </w:rPr>
        <w:t>Pembrolizumab</w:t>
      </w:r>
      <w:proofErr w:type="spellEnd"/>
      <w:r w:rsidRPr="001B6EDD">
        <w:rPr>
          <w:rFonts w:asciiTheme="minorHAnsi" w:hAnsiTheme="minorHAnsi"/>
        </w:rPr>
        <w:t xml:space="preserve"> (MK-3475) to Patients with Hodgkin Lymphoma</w:t>
      </w:r>
      <w:r w:rsidR="00ED59E7">
        <w:rPr>
          <w:rFonts w:asciiTheme="minorHAnsi" w:hAnsiTheme="minorHAnsi"/>
        </w:rPr>
        <w:t>’</w:t>
      </w:r>
      <w:r w:rsidRPr="001B6EDD">
        <w:rPr>
          <w:rFonts w:asciiTheme="minorHAnsi" w:hAnsiTheme="minorHAnsi"/>
        </w:rPr>
        <w:t xml:space="preserve"> was also submitted. In addition to this, the dossier included the following:</w:t>
      </w:r>
    </w:p>
    <w:p w14:paraId="6A5A1F31" w14:textId="77777777" w:rsidR="00F8652A" w:rsidRDefault="000476AD" w:rsidP="00A5019F">
      <w:pPr>
        <w:pStyle w:val="ListBullet"/>
      </w:pPr>
      <w:r w:rsidRPr="001B6EDD">
        <w:t xml:space="preserve">Four interim reports of bioanalytical and analytical methods for human studies: regarding detection of anti-MK-3475 antibodies in human serum in </w:t>
      </w:r>
      <w:r w:rsidR="00ED605C">
        <w:t>Study KN</w:t>
      </w:r>
      <w:r w:rsidRPr="001B6EDD">
        <w:t>013 and KN087.</w:t>
      </w:r>
    </w:p>
    <w:p w14:paraId="1D0FF61D" w14:textId="77777777" w:rsidR="00F8652A" w:rsidRDefault="000476AD" w:rsidP="00A5019F">
      <w:pPr>
        <w:pStyle w:val="ListBullet"/>
      </w:pPr>
      <w:r w:rsidRPr="001B6EDD">
        <w:t>One Study of Dose-</w:t>
      </w:r>
      <w:proofErr w:type="spellStart"/>
      <w:r w:rsidRPr="001B6EDD">
        <w:t>Tumor</w:t>
      </w:r>
      <w:proofErr w:type="spellEnd"/>
      <w:r w:rsidRPr="001B6EDD">
        <w:t xml:space="preserve"> size Relationship in </w:t>
      </w:r>
      <w:proofErr w:type="spellStart"/>
      <w:r w:rsidRPr="001B6EDD">
        <w:t>Pembrolizumab</w:t>
      </w:r>
      <w:proofErr w:type="spellEnd"/>
      <w:r w:rsidRPr="001B6EDD">
        <w:t>-(MK-3475) Treated Subjects with Refractory/Relapsed Classical Hodgkin Lymphoma (</w:t>
      </w:r>
      <w:proofErr w:type="spellStart"/>
      <w:r w:rsidRPr="001B6EDD">
        <w:t>rrcHL</w:t>
      </w:r>
      <w:proofErr w:type="spellEnd"/>
      <w:r w:rsidRPr="001B6EDD">
        <w:t>) From Protocols KN013 and KN087.</w:t>
      </w:r>
    </w:p>
    <w:p w14:paraId="1CB100D1" w14:textId="77777777" w:rsidR="00F8652A" w:rsidRDefault="000476AD" w:rsidP="00A5019F">
      <w:pPr>
        <w:pStyle w:val="ListBullet"/>
      </w:pPr>
      <w:r w:rsidRPr="001B6EDD">
        <w:t xml:space="preserve">One Study of Pharmacokinetics of </w:t>
      </w:r>
      <w:proofErr w:type="spellStart"/>
      <w:r w:rsidRPr="001B6EDD">
        <w:t>Pembrolizumab</w:t>
      </w:r>
      <w:proofErr w:type="spellEnd"/>
      <w:r w:rsidRPr="001B6EDD">
        <w:t xml:space="preserve"> in First-Line NSCLC on Protocol 024.</w:t>
      </w:r>
    </w:p>
    <w:p w14:paraId="5CBEB46D" w14:textId="08616D76" w:rsidR="000476AD" w:rsidRPr="001B6EDD" w:rsidRDefault="000476AD" w:rsidP="00A5019F">
      <w:pPr>
        <w:pStyle w:val="ListBullet"/>
      </w:pPr>
      <w:r w:rsidRPr="001B6EDD">
        <w:t>Literature references.</w:t>
      </w:r>
    </w:p>
    <w:p w14:paraId="5CBEB46E" w14:textId="77777777" w:rsidR="000476AD" w:rsidRPr="00400846" w:rsidRDefault="00A5019F" w:rsidP="00A5019F">
      <w:r>
        <w:t>The sponsor provided</w:t>
      </w:r>
      <w:r w:rsidR="000476AD" w:rsidRPr="001B6EDD">
        <w:t xml:space="preserve"> a table summarising the studies in Hodgkin Lymphoma. This included refe</w:t>
      </w:r>
      <w:r>
        <w:t>rence to KEYNOTE-204, a randomised, open-label P</w:t>
      </w:r>
      <w:r w:rsidR="000476AD" w:rsidRPr="001B6EDD">
        <w:t xml:space="preserve">hase III study of </w:t>
      </w:r>
      <w:proofErr w:type="spellStart"/>
      <w:r w:rsidR="000476AD" w:rsidRPr="001B6EDD">
        <w:t>pembrolizumab</w:t>
      </w:r>
      <w:proofErr w:type="spellEnd"/>
      <w:r w:rsidR="00FE6681">
        <w:t xml:space="preserve"> versus </w:t>
      </w:r>
      <w:r w:rsidR="000476AD" w:rsidRPr="001B6EDD">
        <w:t xml:space="preserve">BV in the setting of </w:t>
      </w:r>
      <w:proofErr w:type="spellStart"/>
      <w:r w:rsidR="000476AD" w:rsidRPr="001B6EDD">
        <w:t>rrHL</w:t>
      </w:r>
      <w:proofErr w:type="spellEnd"/>
      <w:r w:rsidR="000476AD" w:rsidRPr="001B6EDD">
        <w:t xml:space="preserve">. The primary endpoints are PFS and OS and the current status is listed as </w:t>
      </w:r>
      <w:r w:rsidR="00ED59E7">
        <w:t>‘</w:t>
      </w:r>
      <w:r w:rsidR="000476AD" w:rsidRPr="00400846">
        <w:t>ongoing</w:t>
      </w:r>
      <w:r w:rsidR="00ED59E7" w:rsidRPr="00400846">
        <w:t>’</w:t>
      </w:r>
      <w:r w:rsidR="000476AD" w:rsidRPr="00400846">
        <w:t xml:space="preserve"> (see </w:t>
      </w:r>
      <w:r w:rsidR="000476AD" w:rsidRPr="00400846">
        <w:fldChar w:fldCharType="begin"/>
      </w:r>
      <w:r w:rsidR="000476AD" w:rsidRPr="00400846">
        <w:instrText xml:space="preserve"> REF _Ref486776331 \h  \* MERGEFORMAT </w:instrText>
      </w:r>
      <w:r w:rsidR="000476AD" w:rsidRPr="00400846">
        <w:fldChar w:fldCharType="separate"/>
      </w:r>
      <w:r w:rsidR="00FE7F2B">
        <w:t>Table</w:t>
      </w:r>
      <w:r w:rsidR="000476AD" w:rsidRPr="00400846">
        <w:fldChar w:fldCharType="end"/>
      </w:r>
      <w:r w:rsidR="000476AD" w:rsidRPr="00400846">
        <w:t xml:space="preserve"> </w:t>
      </w:r>
      <w:r w:rsidR="00400846" w:rsidRPr="00400846">
        <w:t xml:space="preserve">13 </w:t>
      </w:r>
      <w:r w:rsidR="000476AD" w:rsidRPr="00400846">
        <w:t>below).</w:t>
      </w:r>
    </w:p>
    <w:p w14:paraId="37160EFD" w14:textId="77777777" w:rsidR="00F8652A" w:rsidRDefault="00140C9E" w:rsidP="00D92572">
      <w:pPr>
        <w:pStyle w:val="TableCaption"/>
      </w:pPr>
      <w:r w:rsidRPr="00400846">
        <w:t xml:space="preserve">Table 13: Descriptive statistics of </w:t>
      </w:r>
      <w:r w:rsidRPr="00400846">
        <w:rPr>
          <w:i/>
        </w:rPr>
        <w:t>observed</w:t>
      </w:r>
      <w:r w:rsidRPr="00400846">
        <w:t xml:space="preserve"> peak and trough concentrations</w:t>
      </w:r>
      <w:r>
        <w:t xml:space="preserve"> (C</w:t>
      </w:r>
      <w:r w:rsidRPr="001B6EDD">
        <w:t>ycle 1) in HL patients a</w:t>
      </w:r>
      <w:bookmarkStart w:id="115" w:name="_GoBack"/>
      <w:bookmarkEnd w:id="115"/>
      <w:r w:rsidRPr="001B6EDD">
        <w:t>t 200</w:t>
      </w:r>
      <w:r>
        <w:t xml:space="preserve"> </w:t>
      </w:r>
      <w:r w:rsidRPr="001B6EDD">
        <w:t xml:space="preserve">mg and Q3W and </w:t>
      </w:r>
      <w:r w:rsidRPr="001B6EDD">
        <w:rPr>
          <w:i/>
        </w:rPr>
        <w:t>predicted</w:t>
      </w:r>
      <w:r w:rsidRPr="001B6EDD">
        <w:t xml:space="preserve"> peak and trough concentrations in melanoma and NSCLC patients at the same dose regimen</w:t>
      </w:r>
    </w:p>
    <w:p w14:paraId="5CBEB470" w14:textId="4D790733" w:rsidR="00140C9E" w:rsidRDefault="00140C9E" w:rsidP="00140C9E">
      <w:r>
        <w:rPr>
          <w:noProof/>
          <w:lang w:eastAsia="en-AU"/>
        </w:rPr>
        <w:drawing>
          <wp:inline distT="0" distB="0" distL="0" distR="0" wp14:anchorId="5CBEB960" wp14:editId="5CBEB961">
            <wp:extent cx="4853528" cy="1145512"/>
            <wp:effectExtent l="0" t="0" r="4445" b="0"/>
            <wp:docPr id="6" name="Picture 6" descr="Table 13: Descriptive statistics of observed peak and trough concentrations (cycle 1) in HL patients at 200mg and Q3W and predicted peak and trough concentrations in melanoma and NSCLC patients at the same dose regi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7762" cy="1151232"/>
                    </a:xfrm>
                    <a:prstGeom prst="rect">
                      <a:avLst/>
                    </a:prstGeom>
                    <a:noFill/>
                    <a:ln>
                      <a:noFill/>
                    </a:ln>
                  </pic:spPr>
                </pic:pic>
              </a:graphicData>
            </a:graphic>
          </wp:inline>
        </w:drawing>
      </w:r>
    </w:p>
    <w:p w14:paraId="5CBEB471" w14:textId="77777777" w:rsidR="000476AD" w:rsidRPr="00A5019F" w:rsidRDefault="000476AD" w:rsidP="000476AD">
      <w:pPr>
        <w:pStyle w:val="ListBullet"/>
        <w:numPr>
          <w:ilvl w:val="0"/>
          <w:numId w:val="0"/>
        </w:numPr>
        <w:spacing w:before="0" w:after="0"/>
      </w:pPr>
      <w:r w:rsidRPr="00A5019F">
        <w:rPr>
          <w:rStyle w:val="Heading5Char"/>
          <w:rFonts w:eastAsia="Cambria"/>
        </w:rPr>
        <w:t>Question for Sponsor</w:t>
      </w:r>
      <w:r w:rsidRPr="00A5019F">
        <w:rPr>
          <w:b/>
        </w:rPr>
        <w:t>:</w:t>
      </w:r>
      <w:r w:rsidRPr="00A5019F">
        <w:t xml:space="preserve"> Is an update available on the current status of KEYNOTE 204 including expected study completion and data submission?</w:t>
      </w:r>
    </w:p>
    <w:p w14:paraId="5CBEB472" w14:textId="77777777" w:rsidR="000476AD" w:rsidRPr="001B6EDD" w:rsidRDefault="000476AD" w:rsidP="00A5019F">
      <w:pPr>
        <w:pStyle w:val="Heading4"/>
      </w:pPr>
      <w:r w:rsidRPr="001B6EDD">
        <w:t>Pharmacology</w:t>
      </w:r>
    </w:p>
    <w:p w14:paraId="5CBEB473" w14:textId="05FEB3D8" w:rsidR="000476AD" w:rsidRPr="001B6EDD" w:rsidRDefault="000476AD" w:rsidP="00A5019F">
      <w:r w:rsidRPr="001B6EDD">
        <w:t xml:space="preserve">Serum </w:t>
      </w:r>
      <w:proofErr w:type="spellStart"/>
      <w:r w:rsidRPr="001B6EDD">
        <w:t>pembrolizumab</w:t>
      </w:r>
      <w:proofErr w:type="spellEnd"/>
      <w:r w:rsidRPr="001B6EDD">
        <w:t xml:space="preserve"> measurements using a sparse sampling model were obtained for both KN013 (</w:t>
      </w:r>
      <w:proofErr w:type="spellStart"/>
      <w:r w:rsidRPr="001B6EDD">
        <w:t>pembrolizumab</w:t>
      </w:r>
      <w:proofErr w:type="spellEnd"/>
      <w:r w:rsidRPr="001B6EDD">
        <w:t xml:space="preserve"> dose of 10 mg/kg Q2W) and KN087 (</w:t>
      </w:r>
      <w:proofErr w:type="spellStart"/>
      <w:r w:rsidRPr="001B6EDD">
        <w:t>pembrolizumab</w:t>
      </w:r>
      <w:proofErr w:type="spellEnd"/>
      <w:r w:rsidRPr="001B6EDD">
        <w:t xml:space="preserve"> dose of 200 mg Q3W). See </w:t>
      </w:r>
      <w:r w:rsidR="00A5019F">
        <w:lastRenderedPageBreak/>
        <w:t xml:space="preserve">Attachment 2 Pharmacokinetics </w:t>
      </w:r>
      <w:r w:rsidRPr="001B6EDD">
        <w:t xml:space="preserve">and population PK </w:t>
      </w:r>
      <w:proofErr w:type="gramStart"/>
      <w:r w:rsidRPr="001B6EDD">
        <w:t>report  dated</w:t>
      </w:r>
      <w:proofErr w:type="gramEnd"/>
      <w:r w:rsidRPr="001B6EDD">
        <w:t xml:space="preserve"> September 2016. Results were combined with data from other studies to develop the population PK model.</w:t>
      </w:r>
    </w:p>
    <w:p w14:paraId="5CBEB474" w14:textId="422D0A80" w:rsidR="000476AD" w:rsidRPr="001B6EDD" w:rsidRDefault="000476AD" w:rsidP="00A5019F">
      <w:r w:rsidRPr="001B6EDD">
        <w:t xml:space="preserve">A relatively small number of subjects with </w:t>
      </w:r>
      <w:proofErr w:type="spellStart"/>
      <w:r w:rsidRPr="001B6EDD">
        <w:t>cHL</w:t>
      </w:r>
      <w:proofErr w:type="spellEnd"/>
      <w:r w:rsidRPr="001B6EDD">
        <w:t xml:space="preserve"> at the proposed dose of 20</w:t>
      </w:r>
      <w:r w:rsidR="00CC4E8D">
        <w:t>0 mg</w:t>
      </w:r>
      <w:r w:rsidRPr="001B6EDD">
        <w:t xml:space="preserve"> Q3W contributed to the population PK pooled analysis dataset. A total of 8.52% of subjects in the data set were diagnosed with </w:t>
      </w:r>
      <w:proofErr w:type="spellStart"/>
      <w:r w:rsidRPr="001B6EDD">
        <w:t>cHL</w:t>
      </w:r>
      <w:proofErr w:type="spellEnd"/>
      <w:r w:rsidRPr="001B6EDD">
        <w:t xml:space="preserve"> and treated at the proposed dose (</w:t>
      </w:r>
      <w:r w:rsidR="00A5019F">
        <w:t>that is,</w:t>
      </w:r>
      <w:r w:rsidRPr="001B6EDD">
        <w:t xml:space="preserve"> subjects from </w:t>
      </w:r>
      <w:r w:rsidR="00ED605C">
        <w:t>Study KN</w:t>
      </w:r>
      <w:r w:rsidRPr="001B6EDD">
        <w:t xml:space="preserve">087). This constituted 10.2% of the total PK observations in </w:t>
      </w:r>
      <w:r w:rsidR="00A5019F">
        <w:t>the data set</w:t>
      </w:r>
      <w:r w:rsidRPr="001B6EDD">
        <w:t>.</w:t>
      </w:r>
    </w:p>
    <w:p w14:paraId="7CCF537A" w14:textId="77777777" w:rsidR="00F8652A" w:rsidRDefault="000476AD" w:rsidP="00A5019F">
      <w:r w:rsidRPr="001B6EDD">
        <w:t xml:space="preserve">The </w:t>
      </w:r>
      <w:r w:rsidR="00A5019F">
        <w:t>s</w:t>
      </w:r>
      <w:r w:rsidRPr="001B6EDD">
        <w:t>ponsor’s overall conclusions based on the population PK model are that:</w:t>
      </w:r>
    </w:p>
    <w:p w14:paraId="12F5DF31" w14:textId="77777777" w:rsidR="00F8652A" w:rsidRDefault="00A5019F" w:rsidP="005B2867">
      <w:pPr>
        <w:pStyle w:val="Numberbullet0"/>
        <w:numPr>
          <w:ilvl w:val="0"/>
          <w:numId w:val="17"/>
        </w:numPr>
      </w:pPr>
      <w:proofErr w:type="spellStart"/>
      <w:r>
        <w:t>P</w:t>
      </w:r>
      <w:r w:rsidR="000476AD" w:rsidRPr="001B6EDD">
        <w:t>embrolizumab</w:t>
      </w:r>
      <w:proofErr w:type="spellEnd"/>
      <w:r w:rsidR="000476AD" w:rsidRPr="001B6EDD">
        <w:t xml:space="preserve"> exposures are similar between HL and solid tumour indications and;</w:t>
      </w:r>
    </w:p>
    <w:p w14:paraId="5CBEB477" w14:textId="38C259A5" w:rsidR="00A5019F" w:rsidRDefault="00A5019F" w:rsidP="005B2867">
      <w:pPr>
        <w:pStyle w:val="Numberbullet0"/>
        <w:numPr>
          <w:ilvl w:val="0"/>
          <w:numId w:val="17"/>
        </w:numPr>
      </w:pPr>
      <w:r>
        <w:t>T</w:t>
      </w:r>
      <w:r w:rsidR="000476AD" w:rsidRPr="001B6EDD">
        <w:t xml:space="preserve">he previously developed population PK model adequately describes the clinical pharmacokinetics of </w:t>
      </w:r>
      <w:proofErr w:type="spellStart"/>
      <w:r w:rsidR="000476AD" w:rsidRPr="001B6EDD">
        <w:t>pembrolizumab</w:t>
      </w:r>
      <w:proofErr w:type="spellEnd"/>
      <w:r w:rsidR="000476AD" w:rsidRPr="001B6EDD">
        <w:t xml:space="preserve"> in HL patien</w:t>
      </w:r>
      <w:r>
        <w:t>ts.</w:t>
      </w:r>
    </w:p>
    <w:p w14:paraId="5CBEB478" w14:textId="6ABD7A52" w:rsidR="000476AD" w:rsidRPr="001B6EDD" w:rsidRDefault="000476AD" w:rsidP="00A5019F">
      <w:r w:rsidRPr="001B6EDD">
        <w:t xml:space="preserve">The basis for these </w:t>
      </w:r>
      <w:r w:rsidRPr="00140C9E">
        <w:t xml:space="preserve">conclusions is presented in the descriptive statistics of overall peak and trough concentrations in </w:t>
      </w:r>
      <w:r w:rsidR="003E3B31">
        <w:t>Table</w:t>
      </w:r>
      <w:r w:rsidRPr="00140C9E">
        <w:t xml:space="preserve"> </w:t>
      </w:r>
      <w:r w:rsidR="00140C9E" w:rsidRPr="00140C9E">
        <w:t xml:space="preserve">14 </w:t>
      </w:r>
      <w:r w:rsidRPr="00140C9E">
        <w:t>below.</w:t>
      </w:r>
    </w:p>
    <w:p w14:paraId="5CBEB479" w14:textId="77777777" w:rsidR="000476AD" w:rsidRPr="00140C9E" w:rsidRDefault="000476AD" w:rsidP="00D92572">
      <w:pPr>
        <w:pStyle w:val="TableCaption"/>
      </w:pPr>
      <w:bookmarkStart w:id="116" w:name="_Ref486245464"/>
      <w:r w:rsidRPr="00140C9E">
        <w:t>Table</w:t>
      </w:r>
      <w:bookmarkEnd w:id="116"/>
      <w:r w:rsidR="00606070">
        <w:t xml:space="preserve"> </w:t>
      </w:r>
      <w:r w:rsidR="00140C9E" w:rsidRPr="00140C9E">
        <w:t>14</w:t>
      </w:r>
      <w:r w:rsidRPr="00140C9E">
        <w:t>: Descriptive statistics of observed peak and trough concentrations (</w:t>
      </w:r>
      <w:r w:rsidR="00C41A15" w:rsidRPr="00140C9E">
        <w:t>C</w:t>
      </w:r>
      <w:r w:rsidRPr="00140C9E">
        <w:t>ycle 1) in HL patients at 20</w:t>
      </w:r>
      <w:r w:rsidR="00CC4E8D" w:rsidRPr="00140C9E">
        <w:t>0 mg</w:t>
      </w:r>
      <w:r w:rsidRPr="00140C9E">
        <w:t xml:space="preserve"> and Q3W and predicted peak and trough concentrations in melanoma and NSCLC patients at the sam</w:t>
      </w:r>
      <w:r w:rsidR="00C41A15" w:rsidRPr="00140C9E">
        <w:t>e dose regimen</w:t>
      </w:r>
    </w:p>
    <w:p w14:paraId="5CBEB47A" w14:textId="77777777" w:rsidR="000476AD" w:rsidRDefault="000476AD" w:rsidP="00C41A15">
      <w:pPr>
        <w:spacing w:before="0" w:after="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5CBEB962" wp14:editId="5CBEB963">
            <wp:extent cx="4853528" cy="1145512"/>
            <wp:effectExtent l="0" t="0" r="4445" b="0"/>
            <wp:docPr id="10" name="Picture 10" descr="Table 14: Descriptive statistics of observed peak and trough concentrations (Cycle 1) in HL patients at 200mg and Q3W and predicted peak and trough concentrations in melanoma and NSCLC patients at the same dose regimen ( see report 04gzg6 p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4877762" cy="1151232"/>
                    </a:xfrm>
                    <a:prstGeom prst="rect">
                      <a:avLst/>
                    </a:prstGeom>
                    <a:noFill/>
                    <a:ln>
                      <a:noFill/>
                    </a:ln>
                  </pic:spPr>
                </pic:pic>
              </a:graphicData>
            </a:graphic>
          </wp:inline>
        </w:drawing>
      </w:r>
    </w:p>
    <w:p w14:paraId="5CBEB47B" w14:textId="020A891D" w:rsidR="000476AD" w:rsidRPr="00B51C41" w:rsidRDefault="000476AD" w:rsidP="00C41A15">
      <w:r w:rsidRPr="00B51C41">
        <w:t xml:space="preserve">However, compared to the analysis with predicted descriptive statistics presented above, the analysis presented in report does indicate some differences in pharmacokinetics for the </w:t>
      </w:r>
      <w:proofErr w:type="spellStart"/>
      <w:r w:rsidRPr="00B51C41">
        <w:t>cHL</w:t>
      </w:r>
      <w:proofErr w:type="spellEnd"/>
      <w:r w:rsidRPr="00B51C41">
        <w:t xml:space="preserve"> population at a dose of 20</w:t>
      </w:r>
      <w:r w:rsidR="00CC4E8D">
        <w:t>0 mg</w:t>
      </w:r>
      <w:r w:rsidRPr="00B51C41">
        <w:t xml:space="preserve"> Q3W. Based on this </w:t>
      </w:r>
      <w:r w:rsidRPr="00B51C41">
        <w:rPr>
          <w:i/>
        </w:rPr>
        <w:t xml:space="preserve">observed </w:t>
      </w:r>
      <w:r w:rsidRPr="00B51C41">
        <w:t xml:space="preserve">data, there is an increase in </w:t>
      </w:r>
      <w:proofErr w:type="spellStart"/>
      <w:r w:rsidR="0049158D">
        <w:t>C</w:t>
      </w:r>
      <w:r w:rsidR="0049158D" w:rsidRPr="0049158D">
        <w:rPr>
          <w:vertAlign w:val="subscript"/>
        </w:rPr>
        <w:t>min</w:t>
      </w:r>
      <w:proofErr w:type="spellEnd"/>
      <w:r w:rsidRPr="00B51C41">
        <w:t xml:space="preserve"> for </w:t>
      </w:r>
      <w:proofErr w:type="spellStart"/>
      <w:r w:rsidRPr="00B51C41">
        <w:t>cHL</w:t>
      </w:r>
      <w:proofErr w:type="spellEnd"/>
      <w:r w:rsidRPr="00B51C41">
        <w:t xml:space="preserve"> at 20</w:t>
      </w:r>
      <w:r w:rsidR="00CC4E8D">
        <w:t>0 mg</w:t>
      </w:r>
      <w:r w:rsidRPr="00B51C41">
        <w:t xml:space="preserve"> Q3W dosing compared to that for NSCLC and HNSCC at the same dose </w:t>
      </w:r>
      <w:r w:rsidRPr="00140C9E">
        <w:t xml:space="preserve">level (see </w:t>
      </w:r>
      <w:r w:rsidR="00606070">
        <w:t>Figure 1</w:t>
      </w:r>
      <w:r w:rsidRPr="00140C9E">
        <w:t>).</w:t>
      </w:r>
    </w:p>
    <w:p w14:paraId="5CBEB47C" w14:textId="77777777" w:rsidR="000476AD" w:rsidRDefault="00C41A15" w:rsidP="00C41A15">
      <w:pPr>
        <w:pStyle w:val="FigureTitle"/>
      </w:pPr>
      <w:bookmarkStart w:id="117" w:name="_Ref486251638"/>
      <w:bookmarkStart w:id="118" w:name="_Ref486251628"/>
      <w:r>
        <w:t>F</w:t>
      </w:r>
      <w:r w:rsidR="000476AD">
        <w:t xml:space="preserve">igure </w:t>
      </w:r>
      <w:bookmarkEnd w:id="117"/>
      <w:r w:rsidR="00606070">
        <w:t>1</w:t>
      </w:r>
      <w:r w:rsidR="000476AD">
        <w:t xml:space="preserve">: Comparison of distributions of </w:t>
      </w:r>
      <w:r w:rsidR="000476AD" w:rsidRPr="000D4029">
        <w:rPr>
          <w:i/>
        </w:rPr>
        <w:t>observed</w:t>
      </w:r>
      <w:r w:rsidR="000476AD">
        <w:t xml:space="preserve"> trough concentrations (after cycle 1) between indications and dose regimens</w:t>
      </w:r>
      <w:bookmarkEnd w:id="118"/>
    </w:p>
    <w:p w14:paraId="5CBEB47D" w14:textId="77777777" w:rsidR="000476AD" w:rsidRDefault="000476AD" w:rsidP="00C41A15">
      <w:pPr>
        <w:keepNext/>
        <w:spacing w:before="0" w:after="0" w:line="240" w:lineRule="auto"/>
      </w:pPr>
      <w:r>
        <w:rPr>
          <w:rFonts w:asciiTheme="minorHAnsi" w:hAnsiTheme="minorHAnsi"/>
          <w:noProof/>
          <w:sz w:val="24"/>
          <w:szCs w:val="24"/>
          <w:lang w:eastAsia="en-AU"/>
        </w:rPr>
        <w:drawing>
          <wp:inline distT="0" distB="0" distL="0" distR="0" wp14:anchorId="5CBEB964" wp14:editId="5CBEB965">
            <wp:extent cx="4526782" cy="3146686"/>
            <wp:effectExtent l="0" t="0" r="7620" b="0"/>
            <wp:docPr id="11" name="Picture 11" descr="Figure 1: Comparison of distributions of observed trough concentrations (after cycle 1) between indications and dose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lum bright="-40000" contrast="40000"/>
                      <a:extLst>
                        <a:ext uri="{28A0092B-C50C-407E-A947-70E740481C1C}">
                          <a14:useLocalDpi xmlns:a14="http://schemas.microsoft.com/office/drawing/2010/main" val="0"/>
                        </a:ext>
                      </a:extLst>
                    </a:blip>
                    <a:srcRect/>
                    <a:stretch>
                      <a:fillRect/>
                    </a:stretch>
                  </pic:blipFill>
                  <pic:spPr bwMode="auto">
                    <a:xfrm>
                      <a:off x="0" y="0"/>
                      <a:ext cx="4529904" cy="3148856"/>
                    </a:xfrm>
                    <a:prstGeom prst="rect">
                      <a:avLst/>
                    </a:prstGeom>
                    <a:noFill/>
                    <a:ln>
                      <a:noFill/>
                    </a:ln>
                  </pic:spPr>
                </pic:pic>
              </a:graphicData>
            </a:graphic>
          </wp:inline>
        </w:drawing>
      </w:r>
    </w:p>
    <w:p w14:paraId="37C707E7" w14:textId="77777777" w:rsidR="00F8652A" w:rsidRDefault="000476AD" w:rsidP="00C41A15">
      <w:r w:rsidRPr="00B51C41">
        <w:t xml:space="preserve">This finding based on </w:t>
      </w:r>
      <w:r w:rsidRPr="00B51C41">
        <w:rPr>
          <w:i/>
        </w:rPr>
        <w:t>observed</w:t>
      </w:r>
      <w:r w:rsidRPr="00B51C41">
        <w:t xml:space="preserve"> data has not been </w:t>
      </w:r>
      <w:r w:rsidR="00C41A15">
        <w:t>identified or discussed in the s</w:t>
      </w:r>
      <w:r w:rsidRPr="00B51C41">
        <w:t xml:space="preserve">ponsor’s population pharmacokinetic report. In particular, the clinical significance of this finding is not known. </w:t>
      </w:r>
      <w:r w:rsidRPr="00B51C41">
        <w:lastRenderedPageBreak/>
        <w:t>Furthermore, steady-state data appears more limited with a small number of data points included in the analysis.</w:t>
      </w:r>
    </w:p>
    <w:p w14:paraId="5CBEB47F" w14:textId="7D8022E1" w:rsidR="000476AD" w:rsidRPr="00B51C41" w:rsidRDefault="000476AD" w:rsidP="00C41A15">
      <w:r w:rsidRPr="00B51C41">
        <w:t xml:space="preserve">Data on other pharmacokinetic parameters such as clearance and an exposure-response analysis in </w:t>
      </w:r>
      <w:proofErr w:type="spellStart"/>
      <w:r w:rsidRPr="00B51C41">
        <w:t>cHL</w:t>
      </w:r>
      <w:proofErr w:type="spellEnd"/>
      <w:r w:rsidRPr="00B51C41">
        <w:t xml:space="preserve"> has not been provided.</w:t>
      </w:r>
    </w:p>
    <w:p w14:paraId="5CBEB480" w14:textId="77777777" w:rsidR="000476AD" w:rsidRPr="00B51C41" w:rsidRDefault="000476AD" w:rsidP="00C41A15">
      <w:pPr>
        <w:pStyle w:val="Heading4"/>
      </w:pPr>
      <w:r w:rsidRPr="00B51C41">
        <w:t>Dose-tumour size analysis</w:t>
      </w:r>
    </w:p>
    <w:p w14:paraId="5CBEB481" w14:textId="77777777" w:rsidR="000476AD" w:rsidRPr="00B51C41" w:rsidRDefault="000476AD" w:rsidP="000476AD">
      <w:pPr>
        <w:spacing w:before="0" w:line="240" w:lineRule="auto"/>
        <w:rPr>
          <w:rFonts w:asciiTheme="minorHAnsi" w:hAnsiTheme="minorHAnsi"/>
        </w:rPr>
      </w:pPr>
      <w:r w:rsidRPr="00B51C41">
        <w:rPr>
          <w:rFonts w:asciiTheme="minorHAnsi" w:hAnsiTheme="minorHAnsi"/>
        </w:rPr>
        <w:t xml:space="preserve">A dose-tumour size analysis was submitted which was designed to explore the relationship between </w:t>
      </w:r>
      <w:proofErr w:type="spellStart"/>
      <w:r w:rsidRPr="00B51C41">
        <w:rPr>
          <w:rFonts w:asciiTheme="minorHAnsi" w:hAnsiTheme="minorHAnsi"/>
        </w:rPr>
        <w:t>pembrolizumab</w:t>
      </w:r>
      <w:proofErr w:type="spellEnd"/>
      <w:r w:rsidRPr="00B51C41">
        <w:rPr>
          <w:rFonts w:asciiTheme="minorHAnsi" w:hAnsiTheme="minorHAnsi"/>
        </w:rPr>
        <w:t xml:space="preserve"> dose and the anti-tumour response measured as the change from </w:t>
      </w:r>
      <w:r w:rsidRPr="00140C9E">
        <w:rPr>
          <w:rFonts w:asciiTheme="minorHAnsi" w:hAnsiTheme="minorHAnsi"/>
        </w:rPr>
        <w:t xml:space="preserve">baseline of the sum of the area of index lesions in subjects with </w:t>
      </w:r>
      <w:proofErr w:type="spellStart"/>
      <w:r w:rsidRPr="00140C9E">
        <w:rPr>
          <w:rFonts w:asciiTheme="minorHAnsi" w:hAnsiTheme="minorHAnsi"/>
        </w:rPr>
        <w:t>rrCHL</w:t>
      </w:r>
      <w:proofErr w:type="spellEnd"/>
      <w:r w:rsidRPr="00140C9E">
        <w:rPr>
          <w:rFonts w:asciiTheme="minorHAnsi" w:hAnsiTheme="minorHAnsi"/>
        </w:rPr>
        <w:t xml:space="preserve">. A graphical analysis was performed to evaluate the best overall change in tumour size versus dose (see </w:t>
      </w:r>
      <w:r w:rsidRPr="00140C9E">
        <w:rPr>
          <w:rFonts w:asciiTheme="minorHAnsi" w:hAnsiTheme="minorHAnsi"/>
        </w:rPr>
        <w:fldChar w:fldCharType="begin"/>
      </w:r>
      <w:r w:rsidRPr="00140C9E">
        <w:rPr>
          <w:rFonts w:asciiTheme="minorHAnsi" w:hAnsiTheme="minorHAnsi"/>
        </w:rPr>
        <w:instrText xml:space="preserve"> REF _Ref486254959 \h  \* MERGEFORMAT </w:instrText>
      </w:r>
      <w:r w:rsidRPr="00140C9E">
        <w:rPr>
          <w:rFonts w:asciiTheme="minorHAnsi" w:hAnsiTheme="minorHAnsi"/>
        </w:rPr>
      </w:r>
      <w:r w:rsidRPr="00140C9E">
        <w:rPr>
          <w:rFonts w:asciiTheme="minorHAnsi" w:hAnsiTheme="minorHAnsi"/>
        </w:rPr>
        <w:fldChar w:fldCharType="separate"/>
      </w:r>
      <w:r w:rsidR="00FE7F2B">
        <w:t>Figure</w:t>
      </w:r>
      <w:r w:rsidRPr="00140C9E">
        <w:rPr>
          <w:rFonts w:asciiTheme="minorHAnsi" w:hAnsiTheme="minorHAnsi"/>
        </w:rPr>
        <w:fldChar w:fldCharType="end"/>
      </w:r>
      <w:r w:rsidR="00C41A15" w:rsidRPr="00140C9E">
        <w:rPr>
          <w:rFonts w:asciiTheme="minorHAnsi" w:hAnsiTheme="minorHAnsi"/>
        </w:rPr>
        <w:t xml:space="preserve"> </w:t>
      </w:r>
      <w:r w:rsidR="00606070">
        <w:rPr>
          <w:rFonts w:asciiTheme="minorHAnsi" w:hAnsiTheme="minorHAnsi"/>
        </w:rPr>
        <w:t>2</w:t>
      </w:r>
      <w:r w:rsidR="00140C9E" w:rsidRPr="00140C9E">
        <w:rPr>
          <w:rFonts w:asciiTheme="minorHAnsi" w:hAnsiTheme="minorHAnsi"/>
        </w:rPr>
        <w:t xml:space="preserve"> </w:t>
      </w:r>
      <w:r w:rsidR="00C41A15" w:rsidRPr="00140C9E">
        <w:rPr>
          <w:rFonts w:asciiTheme="minorHAnsi" w:hAnsiTheme="minorHAnsi"/>
        </w:rPr>
        <w:t>below). The s</w:t>
      </w:r>
      <w:r w:rsidRPr="00140C9E">
        <w:rPr>
          <w:rFonts w:asciiTheme="minorHAnsi" w:hAnsiTheme="minorHAnsi"/>
        </w:rPr>
        <w:t xml:space="preserve">ponsor concluded that there is no dose-dependency in tumour size responses in </w:t>
      </w:r>
      <w:proofErr w:type="spellStart"/>
      <w:r w:rsidRPr="00140C9E">
        <w:rPr>
          <w:rFonts w:asciiTheme="minorHAnsi" w:hAnsiTheme="minorHAnsi"/>
        </w:rPr>
        <w:t>rrcHL</w:t>
      </w:r>
      <w:proofErr w:type="spellEnd"/>
      <w:r w:rsidRPr="00140C9E">
        <w:rPr>
          <w:rFonts w:asciiTheme="minorHAnsi" w:hAnsiTheme="minorHAnsi"/>
        </w:rPr>
        <w:t xml:space="preserve"> subjects treated with </w:t>
      </w:r>
      <w:proofErr w:type="spellStart"/>
      <w:r w:rsidRPr="00140C9E">
        <w:rPr>
          <w:rFonts w:asciiTheme="minorHAnsi" w:hAnsiTheme="minorHAnsi"/>
        </w:rPr>
        <w:t>pembrolizumab</w:t>
      </w:r>
      <w:proofErr w:type="spellEnd"/>
      <w:r w:rsidRPr="00140C9E">
        <w:rPr>
          <w:rFonts w:asciiTheme="minorHAnsi" w:hAnsiTheme="minorHAnsi"/>
        </w:rPr>
        <w:t xml:space="preserve"> at doses between 20</w:t>
      </w:r>
      <w:r w:rsidR="00C41A15" w:rsidRPr="00140C9E">
        <w:rPr>
          <w:rFonts w:asciiTheme="minorHAnsi" w:hAnsiTheme="minorHAnsi"/>
        </w:rPr>
        <w:t>0 mg Q3W</w:t>
      </w:r>
      <w:r w:rsidR="00C41A15">
        <w:rPr>
          <w:rFonts w:asciiTheme="minorHAnsi" w:hAnsiTheme="minorHAnsi"/>
        </w:rPr>
        <w:t xml:space="preserve"> and 10 mg/kg Q2W. The s</w:t>
      </w:r>
      <w:r w:rsidRPr="00B51C41">
        <w:rPr>
          <w:rFonts w:asciiTheme="minorHAnsi" w:hAnsiTheme="minorHAnsi"/>
        </w:rPr>
        <w:t>ponsor also concluded that in KN087 the ORR observed at 20</w:t>
      </w:r>
      <w:r w:rsidR="00CC4E8D">
        <w:rPr>
          <w:rFonts w:asciiTheme="minorHAnsi" w:hAnsiTheme="minorHAnsi"/>
        </w:rPr>
        <w:t>0 mg</w:t>
      </w:r>
      <w:r w:rsidRPr="00B51C41">
        <w:rPr>
          <w:rFonts w:asciiTheme="minorHAnsi" w:hAnsiTheme="minorHAnsi"/>
        </w:rPr>
        <w:t xml:space="preserve"> Q3W is similar to that observed in KN013 at 10</w:t>
      </w:r>
      <w:r w:rsidR="00C41A15">
        <w:rPr>
          <w:rFonts w:asciiTheme="minorHAnsi" w:hAnsiTheme="minorHAnsi"/>
        </w:rPr>
        <w:t xml:space="preserve"> </w:t>
      </w:r>
      <w:r w:rsidRPr="00B51C41">
        <w:rPr>
          <w:rFonts w:asciiTheme="minorHAnsi" w:hAnsiTheme="minorHAnsi"/>
        </w:rPr>
        <w:t>mg/kg Q2W. However, the ORR observed at 20</w:t>
      </w:r>
      <w:r w:rsidR="00CC4E8D">
        <w:rPr>
          <w:rFonts w:asciiTheme="minorHAnsi" w:hAnsiTheme="minorHAnsi"/>
        </w:rPr>
        <w:t>0 mg</w:t>
      </w:r>
      <w:r w:rsidRPr="00B51C41">
        <w:rPr>
          <w:rFonts w:asciiTheme="minorHAnsi" w:hAnsiTheme="minorHAnsi"/>
        </w:rPr>
        <w:t xml:space="preserve"> Q3W in </w:t>
      </w:r>
      <w:r w:rsidR="00ED605C">
        <w:rPr>
          <w:rFonts w:asciiTheme="minorHAnsi" w:hAnsiTheme="minorHAnsi"/>
        </w:rPr>
        <w:t>Study KN</w:t>
      </w:r>
      <w:r w:rsidRPr="00B51C41">
        <w:rPr>
          <w:rFonts w:asciiTheme="minorHAnsi" w:hAnsiTheme="minorHAnsi"/>
        </w:rPr>
        <w:t xml:space="preserve">087 was 68.1% (95% CI 61.3 to 74.3), which is higher than that observed in </w:t>
      </w:r>
      <w:r w:rsidR="00ED605C">
        <w:rPr>
          <w:rFonts w:asciiTheme="minorHAnsi" w:hAnsiTheme="minorHAnsi"/>
        </w:rPr>
        <w:t>Study KN</w:t>
      </w:r>
      <w:r w:rsidRPr="00B51C41">
        <w:rPr>
          <w:rFonts w:asciiTheme="minorHAnsi" w:hAnsiTheme="minorHAnsi"/>
        </w:rPr>
        <w:t>013 (10</w:t>
      </w:r>
      <w:r w:rsidR="00C41A15">
        <w:rPr>
          <w:rFonts w:asciiTheme="minorHAnsi" w:hAnsiTheme="minorHAnsi"/>
        </w:rPr>
        <w:t xml:space="preserve"> </w:t>
      </w:r>
      <w:r w:rsidRPr="00B51C41">
        <w:rPr>
          <w:rFonts w:asciiTheme="minorHAnsi" w:hAnsiTheme="minorHAnsi"/>
        </w:rPr>
        <w:t xml:space="preserve">mg/kg Q2W) with an ORR of 58.1% (95% CI 39.1 to 75.5). The small number of patients in </w:t>
      </w:r>
      <w:r w:rsidR="00ED605C">
        <w:rPr>
          <w:rFonts w:asciiTheme="minorHAnsi" w:hAnsiTheme="minorHAnsi"/>
        </w:rPr>
        <w:t>Study KN</w:t>
      </w:r>
      <w:r w:rsidRPr="00B51C41">
        <w:rPr>
          <w:rFonts w:asciiTheme="minorHAnsi" w:hAnsiTheme="minorHAnsi"/>
        </w:rPr>
        <w:t>013 also limits the interpretation of this result.</w:t>
      </w:r>
    </w:p>
    <w:p w14:paraId="5CBEB482" w14:textId="77777777" w:rsidR="000476AD" w:rsidRDefault="000476AD" w:rsidP="00C41A15">
      <w:pPr>
        <w:pStyle w:val="FigureTitle"/>
      </w:pPr>
      <w:bookmarkStart w:id="119" w:name="_Ref486254959"/>
      <w:r>
        <w:t>Figure</w:t>
      </w:r>
      <w:bookmarkEnd w:id="119"/>
      <w:r w:rsidR="00140C9E">
        <w:t xml:space="preserve"> </w:t>
      </w:r>
      <w:r w:rsidR="00606070">
        <w:t>2</w:t>
      </w:r>
      <w:r>
        <w:t>: Distribution of best overall individual percent change from baseline in tumour si</w:t>
      </w:r>
      <w:r w:rsidR="00C41A15">
        <w:t>ze by protocol and dose regimen</w:t>
      </w:r>
    </w:p>
    <w:p w14:paraId="5CBEB483" w14:textId="77777777" w:rsidR="000476AD" w:rsidRDefault="000476AD" w:rsidP="00C41A15">
      <w:pPr>
        <w:spacing w:before="0" w:after="0" w:line="240" w:lineRule="auto"/>
        <w:rPr>
          <w:rFonts w:asciiTheme="minorHAnsi" w:hAnsiTheme="minorHAnsi"/>
          <w:sz w:val="24"/>
          <w:szCs w:val="24"/>
          <w:highlight w:val="yellow"/>
        </w:rPr>
      </w:pPr>
      <w:r>
        <w:rPr>
          <w:rFonts w:asciiTheme="minorHAnsi" w:hAnsiTheme="minorHAnsi"/>
          <w:noProof/>
          <w:sz w:val="24"/>
          <w:szCs w:val="24"/>
          <w:lang w:eastAsia="en-AU"/>
        </w:rPr>
        <w:drawing>
          <wp:inline distT="0" distB="0" distL="0" distR="0" wp14:anchorId="5CBEB966" wp14:editId="5CBEB967">
            <wp:extent cx="2914650" cy="2128432"/>
            <wp:effectExtent l="0" t="0" r="0" b="5715"/>
            <wp:docPr id="13" name="Picture 13" descr="Figure 2: Distribution of best overall individual percent change from baseline in tumour size by protocol and dose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2918459" cy="2131213"/>
                    </a:xfrm>
                    <a:prstGeom prst="rect">
                      <a:avLst/>
                    </a:prstGeom>
                    <a:noFill/>
                    <a:ln>
                      <a:noFill/>
                    </a:ln>
                  </pic:spPr>
                </pic:pic>
              </a:graphicData>
            </a:graphic>
          </wp:inline>
        </w:drawing>
      </w:r>
    </w:p>
    <w:p w14:paraId="5CBEB484" w14:textId="77777777" w:rsidR="000476AD" w:rsidRPr="00B51C41" w:rsidRDefault="00070C4A" w:rsidP="000476AD">
      <w:pPr>
        <w:spacing w:before="0" w:after="0" w:line="240" w:lineRule="auto"/>
        <w:rPr>
          <w:rFonts w:asciiTheme="minorHAnsi" w:hAnsiTheme="minorHAnsi"/>
        </w:rPr>
      </w:pPr>
      <w:r>
        <w:rPr>
          <w:rFonts w:asciiTheme="minorHAnsi" w:hAnsiTheme="minorHAnsi"/>
        </w:rPr>
        <w:t>A</w:t>
      </w:r>
      <w:r w:rsidR="000476AD" w:rsidRPr="00B51C41">
        <w:rPr>
          <w:rFonts w:asciiTheme="minorHAnsi" w:hAnsiTheme="minorHAnsi"/>
        </w:rPr>
        <w:t xml:space="preserve">s a result of these pharmacokinetic differences in </w:t>
      </w:r>
      <w:proofErr w:type="spellStart"/>
      <w:r w:rsidR="000476AD" w:rsidRPr="00B51C41">
        <w:rPr>
          <w:rFonts w:asciiTheme="minorHAnsi" w:hAnsiTheme="minorHAnsi"/>
        </w:rPr>
        <w:t>cHL</w:t>
      </w:r>
      <w:proofErr w:type="spellEnd"/>
      <w:r w:rsidR="000476AD" w:rsidRPr="00B51C41">
        <w:rPr>
          <w:rFonts w:asciiTheme="minorHAnsi" w:hAnsiTheme="minorHAnsi"/>
        </w:rPr>
        <w:t xml:space="preserve"> based on the available data; additional wording is suggested in the </w:t>
      </w:r>
      <w:r w:rsidR="00C41A15" w:rsidRPr="00B51C41">
        <w:rPr>
          <w:rFonts w:asciiTheme="minorHAnsi" w:hAnsiTheme="minorHAnsi"/>
        </w:rPr>
        <w:t xml:space="preserve">Pharmacokinetics </w:t>
      </w:r>
      <w:r w:rsidR="000476AD" w:rsidRPr="00B51C41">
        <w:rPr>
          <w:rFonts w:asciiTheme="minorHAnsi" w:hAnsiTheme="minorHAnsi"/>
        </w:rPr>
        <w:t>section of the Australian PI</w:t>
      </w:r>
      <w:r w:rsidR="00C41A15">
        <w:rPr>
          <w:rFonts w:asciiTheme="minorHAnsi" w:hAnsiTheme="minorHAnsi"/>
        </w:rPr>
        <w:t>.</w:t>
      </w:r>
    </w:p>
    <w:p w14:paraId="5CBEB485" w14:textId="77777777" w:rsidR="000476AD" w:rsidRPr="00D965CC" w:rsidRDefault="000476AD" w:rsidP="00C41A15">
      <w:pPr>
        <w:pStyle w:val="Heading4"/>
      </w:pPr>
      <w:r w:rsidRPr="00D965CC">
        <w:t>Efficacy</w:t>
      </w:r>
    </w:p>
    <w:p w14:paraId="7857029D" w14:textId="77777777" w:rsidR="00F8652A" w:rsidRDefault="000476AD" w:rsidP="00C41A15">
      <w:r w:rsidRPr="00B51C41">
        <w:t xml:space="preserve">Efficacy in </w:t>
      </w:r>
      <w:proofErr w:type="spellStart"/>
      <w:r w:rsidRPr="00B51C41">
        <w:t>cHL</w:t>
      </w:r>
      <w:proofErr w:type="spellEnd"/>
      <w:r w:rsidRPr="00B51C41">
        <w:t xml:space="preserve"> is claimed based on the results described in the Interim Clinical Study Reports for the Phase </w:t>
      </w:r>
      <w:r w:rsidR="002231A7">
        <w:t>II study KEYNOTE 087 and a Phase I</w:t>
      </w:r>
      <w:r w:rsidRPr="00B51C41">
        <w:t xml:space="preserve"> study KEYNOTE 013, in a total of 241 subjects (230 subjects from KEYNOTE 087 and 31 subjects from KEYNOTE 013).</w:t>
      </w:r>
    </w:p>
    <w:p w14:paraId="1BCD8049" w14:textId="77777777" w:rsidR="00F8652A" w:rsidRDefault="000476AD" w:rsidP="00C41A15">
      <w:r w:rsidRPr="00B51C41">
        <w:t xml:space="preserve">Interim reports from KEYNOTE 087 and KEYNOTE 013 have been presented as both studies are currently ongoing. Initially, efficacy data was presented with a cut-off date of 27 June 2016 for KEYNOTE 087 and 3 June 2016 for KEYNOTE 013. At </w:t>
      </w:r>
      <w:r w:rsidR="002231A7">
        <w:t xml:space="preserve">the second round </w:t>
      </w:r>
      <w:r w:rsidR="005616A2">
        <w:t>evaluation</w:t>
      </w:r>
      <w:r w:rsidRPr="00B51C41">
        <w:t xml:space="preserve">, an </w:t>
      </w:r>
      <w:r w:rsidR="00ED59E7">
        <w:t>‘</w:t>
      </w:r>
      <w:r w:rsidRPr="00B51C41">
        <w:t>Efficacy Update Report</w:t>
      </w:r>
      <w:r w:rsidR="00ED59E7">
        <w:t>’</w:t>
      </w:r>
      <w:r w:rsidRPr="00B51C41">
        <w:t xml:space="preserve"> was submitted (no date) which provides approximately 3 months additional follow-up for KEYNOTE-087 and approximately 3.8 months additional follow-up for KEYNOTE-013. This </w:t>
      </w:r>
      <w:r w:rsidR="00ED59E7">
        <w:t>‘</w:t>
      </w:r>
      <w:r w:rsidRPr="00B51C41">
        <w:t>Efficacy Update Report</w:t>
      </w:r>
      <w:r w:rsidR="00ED59E7">
        <w:t>’</w:t>
      </w:r>
      <w:r w:rsidRPr="00B51C41">
        <w:t xml:space="preserve"> presents data cut-off dates reported as of 25</w:t>
      </w:r>
      <w:r w:rsidR="002231A7">
        <w:t xml:space="preserve"> </w:t>
      </w:r>
      <w:r w:rsidRPr="00B51C41">
        <w:t>Sep</w:t>
      </w:r>
      <w:r w:rsidR="002231A7">
        <w:t xml:space="preserve">tember </w:t>
      </w:r>
      <w:r w:rsidRPr="00B51C41">
        <w:t>2016 for KEYNOTE-087 and 27</w:t>
      </w:r>
      <w:r w:rsidR="002231A7">
        <w:t xml:space="preserve"> </w:t>
      </w:r>
      <w:r w:rsidRPr="00B51C41">
        <w:t>Sep</w:t>
      </w:r>
      <w:r w:rsidR="002231A7">
        <w:t xml:space="preserve">tember </w:t>
      </w:r>
      <w:r w:rsidRPr="00B51C41">
        <w:t>2016 for KEYNOTE-013.</w:t>
      </w:r>
    </w:p>
    <w:p w14:paraId="5CBEB488" w14:textId="3D0C4C07" w:rsidR="000476AD" w:rsidRPr="00B51C41" w:rsidRDefault="000476AD" w:rsidP="002231A7">
      <w:pPr>
        <w:pStyle w:val="Heading5"/>
      </w:pPr>
      <w:r w:rsidRPr="00B51C41">
        <w:t>Study KEYNOTE 087</w:t>
      </w:r>
    </w:p>
    <w:p w14:paraId="04DCB0E2" w14:textId="77777777" w:rsidR="00F8652A" w:rsidRDefault="002231A7" w:rsidP="000476AD">
      <w:pPr>
        <w:spacing w:before="0" w:after="0" w:line="240" w:lineRule="auto"/>
        <w:rPr>
          <w:rFonts w:asciiTheme="minorHAnsi" w:hAnsiTheme="minorHAnsi"/>
        </w:rPr>
      </w:pPr>
      <w:r>
        <w:rPr>
          <w:rFonts w:asciiTheme="minorHAnsi" w:hAnsiTheme="minorHAnsi"/>
        </w:rPr>
        <w:t xml:space="preserve">This is </w:t>
      </w:r>
      <w:r w:rsidR="005616A2">
        <w:rPr>
          <w:rFonts w:asciiTheme="minorHAnsi" w:hAnsiTheme="minorHAnsi"/>
        </w:rPr>
        <w:t xml:space="preserve">a </w:t>
      </w:r>
      <w:r w:rsidR="005616A2" w:rsidRPr="00B51C41">
        <w:rPr>
          <w:rFonts w:asciiTheme="minorHAnsi" w:hAnsiTheme="minorHAnsi"/>
        </w:rPr>
        <w:t>Phase</w:t>
      </w:r>
      <w:r w:rsidR="000476AD" w:rsidRPr="00B51C41">
        <w:rPr>
          <w:rFonts w:asciiTheme="minorHAnsi" w:hAnsiTheme="minorHAnsi"/>
        </w:rPr>
        <w:t xml:space="preserve"> II multicentre, singl</w:t>
      </w:r>
      <w:r>
        <w:rPr>
          <w:rFonts w:asciiTheme="minorHAnsi" w:hAnsiTheme="minorHAnsi"/>
        </w:rPr>
        <w:t>e arm, multi-cohort, non-randomis</w:t>
      </w:r>
      <w:r w:rsidR="000476AD" w:rsidRPr="00B51C41">
        <w:rPr>
          <w:rFonts w:asciiTheme="minorHAnsi" w:hAnsiTheme="minorHAnsi"/>
        </w:rPr>
        <w:t xml:space="preserve">ed trial of </w:t>
      </w:r>
      <w:proofErr w:type="spellStart"/>
      <w:r w:rsidR="000476AD" w:rsidRPr="00B51C41">
        <w:rPr>
          <w:rFonts w:asciiTheme="minorHAnsi" w:hAnsiTheme="minorHAnsi"/>
        </w:rPr>
        <w:t>pembrolizumab</w:t>
      </w:r>
      <w:proofErr w:type="spellEnd"/>
      <w:r w:rsidR="000476AD" w:rsidRPr="00B51C41">
        <w:rPr>
          <w:rFonts w:asciiTheme="minorHAnsi" w:hAnsiTheme="minorHAnsi"/>
        </w:rPr>
        <w:t xml:space="preserve"> 200</w:t>
      </w:r>
      <w:r>
        <w:rPr>
          <w:rFonts w:asciiTheme="minorHAnsi" w:hAnsiTheme="minorHAnsi"/>
        </w:rPr>
        <w:t xml:space="preserve"> </w:t>
      </w:r>
      <w:r w:rsidR="000476AD" w:rsidRPr="00B51C41">
        <w:rPr>
          <w:rFonts w:asciiTheme="minorHAnsi" w:hAnsiTheme="minorHAnsi"/>
        </w:rPr>
        <w:t xml:space="preserve">mg Q3W, in subjects with </w:t>
      </w:r>
      <w:proofErr w:type="spellStart"/>
      <w:r w:rsidR="000476AD" w:rsidRPr="00B51C41">
        <w:rPr>
          <w:rFonts w:asciiTheme="minorHAnsi" w:hAnsiTheme="minorHAnsi"/>
        </w:rPr>
        <w:t>rrcHL</w:t>
      </w:r>
      <w:proofErr w:type="spellEnd"/>
      <w:r w:rsidR="000476AD" w:rsidRPr="00B51C41">
        <w:rPr>
          <w:rFonts w:asciiTheme="minorHAnsi" w:hAnsiTheme="minorHAnsi"/>
        </w:rPr>
        <w:t xml:space="preserve">. For a full description of this study, please see </w:t>
      </w:r>
      <w:r>
        <w:rPr>
          <w:rFonts w:asciiTheme="minorHAnsi" w:hAnsiTheme="minorHAnsi"/>
        </w:rPr>
        <w:t>Attachment 2</w:t>
      </w:r>
      <w:r w:rsidR="000476AD" w:rsidRPr="00B51C41">
        <w:rPr>
          <w:rFonts w:asciiTheme="minorHAnsi" w:hAnsiTheme="minorHAnsi"/>
        </w:rPr>
        <w:t>).</w:t>
      </w:r>
    </w:p>
    <w:p w14:paraId="5CBEB48A" w14:textId="35BF3EE5" w:rsidR="000476AD" w:rsidRPr="00B51C41" w:rsidRDefault="000476AD" w:rsidP="000476AD">
      <w:pPr>
        <w:spacing w:before="0" w:after="0" w:line="240" w:lineRule="auto"/>
        <w:rPr>
          <w:rFonts w:asciiTheme="minorHAnsi" w:hAnsiTheme="minorHAnsi"/>
        </w:rPr>
      </w:pPr>
      <w:r w:rsidRPr="00B51C41">
        <w:rPr>
          <w:rFonts w:asciiTheme="minorHAnsi" w:hAnsiTheme="minorHAnsi"/>
        </w:rPr>
        <w:t>Subjects meeting eligibility criteria were allocated to one of three cohorts in KEYNOTE-087, depending on their prior disease history and therapy:</w:t>
      </w:r>
    </w:p>
    <w:p w14:paraId="5CBEB48B" w14:textId="77777777" w:rsidR="000476AD" w:rsidRPr="00B51C41" w:rsidRDefault="000476AD" w:rsidP="002231A7">
      <w:pPr>
        <w:pStyle w:val="ListBullet"/>
      </w:pPr>
      <w:r w:rsidRPr="00B51C41">
        <w:lastRenderedPageBreak/>
        <w:t>Cohort 1: subjects who failed to respond or progressed after auto-SCT therapy and relapsed or failed to respond after treatment with BV post auto-SCT.</w:t>
      </w:r>
    </w:p>
    <w:p w14:paraId="5CBEB48C" w14:textId="77777777" w:rsidR="000476AD" w:rsidRPr="00B51C41" w:rsidRDefault="000476AD" w:rsidP="002231A7">
      <w:pPr>
        <w:pStyle w:val="ListBullet"/>
      </w:pPr>
      <w:r w:rsidRPr="00B51C41">
        <w:t>Cohort 2: subjects who were ineligible for an auto-SCT (unable to achieve a complete or partial response to salvage therapy) and have relapsed after treatment with or failed to respond to BV.</w:t>
      </w:r>
    </w:p>
    <w:p w14:paraId="5CBEB48D" w14:textId="77777777" w:rsidR="000476AD" w:rsidRPr="00B51C41" w:rsidRDefault="000476AD" w:rsidP="002231A7">
      <w:pPr>
        <w:pStyle w:val="ListBullet"/>
      </w:pPr>
      <w:r w:rsidRPr="00B51C41">
        <w:t>Cohort 3: subjects who failed to respond to or progressed after auto-SC</w:t>
      </w:r>
      <w:r w:rsidR="002231A7">
        <w:t>T and have not received BV post A</w:t>
      </w:r>
      <w:r w:rsidRPr="00B51C41">
        <w:t>SCT. These subjects could have received BV as part of primary treatment or salvage therapy. Of note: Twenty-five patients (25/60 or 41.7%) in Cohort 3 had received BV before ASCT (see CER page 25 and 35).</w:t>
      </w:r>
    </w:p>
    <w:p w14:paraId="7639A05F" w14:textId="77777777" w:rsidR="00F8652A" w:rsidRDefault="000476AD" w:rsidP="002231A7">
      <w:r w:rsidRPr="00B51C41">
        <w:t xml:space="preserve">The primary objective of the study was to determine the safety and tolerability of </w:t>
      </w:r>
      <w:proofErr w:type="spellStart"/>
      <w:r w:rsidRPr="00B51C41">
        <w:t>pembrolizumab</w:t>
      </w:r>
      <w:proofErr w:type="spellEnd"/>
      <w:r w:rsidRPr="00B51C41">
        <w:t xml:space="preserve"> and to evaluate the objective response rate (ORR) of </w:t>
      </w:r>
      <w:proofErr w:type="spellStart"/>
      <w:r w:rsidRPr="00B51C41">
        <w:t>pembrolizumab</w:t>
      </w:r>
      <w:proofErr w:type="spellEnd"/>
      <w:r w:rsidRPr="00B51C41">
        <w:t xml:space="preserve"> by blinded, independent central review (BICR) according to the IWG response criteria, within each of the three cohorts.</w:t>
      </w:r>
    </w:p>
    <w:p w14:paraId="5CBEB48F" w14:textId="217A91D7" w:rsidR="000476AD" w:rsidRPr="00B51C41" w:rsidRDefault="000476AD" w:rsidP="002231A7">
      <w:r w:rsidRPr="00B51C41">
        <w:t>Secondary obj</w:t>
      </w:r>
      <w:r w:rsidR="002231A7">
        <w:t>ectives were listed as follows</w:t>
      </w:r>
      <w:r w:rsidRPr="00B51C41">
        <w:t>:</w:t>
      </w:r>
    </w:p>
    <w:p w14:paraId="5CBEB490" w14:textId="77777777" w:rsidR="000476AD" w:rsidRPr="00B51C41" w:rsidRDefault="000476AD" w:rsidP="002231A7">
      <w:pPr>
        <w:pStyle w:val="ListBullet"/>
      </w:pPr>
      <w:r w:rsidRPr="00B51C41">
        <w:t xml:space="preserve">Evaluate ORR of </w:t>
      </w:r>
      <w:proofErr w:type="spellStart"/>
      <w:r w:rsidRPr="00B51C41">
        <w:t>pembrolizumab</w:t>
      </w:r>
      <w:proofErr w:type="spellEnd"/>
      <w:r w:rsidRPr="00B51C41">
        <w:t xml:space="preserve"> by investigator assessment according to the IWG response criteria; and additionally by BICR using the 5-point scale according to the Lugano Classification. Note: this objective has not been analysed or reported at this time (see </w:t>
      </w:r>
      <w:r w:rsidR="002231A7">
        <w:t>Attachment 2</w:t>
      </w:r>
      <w:r w:rsidRPr="00B51C41">
        <w:t xml:space="preserve"> for further details).</w:t>
      </w:r>
    </w:p>
    <w:p w14:paraId="5CBEB491" w14:textId="77777777" w:rsidR="000476AD" w:rsidRPr="00B51C41" w:rsidRDefault="000476AD" w:rsidP="002231A7">
      <w:pPr>
        <w:pStyle w:val="ListBullet"/>
      </w:pPr>
      <w:r w:rsidRPr="00B51C41">
        <w:t xml:space="preserve">Evaluate Complete Remission Rate (CRR) of </w:t>
      </w:r>
      <w:proofErr w:type="spellStart"/>
      <w:r w:rsidRPr="00B51C41">
        <w:t>pembrolizumab</w:t>
      </w:r>
      <w:proofErr w:type="spellEnd"/>
      <w:r w:rsidRPr="00B51C41">
        <w:t xml:space="preserve"> by BICR and by investigator assessment according to the IWG response criteria; and additionally by BICR using the 5-point scale according to the Lugano Classification.</w:t>
      </w:r>
    </w:p>
    <w:p w14:paraId="5CBEB492" w14:textId="77777777" w:rsidR="000476AD" w:rsidRPr="00B51C41" w:rsidRDefault="000476AD" w:rsidP="002231A7">
      <w:pPr>
        <w:pStyle w:val="ListBullet"/>
      </w:pPr>
      <w:r w:rsidRPr="00B51C41">
        <w:t xml:space="preserve">Evaluate Progression Free Survival (PFS) and Duration of Response (DOR) of </w:t>
      </w:r>
      <w:proofErr w:type="spellStart"/>
      <w:r w:rsidRPr="00B51C41">
        <w:t>pembrolizumab</w:t>
      </w:r>
      <w:proofErr w:type="spellEnd"/>
      <w:r w:rsidRPr="00B51C41">
        <w:t xml:space="preserve"> by BICR and by investigator assessment according to the IWG response criteria.</w:t>
      </w:r>
    </w:p>
    <w:p w14:paraId="5CBEB493" w14:textId="77777777" w:rsidR="000476AD" w:rsidRPr="00B51C41" w:rsidRDefault="000476AD" w:rsidP="002231A7">
      <w:pPr>
        <w:pStyle w:val="ListBullet"/>
      </w:pPr>
      <w:r w:rsidRPr="00B51C41">
        <w:t xml:space="preserve">Evaluate the Overall Survival (OS) of </w:t>
      </w:r>
      <w:proofErr w:type="spellStart"/>
      <w:r w:rsidRPr="00B51C41">
        <w:t>pembrolizumab</w:t>
      </w:r>
      <w:proofErr w:type="spellEnd"/>
      <w:r w:rsidRPr="00B51C41">
        <w:t>.</w:t>
      </w:r>
    </w:p>
    <w:p w14:paraId="5CBEB494" w14:textId="77777777" w:rsidR="000476AD" w:rsidRPr="00B51C41" w:rsidRDefault="000476AD" w:rsidP="002231A7">
      <w:r w:rsidRPr="00B51C41">
        <w:t xml:space="preserve">A large number of exploratory objectives are listed in the clinical trial protocol, however only one is reported in the current submission (see </w:t>
      </w:r>
      <w:r w:rsidR="002231A7">
        <w:t>Attachment 2</w:t>
      </w:r>
      <w:r w:rsidRPr="00B51C41">
        <w:t xml:space="preserve">). This objective was to evaluate changes in health-related quality-of-life assessments (see </w:t>
      </w:r>
      <w:r w:rsidR="002231A7">
        <w:t>Attachment 2</w:t>
      </w:r>
      <w:r w:rsidRPr="00B51C41">
        <w:t>).</w:t>
      </w:r>
    </w:p>
    <w:p w14:paraId="5CBEB495" w14:textId="369FE0C1" w:rsidR="000476AD" w:rsidRPr="00B51C41" w:rsidRDefault="000476AD" w:rsidP="002231A7">
      <w:r w:rsidRPr="00B51C41">
        <w:t xml:space="preserve">A total of 210 subjects were enrolled and analysed (69 subjects in Cohort 1; 81 subjects in Cohort 2, and 60 subjects in Cohort 3). Median age was 35 years </w:t>
      </w:r>
      <w:r w:rsidR="003253B9">
        <w:t xml:space="preserve">of age </w:t>
      </w:r>
      <w:r w:rsidRPr="00B51C41">
        <w:t>(34 y</w:t>
      </w:r>
      <w:r w:rsidR="003253B9">
        <w:t>ears</w:t>
      </w:r>
      <w:r w:rsidRPr="00B51C41">
        <w:t>, 40 y</w:t>
      </w:r>
      <w:r w:rsidR="003253B9">
        <w:t>ears</w:t>
      </w:r>
      <w:r w:rsidRPr="00B51C41">
        <w:t xml:space="preserve"> and 32 y</w:t>
      </w:r>
      <w:r w:rsidR="003253B9">
        <w:t>ears for C</w:t>
      </w:r>
      <w:r w:rsidRPr="00B51C41">
        <w:t xml:space="preserve">ohort 1, 2 and 3, respectively). All subjects had </w:t>
      </w:r>
      <w:proofErr w:type="spellStart"/>
      <w:r w:rsidRPr="00B51C41">
        <w:t>cHL</w:t>
      </w:r>
      <w:proofErr w:type="spellEnd"/>
      <w:r w:rsidRPr="00B51C41">
        <w:t xml:space="preserve"> according to the following subgroups: 169 (80.5%) subjects had nodular </w:t>
      </w:r>
      <w:proofErr w:type="spellStart"/>
      <w:r w:rsidRPr="00B51C41">
        <w:t>sclerosing</w:t>
      </w:r>
      <w:proofErr w:type="spellEnd"/>
      <w:r w:rsidRPr="00B51C41">
        <w:t xml:space="preserve"> HL, 24 (11.4%) subjects had mixed cellularity HL, 8 (3.8%) subjects had lymphocyte rich HL, and 5 (2.4%) subjects had lymphocyte depleted HL. All subjects (N=210) were refractory to a previous therapy or had relapsed after </w:t>
      </w:r>
      <w:r w:rsidR="00D65F50">
        <w:t xml:space="preserve">≥ </w:t>
      </w:r>
      <w:r w:rsidRPr="00B51C41">
        <w:t xml:space="preserve">3 lines of therapy; 145 (69.0%) had relapsed after </w:t>
      </w:r>
      <w:r w:rsidR="00D65F50">
        <w:t xml:space="preserve">≥ </w:t>
      </w:r>
      <w:r w:rsidRPr="00B51C41">
        <w:t>3 lines of therapy and 74 (35.2%) were primary refractory</w:t>
      </w:r>
      <w:r w:rsidR="00070C4A">
        <w:t>.</w:t>
      </w:r>
      <w:r w:rsidRPr="00B51C41">
        <w:t xml:space="preserve"> Subjects in Cohorts 1 and 3 were post</w:t>
      </w:r>
      <w:r w:rsidR="003253B9">
        <w:t xml:space="preserve"> A</w:t>
      </w:r>
      <w:r w:rsidRPr="00B51C41">
        <w:t xml:space="preserve">SCT (n = 129 total), and subjects in Cohort 2 (n = 81) had not received an </w:t>
      </w:r>
      <w:r w:rsidR="003253B9">
        <w:t>A</w:t>
      </w:r>
      <w:r w:rsidRPr="00B51C41">
        <w:t>SCT. A total of 175 (83.3%) subjects had also previously failed to respond to or relapsed after treatment with BV. Seventy-six (36.2%) subjects had prior radiation therapy. The median number of prior lines of therapy was 4.0 (range: 1 to 12) (</w:t>
      </w:r>
      <w:r w:rsidR="003253B9" w:rsidRPr="003253B9">
        <w:t>see Attachment 2</w:t>
      </w:r>
      <w:r w:rsidRPr="00B51C41">
        <w:t>).</w:t>
      </w:r>
    </w:p>
    <w:p w14:paraId="3B795F7E" w14:textId="77777777" w:rsidR="00F8652A" w:rsidRDefault="000476AD" w:rsidP="002231A7">
      <w:r w:rsidRPr="00B51C41">
        <w:t xml:space="preserve">As of the </w:t>
      </w:r>
      <w:proofErr w:type="spellStart"/>
      <w:r w:rsidRPr="00B51C41">
        <w:t>cutoff</w:t>
      </w:r>
      <w:proofErr w:type="spellEnd"/>
      <w:r w:rsidRPr="00B51C41">
        <w:t xml:space="preserve"> date of 27 June 2016, 62 (29.5%) subjects had discontinued study treatment. The primary reason for discontinuation for 24 (11.4%) subjects was disease progression. Discontinuations due to AEs were reported for 8 (3.8%) subjects. Treatment was ongoing in 145 (69.0%) subjects.</w:t>
      </w:r>
    </w:p>
    <w:p w14:paraId="5CBEB497" w14:textId="1BCA505A" w:rsidR="000476AD" w:rsidRPr="00B51C41" w:rsidRDefault="000476AD" w:rsidP="002231A7">
      <w:r w:rsidRPr="00B51C41">
        <w:t xml:space="preserve">Efficacy results for the data cut-off date of 27 June 2016 for the primary study objectives are presented </w:t>
      </w:r>
      <w:r w:rsidR="003253B9">
        <w:t xml:space="preserve">in </w:t>
      </w:r>
      <w:r w:rsidR="003253B9" w:rsidRPr="003253B9">
        <w:t>Attachment 2</w:t>
      </w:r>
      <w:r w:rsidRPr="00B51C41">
        <w:t>. Notable findings include:</w:t>
      </w:r>
    </w:p>
    <w:p w14:paraId="5CBEB498" w14:textId="77777777" w:rsidR="000476AD" w:rsidRPr="00B51C41" w:rsidRDefault="000476AD" w:rsidP="003253B9">
      <w:pPr>
        <w:pStyle w:val="ListBullet"/>
      </w:pPr>
      <w:r w:rsidRPr="00B51C41">
        <w:t xml:space="preserve">The objective Response Rate (ORR) for all subjects across the three cohorts was 68.1% (143/210; 95% confidence interval [CI]: 61.3%, 74.3%) per BICR in the </w:t>
      </w:r>
      <w:proofErr w:type="spellStart"/>
      <w:proofErr w:type="gramStart"/>
      <w:r w:rsidRPr="00B51C41">
        <w:t>ASaT</w:t>
      </w:r>
      <w:proofErr w:type="spellEnd"/>
      <w:proofErr w:type="gramEnd"/>
      <w:r w:rsidRPr="00B51C41">
        <w:t xml:space="preserve"> in all subjects (N=210). This is summarised in </w:t>
      </w:r>
      <w:r w:rsidR="00070C4A">
        <w:t>15</w:t>
      </w:r>
      <w:r w:rsidRPr="00B51C41">
        <w:t xml:space="preserve"> below.</w:t>
      </w:r>
    </w:p>
    <w:p w14:paraId="583551B7" w14:textId="77777777" w:rsidR="00F8652A" w:rsidRDefault="000476AD" w:rsidP="00D92572">
      <w:pPr>
        <w:pStyle w:val="TableCaption"/>
      </w:pPr>
      <w:bookmarkStart w:id="120" w:name="_Ref486758724"/>
      <w:r w:rsidRPr="003253B9">
        <w:lastRenderedPageBreak/>
        <w:t xml:space="preserve">Table </w:t>
      </w:r>
      <w:r w:rsidR="00070C4A">
        <w:t>15</w:t>
      </w:r>
      <w:bookmarkEnd w:id="120"/>
      <w:r w:rsidRPr="003253B9">
        <w:t>: Summary of Best Overall Response Based on Central Review per IWG (</w:t>
      </w:r>
      <w:proofErr w:type="spellStart"/>
      <w:proofErr w:type="gramStart"/>
      <w:r w:rsidRPr="003253B9">
        <w:t>ASaT</w:t>
      </w:r>
      <w:proofErr w:type="spellEnd"/>
      <w:proofErr w:type="gramEnd"/>
      <w:r w:rsidRPr="003253B9">
        <w:t xml:space="preserve"> Population), Study KN087</w:t>
      </w:r>
    </w:p>
    <w:p w14:paraId="5CBEB49A" w14:textId="3A513399" w:rsidR="000476AD" w:rsidRPr="00D965CC" w:rsidRDefault="000476AD" w:rsidP="003253B9">
      <w:pPr>
        <w:rPr>
          <w:rFonts w:asciiTheme="minorHAnsi" w:hAnsiTheme="minorHAnsi"/>
          <w:sz w:val="24"/>
          <w:szCs w:val="24"/>
        </w:rPr>
      </w:pPr>
      <w:r w:rsidRPr="00D965CC">
        <w:rPr>
          <w:noProof/>
          <w:lang w:eastAsia="en-AU"/>
        </w:rPr>
        <w:drawing>
          <wp:inline distT="0" distB="0" distL="0" distR="0" wp14:anchorId="5CBEB968" wp14:editId="5CBEB969">
            <wp:extent cx="4589813" cy="1664354"/>
            <wp:effectExtent l="0" t="0" r="1270" b="0"/>
            <wp:docPr id="69" name="Picture 69" descr="Table 15: Summary of Best Overall Response Based on Central Review per IWG (ASaT Population), Study KN087 (see Attach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590195" cy="1664493"/>
                    </a:xfrm>
                    <a:prstGeom prst="rect">
                      <a:avLst/>
                    </a:prstGeom>
                  </pic:spPr>
                </pic:pic>
              </a:graphicData>
            </a:graphic>
          </wp:inline>
        </w:drawing>
      </w:r>
    </w:p>
    <w:p w14:paraId="5CBEB49B" w14:textId="77777777" w:rsidR="000476AD" w:rsidRPr="00B51C41" w:rsidRDefault="000476AD" w:rsidP="003253B9">
      <w:pPr>
        <w:pStyle w:val="ListBullet"/>
      </w:pPr>
      <w:r w:rsidRPr="00B51C41">
        <w:t>The ORR for Cohort 1 (Relapsed after ASCT and BV) in the analysed population of 69 subjects was 72.5% (50/69; 95% CI: 60.4%, 82.5%) per BICR (</w:t>
      </w:r>
      <w:r w:rsidR="003253B9" w:rsidRPr="003253B9">
        <w:t>see Attachment 2</w:t>
      </w:r>
      <w:r w:rsidRPr="00B51C41">
        <w:t>).</w:t>
      </w:r>
    </w:p>
    <w:p w14:paraId="5CBEB49C" w14:textId="77777777" w:rsidR="000476AD" w:rsidRPr="00B51C41" w:rsidRDefault="000476AD" w:rsidP="003253B9">
      <w:pPr>
        <w:pStyle w:val="ListBullet"/>
      </w:pPr>
      <w:r w:rsidRPr="00B51C41">
        <w:t>The ORR for Cohort 2 (SD or worse after salvage therapy and no ASCT and relapsed or refractory to BV at one point) in the analysed population of 81 subjects was 65.4% (53/81; 95% CI: 54.0%, 75.7%) per BICR (</w:t>
      </w:r>
      <w:r w:rsidR="003253B9" w:rsidRPr="003253B9">
        <w:t>see Attachment 2</w:t>
      </w:r>
      <w:r w:rsidRPr="00B51C41">
        <w:t>).</w:t>
      </w:r>
    </w:p>
    <w:p w14:paraId="5CBEB49D" w14:textId="77777777" w:rsidR="000476AD" w:rsidRPr="00B51C41" w:rsidRDefault="000476AD" w:rsidP="003253B9">
      <w:pPr>
        <w:pStyle w:val="ListBullet"/>
      </w:pPr>
      <w:r w:rsidRPr="00B51C41">
        <w:t>The ORR for Cohort 3 (RR after ASCT but no BV post-ASCT, 41.7% had BV prior to ASCT) in the analysed population of 60 subjects was 66.7% (40/60; 95% CI: 53.3%, 78.3%) per BICR (</w:t>
      </w:r>
      <w:r w:rsidR="003253B9" w:rsidRPr="003253B9">
        <w:t>see Attachment 2</w:t>
      </w:r>
      <w:r w:rsidRPr="00B51C41">
        <w:t>). An additional analysis for Cohort 3 is presented below stratified by prior BV status.</w:t>
      </w:r>
    </w:p>
    <w:p w14:paraId="05430EDD" w14:textId="77777777" w:rsidR="00F8652A" w:rsidRDefault="000476AD" w:rsidP="003253B9">
      <w:pPr>
        <w:pStyle w:val="ListBullet"/>
      </w:pPr>
      <w:r w:rsidRPr="00B51C41">
        <w:t>Additional analysis was performed to determine if ORR was consistent across various subgroups (</w:t>
      </w:r>
      <w:r w:rsidR="003253B9" w:rsidRPr="003253B9">
        <w:t>see Attachment 2</w:t>
      </w:r>
      <w:r w:rsidRPr="00B51C41">
        <w:t xml:space="preserve">). Of note, differences in ORR by BICR by number of prior therapies (&lt; 3: n=28 versus </w:t>
      </w:r>
      <w:r w:rsidR="00D65F50">
        <w:t xml:space="preserve">≥ </w:t>
      </w:r>
      <w:r w:rsidRPr="00B51C41">
        <w:t>3: n=182) were minimal. However this was unable to be assessed</w:t>
      </w:r>
      <w:r w:rsidR="005616A2">
        <w:t xml:space="preserve"> or </w:t>
      </w:r>
      <w:r w:rsidRPr="00B51C41">
        <w:t xml:space="preserve">difficult to discern in Cohort 1 and 2 due to the large number of 3 prior therapies in these groups. The ORR in subjects with &lt; 3 prior therapies was 64.3% (18/28; 95% CI: 44.1%, 81.4%), while among subjects with </w:t>
      </w:r>
      <w:r w:rsidR="00D65F50">
        <w:t xml:space="preserve">≥ </w:t>
      </w:r>
      <w:r w:rsidRPr="00B51C41">
        <w:t>3 prior therapies, ORR was 68.7% (125/182; 95% CI: 61.4%, 75.3%).</w:t>
      </w:r>
    </w:p>
    <w:p w14:paraId="5D8BCD1B" w14:textId="77777777" w:rsidR="00F8652A" w:rsidRDefault="000476AD" w:rsidP="003253B9">
      <w:pPr>
        <w:pStyle w:val="ListBullet"/>
      </w:pPr>
      <w:r w:rsidRPr="00B51C41">
        <w:t xml:space="preserve">The additional data submitted at </w:t>
      </w:r>
      <w:r w:rsidR="003253B9">
        <w:t xml:space="preserve">the second </w:t>
      </w:r>
      <w:r w:rsidRPr="00B51C41">
        <w:t xml:space="preserve">round </w:t>
      </w:r>
      <w:r w:rsidR="003253B9">
        <w:t xml:space="preserve">evaluation </w:t>
      </w:r>
      <w:r w:rsidRPr="00B51C41">
        <w:t xml:space="preserve">(cut-off date of 25 September 2016) </w:t>
      </w:r>
      <w:r w:rsidRPr="00070C4A">
        <w:t xml:space="preserve">supported the initial efficacy findings. The ORR was 69.0% per BICR in all subjects with </w:t>
      </w:r>
      <w:proofErr w:type="spellStart"/>
      <w:r w:rsidRPr="00070C4A">
        <w:t>rrcHL</w:t>
      </w:r>
      <w:proofErr w:type="spellEnd"/>
      <w:r w:rsidRPr="00070C4A">
        <w:t xml:space="preserve"> (see </w:t>
      </w:r>
      <w:r w:rsidRPr="00070C4A">
        <w:fldChar w:fldCharType="begin"/>
      </w:r>
      <w:r w:rsidRPr="00070C4A">
        <w:instrText xml:space="preserve"> REF _Ref486836966 \h  \* MERGEFORMAT </w:instrText>
      </w:r>
      <w:r w:rsidRPr="00070C4A">
        <w:fldChar w:fldCharType="separate"/>
      </w:r>
      <w:r w:rsidR="00FE7F2B">
        <w:t>Table</w:t>
      </w:r>
      <w:r w:rsidRPr="00070C4A">
        <w:fldChar w:fldCharType="end"/>
      </w:r>
      <w:r w:rsidR="00070C4A" w:rsidRPr="00070C4A">
        <w:t>16</w:t>
      </w:r>
      <w:r w:rsidRPr="00070C4A">
        <w:t xml:space="preserve"> below), an increase of 0.9 percentage points (2 subjects) compared to the initial summary</w:t>
      </w:r>
      <w:r w:rsidRPr="00B51C41">
        <w:t xml:space="preserve"> document. Four subjects did not have an assessment for response by BICR and were considered non-responders.</w:t>
      </w:r>
    </w:p>
    <w:p w14:paraId="5CBEB4A0" w14:textId="789DECA1" w:rsidR="000476AD" w:rsidRPr="00B51C41" w:rsidRDefault="000476AD" w:rsidP="003253B9">
      <w:pPr>
        <w:pStyle w:val="ListBullet2"/>
      </w:pPr>
      <w:r w:rsidRPr="00B51C41">
        <w:t>With further follow-up imaging, there were changes in best overall response obtained. Five subjects (2 in Cohort 1, and 3 in Cohort 3) whose images had previously showed stable disease now met the criteria for partial response. However, 3 subjects, 1 subject in each cohort o</w:t>
      </w:r>
      <w:r w:rsidR="003253B9">
        <w:t>f KEYNOTE-087, were re-categoris</w:t>
      </w:r>
      <w:r w:rsidRPr="00B51C41">
        <w:t>ed to SD or PD from PR upon re-review of all time</w:t>
      </w:r>
      <w:r w:rsidR="003253B9">
        <w:t>-</w:t>
      </w:r>
      <w:r w:rsidRPr="00B51C41">
        <w:t>points by BICR including the additional follow-up data. None of the subjects in Cohort 2 demonstrated a response with further follow-up, resulting in a slight decrease in the ORR in Cohort 2 only.</w:t>
      </w:r>
    </w:p>
    <w:p w14:paraId="5CBEB4A1" w14:textId="77777777" w:rsidR="000476AD" w:rsidRPr="00B51C41" w:rsidRDefault="000476AD" w:rsidP="003253B9">
      <w:pPr>
        <w:pStyle w:val="ListBullet2"/>
      </w:pPr>
      <w:r w:rsidRPr="00B51C41">
        <w:t>Cohort 1: ORR was 73.9% (51/69) per BICR, an increase of 1.4 percentage points (1 subject) compared to the initial summary document.</w:t>
      </w:r>
    </w:p>
    <w:p w14:paraId="5CBEB4A2" w14:textId="77777777" w:rsidR="000476AD" w:rsidRPr="00B51C41" w:rsidRDefault="000476AD" w:rsidP="003253B9">
      <w:pPr>
        <w:pStyle w:val="ListBullet2"/>
      </w:pPr>
      <w:r w:rsidRPr="00B51C41">
        <w:t xml:space="preserve">Cohort 2: the ORR was 64.2% (52/81) per BICR, a </w:t>
      </w:r>
      <w:r w:rsidRPr="00B51C41">
        <w:rPr>
          <w:i/>
        </w:rPr>
        <w:t>decrease</w:t>
      </w:r>
      <w:r w:rsidRPr="00B51C41">
        <w:t xml:space="preserve"> of 1.2 percentage points (1 subject) compared to the initial summary document.</w:t>
      </w:r>
    </w:p>
    <w:p w14:paraId="5CBEB4A3" w14:textId="77777777" w:rsidR="000476AD" w:rsidRPr="00B51C41" w:rsidRDefault="000476AD" w:rsidP="003253B9">
      <w:pPr>
        <w:pStyle w:val="ListBullet2"/>
      </w:pPr>
      <w:r w:rsidRPr="00B51C41">
        <w:t>Cohort 3, the ORR was 70.0% (42/60) per BICR, an increase of 3.3 percentage points (2 subjects) compared to the initial summary document.</w:t>
      </w:r>
    </w:p>
    <w:p w14:paraId="5CBEB4A4" w14:textId="77777777" w:rsidR="000476AD" w:rsidRDefault="000476AD" w:rsidP="00D92572">
      <w:pPr>
        <w:pStyle w:val="TableCaption"/>
      </w:pPr>
      <w:bookmarkStart w:id="121" w:name="_Ref486836966"/>
      <w:r>
        <w:lastRenderedPageBreak/>
        <w:t>Table</w:t>
      </w:r>
      <w:bookmarkEnd w:id="121"/>
      <w:r w:rsidR="00070C4A">
        <w:t xml:space="preserve"> 16</w:t>
      </w:r>
      <w:r>
        <w:t xml:space="preserve">: </w:t>
      </w:r>
      <w:r w:rsidRPr="00DF1BB3">
        <w:t>Summary of Best Overall Response Based on Central Review per IWG (</w:t>
      </w:r>
      <w:proofErr w:type="spellStart"/>
      <w:proofErr w:type="gramStart"/>
      <w:r w:rsidRPr="00DF1BB3">
        <w:t>ASaT</w:t>
      </w:r>
      <w:proofErr w:type="spellEnd"/>
      <w:proofErr w:type="gramEnd"/>
      <w:r w:rsidRPr="00DF1BB3">
        <w:t xml:space="preserve"> Population), Study KN087</w:t>
      </w:r>
    </w:p>
    <w:p w14:paraId="5CBEB4A5" w14:textId="77777777" w:rsidR="000476AD" w:rsidRDefault="000476AD" w:rsidP="003253B9">
      <w:r>
        <w:rPr>
          <w:noProof/>
          <w:lang w:eastAsia="en-AU"/>
        </w:rPr>
        <w:drawing>
          <wp:inline distT="0" distB="0" distL="0" distR="0" wp14:anchorId="5CBEB96A" wp14:editId="5CBEB96B">
            <wp:extent cx="4524499" cy="1671219"/>
            <wp:effectExtent l="0" t="0" r="0" b="5715"/>
            <wp:docPr id="1" name="Picture 1" descr="Table 16: Summary of Best Overall Response Based on Central Review per IWG (ASaT Population), Study KN087 (Efficacy Update Report Table 2.7.3-h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5786" cy="1675388"/>
                    </a:xfrm>
                    <a:prstGeom prst="rect">
                      <a:avLst/>
                    </a:prstGeom>
                    <a:noFill/>
                    <a:ln>
                      <a:noFill/>
                    </a:ln>
                  </pic:spPr>
                </pic:pic>
              </a:graphicData>
            </a:graphic>
          </wp:inline>
        </w:drawing>
      </w:r>
    </w:p>
    <w:p w14:paraId="5CBEB4A6" w14:textId="77777777" w:rsidR="000476AD" w:rsidRPr="00B51C41" w:rsidRDefault="000476AD" w:rsidP="000476AD">
      <w:pPr>
        <w:spacing w:before="0" w:after="0" w:line="240" w:lineRule="auto"/>
        <w:rPr>
          <w:rFonts w:asciiTheme="minorHAnsi" w:hAnsiTheme="minorHAnsi"/>
        </w:rPr>
      </w:pPr>
      <w:r w:rsidRPr="00C62DD3">
        <w:t>Efficacy results for secondary study objectives (data cut-off date of 27 June 2016 and 25 September</w:t>
      </w:r>
      <w:r w:rsidRPr="00B51C41">
        <w:rPr>
          <w:rFonts w:asciiTheme="minorHAnsi" w:hAnsiTheme="minorHAnsi"/>
        </w:rPr>
        <w:t xml:space="preserve"> </w:t>
      </w:r>
      <w:r w:rsidR="00C62DD3">
        <w:rPr>
          <w:rFonts w:asciiTheme="minorHAnsi" w:hAnsiTheme="minorHAnsi"/>
        </w:rPr>
        <w:t>2016) are presented i</w:t>
      </w:r>
      <w:r w:rsidRPr="00B51C41">
        <w:rPr>
          <w:rFonts w:asciiTheme="minorHAnsi" w:hAnsiTheme="minorHAnsi"/>
        </w:rPr>
        <w:t xml:space="preserve">n </w:t>
      </w:r>
      <w:r w:rsidR="00C62DD3">
        <w:rPr>
          <w:rFonts w:asciiTheme="minorHAnsi" w:hAnsiTheme="minorHAnsi"/>
        </w:rPr>
        <w:t xml:space="preserve">the </w:t>
      </w:r>
      <w:r w:rsidRPr="00B51C41">
        <w:rPr>
          <w:rFonts w:asciiTheme="minorHAnsi" w:hAnsiTheme="minorHAnsi"/>
        </w:rPr>
        <w:t xml:space="preserve">CER </w:t>
      </w:r>
      <w:r w:rsidR="00C62DD3" w:rsidRPr="00C62DD3">
        <w:rPr>
          <w:rFonts w:asciiTheme="minorHAnsi" w:hAnsiTheme="minorHAnsi"/>
        </w:rPr>
        <w:t>see Attachment 2</w:t>
      </w:r>
      <w:r w:rsidRPr="00B51C41">
        <w:rPr>
          <w:rFonts w:asciiTheme="minorHAnsi" w:hAnsiTheme="minorHAnsi"/>
        </w:rPr>
        <w:t>. Notable findings include:</w:t>
      </w:r>
    </w:p>
    <w:p w14:paraId="5CBEB4A7" w14:textId="77777777" w:rsidR="000476AD" w:rsidRPr="00B51C41" w:rsidRDefault="000476AD" w:rsidP="00C62DD3">
      <w:pPr>
        <w:pStyle w:val="ListBullet"/>
      </w:pPr>
      <w:r w:rsidRPr="00B51C41">
        <w:t>PFS: The median PFS in all subjects per BICR was 10.8 months (95% CI: 8.3 months, not reached). The PFS rate at 3 and 6 months was 86.3% and 71.7%, respectively (</w:t>
      </w:r>
      <w:r w:rsidR="00C62DD3" w:rsidRPr="00C62DD3">
        <w:t>see Attachment 2</w:t>
      </w:r>
      <w:r w:rsidRPr="00B51C41">
        <w:t>). Differences were noted across the three cohorts. Of note, the median PFS was not reached in Cohorts 1 and 2. Median PFS was 10.8 months in Cohort 3.</w:t>
      </w:r>
    </w:p>
    <w:p w14:paraId="5CBEB4A8" w14:textId="77777777" w:rsidR="000476AD" w:rsidRPr="00B51C41" w:rsidRDefault="000476AD" w:rsidP="00C62DD3">
      <w:pPr>
        <w:pStyle w:val="ListBullet2"/>
      </w:pPr>
      <w:r w:rsidRPr="00B51C41">
        <w:t>The data update (25 September 2016) reported the median PFS per BICR was 11.3 months (95% confidence inter</w:t>
      </w:r>
      <w:r w:rsidR="00C62DD3">
        <w:t>val: 10.8 months, not reached)</w:t>
      </w:r>
    </w:p>
    <w:p w14:paraId="0E6F5776" w14:textId="77777777" w:rsidR="00F8652A" w:rsidRDefault="000476AD" w:rsidP="00C62DD3">
      <w:pPr>
        <w:pStyle w:val="ListBullet3"/>
      </w:pPr>
      <w:r w:rsidRPr="00B51C41">
        <w:t>In Cohort 1, median PFS was 13.7 months and PFS rate at 9 months was 69.8%</w:t>
      </w:r>
    </w:p>
    <w:p w14:paraId="5CBEB4AA" w14:textId="57485EF2" w:rsidR="000476AD" w:rsidRPr="00B51C41" w:rsidRDefault="000476AD" w:rsidP="00C62DD3">
      <w:pPr>
        <w:pStyle w:val="ListBullet3"/>
      </w:pPr>
      <w:r w:rsidRPr="00B51C41">
        <w:t>In Cohort 2, median PFS not reached and PFS rate at 9 months was 52.9%</w:t>
      </w:r>
    </w:p>
    <w:p w14:paraId="5CBEB4AB" w14:textId="77777777" w:rsidR="000476AD" w:rsidRPr="00B51C41" w:rsidRDefault="000476AD" w:rsidP="00C62DD3">
      <w:pPr>
        <w:pStyle w:val="ListBullet3"/>
      </w:pPr>
      <w:r w:rsidRPr="00B51C41">
        <w:t>In Cohort 3, median PFS was 11.3 months and</w:t>
      </w:r>
      <w:r w:rsidR="00C62DD3">
        <w:t xml:space="preserve"> PFS rate at 9 months was 65.7%</w:t>
      </w:r>
    </w:p>
    <w:p w14:paraId="6C8C05A7" w14:textId="77777777" w:rsidR="00F8652A" w:rsidRDefault="000476AD" w:rsidP="00C62DD3">
      <w:pPr>
        <w:pStyle w:val="ListBullet"/>
      </w:pPr>
      <w:r w:rsidRPr="00B51C41">
        <w:t>DOR: Subjects were followed for a median of 7.1 months (range 1.0 to 12.1 months). The evaluator notes that the short duration of follow up limits the evaluation of duration of response (</w:t>
      </w:r>
      <w:r w:rsidR="00C62DD3" w:rsidRPr="00C62DD3">
        <w:t>see Attachment 2</w:t>
      </w:r>
      <w:r w:rsidRPr="00B51C41">
        <w:t>).</w:t>
      </w:r>
      <w:r w:rsidR="00D65F50">
        <w:t xml:space="preserve"> </w:t>
      </w:r>
      <w:r w:rsidRPr="00B51C41">
        <w:t xml:space="preserve">The median time to response (for all subjects) by BICR was 2.8 months (range 2.0 to 8.1 months), and median DOR was not reached (range 0.0+ to 8.3+ months) (see </w:t>
      </w:r>
      <w:r w:rsidR="00C62DD3" w:rsidRPr="00C62DD3">
        <w:t>Attachment 2</w:t>
      </w:r>
      <w:r w:rsidRPr="00B51C41">
        <w:t xml:space="preserve">). Among the 143 subjects with response, a response of at least 3 months in duration was observed in 45 subjects (86.9% by Kaplan-Meier method), and a response of at least 6 months in duration was observed in </w:t>
      </w:r>
      <w:r w:rsidR="00C62DD3">
        <w:t>65.3% (Kaplan-Meier method) (</w:t>
      </w:r>
      <w:r w:rsidR="00C62DD3" w:rsidRPr="00C62DD3">
        <w:t>see Attachment 2</w:t>
      </w:r>
      <w:r w:rsidRPr="00B51C41">
        <w:t>).</w:t>
      </w:r>
    </w:p>
    <w:p w14:paraId="5CBEB4AD" w14:textId="607B12C5" w:rsidR="000476AD" w:rsidRPr="00B51C41" w:rsidRDefault="000476AD" w:rsidP="00C62DD3">
      <w:pPr>
        <w:pStyle w:val="ListBullet2"/>
      </w:pPr>
      <w:r w:rsidRPr="00B51C41">
        <w:t>The additional data cut off (25 September 2016) median follow-up was 10.1 months (range 1.0 to 15.0 months). Median DOR was reached at 11.1</w:t>
      </w:r>
      <w:r w:rsidR="00C62DD3">
        <w:t xml:space="preserve"> </w:t>
      </w:r>
      <w:r w:rsidRPr="00B51C41">
        <w:t xml:space="preserve">months. A total of 69 (47.6%) subjects had an ongoing response by BICR, including 28 subjects (19.3%) with ongoing response </w:t>
      </w:r>
      <w:r w:rsidR="00D65F50">
        <w:t xml:space="preserve">≥ </w:t>
      </w:r>
      <w:r w:rsidRPr="00B51C41">
        <w:t>6 months. The median time to response by BICR was 2.8 m</w:t>
      </w:r>
      <w:r w:rsidR="00C62DD3">
        <w:t>onths (range 2.1 to 8.8 months)</w:t>
      </w:r>
    </w:p>
    <w:p w14:paraId="6D4A8862" w14:textId="77777777" w:rsidR="00F8652A" w:rsidRDefault="000476AD" w:rsidP="00C62DD3">
      <w:pPr>
        <w:pStyle w:val="ListBullet2"/>
      </w:pPr>
      <w:r w:rsidRPr="00B51C41">
        <w:t>Differences in DOR in the updated data were note</w:t>
      </w:r>
      <w:r w:rsidR="00C62DD3">
        <w:t>d across cohorts in KEYNOTE 087</w:t>
      </w:r>
      <w:r w:rsidRPr="00B51C41">
        <w:t>. In Cohort 1: Median DOR was 8.7 months (0.0+ to 11.1</w:t>
      </w:r>
      <w:r w:rsidR="00C62DD3">
        <w:t xml:space="preserve"> </w:t>
      </w:r>
      <w:r w:rsidRPr="00B51C41">
        <w:t>months). In Cohort 2 median DOR was not reached and in Cohort 3 median DOR was 8.5 months (0.0+ to 8.7+ months).</w:t>
      </w:r>
    </w:p>
    <w:p w14:paraId="5CBEB4AF" w14:textId="52C1BBB2" w:rsidR="000476AD" w:rsidRPr="00B51C41" w:rsidRDefault="000476AD" w:rsidP="00C62DD3">
      <w:pPr>
        <w:pStyle w:val="ListBullet2"/>
      </w:pPr>
      <w:r w:rsidRPr="00B51C41">
        <w:t xml:space="preserve">Differences in response duration </w:t>
      </w:r>
      <w:r w:rsidR="00D65F50">
        <w:t xml:space="preserve">≥ </w:t>
      </w:r>
      <w:r w:rsidR="00C62DD3">
        <w:t>6 months were noted. In C</w:t>
      </w:r>
      <w:r w:rsidRPr="00B51C41">
        <w:t xml:space="preserve">ohort 1, 82.2% or 13 subjects (Kaplan-Meier method) had response duration of </w:t>
      </w:r>
      <w:r w:rsidR="00D65F50">
        <w:t xml:space="preserve">≥ </w:t>
      </w:r>
      <w:r w:rsidRPr="00B51C41">
        <w:t xml:space="preserve">6 months. In Cohort 2, 70.0% (Kaplan-Meier method) or 9 subjects had response duration of </w:t>
      </w:r>
      <w:r w:rsidR="00D65F50">
        <w:t xml:space="preserve">≥ </w:t>
      </w:r>
      <w:r w:rsidRPr="00B51C41">
        <w:t xml:space="preserve">6 months and in Cohort 3, 75.6% (Kaplan- Meier method) or 9 subjects had response duration of </w:t>
      </w:r>
      <w:r w:rsidR="00D65F50">
        <w:t xml:space="preserve">≥ </w:t>
      </w:r>
      <w:r w:rsidRPr="00B51C41">
        <w:t>6 months.</w:t>
      </w:r>
    </w:p>
    <w:p w14:paraId="5CBEB4B0" w14:textId="77777777" w:rsidR="000476AD" w:rsidRPr="00B51C41" w:rsidRDefault="000476AD" w:rsidP="00213202">
      <w:pPr>
        <w:pStyle w:val="ListBullet"/>
      </w:pPr>
      <w:r w:rsidRPr="00B51C41">
        <w:t>OS: Median OS in all subjects was not reached in either data cut (</w:t>
      </w:r>
      <w:r w:rsidR="00213202" w:rsidRPr="00213202">
        <w:t>see Attachment 2</w:t>
      </w:r>
      <w:r w:rsidRPr="00B51C41">
        <w:t>).</w:t>
      </w:r>
    </w:p>
    <w:p w14:paraId="5CBEB4B1" w14:textId="77777777" w:rsidR="000476AD" w:rsidRDefault="000476AD" w:rsidP="008F3099">
      <w:pPr>
        <w:pStyle w:val="TableCaption"/>
      </w:pPr>
      <w:r>
        <w:t>Table</w:t>
      </w:r>
      <w:r w:rsidR="00070C4A">
        <w:t xml:space="preserve"> 17</w:t>
      </w:r>
      <w:r>
        <w:t xml:space="preserve">: </w:t>
      </w:r>
      <w:r w:rsidRPr="00DE5938">
        <w:t xml:space="preserve">Updated efficacy data from </w:t>
      </w:r>
      <w:r w:rsidR="00ED605C">
        <w:t>Study KN</w:t>
      </w:r>
      <w:r w:rsidR="00213202">
        <w:t>087</w:t>
      </w:r>
      <w:r>
        <w:t>.</w:t>
      </w:r>
    </w:p>
    <w:tbl>
      <w:tblPr>
        <w:tblStyle w:val="TableTGAblue"/>
        <w:tblW w:w="0" w:type="auto"/>
        <w:tblLook w:val="04A0" w:firstRow="1" w:lastRow="0" w:firstColumn="1" w:lastColumn="0" w:noHBand="0" w:noVBand="1"/>
        <w:tblDescription w:val="Table 17: Updated efficacy data from Study KN087."/>
      </w:tblPr>
      <w:tblGrid>
        <w:gridCol w:w="2376"/>
        <w:gridCol w:w="1722"/>
        <w:gridCol w:w="1548"/>
        <w:gridCol w:w="1527"/>
        <w:gridCol w:w="1547"/>
      </w:tblGrid>
      <w:tr w:rsidR="000476AD" w:rsidRPr="000F690A" w14:paraId="5CBEB4B5" w14:textId="77777777" w:rsidTr="00070C4A">
        <w:trPr>
          <w:cnfStyle w:val="100000000000" w:firstRow="1" w:lastRow="0" w:firstColumn="0" w:lastColumn="0" w:oddVBand="0" w:evenVBand="0" w:oddHBand="0" w:evenHBand="0" w:firstRowFirstColumn="0" w:firstRowLastColumn="0" w:lastRowFirstColumn="0" w:lastRowLastColumn="0"/>
          <w:cantSplit/>
          <w:trHeight w:val="251"/>
        </w:trPr>
        <w:tc>
          <w:tcPr>
            <w:tcW w:w="2376" w:type="dxa"/>
            <w:vMerge w:val="restart"/>
          </w:tcPr>
          <w:p w14:paraId="5CBEB4B2" w14:textId="77777777" w:rsidR="000476AD" w:rsidRPr="00BB796C" w:rsidRDefault="000476AD" w:rsidP="00213202">
            <w:pPr>
              <w:rPr>
                <w:sz w:val="18"/>
                <w:szCs w:val="18"/>
              </w:rPr>
            </w:pPr>
            <w:r w:rsidRPr="00BB796C">
              <w:rPr>
                <w:sz w:val="18"/>
                <w:szCs w:val="18"/>
              </w:rPr>
              <w:t>Response Evaluation Study</w:t>
            </w:r>
          </w:p>
        </w:tc>
        <w:tc>
          <w:tcPr>
            <w:tcW w:w="3270" w:type="dxa"/>
            <w:gridSpan w:val="2"/>
          </w:tcPr>
          <w:p w14:paraId="5CBEB4B3" w14:textId="77777777" w:rsidR="000476AD" w:rsidRPr="00BB796C" w:rsidRDefault="000476AD" w:rsidP="00213202">
            <w:pPr>
              <w:rPr>
                <w:sz w:val="18"/>
                <w:szCs w:val="18"/>
              </w:rPr>
            </w:pPr>
            <w:r w:rsidRPr="00BB796C">
              <w:rPr>
                <w:sz w:val="18"/>
                <w:szCs w:val="18"/>
              </w:rPr>
              <w:t>MK-3475 200 mg (N=210)</w:t>
            </w:r>
          </w:p>
        </w:tc>
        <w:tc>
          <w:tcPr>
            <w:tcW w:w="3074" w:type="dxa"/>
            <w:gridSpan w:val="2"/>
          </w:tcPr>
          <w:p w14:paraId="5CBEB4B4" w14:textId="77777777" w:rsidR="000476AD" w:rsidRPr="00BB796C" w:rsidRDefault="000476AD" w:rsidP="00213202">
            <w:pPr>
              <w:rPr>
                <w:sz w:val="18"/>
                <w:szCs w:val="18"/>
              </w:rPr>
            </w:pPr>
            <w:r w:rsidRPr="00BB796C">
              <w:rPr>
                <w:sz w:val="18"/>
                <w:szCs w:val="18"/>
              </w:rPr>
              <w:t>MK-3475 200 mg (N=210)</w:t>
            </w:r>
          </w:p>
        </w:tc>
      </w:tr>
      <w:tr w:rsidR="000476AD" w:rsidRPr="000F690A" w14:paraId="5CBEB4BB" w14:textId="77777777" w:rsidTr="00070C4A">
        <w:trPr>
          <w:cantSplit/>
        </w:trPr>
        <w:tc>
          <w:tcPr>
            <w:tcW w:w="2376" w:type="dxa"/>
            <w:vMerge/>
          </w:tcPr>
          <w:p w14:paraId="5CBEB4B6" w14:textId="77777777" w:rsidR="000476AD" w:rsidRPr="00BB796C" w:rsidRDefault="000476AD" w:rsidP="00213202">
            <w:pPr>
              <w:rPr>
                <w:sz w:val="18"/>
                <w:szCs w:val="18"/>
              </w:rPr>
            </w:pPr>
          </w:p>
        </w:tc>
        <w:tc>
          <w:tcPr>
            <w:tcW w:w="1722" w:type="dxa"/>
          </w:tcPr>
          <w:p w14:paraId="5CBEB4B7" w14:textId="77777777" w:rsidR="000476AD" w:rsidRPr="00BB796C" w:rsidRDefault="000476AD" w:rsidP="00213202">
            <w:pPr>
              <w:rPr>
                <w:sz w:val="18"/>
                <w:szCs w:val="18"/>
              </w:rPr>
            </w:pPr>
            <w:proofErr w:type="gramStart"/>
            <w:r w:rsidRPr="00BB796C">
              <w:rPr>
                <w:sz w:val="18"/>
                <w:szCs w:val="18"/>
              </w:rPr>
              <w:t>n</w:t>
            </w:r>
            <w:proofErr w:type="gramEnd"/>
            <w:r w:rsidRPr="00BB796C">
              <w:rPr>
                <w:sz w:val="18"/>
                <w:szCs w:val="18"/>
              </w:rPr>
              <w:t xml:space="preserve"> (%)</w:t>
            </w:r>
          </w:p>
        </w:tc>
        <w:tc>
          <w:tcPr>
            <w:tcW w:w="1548" w:type="dxa"/>
          </w:tcPr>
          <w:p w14:paraId="5CBEB4B8" w14:textId="77777777" w:rsidR="000476AD" w:rsidRPr="00BB796C" w:rsidRDefault="000476AD" w:rsidP="00213202">
            <w:pPr>
              <w:rPr>
                <w:sz w:val="18"/>
                <w:szCs w:val="18"/>
              </w:rPr>
            </w:pPr>
            <w:r w:rsidRPr="00BB796C">
              <w:rPr>
                <w:sz w:val="18"/>
                <w:szCs w:val="18"/>
              </w:rPr>
              <w:t>95% CI</w:t>
            </w:r>
          </w:p>
        </w:tc>
        <w:tc>
          <w:tcPr>
            <w:tcW w:w="1527" w:type="dxa"/>
          </w:tcPr>
          <w:p w14:paraId="5CBEB4B9" w14:textId="77777777" w:rsidR="000476AD" w:rsidRPr="00BB796C" w:rsidRDefault="000476AD" w:rsidP="00213202">
            <w:pPr>
              <w:rPr>
                <w:sz w:val="18"/>
                <w:szCs w:val="18"/>
              </w:rPr>
            </w:pPr>
            <w:proofErr w:type="gramStart"/>
            <w:r w:rsidRPr="00BB796C">
              <w:rPr>
                <w:sz w:val="18"/>
                <w:szCs w:val="18"/>
              </w:rPr>
              <w:t>n</w:t>
            </w:r>
            <w:proofErr w:type="gramEnd"/>
            <w:r w:rsidRPr="00BB796C">
              <w:rPr>
                <w:sz w:val="18"/>
                <w:szCs w:val="18"/>
              </w:rPr>
              <w:t xml:space="preserve"> (%)</w:t>
            </w:r>
          </w:p>
        </w:tc>
        <w:tc>
          <w:tcPr>
            <w:tcW w:w="1547" w:type="dxa"/>
          </w:tcPr>
          <w:p w14:paraId="5CBEB4BA" w14:textId="77777777" w:rsidR="000476AD" w:rsidRPr="00BB796C" w:rsidRDefault="000476AD" w:rsidP="00213202">
            <w:pPr>
              <w:rPr>
                <w:sz w:val="18"/>
                <w:szCs w:val="18"/>
              </w:rPr>
            </w:pPr>
            <w:r w:rsidRPr="00BB796C">
              <w:rPr>
                <w:sz w:val="18"/>
                <w:szCs w:val="18"/>
              </w:rPr>
              <w:t>95% CI*</w:t>
            </w:r>
          </w:p>
        </w:tc>
      </w:tr>
      <w:tr w:rsidR="000476AD" w:rsidRPr="000F690A" w14:paraId="5CBEB4E2" w14:textId="77777777" w:rsidTr="00213202">
        <w:tc>
          <w:tcPr>
            <w:tcW w:w="2376" w:type="dxa"/>
          </w:tcPr>
          <w:p w14:paraId="5CBEB4BC" w14:textId="77777777" w:rsidR="000476AD" w:rsidRPr="00BB796C" w:rsidRDefault="000476AD" w:rsidP="00213202">
            <w:pPr>
              <w:rPr>
                <w:sz w:val="18"/>
                <w:szCs w:val="18"/>
              </w:rPr>
            </w:pPr>
            <w:r w:rsidRPr="00BB796C">
              <w:rPr>
                <w:sz w:val="18"/>
                <w:szCs w:val="18"/>
              </w:rPr>
              <w:lastRenderedPageBreak/>
              <w:t>Complete Remission (CR)</w:t>
            </w:r>
          </w:p>
          <w:p w14:paraId="5CBEB4BD" w14:textId="77777777" w:rsidR="000476AD" w:rsidRPr="00BB796C" w:rsidRDefault="000476AD" w:rsidP="00213202">
            <w:pPr>
              <w:rPr>
                <w:sz w:val="18"/>
                <w:szCs w:val="18"/>
              </w:rPr>
            </w:pPr>
            <w:r w:rsidRPr="00BB796C">
              <w:rPr>
                <w:sz w:val="18"/>
                <w:szCs w:val="18"/>
              </w:rPr>
              <w:t>Partial remission (PR)</w:t>
            </w:r>
          </w:p>
          <w:p w14:paraId="5CBEB4BE" w14:textId="77777777" w:rsidR="000476AD" w:rsidRPr="00BB796C" w:rsidRDefault="000476AD" w:rsidP="00213202">
            <w:pPr>
              <w:rPr>
                <w:sz w:val="18"/>
                <w:szCs w:val="18"/>
              </w:rPr>
            </w:pPr>
            <w:r w:rsidRPr="00BB796C">
              <w:rPr>
                <w:sz w:val="18"/>
                <w:szCs w:val="18"/>
              </w:rPr>
              <w:t>Objective Response (CR+PR)</w:t>
            </w:r>
          </w:p>
          <w:p w14:paraId="5CBEB4BF" w14:textId="77777777" w:rsidR="000476AD" w:rsidRPr="00BB796C" w:rsidRDefault="000476AD" w:rsidP="00213202">
            <w:pPr>
              <w:rPr>
                <w:sz w:val="18"/>
                <w:szCs w:val="18"/>
              </w:rPr>
            </w:pPr>
            <w:r w:rsidRPr="00BB796C">
              <w:rPr>
                <w:sz w:val="18"/>
                <w:szCs w:val="18"/>
              </w:rPr>
              <w:t>Stable Disease (SD)</w:t>
            </w:r>
          </w:p>
          <w:p w14:paraId="5CBEB4C0" w14:textId="77777777" w:rsidR="000476AD" w:rsidRPr="00BB796C" w:rsidRDefault="000476AD" w:rsidP="00213202">
            <w:pPr>
              <w:rPr>
                <w:sz w:val="18"/>
                <w:szCs w:val="18"/>
              </w:rPr>
            </w:pPr>
            <w:r w:rsidRPr="00BB796C">
              <w:rPr>
                <w:sz w:val="18"/>
                <w:szCs w:val="18"/>
              </w:rPr>
              <w:t>Progressive Disease (PD)</w:t>
            </w:r>
          </w:p>
          <w:p w14:paraId="5CBEB4C1" w14:textId="77777777" w:rsidR="000476AD" w:rsidRPr="00BB796C" w:rsidRDefault="000476AD" w:rsidP="00213202">
            <w:pPr>
              <w:rPr>
                <w:sz w:val="18"/>
                <w:szCs w:val="18"/>
              </w:rPr>
            </w:pPr>
            <w:r w:rsidRPr="00BB796C">
              <w:rPr>
                <w:sz w:val="18"/>
                <w:szCs w:val="18"/>
              </w:rPr>
              <w:t>No Assessment (NA)</w:t>
            </w:r>
          </w:p>
        </w:tc>
        <w:tc>
          <w:tcPr>
            <w:tcW w:w="1722" w:type="dxa"/>
          </w:tcPr>
          <w:p w14:paraId="5CBEB4C2" w14:textId="77777777" w:rsidR="000476AD" w:rsidRPr="00BB796C" w:rsidRDefault="000476AD" w:rsidP="00213202">
            <w:pPr>
              <w:rPr>
                <w:sz w:val="18"/>
                <w:szCs w:val="18"/>
              </w:rPr>
            </w:pPr>
            <w:r w:rsidRPr="00BB796C">
              <w:rPr>
                <w:sz w:val="18"/>
                <w:szCs w:val="18"/>
              </w:rPr>
              <w:t>46 ( 21.9)</w:t>
            </w:r>
          </w:p>
          <w:p w14:paraId="5CBEB4C3" w14:textId="77777777" w:rsidR="00213202" w:rsidRPr="00BB796C" w:rsidRDefault="00213202" w:rsidP="00213202">
            <w:pPr>
              <w:rPr>
                <w:sz w:val="18"/>
                <w:szCs w:val="18"/>
              </w:rPr>
            </w:pPr>
          </w:p>
          <w:p w14:paraId="5CBEB4C4" w14:textId="77777777" w:rsidR="000476AD" w:rsidRPr="00BB796C" w:rsidRDefault="000476AD" w:rsidP="00213202">
            <w:pPr>
              <w:rPr>
                <w:sz w:val="18"/>
                <w:szCs w:val="18"/>
              </w:rPr>
            </w:pPr>
            <w:r w:rsidRPr="00BB796C">
              <w:rPr>
                <w:sz w:val="18"/>
                <w:szCs w:val="18"/>
              </w:rPr>
              <w:t>97 (46.2)</w:t>
            </w:r>
          </w:p>
          <w:p w14:paraId="5CBEB4C5" w14:textId="77777777" w:rsidR="000476AD" w:rsidRPr="00BB796C" w:rsidRDefault="000476AD" w:rsidP="00213202">
            <w:pPr>
              <w:rPr>
                <w:bCs/>
                <w:sz w:val="18"/>
                <w:szCs w:val="18"/>
              </w:rPr>
            </w:pPr>
            <w:r w:rsidRPr="00BB796C">
              <w:rPr>
                <w:bCs/>
                <w:sz w:val="18"/>
                <w:szCs w:val="18"/>
              </w:rPr>
              <w:t>143 (68.1)</w:t>
            </w:r>
          </w:p>
          <w:p w14:paraId="5CBEB4C6" w14:textId="77777777" w:rsidR="000476AD" w:rsidRPr="00BB796C" w:rsidRDefault="000476AD" w:rsidP="00213202">
            <w:pPr>
              <w:rPr>
                <w:sz w:val="18"/>
                <w:szCs w:val="18"/>
              </w:rPr>
            </w:pPr>
            <w:r w:rsidRPr="00BB796C">
              <w:rPr>
                <w:sz w:val="18"/>
                <w:szCs w:val="18"/>
              </w:rPr>
              <w:t>35 (16.7)</w:t>
            </w:r>
          </w:p>
          <w:p w14:paraId="5CBEB4C7" w14:textId="77777777" w:rsidR="000476AD" w:rsidRPr="00BB796C" w:rsidRDefault="000476AD" w:rsidP="00213202">
            <w:pPr>
              <w:rPr>
                <w:sz w:val="18"/>
                <w:szCs w:val="18"/>
              </w:rPr>
            </w:pPr>
            <w:r w:rsidRPr="00BB796C">
              <w:rPr>
                <w:sz w:val="18"/>
                <w:szCs w:val="18"/>
              </w:rPr>
              <w:t>27 (12.9)</w:t>
            </w:r>
          </w:p>
          <w:p w14:paraId="5CBEB4C8" w14:textId="77777777" w:rsidR="00213202" w:rsidRPr="00BB796C" w:rsidRDefault="00213202" w:rsidP="00213202">
            <w:pPr>
              <w:rPr>
                <w:sz w:val="18"/>
                <w:szCs w:val="18"/>
              </w:rPr>
            </w:pPr>
          </w:p>
          <w:p w14:paraId="5CBEB4C9" w14:textId="77777777" w:rsidR="000476AD" w:rsidRPr="00BB796C" w:rsidRDefault="000476AD" w:rsidP="00213202">
            <w:pPr>
              <w:rPr>
                <w:sz w:val="18"/>
                <w:szCs w:val="18"/>
              </w:rPr>
            </w:pPr>
            <w:r w:rsidRPr="00BB796C">
              <w:rPr>
                <w:sz w:val="18"/>
                <w:szCs w:val="18"/>
              </w:rPr>
              <w:t>5 (2.4)</w:t>
            </w:r>
          </w:p>
        </w:tc>
        <w:tc>
          <w:tcPr>
            <w:tcW w:w="1548" w:type="dxa"/>
          </w:tcPr>
          <w:p w14:paraId="5CBEB4CA" w14:textId="77777777" w:rsidR="000476AD" w:rsidRPr="00BB796C" w:rsidRDefault="000476AD" w:rsidP="00213202">
            <w:pPr>
              <w:rPr>
                <w:sz w:val="18"/>
                <w:szCs w:val="18"/>
              </w:rPr>
            </w:pPr>
            <w:r w:rsidRPr="00BB796C">
              <w:rPr>
                <w:sz w:val="18"/>
                <w:szCs w:val="18"/>
              </w:rPr>
              <w:t>(16.5, 28.1)</w:t>
            </w:r>
          </w:p>
          <w:p w14:paraId="5CBEB4CB" w14:textId="77777777" w:rsidR="00213202" w:rsidRPr="00BB796C" w:rsidRDefault="00213202" w:rsidP="00213202">
            <w:pPr>
              <w:rPr>
                <w:sz w:val="18"/>
                <w:szCs w:val="18"/>
              </w:rPr>
            </w:pPr>
          </w:p>
          <w:p w14:paraId="5CBEB4CC" w14:textId="77777777" w:rsidR="000476AD" w:rsidRPr="00BB796C" w:rsidRDefault="000476AD" w:rsidP="00213202">
            <w:pPr>
              <w:rPr>
                <w:sz w:val="18"/>
                <w:szCs w:val="18"/>
              </w:rPr>
            </w:pPr>
            <w:r w:rsidRPr="00BB796C">
              <w:rPr>
                <w:sz w:val="18"/>
                <w:szCs w:val="18"/>
              </w:rPr>
              <w:t>(39.3, 53.2)</w:t>
            </w:r>
          </w:p>
          <w:p w14:paraId="5CBEB4CD" w14:textId="77777777" w:rsidR="000476AD" w:rsidRPr="00BB796C" w:rsidRDefault="000476AD" w:rsidP="00213202">
            <w:pPr>
              <w:rPr>
                <w:bCs/>
                <w:sz w:val="18"/>
                <w:szCs w:val="18"/>
              </w:rPr>
            </w:pPr>
            <w:r w:rsidRPr="00BB796C">
              <w:rPr>
                <w:bCs/>
                <w:sz w:val="18"/>
                <w:szCs w:val="18"/>
              </w:rPr>
              <w:t>(61.3, 74.3)</w:t>
            </w:r>
          </w:p>
          <w:p w14:paraId="5CBEB4CE" w14:textId="77777777" w:rsidR="000476AD" w:rsidRPr="00BB796C" w:rsidRDefault="000476AD" w:rsidP="00213202">
            <w:pPr>
              <w:rPr>
                <w:sz w:val="18"/>
                <w:szCs w:val="18"/>
              </w:rPr>
            </w:pPr>
            <w:r w:rsidRPr="00BB796C">
              <w:rPr>
                <w:sz w:val="18"/>
                <w:szCs w:val="18"/>
              </w:rPr>
              <w:t>(11.9, 22.4)</w:t>
            </w:r>
          </w:p>
          <w:p w14:paraId="5CBEB4CF" w14:textId="77777777" w:rsidR="000476AD" w:rsidRPr="00BB796C" w:rsidRDefault="000476AD" w:rsidP="00213202">
            <w:pPr>
              <w:rPr>
                <w:sz w:val="18"/>
                <w:szCs w:val="18"/>
              </w:rPr>
            </w:pPr>
            <w:r w:rsidRPr="00BB796C">
              <w:rPr>
                <w:sz w:val="18"/>
                <w:szCs w:val="18"/>
              </w:rPr>
              <w:t>(8.6, 18.2)</w:t>
            </w:r>
          </w:p>
          <w:p w14:paraId="5CBEB4D0" w14:textId="77777777" w:rsidR="00213202" w:rsidRPr="00BB796C" w:rsidRDefault="00213202" w:rsidP="00213202">
            <w:pPr>
              <w:rPr>
                <w:sz w:val="18"/>
                <w:szCs w:val="18"/>
              </w:rPr>
            </w:pPr>
          </w:p>
          <w:p w14:paraId="5CBEB4D1" w14:textId="77777777" w:rsidR="000476AD" w:rsidRPr="00BB796C" w:rsidRDefault="000476AD" w:rsidP="00213202">
            <w:pPr>
              <w:rPr>
                <w:sz w:val="18"/>
                <w:szCs w:val="18"/>
              </w:rPr>
            </w:pPr>
            <w:r w:rsidRPr="00BB796C">
              <w:rPr>
                <w:sz w:val="18"/>
                <w:szCs w:val="18"/>
              </w:rPr>
              <w:t>(0.8, 5.5)</w:t>
            </w:r>
          </w:p>
        </w:tc>
        <w:tc>
          <w:tcPr>
            <w:tcW w:w="1527" w:type="dxa"/>
          </w:tcPr>
          <w:p w14:paraId="5CBEB4D2" w14:textId="77777777" w:rsidR="000476AD" w:rsidRPr="00BB796C" w:rsidRDefault="000476AD" w:rsidP="00213202">
            <w:pPr>
              <w:rPr>
                <w:sz w:val="18"/>
                <w:szCs w:val="18"/>
              </w:rPr>
            </w:pPr>
            <w:r w:rsidRPr="00BB796C">
              <w:rPr>
                <w:sz w:val="18"/>
                <w:szCs w:val="18"/>
              </w:rPr>
              <w:t>47 (22.4)</w:t>
            </w:r>
          </w:p>
          <w:p w14:paraId="5CBEB4D3" w14:textId="77777777" w:rsidR="00213202" w:rsidRPr="00BB796C" w:rsidRDefault="00213202" w:rsidP="00213202">
            <w:pPr>
              <w:rPr>
                <w:sz w:val="18"/>
                <w:szCs w:val="18"/>
              </w:rPr>
            </w:pPr>
          </w:p>
          <w:p w14:paraId="5CBEB4D4" w14:textId="77777777" w:rsidR="000476AD" w:rsidRPr="00BB796C" w:rsidRDefault="000476AD" w:rsidP="00213202">
            <w:pPr>
              <w:rPr>
                <w:sz w:val="18"/>
                <w:szCs w:val="18"/>
              </w:rPr>
            </w:pPr>
            <w:r w:rsidRPr="00BB796C">
              <w:rPr>
                <w:sz w:val="18"/>
                <w:szCs w:val="18"/>
              </w:rPr>
              <w:t>98 (46.7)</w:t>
            </w:r>
          </w:p>
          <w:p w14:paraId="5CBEB4D5" w14:textId="77777777" w:rsidR="000476AD" w:rsidRPr="00BB796C" w:rsidRDefault="000476AD" w:rsidP="00213202">
            <w:pPr>
              <w:rPr>
                <w:sz w:val="18"/>
                <w:szCs w:val="18"/>
              </w:rPr>
            </w:pPr>
            <w:r w:rsidRPr="00BB796C">
              <w:rPr>
                <w:sz w:val="18"/>
                <w:szCs w:val="18"/>
              </w:rPr>
              <w:t>145 (69.0)</w:t>
            </w:r>
          </w:p>
          <w:p w14:paraId="5CBEB4D6" w14:textId="77777777" w:rsidR="000476AD" w:rsidRPr="00BB796C" w:rsidRDefault="000476AD" w:rsidP="00213202">
            <w:pPr>
              <w:rPr>
                <w:sz w:val="18"/>
                <w:szCs w:val="18"/>
              </w:rPr>
            </w:pPr>
            <w:r w:rsidRPr="00BB796C">
              <w:rPr>
                <w:sz w:val="18"/>
                <w:szCs w:val="18"/>
              </w:rPr>
              <w:t>31 (14.8)</w:t>
            </w:r>
          </w:p>
          <w:p w14:paraId="5CBEB4D7" w14:textId="77777777" w:rsidR="000476AD" w:rsidRPr="00BB796C" w:rsidRDefault="000476AD" w:rsidP="00213202">
            <w:pPr>
              <w:rPr>
                <w:sz w:val="18"/>
                <w:szCs w:val="18"/>
              </w:rPr>
            </w:pPr>
            <w:r w:rsidRPr="00BB796C">
              <w:rPr>
                <w:sz w:val="18"/>
                <w:szCs w:val="18"/>
              </w:rPr>
              <w:t>30 (14.3)</w:t>
            </w:r>
          </w:p>
          <w:p w14:paraId="5CBEB4D8" w14:textId="77777777" w:rsidR="00213202" w:rsidRPr="00BB796C" w:rsidRDefault="00213202" w:rsidP="00213202">
            <w:pPr>
              <w:rPr>
                <w:sz w:val="18"/>
                <w:szCs w:val="18"/>
              </w:rPr>
            </w:pPr>
          </w:p>
          <w:p w14:paraId="5CBEB4D9" w14:textId="77777777" w:rsidR="000476AD" w:rsidRPr="00BB796C" w:rsidRDefault="000476AD" w:rsidP="00213202">
            <w:pPr>
              <w:rPr>
                <w:sz w:val="18"/>
                <w:szCs w:val="18"/>
              </w:rPr>
            </w:pPr>
            <w:r w:rsidRPr="00BB796C">
              <w:rPr>
                <w:sz w:val="18"/>
                <w:szCs w:val="18"/>
              </w:rPr>
              <w:t>4 (1.9)</w:t>
            </w:r>
          </w:p>
        </w:tc>
        <w:tc>
          <w:tcPr>
            <w:tcW w:w="1547" w:type="dxa"/>
          </w:tcPr>
          <w:p w14:paraId="5CBEB4DA" w14:textId="77777777" w:rsidR="000476AD" w:rsidRPr="00BB796C" w:rsidRDefault="000476AD" w:rsidP="00213202">
            <w:pPr>
              <w:rPr>
                <w:sz w:val="18"/>
                <w:szCs w:val="18"/>
              </w:rPr>
            </w:pPr>
            <w:r w:rsidRPr="00BB796C">
              <w:rPr>
                <w:sz w:val="18"/>
                <w:szCs w:val="18"/>
              </w:rPr>
              <w:t>(16.9, 28.6)</w:t>
            </w:r>
          </w:p>
          <w:p w14:paraId="5CBEB4DB" w14:textId="77777777" w:rsidR="00213202" w:rsidRPr="00BB796C" w:rsidRDefault="00213202" w:rsidP="00213202">
            <w:pPr>
              <w:rPr>
                <w:sz w:val="18"/>
                <w:szCs w:val="18"/>
              </w:rPr>
            </w:pPr>
          </w:p>
          <w:p w14:paraId="5CBEB4DC" w14:textId="77777777" w:rsidR="000476AD" w:rsidRPr="00BB796C" w:rsidRDefault="000476AD" w:rsidP="00213202">
            <w:pPr>
              <w:rPr>
                <w:sz w:val="18"/>
                <w:szCs w:val="18"/>
              </w:rPr>
            </w:pPr>
            <w:r w:rsidRPr="00BB796C">
              <w:rPr>
                <w:sz w:val="18"/>
                <w:szCs w:val="18"/>
              </w:rPr>
              <w:t>(39.8, 53.7)</w:t>
            </w:r>
          </w:p>
          <w:p w14:paraId="5CBEB4DD" w14:textId="77777777" w:rsidR="000476AD" w:rsidRPr="00BB796C" w:rsidRDefault="000476AD" w:rsidP="00213202">
            <w:pPr>
              <w:rPr>
                <w:sz w:val="18"/>
                <w:szCs w:val="18"/>
              </w:rPr>
            </w:pPr>
            <w:r w:rsidRPr="00BB796C">
              <w:rPr>
                <w:sz w:val="18"/>
                <w:szCs w:val="18"/>
              </w:rPr>
              <w:t>(62.3, 75.2)</w:t>
            </w:r>
          </w:p>
          <w:p w14:paraId="5CBEB4DE" w14:textId="77777777" w:rsidR="000476AD" w:rsidRPr="00BB796C" w:rsidRDefault="000476AD" w:rsidP="00213202">
            <w:pPr>
              <w:rPr>
                <w:sz w:val="18"/>
                <w:szCs w:val="18"/>
              </w:rPr>
            </w:pPr>
            <w:r w:rsidRPr="00BB796C">
              <w:rPr>
                <w:sz w:val="18"/>
                <w:szCs w:val="18"/>
              </w:rPr>
              <w:t>(10.3, 20.3)</w:t>
            </w:r>
          </w:p>
          <w:p w14:paraId="5CBEB4DF" w14:textId="77777777" w:rsidR="000476AD" w:rsidRPr="00BB796C" w:rsidRDefault="000476AD" w:rsidP="00213202">
            <w:pPr>
              <w:rPr>
                <w:sz w:val="18"/>
                <w:szCs w:val="18"/>
              </w:rPr>
            </w:pPr>
            <w:r w:rsidRPr="00BB796C">
              <w:rPr>
                <w:sz w:val="18"/>
                <w:szCs w:val="18"/>
              </w:rPr>
              <w:t>(9.9, 19.8)</w:t>
            </w:r>
          </w:p>
          <w:p w14:paraId="5CBEB4E0" w14:textId="77777777" w:rsidR="00213202" w:rsidRPr="00BB796C" w:rsidRDefault="00213202" w:rsidP="00213202">
            <w:pPr>
              <w:rPr>
                <w:sz w:val="18"/>
                <w:szCs w:val="18"/>
              </w:rPr>
            </w:pPr>
          </w:p>
          <w:p w14:paraId="5CBEB4E1" w14:textId="77777777" w:rsidR="000476AD" w:rsidRPr="00BB796C" w:rsidRDefault="000476AD" w:rsidP="00213202">
            <w:pPr>
              <w:rPr>
                <w:sz w:val="18"/>
                <w:szCs w:val="18"/>
              </w:rPr>
            </w:pPr>
            <w:r w:rsidRPr="00BB796C">
              <w:rPr>
                <w:sz w:val="18"/>
                <w:szCs w:val="18"/>
              </w:rPr>
              <w:t>(0.5, 4.8)</w:t>
            </w:r>
          </w:p>
        </w:tc>
      </w:tr>
      <w:tr w:rsidR="000476AD" w:rsidRPr="000F690A" w14:paraId="5CBEB4E8" w14:textId="77777777" w:rsidTr="00213202">
        <w:tc>
          <w:tcPr>
            <w:tcW w:w="2376" w:type="dxa"/>
          </w:tcPr>
          <w:p w14:paraId="5CBEB4E3" w14:textId="77777777" w:rsidR="000476AD" w:rsidRPr="00BB796C" w:rsidRDefault="000476AD" w:rsidP="00213202">
            <w:pPr>
              <w:rPr>
                <w:sz w:val="18"/>
                <w:szCs w:val="18"/>
              </w:rPr>
            </w:pPr>
            <w:r w:rsidRPr="00BB796C">
              <w:rPr>
                <w:sz w:val="18"/>
                <w:szCs w:val="18"/>
              </w:rPr>
              <w:t>Duration of Response (DOR) (median, months)</w:t>
            </w:r>
          </w:p>
        </w:tc>
        <w:tc>
          <w:tcPr>
            <w:tcW w:w="1722" w:type="dxa"/>
          </w:tcPr>
          <w:p w14:paraId="5CBEB4E4" w14:textId="77777777" w:rsidR="000476AD" w:rsidRPr="00BB796C" w:rsidRDefault="000476AD" w:rsidP="00213202">
            <w:pPr>
              <w:rPr>
                <w:sz w:val="18"/>
                <w:szCs w:val="18"/>
              </w:rPr>
            </w:pPr>
            <w:r w:rsidRPr="00BB796C">
              <w:rPr>
                <w:sz w:val="18"/>
                <w:szCs w:val="18"/>
              </w:rPr>
              <w:t>Not reached (0.0+ - 8.3+)</w:t>
            </w:r>
          </w:p>
        </w:tc>
        <w:tc>
          <w:tcPr>
            <w:tcW w:w="1548" w:type="dxa"/>
          </w:tcPr>
          <w:p w14:paraId="5CBEB4E5" w14:textId="77777777" w:rsidR="000476AD" w:rsidRPr="00BB796C" w:rsidRDefault="000476AD" w:rsidP="00213202">
            <w:pPr>
              <w:rPr>
                <w:sz w:val="18"/>
                <w:szCs w:val="18"/>
              </w:rPr>
            </w:pPr>
            <w:r w:rsidRPr="00BB796C">
              <w:rPr>
                <w:sz w:val="18"/>
                <w:szCs w:val="18"/>
              </w:rPr>
              <w:t>(5.7, Not reached)</w:t>
            </w:r>
          </w:p>
        </w:tc>
        <w:tc>
          <w:tcPr>
            <w:tcW w:w="1527" w:type="dxa"/>
          </w:tcPr>
          <w:p w14:paraId="5CBEB4E6" w14:textId="77777777" w:rsidR="000476AD" w:rsidRPr="00BB796C" w:rsidRDefault="000476AD" w:rsidP="00BB796C">
            <w:pPr>
              <w:rPr>
                <w:sz w:val="18"/>
                <w:szCs w:val="18"/>
              </w:rPr>
            </w:pPr>
            <w:r w:rsidRPr="00BB796C">
              <w:rPr>
                <w:sz w:val="18"/>
                <w:szCs w:val="18"/>
              </w:rPr>
              <w:t>11.1</w:t>
            </w:r>
            <w:r w:rsidR="00BB796C" w:rsidRPr="00BB796C">
              <w:rPr>
                <w:sz w:val="18"/>
                <w:szCs w:val="18"/>
              </w:rPr>
              <w:t xml:space="preserve"> </w:t>
            </w:r>
            <w:r w:rsidRPr="00BB796C">
              <w:rPr>
                <w:sz w:val="18"/>
                <w:szCs w:val="18"/>
              </w:rPr>
              <w:t>(0.0+ - 11.1)</w:t>
            </w:r>
          </w:p>
        </w:tc>
        <w:tc>
          <w:tcPr>
            <w:tcW w:w="1547" w:type="dxa"/>
          </w:tcPr>
          <w:p w14:paraId="5CBEB4E7" w14:textId="77777777" w:rsidR="000476AD" w:rsidRPr="00BB796C" w:rsidRDefault="000476AD" w:rsidP="00213202">
            <w:pPr>
              <w:rPr>
                <w:sz w:val="18"/>
                <w:szCs w:val="18"/>
              </w:rPr>
            </w:pPr>
            <w:r w:rsidRPr="00BB796C">
              <w:rPr>
                <w:sz w:val="18"/>
                <w:szCs w:val="18"/>
              </w:rPr>
              <w:t>(8.7, 11.1)</w:t>
            </w:r>
          </w:p>
        </w:tc>
      </w:tr>
      <w:tr w:rsidR="000476AD" w:rsidRPr="000F690A" w14:paraId="5CBEB4EC" w14:textId="77777777" w:rsidTr="00213202">
        <w:tc>
          <w:tcPr>
            <w:tcW w:w="2376" w:type="dxa"/>
          </w:tcPr>
          <w:p w14:paraId="5CBEB4E9" w14:textId="77777777" w:rsidR="000476AD" w:rsidRPr="00BB796C" w:rsidRDefault="000476AD" w:rsidP="00213202">
            <w:pPr>
              <w:rPr>
                <w:sz w:val="18"/>
                <w:szCs w:val="18"/>
              </w:rPr>
            </w:pPr>
            <w:r w:rsidRPr="00BB796C">
              <w:rPr>
                <w:sz w:val="18"/>
                <w:szCs w:val="18"/>
              </w:rPr>
              <w:t xml:space="preserve">Database </w:t>
            </w:r>
            <w:proofErr w:type="spellStart"/>
            <w:r w:rsidRPr="00BB796C">
              <w:rPr>
                <w:sz w:val="18"/>
                <w:szCs w:val="18"/>
              </w:rPr>
              <w:t>Cutoff</w:t>
            </w:r>
            <w:proofErr w:type="spellEnd"/>
            <w:r w:rsidRPr="00BB796C">
              <w:rPr>
                <w:sz w:val="18"/>
                <w:szCs w:val="18"/>
              </w:rPr>
              <w:t xml:space="preserve"> Date:</w:t>
            </w:r>
          </w:p>
        </w:tc>
        <w:tc>
          <w:tcPr>
            <w:tcW w:w="3270" w:type="dxa"/>
            <w:gridSpan w:val="2"/>
          </w:tcPr>
          <w:p w14:paraId="5CBEB4EA" w14:textId="77777777" w:rsidR="000476AD" w:rsidRPr="00BB796C" w:rsidRDefault="000476AD" w:rsidP="00CE0AB4">
            <w:pPr>
              <w:rPr>
                <w:sz w:val="18"/>
                <w:szCs w:val="18"/>
              </w:rPr>
            </w:pPr>
            <w:r w:rsidRPr="00BB796C">
              <w:rPr>
                <w:sz w:val="18"/>
                <w:szCs w:val="18"/>
              </w:rPr>
              <w:t>27</w:t>
            </w:r>
            <w:r w:rsidR="00CE0AB4">
              <w:rPr>
                <w:sz w:val="18"/>
                <w:szCs w:val="18"/>
              </w:rPr>
              <w:t xml:space="preserve"> </w:t>
            </w:r>
            <w:r w:rsidRPr="00BB796C">
              <w:rPr>
                <w:sz w:val="18"/>
                <w:szCs w:val="18"/>
              </w:rPr>
              <w:t>J</w:t>
            </w:r>
            <w:r w:rsidR="00CE0AB4">
              <w:rPr>
                <w:sz w:val="18"/>
                <w:szCs w:val="18"/>
              </w:rPr>
              <w:t xml:space="preserve">une </w:t>
            </w:r>
            <w:r w:rsidRPr="00BB796C">
              <w:rPr>
                <w:sz w:val="18"/>
                <w:szCs w:val="18"/>
              </w:rPr>
              <w:t>2016</w:t>
            </w:r>
          </w:p>
        </w:tc>
        <w:tc>
          <w:tcPr>
            <w:tcW w:w="3074" w:type="dxa"/>
            <w:gridSpan w:val="2"/>
          </w:tcPr>
          <w:p w14:paraId="5CBEB4EB" w14:textId="77777777" w:rsidR="000476AD" w:rsidRPr="00CE0AB4" w:rsidRDefault="00CE0AB4" w:rsidP="00213202">
            <w:pPr>
              <w:rPr>
                <w:sz w:val="18"/>
                <w:szCs w:val="18"/>
              </w:rPr>
            </w:pPr>
            <w:r w:rsidRPr="00CE0AB4">
              <w:rPr>
                <w:sz w:val="18"/>
                <w:szCs w:val="18"/>
              </w:rPr>
              <w:t>25 September 2016</w:t>
            </w:r>
          </w:p>
        </w:tc>
      </w:tr>
    </w:tbl>
    <w:p w14:paraId="5CBEB4ED" w14:textId="77777777" w:rsidR="000476AD" w:rsidRPr="00676B83" w:rsidRDefault="000476AD" w:rsidP="00BB796C">
      <w:pPr>
        <w:pStyle w:val="TableDescription"/>
      </w:pPr>
      <w:r w:rsidRPr="00676B83">
        <w:t>*Based on binominal exact confidence interval method.</w:t>
      </w:r>
    </w:p>
    <w:p w14:paraId="5CBEB4EE" w14:textId="77777777" w:rsidR="000476AD" w:rsidRPr="00B51C41" w:rsidRDefault="000476AD" w:rsidP="00BB796C">
      <w:pPr>
        <w:pStyle w:val="Heading5"/>
        <w:rPr>
          <w:smallCaps/>
        </w:rPr>
      </w:pPr>
      <w:r w:rsidRPr="00B51C41">
        <w:t>Additional data analysis Cohort 3 KEYNOTE 087</w:t>
      </w:r>
    </w:p>
    <w:p w14:paraId="5CBEB4EF" w14:textId="77777777" w:rsidR="000476AD" w:rsidRPr="00B51C41" w:rsidRDefault="00BB796C" w:rsidP="000476AD">
      <w:pPr>
        <w:spacing w:before="0" w:after="0" w:line="240" w:lineRule="auto"/>
        <w:rPr>
          <w:rFonts w:asciiTheme="minorHAnsi" w:hAnsiTheme="minorHAnsi"/>
          <w:smallCaps/>
          <w:u w:val="single"/>
        </w:rPr>
      </w:pPr>
      <w:r>
        <w:t>In the s</w:t>
      </w:r>
      <w:r w:rsidR="000476AD" w:rsidRPr="00B51C41">
        <w:t>ponsor’s response, a summary of efficacy (ORR, DOR, PFS and OS) based on the updated data cut</w:t>
      </w:r>
      <w:r>
        <w:t>-</w:t>
      </w:r>
      <w:r w:rsidR="000476AD" w:rsidRPr="00B51C41">
        <w:t>off (25</w:t>
      </w:r>
      <w:r>
        <w:t xml:space="preserve"> </w:t>
      </w:r>
      <w:r w:rsidR="000476AD" w:rsidRPr="00B51C41">
        <w:t>Sep</w:t>
      </w:r>
      <w:r>
        <w:t xml:space="preserve">tember </w:t>
      </w:r>
      <w:r w:rsidR="000476AD" w:rsidRPr="00B51C41">
        <w:t xml:space="preserve">2016) for KEYNOTE-087 Cohort 3 was provided. The supporting tables </w:t>
      </w:r>
      <w:r>
        <w:t>were</w:t>
      </w:r>
      <w:r w:rsidR="000476AD" w:rsidRPr="00B51C41">
        <w:t xml:space="preserve"> provided in </w:t>
      </w:r>
      <w:r>
        <w:t xml:space="preserve">the sponsor’s </w:t>
      </w:r>
      <w:r w:rsidR="000476AD" w:rsidRPr="00B51C41">
        <w:t>response. The efficacy results for the subgroups were generally similar.</w:t>
      </w:r>
    </w:p>
    <w:p w14:paraId="5CBEB4F0" w14:textId="77777777" w:rsidR="000476AD" w:rsidRDefault="000476AD" w:rsidP="00D92572">
      <w:pPr>
        <w:pStyle w:val="TableCaption"/>
      </w:pPr>
      <w:r>
        <w:t xml:space="preserve">Table </w:t>
      </w:r>
      <w:r w:rsidR="00070C4A">
        <w:t>18</w:t>
      </w:r>
      <w:r>
        <w:t>: Additional data analysis for Cohort 3 KEYNOTE 087</w:t>
      </w:r>
      <w:r w:rsidR="00E80E60">
        <w:t xml:space="preserve"> Summary of efficacy by </w:t>
      </w:r>
      <w:proofErr w:type="spellStart"/>
      <w:r w:rsidR="00E80E60">
        <w:t>brentuximab</w:t>
      </w:r>
      <w:proofErr w:type="spellEnd"/>
      <w:r w:rsidR="00E80E60">
        <w:t xml:space="preserve"> </w:t>
      </w:r>
      <w:proofErr w:type="spellStart"/>
      <w:r w:rsidR="00E80E60">
        <w:t>vedotin</w:t>
      </w:r>
      <w:proofErr w:type="spellEnd"/>
      <w:r w:rsidR="00E80E60">
        <w:t xml:space="preserve"> status Cohort 3</w:t>
      </w:r>
    </w:p>
    <w:p w14:paraId="5CBEB4F1" w14:textId="77777777" w:rsidR="000476AD" w:rsidRDefault="000476AD" w:rsidP="00E80E60">
      <w:r>
        <w:rPr>
          <w:noProof/>
          <w:lang w:eastAsia="en-AU"/>
        </w:rPr>
        <w:drawing>
          <wp:inline distT="0" distB="0" distL="0" distR="0" wp14:anchorId="5CBEB96C" wp14:editId="5CBEB96D">
            <wp:extent cx="4215319" cy="1704503"/>
            <wp:effectExtent l="0" t="0" r="0" b="0"/>
            <wp:docPr id="59" name="Picture 59" descr="Table 18: Additional data analysis for Cohort 3 KEYNOTE 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Lst>
                    </a:blip>
                    <a:srcRect l="3885" t="19427" r="2590" b="52"/>
                    <a:stretch/>
                  </pic:blipFill>
                  <pic:spPr bwMode="auto">
                    <a:xfrm>
                      <a:off x="0" y="0"/>
                      <a:ext cx="4213012" cy="1703570"/>
                    </a:xfrm>
                    <a:prstGeom prst="rect">
                      <a:avLst/>
                    </a:prstGeom>
                    <a:ln>
                      <a:noFill/>
                    </a:ln>
                    <a:extLst>
                      <a:ext uri="{53640926-AAD7-44D8-BBD7-CCE9431645EC}">
                        <a14:shadowObscured xmlns:a14="http://schemas.microsoft.com/office/drawing/2010/main"/>
                      </a:ext>
                    </a:extLst>
                  </pic:spPr>
                </pic:pic>
              </a:graphicData>
            </a:graphic>
          </wp:inline>
        </w:drawing>
      </w:r>
    </w:p>
    <w:p w14:paraId="5CBEB4F2" w14:textId="77777777" w:rsidR="000476AD" w:rsidRDefault="00CE0AB4" w:rsidP="000476AD">
      <w:pPr>
        <w:spacing w:before="0" w:after="0" w:line="240" w:lineRule="auto"/>
        <w:rPr>
          <w:rFonts w:asciiTheme="minorHAnsi" w:hAnsiTheme="minorHAnsi"/>
        </w:rPr>
      </w:pPr>
      <w:r>
        <w:rPr>
          <w:rStyle w:val="Heading5Char"/>
          <w:rFonts w:eastAsia="Cambria"/>
        </w:rPr>
        <w:t>Question for s</w:t>
      </w:r>
      <w:r w:rsidR="000476AD" w:rsidRPr="00CE0AB4">
        <w:rPr>
          <w:rStyle w:val="Heading5Char"/>
          <w:rFonts w:eastAsia="Cambria"/>
        </w:rPr>
        <w:t>ponsor</w:t>
      </w:r>
      <w:r w:rsidR="000476AD" w:rsidRPr="00CE0AB4">
        <w:rPr>
          <w:rFonts w:asciiTheme="minorHAnsi" w:hAnsiTheme="minorHAnsi"/>
        </w:rPr>
        <w:t xml:space="preserve">: </w:t>
      </w:r>
      <w:r>
        <w:rPr>
          <w:rFonts w:asciiTheme="minorHAnsi" w:hAnsiTheme="minorHAnsi"/>
        </w:rPr>
        <w:t>P</w:t>
      </w:r>
      <w:r w:rsidR="000476AD" w:rsidRPr="00CE0AB4">
        <w:rPr>
          <w:rFonts w:asciiTheme="minorHAnsi" w:hAnsiTheme="minorHAnsi"/>
        </w:rPr>
        <w:t xml:space="preserve">lease provide the baseline details of patients in Cohort 3 of KEYNOTE 087 stratified by BV status (including age, sex, </w:t>
      </w:r>
      <w:proofErr w:type="spellStart"/>
      <w:r w:rsidR="000476AD" w:rsidRPr="00CE0AB4">
        <w:rPr>
          <w:rFonts w:asciiTheme="minorHAnsi" w:hAnsiTheme="minorHAnsi"/>
        </w:rPr>
        <w:t>etc</w:t>
      </w:r>
      <w:proofErr w:type="spellEnd"/>
      <w:r w:rsidR="000476AD" w:rsidRPr="00CE0AB4">
        <w:rPr>
          <w:rFonts w:asciiTheme="minorHAnsi" w:hAnsiTheme="minorHAnsi"/>
        </w:rPr>
        <w:t xml:space="preserve">). Please clarify any differences in outcomes in this cohort and please advise if any update to this data is available. </w:t>
      </w:r>
      <w:r>
        <w:rPr>
          <w:rFonts w:asciiTheme="minorHAnsi" w:hAnsiTheme="minorHAnsi"/>
        </w:rPr>
        <w:t>P</w:t>
      </w:r>
      <w:r w:rsidR="000476AD">
        <w:rPr>
          <w:rFonts w:asciiTheme="minorHAnsi" w:hAnsiTheme="minorHAnsi"/>
        </w:rPr>
        <w:t>lease provide the TGA with your position on the proposed wording of the indication which includes BV status.</w:t>
      </w:r>
    </w:p>
    <w:p w14:paraId="5CBEB4F3" w14:textId="77777777" w:rsidR="000476AD" w:rsidRPr="00B51C41" w:rsidRDefault="000476AD" w:rsidP="00CE0AB4">
      <w:pPr>
        <w:pStyle w:val="Heading5"/>
      </w:pPr>
      <w:r w:rsidRPr="00B51C41">
        <w:t>Quality of life</w:t>
      </w:r>
    </w:p>
    <w:p w14:paraId="5B9A489B" w14:textId="77777777" w:rsidR="00F8652A" w:rsidRDefault="000476AD" w:rsidP="000476AD">
      <w:pPr>
        <w:spacing w:before="0" w:after="0" w:line="240" w:lineRule="auto"/>
        <w:rPr>
          <w:rFonts w:asciiTheme="minorHAnsi" w:hAnsiTheme="minorHAnsi"/>
        </w:rPr>
      </w:pPr>
      <w:r w:rsidRPr="00B51C41">
        <w:rPr>
          <w:rFonts w:asciiTheme="minorHAnsi" w:hAnsiTheme="minorHAnsi"/>
        </w:rPr>
        <w:t xml:space="preserve">Two questionnaires (European Organisation for Research and Treatment of Cancer Quality of Life Questionnaire Core 30 items [EORTC QLQ-C30] and European Quality of Life Five Dimensions Questionnaire [EQ-5D]), administered electronically, were included in KEYNOTE-087 trial. A total of 182 subjects from the treated population had baseline and 12 week observation data (see </w:t>
      </w:r>
      <w:r w:rsidR="00436796" w:rsidRPr="00436796">
        <w:rPr>
          <w:rFonts w:asciiTheme="minorHAnsi" w:hAnsiTheme="minorHAnsi"/>
        </w:rPr>
        <w:t>Attachment 2</w:t>
      </w:r>
      <w:r w:rsidRPr="00B51C41">
        <w:rPr>
          <w:rFonts w:asciiTheme="minorHAnsi" w:hAnsiTheme="minorHAnsi"/>
        </w:rPr>
        <w:t>). Overall, baseline global health status/</w:t>
      </w:r>
      <w:proofErr w:type="spellStart"/>
      <w:r w:rsidRPr="00B51C41">
        <w:rPr>
          <w:rFonts w:asciiTheme="minorHAnsi" w:hAnsiTheme="minorHAnsi"/>
        </w:rPr>
        <w:t>QoL</w:t>
      </w:r>
      <w:proofErr w:type="spellEnd"/>
      <w:r w:rsidRPr="00B51C41">
        <w:rPr>
          <w:rFonts w:asciiTheme="minorHAnsi" w:hAnsiTheme="minorHAnsi"/>
        </w:rPr>
        <w:t xml:space="preserve"> score was similar across all response subgroups. There was an overall improvement of 8.5 points (standard error</w:t>
      </w:r>
      <w:r w:rsidR="00436796">
        <w:rPr>
          <w:rFonts w:asciiTheme="minorHAnsi" w:hAnsiTheme="minorHAnsi"/>
        </w:rPr>
        <w:t xml:space="preserve"> </w:t>
      </w:r>
      <w:r w:rsidRPr="00B51C41">
        <w:rPr>
          <w:rFonts w:asciiTheme="minorHAnsi" w:hAnsiTheme="minorHAnsi"/>
        </w:rPr>
        <w:t xml:space="preserve">1.6) compared to </w:t>
      </w:r>
      <w:r w:rsidRPr="00E80E60">
        <w:rPr>
          <w:rFonts w:asciiTheme="minorHAnsi" w:hAnsiTheme="minorHAnsi"/>
        </w:rPr>
        <w:t xml:space="preserve">baseline. The difference in least squares (LS) means between responders and non-responders at Week 12 was 4.5 points (95% CI: -0.44%, 9.44%; two-sided nominal p = 0.0739) (see </w:t>
      </w:r>
      <w:r w:rsidR="00606070">
        <w:rPr>
          <w:rFonts w:asciiTheme="minorHAnsi" w:hAnsiTheme="minorHAnsi"/>
        </w:rPr>
        <w:t>Table 19</w:t>
      </w:r>
      <w:r w:rsidRPr="00E80E60">
        <w:rPr>
          <w:rFonts w:asciiTheme="minorHAnsi" w:hAnsiTheme="minorHAnsi"/>
        </w:rPr>
        <w:t>).</w:t>
      </w:r>
    </w:p>
    <w:p w14:paraId="5E592500" w14:textId="77777777" w:rsidR="00F8652A" w:rsidRDefault="000476AD" w:rsidP="00D92572">
      <w:pPr>
        <w:pStyle w:val="TableCaption"/>
      </w:pPr>
      <w:bookmarkStart w:id="122" w:name="_Ref486839148"/>
      <w:r>
        <w:lastRenderedPageBreak/>
        <w:t xml:space="preserve">Table </w:t>
      </w:r>
      <w:bookmarkEnd w:id="122"/>
      <w:r w:rsidR="00E80E60">
        <w:t>19</w:t>
      </w:r>
      <w:r>
        <w:t xml:space="preserve">: </w:t>
      </w:r>
      <w:r w:rsidRPr="00BC610B">
        <w:t>Analysis of Change from Baseline in EORTC QLQ-C30 Global Health Status/</w:t>
      </w:r>
      <w:proofErr w:type="spellStart"/>
      <w:r w:rsidRPr="00BC610B">
        <w:t>QoL</w:t>
      </w:r>
      <w:proofErr w:type="spellEnd"/>
      <w:r w:rsidRPr="00BC610B">
        <w:t xml:space="preserve"> at Week 12 (</w:t>
      </w:r>
      <w:proofErr w:type="spellStart"/>
      <w:proofErr w:type="gramStart"/>
      <w:r w:rsidRPr="00BC610B">
        <w:t>ASaT</w:t>
      </w:r>
      <w:proofErr w:type="spellEnd"/>
      <w:proofErr w:type="gramEnd"/>
      <w:r w:rsidRPr="00BC610B">
        <w:t xml:space="preserve"> Population, Study KN087)</w:t>
      </w:r>
      <w:r>
        <w:t>.</w:t>
      </w:r>
    </w:p>
    <w:p w14:paraId="5CBEB4F6" w14:textId="48E04237" w:rsidR="000476AD" w:rsidRDefault="000476AD" w:rsidP="00436796">
      <w:r>
        <w:rPr>
          <w:noProof/>
          <w:lang w:eastAsia="en-AU"/>
        </w:rPr>
        <w:drawing>
          <wp:inline distT="0" distB="0" distL="0" distR="0" wp14:anchorId="5CBEB96E" wp14:editId="5CBEB96F">
            <wp:extent cx="4678878" cy="1289349"/>
            <wp:effectExtent l="0" t="0" r="7620" b="6350"/>
            <wp:docPr id="16" name="Picture 16" descr="Analysis of Change from Baseline in EORTC QLQ-C30 Global Health Status/QoL at Week 12 (ASaT Population, Study KN08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9720" cy="1289581"/>
                    </a:xfrm>
                    <a:prstGeom prst="rect">
                      <a:avLst/>
                    </a:prstGeom>
                    <a:noFill/>
                  </pic:spPr>
                </pic:pic>
              </a:graphicData>
            </a:graphic>
          </wp:inline>
        </w:drawing>
      </w:r>
    </w:p>
    <w:p w14:paraId="580378C4" w14:textId="77777777" w:rsidR="00F8652A" w:rsidRDefault="000476AD" w:rsidP="00436796">
      <w:r w:rsidRPr="00B51C41">
        <w:t>The additional data in the Efficacy Update Report supported these findings, with the difference in least squares (LS) means between responders and non-responders at Week 12 reported to be 4.7 points (95% CI: -0.20%, 9.66%; two-sided nominal p = 0.0600). In the EQ-5D measures, there was an overall improvement of 8.4 points from baseline (SE: 1.4). Improvement was greatest for those with CR/PR (+10.9 points).</w:t>
      </w:r>
    </w:p>
    <w:p w14:paraId="5CBEB4F8" w14:textId="1CED55DB" w:rsidR="000476AD" w:rsidRPr="00B51C41" w:rsidRDefault="000476AD" w:rsidP="00436796">
      <w:r w:rsidRPr="00B51C41">
        <w:t>This data supports the current available efficacy data and implies a clinically meaningful benefit is possible for patients.</w:t>
      </w:r>
    </w:p>
    <w:p w14:paraId="5CBEB4F9" w14:textId="77777777" w:rsidR="000476AD" w:rsidRPr="00B51C41" w:rsidRDefault="00436796" w:rsidP="000476AD">
      <w:pPr>
        <w:spacing w:before="0" w:after="0" w:line="240" w:lineRule="auto"/>
        <w:rPr>
          <w:rFonts w:asciiTheme="minorHAnsi" w:hAnsiTheme="minorHAnsi"/>
        </w:rPr>
      </w:pPr>
      <w:r>
        <w:rPr>
          <w:rStyle w:val="Heading5Char"/>
          <w:rFonts w:eastAsia="Cambria"/>
        </w:rPr>
        <w:t>Question for s</w:t>
      </w:r>
      <w:r w:rsidR="000476AD" w:rsidRPr="00436796">
        <w:rPr>
          <w:rStyle w:val="Heading5Char"/>
          <w:rFonts w:eastAsia="Cambria"/>
        </w:rPr>
        <w:t>ponsor:</w:t>
      </w:r>
      <w:r w:rsidR="000476AD" w:rsidRPr="00B51C41">
        <w:rPr>
          <w:rFonts w:asciiTheme="minorHAnsi" w:hAnsiTheme="minorHAnsi"/>
        </w:rPr>
        <w:t xml:space="preserve"> Is there a validated minimally important difference (MID) available for these QOL studies?</w:t>
      </w:r>
    </w:p>
    <w:p w14:paraId="5CBEB4FA" w14:textId="77777777" w:rsidR="000476AD" w:rsidRPr="00B51C41" w:rsidRDefault="000476AD" w:rsidP="00436796">
      <w:pPr>
        <w:pStyle w:val="Heading5"/>
      </w:pPr>
      <w:r w:rsidRPr="00B51C41">
        <w:t>Study KEYNOTE 013</w:t>
      </w:r>
    </w:p>
    <w:p w14:paraId="5CBEB4FB" w14:textId="77777777" w:rsidR="000476AD" w:rsidRPr="00B51C41" w:rsidRDefault="000476AD" w:rsidP="00436796">
      <w:r w:rsidRPr="00B51C41">
        <w:t>KEYNOTE 013 is an ongoing study. All data provided in the dossier are based on a 03</w:t>
      </w:r>
      <w:r w:rsidR="00436796">
        <w:t xml:space="preserve"> </w:t>
      </w:r>
      <w:r w:rsidRPr="00B51C41">
        <w:t>Jun</w:t>
      </w:r>
      <w:r w:rsidR="00436796">
        <w:t xml:space="preserve">e </w:t>
      </w:r>
      <w:r w:rsidRPr="00B51C41">
        <w:t>2016 cut</w:t>
      </w:r>
      <w:r w:rsidR="00436796">
        <w:t>-</w:t>
      </w:r>
      <w:r w:rsidRPr="00B51C41">
        <w:t>off date. This study is small (n=31).</w:t>
      </w:r>
    </w:p>
    <w:p w14:paraId="714EB79A" w14:textId="77777777" w:rsidR="00F8652A" w:rsidRDefault="000476AD" w:rsidP="00436796">
      <w:r w:rsidRPr="00B51C41">
        <w:t>Study KEYNOTE-013 i</w:t>
      </w:r>
      <w:r w:rsidR="00436796">
        <w:t xml:space="preserve">s a </w:t>
      </w:r>
      <w:proofErr w:type="spellStart"/>
      <w:r w:rsidR="00436796">
        <w:t>multicenter</w:t>
      </w:r>
      <w:proofErr w:type="spellEnd"/>
      <w:r w:rsidR="00436796">
        <w:t>, multi-cohort, P</w:t>
      </w:r>
      <w:r w:rsidRPr="00B51C41">
        <w:t xml:space="preserve">hase </w:t>
      </w:r>
      <w:proofErr w:type="spellStart"/>
      <w:r w:rsidR="00436796">
        <w:t>I</w:t>
      </w:r>
      <w:r w:rsidRPr="00B51C41">
        <w:t>b</w:t>
      </w:r>
      <w:proofErr w:type="spellEnd"/>
      <w:r w:rsidRPr="00B51C41">
        <w:t xml:space="preserve"> trial of </w:t>
      </w:r>
      <w:proofErr w:type="spellStart"/>
      <w:r w:rsidRPr="00B51C41">
        <w:t>pembrolizumab</w:t>
      </w:r>
      <w:proofErr w:type="spellEnd"/>
      <w:r w:rsidRPr="00B51C41">
        <w:t xml:space="preserve"> in subjects with haematological malignancies to determine the safety and efficacy of </w:t>
      </w:r>
      <w:proofErr w:type="spellStart"/>
      <w:r w:rsidRPr="00B51C41">
        <w:t>pembrolizumab</w:t>
      </w:r>
      <w:proofErr w:type="spellEnd"/>
      <w:r w:rsidRPr="00B51C41">
        <w:t>. Subjects were enrolled in five different cohorts determined by disease and disease state.</w:t>
      </w:r>
    </w:p>
    <w:p w14:paraId="5CBEB4FD" w14:textId="183CD89D" w:rsidR="000476AD" w:rsidRPr="00B51C41" w:rsidRDefault="000476AD" w:rsidP="00436796">
      <w:r w:rsidRPr="00B51C41">
        <w:t xml:space="preserve">The dossier provides the results for one cohort with HL (Cohort 3 in KN013), which included a total of 31 subjects with </w:t>
      </w:r>
      <w:proofErr w:type="spellStart"/>
      <w:r w:rsidRPr="00B51C41">
        <w:t>rrcHL</w:t>
      </w:r>
      <w:proofErr w:type="spellEnd"/>
      <w:r w:rsidRPr="00B51C41">
        <w:t xml:space="preserve"> who:</w:t>
      </w:r>
    </w:p>
    <w:p w14:paraId="5CBEB4FE" w14:textId="77777777" w:rsidR="000476AD" w:rsidRPr="00B51C41" w:rsidRDefault="000476AD" w:rsidP="00436796">
      <w:pPr>
        <w:pStyle w:val="ListBullet"/>
      </w:pPr>
      <w:proofErr w:type="gramStart"/>
      <w:r w:rsidRPr="00B51C41">
        <w:t>had</w:t>
      </w:r>
      <w:proofErr w:type="gramEnd"/>
      <w:r w:rsidRPr="00B51C41">
        <w:t xml:space="preserve"> failed ASCT and failed BV (n=16) (comparable to Cohort 1 in KN087).</w:t>
      </w:r>
    </w:p>
    <w:p w14:paraId="5CBEB4FF" w14:textId="77777777" w:rsidR="000476AD" w:rsidRPr="00B51C41" w:rsidRDefault="000476AD" w:rsidP="00436796">
      <w:pPr>
        <w:pStyle w:val="ListBullet"/>
      </w:pPr>
      <w:proofErr w:type="gramStart"/>
      <w:r w:rsidRPr="00B51C41">
        <w:t>were</w:t>
      </w:r>
      <w:proofErr w:type="gramEnd"/>
      <w:r w:rsidRPr="00B51C41">
        <w:t xml:space="preserve"> ineligible for ASCT and failed BV (n=8) (comparable to Cohort 2 in KN087).</w:t>
      </w:r>
    </w:p>
    <w:p w14:paraId="5CBEB500" w14:textId="77777777" w:rsidR="000476AD" w:rsidRPr="00B51C41" w:rsidRDefault="000476AD" w:rsidP="00436796">
      <w:pPr>
        <w:pStyle w:val="ListBullet"/>
      </w:pPr>
      <w:proofErr w:type="gramStart"/>
      <w:r w:rsidRPr="00B51C41">
        <w:t>had</w:t>
      </w:r>
      <w:proofErr w:type="gramEnd"/>
      <w:r w:rsidRPr="00B51C41">
        <w:t xml:space="preserve"> failed BV and then failed ASCT (n=7) (comparable to 25/60 subjects in Cohort 3 in KN087).</w:t>
      </w:r>
    </w:p>
    <w:p w14:paraId="5CBEB501" w14:textId="5DB3952F" w:rsidR="000476AD" w:rsidRPr="00B51C41" w:rsidRDefault="000476AD" w:rsidP="00436796">
      <w:r w:rsidRPr="00B51C41">
        <w:t xml:space="preserve">The first </w:t>
      </w:r>
      <w:proofErr w:type="spellStart"/>
      <w:r w:rsidRPr="00B51C41">
        <w:t>rrcHL</w:t>
      </w:r>
      <w:proofErr w:type="spellEnd"/>
      <w:r w:rsidRPr="00B51C41">
        <w:t xml:space="preserve"> subject was enrolled (signed infor</w:t>
      </w:r>
      <w:r w:rsidR="00436796">
        <w:t xml:space="preserve">med consent) in the study on 03 </w:t>
      </w:r>
      <w:r w:rsidRPr="00B51C41">
        <w:t>Dec</w:t>
      </w:r>
      <w:r w:rsidR="00436796">
        <w:t xml:space="preserve">ember </w:t>
      </w:r>
      <w:r w:rsidRPr="00B51C41">
        <w:t xml:space="preserve">2013 and the last </w:t>
      </w:r>
      <w:proofErr w:type="spellStart"/>
      <w:r w:rsidRPr="00B51C41">
        <w:t>rrcHL</w:t>
      </w:r>
      <w:proofErr w:type="spellEnd"/>
      <w:r w:rsidRPr="00B51C41">
        <w:t xml:space="preserve"> subject was enrolled on 23</w:t>
      </w:r>
      <w:r w:rsidR="00436796">
        <w:t xml:space="preserve"> </w:t>
      </w:r>
      <w:r w:rsidRPr="00B51C41">
        <w:t>Jul</w:t>
      </w:r>
      <w:r w:rsidR="00436796">
        <w:t xml:space="preserve">y </w:t>
      </w:r>
      <w:r w:rsidRPr="00B51C41">
        <w:t xml:space="preserve">2014. The subjects were treated with </w:t>
      </w:r>
      <w:proofErr w:type="spellStart"/>
      <w:r w:rsidRPr="00B51C41">
        <w:t>pembrolizumab</w:t>
      </w:r>
      <w:proofErr w:type="spellEnd"/>
      <w:r w:rsidRPr="00B51C41">
        <w:t xml:space="preserve"> 10 mg/kg every 2 weeks until documented disease progression, unacceptable adverse events (AEs), </w:t>
      </w:r>
      <w:proofErr w:type="spellStart"/>
      <w:r w:rsidRPr="00B51C41">
        <w:t>intercurrent</w:t>
      </w:r>
      <w:proofErr w:type="spellEnd"/>
      <w:r w:rsidRPr="00B51C41">
        <w:t xml:space="preserve"> illness that prevented further administration of treatment, investigator’s decision to withdraw the subject, subject withdrew consent, pregnancy of the subject, noncompliance with trial treatment or procedure requirements, administrative reasons, or receipt of up to 52 doses (approximately 2 years).</w:t>
      </w:r>
    </w:p>
    <w:p w14:paraId="6FDA8D4B" w14:textId="77777777" w:rsidR="00F8652A" w:rsidRDefault="000476AD" w:rsidP="000476AD">
      <w:pPr>
        <w:spacing w:before="0" w:after="0" w:line="240" w:lineRule="auto"/>
        <w:rPr>
          <w:rFonts w:asciiTheme="minorHAnsi" w:hAnsiTheme="minorHAnsi"/>
        </w:rPr>
      </w:pPr>
      <w:r w:rsidRPr="00B51C41">
        <w:rPr>
          <w:rFonts w:asciiTheme="minorHAnsi" w:hAnsiTheme="minorHAnsi"/>
        </w:rPr>
        <w:t xml:space="preserve">The primary objectives of the study were to determine safety, tolerability, and efficacy (complete remission rate [CRR] per the Revised Response Criteria for Malignant Lymphoma (2007) from the International Working Group) of </w:t>
      </w:r>
      <w:proofErr w:type="spellStart"/>
      <w:r w:rsidRPr="00B51C41">
        <w:rPr>
          <w:rFonts w:asciiTheme="minorHAnsi" w:hAnsiTheme="minorHAnsi"/>
        </w:rPr>
        <w:t>pembrolizumab</w:t>
      </w:r>
      <w:proofErr w:type="spellEnd"/>
      <w:r w:rsidRPr="00B51C41">
        <w:rPr>
          <w:rFonts w:asciiTheme="minorHAnsi" w:hAnsiTheme="minorHAnsi"/>
        </w:rPr>
        <w:t>.</w:t>
      </w:r>
    </w:p>
    <w:p w14:paraId="5CBEB503" w14:textId="73E69477" w:rsidR="000476AD" w:rsidRPr="00B51C41" w:rsidRDefault="000476AD" w:rsidP="000476AD">
      <w:pPr>
        <w:spacing w:before="0" w:after="0" w:line="240" w:lineRule="auto"/>
        <w:rPr>
          <w:rFonts w:asciiTheme="minorHAnsi" w:hAnsiTheme="minorHAnsi"/>
        </w:rPr>
      </w:pPr>
      <w:r w:rsidRPr="00B51C41">
        <w:rPr>
          <w:rFonts w:asciiTheme="minorHAnsi" w:hAnsiTheme="minorHAnsi"/>
        </w:rPr>
        <w:t xml:space="preserve">Subjects were 58.1% male and 93.5% white. Median age was 32.0 years. </w:t>
      </w:r>
      <w:proofErr w:type="spellStart"/>
      <w:r w:rsidRPr="00B51C41">
        <w:rPr>
          <w:rFonts w:asciiTheme="minorHAnsi" w:hAnsiTheme="minorHAnsi"/>
        </w:rPr>
        <w:t>Enrollment</w:t>
      </w:r>
      <w:proofErr w:type="spellEnd"/>
      <w:r w:rsidRPr="00B51C41">
        <w:rPr>
          <w:rFonts w:asciiTheme="minorHAnsi" w:hAnsiTheme="minorHAnsi"/>
        </w:rPr>
        <w:t xml:space="preserve"> was approximately equal between US (51.6%) and ex-US (48.4%) subjects. All subjects were refractory to a previous therapy, or had relapsed after </w:t>
      </w:r>
      <w:r w:rsidR="00D65F50">
        <w:rPr>
          <w:rFonts w:asciiTheme="minorHAnsi" w:hAnsiTheme="minorHAnsi"/>
        </w:rPr>
        <w:t xml:space="preserve">≥ </w:t>
      </w:r>
      <w:r w:rsidRPr="00B51C41">
        <w:rPr>
          <w:rFonts w:asciiTheme="minorHAnsi" w:hAnsiTheme="minorHAnsi"/>
        </w:rPr>
        <w:t xml:space="preserve">3 lines of therapy, and had previously failed treatment with BV. Most of the subjects had nodular </w:t>
      </w:r>
      <w:proofErr w:type="spellStart"/>
      <w:r w:rsidRPr="00B51C41">
        <w:rPr>
          <w:rFonts w:asciiTheme="minorHAnsi" w:hAnsiTheme="minorHAnsi"/>
        </w:rPr>
        <w:t>sclerosing</w:t>
      </w:r>
      <w:proofErr w:type="spellEnd"/>
      <w:r w:rsidRPr="00B51C41">
        <w:rPr>
          <w:rFonts w:asciiTheme="minorHAnsi" w:hAnsiTheme="minorHAnsi"/>
        </w:rPr>
        <w:t xml:space="preserve"> HL (30 [96.8%]), had a previous </w:t>
      </w:r>
      <w:r w:rsidR="00436796">
        <w:rPr>
          <w:rFonts w:asciiTheme="minorHAnsi" w:hAnsiTheme="minorHAnsi"/>
        </w:rPr>
        <w:t>A</w:t>
      </w:r>
      <w:r w:rsidRPr="00B51C41">
        <w:rPr>
          <w:rFonts w:asciiTheme="minorHAnsi" w:hAnsiTheme="minorHAnsi"/>
        </w:rPr>
        <w:t xml:space="preserve">SCT (23 [74.2%]), or were ineligible for </w:t>
      </w:r>
      <w:r w:rsidR="00436796">
        <w:rPr>
          <w:rFonts w:asciiTheme="minorHAnsi" w:hAnsiTheme="minorHAnsi"/>
        </w:rPr>
        <w:t>A</w:t>
      </w:r>
      <w:r w:rsidRPr="00B51C41">
        <w:rPr>
          <w:rFonts w:asciiTheme="minorHAnsi" w:hAnsiTheme="minorHAnsi"/>
        </w:rPr>
        <w:t xml:space="preserve">SCT (8 [25.8%]). The median </w:t>
      </w:r>
      <w:r w:rsidRPr="00E80E60">
        <w:rPr>
          <w:rFonts w:asciiTheme="minorHAnsi" w:hAnsiTheme="minorHAnsi"/>
        </w:rPr>
        <w:t xml:space="preserve">number of prior lines of therapy was 5.0 (range 2 to 15). The key efficacy results are summarised in </w:t>
      </w:r>
      <w:r w:rsidR="00606070">
        <w:rPr>
          <w:rFonts w:asciiTheme="minorHAnsi" w:hAnsiTheme="minorHAnsi"/>
        </w:rPr>
        <w:t>Table 20</w:t>
      </w:r>
      <w:r w:rsidRPr="00E80E60">
        <w:rPr>
          <w:rFonts w:asciiTheme="minorHAnsi" w:hAnsiTheme="minorHAnsi"/>
        </w:rPr>
        <w:t xml:space="preserve"> below. Of note, the median duration of follow-up was 24.9 months (7.0 to 29.7 months).</w:t>
      </w:r>
    </w:p>
    <w:p w14:paraId="5CBEB504" w14:textId="7A13A633" w:rsidR="000476AD" w:rsidRPr="00B51C41" w:rsidRDefault="000476AD" w:rsidP="00CC4E8D">
      <w:pPr>
        <w:pStyle w:val="Tabletitle0"/>
      </w:pPr>
    </w:p>
    <w:tbl>
      <w:tblPr>
        <w:tblStyle w:val="TableTGAblue"/>
        <w:tblW w:w="8897" w:type="dxa"/>
        <w:tblLook w:val="04A0" w:firstRow="1" w:lastRow="0" w:firstColumn="1" w:lastColumn="0" w:noHBand="0" w:noVBand="1"/>
        <w:tblDescription w:val="Table 20: Summary of efficacy results, (ASaT population), Study KN013.Data cut date 3 June 2016."/>
      </w:tblPr>
      <w:tblGrid>
        <w:gridCol w:w="2518"/>
        <w:gridCol w:w="1701"/>
        <w:gridCol w:w="1559"/>
        <w:gridCol w:w="1560"/>
        <w:gridCol w:w="1559"/>
      </w:tblGrid>
      <w:tr w:rsidR="000476AD" w:rsidRPr="00CC4E8D" w14:paraId="5CBEB511" w14:textId="77777777" w:rsidTr="00E80E60">
        <w:trPr>
          <w:cnfStyle w:val="100000000000" w:firstRow="1" w:lastRow="0" w:firstColumn="0" w:lastColumn="0" w:oddVBand="0" w:evenVBand="0" w:oddHBand="0" w:evenHBand="0" w:firstRowFirstColumn="0" w:firstRowLastColumn="0" w:lastRowFirstColumn="0" w:lastRowLastColumn="0"/>
          <w:trHeight w:val="1171"/>
        </w:trPr>
        <w:tc>
          <w:tcPr>
            <w:tcW w:w="2518" w:type="dxa"/>
          </w:tcPr>
          <w:p w14:paraId="5CBEB505" w14:textId="77777777" w:rsidR="000476AD" w:rsidRPr="00CC4E8D" w:rsidRDefault="000476AD" w:rsidP="00CC4E8D">
            <w:pPr>
              <w:spacing w:before="0" w:after="0" w:line="240" w:lineRule="auto"/>
              <w:rPr>
                <w:sz w:val="18"/>
                <w:szCs w:val="18"/>
              </w:rPr>
            </w:pPr>
          </w:p>
        </w:tc>
        <w:tc>
          <w:tcPr>
            <w:tcW w:w="1701" w:type="dxa"/>
          </w:tcPr>
          <w:p w14:paraId="5CBEB506" w14:textId="77777777" w:rsidR="000476AD" w:rsidRPr="00CC4E8D" w:rsidRDefault="000476AD" w:rsidP="00CC4E8D">
            <w:pPr>
              <w:spacing w:before="0" w:after="0" w:line="240" w:lineRule="auto"/>
              <w:rPr>
                <w:sz w:val="18"/>
                <w:szCs w:val="18"/>
              </w:rPr>
            </w:pPr>
            <w:r w:rsidRPr="00CC4E8D">
              <w:rPr>
                <w:sz w:val="18"/>
                <w:szCs w:val="18"/>
              </w:rPr>
              <w:t>All subjects</w:t>
            </w:r>
          </w:p>
          <w:p w14:paraId="5CBEB509" w14:textId="77777777" w:rsidR="000476AD" w:rsidRPr="00CC4E8D" w:rsidRDefault="000476AD" w:rsidP="00CC4E8D">
            <w:pPr>
              <w:spacing w:before="0" w:after="0" w:line="240" w:lineRule="auto"/>
              <w:rPr>
                <w:sz w:val="18"/>
                <w:szCs w:val="18"/>
              </w:rPr>
            </w:pPr>
            <w:r w:rsidRPr="00CC4E8D">
              <w:rPr>
                <w:sz w:val="18"/>
                <w:szCs w:val="18"/>
              </w:rPr>
              <w:t>N=31</w:t>
            </w:r>
          </w:p>
        </w:tc>
        <w:tc>
          <w:tcPr>
            <w:tcW w:w="1559" w:type="dxa"/>
          </w:tcPr>
          <w:p w14:paraId="5CBEB50A" w14:textId="77777777" w:rsidR="000476AD" w:rsidRPr="00CC4E8D" w:rsidRDefault="000476AD" w:rsidP="00CC4E8D">
            <w:pPr>
              <w:spacing w:before="0" w:after="0" w:line="240" w:lineRule="auto"/>
              <w:rPr>
                <w:sz w:val="18"/>
                <w:szCs w:val="18"/>
              </w:rPr>
            </w:pPr>
            <w:r w:rsidRPr="00CC4E8D">
              <w:rPr>
                <w:sz w:val="18"/>
                <w:szCs w:val="18"/>
              </w:rPr>
              <w:t>Failed ASCT and failed BV</w:t>
            </w:r>
          </w:p>
          <w:p w14:paraId="5CBEB50C" w14:textId="77777777" w:rsidR="000476AD" w:rsidRPr="00CC4E8D" w:rsidRDefault="000476AD" w:rsidP="00CC4E8D">
            <w:pPr>
              <w:spacing w:before="0" w:after="0" w:line="240" w:lineRule="auto"/>
              <w:rPr>
                <w:sz w:val="18"/>
                <w:szCs w:val="18"/>
              </w:rPr>
            </w:pPr>
            <w:r w:rsidRPr="00CC4E8D">
              <w:rPr>
                <w:sz w:val="18"/>
                <w:szCs w:val="18"/>
              </w:rPr>
              <w:t>N=16</w:t>
            </w:r>
          </w:p>
        </w:tc>
        <w:tc>
          <w:tcPr>
            <w:tcW w:w="1560" w:type="dxa"/>
          </w:tcPr>
          <w:p w14:paraId="6802D5AF" w14:textId="77777777" w:rsidR="00F8652A" w:rsidRDefault="000476AD" w:rsidP="00CC4E8D">
            <w:pPr>
              <w:spacing w:before="0" w:after="0" w:line="240" w:lineRule="auto"/>
              <w:rPr>
                <w:sz w:val="18"/>
                <w:szCs w:val="18"/>
              </w:rPr>
            </w:pPr>
            <w:r w:rsidRPr="00CC4E8D">
              <w:rPr>
                <w:sz w:val="18"/>
                <w:szCs w:val="18"/>
              </w:rPr>
              <w:t>Ineligible for ASCT and failed BV</w:t>
            </w:r>
          </w:p>
          <w:p w14:paraId="5CBEB50E" w14:textId="2E6B5E06" w:rsidR="000476AD" w:rsidRPr="00CC4E8D" w:rsidRDefault="000476AD" w:rsidP="00CC4E8D">
            <w:pPr>
              <w:spacing w:before="0" w:after="0" w:line="240" w:lineRule="auto"/>
              <w:rPr>
                <w:sz w:val="18"/>
                <w:szCs w:val="18"/>
              </w:rPr>
            </w:pPr>
            <w:r w:rsidRPr="00CC4E8D">
              <w:rPr>
                <w:sz w:val="18"/>
                <w:szCs w:val="18"/>
              </w:rPr>
              <w:t>N=8</w:t>
            </w:r>
          </w:p>
        </w:tc>
        <w:tc>
          <w:tcPr>
            <w:tcW w:w="1559" w:type="dxa"/>
          </w:tcPr>
          <w:p w14:paraId="72B1ABA2" w14:textId="77777777" w:rsidR="00F8652A" w:rsidRDefault="000476AD" w:rsidP="00CC4E8D">
            <w:pPr>
              <w:spacing w:before="0" w:after="0" w:line="240" w:lineRule="auto"/>
              <w:rPr>
                <w:sz w:val="18"/>
                <w:szCs w:val="18"/>
              </w:rPr>
            </w:pPr>
            <w:r w:rsidRPr="00CC4E8D">
              <w:rPr>
                <w:sz w:val="18"/>
                <w:szCs w:val="18"/>
              </w:rPr>
              <w:t>Failed BV and then failed ASCT</w:t>
            </w:r>
          </w:p>
          <w:p w14:paraId="5CBEB510" w14:textId="4FCC7BAE" w:rsidR="000476AD" w:rsidRPr="00CC4E8D" w:rsidRDefault="000476AD" w:rsidP="00CC4E8D">
            <w:pPr>
              <w:spacing w:before="0" w:after="0" w:line="240" w:lineRule="auto"/>
              <w:rPr>
                <w:sz w:val="18"/>
                <w:szCs w:val="18"/>
              </w:rPr>
            </w:pPr>
            <w:r w:rsidRPr="00CC4E8D">
              <w:rPr>
                <w:sz w:val="18"/>
                <w:szCs w:val="18"/>
              </w:rPr>
              <w:t>N=7</w:t>
            </w:r>
          </w:p>
        </w:tc>
      </w:tr>
      <w:tr w:rsidR="000476AD" w:rsidRPr="00CC4E8D" w14:paraId="5CBEB520" w14:textId="77777777" w:rsidTr="00E80E60">
        <w:tc>
          <w:tcPr>
            <w:tcW w:w="2518" w:type="dxa"/>
          </w:tcPr>
          <w:p w14:paraId="5CBEB513" w14:textId="55EBADE0" w:rsidR="000476AD" w:rsidRPr="00CC4E8D" w:rsidRDefault="000476AD" w:rsidP="00D92572">
            <w:pPr>
              <w:spacing w:before="0" w:after="0" w:line="240" w:lineRule="auto"/>
              <w:rPr>
                <w:sz w:val="18"/>
                <w:szCs w:val="18"/>
              </w:rPr>
            </w:pPr>
            <w:r w:rsidRPr="00CC4E8D">
              <w:rPr>
                <w:sz w:val="18"/>
                <w:szCs w:val="18"/>
              </w:rPr>
              <w:t>Number of subjects with response (%) (ORR=CR+PR)</w:t>
            </w:r>
            <w:r w:rsidR="00D65F50" w:rsidRPr="00CC4E8D">
              <w:rPr>
                <w:sz w:val="18"/>
                <w:szCs w:val="18"/>
              </w:rPr>
              <w:t xml:space="preserve"> </w:t>
            </w:r>
            <w:r w:rsidRPr="00CC4E8D">
              <w:rPr>
                <w:sz w:val="18"/>
                <w:szCs w:val="18"/>
              </w:rPr>
              <w:t>95% CI</w:t>
            </w:r>
          </w:p>
        </w:tc>
        <w:tc>
          <w:tcPr>
            <w:tcW w:w="1701" w:type="dxa"/>
          </w:tcPr>
          <w:p w14:paraId="5CBEB514" w14:textId="77777777" w:rsidR="000476AD" w:rsidRPr="00CC4E8D" w:rsidRDefault="000476AD" w:rsidP="00CC4E8D">
            <w:pPr>
              <w:spacing w:before="0" w:after="0" w:line="240" w:lineRule="auto"/>
              <w:rPr>
                <w:sz w:val="18"/>
                <w:szCs w:val="18"/>
              </w:rPr>
            </w:pPr>
            <w:r w:rsidRPr="00CC4E8D">
              <w:rPr>
                <w:sz w:val="18"/>
                <w:szCs w:val="18"/>
              </w:rPr>
              <w:t>18 (58.1)</w:t>
            </w:r>
          </w:p>
          <w:p w14:paraId="5CBEB515" w14:textId="77777777" w:rsidR="000476AD" w:rsidRPr="00CC4E8D" w:rsidRDefault="000476AD" w:rsidP="00CC4E8D">
            <w:pPr>
              <w:spacing w:before="0" w:after="0" w:line="240" w:lineRule="auto"/>
              <w:rPr>
                <w:sz w:val="18"/>
                <w:szCs w:val="18"/>
              </w:rPr>
            </w:pPr>
          </w:p>
          <w:p w14:paraId="5CBEB516" w14:textId="77777777" w:rsidR="000476AD" w:rsidRPr="00CC4E8D" w:rsidRDefault="000476AD" w:rsidP="00CC4E8D">
            <w:pPr>
              <w:spacing w:before="0" w:after="0" w:line="240" w:lineRule="auto"/>
              <w:rPr>
                <w:sz w:val="18"/>
                <w:szCs w:val="18"/>
              </w:rPr>
            </w:pPr>
            <w:r w:rsidRPr="00CC4E8D">
              <w:rPr>
                <w:sz w:val="18"/>
                <w:szCs w:val="18"/>
              </w:rPr>
              <w:t>(39.1, 75.5)</w:t>
            </w:r>
          </w:p>
        </w:tc>
        <w:tc>
          <w:tcPr>
            <w:tcW w:w="1559" w:type="dxa"/>
          </w:tcPr>
          <w:p w14:paraId="5CBEB517" w14:textId="77777777" w:rsidR="000476AD" w:rsidRPr="00CC4E8D" w:rsidRDefault="000476AD" w:rsidP="00CC4E8D">
            <w:pPr>
              <w:spacing w:before="0" w:after="0" w:line="240" w:lineRule="auto"/>
              <w:rPr>
                <w:sz w:val="18"/>
                <w:szCs w:val="18"/>
              </w:rPr>
            </w:pPr>
            <w:r w:rsidRPr="00CC4E8D">
              <w:rPr>
                <w:sz w:val="18"/>
                <w:szCs w:val="18"/>
              </w:rPr>
              <w:t>11 (68.8)</w:t>
            </w:r>
          </w:p>
          <w:p w14:paraId="5CBEB518" w14:textId="77777777" w:rsidR="000476AD" w:rsidRPr="00CC4E8D" w:rsidRDefault="000476AD" w:rsidP="00CC4E8D">
            <w:pPr>
              <w:spacing w:before="0" w:after="0" w:line="240" w:lineRule="auto"/>
              <w:rPr>
                <w:sz w:val="18"/>
                <w:szCs w:val="18"/>
              </w:rPr>
            </w:pPr>
          </w:p>
          <w:p w14:paraId="5CBEB519" w14:textId="77777777" w:rsidR="000476AD" w:rsidRPr="00CC4E8D" w:rsidRDefault="000476AD" w:rsidP="00CC4E8D">
            <w:pPr>
              <w:spacing w:before="0" w:after="0" w:line="240" w:lineRule="auto"/>
              <w:rPr>
                <w:sz w:val="18"/>
                <w:szCs w:val="18"/>
              </w:rPr>
            </w:pPr>
            <w:r w:rsidRPr="00CC4E8D">
              <w:rPr>
                <w:sz w:val="18"/>
                <w:szCs w:val="18"/>
              </w:rPr>
              <w:t>(41.3, 89.0)</w:t>
            </w:r>
          </w:p>
        </w:tc>
        <w:tc>
          <w:tcPr>
            <w:tcW w:w="1560" w:type="dxa"/>
          </w:tcPr>
          <w:p w14:paraId="5CBEB51A" w14:textId="77777777" w:rsidR="000476AD" w:rsidRPr="00CC4E8D" w:rsidRDefault="000476AD" w:rsidP="00CC4E8D">
            <w:pPr>
              <w:spacing w:before="0" w:after="0" w:line="240" w:lineRule="auto"/>
              <w:rPr>
                <w:sz w:val="18"/>
                <w:szCs w:val="18"/>
              </w:rPr>
            </w:pPr>
            <w:r w:rsidRPr="00CC4E8D">
              <w:rPr>
                <w:sz w:val="18"/>
                <w:szCs w:val="18"/>
              </w:rPr>
              <w:t>3 (37.5)</w:t>
            </w:r>
          </w:p>
          <w:p w14:paraId="5CBEB51B" w14:textId="77777777" w:rsidR="000476AD" w:rsidRPr="00CC4E8D" w:rsidRDefault="000476AD" w:rsidP="00CC4E8D">
            <w:pPr>
              <w:spacing w:before="0" w:after="0" w:line="240" w:lineRule="auto"/>
              <w:rPr>
                <w:sz w:val="18"/>
                <w:szCs w:val="18"/>
              </w:rPr>
            </w:pPr>
          </w:p>
          <w:p w14:paraId="5CBEB51C" w14:textId="77777777" w:rsidR="000476AD" w:rsidRPr="00CC4E8D" w:rsidRDefault="000476AD" w:rsidP="00CC4E8D">
            <w:pPr>
              <w:spacing w:before="0" w:after="0" w:line="240" w:lineRule="auto"/>
              <w:rPr>
                <w:sz w:val="18"/>
                <w:szCs w:val="18"/>
              </w:rPr>
            </w:pPr>
            <w:r w:rsidRPr="00CC4E8D">
              <w:rPr>
                <w:sz w:val="18"/>
                <w:szCs w:val="18"/>
              </w:rPr>
              <w:t>(8.5, 75.5)</w:t>
            </w:r>
          </w:p>
        </w:tc>
        <w:tc>
          <w:tcPr>
            <w:tcW w:w="1559" w:type="dxa"/>
          </w:tcPr>
          <w:p w14:paraId="5CBEB51D" w14:textId="77777777" w:rsidR="000476AD" w:rsidRPr="00CC4E8D" w:rsidRDefault="000476AD" w:rsidP="00CC4E8D">
            <w:pPr>
              <w:spacing w:before="0" w:after="0" w:line="240" w:lineRule="auto"/>
              <w:rPr>
                <w:sz w:val="18"/>
                <w:szCs w:val="18"/>
              </w:rPr>
            </w:pPr>
            <w:r w:rsidRPr="00CC4E8D">
              <w:rPr>
                <w:sz w:val="18"/>
                <w:szCs w:val="18"/>
              </w:rPr>
              <w:t>4 (57.1)</w:t>
            </w:r>
          </w:p>
          <w:p w14:paraId="5CBEB51E" w14:textId="77777777" w:rsidR="000476AD" w:rsidRPr="00CC4E8D" w:rsidRDefault="000476AD" w:rsidP="00CC4E8D">
            <w:pPr>
              <w:spacing w:before="0" w:after="0" w:line="240" w:lineRule="auto"/>
              <w:rPr>
                <w:sz w:val="18"/>
                <w:szCs w:val="18"/>
              </w:rPr>
            </w:pPr>
          </w:p>
          <w:p w14:paraId="5CBEB51F" w14:textId="77777777" w:rsidR="000476AD" w:rsidRPr="00CC4E8D" w:rsidRDefault="000476AD" w:rsidP="00CC4E8D">
            <w:pPr>
              <w:spacing w:before="0" w:after="0" w:line="240" w:lineRule="auto"/>
              <w:rPr>
                <w:sz w:val="18"/>
                <w:szCs w:val="18"/>
              </w:rPr>
            </w:pPr>
            <w:r w:rsidRPr="00CC4E8D">
              <w:rPr>
                <w:sz w:val="18"/>
                <w:szCs w:val="18"/>
              </w:rPr>
              <w:t>(18.4, 90.1)</w:t>
            </w:r>
          </w:p>
        </w:tc>
      </w:tr>
      <w:tr w:rsidR="000476AD" w:rsidRPr="00CC4E8D" w14:paraId="5CBEB52B" w14:textId="77777777" w:rsidTr="00E80E60">
        <w:tc>
          <w:tcPr>
            <w:tcW w:w="2518" w:type="dxa"/>
          </w:tcPr>
          <w:p w14:paraId="5CBEB522" w14:textId="4D7A4929" w:rsidR="000476AD" w:rsidRPr="00CC4E8D" w:rsidRDefault="00D65F50" w:rsidP="00D92572">
            <w:pPr>
              <w:spacing w:before="0" w:after="0" w:line="240" w:lineRule="auto"/>
              <w:rPr>
                <w:sz w:val="18"/>
                <w:szCs w:val="18"/>
              </w:rPr>
            </w:pPr>
            <w:r w:rsidRPr="00CC4E8D">
              <w:rPr>
                <w:sz w:val="18"/>
                <w:szCs w:val="18"/>
              </w:rPr>
              <w:t xml:space="preserve">  </w:t>
            </w:r>
            <w:r w:rsidR="000476AD" w:rsidRPr="00CC4E8D">
              <w:rPr>
                <w:sz w:val="18"/>
                <w:szCs w:val="18"/>
              </w:rPr>
              <w:t xml:space="preserve"> -Complete remission (%)(CR)</w:t>
            </w:r>
            <w:r w:rsidRPr="00CC4E8D">
              <w:rPr>
                <w:sz w:val="18"/>
                <w:szCs w:val="18"/>
              </w:rPr>
              <w:t xml:space="preserve"> </w:t>
            </w:r>
            <w:r w:rsidR="000476AD" w:rsidRPr="00CC4E8D">
              <w:rPr>
                <w:sz w:val="18"/>
                <w:szCs w:val="18"/>
              </w:rPr>
              <w:t>95% CI</w:t>
            </w:r>
          </w:p>
        </w:tc>
        <w:tc>
          <w:tcPr>
            <w:tcW w:w="1701" w:type="dxa"/>
          </w:tcPr>
          <w:p w14:paraId="5CBEB523" w14:textId="77777777" w:rsidR="000476AD" w:rsidRPr="00CC4E8D" w:rsidRDefault="000476AD" w:rsidP="00CC4E8D">
            <w:pPr>
              <w:spacing w:before="0" w:after="0" w:line="240" w:lineRule="auto"/>
              <w:rPr>
                <w:sz w:val="18"/>
                <w:szCs w:val="18"/>
              </w:rPr>
            </w:pPr>
            <w:r w:rsidRPr="00CC4E8D">
              <w:rPr>
                <w:sz w:val="18"/>
                <w:szCs w:val="18"/>
              </w:rPr>
              <w:t>6 (19.4)</w:t>
            </w:r>
          </w:p>
          <w:p w14:paraId="5CBEB524" w14:textId="77777777" w:rsidR="000476AD" w:rsidRPr="00CC4E8D" w:rsidRDefault="000476AD" w:rsidP="00CC4E8D">
            <w:pPr>
              <w:spacing w:before="0" w:after="0" w:line="240" w:lineRule="auto"/>
              <w:rPr>
                <w:sz w:val="18"/>
                <w:szCs w:val="18"/>
              </w:rPr>
            </w:pPr>
            <w:r w:rsidRPr="00CC4E8D">
              <w:rPr>
                <w:sz w:val="18"/>
                <w:szCs w:val="18"/>
              </w:rPr>
              <w:t>(7.5, 37.5)</w:t>
            </w:r>
          </w:p>
        </w:tc>
        <w:tc>
          <w:tcPr>
            <w:tcW w:w="1559" w:type="dxa"/>
          </w:tcPr>
          <w:p w14:paraId="5CBEB525" w14:textId="77777777" w:rsidR="000476AD" w:rsidRPr="00CC4E8D" w:rsidRDefault="000476AD" w:rsidP="00CC4E8D">
            <w:pPr>
              <w:spacing w:before="0" w:after="0" w:line="240" w:lineRule="auto"/>
              <w:rPr>
                <w:sz w:val="18"/>
                <w:szCs w:val="18"/>
              </w:rPr>
            </w:pPr>
            <w:r w:rsidRPr="00CC4E8D">
              <w:rPr>
                <w:sz w:val="18"/>
                <w:szCs w:val="18"/>
              </w:rPr>
              <w:t>3 (18.8)</w:t>
            </w:r>
          </w:p>
          <w:p w14:paraId="5CBEB526" w14:textId="77777777" w:rsidR="000476AD" w:rsidRPr="00CC4E8D" w:rsidRDefault="000476AD" w:rsidP="00CC4E8D">
            <w:pPr>
              <w:spacing w:before="0" w:after="0" w:line="240" w:lineRule="auto"/>
              <w:rPr>
                <w:sz w:val="18"/>
                <w:szCs w:val="18"/>
              </w:rPr>
            </w:pPr>
            <w:r w:rsidRPr="00CC4E8D">
              <w:rPr>
                <w:sz w:val="18"/>
                <w:szCs w:val="18"/>
              </w:rPr>
              <w:t>(4.0, 45.6)</w:t>
            </w:r>
          </w:p>
        </w:tc>
        <w:tc>
          <w:tcPr>
            <w:tcW w:w="1560" w:type="dxa"/>
          </w:tcPr>
          <w:p w14:paraId="5CBEB527" w14:textId="77777777" w:rsidR="000476AD" w:rsidRPr="00CC4E8D" w:rsidRDefault="000476AD" w:rsidP="00CC4E8D">
            <w:pPr>
              <w:spacing w:before="0" w:after="0" w:line="240" w:lineRule="auto"/>
              <w:rPr>
                <w:sz w:val="18"/>
                <w:szCs w:val="18"/>
              </w:rPr>
            </w:pPr>
            <w:r w:rsidRPr="00CC4E8D">
              <w:rPr>
                <w:sz w:val="18"/>
                <w:szCs w:val="18"/>
              </w:rPr>
              <w:t>2 (25.0)</w:t>
            </w:r>
          </w:p>
          <w:p w14:paraId="5CBEB528" w14:textId="77777777" w:rsidR="000476AD" w:rsidRPr="00CC4E8D" w:rsidRDefault="000476AD" w:rsidP="00CC4E8D">
            <w:pPr>
              <w:spacing w:before="0" w:after="0" w:line="240" w:lineRule="auto"/>
              <w:rPr>
                <w:sz w:val="18"/>
                <w:szCs w:val="18"/>
              </w:rPr>
            </w:pPr>
            <w:r w:rsidRPr="00CC4E8D">
              <w:rPr>
                <w:sz w:val="18"/>
                <w:szCs w:val="18"/>
              </w:rPr>
              <w:t>(3.2, 65.1)</w:t>
            </w:r>
          </w:p>
        </w:tc>
        <w:tc>
          <w:tcPr>
            <w:tcW w:w="1559" w:type="dxa"/>
          </w:tcPr>
          <w:p w14:paraId="5CBEB529" w14:textId="77777777" w:rsidR="000476AD" w:rsidRPr="00CC4E8D" w:rsidRDefault="000476AD" w:rsidP="00CC4E8D">
            <w:pPr>
              <w:spacing w:before="0" w:after="0" w:line="240" w:lineRule="auto"/>
              <w:rPr>
                <w:sz w:val="18"/>
                <w:szCs w:val="18"/>
              </w:rPr>
            </w:pPr>
            <w:r w:rsidRPr="00CC4E8D">
              <w:rPr>
                <w:sz w:val="18"/>
                <w:szCs w:val="18"/>
              </w:rPr>
              <w:t>1 (14.3)</w:t>
            </w:r>
          </w:p>
          <w:p w14:paraId="5CBEB52A" w14:textId="77777777" w:rsidR="000476AD" w:rsidRPr="00CC4E8D" w:rsidRDefault="000476AD" w:rsidP="00CC4E8D">
            <w:pPr>
              <w:spacing w:before="0" w:after="0" w:line="240" w:lineRule="auto"/>
              <w:rPr>
                <w:sz w:val="18"/>
                <w:szCs w:val="18"/>
              </w:rPr>
            </w:pPr>
            <w:r w:rsidRPr="00CC4E8D">
              <w:rPr>
                <w:sz w:val="18"/>
                <w:szCs w:val="18"/>
              </w:rPr>
              <w:t>(0.4, 57.9)</w:t>
            </w:r>
          </w:p>
        </w:tc>
      </w:tr>
      <w:tr w:rsidR="000476AD" w:rsidRPr="00CC4E8D" w14:paraId="5CBEB536" w14:textId="77777777" w:rsidTr="00E80E60">
        <w:tc>
          <w:tcPr>
            <w:tcW w:w="2518" w:type="dxa"/>
          </w:tcPr>
          <w:p w14:paraId="5CBEB52D" w14:textId="67557B1D" w:rsidR="000476AD" w:rsidRPr="00CC4E8D" w:rsidRDefault="00D65F50" w:rsidP="00D92572">
            <w:pPr>
              <w:spacing w:before="0" w:after="0" w:line="240" w:lineRule="auto"/>
              <w:rPr>
                <w:sz w:val="18"/>
                <w:szCs w:val="18"/>
              </w:rPr>
            </w:pPr>
            <w:r w:rsidRPr="00CC4E8D">
              <w:rPr>
                <w:sz w:val="18"/>
                <w:szCs w:val="18"/>
              </w:rPr>
              <w:t xml:space="preserve">  </w:t>
            </w:r>
            <w:r w:rsidR="000476AD" w:rsidRPr="00CC4E8D">
              <w:rPr>
                <w:sz w:val="18"/>
                <w:szCs w:val="18"/>
              </w:rPr>
              <w:t xml:space="preserve"> -Partial remission (%)(PR)</w:t>
            </w:r>
            <w:r w:rsidRPr="00CC4E8D">
              <w:rPr>
                <w:sz w:val="18"/>
                <w:szCs w:val="18"/>
              </w:rPr>
              <w:t xml:space="preserve"> </w:t>
            </w:r>
            <w:r w:rsidR="000476AD" w:rsidRPr="00CC4E8D">
              <w:rPr>
                <w:sz w:val="18"/>
                <w:szCs w:val="18"/>
              </w:rPr>
              <w:t>95% CI</w:t>
            </w:r>
          </w:p>
        </w:tc>
        <w:tc>
          <w:tcPr>
            <w:tcW w:w="1701" w:type="dxa"/>
          </w:tcPr>
          <w:p w14:paraId="5CBEB52E" w14:textId="77777777" w:rsidR="000476AD" w:rsidRPr="00CC4E8D" w:rsidRDefault="000476AD" w:rsidP="00CC4E8D">
            <w:pPr>
              <w:spacing w:before="0" w:after="0" w:line="240" w:lineRule="auto"/>
              <w:rPr>
                <w:sz w:val="18"/>
                <w:szCs w:val="18"/>
              </w:rPr>
            </w:pPr>
            <w:r w:rsidRPr="00CC4E8D">
              <w:rPr>
                <w:sz w:val="18"/>
                <w:szCs w:val="18"/>
              </w:rPr>
              <w:t>12 (38.7)</w:t>
            </w:r>
          </w:p>
          <w:p w14:paraId="5CBEB52F" w14:textId="77777777" w:rsidR="000476AD" w:rsidRPr="00CC4E8D" w:rsidRDefault="000476AD" w:rsidP="00CC4E8D">
            <w:pPr>
              <w:spacing w:before="0" w:after="0" w:line="240" w:lineRule="auto"/>
              <w:rPr>
                <w:sz w:val="18"/>
                <w:szCs w:val="18"/>
              </w:rPr>
            </w:pPr>
            <w:r w:rsidRPr="00CC4E8D">
              <w:rPr>
                <w:sz w:val="18"/>
                <w:szCs w:val="18"/>
              </w:rPr>
              <w:t>(21.8, 57.8)</w:t>
            </w:r>
          </w:p>
        </w:tc>
        <w:tc>
          <w:tcPr>
            <w:tcW w:w="1559" w:type="dxa"/>
          </w:tcPr>
          <w:p w14:paraId="5CBEB530" w14:textId="77777777" w:rsidR="000476AD" w:rsidRPr="00CC4E8D" w:rsidRDefault="000476AD" w:rsidP="00CC4E8D">
            <w:pPr>
              <w:spacing w:before="0" w:after="0" w:line="240" w:lineRule="auto"/>
              <w:rPr>
                <w:sz w:val="18"/>
                <w:szCs w:val="18"/>
              </w:rPr>
            </w:pPr>
            <w:r w:rsidRPr="00CC4E8D">
              <w:rPr>
                <w:sz w:val="18"/>
                <w:szCs w:val="18"/>
              </w:rPr>
              <w:t>8 (50.0)</w:t>
            </w:r>
          </w:p>
          <w:p w14:paraId="5CBEB531" w14:textId="77777777" w:rsidR="000476AD" w:rsidRPr="00CC4E8D" w:rsidRDefault="000476AD" w:rsidP="00CC4E8D">
            <w:pPr>
              <w:spacing w:before="0" w:after="0" w:line="240" w:lineRule="auto"/>
              <w:rPr>
                <w:sz w:val="18"/>
                <w:szCs w:val="18"/>
              </w:rPr>
            </w:pPr>
            <w:r w:rsidRPr="00CC4E8D">
              <w:rPr>
                <w:sz w:val="18"/>
                <w:szCs w:val="18"/>
              </w:rPr>
              <w:t>(24.7, 75.3)</w:t>
            </w:r>
          </w:p>
        </w:tc>
        <w:tc>
          <w:tcPr>
            <w:tcW w:w="1560" w:type="dxa"/>
          </w:tcPr>
          <w:p w14:paraId="5CBEB532" w14:textId="77777777" w:rsidR="000476AD" w:rsidRPr="00CC4E8D" w:rsidRDefault="000476AD" w:rsidP="00CC4E8D">
            <w:pPr>
              <w:spacing w:before="0" w:after="0" w:line="240" w:lineRule="auto"/>
              <w:rPr>
                <w:sz w:val="18"/>
                <w:szCs w:val="18"/>
              </w:rPr>
            </w:pPr>
            <w:r w:rsidRPr="00CC4E8D">
              <w:rPr>
                <w:sz w:val="18"/>
                <w:szCs w:val="18"/>
              </w:rPr>
              <w:t>1 (12.5)</w:t>
            </w:r>
          </w:p>
          <w:p w14:paraId="5CBEB533" w14:textId="77777777" w:rsidR="000476AD" w:rsidRPr="00CC4E8D" w:rsidRDefault="000476AD" w:rsidP="00CC4E8D">
            <w:pPr>
              <w:spacing w:before="0" w:after="0" w:line="240" w:lineRule="auto"/>
              <w:rPr>
                <w:sz w:val="18"/>
                <w:szCs w:val="18"/>
              </w:rPr>
            </w:pPr>
            <w:r w:rsidRPr="00CC4E8D">
              <w:rPr>
                <w:sz w:val="18"/>
                <w:szCs w:val="18"/>
              </w:rPr>
              <w:t>(0.3, 52.7)</w:t>
            </w:r>
          </w:p>
        </w:tc>
        <w:tc>
          <w:tcPr>
            <w:tcW w:w="1559" w:type="dxa"/>
          </w:tcPr>
          <w:p w14:paraId="5CBEB534" w14:textId="77777777" w:rsidR="000476AD" w:rsidRPr="00CC4E8D" w:rsidRDefault="000476AD" w:rsidP="00CC4E8D">
            <w:pPr>
              <w:spacing w:before="0" w:after="0" w:line="240" w:lineRule="auto"/>
              <w:rPr>
                <w:sz w:val="18"/>
                <w:szCs w:val="18"/>
              </w:rPr>
            </w:pPr>
            <w:r w:rsidRPr="00CC4E8D">
              <w:rPr>
                <w:sz w:val="18"/>
                <w:szCs w:val="18"/>
              </w:rPr>
              <w:t>3 (42.9)</w:t>
            </w:r>
          </w:p>
          <w:p w14:paraId="5CBEB535" w14:textId="77777777" w:rsidR="000476AD" w:rsidRPr="00CC4E8D" w:rsidRDefault="000476AD" w:rsidP="00CC4E8D">
            <w:pPr>
              <w:spacing w:before="0" w:after="0" w:line="240" w:lineRule="auto"/>
              <w:rPr>
                <w:sz w:val="18"/>
                <w:szCs w:val="18"/>
              </w:rPr>
            </w:pPr>
            <w:r w:rsidRPr="00CC4E8D">
              <w:rPr>
                <w:sz w:val="18"/>
                <w:szCs w:val="18"/>
              </w:rPr>
              <w:t>(9.9, 81.6)</w:t>
            </w:r>
          </w:p>
        </w:tc>
      </w:tr>
      <w:tr w:rsidR="000476AD" w:rsidRPr="00CC4E8D" w14:paraId="5CBEB544" w14:textId="77777777" w:rsidTr="00E80E60">
        <w:tc>
          <w:tcPr>
            <w:tcW w:w="2518" w:type="dxa"/>
          </w:tcPr>
          <w:p w14:paraId="4B66B557" w14:textId="77777777" w:rsidR="00F8652A" w:rsidRDefault="000476AD" w:rsidP="00CC4E8D">
            <w:pPr>
              <w:spacing w:before="0" w:after="0" w:line="240" w:lineRule="auto"/>
              <w:rPr>
                <w:sz w:val="18"/>
                <w:szCs w:val="18"/>
              </w:rPr>
            </w:pPr>
            <w:r w:rsidRPr="00CC4E8D">
              <w:rPr>
                <w:sz w:val="18"/>
                <w:szCs w:val="18"/>
              </w:rPr>
              <w:t>DOR – Median (months)</w:t>
            </w:r>
          </w:p>
          <w:p w14:paraId="5CBEB539" w14:textId="2512557F" w:rsidR="000476AD" w:rsidRPr="00CC4E8D" w:rsidRDefault="000476AD" w:rsidP="00D92572">
            <w:pPr>
              <w:spacing w:before="0" w:after="0" w:line="240" w:lineRule="auto"/>
              <w:rPr>
                <w:sz w:val="18"/>
                <w:szCs w:val="18"/>
              </w:rPr>
            </w:pPr>
            <w:r w:rsidRPr="00CC4E8D">
              <w:rPr>
                <w:sz w:val="18"/>
                <w:szCs w:val="18"/>
              </w:rPr>
              <w:t>(Range)95% CI</w:t>
            </w:r>
          </w:p>
        </w:tc>
        <w:tc>
          <w:tcPr>
            <w:tcW w:w="1701" w:type="dxa"/>
          </w:tcPr>
          <w:p w14:paraId="5BECED10" w14:textId="77777777" w:rsidR="00F8652A" w:rsidRDefault="000476AD" w:rsidP="00CC4E8D">
            <w:pPr>
              <w:spacing w:before="0" w:after="0" w:line="240" w:lineRule="auto"/>
              <w:rPr>
                <w:sz w:val="18"/>
                <w:szCs w:val="18"/>
              </w:rPr>
            </w:pPr>
            <w:r w:rsidRPr="00CC4E8D">
              <w:rPr>
                <w:sz w:val="18"/>
                <w:szCs w:val="18"/>
              </w:rPr>
              <w:t>Not reached</w:t>
            </w:r>
          </w:p>
          <w:p w14:paraId="5CBEB53B" w14:textId="3E479A08" w:rsidR="000476AD" w:rsidRPr="00CC4E8D" w:rsidRDefault="000476AD" w:rsidP="00CC4E8D">
            <w:pPr>
              <w:spacing w:before="0" w:after="0" w:line="240" w:lineRule="auto"/>
              <w:rPr>
                <w:sz w:val="18"/>
                <w:szCs w:val="18"/>
              </w:rPr>
            </w:pPr>
            <w:r w:rsidRPr="00CC4E8D">
              <w:rPr>
                <w:sz w:val="18"/>
                <w:szCs w:val="18"/>
              </w:rPr>
              <w:t>(2.1 -21.4+) (3.7, not reached)</w:t>
            </w:r>
          </w:p>
        </w:tc>
        <w:tc>
          <w:tcPr>
            <w:tcW w:w="1559" w:type="dxa"/>
          </w:tcPr>
          <w:p w14:paraId="1D92F5A5" w14:textId="77777777" w:rsidR="00F8652A" w:rsidRDefault="000476AD" w:rsidP="00CC4E8D">
            <w:pPr>
              <w:spacing w:before="0" w:after="0" w:line="240" w:lineRule="auto"/>
              <w:rPr>
                <w:sz w:val="18"/>
                <w:szCs w:val="18"/>
              </w:rPr>
            </w:pPr>
            <w:r w:rsidRPr="00CC4E8D">
              <w:rPr>
                <w:sz w:val="18"/>
                <w:szCs w:val="18"/>
              </w:rPr>
              <w:t>Not reached</w:t>
            </w:r>
          </w:p>
          <w:p w14:paraId="5CBEB53D" w14:textId="2B4F5595" w:rsidR="000476AD" w:rsidRPr="00CC4E8D" w:rsidRDefault="000476AD" w:rsidP="00CC4E8D">
            <w:pPr>
              <w:spacing w:before="0" w:after="0" w:line="240" w:lineRule="auto"/>
              <w:rPr>
                <w:sz w:val="18"/>
                <w:szCs w:val="18"/>
              </w:rPr>
            </w:pPr>
            <w:r w:rsidRPr="00CC4E8D">
              <w:rPr>
                <w:sz w:val="18"/>
                <w:szCs w:val="18"/>
              </w:rPr>
              <w:t>(2.1 -21.4+)</w:t>
            </w:r>
          </w:p>
          <w:p w14:paraId="5CBEB53E" w14:textId="77777777" w:rsidR="000476AD" w:rsidRPr="00CC4E8D" w:rsidRDefault="000476AD" w:rsidP="00CC4E8D">
            <w:pPr>
              <w:spacing w:before="0" w:after="0" w:line="240" w:lineRule="auto"/>
              <w:rPr>
                <w:sz w:val="18"/>
                <w:szCs w:val="18"/>
              </w:rPr>
            </w:pPr>
            <w:r w:rsidRPr="00CC4E8D">
              <w:rPr>
                <w:sz w:val="18"/>
                <w:szCs w:val="18"/>
              </w:rPr>
              <w:t>(3.7, not reached)</w:t>
            </w:r>
          </w:p>
        </w:tc>
        <w:tc>
          <w:tcPr>
            <w:tcW w:w="1560" w:type="dxa"/>
          </w:tcPr>
          <w:p w14:paraId="5CBEB53F" w14:textId="77777777" w:rsidR="000476AD" w:rsidRPr="00CC4E8D" w:rsidRDefault="000476AD" w:rsidP="00CC4E8D">
            <w:pPr>
              <w:spacing w:before="0" w:after="0" w:line="240" w:lineRule="auto"/>
              <w:rPr>
                <w:sz w:val="18"/>
                <w:szCs w:val="18"/>
              </w:rPr>
            </w:pPr>
            <w:r w:rsidRPr="00CC4E8D">
              <w:rPr>
                <w:sz w:val="18"/>
                <w:szCs w:val="18"/>
              </w:rPr>
              <w:t>Not reached (0.0+ - 19.1+)</w:t>
            </w:r>
          </w:p>
          <w:p w14:paraId="5CBEB540" w14:textId="77777777" w:rsidR="000476AD" w:rsidRPr="00CC4E8D" w:rsidRDefault="000476AD" w:rsidP="00CC4E8D">
            <w:pPr>
              <w:spacing w:before="0" w:after="0" w:line="240" w:lineRule="auto"/>
              <w:rPr>
                <w:sz w:val="18"/>
                <w:szCs w:val="18"/>
              </w:rPr>
            </w:pPr>
            <w:r w:rsidRPr="00CC4E8D">
              <w:rPr>
                <w:sz w:val="18"/>
                <w:szCs w:val="18"/>
              </w:rPr>
              <w:t>(3.4, not reached)</w:t>
            </w:r>
          </w:p>
        </w:tc>
        <w:tc>
          <w:tcPr>
            <w:tcW w:w="1559" w:type="dxa"/>
          </w:tcPr>
          <w:p w14:paraId="5CBEB541" w14:textId="77777777" w:rsidR="000476AD" w:rsidRPr="00CC4E8D" w:rsidRDefault="000476AD" w:rsidP="00CC4E8D">
            <w:pPr>
              <w:spacing w:before="0" w:after="0" w:line="240" w:lineRule="auto"/>
              <w:rPr>
                <w:sz w:val="18"/>
                <w:szCs w:val="18"/>
              </w:rPr>
            </w:pPr>
            <w:r w:rsidRPr="00CC4E8D">
              <w:rPr>
                <w:sz w:val="18"/>
                <w:szCs w:val="18"/>
              </w:rPr>
              <w:t>14.7</w:t>
            </w:r>
          </w:p>
          <w:p w14:paraId="5CBEB542" w14:textId="77777777" w:rsidR="000476AD" w:rsidRPr="00CC4E8D" w:rsidRDefault="000476AD" w:rsidP="00CC4E8D">
            <w:pPr>
              <w:spacing w:before="0" w:after="0" w:line="240" w:lineRule="auto"/>
              <w:rPr>
                <w:sz w:val="18"/>
                <w:szCs w:val="18"/>
              </w:rPr>
            </w:pPr>
            <w:r w:rsidRPr="00CC4E8D">
              <w:rPr>
                <w:sz w:val="18"/>
                <w:szCs w:val="18"/>
              </w:rPr>
              <w:t xml:space="preserve"> (1.4+, 14.7)</w:t>
            </w:r>
          </w:p>
          <w:p w14:paraId="5CBEB543" w14:textId="77777777" w:rsidR="000476AD" w:rsidRPr="00CC4E8D" w:rsidRDefault="000476AD" w:rsidP="00CC4E8D">
            <w:pPr>
              <w:spacing w:before="0" w:after="0" w:line="240" w:lineRule="auto"/>
              <w:rPr>
                <w:sz w:val="18"/>
                <w:szCs w:val="18"/>
              </w:rPr>
            </w:pPr>
            <w:r w:rsidRPr="00CC4E8D">
              <w:rPr>
                <w:sz w:val="18"/>
                <w:szCs w:val="18"/>
              </w:rPr>
              <w:t>(not reached, not reached)</w:t>
            </w:r>
          </w:p>
        </w:tc>
      </w:tr>
      <w:tr w:rsidR="000476AD" w:rsidRPr="00CC4E8D" w14:paraId="5CBEB54A" w14:textId="77777777" w:rsidTr="00E80E60">
        <w:tc>
          <w:tcPr>
            <w:tcW w:w="2518" w:type="dxa"/>
          </w:tcPr>
          <w:p w14:paraId="5CBEB545" w14:textId="77777777" w:rsidR="000476AD" w:rsidRPr="00CC4E8D" w:rsidRDefault="000476AD" w:rsidP="00CC4E8D">
            <w:pPr>
              <w:spacing w:before="0" w:after="0" w:line="240" w:lineRule="auto"/>
              <w:rPr>
                <w:sz w:val="18"/>
                <w:szCs w:val="18"/>
              </w:rPr>
            </w:pPr>
            <w:r w:rsidRPr="00CC4E8D">
              <w:rPr>
                <w:sz w:val="18"/>
                <w:szCs w:val="18"/>
              </w:rPr>
              <w:t xml:space="preserve">Subjects with response </w:t>
            </w:r>
            <w:r w:rsidR="00D65F50" w:rsidRPr="00CC4E8D">
              <w:rPr>
                <w:sz w:val="18"/>
                <w:szCs w:val="18"/>
              </w:rPr>
              <w:t xml:space="preserve">≥ </w:t>
            </w:r>
            <w:r w:rsidRPr="00CC4E8D">
              <w:rPr>
                <w:sz w:val="18"/>
                <w:szCs w:val="18"/>
              </w:rPr>
              <w:t>6 Months (%)</w:t>
            </w:r>
          </w:p>
        </w:tc>
        <w:tc>
          <w:tcPr>
            <w:tcW w:w="1701" w:type="dxa"/>
          </w:tcPr>
          <w:p w14:paraId="5CBEB546" w14:textId="77777777" w:rsidR="000476AD" w:rsidRPr="00CC4E8D" w:rsidRDefault="000476AD" w:rsidP="00CC4E8D">
            <w:pPr>
              <w:spacing w:before="0" w:after="0" w:line="240" w:lineRule="auto"/>
              <w:rPr>
                <w:sz w:val="18"/>
                <w:szCs w:val="18"/>
              </w:rPr>
            </w:pPr>
            <w:r w:rsidRPr="00CC4E8D">
              <w:rPr>
                <w:sz w:val="18"/>
                <w:szCs w:val="18"/>
              </w:rPr>
              <w:t>9 (80.0)</w:t>
            </w:r>
          </w:p>
        </w:tc>
        <w:tc>
          <w:tcPr>
            <w:tcW w:w="1559" w:type="dxa"/>
          </w:tcPr>
          <w:p w14:paraId="5CBEB547" w14:textId="77777777" w:rsidR="000476AD" w:rsidRPr="00CC4E8D" w:rsidRDefault="000476AD" w:rsidP="00CC4E8D">
            <w:pPr>
              <w:spacing w:before="0" w:after="0" w:line="240" w:lineRule="auto"/>
              <w:rPr>
                <w:sz w:val="18"/>
                <w:szCs w:val="18"/>
              </w:rPr>
            </w:pPr>
            <w:r w:rsidRPr="00CC4E8D">
              <w:rPr>
                <w:sz w:val="18"/>
                <w:szCs w:val="18"/>
              </w:rPr>
              <w:t>7 (81.8)</w:t>
            </w:r>
          </w:p>
        </w:tc>
        <w:tc>
          <w:tcPr>
            <w:tcW w:w="1560" w:type="dxa"/>
          </w:tcPr>
          <w:p w14:paraId="5CBEB548" w14:textId="77777777" w:rsidR="000476AD" w:rsidRPr="00CC4E8D" w:rsidRDefault="000476AD" w:rsidP="00CC4E8D">
            <w:pPr>
              <w:spacing w:before="0" w:after="0" w:line="240" w:lineRule="auto"/>
              <w:rPr>
                <w:sz w:val="18"/>
                <w:szCs w:val="18"/>
              </w:rPr>
            </w:pPr>
            <w:r w:rsidRPr="00CC4E8D">
              <w:rPr>
                <w:sz w:val="18"/>
                <w:szCs w:val="18"/>
              </w:rPr>
              <w:t>1 (50.0)</w:t>
            </w:r>
          </w:p>
        </w:tc>
        <w:tc>
          <w:tcPr>
            <w:tcW w:w="1559" w:type="dxa"/>
          </w:tcPr>
          <w:p w14:paraId="5CBEB549" w14:textId="77777777" w:rsidR="000476AD" w:rsidRPr="00CC4E8D" w:rsidRDefault="000476AD" w:rsidP="00CC4E8D">
            <w:pPr>
              <w:spacing w:before="0" w:after="0" w:line="240" w:lineRule="auto"/>
              <w:rPr>
                <w:sz w:val="18"/>
                <w:szCs w:val="18"/>
              </w:rPr>
            </w:pPr>
            <w:r w:rsidRPr="00CC4E8D">
              <w:rPr>
                <w:sz w:val="18"/>
                <w:szCs w:val="18"/>
              </w:rPr>
              <w:t>1 (100)</w:t>
            </w:r>
          </w:p>
        </w:tc>
      </w:tr>
      <w:tr w:rsidR="000476AD" w:rsidRPr="00CC4E8D" w14:paraId="5CBEB550" w14:textId="77777777" w:rsidTr="00E80E60">
        <w:tc>
          <w:tcPr>
            <w:tcW w:w="2518" w:type="dxa"/>
          </w:tcPr>
          <w:p w14:paraId="5CBEB54B" w14:textId="77777777" w:rsidR="000476AD" w:rsidRPr="00CC4E8D" w:rsidRDefault="000476AD" w:rsidP="00CC4E8D">
            <w:pPr>
              <w:spacing w:before="0" w:after="0" w:line="240" w:lineRule="auto"/>
              <w:rPr>
                <w:sz w:val="18"/>
                <w:szCs w:val="18"/>
              </w:rPr>
            </w:pPr>
            <w:r w:rsidRPr="00CC4E8D">
              <w:rPr>
                <w:sz w:val="18"/>
                <w:szCs w:val="18"/>
              </w:rPr>
              <w:t xml:space="preserve">Subjects with response </w:t>
            </w:r>
            <w:r w:rsidR="00D65F50" w:rsidRPr="00CC4E8D">
              <w:rPr>
                <w:sz w:val="18"/>
                <w:szCs w:val="18"/>
              </w:rPr>
              <w:t xml:space="preserve">≥ </w:t>
            </w:r>
            <w:r w:rsidRPr="00CC4E8D">
              <w:rPr>
                <w:sz w:val="18"/>
                <w:szCs w:val="18"/>
              </w:rPr>
              <w:t>12 Months (%)</w:t>
            </w:r>
          </w:p>
        </w:tc>
        <w:tc>
          <w:tcPr>
            <w:tcW w:w="1701" w:type="dxa"/>
          </w:tcPr>
          <w:p w14:paraId="5CBEB54C" w14:textId="77777777" w:rsidR="000476AD" w:rsidRPr="00CC4E8D" w:rsidRDefault="000476AD" w:rsidP="00CC4E8D">
            <w:pPr>
              <w:spacing w:before="0" w:after="0" w:line="240" w:lineRule="auto"/>
              <w:rPr>
                <w:sz w:val="18"/>
                <w:szCs w:val="18"/>
              </w:rPr>
            </w:pPr>
            <w:r w:rsidRPr="00CC4E8D">
              <w:rPr>
                <w:sz w:val="18"/>
                <w:szCs w:val="18"/>
              </w:rPr>
              <w:t>7 (70.0)</w:t>
            </w:r>
          </w:p>
        </w:tc>
        <w:tc>
          <w:tcPr>
            <w:tcW w:w="1559" w:type="dxa"/>
          </w:tcPr>
          <w:p w14:paraId="5CBEB54D" w14:textId="77777777" w:rsidR="000476AD" w:rsidRPr="00CC4E8D" w:rsidRDefault="000476AD" w:rsidP="00CC4E8D">
            <w:pPr>
              <w:spacing w:before="0" w:after="0" w:line="240" w:lineRule="auto"/>
              <w:rPr>
                <w:sz w:val="18"/>
                <w:szCs w:val="18"/>
              </w:rPr>
            </w:pPr>
            <w:r w:rsidRPr="00CC4E8D">
              <w:rPr>
                <w:sz w:val="18"/>
                <w:szCs w:val="18"/>
              </w:rPr>
              <w:t>5 (68.2)</w:t>
            </w:r>
          </w:p>
        </w:tc>
        <w:tc>
          <w:tcPr>
            <w:tcW w:w="1560" w:type="dxa"/>
          </w:tcPr>
          <w:p w14:paraId="5CBEB54E" w14:textId="77777777" w:rsidR="000476AD" w:rsidRPr="00CC4E8D" w:rsidRDefault="000476AD" w:rsidP="00CC4E8D">
            <w:pPr>
              <w:spacing w:before="0" w:after="0" w:line="240" w:lineRule="auto"/>
              <w:rPr>
                <w:sz w:val="18"/>
                <w:szCs w:val="18"/>
              </w:rPr>
            </w:pPr>
            <w:r w:rsidRPr="00CC4E8D">
              <w:rPr>
                <w:sz w:val="18"/>
                <w:szCs w:val="18"/>
              </w:rPr>
              <w:t>1 (50.0)</w:t>
            </w:r>
          </w:p>
        </w:tc>
        <w:tc>
          <w:tcPr>
            <w:tcW w:w="1559" w:type="dxa"/>
          </w:tcPr>
          <w:p w14:paraId="5CBEB54F" w14:textId="77777777" w:rsidR="000476AD" w:rsidRPr="00CC4E8D" w:rsidRDefault="000476AD" w:rsidP="00CC4E8D">
            <w:pPr>
              <w:spacing w:before="0" w:after="0" w:line="240" w:lineRule="auto"/>
              <w:rPr>
                <w:sz w:val="18"/>
                <w:szCs w:val="18"/>
              </w:rPr>
            </w:pPr>
            <w:r w:rsidRPr="00CC4E8D">
              <w:rPr>
                <w:sz w:val="18"/>
                <w:szCs w:val="18"/>
              </w:rPr>
              <w:t>1 (100)</w:t>
            </w:r>
          </w:p>
        </w:tc>
      </w:tr>
      <w:tr w:rsidR="000476AD" w:rsidRPr="00CC4E8D" w14:paraId="5CBEB558" w14:textId="77777777" w:rsidTr="00E80E60">
        <w:tc>
          <w:tcPr>
            <w:tcW w:w="2518" w:type="dxa"/>
          </w:tcPr>
          <w:p w14:paraId="5CBEB552" w14:textId="126FA6F5" w:rsidR="000476AD" w:rsidRPr="00CC4E8D" w:rsidRDefault="000476AD" w:rsidP="00D92572">
            <w:pPr>
              <w:spacing w:before="0" w:after="0" w:line="240" w:lineRule="auto"/>
              <w:rPr>
                <w:sz w:val="18"/>
                <w:szCs w:val="18"/>
              </w:rPr>
            </w:pPr>
            <w:r w:rsidRPr="00CC4E8D">
              <w:rPr>
                <w:sz w:val="18"/>
                <w:szCs w:val="18"/>
              </w:rPr>
              <w:t>Median PFS (months)</w:t>
            </w:r>
            <w:r w:rsidR="00D65F50" w:rsidRPr="00CC4E8D">
              <w:rPr>
                <w:sz w:val="18"/>
                <w:szCs w:val="18"/>
              </w:rPr>
              <w:t xml:space="preserve"> </w:t>
            </w:r>
            <w:r w:rsidRPr="00CC4E8D">
              <w:rPr>
                <w:sz w:val="18"/>
                <w:szCs w:val="18"/>
              </w:rPr>
              <w:t xml:space="preserve">95% CI </w:t>
            </w:r>
          </w:p>
        </w:tc>
        <w:tc>
          <w:tcPr>
            <w:tcW w:w="1701" w:type="dxa"/>
          </w:tcPr>
          <w:p w14:paraId="5CBEB553" w14:textId="77777777" w:rsidR="000476AD" w:rsidRPr="00CC4E8D" w:rsidRDefault="000476AD" w:rsidP="00CC4E8D">
            <w:pPr>
              <w:spacing w:before="0" w:after="0" w:line="240" w:lineRule="auto"/>
              <w:rPr>
                <w:sz w:val="18"/>
                <w:szCs w:val="18"/>
              </w:rPr>
            </w:pPr>
            <w:r w:rsidRPr="00CC4E8D">
              <w:rPr>
                <w:sz w:val="18"/>
                <w:szCs w:val="18"/>
              </w:rPr>
              <w:t>11.4</w:t>
            </w:r>
          </w:p>
          <w:p w14:paraId="5CBEB554" w14:textId="77777777" w:rsidR="000476AD" w:rsidRPr="00CC4E8D" w:rsidRDefault="000476AD" w:rsidP="00CC4E8D">
            <w:pPr>
              <w:spacing w:before="0" w:after="0" w:line="240" w:lineRule="auto"/>
              <w:rPr>
                <w:sz w:val="18"/>
                <w:szCs w:val="18"/>
              </w:rPr>
            </w:pPr>
            <w:r w:rsidRPr="00CC4E8D">
              <w:rPr>
                <w:sz w:val="18"/>
                <w:szCs w:val="18"/>
              </w:rPr>
              <w:t>(4.9, not reached)</w:t>
            </w:r>
          </w:p>
        </w:tc>
        <w:tc>
          <w:tcPr>
            <w:tcW w:w="1559" w:type="dxa"/>
          </w:tcPr>
          <w:p w14:paraId="5CBEB555" w14:textId="77777777" w:rsidR="000476AD" w:rsidRPr="00CC4E8D" w:rsidRDefault="000476AD" w:rsidP="00CC4E8D">
            <w:pPr>
              <w:spacing w:before="0" w:after="0" w:line="240" w:lineRule="auto"/>
              <w:rPr>
                <w:sz w:val="18"/>
                <w:szCs w:val="18"/>
              </w:rPr>
            </w:pPr>
            <w:r w:rsidRPr="00CC4E8D">
              <w:rPr>
                <w:sz w:val="18"/>
                <w:szCs w:val="18"/>
              </w:rPr>
              <w:t>ND</w:t>
            </w:r>
          </w:p>
        </w:tc>
        <w:tc>
          <w:tcPr>
            <w:tcW w:w="1560" w:type="dxa"/>
          </w:tcPr>
          <w:p w14:paraId="5CBEB556" w14:textId="77777777" w:rsidR="000476AD" w:rsidRPr="00CC4E8D" w:rsidRDefault="000476AD" w:rsidP="00CC4E8D">
            <w:pPr>
              <w:spacing w:before="0" w:after="0" w:line="240" w:lineRule="auto"/>
              <w:rPr>
                <w:sz w:val="18"/>
                <w:szCs w:val="18"/>
              </w:rPr>
            </w:pPr>
            <w:r w:rsidRPr="00CC4E8D">
              <w:rPr>
                <w:sz w:val="18"/>
                <w:szCs w:val="18"/>
              </w:rPr>
              <w:t>ND</w:t>
            </w:r>
          </w:p>
        </w:tc>
        <w:tc>
          <w:tcPr>
            <w:tcW w:w="1559" w:type="dxa"/>
          </w:tcPr>
          <w:p w14:paraId="5CBEB557" w14:textId="77777777" w:rsidR="000476AD" w:rsidRPr="00CC4E8D" w:rsidRDefault="000476AD" w:rsidP="00CC4E8D">
            <w:pPr>
              <w:spacing w:before="0" w:after="0" w:line="240" w:lineRule="auto"/>
              <w:rPr>
                <w:sz w:val="18"/>
                <w:szCs w:val="18"/>
              </w:rPr>
            </w:pPr>
            <w:r w:rsidRPr="00CC4E8D">
              <w:rPr>
                <w:sz w:val="18"/>
                <w:szCs w:val="18"/>
              </w:rPr>
              <w:t>ND</w:t>
            </w:r>
          </w:p>
        </w:tc>
      </w:tr>
    </w:tbl>
    <w:p w14:paraId="0A68968D" w14:textId="77777777" w:rsidR="00F8652A" w:rsidRDefault="000476AD" w:rsidP="00CC4E8D">
      <w:r w:rsidRPr="00D76E28">
        <w:t>At the database cut-off of 3 June 2016 there were 4 (22.2%) patients with an ongoing response.</w:t>
      </w:r>
      <w:r w:rsidR="00D65F50">
        <w:t xml:space="preserve"> </w:t>
      </w:r>
      <w:r w:rsidRPr="00D76E28">
        <w:t>Median OS was not reached. OS rate at 12 months was 87%. OS was not analysed by transplant status.</w:t>
      </w:r>
    </w:p>
    <w:p w14:paraId="5CBEB55A" w14:textId="29E67D7B" w:rsidR="000476AD" w:rsidRPr="00D76E28" w:rsidRDefault="000476AD" w:rsidP="00CC4E8D">
      <w:r w:rsidRPr="00D76E28">
        <w:t>The data presented in the Efficacy Update Report (data cut-off reported as 27</w:t>
      </w:r>
      <w:r w:rsidR="00CC4E8D">
        <w:t xml:space="preserve"> </w:t>
      </w:r>
      <w:r w:rsidRPr="00D76E28">
        <w:t>Sep</w:t>
      </w:r>
      <w:r w:rsidR="00CC4E8D">
        <w:t xml:space="preserve">tember </w:t>
      </w:r>
      <w:r w:rsidRPr="00D76E28">
        <w:t>2016) was supportive of the above efficacy results.</w:t>
      </w:r>
      <w:r w:rsidR="00D65F50">
        <w:t xml:space="preserve"> </w:t>
      </w:r>
      <w:r w:rsidRPr="00D76E28">
        <w:t>ORR remained at 58.1% per BICR and the median PFS remained at 11.4 months (CI 4.9-27.8 months). Of note, the median time to response by BICR was 2.8 months (range 2.4 to 8.6 months) and median DOR was not reached as in the initial summary document (range 0.0 + to 26.1+ months).</w:t>
      </w:r>
    </w:p>
    <w:p w14:paraId="4B0CF472" w14:textId="77777777" w:rsidR="00F8652A" w:rsidRDefault="000476AD" w:rsidP="00CC4E8D">
      <w:pPr>
        <w:pStyle w:val="Heading4"/>
      </w:pPr>
      <w:r w:rsidRPr="00D76E28">
        <w:t>Safety</w:t>
      </w:r>
    </w:p>
    <w:p w14:paraId="5CBEB55C" w14:textId="696461E8" w:rsidR="000476AD" w:rsidRPr="00D76E28" w:rsidRDefault="000476AD" w:rsidP="00CC4E8D">
      <w:r w:rsidRPr="00D76E28">
        <w:t xml:space="preserve">A total of 241 patients with </w:t>
      </w:r>
      <w:proofErr w:type="spellStart"/>
      <w:r w:rsidRPr="00D76E28">
        <w:t>rrcHL</w:t>
      </w:r>
      <w:proofErr w:type="spellEnd"/>
      <w:r w:rsidRPr="00D76E28">
        <w:t xml:space="preserve"> were included in the safety analysis and received at least 1 dose of </w:t>
      </w:r>
      <w:proofErr w:type="spellStart"/>
      <w:r w:rsidRPr="00D76E28">
        <w:t>pembrolizumab</w:t>
      </w:r>
      <w:proofErr w:type="spellEnd"/>
      <w:r w:rsidRPr="00D76E28">
        <w:t xml:space="preserve">. This comprised a </w:t>
      </w:r>
      <w:r w:rsidR="00CC4E8D">
        <w:t>total of 210 patients from the P</w:t>
      </w:r>
      <w:r w:rsidRPr="00D76E28">
        <w:t xml:space="preserve">hase II study KEYNOTE-087 (87%, dose </w:t>
      </w:r>
      <w:proofErr w:type="spellStart"/>
      <w:r w:rsidRPr="00D76E28">
        <w:t>pembrolizumab</w:t>
      </w:r>
      <w:proofErr w:type="spellEnd"/>
      <w:r w:rsidRPr="00D76E28">
        <w:t xml:space="preserve"> 20</w:t>
      </w:r>
      <w:r w:rsidR="00CC4E8D">
        <w:t>0 mg</w:t>
      </w:r>
      <w:r w:rsidRPr="00D76E28">
        <w:t xml:space="preserve"> Q3W) and 31 subjects from the </w:t>
      </w:r>
      <w:r w:rsidR="00CC4E8D">
        <w:t xml:space="preserve">Phase </w:t>
      </w:r>
      <w:proofErr w:type="spellStart"/>
      <w:r w:rsidR="00CC4E8D">
        <w:t>I</w:t>
      </w:r>
      <w:r w:rsidRPr="00D76E28">
        <w:t>b</w:t>
      </w:r>
      <w:proofErr w:type="spellEnd"/>
      <w:r w:rsidRPr="00D76E28">
        <w:t xml:space="preserve"> study KEYNOTE-013 (dose 10 mg/kg Q2W). Corresponding to the data cut for each study, the initial pooled analysis included data cut dates of 3 June 2016 and 27 June 2016. At </w:t>
      </w:r>
      <w:r w:rsidR="00CC4E8D">
        <w:t>the second round evaluation</w:t>
      </w:r>
      <w:r w:rsidRPr="00D76E28">
        <w:t xml:space="preserve">, a </w:t>
      </w:r>
      <w:r w:rsidR="00ED59E7">
        <w:t>‘</w:t>
      </w:r>
      <w:r w:rsidRPr="00D76E28">
        <w:t>Safety Update Report</w:t>
      </w:r>
      <w:r w:rsidR="00ED59E7">
        <w:t>’</w:t>
      </w:r>
      <w:r w:rsidRPr="00D76E28">
        <w:t xml:space="preserve"> was submitted which included data cut dates 27 September 2016 and 25 September 2016.</w:t>
      </w:r>
    </w:p>
    <w:p w14:paraId="5CBEB55D" w14:textId="77777777" w:rsidR="000476AD" w:rsidRPr="00D76E28" w:rsidRDefault="000476AD" w:rsidP="00CC4E8D">
      <w:r w:rsidRPr="00D76E28">
        <w:t xml:space="preserve">Of note, the first pooled analysis (data cut dates of 3 June 2016 and 27 June 2016) compared the Reference Safety Dataset (also called Reference Population – discussed in more detail below). The Safety Update Report (data cut dates 27 September 2016 and 25 September 2016) did not make this comparison. Therefore, any update to this Reference Safety Dataset has not been included in this dossier and all data for </w:t>
      </w:r>
      <w:proofErr w:type="spellStart"/>
      <w:r w:rsidRPr="00D76E28">
        <w:t>rrCHL</w:t>
      </w:r>
      <w:proofErr w:type="spellEnd"/>
      <w:r w:rsidRPr="00D76E28">
        <w:t xml:space="preserve"> has been compared to the same Reference Safety Dataset.</w:t>
      </w:r>
    </w:p>
    <w:p w14:paraId="70CB4A41" w14:textId="77777777" w:rsidR="00F8652A" w:rsidRDefault="000476AD" w:rsidP="00CC4E8D">
      <w:r w:rsidRPr="00CC4E8D">
        <w:t xml:space="preserve">For ease of reading, the two pooled datasets are discussed in detail in this overview. Key points from each individual study are also included where relevant. For a detailed evaluation of the safety dataset please </w:t>
      </w:r>
      <w:r w:rsidR="00CC4E8D" w:rsidRPr="00CC4E8D">
        <w:t>see Attachment 2</w:t>
      </w:r>
      <w:r w:rsidRPr="00CC4E8D">
        <w:t>.</w:t>
      </w:r>
    </w:p>
    <w:p w14:paraId="5CBEB55F" w14:textId="4B0A9A39" w:rsidR="000476AD" w:rsidRPr="00D76E28" w:rsidRDefault="000476AD" w:rsidP="00CC4E8D">
      <w:r w:rsidRPr="00D76E28">
        <w:t xml:space="preserve">Overall, based on the initial pooled data cut (reported dates 3 June 2016 and 27 June 2016) the median extent of exposure in patients with </w:t>
      </w:r>
      <w:proofErr w:type="spellStart"/>
      <w:r w:rsidRPr="00D76E28">
        <w:t>rrcHL</w:t>
      </w:r>
      <w:proofErr w:type="spellEnd"/>
      <w:r w:rsidRPr="00D76E28">
        <w:t xml:space="preserve"> was 5.82 months with 117 patients (48.5%) receiving </w:t>
      </w:r>
      <w:r w:rsidR="00D65F50">
        <w:t xml:space="preserve">≥ </w:t>
      </w:r>
      <w:r w:rsidRPr="00D76E28">
        <w:t xml:space="preserve">6 months of treatment and 11 patients (4.6%) receiving </w:t>
      </w:r>
      <w:r w:rsidR="00D65F50">
        <w:t xml:space="preserve">≥ </w:t>
      </w:r>
      <w:r w:rsidRPr="00D76E28">
        <w:t>12 months of treatment. Median follow up was 7.4 months.</w:t>
      </w:r>
      <w:r w:rsidR="00D65F50">
        <w:t xml:space="preserve"> </w:t>
      </w:r>
      <w:r w:rsidRPr="00D76E28">
        <w:t xml:space="preserve">The </w:t>
      </w:r>
      <w:r w:rsidR="00ED59E7">
        <w:t>‘</w:t>
      </w:r>
      <w:r w:rsidRPr="00D76E28">
        <w:t>Safety Update Report</w:t>
      </w:r>
      <w:r w:rsidR="00ED59E7">
        <w:t>’</w:t>
      </w:r>
      <w:r w:rsidRPr="00D76E28">
        <w:t xml:space="preserve"> provided an approximate additional 3 months and 4 administrations. Median exposure was reported to be 8.28 months. Of the 241 subjects </w:t>
      </w:r>
      <w:r w:rsidRPr="00D76E28">
        <w:lastRenderedPageBreak/>
        <w:t xml:space="preserve">with </w:t>
      </w:r>
      <w:proofErr w:type="spellStart"/>
      <w:r w:rsidRPr="00D76E28">
        <w:t>rrcHL</w:t>
      </w:r>
      <w:proofErr w:type="spellEnd"/>
      <w:r w:rsidRPr="00D76E28">
        <w:t xml:space="preserve">, 219 (90.9%) remained on </w:t>
      </w:r>
      <w:proofErr w:type="spellStart"/>
      <w:r w:rsidRPr="00D76E28">
        <w:t>pembrolizumab</w:t>
      </w:r>
      <w:proofErr w:type="spellEnd"/>
      <w:r w:rsidRPr="00D76E28">
        <w:t xml:space="preserve"> for </w:t>
      </w:r>
      <w:r w:rsidR="00D65F50">
        <w:t xml:space="preserve">≥ </w:t>
      </w:r>
      <w:r w:rsidRPr="00D76E28">
        <w:t xml:space="preserve">3 months (an increase of 5 subjects), 169 (70.1%) for </w:t>
      </w:r>
      <w:r w:rsidR="00D65F50">
        <w:t xml:space="preserve">≥ </w:t>
      </w:r>
      <w:r w:rsidRPr="00D76E28">
        <w:t xml:space="preserve">6 months (an increase of 52 subjects), and 26 (10.8%) for </w:t>
      </w:r>
      <w:r w:rsidR="00D65F50">
        <w:t xml:space="preserve">≥ </w:t>
      </w:r>
      <w:r w:rsidRPr="00D76E28">
        <w:t>12 months (an increase of 15 subjects).</w:t>
      </w:r>
    </w:p>
    <w:p w14:paraId="2DB906BA" w14:textId="77777777" w:rsidR="00F8652A" w:rsidRDefault="000476AD" w:rsidP="00CC4E8D">
      <w:r w:rsidRPr="00D76E28">
        <w:t xml:space="preserve">The first pooled analysis compared the indication population to the Reference Safety Dataset (also called Reference Population), which consisted of NSCLC and melanoma subjects from earlier studies (2799 subjects). The doses of </w:t>
      </w:r>
      <w:proofErr w:type="spellStart"/>
      <w:r w:rsidRPr="00D76E28">
        <w:t>pembrolizumab</w:t>
      </w:r>
      <w:proofErr w:type="spellEnd"/>
      <w:r w:rsidRPr="00D76E28">
        <w:t xml:space="preserve"> vary in this dataset from 2 g/kg Q3W, 10 mg/kg Q3W and 10 mg/kg Q2W (</w:t>
      </w:r>
      <w:r w:rsidR="00CC4E8D" w:rsidRPr="00CC4E8D">
        <w:t>see Attachment 2</w:t>
      </w:r>
      <w:r w:rsidRPr="00D76E28">
        <w:t xml:space="preserve">). The median extent of exposure was 4.17 months with 1656 patients (41.2%) receiving </w:t>
      </w:r>
      <w:r w:rsidR="00D65F50">
        <w:t xml:space="preserve">≥ </w:t>
      </w:r>
      <w:r w:rsidRPr="00D76E28">
        <w:t xml:space="preserve">6 months of treatment and 600 patients (21.4%) receiving </w:t>
      </w:r>
      <w:r w:rsidR="00D65F50">
        <w:t xml:space="preserve">≥ </w:t>
      </w:r>
      <w:r w:rsidRPr="00D76E28">
        <w:t>12 months of treatment.</w:t>
      </w:r>
    </w:p>
    <w:p w14:paraId="5CBEB561" w14:textId="41EC9FBE" w:rsidR="000476AD" w:rsidRPr="00D76E28" w:rsidRDefault="000476AD" w:rsidP="00CC4E8D">
      <w:r w:rsidRPr="00D76E28">
        <w:t>Key results from individual studies (where relevant) are noted here for ease of discussion.</w:t>
      </w:r>
    </w:p>
    <w:p w14:paraId="7E9E527A" w14:textId="77777777" w:rsidR="00F8652A" w:rsidRDefault="000476AD" w:rsidP="00E73FD9">
      <w:pPr>
        <w:pStyle w:val="ListBullet"/>
      </w:pPr>
      <w:r w:rsidRPr="00D76E28">
        <w:t>Overall, the clinical evaluator states that no new adverse events were identified in the Indication Population (IP) compared to the Reference Population (RP</w:t>
      </w:r>
      <w:r w:rsidR="00E73FD9">
        <w:t>)</w:t>
      </w:r>
      <w:r w:rsidRPr="00D76E28">
        <w:t>.</w:t>
      </w:r>
    </w:p>
    <w:p w14:paraId="5CBEB563" w14:textId="2E43EB15" w:rsidR="000476AD" w:rsidRPr="00D76E28" w:rsidRDefault="000476AD" w:rsidP="00E73FD9">
      <w:pPr>
        <w:pStyle w:val="ListBullet"/>
      </w:pPr>
      <w:r w:rsidRPr="00D76E28">
        <w:t>A total of 232/241 (96.3</w:t>
      </w:r>
      <w:r w:rsidRPr="00606070">
        <w:t xml:space="preserve">%) of patients in the IP reported one or more adverse event compared to 97.4% in RP (see </w:t>
      </w:r>
      <w:r w:rsidRPr="00606070">
        <w:fldChar w:fldCharType="begin"/>
      </w:r>
      <w:r w:rsidRPr="00606070">
        <w:instrText xml:space="preserve"> REF _Ref486842639 \h  \* MERGEFORMAT </w:instrText>
      </w:r>
      <w:r w:rsidRPr="00606070">
        <w:fldChar w:fldCharType="separate"/>
      </w:r>
      <w:r w:rsidR="00FE7F2B">
        <w:t>Table 21</w:t>
      </w:r>
      <w:r w:rsidRPr="00606070">
        <w:fldChar w:fldCharType="end"/>
      </w:r>
      <w:r w:rsidR="00606070" w:rsidRPr="00606070">
        <w:t>21</w:t>
      </w:r>
      <w:r w:rsidRPr="00606070">
        <w:t xml:space="preserve">). Of note, patients in Cohort 2 of KEYNOTE-087 had a higher overall rate of adverse events than both the IP and RP, at 97.5% (79/81 subjects). The </w:t>
      </w:r>
      <w:r w:rsidRPr="00606070">
        <w:rPr>
          <w:rFonts w:asciiTheme="minorHAnsi" w:hAnsiTheme="minorHAnsi"/>
        </w:rPr>
        <w:t>Safety Update</w:t>
      </w:r>
      <w:r w:rsidRPr="00D76E28">
        <w:rPr>
          <w:rFonts w:asciiTheme="minorHAnsi" w:hAnsiTheme="minorHAnsi"/>
        </w:rPr>
        <w:t xml:space="preserve"> Report</w:t>
      </w:r>
      <w:r w:rsidRPr="00D76E28">
        <w:t xml:space="preserve"> did not provide analysis by cohort for KEYNOTE-087.</w:t>
      </w:r>
    </w:p>
    <w:p w14:paraId="5CBEB564" w14:textId="77777777" w:rsidR="000476AD" w:rsidRPr="00D76E28" w:rsidRDefault="000476AD" w:rsidP="00E73FD9">
      <w:pPr>
        <w:pStyle w:val="ListBullet"/>
      </w:pPr>
      <w:r w:rsidRPr="00D76E28">
        <w:t>Differences in the rates of adverse events for the indication population can be seen compared to the Reference Population. See</w:t>
      </w:r>
      <w:r w:rsidR="00D65F50">
        <w:t xml:space="preserve"> </w:t>
      </w:r>
      <w:r w:rsidR="00E73FD9">
        <w:t>o</w:t>
      </w:r>
      <w:r w:rsidRPr="00D76E28">
        <w:t>f note:</w:t>
      </w:r>
    </w:p>
    <w:p w14:paraId="5CBEB565" w14:textId="77777777" w:rsidR="000476AD" w:rsidRPr="00E80E60" w:rsidRDefault="000476AD" w:rsidP="00E73FD9">
      <w:pPr>
        <w:pStyle w:val="ListBullet2"/>
      </w:pPr>
      <w:r w:rsidRPr="00D76E28">
        <w:t xml:space="preserve">Pyrexia </w:t>
      </w:r>
      <w:r w:rsidRPr="00E80E60">
        <w:t xml:space="preserve">was higher in both pooled datasets. The Safety Update Report demonstrated pyrexia in 58/241 patients (24.1%) in the IP compared to 12.8% of the RP (see </w:t>
      </w:r>
      <w:r w:rsidRPr="00E80E60">
        <w:fldChar w:fldCharType="begin"/>
      </w:r>
      <w:r w:rsidRPr="00E80E60">
        <w:instrText xml:space="preserve"> REF _Ref486842639 \h  \* MERGEFORMAT </w:instrText>
      </w:r>
      <w:r w:rsidRPr="00E80E60">
        <w:fldChar w:fldCharType="separate"/>
      </w:r>
      <w:r w:rsidR="00FE7F2B">
        <w:t>Table 21</w:t>
      </w:r>
      <w:r w:rsidRPr="00E80E60">
        <w:fldChar w:fldCharType="end"/>
      </w:r>
      <w:r w:rsidR="00E80E60" w:rsidRPr="00E80E60">
        <w:t>21</w:t>
      </w:r>
      <w:r w:rsidRPr="00E80E60">
        <w:t>).</w:t>
      </w:r>
    </w:p>
    <w:p w14:paraId="5CBEB566" w14:textId="77777777" w:rsidR="000476AD" w:rsidRPr="00E80E60" w:rsidRDefault="000476AD" w:rsidP="00E73FD9">
      <w:pPr>
        <w:pStyle w:val="ListBullet3"/>
      </w:pPr>
      <w:r w:rsidRPr="00E80E60">
        <w:t>The increased rate of pyrexia was noted across all three cohorts of KEYNOTE-087. The highest rate was seen in Cohort 1 at 29% (20/69 subjects). This correlated with increased rates of infections (see below).</w:t>
      </w:r>
    </w:p>
    <w:p w14:paraId="5CBEB567" w14:textId="77777777" w:rsidR="000476AD" w:rsidRPr="00E80E60" w:rsidRDefault="000476AD" w:rsidP="00E73FD9">
      <w:pPr>
        <w:pStyle w:val="ListBullet2"/>
      </w:pPr>
      <w:r w:rsidRPr="00E80E60">
        <w:t xml:space="preserve">Hypothyroidism occurred in 34/241 patients (14.1%) in the IP compared to 8.4% of the RP (see </w:t>
      </w:r>
      <w:r w:rsidRPr="00E80E60">
        <w:fldChar w:fldCharType="begin"/>
      </w:r>
      <w:r w:rsidRPr="00E80E60">
        <w:instrText xml:space="preserve"> REF _Ref486842639 \h  \* MERGEFORMAT </w:instrText>
      </w:r>
      <w:r w:rsidRPr="00E80E60">
        <w:fldChar w:fldCharType="separate"/>
      </w:r>
      <w:r w:rsidR="00FE7F2B">
        <w:t xml:space="preserve">Table </w:t>
      </w:r>
      <w:r w:rsidR="00FE7F2B">
        <w:rPr>
          <w:noProof/>
        </w:rPr>
        <w:t>21</w:t>
      </w:r>
      <w:r w:rsidRPr="00E80E60">
        <w:fldChar w:fldCharType="end"/>
      </w:r>
      <w:r w:rsidRPr="00E80E60">
        <w:t>).</w:t>
      </w:r>
    </w:p>
    <w:p w14:paraId="5CBEB568" w14:textId="77777777" w:rsidR="000476AD" w:rsidRPr="00E80E60" w:rsidRDefault="000476AD" w:rsidP="00E73FD9">
      <w:pPr>
        <w:pStyle w:val="ListBullet3"/>
      </w:pPr>
      <w:r w:rsidRPr="00E80E60">
        <w:t>The increased rate of hypothyroidism was noted across all three cohorts of KEYNOTE-087. The highest rate was seen in Cohort 3 at 16.7% (10/60 subjects).</w:t>
      </w:r>
    </w:p>
    <w:p w14:paraId="5CBEB569" w14:textId="77777777" w:rsidR="000476AD" w:rsidRPr="00E80E60" w:rsidRDefault="00E73FD9" w:rsidP="00E73FD9">
      <w:pPr>
        <w:pStyle w:val="ListBullet3"/>
      </w:pPr>
      <w:r w:rsidRPr="00E80E60">
        <w:t>The s</w:t>
      </w:r>
      <w:r w:rsidR="000476AD" w:rsidRPr="00E80E60">
        <w:t xml:space="preserve">ponsor comments that the observed frequency of hypothyroidism in the </w:t>
      </w:r>
      <w:proofErr w:type="spellStart"/>
      <w:r w:rsidR="000476AD" w:rsidRPr="00E80E60">
        <w:t>rrcHL</w:t>
      </w:r>
      <w:proofErr w:type="spellEnd"/>
      <w:r w:rsidR="000476AD" w:rsidRPr="00E80E60">
        <w:t xml:space="preserve"> population is likely related to the significant proportion of subjects who received radiation to the neck and/or mediastinum, and reflects the increased risk for hypothyroidism in this population.</w:t>
      </w:r>
    </w:p>
    <w:p w14:paraId="5CBEB56A" w14:textId="77777777" w:rsidR="000476AD" w:rsidRPr="00E80E60" w:rsidRDefault="000476AD" w:rsidP="00E73FD9">
      <w:pPr>
        <w:spacing w:before="0" w:after="0"/>
      </w:pPr>
      <w:r w:rsidRPr="00E80E60">
        <w:rPr>
          <w:rStyle w:val="Heading5Char"/>
          <w:rFonts w:eastAsia="Cambria"/>
        </w:rPr>
        <w:t xml:space="preserve">Question for </w:t>
      </w:r>
      <w:r w:rsidR="00E73FD9" w:rsidRPr="00E80E60">
        <w:rPr>
          <w:rStyle w:val="Heading5Char"/>
          <w:rFonts w:eastAsia="Cambria"/>
        </w:rPr>
        <w:t>s</w:t>
      </w:r>
      <w:r w:rsidRPr="00E80E60">
        <w:rPr>
          <w:rStyle w:val="Heading5Char"/>
          <w:rFonts w:eastAsia="Cambria"/>
        </w:rPr>
        <w:t>ponsor:</w:t>
      </w:r>
      <w:r w:rsidRPr="00E80E60">
        <w:t xml:space="preserve"> Is an analysis available based on history of radiation and/or baseline thyroid status?</w:t>
      </w:r>
    </w:p>
    <w:p w14:paraId="5CBEB56B" w14:textId="77777777" w:rsidR="000476AD" w:rsidRPr="00E80E60" w:rsidRDefault="000476AD" w:rsidP="00E73FD9">
      <w:pPr>
        <w:pStyle w:val="ListBullet2"/>
      </w:pPr>
      <w:r w:rsidRPr="00E80E60">
        <w:t xml:space="preserve">Upper respiratory tract infections occurred in 30/241 (12.4%) of the IP compared to 6.5% of the RP (see </w:t>
      </w:r>
      <w:r w:rsidR="00606070">
        <w:t>Table 21</w:t>
      </w:r>
      <w:r w:rsidRPr="00E80E60">
        <w:t>).</w:t>
      </w:r>
    </w:p>
    <w:p w14:paraId="5CBEB56C" w14:textId="77777777" w:rsidR="000476AD" w:rsidRPr="00D76E28" w:rsidRDefault="000476AD" w:rsidP="00E73FD9">
      <w:pPr>
        <w:pStyle w:val="ListBullet3"/>
      </w:pPr>
      <w:r w:rsidRPr="00E80E60">
        <w:t>The increased rate of upper respiratory tract infections was particularly noted in Cohort 1 of KEYNOTE-087</w:t>
      </w:r>
      <w:r w:rsidRPr="00D76E28">
        <w:t xml:space="preserve"> at 18.8% (13/69 subjects).</w:t>
      </w:r>
    </w:p>
    <w:p w14:paraId="5CBEB56D" w14:textId="77777777" w:rsidR="000476AD" w:rsidRPr="00E80E60" w:rsidRDefault="000476AD" w:rsidP="00E73FD9">
      <w:pPr>
        <w:pStyle w:val="ListBullet2"/>
      </w:pPr>
      <w:r w:rsidRPr="00E80E60">
        <w:t xml:space="preserve">Vomiting occurred in 38/241 (15.8%) of the IP compared to 13.8% of the RP (see </w:t>
      </w:r>
      <w:r w:rsidR="00606070">
        <w:t>Table 21</w:t>
      </w:r>
      <w:r w:rsidRPr="00E80E60">
        <w:t>).</w:t>
      </w:r>
    </w:p>
    <w:p w14:paraId="5CBEB56E" w14:textId="77777777" w:rsidR="000476AD" w:rsidRPr="00E80E60" w:rsidRDefault="000476AD" w:rsidP="00E73FD9">
      <w:pPr>
        <w:pStyle w:val="ListBullet2"/>
      </w:pPr>
      <w:r w:rsidRPr="00E80E60">
        <w:t xml:space="preserve">Multiple adverse events increased in rate between the first and second data submissions (see </w:t>
      </w:r>
      <w:r w:rsidR="00606070">
        <w:t>Table 21</w:t>
      </w:r>
      <w:r w:rsidRPr="00E80E60">
        <w:t xml:space="preserve">). This included increased rates of rash (increased by 5 events to 12%), fatigue (increased by 10 events to 19.9%), </w:t>
      </w:r>
      <w:r w:rsidR="00E73FD9" w:rsidRPr="00E80E60">
        <w:t>and diarrhoea</w:t>
      </w:r>
      <w:r w:rsidRPr="00E80E60">
        <w:t xml:space="preserve"> (increased by 5 events to 19.9%).</w:t>
      </w:r>
    </w:p>
    <w:p w14:paraId="13712297" w14:textId="77777777" w:rsidR="00F8652A" w:rsidRDefault="000476AD" w:rsidP="00E73FD9">
      <w:pPr>
        <w:pStyle w:val="ListBullet"/>
      </w:pPr>
      <w:r w:rsidRPr="00E80E60">
        <w:t>Serious adverse events occurred in 15.4% in the IP (37/241) compared to 37.2% in the RP. This increased to 18.7% (45/241) in the updated dataset. A total of 6.2% reported serious drug-related adverse events compared to 10.0% in the RP.</w:t>
      </w:r>
    </w:p>
    <w:p w14:paraId="5CBEB570" w14:textId="1ACF07F6" w:rsidR="000476AD" w:rsidRPr="00E80E60" w:rsidRDefault="000476AD" w:rsidP="00E73FD9">
      <w:pPr>
        <w:pStyle w:val="ListBullet"/>
      </w:pPr>
      <w:r w:rsidRPr="00E80E60">
        <w:lastRenderedPageBreak/>
        <w:t>The overall incidence of drug-related AEs was lower among subjects in the IP than in the RP (65.6% v</w:t>
      </w:r>
      <w:r w:rsidR="00FE6681" w:rsidRPr="00E80E60">
        <w:t>ersu</w:t>
      </w:r>
      <w:r w:rsidRPr="00E80E60">
        <w:t xml:space="preserve">s 73.7% respectively). This increased to 68.5% in the updated dataset (see </w:t>
      </w:r>
      <w:r w:rsidR="00606070">
        <w:t>Table 21</w:t>
      </w:r>
      <w:r w:rsidRPr="00E80E60">
        <w:t>). However:</w:t>
      </w:r>
    </w:p>
    <w:p w14:paraId="5CBEB571" w14:textId="77777777" w:rsidR="000476AD" w:rsidRPr="00D76E28" w:rsidRDefault="000476AD" w:rsidP="00FE6681">
      <w:pPr>
        <w:pStyle w:val="ListBullet2"/>
      </w:pPr>
      <w:r w:rsidRPr="00E80E60">
        <w:t>The incidence of drug-related AEs varied between populations in the IP Population, with Cohort</w:t>
      </w:r>
      <w:r w:rsidRPr="00D76E28">
        <w:t xml:space="preserve"> 1 of study KEYNOTE-087 demonstrating a higher rate comparted to Cohort 2 (71.0% v</w:t>
      </w:r>
      <w:r w:rsidR="00FE6681">
        <w:t>ersu</w:t>
      </w:r>
      <w:r w:rsidRPr="00D76E28">
        <w:t>s 58.0% respectively).</w:t>
      </w:r>
    </w:p>
    <w:p w14:paraId="5CBEB572" w14:textId="77777777" w:rsidR="000476AD" w:rsidRPr="00D76E28" w:rsidRDefault="000476AD" w:rsidP="00FE6681">
      <w:pPr>
        <w:pStyle w:val="ListBullet2"/>
      </w:pPr>
      <w:r w:rsidRPr="00D76E28">
        <w:t>The incidence of certain drug-related adverse events was higher compared to the RP in both data sets. Of note:</w:t>
      </w:r>
    </w:p>
    <w:p w14:paraId="5CBEB573" w14:textId="77777777" w:rsidR="000476AD" w:rsidRPr="00D76E28" w:rsidRDefault="000476AD" w:rsidP="00FE6681">
      <w:pPr>
        <w:pStyle w:val="ListBullet3"/>
      </w:pPr>
      <w:r w:rsidRPr="00D76E28">
        <w:t>The incidence of blood and lymphatic system disorders was higher in the IP compared to the RP (5.8%</w:t>
      </w:r>
      <w:r w:rsidR="00FE6681">
        <w:t xml:space="preserve"> versus </w:t>
      </w:r>
      <w:r w:rsidRPr="00D76E28">
        <w:t>5.6% respectively). This increased to 6.2% in the updated dataset.</w:t>
      </w:r>
    </w:p>
    <w:p w14:paraId="5CBEB574" w14:textId="77777777" w:rsidR="000476AD" w:rsidRPr="00D76E28" w:rsidRDefault="000476AD" w:rsidP="00FE6681">
      <w:pPr>
        <w:pStyle w:val="ListBullet3"/>
      </w:pPr>
      <w:r w:rsidRPr="00D76E28">
        <w:t>The incidence of endocrine disorders was higher in the IP compared to the RP (12.9%</w:t>
      </w:r>
      <w:r w:rsidR="00FE6681">
        <w:t xml:space="preserve"> versus </w:t>
      </w:r>
      <w:r w:rsidRPr="00D76E28">
        <w:t>10.9% respectively). This increased to 14.5% in the updated dataset.</w:t>
      </w:r>
    </w:p>
    <w:p w14:paraId="5E1B1BA0" w14:textId="77777777" w:rsidR="00F8652A" w:rsidRDefault="000476AD" w:rsidP="00FE6681">
      <w:pPr>
        <w:pStyle w:val="ListBullet3"/>
      </w:pPr>
      <w:r w:rsidRPr="00D76E28">
        <w:t>The incidence of infections and infestations was higher in the IP compared to the RP (10.0%</w:t>
      </w:r>
      <w:r w:rsidR="00FE6681">
        <w:t xml:space="preserve"> versus </w:t>
      </w:r>
      <w:r w:rsidRPr="00D76E28">
        <w:t>4.6% respectively). This increased to 10.4% in the updated dataset. Similarly the incidence of drug-related SAE’s relating to infections and infestations were higher at 1.7%</w:t>
      </w:r>
      <w:r w:rsidR="00FE6681">
        <w:t xml:space="preserve"> versus </w:t>
      </w:r>
      <w:r w:rsidRPr="00D76E28">
        <w:t>0.7%.</w:t>
      </w:r>
    </w:p>
    <w:p w14:paraId="5CBEB576" w14:textId="7648B380" w:rsidR="000476AD" w:rsidRPr="00D76E28" w:rsidRDefault="000476AD" w:rsidP="00FE6681">
      <w:pPr>
        <w:pStyle w:val="ListBullet3"/>
      </w:pPr>
      <w:r w:rsidRPr="00D76E28">
        <w:t>The incidence of cough was higher in the IP compared to the RP (5.0%</w:t>
      </w:r>
      <w:r w:rsidR="00FE6681">
        <w:t xml:space="preserve"> versus </w:t>
      </w:r>
      <w:r w:rsidRPr="00D76E28">
        <w:t>4.0 respectively). This increased to 5.4% in the updated dataset.</w:t>
      </w:r>
    </w:p>
    <w:p w14:paraId="5CBEB577" w14:textId="77777777" w:rsidR="000476AD" w:rsidRPr="00D76E28" w:rsidRDefault="000476AD" w:rsidP="00FE6681">
      <w:pPr>
        <w:pStyle w:val="ListBullet3"/>
      </w:pPr>
      <w:r w:rsidRPr="00D76E28">
        <w:t>The incidence of drug-related pneumonitis occurred more frequently in the IP compared to the RP (1.7%</w:t>
      </w:r>
      <w:r w:rsidR="00FE6681">
        <w:t xml:space="preserve"> versus </w:t>
      </w:r>
      <w:r w:rsidRPr="00D76E28">
        <w:t>1.6% respectively).</w:t>
      </w:r>
    </w:p>
    <w:p w14:paraId="5CBEB578" w14:textId="77777777" w:rsidR="000476AD" w:rsidRPr="00D76E28" w:rsidRDefault="000476AD" w:rsidP="005B2867">
      <w:pPr>
        <w:pStyle w:val="ListParagraph"/>
        <w:numPr>
          <w:ilvl w:val="0"/>
          <w:numId w:val="8"/>
        </w:numPr>
        <w:spacing w:before="0" w:after="0"/>
        <w:rPr>
          <w:szCs w:val="22"/>
        </w:rPr>
      </w:pPr>
      <w:r w:rsidRPr="00D76E28">
        <w:rPr>
          <w:szCs w:val="22"/>
        </w:rPr>
        <w:t xml:space="preserve">Discontinuation occurred in 4.6% of subjects in the IP (11/241) compared to 11.9% in the RP. This increased to 5.8% in the updated dataset. The incidence of drug-related AEs that resulted in discontinuation of </w:t>
      </w:r>
      <w:proofErr w:type="spellStart"/>
      <w:r w:rsidRPr="00D76E28">
        <w:rPr>
          <w:szCs w:val="22"/>
        </w:rPr>
        <w:t>pembrolizumab</w:t>
      </w:r>
      <w:proofErr w:type="spellEnd"/>
      <w:r w:rsidRPr="00D76E28">
        <w:rPr>
          <w:szCs w:val="22"/>
        </w:rPr>
        <w:t xml:space="preserve"> was comparable between the HL and RP. Among subjects with HL, 12 of 241 (5.0%) discontinued </w:t>
      </w:r>
      <w:proofErr w:type="spellStart"/>
      <w:r w:rsidRPr="00D76E28">
        <w:rPr>
          <w:szCs w:val="22"/>
        </w:rPr>
        <w:t>pembrolizumab</w:t>
      </w:r>
      <w:proofErr w:type="spellEnd"/>
      <w:r w:rsidRPr="00D76E28">
        <w:rPr>
          <w:szCs w:val="22"/>
        </w:rPr>
        <w:t xml:space="preserve"> due to a drug-related AE, the most common of which was pneumonitis (5/241 or 2.1%). For comparison, 146 of 2799 (5.2%) subjects in the Reference Population had a drug-related AE that resulted in discontinuation of </w:t>
      </w:r>
      <w:proofErr w:type="spellStart"/>
      <w:r w:rsidRPr="00D76E28">
        <w:rPr>
          <w:szCs w:val="22"/>
        </w:rPr>
        <w:t>pembrolizumab</w:t>
      </w:r>
      <w:proofErr w:type="spellEnd"/>
      <w:r w:rsidRPr="00D76E28">
        <w:rPr>
          <w:szCs w:val="22"/>
        </w:rPr>
        <w:t>, the most common of which was also pneumonitis (34 [1.2%]).</w:t>
      </w:r>
    </w:p>
    <w:p w14:paraId="5CBEB579" w14:textId="77777777" w:rsidR="000476AD" w:rsidRPr="00D76E28" w:rsidRDefault="000476AD" w:rsidP="005B2867">
      <w:pPr>
        <w:pStyle w:val="ListParagraph"/>
        <w:numPr>
          <w:ilvl w:val="0"/>
          <w:numId w:val="8"/>
        </w:numPr>
        <w:spacing w:before="0" w:after="0"/>
        <w:rPr>
          <w:szCs w:val="22"/>
        </w:rPr>
      </w:pPr>
      <w:r w:rsidRPr="00D76E28">
        <w:rPr>
          <w:szCs w:val="22"/>
        </w:rPr>
        <w:t>Dose modification due to adverse events occurred in 27.8% of subjects in the IP (67/241) compared to 31.6% in the RP.</w:t>
      </w:r>
      <w:r w:rsidR="00D65F50">
        <w:rPr>
          <w:szCs w:val="22"/>
        </w:rPr>
        <w:t xml:space="preserve"> </w:t>
      </w:r>
      <w:r w:rsidRPr="00D76E28">
        <w:rPr>
          <w:szCs w:val="22"/>
        </w:rPr>
        <w:t>This increased to 30.7% in the updated dataset.</w:t>
      </w:r>
    </w:p>
    <w:p w14:paraId="7D6E891E" w14:textId="77777777" w:rsidR="00F8652A" w:rsidRDefault="000476AD" w:rsidP="005B2867">
      <w:pPr>
        <w:pStyle w:val="ListParagraph"/>
        <w:numPr>
          <w:ilvl w:val="0"/>
          <w:numId w:val="8"/>
        </w:numPr>
        <w:spacing w:before="0" w:after="0"/>
        <w:rPr>
          <w:szCs w:val="22"/>
        </w:rPr>
      </w:pPr>
      <w:r w:rsidRPr="00D76E28">
        <w:rPr>
          <w:szCs w:val="22"/>
        </w:rPr>
        <w:t>No drug-related deaths were reported in the IP population in either dataset. However, two deaths were reported in KEYNOTE-087 (discussed below).</w:t>
      </w:r>
    </w:p>
    <w:p w14:paraId="584E1E84" w14:textId="77777777" w:rsidR="00F8652A" w:rsidRDefault="000476AD" w:rsidP="005B2867">
      <w:pPr>
        <w:pStyle w:val="ListParagraph"/>
        <w:numPr>
          <w:ilvl w:val="0"/>
          <w:numId w:val="8"/>
        </w:numPr>
        <w:spacing w:before="0" w:after="0"/>
        <w:rPr>
          <w:szCs w:val="22"/>
        </w:rPr>
      </w:pPr>
      <w:r w:rsidRPr="00D76E28">
        <w:rPr>
          <w:szCs w:val="22"/>
        </w:rPr>
        <w:t xml:space="preserve">The clinical evaluator notes that although the adverse events identified in the </w:t>
      </w:r>
      <w:proofErr w:type="spellStart"/>
      <w:r w:rsidRPr="00D76E28">
        <w:rPr>
          <w:szCs w:val="22"/>
        </w:rPr>
        <w:t>rrcHL</w:t>
      </w:r>
      <w:proofErr w:type="spellEnd"/>
      <w:r w:rsidRPr="00D76E28">
        <w:rPr>
          <w:szCs w:val="22"/>
        </w:rPr>
        <w:t xml:space="preserve"> population are not unexpected, it is currently not clear how this will affect long-term safety due to limited exposure and follow-up data currently available in this indicated population.</w:t>
      </w:r>
    </w:p>
    <w:p w14:paraId="3518FDDF" w14:textId="77777777" w:rsidR="00F8652A" w:rsidRDefault="000476AD" w:rsidP="005B2867">
      <w:pPr>
        <w:pStyle w:val="ListParagraph"/>
        <w:numPr>
          <w:ilvl w:val="0"/>
          <w:numId w:val="8"/>
        </w:numPr>
        <w:spacing w:before="0" w:after="0"/>
        <w:rPr>
          <w:szCs w:val="22"/>
        </w:rPr>
      </w:pPr>
      <w:r w:rsidRPr="00D76E28">
        <w:rPr>
          <w:szCs w:val="22"/>
        </w:rPr>
        <w:t xml:space="preserve">Overall, 19 </w:t>
      </w:r>
      <w:proofErr w:type="spellStart"/>
      <w:r w:rsidRPr="00D76E28">
        <w:rPr>
          <w:szCs w:val="22"/>
        </w:rPr>
        <w:t>cHL</w:t>
      </w:r>
      <w:proofErr w:type="spellEnd"/>
      <w:r w:rsidRPr="00D76E28">
        <w:rPr>
          <w:szCs w:val="22"/>
        </w:rPr>
        <w:t xml:space="preserve"> patients </w:t>
      </w:r>
      <w:r w:rsidR="00A040A4">
        <w:rPr>
          <w:szCs w:val="22"/>
        </w:rPr>
        <w:t xml:space="preserve">who were </w:t>
      </w:r>
      <w:r w:rsidR="00D65F50">
        <w:rPr>
          <w:szCs w:val="22"/>
        </w:rPr>
        <w:t xml:space="preserve">≥ </w:t>
      </w:r>
      <w:r w:rsidRPr="00D76E28">
        <w:rPr>
          <w:szCs w:val="22"/>
        </w:rPr>
        <w:t xml:space="preserve">65 years were treated with </w:t>
      </w:r>
      <w:proofErr w:type="spellStart"/>
      <w:r w:rsidRPr="00D76E28">
        <w:rPr>
          <w:szCs w:val="22"/>
        </w:rPr>
        <w:t>pembrolizumab</w:t>
      </w:r>
      <w:proofErr w:type="spellEnd"/>
      <w:r w:rsidRPr="00D76E28">
        <w:rPr>
          <w:szCs w:val="22"/>
        </w:rPr>
        <w:t xml:space="preserve">. Of these patients, 18 were between 65 and 75; only 1 was </w:t>
      </w:r>
      <w:r w:rsidR="00D65F50">
        <w:rPr>
          <w:szCs w:val="22"/>
        </w:rPr>
        <w:t xml:space="preserve">≥ </w:t>
      </w:r>
      <w:r w:rsidRPr="00D76E28">
        <w:rPr>
          <w:szCs w:val="22"/>
        </w:rPr>
        <w:t xml:space="preserve">75 years and there were no patients &gt; 85 years. The rates of drug-related AEs, Grade </w:t>
      </w:r>
      <w:r w:rsidR="00D65F50">
        <w:rPr>
          <w:szCs w:val="22"/>
        </w:rPr>
        <w:t xml:space="preserve">≥ </w:t>
      </w:r>
      <w:r w:rsidRPr="00D76E28">
        <w:rPr>
          <w:szCs w:val="22"/>
        </w:rPr>
        <w:t xml:space="preserve">3 AEs, SAE and discontinuation were higher in the </w:t>
      </w:r>
      <w:r w:rsidR="00D65F50">
        <w:rPr>
          <w:szCs w:val="22"/>
        </w:rPr>
        <w:t xml:space="preserve">≥ </w:t>
      </w:r>
      <w:r w:rsidRPr="00D76E28">
        <w:rPr>
          <w:szCs w:val="22"/>
        </w:rPr>
        <w:t xml:space="preserve">65 year old </w:t>
      </w:r>
      <w:proofErr w:type="spellStart"/>
      <w:r w:rsidRPr="00D76E28">
        <w:rPr>
          <w:szCs w:val="22"/>
        </w:rPr>
        <w:t>cHL</w:t>
      </w:r>
      <w:proofErr w:type="spellEnd"/>
      <w:r w:rsidRPr="00D76E28">
        <w:rPr>
          <w:szCs w:val="22"/>
        </w:rPr>
        <w:t xml:space="preserve"> subpopulation in comparison to patients young</w:t>
      </w:r>
      <w:r w:rsidR="00A040A4">
        <w:rPr>
          <w:szCs w:val="22"/>
        </w:rPr>
        <w:t>er than 65 years. Although the s</w:t>
      </w:r>
      <w:r w:rsidRPr="00D76E28">
        <w:rPr>
          <w:szCs w:val="22"/>
        </w:rPr>
        <w:t>ponsor’s response is acknowledged, additional information in the PI reg</w:t>
      </w:r>
      <w:r w:rsidR="00A040A4">
        <w:rPr>
          <w:szCs w:val="22"/>
        </w:rPr>
        <w:t>arding this group is warranted</w:t>
      </w:r>
      <w:r w:rsidRPr="00D76E28">
        <w:rPr>
          <w:szCs w:val="22"/>
        </w:rPr>
        <w:t>.</w:t>
      </w:r>
    </w:p>
    <w:p w14:paraId="5CBEB57D" w14:textId="47F5A072" w:rsidR="000476AD" w:rsidRDefault="000476AD" w:rsidP="00D92572">
      <w:pPr>
        <w:pStyle w:val="TableCaption"/>
      </w:pPr>
      <w:bookmarkStart w:id="123" w:name="_Ref486842639"/>
      <w:r>
        <w:lastRenderedPageBreak/>
        <w:t xml:space="preserve">Table </w:t>
      </w:r>
      <w:r w:rsidR="00E80E60">
        <w:t>21</w:t>
      </w:r>
      <w:bookmarkEnd w:id="123"/>
      <w:r>
        <w:t xml:space="preserve">: </w:t>
      </w:r>
      <w:r w:rsidRPr="00757046">
        <w:t xml:space="preserve">Updated safety data from </w:t>
      </w:r>
      <w:r w:rsidR="00ED605C">
        <w:t>Study KN</w:t>
      </w:r>
      <w:r w:rsidRPr="00757046">
        <w:t>087 and KN013 compared to the initial da</w:t>
      </w:r>
      <w:r w:rsidR="00A040A4">
        <w:t>ta; +3.0 months and 3.8 months</w:t>
      </w:r>
    </w:p>
    <w:p w14:paraId="5CBEB57E" w14:textId="77777777" w:rsidR="000476AD" w:rsidRDefault="000476AD" w:rsidP="00A040A4">
      <w:pPr>
        <w:rPr>
          <w:sz w:val="24"/>
          <w:szCs w:val="24"/>
        </w:rPr>
      </w:pPr>
      <w:r>
        <w:rPr>
          <w:noProof/>
          <w:lang w:eastAsia="en-AU"/>
        </w:rPr>
        <w:drawing>
          <wp:inline distT="0" distB="0" distL="0" distR="0" wp14:anchorId="5CBEB970" wp14:editId="43B0FA4A">
            <wp:extent cx="4236620" cy="2915392"/>
            <wp:effectExtent l="0" t="0" r="0" b="0"/>
            <wp:docPr id="88" name="Picture 88" descr="Table 21: Updated safety data from Study KN087 and KN013 compared to the initial data; +3.0 months and 3.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238209" cy="2916486"/>
                    </a:xfrm>
                    <a:prstGeom prst="rect">
                      <a:avLst/>
                    </a:prstGeom>
                  </pic:spPr>
                </pic:pic>
              </a:graphicData>
            </a:graphic>
          </wp:inline>
        </w:drawing>
      </w:r>
    </w:p>
    <w:p w14:paraId="5CBEB57F" w14:textId="77777777" w:rsidR="000476AD" w:rsidRDefault="000476AD" w:rsidP="000476AD">
      <w:pPr>
        <w:spacing w:before="0" w:after="200" w:line="0" w:lineRule="auto"/>
        <w:jc w:val="center"/>
        <w:rPr>
          <w:sz w:val="24"/>
          <w:szCs w:val="24"/>
        </w:rPr>
      </w:pPr>
    </w:p>
    <w:p w14:paraId="3D738D47" w14:textId="77777777" w:rsidR="00F8652A" w:rsidRDefault="00110FB6" w:rsidP="00A040A4">
      <w:r>
        <w:t>Two deaths occurred during S</w:t>
      </w:r>
      <w:r w:rsidR="000476AD" w:rsidRPr="00D76E28">
        <w:t xml:space="preserve">tudy KEYNOTE-087. One is listed as septic shock and one from GVHD with both deaths deemed not drug related. The subject with GVHD received 7 doses of </w:t>
      </w:r>
      <w:proofErr w:type="spellStart"/>
      <w:r w:rsidR="000476AD" w:rsidRPr="00D76E28">
        <w:t>pembrolizumab</w:t>
      </w:r>
      <w:proofErr w:type="spellEnd"/>
      <w:r w:rsidR="000476AD" w:rsidRPr="00D76E28">
        <w:t xml:space="preserve">, the last on Day 127, after which </w:t>
      </w:r>
      <w:r w:rsidR="00160DD0">
        <w:t xml:space="preserve"> the subject </w:t>
      </w:r>
      <w:r w:rsidR="000476AD" w:rsidRPr="00D76E28">
        <w:t xml:space="preserve">was assessed to have CR and then went on to </w:t>
      </w:r>
      <w:proofErr w:type="spellStart"/>
      <w:r w:rsidR="000476AD" w:rsidRPr="00D76E28">
        <w:t>allo</w:t>
      </w:r>
      <w:proofErr w:type="spellEnd"/>
      <w:r w:rsidR="000476AD" w:rsidRPr="00D76E28">
        <w:t>-SCT (FC D. 150-153 and cells infused D. 156/D. 0 of transplant). The first signs of GVHD were observed D</w:t>
      </w:r>
      <w:r>
        <w:t>ay</w:t>
      </w:r>
      <w:r w:rsidR="000476AD" w:rsidRPr="00D76E28">
        <w:t xml:space="preserve"> 211/D</w:t>
      </w:r>
      <w:r>
        <w:t>ay</w:t>
      </w:r>
      <w:r w:rsidR="000476AD" w:rsidRPr="00D76E28">
        <w:t xml:space="preserve"> 55 of transplant and the patient died on D</w:t>
      </w:r>
      <w:r>
        <w:t>ay</w:t>
      </w:r>
      <w:r w:rsidR="000476AD" w:rsidRPr="00D76E28">
        <w:t xml:space="preserve"> 258/D</w:t>
      </w:r>
      <w:r>
        <w:t>ay</w:t>
      </w:r>
      <w:r w:rsidR="000476AD" w:rsidRPr="00D76E28">
        <w:t xml:space="preserve"> 102. The clinical evaluator notes that there have been theoretical speculations that GVHD might be triggered or exacerbated by checkpoint inhibitors. Singh </w:t>
      </w:r>
      <w:r w:rsidR="000476AD" w:rsidRPr="00D76E28">
        <w:rPr>
          <w:i/>
        </w:rPr>
        <w:t>et al</w:t>
      </w:r>
      <w:r w:rsidR="000476AD" w:rsidRPr="00D76E28">
        <w:t xml:space="preserve"> describes a case of fatal GVHD after treatment of relapsed HL (after </w:t>
      </w:r>
      <w:proofErr w:type="spellStart"/>
      <w:r w:rsidR="000476AD" w:rsidRPr="00D76E28">
        <w:t>allo</w:t>
      </w:r>
      <w:proofErr w:type="spellEnd"/>
      <w:r w:rsidR="000476AD" w:rsidRPr="00D76E28">
        <w:t xml:space="preserve">-SCT) with </w:t>
      </w:r>
      <w:proofErr w:type="spellStart"/>
      <w:r w:rsidR="000476AD" w:rsidRPr="00D76E28">
        <w:t>pembrolizumab</w:t>
      </w:r>
      <w:proofErr w:type="spellEnd"/>
      <w:r w:rsidR="000476AD" w:rsidRPr="00D76E28">
        <w:t xml:space="preserve">. Therefore, it is difficult to entirely exclude </w:t>
      </w:r>
      <w:proofErr w:type="spellStart"/>
      <w:r w:rsidR="000476AD" w:rsidRPr="00D76E28">
        <w:t>pembrolizumab</w:t>
      </w:r>
      <w:proofErr w:type="spellEnd"/>
      <w:r w:rsidR="000476AD" w:rsidRPr="00D76E28">
        <w:t xml:space="preserve"> from contributing to the GVHD in the patient in </w:t>
      </w:r>
      <w:r w:rsidR="00ED605C">
        <w:t>Study KN</w:t>
      </w:r>
      <w:r w:rsidR="000476AD" w:rsidRPr="00D76E28">
        <w:t>087. The clinical evaluator has recommended an additional statement be inclu</w:t>
      </w:r>
      <w:r>
        <w:t>ded in the PI</w:t>
      </w:r>
      <w:r w:rsidR="000476AD" w:rsidRPr="00D76E28">
        <w:t>.</w:t>
      </w:r>
    </w:p>
    <w:p w14:paraId="2DC9BC29" w14:textId="77777777" w:rsidR="00F8652A" w:rsidRDefault="000476AD" w:rsidP="000476AD">
      <w:pPr>
        <w:spacing w:before="0" w:after="0"/>
      </w:pPr>
      <w:r w:rsidRPr="00D76E28">
        <w:t xml:space="preserve">Based on the available data, there are important differences in the safety profile of </w:t>
      </w:r>
      <w:proofErr w:type="spellStart"/>
      <w:r w:rsidRPr="00D76E28">
        <w:t>pembrolizumab</w:t>
      </w:r>
      <w:proofErr w:type="spellEnd"/>
      <w:r w:rsidRPr="00D76E28">
        <w:t xml:space="preserve"> for patients with </w:t>
      </w:r>
      <w:proofErr w:type="spellStart"/>
      <w:r w:rsidRPr="00D76E28">
        <w:t>rrcHL</w:t>
      </w:r>
      <w:proofErr w:type="spellEnd"/>
      <w:r w:rsidRPr="00D76E28">
        <w:t xml:space="preserve">. Whilst </w:t>
      </w:r>
      <w:r w:rsidR="00110FB6">
        <w:t>the Delegate</w:t>
      </w:r>
      <w:r w:rsidRPr="00D76E28">
        <w:t xml:space="preserve"> acknowledge</w:t>
      </w:r>
      <w:r w:rsidR="00110FB6">
        <w:t>s the s</w:t>
      </w:r>
      <w:r w:rsidRPr="00D76E28">
        <w:t xml:space="preserve">ponsor’s response, it is essential that prescribers are aware of the rates recorded in these clinical trials. Excluding this data may mislead clinicians. As a result, changes to the </w:t>
      </w:r>
      <w:r w:rsidR="00110FB6" w:rsidRPr="00D76E28">
        <w:t xml:space="preserve">Adverse Events </w:t>
      </w:r>
      <w:r w:rsidR="00110FB6">
        <w:t>section of the PI are</w:t>
      </w:r>
      <w:r w:rsidRPr="00D76E28">
        <w:t xml:space="preserve"> recommended.</w:t>
      </w:r>
    </w:p>
    <w:p w14:paraId="5CBEB582" w14:textId="14FFA0D5" w:rsidR="000476AD" w:rsidRPr="00D76E28" w:rsidRDefault="00110FB6" w:rsidP="00110FB6">
      <w:r>
        <w:rPr>
          <w:rStyle w:val="Heading5Char"/>
          <w:rFonts w:eastAsia="Cambria"/>
        </w:rPr>
        <w:t>Question for s</w:t>
      </w:r>
      <w:r w:rsidR="000476AD" w:rsidRPr="00110FB6">
        <w:rPr>
          <w:rStyle w:val="Heading5Char"/>
          <w:rFonts w:eastAsia="Cambria"/>
        </w:rPr>
        <w:t xml:space="preserve">ponsor: </w:t>
      </w:r>
      <w:r w:rsidR="000476AD" w:rsidRPr="00110FB6">
        <w:t xml:space="preserve">Could </w:t>
      </w:r>
      <w:r w:rsidR="000476AD" w:rsidRPr="00D76E28">
        <w:t>you please confirm how many patients in each cohort of KEYNOTE-087 required dose modification due to adverse events?</w:t>
      </w:r>
    </w:p>
    <w:p w14:paraId="5CBEB583" w14:textId="77777777" w:rsidR="000476AD" w:rsidRDefault="00110FB6" w:rsidP="00110FB6">
      <w:r>
        <w:rPr>
          <w:rStyle w:val="Heading5Char"/>
          <w:rFonts w:eastAsia="Cambria"/>
        </w:rPr>
        <w:t>Question for s</w:t>
      </w:r>
      <w:r w:rsidR="000476AD" w:rsidRPr="00110FB6">
        <w:rPr>
          <w:rStyle w:val="Heading5Char"/>
          <w:rFonts w:eastAsia="Cambria"/>
        </w:rPr>
        <w:t>ponsor:</w:t>
      </w:r>
      <w:r w:rsidR="000476AD" w:rsidRPr="00D76E28">
        <w:t xml:space="preserve"> Is an update available regardi</w:t>
      </w:r>
      <w:r>
        <w:t>ng the number of patients with G</w:t>
      </w:r>
      <w:r w:rsidR="000476AD" w:rsidRPr="00D76E28">
        <w:t xml:space="preserve">rade 3-5 adverse events relating to skin and subcutaneous tissue disorders based on the data cut off of 27 September 2016 and 25 September 2016? This does not appear to be included in </w:t>
      </w:r>
      <w:r>
        <w:t xml:space="preserve">the </w:t>
      </w:r>
      <w:r w:rsidR="000476AD" w:rsidRPr="00D76E28">
        <w:t xml:space="preserve">table </w:t>
      </w:r>
      <w:r>
        <w:t>in</w:t>
      </w:r>
      <w:r w:rsidR="000476AD" w:rsidRPr="00D76E28">
        <w:t xml:space="preserve"> the Safety Update Report (utilising incidence </w:t>
      </w:r>
      <w:r w:rsidR="000476AD" w:rsidRPr="00D76E28">
        <w:rPr>
          <w:u w:val="single"/>
        </w:rPr>
        <w:t>&gt;</w:t>
      </w:r>
      <w:r>
        <w:rPr>
          <w:u w:val="single"/>
        </w:rPr>
        <w:t xml:space="preserve"> </w:t>
      </w:r>
      <w:r w:rsidR="000476AD" w:rsidRPr="00D76E28">
        <w:t>1%) however the incidence in the previous data set was 1.2%.</w:t>
      </w:r>
    </w:p>
    <w:p w14:paraId="5CBEB584" w14:textId="77777777" w:rsidR="008E7846" w:rsidRDefault="00386150" w:rsidP="007B6132">
      <w:pPr>
        <w:pStyle w:val="Heading3"/>
        <w:rPr>
          <w:lang w:eastAsia="en-AU"/>
        </w:rPr>
      </w:pPr>
      <w:bookmarkStart w:id="124" w:name="_Toc517786151"/>
      <w:r>
        <w:rPr>
          <w:lang w:eastAsia="en-AU"/>
        </w:rPr>
        <w:t>Risk m</w:t>
      </w:r>
      <w:r w:rsidR="008E7846">
        <w:rPr>
          <w:lang w:eastAsia="en-AU"/>
        </w:rPr>
        <w:t xml:space="preserve">anagement </w:t>
      </w:r>
      <w:r>
        <w:rPr>
          <w:lang w:eastAsia="en-AU"/>
        </w:rPr>
        <w:t>p</w:t>
      </w:r>
      <w:r w:rsidR="008E7846">
        <w:rPr>
          <w:lang w:eastAsia="en-AU"/>
        </w:rPr>
        <w:t>lan</w:t>
      </w:r>
      <w:bookmarkEnd w:id="114"/>
      <w:bookmarkEnd w:id="124"/>
    </w:p>
    <w:p w14:paraId="5CBEB585" w14:textId="77777777" w:rsidR="000476AD" w:rsidRPr="00D76E28" w:rsidRDefault="000476AD" w:rsidP="00110FB6">
      <w:r w:rsidRPr="00D76E28">
        <w:t>A first-round RMP evaluation is available report dated 27 June 2016. A total of four outstanding recommendations are listed. These are as follows:</w:t>
      </w:r>
    </w:p>
    <w:p w14:paraId="5CBEB586" w14:textId="77777777" w:rsidR="000476AD" w:rsidRPr="00110FB6" w:rsidRDefault="000476AD" w:rsidP="005B2867">
      <w:pPr>
        <w:pStyle w:val="Numberbullet0"/>
        <w:numPr>
          <w:ilvl w:val="0"/>
          <w:numId w:val="18"/>
        </w:numPr>
        <w:rPr>
          <w:rFonts w:asciiTheme="minorHAnsi" w:hAnsiTheme="minorHAnsi" w:cs="Calibri"/>
        </w:rPr>
      </w:pPr>
      <w:r w:rsidRPr="00110FB6">
        <w:rPr>
          <w:rFonts w:asciiTheme="minorHAnsi" w:hAnsiTheme="minorHAnsi" w:cs="Calibri"/>
        </w:rPr>
        <w:t xml:space="preserve"> </w:t>
      </w:r>
      <w:r w:rsidRPr="00D76E28">
        <w:t>Any safety concerns identified by the Clinical or Nonclinical Evaluators that impact on the safety specifications should be addressed in a revised RMP.</w:t>
      </w:r>
    </w:p>
    <w:p w14:paraId="65A131C2" w14:textId="77777777" w:rsidR="00F8652A" w:rsidRDefault="000476AD" w:rsidP="005B2867">
      <w:pPr>
        <w:pStyle w:val="Numberbullet0"/>
        <w:numPr>
          <w:ilvl w:val="0"/>
          <w:numId w:val="18"/>
        </w:numPr>
      </w:pPr>
      <w:r w:rsidRPr="00D76E28">
        <w:t>The following safety concerns should be added, or their removal justified:</w:t>
      </w:r>
    </w:p>
    <w:p w14:paraId="5CBEB588" w14:textId="2F442DE3" w:rsidR="000476AD" w:rsidRPr="00D76E28" w:rsidRDefault="000476AD" w:rsidP="00110FB6">
      <w:pPr>
        <w:pStyle w:val="Numberbullet2"/>
        <w:rPr>
          <w:rFonts w:asciiTheme="minorHAnsi" w:hAnsiTheme="minorHAnsi" w:cs="Calibri"/>
        </w:rPr>
      </w:pPr>
      <w:r w:rsidRPr="00D76E28">
        <w:lastRenderedPageBreak/>
        <w:t>Add Important identified risk: ‘Encephalitis’</w:t>
      </w:r>
    </w:p>
    <w:p w14:paraId="5CBEB589" w14:textId="77777777" w:rsidR="000476AD" w:rsidRPr="00D76E28" w:rsidRDefault="00110FB6" w:rsidP="00110FB6">
      <w:pPr>
        <w:pStyle w:val="Numberbullet2"/>
        <w:rPr>
          <w:rFonts w:asciiTheme="minorHAnsi" w:hAnsiTheme="minorHAnsi" w:cs="Calibri"/>
        </w:rPr>
      </w:pPr>
      <w:r>
        <w:t>Add I</w:t>
      </w:r>
      <w:r w:rsidR="000476AD" w:rsidRPr="00D76E28">
        <w:t>mportant identified risk: ‘Sarcoidosis’</w:t>
      </w:r>
    </w:p>
    <w:p w14:paraId="5CBEB58A" w14:textId="77777777" w:rsidR="000476AD" w:rsidRPr="00D76E28" w:rsidRDefault="000476AD" w:rsidP="00110FB6">
      <w:pPr>
        <w:pStyle w:val="Numberbullet2"/>
        <w:rPr>
          <w:rFonts w:asciiTheme="minorHAnsi" w:hAnsiTheme="minorHAnsi" w:cs="Calibri"/>
        </w:rPr>
      </w:pPr>
      <w:r w:rsidRPr="00D76E28">
        <w:t>Justify the removal of Missing Information: ‘Long term safety data’ from the list of safety concerns in the Core-RMP with ASA.</w:t>
      </w:r>
    </w:p>
    <w:p w14:paraId="5CBEB58B" w14:textId="77777777" w:rsidR="000476AD" w:rsidRPr="00D76E28" w:rsidRDefault="000476AD" w:rsidP="00110FB6">
      <w:pPr>
        <w:pStyle w:val="Numberbullet0"/>
        <w:rPr>
          <w:rFonts w:asciiTheme="minorHAnsi" w:hAnsiTheme="minorHAnsi" w:cs="Calibri"/>
        </w:rPr>
      </w:pPr>
      <w:r w:rsidRPr="00D76E28">
        <w:t>Submit the current EU-RMP to TGA for reference, including the current approved EU-additional risk minimisation materials and a summary of all important differences between the current EU-RMP and the Core-RMP with ASA</w:t>
      </w:r>
    </w:p>
    <w:p w14:paraId="5CBEB58C" w14:textId="77777777" w:rsidR="000476AD" w:rsidRPr="00D76E28" w:rsidRDefault="000476AD" w:rsidP="00110FB6">
      <w:pPr>
        <w:pStyle w:val="Numberbullet0"/>
        <w:rPr>
          <w:rFonts w:asciiTheme="minorHAnsi" w:hAnsiTheme="minorHAnsi" w:cs="Calibri"/>
        </w:rPr>
      </w:pPr>
      <w:r w:rsidRPr="00D76E28">
        <w:t>The additional risk minimisation tools should address the following safety concerns adequately:</w:t>
      </w:r>
    </w:p>
    <w:p w14:paraId="5CBEB58D" w14:textId="77777777" w:rsidR="000476AD" w:rsidRPr="00D76E28" w:rsidRDefault="000476AD" w:rsidP="00110FB6">
      <w:pPr>
        <w:pStyle w:val="Numberbullet2"/>
        <w:rPr>
          <w:rFonts w:asciiTheme="minorHAnsi" w:hAnsiTheme="minorHAnsi" w:cs="Calibri"/>
        </w:rPr>
      </w:pPr>
      <w:proofErr w:type="spellStart"/>
      <w:r w:rsidRPr="00D76E28">
        <w:t>cHL</w:t>
      </w:r>
      <w:proofErr w:type="spellEnd"/>
      <w:r w:rsidRPr="00D76E28">
        <w:t xml:space="preserve"> specific increased risk of severe complications of allogenic stem cell transplantation in patients who have previously received </w:t>
      </w:r>
      <w:proofErr w:type="spellStart"/>
      <w:r w:rsidRPr="00D76E28">
        <w:t>pembrolizumab</w:t>
      </w:r>
      <w:proofErr w:type="spellEnd"/>
    </w:p>
    <w:p w14:paraId="5CBEB58E" w14:textId="77777777" w:rsidR="000476AD" w:rsidRPr="00D76E28" w:rsidRDefault="000476AD" w:rsidP="00110FB6">
      <w:pPr>
        <w:pStyle w:val="Numberbullet2"/>
        <w:rPr>
          <w:rFonts w:asciiTheme="minorHAnsi" w:hAnsiTheme="minorHAnsi" w:cs="Calibri"/>
        </w:rPr>
      </w:pPr>
      <w:r w:rsidRPr="00D76E28">
        <w:t xml:space="preserve">Solid organ </w:t>
      </w:r>
      <w:r w:rsidR="00110FB6">
        <w:t xml:space="preserve">transplant rejection following </w:t>
      </w:r>
      <w:proofErr w:type="spellStart"/>
      <w:r w:rsidR="00110FB6">
        <w:t>p</w:t>
      </w:r>
      <w:r w:rsidRPr="00D76E28">
        <w:t>embrolizumab</w:t>
      </w:r>
      <w:proofErr w:type="spellEnd"/>
      <w:r w:rsidRPr="00D76E28">
        <w:t xml:space="preserve"> treatment in donor organ recipients</w:t>
      </w:r>
    </w:p>
    <w:p w14:paraId="5CBEB58F" w14:textId="77777777" w:rsidR="000476AD" w:rsidRPr="00D76E28" w:rsidRDefault="000476AD" w:rsidP="000476AD">
      <w:pPr>
        <w:spacing w:before="0" w:after="0"/>
      </w:pPr>
      <w:r w:rsidRPr="00110FB6">
        <w:rPr>
          <w:rStyle w:val="Heading5Char"/>
          <w:rFonts w:eastAsia="Cambria"/>
        </w:rPr>
        <w:t xml:space="preserve">Question to Sponsor: </w:t>
      </w:r>
      <w:r w:rsidRPr="00D76E28">
        <w:t>Please respond to the outstanding issues identified in the RMP report dated 27 June 2016.</w:t>
      </w:r>
    </w:p>
    <w:p w14:paraId="5CBEB590" w14:textId="77777777" w:rsidR="000476AD" w:rsidRPr="00D76E28" w:rsidRDefault="000476AD" w:rsidP="00110FB6">
      <w:r w:rsidRPr="00D76E28">
        <w:t>No wording for the condition of registration has been proposed by the RMP team at the time of writing this overview.</w:t>
      </w:r>
    </w:p>
    <w:p w14:paraId="5CBEB591" w14:textId="77777777" w:rsidR="008E7846" w:rsidRDefault="00AA0ED0" w:rsidP="008E7846">
      <w:pPr>
        <w:pStyle w:val="Heading3"/>
      </w:pPr>
      <w:bookmarkStart w:id="125" w:name="_Toc247691531"/>
      <w:bookmarkStart w:id="126" w:name="_Toc314842515"/>
      <w:bookmarkStart w:id="127" w:name="_Toc196046505"/>
      <w:bookmarkStart w:id="128" w:name="_Toc196046949"/>
      <w:bookmarkStart w:id="129" w:name="_Toc517786152"/>
      <w:r>
        <w:t>Risk-benefit a</w:t>
      </w:r>
      <w:r w:rsidR="008E7846">
        <w:t>nalysis</w:t>
      </w:r>
      <w:bookmarkEnd w:id="125"/>
      <w:bookmarkEnd w:id="126"/>
      <w:bookmarkEnd w:id="129"/>
    </w:p>
    <w:p w14:paraId="1014F336" w14:textId="77777777" w:rsidR="00F8652A" w:rsidRDefault="00D23139" w:rsidP="00110FB6">
      <w:pPr>
        <w:pStyle w:val="Heading4"/>
      </w:pPr>
      <w:r w:rsidRPr="00D23139">
        <w:t>Delegate’s considerations</w:t>
      </w:r>
    </w:p>
    <w:p w14:paraId="5CBEB593" w14:textId="73FEC693" w:rsidR="000476AD" w:rsidRPr="008513C3" w:rsidRDefault="000476AD" w:rsidP="00110FB6">
      <w:pPr>
        <w:pStyle w:val="Heading5"/>
      </w:pPr>
      <w:r w:rsidRPr="008513C3">
        <w:t>Efficacy</w:t>
      </w:r>
    </w:p>
    <w:p w14:paraId="5CBEB594" w14:textId="77777777" w:rsidR="000476AD" w:rsidRDefault="000476AD" w:rsidP="00110FB6">
      <w:r>
        <w:t xml:space="preserve">There is little regulatory guidance for the use of early phase or exploratory studies, rather than Phase </w:t>
      </w:r>
      <w:r w:rsidR="007D71D1">
        <w:t>III</w:t>
      </w:r>
      <w:r>
        <w:t xml:space="preserve"> pivotal studies, as the basis for current approval in </w:t>
      </w:r>
      <w:r w:rsidR="007D71D1">
        <w:t xml:space="preserve">Australia. The TGA-adopted EMA </w:t>
      </w:r>
      <w:r w:rsidRPr="007D71D1">
        <w:t>Guideline on the evaluation of anti</w:t>
      </w:r>
      <w:r w:rsidR="007D71D1" w:rsidRPr="007D71D1">
        <w:t>cancer medicinal products in man</w:t>
      </w:r>
      <w:r w:rsidR="009F7D40">
        <w:rPr>
          <w:rStyle w:val="FootnoteReference"/>
        </w:rPr>
        <w:footnoteReference w:id="8"/>
      </w:r>
      <w:r>
        <w:t xml:space="preserve"> acknowledges that it may not be possible to recruit a sufficiently large number of patients to conduct reasonably powered, randomised studies in ‘</w:t>
      </w:r>
      <w:r w:rsidRPr="007D71D1">
        <w:rPr>
          <w:i/>
        </w:rPr>
        <w:t>some truly rare tumours or very narrow indications</w:t>
      </w:r>
      <w:r>
        <w:t>’. The guideline notes that a ‘</w:t>
      </w:r>
      <w:r w:rsidRPr="007D71D1">
        <w:rPr>
          <w:i/>
        </w:rPr>
        <w:t>small, randomised, reference controlled study’</w:t>
      </w:r>
      <w:r>
        <w:t xml:space="preserve"> or ‘</w:t>
      </w:r>
      <w:r w:rsidRPr="007D71D1">
        <w:rPr>
          <w:i/>
        </w:rPr>
        <w:t>a within-patient TTP/PFS analysis (or the combination)</w:t>
      </w:r>
      <w:r>
        <w:t>’ with TTP on last prior therapy compared with time to progression or death on the experimental therapy ‘</w:t>
      </w:r>
      <w:r w:rsidRPr="007D71D1">
        <w:rPr>
          <w:i/>
        </w:rPr>
        <w:t>might be a better alternative</w:t>
      </w:r>
      <w:r>
        <w:t>.’</w:t>
      </w:r>
      <w:r w:rsidR="00D65F50">
        <w:t xml:space="preserve"> </w:t>
      </w:r>
      <w:r>
        <w:t>External (including historical) controls are noted ‘</w:t>
      </w:r>
      <w:r w:rsidRPr="007D71D1">
        <w:rPr>
          <w:i/>
        </w:rPr>
        <w:t>where the treatment effect is dramatic and the usual course of the disease highly predictable’</w:t>
      </w:r>
      <w:r>
        <w:t>.</w:t>
      </w:r>
      <w:r w:rsidR="00D65F50">
        <w:t xml:space="preserve"> </w:t>
      </w:r>
      <w:r>
        <w:t>The EMA ‘Guideline on clinical trials in small populations’ notes that surrogate markers cannot serve as final proof of clinical efficacy or long-term benefit</w:t>
      </w:r>
      <w:r w:rsidR="009F7D40">
        <w:t>.</w:t>
      </w:r>
      <w:r w:rsidR="009F7D40">
        <w:rPr>
          <w:rStyle w:val="FootnoteReference"/>
        </w:rPr>
        <w:footnoteReference w:id="9"/>
      </w:r>
    </w:p>
    <w:p w14:paraId="5CBEB595" w14:textId="77777777" w:rsidR="000476AD" w:rsidRDefault="000476AD" w:rsidP="00110FB6">
      <w:r>
        <w:t>FDA guidance mentions objective response rates as a surrogate endpoint reasonably likely to predict a clinical benefit and that a significant rate of durable complete response could provide potentially useful additional evidence</w:t>
      </w:r>
      <w:r w:rsidR="009F7D40">
        <w:t>.</w:t>
      </w:r>
      <w:r w:rsidR="009F7D40">
        <w:rPr>
          <w:rStyle w:val="FootnoteReference"/>
        </w:rPr>
        <w:footnoteReference w:id="10"/>
      </w:r>
    </w:p>
    <w:p w14:paraId="5CBEB596" w14:textId="77777777" w:rsidR="000476AD" w:rsidRPr="00E80E60" w:rsidRDefault="000476AD" w:rsidP="00110FB6">
      <w:r w:rsidRPr="00D76E28">
        <w:t>From the available</w:t>
      </w:r>
      <w:r w:rsidR="007D71D1">
        <w:t xml:space="preserve"> data at this time the pivotal S</w:t>
      </w:r>
      <w:r w:rsidRPr="00D76E28">
        <w:t xml:space="preserve">tudy KEYNOTE-087 demonstrated an ORR of </w:t>
      </w:r>
      <w:r w:rsidRPr="00D76E28">
        <w:rPr>
          <w:rFonts w:asciiTheme="minorHAnsi" w:hAnsiTheme="minorHAnsi"/>
        </w:rPr>
        <w:t>69.0% (95% CI 62.3-75.2)</w:t>
      </w:r>
      <w:r w:rsidRPr="00D76E28">
        <w:t>, with a median duration of response of 11.1</w:t>
      </w:r>
      <w:r w:rsidR="007D71D1">
        <w:t xml:space="preserve"> </w:t>
      </w:r>
      <w:r w:rsidRPr="00D76E28">
        <w:t xml:space="preserve">months (0.0+ - </w:t>
      </w:r>
      <w:r w:rsidR="005616A2" w:rsidRPr="00D76E28">
        <w:t>11.1)</w:t>
      </w:r>
      <w:r w:rsidRPr="00D76E28">
        <w:t>. This suggests that a meaningful clinical benefit is possible for the indicated group of patients.</w:t>
      </w:r>
      <w:r w:rsidR="00D65F50">
        <w:t xml:space="preserve"> </w:t>
      </w:r>
      <w:r w:rsidRPr="00D76E28">
        <w:rPr>
          <w:rFonts w:asciiTheme="minorHAnsi" w:hAnsiTheme="minorHAnsi"/>
        </w:rPr>
        <w:t xml:space="preserve">However the results are not sufficient to </w:t>
      </w:r>
      <w:r w:rsidRPr="00E80E60">
        <w:rPr>
          <w:rFonts w:asciiTheme="minorHAnsi" w:hAnsiTheme="minorHAnsi"/>
        </w:rPr>
        <w:t xml:space="preserve">show overall survival benefit in </w:t>
      </w:r>
      <w:proofErr w:type="spellStart"/>
      <w:r w:rsidRPr="00E80E60">
        <w:rPr>
          <w:rFonts w:asciiTheme="minorHAnsi" w:hAnsiTheme="minorHAnsi"/>
        </w:rPr>
        <w:t>cHL</w:t>
      </w:r>
      <w:proofErr w:type="spellEnd"/>
      <w:r w:rsidRPr="00E80E60">
        <w:rPr>
          <w:rFonts w:asciiTheme="minorHAnsi" w:hAnsiTheme="minorHAnsi"/>
        </w:rPr>
        <w:t xml:space="preserve"> and no formal comparison can be made to </w:t>
      </w:r>
      <w:r w:rsidRPr="00E80E60">
        <w:rPr>
          <w:rFonts w:asciiTheme="minorHAnsi" w:hAnsiTheme="minorHAnsi"/>
        </w:rPr>
        <w:lastRenderedPageBreak/>
        <w:t xml:space="preserve">standard of care approaches at this time. A confirmatory Phase </w:t>
      </w:r>
      <w:r w:rsidR="007D71D1" w:rsidRPr="00E80E60">
        <w:rPr>
          <w:rFonts w:asciiTheme="minorHAnsi" w:hAnsiTheme="minorHAnsi"/>
        </w:rPr>
        <w:t>III</w:t>
      </w:r>
      <w:r w:rsidRPr="00E80E60">
        <w:rPr>
          <w:rFonts w:asciiTheme="minorHAnsi" w:hAnsiTheme="minorHAnsi"/>
        </w:rPr>
        <w:t xml:space="preserve"> study named KEYNOTE 204 is ongoing (see </w:t>
      </w:r>
      <w:r w:rsidRPr="00E80E60">
        <w:rPr>
          <w:rFonts w:asciiTheme="minorHAnsi" w:hAnsiTheme="minorHAnsi"/>
        </w:rPr>
        <w:fldChar w:fldCharType="begin"/>
      </w:r>
      <w:r w:rsidRPr="00E80E60">
        <w:rPr>
          <w:rFonts w:asciiTheme="minorHAnsi" w:hAnsiTheme="minorHAnsi"/>
        </w:rPr>
        <w:instrText xml:space="preserve"> REF _Ref486776331 \h  \* MERGEFORMAT </w:instrText>
      </w:r>
      <w:r w:rsidRPr="00E80E60">
        <w:rPr>
          <w:rFonts w:asciiTheme="minorHAnsi" w:hAnsiTheme="minorHAnsi"/>
        </w:rPr>
      </w:r>
      <w:r w:rsidRPr="00E80E60">
        <w:rPr>
          <w:rFonts w:asciiTheme="minorHAnsi" w:hAnsiTheme="minorHAnsi"/>
        </w:rPr>
        <w:fldChar w:fldCharType="separate"/>
      </w:r>
      <w:r w:rsidR="00FE7F2B">
        <w:t>Table</w:t>
      </w:r>
      <w:r w:rsidRPr="00E80E60">
        <w:rPr>
          <w:rFonts w:asciiTheme="minorHAnsi" w:hAnsiTheme="minorHAnsi"/>
        </w:rPr>
        <w:fldChar w:fldCharType="end"/>
      </w:r>
      <w:r w:rsidR="00E80E60" w:rsidRPr="00E80E60">
        <w:rPr>
          <w:rFonts w:asciiTheme="minorHAnsi" w:hAnsiTheme="minorHAnsi"/>
        </w:rPr>
        <w:t>22</w:t>
      </w:r>
      <w:r w:rsidRPr="00E80E60">
        <w:rPr>
          <w:rFonts w:asciiTheme="minorHAnsi" w:hAnsiTheme="minorHAnsi"/>
        </w:rPr>
        <w:t>).</w:t>
      </w:r>
    </w:p>
    <w:p w14:paraId="5CBEB597" w14:textId="4CF447F2" w:rsidR="000476AD" w:rsidRPr="00D76E28" w:rsidRDefault="000476AD" w:rsidP="000476AD">
      <w:pPr>
        <w:spacing w:before="0" w:after="0" w:line="240" w:lineRule="auto"/>
        <w:outlineLvl w:val="3"/>
        <w:rPr>
          <w:rFonts w:asciiTheme="minorHAnsi" w:hAnsiTheme="minorHAnsi"/>
        </w:rPr>
      </w:pPr>
      <w:r w:rsidRPr="00E80E60">
        <w:rPr>
          <w:rStyle w:val="Heading5Char"/>
          <w:rFonts w:eastAsia="Cambria"/>
        </w:rPr>
        <w:t>Question for Sponsor:</w:t>
      </w:r>
      <w:r w:rsidRPr="00E80E60">
        <w:rPr>
          <w:rFonts w:asciiTheme="minorHAnsi" w:hAnsiTheme="minorHAnsi"/>
        </w:rPr>
        <w:t xml:space="preserve"> </w:t>
      </w:r>
      <w:r w:rsidRPr="00D92572">
        <w:t xml:space="preserve">Please clarify the expected submission dates for the final reports for each of the studies listed in </w:t>
      </w:r>
      <w:r w:rsidRPr="00E80E60">
        <w:rPr>
          <w:rFonts w:asciiTheme="minorHAnsi" w:hAnsiTheme="minorHAnsi"/>
        </w:rPr>
        <w:fldChar w:fldCharType="begin"/>
      </w:r>
      <w:r w:rsidRPr="00E80E60">
        <w:rPr>
          <w:rFonts w:asciiTheme="minorHAnsi" w:hAnsiTheme="minorHAnsi"/>
        </w:rPr>
        <w:instrText xml:space="preserve"> REF _Ref486776331 \h  \* MERGEFORMAT </w:instrText>
      </w:r>
      <w:r w:rsidRPr="00E80E60">
        <w:rPr>
          <w:rFonts w:asciiTheme="minorHAnsi" w:hAnsiTheme="minorHAnsi"/>
        </w:rPr>
      </w:r>
      <w:r w:rsidRPr="00E80E60">
        <w:rPr>
          <w:rFonts w:asciiTheme="minorHAnsi" w:hAnsiTheme="minorHAnsi"/>
        </w:rPr>
        <w:fldChar w:fldCharType="separate"/>
      </w:r>
      <w:r w:rsidR="00FE7F2B">
        <w:t>Table</w:t>
      </w:r>
      <w:r w:rsidRPr="00E80E60">
        <w:rPr>
          <w:rFonts w:asciiTheme="minorHAnsi" w:hAnsiTheme="minorHAnsi"/>
        </w:rPr>
        <w:fldChar w:fldCharType="end"/>
      </w:r>
      <w:r w:rsidR="00E80E60" w:rsidRPr="00E80E60">
        <w:rPr>
          <w:rFonts w:asciiTheme="minorHAnsi" w:hAnsiTheme="minorHAnsi"/>
        </w:rPr>
        <w:t>22</w:t>
      </w:r>
      <w:r w:rsidRPr="00E80E60">
        <w:rPr>
          <w:rFonts w:asciiTheme="minorHAnsi" w:hAnsiTheme="minorHAnsi"/>
        </w:rPr>
        <w:t>.</w:t>
      </w:r>
    </w:p>
    <w:p w14:paraId="5CBEB598" w14:textId="77777777" w:rsidR="000476AD" w:rsidRDefault="000476AD" w:rsidP="007D71D1">
      <w:pPr>
        <w:pStyle w:val="Tabletitle0"/>
      </w:pPr>
      <w:bookmarkStart w:id="130" w:name="_Ref486776331"/>
      <w:r>
        <w:t>Table</w:t>
      </w:r>
      <w:bookmarkEnd w:id="130"/>
      <w:r w:rsidR="00E80E60">
        <w:t xml:space="preserve"> 22</w:t>
      </w:r>
      <w:r>
        <w:t xml:space="preserve">: </w:t>
      </w:r>
      <w:r w:rsidRPr="00F80454">
        <w:t>Summary of studies in the Hodgkin Lymphoma clinical development program</w:t>
      </w:r>
    </w:p>
    <w:p w14:paraId="5CBEB599" w14:textId="77777777" w:rsidR="000476AD" w:rsidRPr="00583951" w:rsidRDefault="000476AD" w:rsidP="007D71D1">
      <w:pPr>
        <w:rPr>
          <w:rFonts w:asciiTheme="minorHAnsi" w:hAnsiTheme="minorHAnsi" w:cs="Calibri"/>
          <w:sz w:val="24"/>
          <w:szCs w:val="24"/>
          <w:u w:val="single"/>
        </w:rPr>
      </w:pPr>
      <w:r>
        <w:rPr>
          <w:noProof/>
          <w:lang w:eastAsia="en-AU"/>
        </w:rPr>
        <w:drawing>
          <wp:inline distT="0" distB="0" distL="0" distR="0" wp14:anchorId="5CBEB972" wp14:editId="36B6AB8A">
            <wp:extent cx="3823854" cy="3153641"/>
            <wp:effectExtent l="0" t="0" r="5715" b="8890"/>
            <wp:docPr id="48" name="Picture 48" descr="Summary of studies in the Hodgkin Lymphoma clinical development program" title="Table 22: Summary of studies in the Hodgkin Lymphoma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Lst>
                    </a:blip>
                    <a:stretch>
                      <a:fillRect/>
                    </a:stretch>
                  </pic:blipFill>
                  <pic:spPr>
                    <a:xfrm>
                      <a:off x="0" y="0"/>
                      <a:ext cx="3824308" cy="3154015"/>
                    </a:xfrm>
                    <a:prstGeom prst="rect">
                      <a:avLst/>
                    </a:prstGeom>
                  </pic:spPr>
                </pic:pic>
              </a:graphicData>
            </a:graphic>
          </wp:inline>
        </w:drawing>
      </w:r>
    </w:p>
    <w:p w14:paraId="5CBEB59A" w14:textId="77777777" w:rsidR="000476AD" w:rsidRPr="006C4655" w:rsidRDefault="000476AD" w:rsidP="007D71D1">
      <w:pPr>
        <w:pStyle w:val="Heading5"/>
      </w:pPr>
      <w:r w:rsidRPr="006C4655">
        <w:t>Safety</w:t>
      </w:r>
    </w:p>
    <w:p w14:paraId="5CBEB59B" w14:textId="77777777" w:rsidR="000476AD" w:rsidRPr="00D76E28" w:rsidRDefault="000476AD" w:rsidP="00F74C57">
      <w:r w:rsidRPr="00D76E28">
        <w:t xml:space="preserve">There is a limited exposure database for the </w:t>
      </w:r>
      <w:proofErr w:type="spellStart"/>
      <w:r w:rsidRPr="00D76E28">
        <w:t>cHL</w:t>
      </w:r>
      <w:proofErr w:type="spellEnd"/>
      <w:r w:rsidRPr="00D76E28">
        <w:t xml:space="preserve"> indication. The </w:t>
      </w:r>
      <w:r w:rsidR="007D71D1">
        <w:t>clinical evaluation</w:t>
      </w:r>
      <w:r w:rsidRPr="00D76E28">
        <w:t xml:space="preserve"> suggested a higher frequency of some AE’s in the targeted population compared to the reference population for </w:t>
      </w:r>
      <w:proofErr w:type="spellStart"/>
      <w:r w:rsidRPr="00D76E28">
        <w:t>pembrolizumab</w:t>
      </w:r>
      <w:proofErr w:type="spellEnd"/>
      <w:r w:rsidRPr="00D76E28">
        <w:t xml:space="preserve"> which is composed on solid tumours (NSCLC and melanoma). However this is not clearly identified in the PI, with page 27 currently stating </w:t>
      </w:r>
      <w:r w:rsidR="00ED59E7">
        <w:t>‘</w:t>
      </w:r>
      <w:r w:rsidRPr="00D76E28">
        <w:rPr>
          <w:i/>
        </w:rPr>
        <w:t xml:space="preserve">Adverse events occurring in patients with </w:t>
      </w:r>
      <w:proofErr w:type="spellStart"/>
      <w:r w:rsidRPr="00D76E28">
        <w:rPr>
          <w:i/>
        </w:rPr>
        <w:t>cHL</w:t>
      </w:r>
      <w:proofErr w:type="spellEnd"/>
      <w:r w:rsidRPr="00D76E28">
        <w:rPr>
          <w:i/>
        </w:rPr>
        <w:t xml:space="preserve"> were generally similar to those occurring in patients with melanoma or NSCLC</w:t>
      </w:r>
      <w:r w:rsidRPr="00D76E28">
        <w:t>.</w:t>
      </w:r>
      <w:r w:rsidR="00ED59E7">
        <w:t>’</w:t>
      </w:r>
      <w:r w:rsidR="00F74C57">
        <w:t xml:space="preserve"> Furthermore, (the current) T</w:t>
      </w:r>
      <w:r w:rsidRPr="00D76E28">
        <w:t xml:space="preserve">able 8 in the PI regarding immune-mediated adverse reactions lists the pooled rate of hypothyroidism at 8.5% with a footnote stating </w:t>
      </w:r>
      <w:r w:rsidR="00ED59E7">
        <w:t>‘</w:t>
      </w:r>
      <w:proofErr w:type="gramStart"/>
      <w:r w:rsidRPr="00D76E28">
        <w:rPr>
          <w:i/>
        </w:rPr>
        <w:t>In</w:t>
      </w:r>
      <w:proofErr w:type="gramEnd"/>
      <w:r w:rsidRPr="00D76E28">
        <w:rPr>
          <w:i/>
        </w:rPr>
        <w:t xml:space="preserve"> patients with </w:t>
      </w:r>
      <w:proofErr w:type="spellStart"/>
      <w:r w:rsidRPr="00D76E28">
        <w:rPr>
          <w:i/>
        </w:rPr>
        <w:t>cHL</w:t>
      </w:r>
      <w:proofErr w:type="spellEnd"/>
      <w:r w:rsidRPr="00D76E28">
        <w:rPr>
          <w:i/>
        </w:rPr>
        <w:t xml:space="preserve"> (n=241) the incidence of hypothyroidism was 14.1% (all Grades) with 0.4% Grade 3</w:t>
      </w:r>
      <w:r w:rsidRPr="00D76E28">
        <w:t>.</w:t>
      </w:r>
      <w:r w:rsidR="00ED59E7">
        <w:t>’</w:t>
      </w:r>
      <w:r w:rsidRPr="00D76E28">
        <w:t xml:space="preserve"> Additional changes are proposed to the a</w:t>
      </w:r>
      <w:r w:rsidR="00F74C57">
        <w:t>dverse events section of the PI</w:t>
      </w:r>
      <w:r w:rsidRPr="00D76E28">
        <w:t>.</w:t>
      </w:r>
    </w:p>
    <w:p w14:paraId="5CBEB59C" w14:textId="77777777" w:rsidR="000476AD" w:rsidRPr="00D76E28" w:rsidRDefault="000476AD" w:rsidP="00F74C57">
      <w:r w:rsidRPr="00D76E28">
        <w:t xml:space="preserve">The possible increased risk of transplant-related complications of allogeneic-HSCT following </w:t>
      </w:r>
      <w:proofErr w:type="spellStart"/>
      <w:r w:rsidRPr="00D76E28">
        <w:t>pembrolizumab</w:t>
      </w:r>
      <w:proofErr w:type="spellEnd"/>
      <w:r w:rsidRPr="00D76E28">
        <w:t xml:space="preserve"> treatment can also not be excluded, with one death noted in KEYNOTE-087 related to GVHD. This death was listed as not drug related.</w:t>
      </w:r>
    </w:p>
    <w:p w14:paraId="6C7775F1" w14:textId="77777777" w:rsidR="00F8652A" w:rsidRDefault="000476AD" w:rsidP="00F74C57">
      <w:proofErr w:type="spellStart"/>
      <w:r w:rsidRPr="00D76E28">
        <w:t>Pembrolizumab</w:t>
      </w:r>
      <w:proofErr w:type="spellEnd"/>
      <w:r w:rsidRPr="00D76E28">
        <w:t xml:space="preserve"> is registered in Australia for other indications and has a cumulative running sa</w:t>
      </w:r>
      <w:r w:rsidR="00F74C57">
        <w:t>fety data set of 3475 patients</w:t>
      </w:r>
      <w:r w:rsidRPr="00D76E28">
        <w:t xml:space="preserve">. Pharmacovigilance and risk minimisation systems are currently in place in Australia and overseas. This includes routine and additional risk minimisation activities which have been updated for the proposed new indication in </w:t>
      </w:r>
      <w:proofErr w:type="spellStart"/>
      <w:r w:rsidRPr="00D76E28">
        <w:t>rrcHL</w:t>
      </w:r>
      <w:proofErr w:type="spellEnd"/>
      <w:r w:rsidRPr="00D76E28">
        <w:t>. These activities include:</w:t>
      </w:r>
    </w:p>
    <w:p w14:paraId="685393B5" w14:textId="77777777" w:rsidR="00F8652A" w:rsidRDefault="000476AD" w:rsidP="00F74C57">
      <w:pPr>
        <w:pStyle w:val="ListBullet"/>
      </w:pPr>
      <w:r w:rsidRPr="00D76E28">
        <w:t>Educational materials for HCPs</w:t>
      </w:r>
    </w:p>
    <w:p w14:paraId="37089C3D" w14:textId="77777777" w:rsidR="00F8652A" w:rsidRDefault="000476AD" w:rsidP="00F74C57">
      <w:pPr>
        <w:pStyle w:val="ListBullet"/>
      </w:pPr>
      <w:r w:rsidRPr="00D76E28">
        <w:t>Patient Alert cards</w:t>
      </w:r>
    </w:p>
    <w:p w14:paraId="286ACDAB" w14:textId="77777777" w:rsidR="00F8652A" w:rsidRDefault="000476AD" w:rsidP="00F74C57">
      <w:pPr>
        <w:pStyle w:val="ListBullet"/>
      </w:pPr>
      <w:r w:rsidRPr="00D76E28">
        <w:t>Patient educational brochure</w:t>
      </w:r>
    </w:p>
    <w:p w14:paraId="33EB94D8" w14:textId="77777777" w:rsidR="00F8652A" w:rsidRDefault="000476AD" w:rsidP="00F74C57">
      <w:r w:rsidRPr="00D76E28">
        <w:t xml:space="preserve">The RMP evaluator has proposed further changes to these materials (see </w:t>
      </w:r>
      <w:r w:rsidR="00F74C57">
        <w:t>above</w:t>
      </w:r>
      <w:r w:rsidRPr="00D76E28">
        <w:t>).</w:t>
      </w:r>
    </w:p>
    <w:p w14:paraId="5CBEB5A2" w14:textId="2460E2DA" w:rsidR="000476AD" w:rsidRPr="00A74088" w:rsidRDefault="000476AD" w:rsidP="00F74C57">
      <w:pPr>
        <w:pStyle w:val="Heading4"/>
      </w:pPr>
      <w:r w:rsidRPr="00801A43">
        <w:lastRenderedPageBreak/>
        <w:t>Overall risk-benefit, and indication</w:t>
      </w:r>
    </w:p>
    <w:p w14:paraId="5CBEB5A3" w14:textId="77777777" w:rsidR="000476AD" w:rsidRPr="00D76E28" w:rsidRDefault="000476AD" w:rsidP="00F74C57">
      <w:r w:rsidRPr="00D76E28">
        <w:t>Balanced against the immature efficacy results in the pivotal study, there is evidence from the available studies that a meaningful clinical benefit is possible in relapsed or refractory classical Hodgkin Lymphoma (</w:t>
      </w:r>
      <w:proofErr w:type="spellStart"/>
      <w:r w:rsidRPr="00D76E28">
        <w:t>cHL</w:t>
      </w:r>
      <w:proofErr w:type="spellEnd"/>
      <w:r w:rsidRPr="00D76E28">
        <w:t xml:space="preserve">) following autologous stem cell transplant (ASCT) and </w:t>
      </w:r>
      <w:proofErr w:type="spellStart"/>
      <w:r w:rsidRPr="00D76E28">
        <w:t>brentuximab</w:t>
      </w:r>
      <w:proofErr w:type="spellEnd"/>
      <w:r w:rsidRPr="00D76E28">
        <w:t xml:space="preserve"> </w:t>
      </w:r>
      <w:proofErr w:type="spellStart"/>
      <w:r w:rsidRPr="00D76E28">
        <w:t>vedotin</w:t>
      </w:r>
      <w:proofErr w:type="spellEnd"/>
      <w:r w:rsidRPr="00D76E28">
        <w:t xml:space="preserve"> (BV) or following at least two prior therapies including </w:t>
      </w:r>
      <w:proofErr w:type="spellStart"/>
      <w:r w:rsidRPr="00D76E28">
        <w:t>brentuximab</w:t>
      </w:r>
      <w:proofErr w:type="spellEnd"/>
      <w:r w:rsidRPr="00D76E28">
        <w:t xml:space="preserve"> </w:t>
      </w:r>
      <w:proofErr w:type="spellStart"/>
      <w:r w:rsidRPr="00D76E28">
        <w:t>vedotin</w:t>
      </w:r>
      <w:proofErr w:type="spellEnd"/>
      <w:r w:rsidRPr="00D76E28">
        <w:t xml:space="preserve"> (BV) when ASCT or multi-agent chemotherapy is not a treatment option. Of note, the pharmacokinetics and safety profile in </w:t>
      </w:r>
      <w:proofErr w:type="spellStart"/>
      <w:r w:rsidRPr="00D76E28">
        <w:t>cHL</w:t>
      </w:r>
      <w:proofErr w:type="spellEnd"/>
      <w:r w:rsidRPr="00D76E28">
        <w:t xml:space="preserve"> may vary from that seen in solid tumours based on the data evaluated. In addition, the possible increased risk of transplant-related complications of allogeneic-HSCT following </w:t>
      </w:r>
      <w:proofErr w:type="spellStart"/>
      <w:r w:rsidRPr="00D76E28">
        <w:t>pembrolizumab</w:t>
      </w:r>
      <w:proofErr w:type="spellEnd"/>
      <w:r w:rsidRPr="00D76E28">
        <w:t xml:space="preserve"> treatment cannot be excluded. The available data supports a positive risk-benefit balance for the majority of patients studied; however clear communication in the PI regarding the potential safety risk in the proposed indication is required.</w:t>
      </w:r>
    </w:p>
    <w:p w14:paraId="5CBEB5A4" w14:textId="77777777" w:rsidR="000476AD" w:rsidRPr="00D76E28" w:rsidRDefault="000476AD" w:rsidP="00F74C57">
      <w:r w:rsidRPr="00D76E28">
        <w:t xml:space="preserve">In light of the clinical evaluation report and the </w:t>
      </w:r>
      <w:r w:rsidR="00F74C57">
        <w:t>s</w:t>
      </w:r>
      <w:r w:rsidRPr="00D76E28">
        <w:t>ponsor’s response, the following wording of the indication is proposed by the Delegate:</w:t>
      </w:r>
    </w:p>
    <w:p w14:paraId="5CBEB5A5" w14:textId="77777777" w:rsidR="000476AD" w:rsidRPr="00F74C57" w:rsidRDefault="00957DB3" w:rsidP="00F74C57">
      <w:pPr>
        <w:ind w:left="425"/>
        <w:rPr>
          <w:i/>
        </w:rPr>
      </w:pPr>
      <w:proofErr w:type="spellStart"/>
      <w:r w:rsidRPr="00F74C57">
        <w:rPr>
          <w:i/>
        </w:rPr>
        <w:t>Keytruda</w:t>
      </w:r>
      <w:proofErr w:type="spellEnd"/>
      <w:r w:rsidR="000476AD" w:rsidRPr="00F74C57">
        <w:rPr>
          <w:i/>
        </w:rPr>
        <w:t xml:space="preserve"> as monotherapy is indicated for the treatment of adult patients with relapsed or refractory classical Hodgkin Lymphoma (</w:t>
      </w:r>
      <w:proofErr w:type="spellStart"/>
      <w:r w:rsidR="000476AD" w:rsidRPr="00F74C57">
        <w:rPr>
          <w:i/>
        </w:rPr>
        <w:t>cHL</w:t>
      </w:r>
      <w:proofErr w:type="spellEnd"/>
      <w:r w:rsidR="000476AD" w:rsidRPr="00F74C57">
        <w:rPr>
          <w:i/>
        </w:rPr>
        <w:t>):</w:t>
      </w:r>
    </w:p>
    <w:p w14:paraId="5CBEB5A6" w14:textId="77777777" w:rsidR="000476AD" w:rsidRPr="00F74C57" w:rsidRDefault="000476AD" w:rsidP="005B2867">
      <w:pPr>
        <w:pStyle w:val="Numberbullet0"/>
        <w:numPr>
          <w:ilvl w:val="0"/>
          <w:numId w:val="19"/>
        </w:numPr>
        <w:ind w:left="850"/>
        <w:rPr>
          <w:i/>
        </w:rPr>
      </w:pPr>
      <w:r w:rsidRPr="00F74C57">
        <w:rPr>
          <w:i/>
        </w:rPr>
        <w:t xml:space="preserve">following autologous stem cell transplant (ASCT) and </w:t>
      </w:r>
      <w:proofErr w:type="spellStart"/>
      <w:r w:rsidRPr="00F74C57">
        <w:rPr>
          <w:i/>
        </w:rPr>
        <w:t>brentuximab</w:t>
      </w:r>
      <w:proofErr w:type="spellEnd"/>
      <w:r w:rsidRPr="00F74C57">
        <w:rPr>
          <w:i/>
        </w:rPr>
        <w:t xml:space="preserve"> </w:t>
      </w:r>
      <w:proofErr w:type="spellStart"/>
      <w:r w:rsidRPr="00F74C57">
        <w:rPr>
          <w:i/>
        </w:rPr>
        <w:t>vedotin</w:t>
      </w:r>
      <w:proofErr w:type="spellEnd"/>
      <w:r w:rsidRPr="00F74C57">
        <w:rPr>
          <w:i/>
        </w:rPr>
        <w:t xml:space="preserve"> (BV) or</w:t>
      </w:r>
    </w:p>
    <w:p w14:paraId="5CBEB5A7" w14:textId="77777777" w:rsidR="000476AD" w:rsidRPr="00F74C57" w:rsidRDefault="000476AD" w:rsidP="00F74C57">
      <w:pPr>
        <w:pStyle w:val="Numberbullet0"/>
        <w:ind w:left="850"/>
        <w:rPr>
          <w:i/>
        </w:rPr>
      </w:pPr>
      <w:proofErr w:type="gramStart"/>
      <w:r w:rsidRPr="00F74C57">
        <w:rPr>
          <w:i/>
        </w:rPr>
        <w:t>following</w:t>
      </w:r>
      <w:proofErr w:type="gramEnd"/>
      <w:r w:rsidRPr="00F74C57">
        <w:rPr>
          <w:i/>
        </w:rPr>
        <w:t xml:space="preserve"> at least two prior therapies including </w:t>
      </w:r>
      <w:proofErr w:type="spellStart"/>
      <w:r w:rsidRPr="00F74C57">
        <w:rPr>
          <w:i/>
        </w:rPr>
        <w:t>brentuximab</w:t>
      </w:r>
      <w:proofErr w:type="spellEnd"/>
      <w:r w:rsidRPr="00F74C57">
        <w:rPr>
          <w:i/>
        </w:rPr>
        <w:t xml:space="preserve"> </w:t>
      </w:r>
      <w:proofErr w:type="spellStart"/>
      <w:r w:rsidRPr="00F74C57">
        <w:rPr>
          <w:i/>
        </w:rPr>
        <w:t>vedotin</w:t>
      </w:r>
      <w:proofErr w:type="spellEnd"/>
      <w:r w:rsidRPr="00F74C57">
        <w:rPr>
          <w:i/>
        </w:rPr>
        <w:t xml:space="preserve"> (BV) when ASCT or multi-agent chemotherapy is not a treatment option.</w:t>
      </w:r>
    </w:p>
    <w:p w14:paraId="5CBEB5A8" w14:textId="77777777" w:rsidR="004E571F" w:rsidRPr="00F74C57" w:rsidRDefault="000476AD" w:rsidP="00F74C57">
      <w:pPr>
        <w:ind w:left="425"/>
        <w:rPr>
          <w:i/>
        </w:rPr>
      </w:pPr>
      <w:r w:rsidRPr="00F74C57">
        <w:rPr>
          <w:i/>
        </w:rPr>
        <w:t>The approval of this indication is on the basis of objective response rate (ORR). See CLINICAL TRIALS.</w:t>
      </w:r>
    </w:p>
    <w:p w14:paraId="5CBEB5A9" w14:textId="77777777" w:rsidR="004E571F" w:rsidRDefault="004E571F" w:rsidP="004E571F">
      <w:pPr>
        <w:pStyle w:val="Heading4"/>
      </w:pPr>
      <w:r>
        <w:t>Summary of Issues</w:t>
      </w:r>
    </w:p>
    <w:p w14:paraId="5CBEB5AA" w14:textId="77777777" w:rsidR="004E571F" w:rsidRDefault="004E571F" w:rsidP="005B2867">
      <w:pPr>
        <w:pStyle w:val="Numberbullet0"/>
        <w:numPr>
          <w:ilvl w:val="0"/>
          <w:numId w:val="20"/>
        </w:numPr>
      </w:pPr>
      <w:r>
        <w:t>Wording of proposed indication.</w:t>
      </w:r>
    </w:p>
    <w:p w14:paraId="5CBEB5AB" w14:textId="77777777" w:rsidR="004E571F" w:rsidRDefault="004E571F" w:rsidP="005B2867">
      <w:pPr>
        <w:pStyle w:val="Numberbullet0"/>
        <w:numPr>
          <w:ilvl w:val="0"/>
          <w:numId w:val="20"/>
        </w:numPr>
      </w:pPr>
      <w:r>
        <w:t xml:space="preserve">Apparent differences in the pharmacokinetic and safety profile for the indicated population compared to the reference population for </w:t>
      </w:r>
      <w:proofErr w:type="spellStart"/>
      <w:r>
        <w:t>pembrolizumab</w:t>
      </w:r>
      <w:proofErr w:type="spellEnd"/>
      <w:r>
        <w:t>.</w:t>
      </w:r>
    </w:p>
    <w:p w14:paraId="5CBEB5AC" w14:textId="77777777" w:rsidR="004E571F" w:rsidRPr="004E571F" w:rsidRDefault="004E571F" w:rsidP="00F74C57">
      <w:r>
        <w:t xml:space="preserve">Multiple changes recommended for the Australian </w:t>
      </w:r>
      <w:r w:rsidR="00F74C57">
        <w:t>PI</w:t>
      </w:r>
      <w:r>
        <w:t>.</w:t>
      </w:r>
    </w:p>
    <w:p w14:paraId="5CBEB5AD" w14:textId="77777777" w:rsidR="00D23139" w:rsidRDefault="00D23139" w:rsidP="00D23139">
      <w:pPr>
        <w:pStyle w:val="Heading4"/>
      </w:pPr>
      <w:r w:rsidRPr="00D23139">
        <w:t>Proposed action</w:t>
      </w:r>
    </w:p>
    <w:p w14:paraId="5CBEB5AE" w14:textId="77777777" w:rsidR="004E571F" w:rsidRDefault="004E571F" w:rsidP="00F750AF">
      <w:r w:rsidRPr="00C83F23">
        <w:rPr>
          <w:rFonts w:ascii="Cambria Math" w:hAnsi="Cambria Math" w:cs="Cambria Math"/>
          <w:bCs/>
        </w:rPr>
        <w:t xml:space="preserve">It is </w:t>
      </w:r>
      <w:r w:rsidR="00F750AF">
        <w:rPr>
          <w:rFonts w:ascii="Cambria Math" w:hAnsi="Cambria Math" w:cs="Cambria Math"/>
          <w:bCs/>
        </w:rPr>
        <w:t>the Delegate’s</w:t>
      </w:r>
      <w:r w:rsidRPr="00C83F23">
        <w:rPr>
          <w:rFonts w:ascii="Cambria Math" w:hAnsi="Cambria Math" w:cs="Cambria Math"/>
          <w:bCs/>
        </w:rPr>
        <w:t xml:space="preserve"> preliminary view that </w:t>
      </w:r>
      <w:r w:rsidRPr="00C83F23">
        <w:rPr>
          <w:rFonts w:asciiTheme="minorHAnsi" w:hAnsiTheme="minorHAnsi"/>
          <w:bCs/>
        </w:rPr>
        <w:t xml:space="preserve">the application for </w:t>
      </w:r>
      <w:proofErr w:type="spellStart"/>
      <w:r w:rsidR="00957DB3">
        <w:t>Keytruda</w:t>
      </w:r>
      <w:proofErr w:type="spellEnd"/>
      <w:r w:rsidRPr="00C83F23">
        <w:t xml:space="preserve"> (</w:t>
      </w:r>
      <w:proofErr w:type="spellStart"/>
      <w:r w:rsidRPr="00C83F23">
        <w:t>pembrolizumab</w:t>
      </w:r>
      <w:proofErr w:type="spellEnd"/>
      <w:r w:rsidRPr="00C83F23">
        <w:t xml:space="preserve">) </w:t>
      </w:r>
      <w:r w:rsidRPr="00C83F23">
        <w:rPr>
          <w:rFonts w:asciiTheme="minorHAnsi" w:hAnsiTheme="minorHAnsi"/>
          <w:bCs/>
        </w:rPr>
        <w:t xml:space="preserve">should be approved for registration for </w:t>
      </w:r>
      <w:r w:rsidRPr="00C83F23">
        <w:t xml:space="preserve">the </w:t>
      </w:r>
      <w:r w:rsidRPr="00CD4D90">
        <w:t>treatment of adult patients with relapsed or refractory cl</w:t>
      </w:r>
      <w:r>
        <w:t>assical Hodgkin Lymphoma (</w:t>
      </w:r>
      <w:proofErr w:type="spellStart"/>
      <w:r>
        <w:t>cHL</w:t>
      </w:r>
      <w:proofErr w:type="spellEnd"/>
      <w:r>
        <w:t xml:space="preserve">) </w:t>
      </w:r>
      <w:r w:rsidRPr="00CD4D90">
        <w:t xml:space="preserve">following autologous stem cell transplant (ASCT) </w:t>
      </w:r>
      <w:r>
        <w:t xml:space="preserve">and </w:t>
      </w:r>
      <w:proofErr w:type="spellStart"/>
      <w:r>
        <w:t>brentuximab</w:t>
      </w:r>
      <w:proofErr w:type="spellEnd"/>
      <w:r>
        <w:t xml:space="preserve"> </w:t>
      </w:r>
      <w:proofErr w:type="spellStart"/>
      <w:r>
        <w:t>vedotin</w:t>
      </w:r>
      <w:proofErr w:type="spellEnd"/>
      <w:r>
        <w:t xml:space="preserve"> (BV) or </w:t>
      </w:r>
      <w:r w:rsidRPr="00CD4D90">
        <w:t xml:space="preserve">following at least two prior therapies including </w:t>
      </w:r>
      <w:proofErr w:type="spellStart"/>
      <w:r w:rsidRPr="00CD4D90">
        <w:t>brentuximab</w:t>
      </w:r>
      <w:proofErr w:type="spellEnd"/>
      <w:r w:rsidRPr="00CD4D90">
        <w:t xml:space="preserve"> </w:t>
      </w:r>
      <w:proofErr w:type="spellStart"/>
      <w:r w:rsidRPr="00CD4D90">
        <w:t>vedotin</w:t>
      </w:r>
      <w:proofErr w:type="spellEnd"/>
      <w:r w:rsidRPr="00CD4D90">
        <w:t xml:space="preserve"> (BV) when ASCT or multi-agent chemotherapy is not a treatment option.</w:t>
      </w:r>
    </w:p>
    <w:p w14:paraId="5CBEB5AF" w14:textId="77777777" w:rsidR="004E571F" w:rsidRPr="004E571F" w:rsidRDefault="004E571F" w:rsidP="00F750AF">
      <w:r w:rsidRPr="00C83F23">
        <w:rPr>
          <w:rFonts w:asciiTheme="minorHAnsi" w:hAnsiTheme="minorHAnsi"/>
          <w:bCs/>
        </w:rPr>
        <w:t>However, this view is subject to the advice received from the ACM.</w:t>
      </w:r>
    </w:p>
    <w:p w14:paraId="5CBEB5B0" w14:textId="77777777" w:rsidR="00D23139" w:rsidRDefault="00D23139" w:rsidP="00D23139">
      <w:pPr>
        <w:pStyle w:val="Heading4"/>
      </w:pPr>
      <w:r w:rsidRPr="00D23139">
        <w:t>Request for ACPM advice</w:t>
      </w:r>
    </w:p>
    <w:p w14:paraId="5CBEB5B1" w14:textId="77777777" w:rsidR="004E571F" w:rsidRPr="00AA782E" w:rsidRDefault="004E571F" w:rsidP="00F750AF">
      <w:r w:rsidRPr="00C83F23">
        <w:t xml:space="preserve">The committee is requested to provide advice on the following </w:t>
      </w:r>
      <w:r w:rsidRPr="00AA782E">
        <w:t>specific issues:</w:t>
      </w:r>
    </w:p>
    <w:p w14:paraId="5CBEB5B2" w14:textId="77777777" w:rsidR="00F750AF" w:rsidRPr="00F90A25" w:rsidRDefault="00F750AF" w:rsidP="005B2867">
      <w:pPr>
        <w:pStyle w:val="Numberbullet0"/>
        <w:numPr>
          <w:ilvl w:val="0"/>
          <w:numId w:val="21"/>
        </w:numPr>
      </w:pPr>
      <w:r w:rsidRPr="00F90A25">
        <w:t>Can the committee comment on the wording of the proposed indication. With note to the 35 patients in Cohort 3 of KEYNOTE 087 who were BV naïve and in light of the request for further information on this group, is additional amendment to the proposed indication required based on the data presented?</w:t>
      </w:r>
    </w:p>
    <w:p w14:paraId="5CBEB5B3" w14:textId="77777777" w:rsidR="00F750AF" w:rsidRPr="00F74C57" w:rsidRDefault="00F750AF" w:rsidP="005B2867">
      <w:pPr>
        <w:pStyle w:val="Numberbullet0"/>
        <w:numPr>
          <w:ilvl w:val="0"/>
          <w:numId w:val="13"/>
        </w:numPr>
        <w:rPr>
          <w:rFonts w:asciiTheme="minorHAnsi" w:hAnsiTheme="minorHAnsi"/>
        </w:rPr>
      </w:pPr>
      <w:r w:rsidRPr="00F90A25">
        <w:t xml:space="preserve">In light of the Delegate’s proposed PI changes, does the ACM consider that the safety of </w:t>
      </w:r>
      <w:proofErr w:type="spellStart"/>
      <w:r w:rsidRPr="00F90A25">
        <w:t>pembrolizumab</w:t>
      </w:r>
      <w:proofErr w:type="spellEnd"/>
      <w:r w:rsidRPr="00F90A25">
        <w:t xml:space="preserve"> (</w:t>
      </w:r>
      <w:proofErr w:type="spellStart"/>
      <w:r>
        <w:t>Keytruda</w:t>
      </w:r>
      <w:proofErr w:type="spellEnd"/>
      <w:r w:rsidRPr="00F90A25">
        <w:t>) in the proposed new indication is sufficiently well characterised and communicated in the PI?</w:t>
      </w:r>
    </w:p>
    <w:p w14:paraId="5CBEB5B4" w14:textId="77777777" w:rsidR="004E571F" w:rsidRDefault="004E571F" w:rsidP="00F750AF">
      <w:r w:rsidRPr="00C83F23">
        <w:t>The committee is also requested</w:t>
      </w:r>
      <w:r>
        <w:t xml:space="preserve"> to provide advice on any other </w:t>
      </w:r>
      <w:r w:rsidRPr="00C83F23">
        <w:t>issues that it thinks may be relevant to a decision on whether or not to approve this application.</w:t>
      </w:r>
    </w:p>
    <w:p w14:paraId="5CBEB5B5" w14:textId="77777777" w:rsidR="000476AD" w:rsidRPr="00F750AF" w:rsidRDefault="00F750AF" w:rsidP="00F750AF">
      <w:pPr>
        <w:pStyle w:val="Heading4"/>
      </w:pPr>
      <w:bookmarkStart w:id="131" w:name="_Ref433368682"/>
      <w:r>
        <w:lastRenderedPageBreak/>
        <w:t>Delegate’s questions and r</w:t>
      </w:r>
      <w:r w:rsidR="000476AD" w:rsidRPr="00F750AF">
        <w:t>ecommendations to sponsor</w:t>
      </w:r>
      <w:bookmarkEnd w:id="131"/>
    </w:p>
    <w:p w14:paraId="5CBEB5B6" w14:textId="77777777" w:rsidR="000476AD" w:rsidRPr="007B031A" w:rsidRDefault="000476AD" w:rsidP="005B2867">
      <w:pPr>
        <w:pStyle w:val="Numberbullet0"/>
        <w:numPr>
          <w:ilvl w:val="0"/>
          <w:numId w:val="22"/>
        </w:numPr>
      </w:pPr>
      <w:r w:rsidRPr="007B031A">
        <w:t xml:space="preserve">Please include a statement in the consumer medicines information regarding the risk of fever and infections for patients with </w:t>
      </w:r>
      <w:proofErr w:type="spellStart"/>
      <w:r w:rsidRPr="007B031A">
        <w:t>cHL.</w:t>
      </w:r>
      <w:proofErr w:type="spellEnd"/>
    </w:p>
    <w:p w14:paraId="5CBEB5B7" w14:textId="77777777" w:rsidR="000476AD" w:rsidRPr="007B031A" w:rsidRDefault="000476AD" w:rsidP="007B031A">
      <w:pPr>
        <w:pStyle w:val="Numberbullet0"/>
      </w:pPr>
      <w:r w:rsidRPr="007B031A">
        <w:t xml:space="preserve">Is an update available on the current status of KEYNOTE 204 including expected study completion and data submission? Please clarify the expected submission dates for the final reports for each of the studies listed in Table </w:t>
      </w:r>
      <w:r w:rsidR="00C44A61">
        <w:t>22</w:t>
      </w:r>
      <w:r w:rsidRPr="007B031A">
        <w:t>.</w:t>
      </w:r>
    </w:p>
    <w:p w14:paraId="5CBEB5B8" w14:textId="77777777" w:rsidR="000476AD" w:rsidRPr="007B031A" w:rsidRDefault="00F750AF" w:rsidP="007B031A">
      <w:pPr>
        <w:pStyle w:val="Numberbullet0"/>
      </w:pPr>
      <w:r w:rsidRPr="007B031A">
        <w:t>P</w:t>
      </w:r>
      <w:r w:rsidR="000476AD" w:rsidRPr="007B031A">
        <w:t xml:space="preserve">lease provide the baseline details of patients in Cohort 3 of KEYNOTE 087 stratified by BV status (including age, sex, </w:t>
      </w:r>
      <w:proofErr w:type="spellStart"/>
      <w:r w:rsidR="000476AD" w:rsidRPr="007B031A">
        <w:t>etc</w:t>
      </w:r>
      <w:proofErr w:type="spellEnd"/>
      <w:r w:rsidR="000476AD" w:rsidRPr="007B031A">
        <w:t>). Please clarify any differences in outcomes in this cohort and please advise if any update to this data is available. As noted in the PI recommendations in Attachment 2, please provide the TGA with your position on the proposed wording of the indication which includes BV status.</w:t>
      </w:r>
    </w:p>
    <w:p w14:paraId="5CBEB5B9" w14:textId="77777777" w:rsidR="000476AD" w:rsidRPr="007B031A" w:rsidRDefault="000476AD" w:rsidP="007B031A">
      <w:pPr>
        <w:pStyle w:val="Numberbullet0"/>
      </w:pPr>
      <w:r w:rsidRPr="007B031A">
        <w:t>Is there a validated minimally important difference (MID) available for these QOL studies?</w:t>
      </w:r>
    </w:p>
    <w:p w14:paraId="5CBEB5BA" w14:textId="77777777" w:rsidR="000476AD" w:rsidRPr="007B031A" w:rsidRDefault="000476AD" w:rsidP="007B031A">
      <w:pPr>
        <w:pStyle w:val="Numberbullet0"/>
      </w:pPr>
      <w:r w:rsidRPr="007B031A">
        <w:t>Could you please confirm how many patients in each cohort of KEYNOTE-087 required dose modification due to adverse events?</w:t>
      </w:r>
    </w:p>
    <w:p w14:paraId="5CBEB5BB" w14:textId="77777777" w:rsidR="000476AD" w:rsidRPr="007B031A" w:rsidRDefault="000476AD" w:rsidP="007B031A">
      <w:pPr>
        <w:pStyle w:val="Numberbullet0"/>
      </w:pPr>
      <w:r w:rsidRPr="007B031A">
        <w:t xml:space="preserve">Is an update available regarding the number of patients with grade 3-5 adverse events relating to skin and subcutaneous tissue disorders based on the data cut off of 27 September 2016 and 25 September 2016? This does not appear to be included in </w:t>
      </w:r>
      <w:r w:rsidR="007B031A" w:rsidRPr="007B031A">
        <w:t xml:space="preserve">the </w:t>
      </w:r>
      <w:r w:rsidRPr="007B031A">
        <w:t xml:space="preserve">table </w:t>
      </w:r>
      <w:r w:rsidR="007B031A" w:rsidRPr="007B031A">
        <w:t>in</w:t>
      </w:r>
      <w:r w:rsidRPr="007B031A">
        <w:t xml:space="preserve"> the Safety Update Report (utilising incidence &gt;1%) however the incidence in the previous data set was 1.2%).</w:t>
      </w:r>
    </w:p>
    <w:p w14:paraId="5CBEB5BC" w14:textId="77777777" w:rsidR="000476AD" w:rsidRPr="007B031A" w:rsidRDefault="000476AD" w:rsidP="007B031A">
      <w:pPr>
        <w:pStyle w:val="Numberbullet0"/>
      </w:pPr>
      <w:r w:rsidRPr="007B031A">
        <w:t>Is an analysis available based on history of radiation and/or baseline thyroid status?</w:t>
      </w:r>
    </w:p>
    <w:p w14:paraId="5CBEB5BD" w14:textId="77777777" w:rsidR="000476AD" w:rsidRPr="007B031A" w:rsidRDefault="000476AD" w:rsidP="007B031A">
      <w:pPr>
        <w:pStyle w:val="Numberbullet0"/>
        <w:rPr>
          <w:rFonts w:asciiTheme="minorHAnsi" w:eastAsia="Times New Roman" w:hAnsiTheme="minorHAnsi"/>
          <w:bCs/>
        </w:rPr>
      </w:pPr>
      <w:r w:rsidRPr="007B031A">
        <w:t>Please respond to the outstanding issues identified in the RMP report dated 27 June 2016.</w:t>
      </w:r>
    </w:p>
    <w:p w14:paraId="4D8CCECF" w14:textId="77777777" w:rsidR="00F8652A" w:rsidRDefault="00D23139" w:rsidP="00D23139">
      <w:pPr>
        <w:pStyle w:val="Heading4"/>
      </w:pPr>
      <w:r w:rsidRPr="00D23139">
        <w:t>Response from Sponsor</w:t>
      </w:r>
    </w:p>
    <w:p w14:paraId="5CBEB5BF" w14:textId="6FB9FF87" w:rsidR="008A1AA7" w:rsidRDefault="007B031A" w:rsidP="007B031A">
      <w:pPr>
        <w:pStyle w:val="Heading5"/>
      </w:pPr>
      <w:r>
        <w:t>TGA Comment 1:</w:t>
      </w:r>
    </w:p>
    <w:p w14:paraId="5CBEB5C0" w14:textId="77777777" w:rsidR="008A1AA7" w:rsidRDefault="008A1AA7" w:rsidP="007B031A">
      <w:r>
        <w:t>Wording of proposed indication:</w:t>
      </w:r>
    </w:p>
    <w:p w14:paraId="5CBEB5C1" w14:textId="77777777" w:rsidR="008A1AA7" w:rsidRDefault="008A1AA7" w:rsidP="007013A0">
      <w:pPr>
        <w:pStyle w:val="Heading6"/>
      </w:pPr>
      <w:r>
        <w:t>Indication prop</w:t>
      </w:r>
      <w:r w:rsidR="007013A0">
        <w:t>osed by Clinical Evaluator and s</w:t>
      </w:r>
      <w:r>
        <w:t xml:space="preserve">ponsor following </w:t>
      </w:r>
      <w:r w:rsidR="007013A0">
        <w:t xml:space="preserve">the second </w:t>
      </w:r>
      <w:r>
        <w:t>round evaluation:</w:t>
      </w:r>
    </w:p>
    <w:p w14:paraId="5CBEB5C2" w14:textId="77777777" w:rsidR="008A1AA7" w:rsidRPr="007013A0" w:rsidRDefault="00957DB3" w:rsidP="007013A0">
      <w:pPr>
        <w:ind w:left="425"/>
        <w:rPr>
          <w:i/>
        </w:rPr>
      </w:pPr>
      <w:proofErr w:type="spellStart"/>
      <w:r w:rsidRPr="007013A0">
        <w:rPr>
          <w:i/>
        </w:rPr>
        <w:t>Keytruda</w:t>
      </w:r>
      <w:proofErr w:type="spellEnd"/>
      <w:r w:rsidR="008A1AA7" w:rsidRPr="007013A0">
        <w:rPr>
          <w:i/>
        </w:rPr>
        <w:t xml:space="preserve"> as monotherapy is indicated for the treatment of adult patients with relapsed or refractory classical Hodgkin Lymphoma (</w:t>
      </w:r>
      <w:proofErr w:type="spellStart"/>
      <w:r w:rsidR="008A1AA7" w:rsidRPr="007013A0">
        <w:rPr>
          <w:i/>
        </w:rPr>
        <w:t>cHL</w:t>
      </w:r>
      <w:proofErr w:type="spellEnd"/>
      <w:r w:rsidR="008A1AA7" w:rsidRPr="007013A0">
        <w:rPr>
          <w:i/>
        </w:rPr>
        <w:t>):</w:t>
      </w:r>
    </w:p>
    <w:p w14:paraId="5CBEB5C3" w14:textId="77777777" w:rsidR="008A1AA7" w:rsidRPr="007013A0" w:rsidRDefault="008A1AA7" w:rsidP="005B2867">
      <w:pPr>
        <w:pStyle w:val="Numberbullet0"/>
        <w:numPr>
          <w:ilvl w:val="0"/>
          <w:numId w:val="23"/>
        </w:numPr>
        <w:ind w:left="850"/>
        <w:rPr>
          <w:i/>
        </w:rPr>
      </w:pPr>
      <w:r w:rsidRPr="007013A0">
        <w:rPr>
          <w:i/>
        </w:rPr>
        <w:t>following autologous stem cell transplant (ASCT)</w:t>
      </w:r>
      <w:r w:rsidRPr="007013A0">
        <w:rPr>
          <w:i/>
          <w:spacing w:val="-8"/>
        </w:rPr>
        <w:t xml:space="preserve"> </w:t>
      </w:r>
      <w:r w:rsidRPr="007013A0">
        <w:rPr>
          <w:i/>
        </w:rPr>
        <w:t>or</w:t>
      </w:r>
    </w:p>
    <w:p w14:paraId="5CBEB5C4" w14:textId="77777777" w:rsidR="008A1AA7" w:rsidRPr="007013A0" w:rsidRDefault="008A1AA7" w:rsidP="005B2867">
      <w:pPr>
        <w:pStyle w:val="Numberbullet0"/>
        <w:numPr>
          <w:ilvl w:val="0"/>
          <w:numId w:val="23"/>
        </w:numPr>
        <w:ind w:left="850"/>
        <w:rPr>
          <w:i/>
        </w:rPr>
      </w:pPr>
      <w:proofErr w:type="gramStart"/>
      <w:r w:rsidRPr="007013A0">
        <w:rPr>
          <w:i/>
        </w:rPr>
        <w:t>following</w:t>
      </w:r>
      <w:proofErr w:type="gramEnd"/>
      <w:r w:rsidRPr="007013A0">
        <w:rPr>
          <w:i/>
        </w:rPr>
        <w:t xml:space="preserve"> at least two prior therapies when ASCT or multi-agent chemotherapy is not a treatment option.</w:t>
      </w:r>
    </w:p>
    <w:p w14:paraId="5CBEB5C5" w14:textId="77777777" w:rsidR="008A1AA7" w:rsidRPr="007013A0" w:rsidRDefault="008A1AA7" w:rsidP="007013A0">
      <w:pPr>
        <w:ind w:left="425"/>
        <w:rPr>
          <w:i/>
        </w:rPr>
      </w:pPr>
      <w:r w:rsidRPr="007013A0">
        <w:rPr>
          <w:i/>
        </w:rPr>
        <w:t>The approval of this indication is on the basis of objective response rate (ORR). Data on progression free and overall survival is limited.</w:t>
      </w:r>
    </w:p>
    <w:p w14:paraId="5CBEB5C6" w14:textId="77777777" w:rsidR="008A1AA7" w:rsidRDefault="008A1AA7" w:rsidP="007013A0">
      <w:pPr>
        <w:pStyle w:val="Heading6"/>
      </w:pPr>
      <w:r>
        <w:t>Indication proposed by Delegate Overview:</w:t>
      </w:r>
    </w:p>
    <w:p w14:paraId="5CBEB5C7" w14:textId="77777777" w:rsidR="008A1AA7" w:rsidRPr="007013A0" w:rsidRDefault="00957DB3" w:rsidP="007013A0">
      <w:pPr>
        <w:ind w:left="425"/>
        <w:rPr>
          <w:i/>
        </w:rPr>
      </w:pPr>
      <w:proofErr w:type="spellStart"/>
      <w:r w:rsidRPr="007013A0">
        <w:rPr>
          <w:i/>
        </w:rPr>
        <w:t>Keytruda</w:t>
      </w:r>
      <w:proofErr w:type="spellEnd"/>
      <w:r w:rsidR="008A1AA7" w:rsidRPr="007013A0">
        <w:rPr>
          <w:i/>
        </w:rPr>
        <w:t xml:space="preserve"> as monotherapy is indicated for the treatment of adult patients with relapsed or refractory classical Hodgkin Lymphoma (</w:t>
      </w:r>
      <w:proofErr w:type="spellStart"/>
      <w:r w:rsidR="008A1AA7" w:rsidRPr="007013A0">
        <w:rPr>
          <w:i/>
        </w:rPr>
        <w:t>cHL</w:t>
      </w:r>
      <w:proofErr w:type="spellEnd"/>
      <w:r w:rsidR="008A1AA7" w:rsidRPr="007013A0">
        <w:rPr>
          <w:i/>
        </w:rPr>
        <w:t>):</w:t>
      </w:r>
    </w:p>
    <w:p w14:paraId="5CBEB5C8" w14:textId="77777777" w:rsidR="008A1AA7" w:rsidRPr="007013A0" w:rsidRDefault="008A1AA7" w:rsidP="005B2867">
      <w:pPr>
        <w:pStyle w:val="Numberbullet0"/>
        <w:numPr>
          <w:ilvl w:val="0"/>
          <w:numId w:val="24"/>
        </w:numPr>
        <w:ind w:left="850"/>
        <w:rPr>
          <w:i/>
        </w:rPr>
      </w:pPr>
      <w:r w:rsidRPr="007013A0">
        <w:rPr>
          <w:i/>
        </w:rPr>
        <w:t xml:space="preserve">following autologous stem cell transplant (ASCT) and </w:t>
      </w:r>
      <w:proofErr w:type="spellStart"/>
      <w:r w:rsidRPr="007013A0">
        <w:rPr>
          <w:i/>
        </w:rPr>
        <w:t>brentuximab</w:t>
      </w:r>
      <w:proofErr w:type="spellEnd"/>
      <w:r w:rsidRPr="007013A0">
        <w:rPr>
          <w:i/>
        </w:rPr>
        <w:t xml:space="preserve"> </w:t>
      </w:r>
      <w:proofErr w:type="spellStart"/>
      <w:r w:rsidRPr="007013A0">
        <w:rPr>
          <w:i/>
        </w:rPr>
        <w:t>vedotin</w:t>
      </w:r>
      <w:proofErr w:type="spellEnd"/>
      <w:r w:rsidRPr="007013A0">
        <w:rPr>
          <w:i/>
        </w:rPr>
        <w:t xml:space="preserve"> (BV)</w:t>
      </w:r>
      <w:r w:rsidRPr="007013A0">
        <w:rPr>
          <w:i/>
          <w:spacing w:val="-18"/>
        </w:rPr>
        <w:t xml:space="preserve"> </w:t>
      </w:r>
      <w:r w:rsidRPr="007013A0">
        <w:rPr>
          <w:i/>
        </w:rPr>
        <w:t>or</w:t>
      </w:r>
    </w:p>
    <w:p w14:paraId="5CBEB5C9" w14:textId="77777777" w:rsidR="008A1AA7" w:rsidRPr="007013A0" w:rsidRDefault="008A1AA7" w:rsidP="005B2867">
      <w:pPr>
        <w:pStyle w:val="Numberbullet0"/>
        <w:numPr>
          <w:ilvl w:val="0"/>
          <w:numId w:val="24"/>
        </w:numPr>
        <w:ind w:left="850"/>
        <w:rPr>
          <w:i/>
        </w:rPr>
      </w:pPr>
      <w:proofErr w:type="gramStart"/>
      <w:r w:rsidRPr="007013A0">
        <w:rPr>
          <w:i/>
        </w:rPr>
        <w:t>following</w:t>
      </w:r>
      <w:proofErr w:type="gramEnd"/>
      <w:r w:rsidRPr="007013A0">
        <w:rPr>
          <w:i/>
        </w:rPr>
        <w:t xml:space="preserve"> at least two prior therapies including </w:t>
      </w:r>
      <w:proofErr w:type="spellStart"/>
      <w:r w:rsidRPr="007013A0">
        <w:rPr>
          <w:i/>
        </w:rPr>
        <w:t>brentuximab</w:t>
      </w:r>
      <w:proofErr w:type="spellEnd"/>
      <w:r w:rsidRPr="007013A0">
        <w:rPr>
          <w:i/>
        </w:rPr>
        <w:t xml:space="preserve"> </w:t>
      </w:r>
      <w:proofErr w:type="spellStart"/>
      <w:r w:rsidRPr="007013A0">
        <w:rPr>
          <w:i/>
        </w:rPr>
        <w:t>vedotin</w:t>
      </w:r>
      <w:proofErr w:type="spellEnd"/>
      <w:r w:rsidRPr="007013A0">
        <w:rPr>
          <w:i/>
        </w:rPr>
        <w:t xml:space="preserve"> (BV) when ASCT</w:t>
      </w:r>
      <w:r w:rsidRPr="007013A0">
        <w:rPr>
          <w:i/>
          <w:spacing w:val="-32"/>
        </w:rPr>
        <w:t xml:space="preserve"> </w:t>
      </w:r>
      <w:r w:rsidRPr="007013A0">
        <w:rPr>
          <w:i/>
        </w:rPr>
        <w:t>or multi-agent chemotherapy is not a treatment</w:t>
      </w:r>
      <w:r w:rsidRPr="007013A0">
        <w:rPr>
          <w:i/>
          <w:spacing w:val="-3"/>
        </w:rPr>
        <w:t xml:space="preserve"> </w:t>
      </w:r>
      <w:r w:rsidRPr="007013A0">
        <w:rPr>
          <w:i/>
        </w:rPr>
        <w:t>option.</w:t>
      </w:r>
    </w:p>
    <w:p w14:paraId="5CBEB5CA" w14:textId="77777777" w:rsidR="008A1AA7" w:rsidRPr="007013A0" w:rsidRDefault="008A1AA7" w:rsidP="007013A0">
      <w:pPr>
        <w:ind w:left="425"/>
        <w:rPr>
          <w:i/>
        </w:rPr>
      </w:pPr>
      <w:r w:rsidRPr="007013A0">
        <w:rPr>
          <w:i/>
        </w:rPr>
        <w:t>The approval of this indication is on the basis of objective response rate (ORR). See CLINICAL TRIALS.</w:t>
      </w:r>
    </w:p>
    <w:p w14:paraId="5CBEB5CB" w14:textId="77777777" w:rsidR="008A1AA7" w:rsidRDefault="007013A0" w:rsidP="007013A0">
      <w:pPr>
        <w:pStyle w:val="Heading5"/>
      </w:pPr>
      <w:r>
        <w:t>Sponsor response 1</w:t>
      </w:r>
    </w:p>
    <w:p w14:paraId="5CBEB5CC" w14:textId="77777777" w:rsidR="008A1AA7" w:rsidRDefault="007013A0" w:rsidP="007013A0">
      <w:r>
        <w:t>The sponsor</w:t>
      </w:r>
      <w:r w:rsidR="008A1AA7">
        <w:t xml:space="preserve"> agrees with the indication proposed by the clinical evaluator in the first </w:t>
      </w:r>
      <w:r w:rsidR="008A1AA7" w:rsidRPr="009F7D40">
        <w:t xml:space="preserve">round evaluation but not with that proposed by the Delegate. The treatment algorithm of </w:t>
      </w:r>
      <w:proofErr w:type="spellStart"/>
      <w:r w:rsidR="008A1AA7" w:rsidRPr="009F7D40">
        <w:t>Alinari</w:t>
      </w:r>
      <w:proofErr w:type="spellEnd"/>
      <w:r w:rsidR="008A1AA7" w:rsidRPr="009F7D40">
        <w:t xml:space="preserve"> and Blum</w:t>
      </w:r>
      <w:r w:rsidR="009F7D40" w:rsidRPr="009F7D40">
        <w:rPr>
          <w:vertAlign w:val="superscript"/>
        </w:rPr>
        <w:fldChar w:fldCharType="begin"/>
      </w:r>
      <w:r w:rsidR="009F7D40" w:rsidRPr="009F7D40">
        <w:rPr>
          <w:vertAlign w:val="superscript"/>
        </w:rPr>
        <w:instrText xml:space="preserve"> NOTEREF _Ref509325486 \h  \* MERGEFORMAT </w:instrText>
      </w:r>
      <w:r w:rsidR="009F7D40" w:rsidRPr="009F7D40">
        <w:rPr>
          <w:vertAlign w:val="superscript"/>
        </w:rPr>
      </w:r>
      <w:r w:rsidR="009F7D40" w:rsidRPr="009F7D40">
        <w:rPr>
          <w:vertAlign w:val="superscript"/>
        </w:rPr>
        <w:fldChar w:fldCharType="separate"/>
      </w:r>
      <w:r w:rsidR="00FE7F2B">
        <w:rPr>
          <w:vertAlign w:val="superscript"/>
        </w:rPr>
        <w:t>3</w:t>
      </w:r>
      <w:r w:rsidR="009F7D40" w:rsidRPr="009F7D40">
        <w:rPr>
          <w:vertAlign w:val="superscript"/>
        </w:rPr>
        <w:fldChar w:fldCharType="end"/>
      </w:r>
      <w:r w:rsidR="008A1AA7" w:rsidRPr="009F7D40">
        <w:t xml:space="preserve"> recommends BV prior to PD-1/PD-L1 therapy. It should be noted however that this algorithm</w:t>
      </w:r>
      <w:r w:rsidR="008A1AA7">
        <w:t xml:space="preserve"> </w:t>
      </w:r>
      <w:r w:rsidR="008A1AA7">
        <w:lastRenderedPageBreak/>
        <w:t xml:space="preserve">predates registration of </w:t>
      </w:r>
      <w:proofErr w:type="spellStart"/>
      <w:r w:rsidR="00957DB3">
        <w:t>Keytruda</w:t>
      </w:r>
      <w:proofErr w:type="spellEnd"/>
      <w:r w:rsidR="008A1AA7">
        <w:t xml:space="preserve"> in the United States and Europe for </w:t>
      </w:r>
      <w:proofErr w:type="spellStart"/>
      <w:r w:rsidR="008A1AA7">
        <w:t>cHL</w:t>
      </w:r>
      <w:proofErr w:type="spellEnd"/>
      <w:r w:rsidR="008A1AA7">
        <w:t xml:space="preserve"> and is therefore in need of re</w:t>
      </w:r>
      <w:r>
        <w:t>-</w:t>
      </w:r>
      <w:r w:rsidR="008A1AA7">
        <w:t>evaluation.</w:t>
      </w:r>
    </w:p>
    <w:p w14:paraId="5CBEB5CD" w14:textId="77777777" w:rsidR="008A1AA7" w:rsidRDefault="008A1AA7" w:rsidP="007013A0">
      <w:r>
        <w:t xml:space="preserve">The outcomes of KEYNOTE-204, an ongoing Phase III trial to evaluate efficacy of </w:t>
      </w:r>
      <w:proofErr w:type="spellStart"/>
      <w:r w:rsidR="00957DB3">
        <w:t>Keytruda</w:t>
      </w:r>
      <w:proofErr w:type="spellEnd"/>
      <w:r>
        <w:t xml:space="preserve"> versus BV in relapsed/ refractory </w:t>
      </w:r>
      <w:proofErr w:type="spellStart"/>
      <w:r>
        <w:t>cHL</w:t>
      </w:r>
      <w:proofErr w:type="spellEnd"/>
      <w:r>
        <w:t xml:space="preserve">, will provide the statistical power required to confirm superiority of </w:t>
      </w:r>
      <w:proofErr w:type="spellStart"/>
      <w:r w:rsidR="00957DB3">
        <w:t>Keytruda</w:t>
      </w:r>
      <w:proofErr w:type="spellEnd"/>
      <w:r>
        <w:t xml:space="preserve"> over BV. However, the efficacy of </w:t>
      </w:r>
      <w:proofErr w:type="spellStart"/>
      <w:r w:rsidR="00957DB3">
        <w:t>Keytruda</w:t>
      </w:r>
      <w:proofErr w:type="spellEnd"/>
      <w:r>
        <w:t xml:space="preserve"> in relapsed/refractory </w:t>
      </w:r>
      <w:proofErr w:type="spellStart"/>
      <w:r>
        <w:t>cHL</w:t>
      </w:r>
      <w:proofErr w:type="spellEnd"/>
      <w:r>
        <w:t xml:space="preserve"> demonstrated by KEYNOTE-087 supports the use of </w:t>
      </w:r>
      <w:proofErr w:type="spellStart"/>
      <w:r w:rsidR="00957DB3">
        <w:t>Keytruda</w:t>
      </w:r>
      <w:proofErr w:type="spellEnd"/>
      <w:r>
        <w:t xml:space="preserve"> in both BV- relapsed/refractory and BV-naïve patients. Indeed, </w:t>
      </w:r>
      <w:r w:rsidR="00ED59E7">
        <w:t>‘</w:t>
      </w:r>
      <w:proofErr w:type="gramStart"/>
      <w:r>
        <w:rPr>
          <w:i/>
          <w:iCs/>
        </w:rPr>
        <w:t>The</w:t>
      </w:r>
      <w:proofErr w:type="gramEnd"/>
      <w:r>
        <w:rPr>
          <w:i/>
          <w:iCs/>
        </w:rPr>
        <w:t xml:space="preserve"> efficacy results observed were comparable to </w:t>
      </w:r>
      <w:proofErr w:type="spellStart"/>
      <w:r>
        <w:rPr>
          <w:i/>
          <w:iCs/>
        </w:rPr>
        <w:t>brentuximab</w:t>
      </w:r>
      <w:proofErr w:type="spellEnd"/>
      <w:r>
        <w:rPr>
          <w:i/>
          <w:iCs/>
        </w:rPr>
        <w:t xml:space="preserve"> </w:t>
      </w:r>
      <w:proofErr w:type="spellStart"/>
      <w:r>
        <w:rPr>
          <w:i/>
          <w:iCs/>
        </w:rPr>
        <w:t>vedotin</w:t>
      </w:r>
      <w:proofErr w:type="spellEnd"/>
      <w:r>
        <w:rPr>
          <w:i/>
          <w:iCs/>
        </w:rPr>
        <w:t xml:space="preserve"> (ORR 75%, CR 33%) registered for the treatment of relapsed/refractory </w:t>
      </w:r>
      <w:proofErr w:type="spellStart"/>
      <w:r>
        <w:rPr>
          <w:i/>
          <w:iCs/>
        </w:rPr>
        <w:t>cHL</w:t>
      </w:r>
      <w:proofErr w:type="spellEnd"/>
      <w:r w:rsidR="00ED59E7">
        <w:t>’</w:t>
      </w:r>
      <w:r>
        <w:t xml:space="preserve"> (</w:t>
      </w:r>
      <w:r w:rsidR="007013A0" w:rsidRPr="007013A0">
        <w:t>see Attachment 2</w:t>
      </w:r>
      <w:r>
        <w:t xml:space="preserve">). Likewise, the clinical evaluator notes the </w:t>
      </w:r>
      <w:r w:rsidR="00ED59E7">
        <w:t>‘</w:t>
      </w:r>
      <w:r>
        <w:rPr>
          <w:i/>
          <w:iCs/>
        </w:rPr>
        <w:t xml:space="preserve">ORR of 68.1% and CR 21.9% in the pivotal </w:t>
      </w:r>
      <w:r w:rsidR="00ED605C">
        <w:rPr>
          <w:i/>
          <w:iCs/>
        </w:rPr>
        <w:t>Study KN</w:t>
      </w:r>
      <w:r w:rsidR="005616A2">
        <w:rPr>
          <w:i/>
          <w:iCs/>
        </w:rPr>
        <w:t>087</w:t>
      </w:r>
      <w:proofErr w:type="gramStart"/>
      <w:r w:rsidR="005616A2">
        <w:rPr>
          <w:i/>
          <w:iCs/>
        </w:rPr>
        <w:t>,</w:t>
      </w:r>
      <w:r>
        <w:rPr>
          <w:i/>
          <w:iCs/>
        </w:rPr>
        <w:t>…</w:t>
      </w:r>
      <w:proofErr w:type="gramEnd"/>
      <w:r>
        <w:rPr>
          <w:i/>
          <w:iCs/>
        </w:rPr>
        <w:t xml:space="preserve"> is high relative to other treatments and</w:t>
      </w:r>
      <w:r w:rsidR="007013A0">
        <w:rPr>
          <w:i/>
          <w:iCs/>
        </w:rPr>
        <w:t xml:space="preserve"> </w:t>
      </w:r>
      <w:r>
        <w:rPr>
          <w:i/>
          <w:iCs/>
        </w:rPr>
        <w:t>comparable to BV</w:t>
      </w:r>
      <w:r w:rsidR="00ED59E7">
        <w:rPr>
          <w:i/>
          <w:iCs/>
        </w:rPr>
        <w:t>’</w:t>
      </w:r>
      <w:r>
        <w:t>.</w:t>
      </w:r>
    </w:p>
    <w:p w14:paraId="5CBEB5CE" w14:textId="77777777" w:rsidR="008A1AA7" w:rsidRDefault="008A1AA7" w:rsidP="007013A0">
      <w:r>
        <w:t xml:space="preserve">It is worthwhile to note that the TGA approved indication for </w:t>
      </w:r>
      <w:proofErr w:type="spellStart"/>
      <w:r>
        <w:t>nivolumab</w:t>
      </w:r>
      <w:proofErr w:type="spellEnd"/>
      <w:r>
        <w:t xml:space="preserve"> which is restricted to BV- relapsed/refractory pati</w:t>
      </w:r>
      <w:r w:rsidR="007013A0">
        <w:t>ents is supported by data from C</w:t>
      </w:r>
      <w:r>
        <w:t>ohort B of CHECKMATE-205, wherein all patients received BV following relapse/failure of ASCT. The clinical outcomes f</w:t>
      </w:r>
      <w:r w:rsidR="007013A0">
        <w:t>or the 35 BV-naïve patients in C</w:t>
      </w:r>
      <w:r>
        <w:t xml:space="preserve">ohort 3 of KEYNOTE-087 strongly support the use of </w:t>
      </w:r>
      <w:proofErr w:type="spellStart"/>
      <w:r w:rsidR="00957DB3">
        <w:t>Keytruda</w:t>
      </w:r>
      <w:proofErr w:type="spellEnd"/>
      <w:r>
        <w:t xml:space="preserve"> without the need for prior BV failure. As per response to </w:t>
      </w:r>
      <w:r w:rsidR="007013A0">
        <w:t>clinical questions raised</w:t>
      </w:r>
      <w:r>
        <w:t>, the efficacy data for prior-BV</w:t>
      </w:r>
      <w:r w:rsidR="00FE6681">
        <w:t xml:space="preserve"> versus </w:t>
      </w:r>
      <w:r>
        <w:t>BV-naïve patients of cohort 3 are comparable:</w:t>
      </w:r>
    </w:p>
    <w:p w14:paraId="5CBEB5CF" w14:textId="77777777" w:rsidR="007013A0" w:rsidRDefault="007013A0" w:rsidP="009F7D40">
      <w:pPr>
        <w:pStyle w:val="Tabletitle0"/>
      </w:pPr>
      <w:r>
        <w:t>Table</w:t>
      </w:r>
      <w:r w:rsidR="00E80E60">
        <w:t xml:space="preserve"> 23: </w:t>
      </w:r>
      <w:r w:rsidR="00C44A61">
        <w:t>Efficacy data (ORR, DOR, PFS and OS) for prior-BV versus BV-naïve patients of cohort 3</w:t>
      </w:r>
    </w:p>
    <w:tbl>
      <w:tblPr>
        <w:tblW w:w="8384" w:type="dxa"/>
        <w:tblInd w:w="126" w:type="dxa"/>
        <w:tblLayout w:type="fixed"/>
        <w:tblCellMar>
          <w:left w:w="0" w:type="dxa"/>
          <w:right w:w="0" w:type="dxa"/>
        </w:tblCellMar>
        <w:tblLook w:val="0000" w:firstRow="0" w:lastRow="0" w:firstColumn="0" w:lastColumn="0" w:noHBand="0" w:noVBand="0"/>
        <w:tblDescription w:val="Table 23: Efficacy data (ORR, DOR, PFS and OS) for prior-BV versus BV-naïve patients of cohort 3"/>
      </w:tblPr>
      <w:tblGrid>
        <w:gridCol w:w="2714"/>
        <w:gridCol w:w="2694"/>
        <w:gridCol w:w="2976"/>
      </w:tblGrid>
      <w:tr w:rsidR="008A1AA7" w14:paraId="5CBEB5D2" w14:textId="77777777" w:rsidTr="00400846">
        <w:trPr>
          <w:cantSplit/>
          <w:trHeight w:val="254"/>
          <w:tblHeader/>
        </w:trPr>
        <w:tc>
          <w:tcPr>
            <w:tcW w:w="2714" w:type="dxa"/>
            <w:vMerge w:val="restart"/>
            <w:tcBorders>
              <w:top w:val="single" w:sz="4" w:space="0" w:color="000000"/>
              <w:left w:val="single" w:sz="4" w:space="0" w:color="000000"/>
              <w:bottom w:val="single" w:sz="4" w:space="0" w:color="000000"/>
              <w:right w:val="single" w:sz="4" w:space="0" w:color="000000"/>
            </w:tcBorders>
            <w:shd w:val="clear" w:color="auto" w:fill="0070C0"/>
          </w:tcPr>
          <w:p w14:paraId="5CBEB5D0" w14:textId="77777777" w:rsidR="008A1AA7" w:rsidRPr="007013A0" w:rsidRDefault="008A1AA7" w:rsidP="009F7D40">
            <w:pPr>
              <w:keepNext/>
              <w:spacing w:before="0" w:after="0" w:line="360" w:lineRule="auto"/>
              <w:ind w:left="113"/>
              <w:rPr>
                <w:b/>
                <w:color w:val="FFFFFF" w:themeColor="background1"/>
                <w:sz w:val="20"/>
                <w:szCs w:val="20"/>
              </w:rPr>
            </w:pP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0070C0"/>
          </w:tcPr>
          <w:p w14:paraId="5CBEB5D1" w14:textId="77777777" w:rsidR="008A1AA7" w:rsidRPr="007013A0" w:rsidRDefault="008A1AA7" w:rsidP="009F7D40">
            <w:pPr>
              <w:keepNext/>
              <w:spacing w:before="0" w:after="0" w:line="360" w:lineRule="auto"/>
              <w:ind w:left="113"/>
              <w:rPr>
                <w:b/>
                <w:color w:val="FFFFFF" w:themeColor="background1"/>
                <w:sz w:val="20"/>
                <w:szCs w:val="20"/>
              </w:rPr>
            </w:pPr>
            <w:r w:rsidRPr="007013A0">
              <w:rPr>
                <w:b/>
                <w:color w:val="FFFFFF" w:themeColor="background1"/>
                <w:sz w:val="20"/>
                <w:szCs w:val="20"/>
              </w:rPr>
              <w:t>Cohort 3</w:t>
            </w:r>
          </w:p>
        </w:tc>
      </w:tr>
      <w:tr w:rsidR="008A1AA7" w14:paraId="5CBEB5D6" w14:textId="77777777" w:rsidTr="00400846">
        <w:trPr>
          <w:cantSplit/>
          <w:trHeight w:val="253"/>
          <w:tblHeader/>
        </w:trPr>
        <w:tc>
          <w:tcPr>
            <w:tcW w:w="2714" w:type="dxa"/>
            <w:vMerge/>
            <w:tcBorders>
              <w:top w:val="nil"/>
              <w:left w:val="single" w:sz="4" w:space="0" w:color="000000"/>
              <w:bottom w:val="single" w:sz="4" w:space="0" w:color="000000"/>
              <w:right w:val="single" w:sz="4" w:space="0" w:color="000000"/>
            </w:tcBorders>
            <w:shd w:val="clear" w:color="auto" w:fill="0070C0"/>
          </w:tcPr>
          <w:p w14:paraId="5CBEB5D3" w14:textId="77777777" w:rsidR="008A1AA7" w:rsidRPr="007013A0" w:rsidRDefault="008A1AA7" w:rsidP="009F7D40">
            <w:pPr>
              <w:keepNext/>
              <w:spacing w:before="0" w:after="0" w:line="360" w:lineRule="auto"/>
              <w:ind w:left="113"/>
              <w:rPr>
                <w:b/>
                <w:color w:val="FFFFFF" w:themeColor="background1"/>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0070C0"/>
          </w:tcPr>
          <w:p w14:paraId="5CBEB5D4" w14:textId="77777777" w:rsidR="008A1AA7" w:rsidRPr="007013A0" w:rsidRDefault="008A1AA7" w:rsidP="009F7D40">
            <w:pPr>
              <w:keepNext/>
              <w:spacing w:before="0" w:after="0" w:line="360" w:lineRule="auto"/>
              <w:ind w:left="113"/>
              <w:rPr>
                <w:b/>
                <w:color w:val="FFFFFF" w:themeColor="background1"/>
                <w:sz w:val="20"/>
                <w:szCs w:val="20"/>
              </w:rPr>
            </w:pPr>
            <w:r w:rsidRPr="007013A0">
              <w:rPr>
                <w:b/>
                <w:color w:val="FFFFFF" w:themeColor="background1"/>
                <w:sz w:val="20"/>
                <w:szCs w:val="20"/>
              </w:rPr>
              <w:t>Prior BV (n=25)</w:t>
            </w:r>
          </w:p>
        </w:tc>
        <w:tc>
          <w:tcPr>
            <w:tcW w:w="2976" w:type="dxa"/>
            <w:tcBorders>
              <w:top w:val="single" w:sz="4" w:space="0" w:color="000000"/>
              <w:left w:val="single" w:sz="4" w:space="0" w:color="000000"/>
              <w:bottom w:val="single" w:sz="4" w:space="0" w:color="000000"/>
              <w:right w:val="single" w:sz="4" w:space="0" w:color="000000"/>
            </w:tcBorders>
            <w:shd w:val="clear" w:color="auto" w:fill="0070C0"/>
          </w:tcPr>
          <w:p w14:paraId="5CBEB5D5" w14:textId="77777777" w:rsidR="008A1AA7" w:rsidRPr="007013A0" w:rsidRDefault="008A1AA7" w:rsidP="009F7D40">
            <w:pPr>
              <w:keepNext/>
              <w:spacing w:before="0" w:after="0" w:line="360" w:lineRule="auto"/>
              <w:ind w:left="113"/>
              <w:rPr>
                <w:b/>
                <w:color w:val="FFFFFF" w:themeColor="background1"/>
                <w:sz w:val="20"/>
                <w:szCs w:val="20"/>
              </w:rPr>
            </w:pPr>
            <w:r w:rsidRPr="007013A0">
              <w:rPr>
                <w:b/>
                <w:color w:val="FFFFFF" w:themeColor="background1"/>
                <w:sz w:val="20"/>
                <w:szCs w:val="20"/>
              </w:rPr>
              <w:t>BV-naïve (n=35)</w:t>
            </w:r>
          </w:p>
        </w:tc>
      </w:tr>
      <w:tr w:rsidR="008A1AA7" w14:paraId="5CBEB5DA" w14:textId="77777777" w:rsidTr="00400846">
        <w:trPr>
          <w:trHeight w:val="251"/>
        </w:trPr>
        <w:tc>
          <w:tcPr>
            <w:tcW w:w="2714" w:type="dxa"/>
            <w:tcBorders>
              <w:top w:val="single" w:sz="4" w:space="0" w:color="000000"/>
              <w:left w:val="single" w:sz="4" w:space="0" w:color="000000"/>
              <w:bottom w:val="single" w:sz="4" w:space="0" w:color="000000"/>
              <w:right w:val="single" w:sz="4" w:space="0" w:color="000000"/>
            </w:tcBorders>
          </w:tcPr>
          <w:p w14:paraId="5CBEB5D7" w14:textId="77777777" w:rsidR="008A1AA7" w:rsidRPr="007013A0" w:rsidRDefault="008A1AA7" w:rsidP="009F7D40">
            <w:pPr>
              <w:keepNext/>
              <w:spacing w:before="0" w:after="0" w:line="360" w:lineRule="auto"/>
              <w:ind w:left="113"/>
              <w:rPr>
                <w:sz w:val="20"/>
                <w:szCs w:val="20"/>
              </w:rPr>
            </w:pPr>
            <w:r w:rsidRPr="007013A0">
              <w:rPr>
                <w:sz w:val="20"/>
                <w:szCs w:val="20"/>
              </w:rPr>
              <w:t>ORR (95% CI)</w:t>
            </w:r>
          </w:p>
        </w:tc>
        <w:tc>
          <w:tcPr>
            <w:tcW w:w="2694" w:type="dxa"/>
            <w:tcBorders>
              <w:top w:val="single" w:sz="4" w:space="0" w:color="000000"/>
              <w:left w:val="single" w:sz="4" w:space="0" w:color="000000"/>
              <w:bottom w:val="single" w:sz="4" w:space="0" w:color="000000"/>
              <w:right w:val="single" w:sz="4" w:space="0" w:color="000000"/>
            </w:tcBorders>
          </w:tcPr>
          <w:p w14:paraId="5CBEB5D8" w14:textId="77777777" w:rsidR="008A1AA7" w:rsidRPr="007013A0" w:rsidRDefault="008A1AA7" w:rsidP="009F7D40">
            <w:pPr>
              <w:keepNext/>
              <w:spacing w:before="0" w:after="0" w:line="360" w:lineRule="auto"/>
              <w:ind w:left="113"/>
              <w:rPr>
                <w:sz w:val="20"/>
                <w:szCs w:val="20"/>
              </w:rPr>
            </w:pPr>
            <w:r w:rsidRPr="007013A0">
              <w:rPr>
                <w:sz w:val="20"/>
                <w:szCs w:val="20"/>
              </w:rPr>
              <w:t>68.0% (46.5%, 85.1%)</w:t>
            </w:r>
          </w:p>
        </w:tc>
        <w:tc>
          <w:tcPr>
            <w:tcW w:w="2976" w:type="dxa"/>
            <w:tcBorders>
              <w:top w:val="single" w:sz="4" w:space="0" w:color="000000"/>
              <w:left w:val="single" w:sz="4" w:space="0" w:color="000000"/>
              <w:bottom w:val="single" w:sz="4" w:space="0" w:color="000000"/>
              <w:right w:val="single" w:sz="4" w:space="0" w:color="000000"/>
            </w:tcBorders>
          </w:tcPr>
          <w:p w14:paraId="5CBEB5D9" w14:textId="77777777" w:rsidR="008A1AA7" w:rsidRPr="007013A0" w:rsidRDefault="008A1AA7" w:rsidP="009F7D40">
            <w:pPr>
              <w:keepNext/>
              <w:spacing w:before="0" w:after="0" w:line="360" w:lineRule="auto"/>
              <w:ind w:left="113"/>
              <w:rPr>
                <w:sz w:val="20"/>
                <w:szCs w:val="20"/>
              </w:rPr>
            </w:pPr>
            <w:r w:rsidRPr="007013A0">
              <w:rPr>
                <w:sz w:val="20"/>
                <w:szCs w:val="20"/>
              </w:rPr>
              <w:t>71.4% (53.7%, 85.4%)</w:t>
            </w:r>
          </w:p>
        </w:tc>
      </w:tr>
      <w:tr w:rsidR="008A1AA7" w14:paraId="5CBEB5DE" w14:textId="77777777" w:rsidTr="00400846">
        <w:trPr>
          <w:trHeight w:val="254"/>
        </w:trPr>
        <w:tc>
          <w:tcPr>
            <w:tcW w:w="2714" w:type="dxa"/>
            <w:tcBorders>
              <w:top w:val="single" w:sz="4" w:space="0" w:color="000000"/>
              <w:left w:val="single" w:sz="4" w:space="0" w:color="000000"/>
              <w:bottom w:val="single" w:sz="4" w:space="0" w:color="000000"/>
              <w:right w:val="single" w:sz="4" w:space="0" w:color="000000"/>
            </w:tcBorders>
          </w:tcPr>
          <w:p w14:paraId="5CBEB5DB" w14:textId="77777777" w:rsidR="008A1AA7" w:rsidRPr="007013A0" w:rsidRDefault="008A1AA7" w:rsidP="007013A0">
            <w:pPr>
              <w:spacing w:before="0" w:after="0" w:line="360" w:lineRule="auto"/>
              <w:ind w:left="113"/>
              <w:rPr>
                <w:sz w:val="20"/>
                <w:szCs w:val="20"/>
              </w:rPr>
            </w:pPr>
            <w:r w:rsidRPr="007013A0">
              <w:rPr>
                <w:sz w:val="20"/>
                <w:szCs w:val="20"/>
              </w:rPr>
              <w:t>Median DOR (95% CI)</w:t>
            </w:r>
          </w:p>
        </w:tc>
        <w:tc>
          <w:tcPr>
            <w:tcW w:w="2694" w:type="dxa"/>
            <w:tcBorders>
              <w:top w:val="single" w:sz="4" w:space="0" w:color="000000"/>
              <w:left w:val="single" w:sz="4" w:space="0" w:color="000000"/>
              <w:bottom w:val="single" w:sz="4" w:space="0" w:color="000000"/>
              <w:right w:val="single" w:sz="4" w:space="0" w:color="000000"/>
            </w:tcBorders>
          </w:tcPr>
          <w:p w14:paraId="5CBEB5DC" w14:textId="77777777" w:rsidR="008A1AA7" w:rsidRPr="007013A0" w:rsidRDefault="008A1AA7" w:rsidP="007013A0">
            <w:pPr>
              <w:spacing w:before="0" w:after="0" w:line="360" w:lineRule="auto"/>
              <w:ind w:left="113"/>
              <w:rPr>
                <w:sz w:val="20"/>
                <w:szCs w:val="20"/>
              </w:rPr>
            </w:pPr>
            <w:r w:rsidRPr="007013A0">
              <w:rPr>
                <w:sz w:val="20"/>
                <w:szCs w:val="20"/>
              </w:rPr>
              <w:t>8.5 m (5.5, 8.5)</w:t>
            </w:r>
          </w:p>
        </w:tc>
        <w:tc>
          <w:tcPr>
            <w:tcW w:w="2976" w:type="dxa"/>
            <w:tcBorders>
              <w:top w:val="single" w:sz="4" w:space="0" w:color="000000"/>
              <w:left w:val="single" w:sz="4" w:space="0" w:color="000000"/>
              <w:bottom w:val="single" w:sz="4" w:space="0" w:color="000000"/>
              <w:right w:val="single" w:sz="4" w:space="0" w:color="000000"/>
            </w:tcBorders>
          </w:tcPr>
          <w:p w14:paraId="5CBEB5DD" w14:textId="77777777" w:rsidR="008A1AA7" w:rsidRPr="007013A0" w:rsidRDefault="008A1AA7" w:rsidP="007013A0">
            <w:pPr>
              <w:spacing w:before="0" w:after="0" w:line="360" w:lineRule="auto"/>
              <w:ind w:left="113"/>
              <w:rPr>
                <w:sz w:val="20"/>
                <w:szCs w:val="20"/>
              </w:rPr>
            </w:pPr>
            <w:r w:rsidRPr="007013A0">
              <w:rPr>
                <w:sz w:val="20"/>
                <w:szCs w:val="20"/>
              </w:rPr>
              <w:t>NR (NR, NR)</w:t>
            </w:r>
          </w:p>
        </w:tc>
      </w:tr>
      <w:tr w:rsidR="008A1AA7" w14:paraId="5CBEB5E2" w14:textId="77777777" w:rsidTr="00400846">
        <w:trPr>
          <w:trHeight w:val="251"/>
        </w:trPr>
        <w:tc>
          <w:tcPr>
            <w:tcW w:w="2714" w:type="dxa"/>
            <w:tcBorders>
              <w:top w:val="single" w:sz="4" w:space="0" w:color="000000"/>
              <w:left w:val="single" w:sz="4" w:space="0" w:color="000000"/>
              <w:bottom w:val="single" w:sz="4" w:space="0" w:color="000000"/>
              <w:right w:val="single" w:sz="4" w:space="0" w:color="000000"/>
            </w:tcBorders>
          </w:tcPr>
          <w:p w14:paraId="5CBEB5DF" w14:textId="77777777" w:rsidR="008A1AA7" w:rsidRPr="007013A0" w:rsidRDefault="008A1AA7" w:rsidP="007013A0">
            <w:pPr>
              <w:spacing w:before="0" w:after="0" w:line="360" w:lineRule="auto"/>
              <w:ind w:left="113"/>
              <w:rPr>
                <w:sz w:val="20"/>
                <w:szCs w:val="20"/>
              </w:rPr>
            </w:pPr>
            <w:r w:rsidRPr="007013A0">
              <w:rPr>
                <w:sz w:val="20"/>
                <w:szCs w:val="20"/>
              </w:rPr>
              <w:t>Median PFS (95% CI)</w:t>
            </w:r>
          </w:p>
        </w:tc>
        <w:tc>
          <w:tcPr>
            <w:tcW w:w="2694" w:type="dxa"/>
            <w:tcBorders>
              <w:top w:val="single" w:sz="4" w:space="0" w:color="000000"/>
              <w:left w:val="single" w:sz="4" w:space="0" w:color="000000"/>
              <w:bottom w:val="single" w:sz="4" w:space="0" w:color="000000"/>
              <w:right w:val="single" w:sz="4" w:space="0" w:color="000000"/>
            </w:tcBorders>
          </w:tcPr>
          <w:p w14:paraId="5CBEB5E0" w14:textId="77777777" w:rsidR="008A1AA7" w:rsidRPr="007013A0" w:rsidRDefault="008A1AA7" w:rsidP="007013A0">
            <w:pPr>
              <w:spacing w:before="0" w:after="0" w:line="360" w:lineRule="auto"/>
              <w:ind w:left="113"/>
              <w:rPr>
                <w:sz w:val="20"/>
                <w:szCs w:val="20"/>
              </w:rPr>
            </w:pPr>
            <w:r w:rsidRPr="007013A0">
              <w:rPr>
                <w:sz w:val="20"/>
                <w:szCs w:val="20"/>
              </w:rPr>
              <w:t>11.3 m (8.5, NR)</w:t>
            </w:r>
          </w:p>
        </w:tc>
        <w:tc>
          <w:tcPr>
            <w:tcW w:w="2976" w:type="dxa"/>
            <w:tcBorders>
              <w:top w:val="single" w:sz="4" w:space="0" w:color="000000"/>
              <w:left w:val="single" w:sz="4" w:space="0" w:color="000000"/>
              <w:bottom w:val="single" w:sz="4" w:space="0" w:color="000000"/>
              <w:right w:val="single" w:sz="4" w:space="0" w:color="000000"/>
            </w:tcBorders>
          </w:tcPr>
          <w:p w14:paraId="5CBEB5E1" w14:textId="77777777" w:rsidR="008A1AA7" w:rsidRPr="007013A0" w:rsidRDefault="008A1AA7" w:rsidP="007013A0">
            <w:pPr>
              <w:spacing w:before="0" w:after="0" w:line="360" w:lineRule="auto"/>
              <w:ind w:left="113"/>
              <w:rPr>
                <w:sz w:val="20"/>
                <w:szCs w:val="20"/>
              </w:rPr>
            </w:pPr>
            <w:r w:rsidRPr="007013A0">
              <w:rPr>
                <w:sz w:val="20"/>
                <w:szCs w:val="20"/>
              </w:rPr>
              <w:t>10.3 m (6.1, NR)</w:t>
            </w:r>
          </w:p>
        </w:tc>
      </w:tr>
      <w:tr w:rsidR="008A1AA7" w14:paraId="5CBEB5E6" w14:textId="77777777" w:rsidTr="00400846">
        <w:trPr>
          <w:trHeight w:val="254"/>
        </w:trPr>
        <w:tc>
          <w:tcPr>
            <w:tcW w:w="2714" w:type="dxa"/>
            <w:tcBorders>
              <w:top w:val="single" w:sz="4" w:space="0" w:color="000000"/>
              <w:left w:val="single" w:sz="4" w:space="0" w:color="000000"/>
              <w:bottom w:val="single" w:sz="4" w:space="0" w:color="000000"/>
              <w:right w:val="single" w:sz="4" w:space="0" w:color="000000"/>
            </w:tcBorders>
          </w:tcPr>
          <w:p w14:paraId="5CBEB5E3" w14:textId="77777777" w:rsidR="008A1AA7" w:rsidRPr="007013A0" w:rsidRDefault="008A1AA7" w:rsidP="007013A0">
            <w:pPr>
              <w:spacing w:before="0" w:after="0" w:line="360" w:lineRule="auto"/>
              <w:ind w:left="113"/>
              <w:rPr>
                <w:sz w:val="20"/>
                <w:szCs w:val="20"/>
              </w:rPr>
            </w:pPr>
            <w:r w:rsidRPr="007013A0">
              <w:rPr>
                <w:sz w:val="20"/>
                <w:szCs w:val="20"/>
              </w:rPr>
              <w:t>Median OS (95% CI)</w:t>
            </w:r>
          </w:p>
        </w:tc>
        <w:tc>
          <w:tcPr>
            <w:tcW w:w="2694" w:type="dxa"/>
            <w:tcBorders>
              <w:top w:val="single" w:sz="4" w:space="0" w:color="000000"/>
              <w:left w:val="single" w:sz="4" w:space="0" w:color="000000"/>
              <w:bottom w:val="single" w:sz="4" w:space="0" w:color="000000"/>
              <w:right w:val="single" w:sz="4" w:space="0" w:color="000000"/>
            </w:tcBorders>
          </w:tcPr>
          <w:p w14:paraId="5CBEB5E4" w14:textId="77777777" w:rsidR="008A1AA7" w:rsidRPr="007013A0" w:rsidRDefault="008A1AA7" w:rsidP="007013A0">
            <w:pPr>
              <w:spacing w:before="0" w:after="0" w:line="360" w:lineRule="auto"/>
              <w:ind w:left="113"/>
              <w:rPr>
                <w:sz w:val="20"/>
                <w:szCs w:val="20"/>
              </w:rPr>
            </w:pPr>
            <w:r w:rsidRPr="007013A0">
              <w:rPr>
                <w:sz w:val="20"/>
                <w:szCs w:val="20"/>
              </w:rPr>
              <w:t>NR (NR, NR)</w:t>
            </w:r>
          </w:p>
        </w:tc>
        <w:tc>
          <w:tcPr>
            <w:tcW w:w="2976" w:type="dxa"/>
            <w:tcBorders>
              <w:top w:val="single" w:sz="4" w:space="0" w:color="000000"/>
              <w:left w:val="single" w:sz="4" w:space="0" w:color="000000"/>
              <w:bottom w:val="single" w:sz="4" w:space="0" w:color="000000"/>
              <w:right w:val="single" w:sz="4" w:space="0" w:color="000000"/>
            </w:tcBorders>
          </w:tcPr>
          <w:p w14:paraId="5CBEB5E5" w14:textId="77777777" w:rsidR="008A1AA7" w:rsidRPr="007013A0" w:rsidRDefault="008A1AA7" w:rsidP="007013A0">
            <w:pPr>
              <w:spacing w:before="0" w:after="0" w:line="360" w:lineRule="auto"/>
              <w:ind w:left="113"/>
              <w:rPr>
                <w:sz w:val="20"/>
                <w:szCs w:val="20"/>
              </w:rPr>
            </w:pPr>
            <w:r w:rsidRPr="007013A0">
              <w:rPr>
                <w:sz w:val="20"/>
                <w:szCs w:val="20"/>
              </w:rPr>
              <w:t>NR (NR, NR)</w:t>
            </w:r>
          </w:p>
        </w:tc>
      </w:tr>
      <w:tr w:rsidR="008A1AA7" w14:paraId="5CBEB5E8" w14:textId="77777777" w:rsidTr="00400846">
        <w:trPr>
          <w:trHeight w:val="253"/>
        </w:trPr>
        <w:tc>
          <w:tcPr>
            <w:tcW w:w="8384" w:type="dxa"/>
            <w:gridSpan w:val="3"/>
            <w:tcBorders>
              <w:top w:val="single" w:sz="4" w:space="0" w:color="000000"/>
              <w:left w:val="single" w:sz="4" w:space="0" w:color="000000"/>
              <w:bottom w:val="single" w:sz="4" w:space="0" w:color="000000"/>
              <w:right w:val="single" w:sz="4" w:space="0" w:color="000000"/>
            </w:tcBorders>
          </w:tcPr>
          <w:p w14:paraId="5CBEB5E7" w14:textId="77777777" w:rsidR="008A1AA7" w:rsidRPr="007013A0" w:rsidRDefault="008A1AA7" w:rsidP="007013A0">
            <w:pPr>
              <w:spacing w:before="0" w:after="0" w:line="360" w:lineRule="auto"/>
              <w:ind w:left="113"/>
              <w:rPr>
                <w:sz w:val="20"/>
                <w:szCs w:val="20"/>
              </w:rPr>
            </w:pPr>
            <w:r w:rsidRPr="007013A0">
              <w:rPr>
                <w:sz w:val="20"/>
                <w:szCs w:val="20"/>
              </w:rPr>
              <w:t>NR = not reached; m = months</w:t>
            </w:r>
          </w:p>
        </w:tc>
      </w:tr>
    </w:tbl>
    <w:p w14:paraId="5CBEB5E9" w14:textId="77777777" w:rsidR="008A1AA7" w:rsidRDefault="008A1AA7" w:rsidP="00C01797">
      <w:r>
        <w:t xml:space="preserve">With regard to </w:t>
      </w:r>
      <w:proofErr w:type="spellStart"/>
      <w:r>
        <w:t>nivolumab</w:t>
      </w:r>
      <w:proofErr w:type="spellEnd"/>
      <w:r>
        <w:t xml:space="preserve">, the clinical evaluator notes that </w:t>
      </w:r>
      <w:proofErr w:type="spellStart"/>
      <w:r w:rsidR="00957DB3">
        <w:t>Keytruda</w:t>
      </w:r>
      <w:proofErr w:type="spellEnd"/>
      <w:r>
        <w:t xml:space="preserve"> </w:t>
      </w:r>
      <w:r w:rsidR="00ED59E7">
        <w:t>‘</w:t>
      </w:r>
      <w:r>
        <w:t xml:space="preserve">… </w:t>
      </w:r>
      <w:r w:rsidRPr="00C01797">
        <w:rPr>
          <w:i/>
        </w:rPr>
        <w:t xml:space="preserve">is also comparable to </w:t>
      </w:r>
      <w:proofErr w:type="spellStart"/>
      <w:r w:rsidRPr="00C01797">
        <w:rPr>
          <w:i/>
        </w:rPr>
        <w:t>nivolumab</w:t>
      </w:r>
      <w:proofErr w:type="spellEnd"/>
      <w:r w:rsidRPr="00C01797">
        <w:rPr>
          <w:i/>
        </w:rPr>
        <w:t xml:space="preserve"> in </w:t>
      </w:r>
      <w:proofErr w:type="spellStart"/>
      <w:r w:rsidRPr="00C01797">
        <w:rPr>
          <w:i/>
        </w:rPr>
        <w:t>cHL</w:t>
      </w:r>
      <w:proofErr w:type="spellEnd"/>
      <w:r w:rsidRPr="00C01797">
        <w:rPr>
          <w:i/>
        </w:rPr>
        <w:t xml:space="preserve"> p</w:t>
      </w:r>
      <w:r w:rsidR="005616A2">
        <w:rPr>
          <w:i/>
        </w:rPr>
        <w:t>atients</w:t>
      </w:r>
      <w:r w:rsidRPr="00C01797">
        <w:rPr>
          <w:i/>
        </w:rPr>
        <w:t xml:space="preserve"> after ASCT and BV (ORR 68%) and higher than the CR of 8% seen in this study (EMA </w:t>
      </w:r>
      <w:proofErr w:type="spellStart"/>
      <w:r w:rsidRPr="00C01797">
        <w:rPr>
          <w:i/>
        </w:rPr>
        <w:t>SmPC</w:t>
      </w:r>
      <w:proofErr w:type="spellEnd"/>
      <w:r w:rsidRPr="00C01797">
        <w:rPr>
          <w:i/>
        </w:rPr>
        <w:t>)</w:t>
      </w:r>
      <w:r w:rsidR="00ED59E7">
        <w:t>’</w:t>
      </w:r>
      <w:r>
        <w:t>.</w:t>
      </w:r>
    </w:p>
    <w:p w14:paraId="5CBEB5EA" w14:textId="77777777" w:rsidR="008A1AA7" w:rsidRDefault="008A1AA7" w:rsidP="00C01797">
      <w:r>
        <w:t xml:space="preserve">The availability of either BV or </w:t>
      </w:r>
      <w:proofErr w:type="spellStart"/>
      <w:r w:rsidR="00957DB3">
        <w:t>Keytruda</w:t>
      </w:r>
      <w:proofErr w:type="spellEnd"/>
      <w:r>
        <w:t xml:space="preserve"> for relapsed/refractory patients will enable physicians to decide on the most appropriate treatment for their patients. For example, patients with pre-existing myelotoxicity or neuropathy may need an alternate choice with a drug known not to be associated with these toxicities. As such, </w:t>
      </w:r>
      <w:r w:rsidR="00C01797">
        <w:t>sponsor</w:t>
      </w:r>
      <w:r>
        <w:t xml:space="preserve"> proposes to retain the indication as revised and in agreement with the </w:t>
      </w:r>
      <w:r w:rsidR="00C01797">
        <w:t>clinical evaluation report</w:t>
      </w:r>
      <w:r>
        <w:t>.</w:t>
      </w:r>
    </w:p>
    <w:p w14:paraId="5CBEB5EB" w14:textId="77777777" w:rsidR="008A1AA7" w:rsidRDefault="00C01797" w:rsidP="00C01797">
      <w:pPr>
        <w:pStyle w:val="Heading5"/>
      </w:pPr>
      <w:r>
        <w:t>TGA Comment 2</w:t>
      </w:r>
    </w:p>
    <w:p w14:paraId="5CBEB5EC" w14:textId="77777777" w:rsidR="008A1AA7" w:rsidRDefault="008A1AA7" w:rsidP="00C01797">
      <w:r>
        <w:t xml:space="preserve">Apparent differences in the pharmacokinetic and safety profile for the indicated population compared to the reference population for </w:t>
      </w:r>
      <w:proofErr w:type="spellStart"/>
      <w:r>
        <w:t>pembrolizumab</w:t>
      </w:r>
      <w:proofErr w:type="spellEnd"/>
      <w:r>
        <w:t>.</w:t>
      </w:r>
    </w:p>
    <w:p w14:paraId="5CBEB5ED" w14:textId="77777777" w:rsidR="008A1AA7" w:rsidRDefault="00C01797" w:rsidP="00C01797">
      <w:pPr>
        <w:pStyle w:val="Heading5"/>
      </w:pPr>
      <w:r>
        <w:t>Sponsor’s response</w:t>
      </w:r>
      <w:r w:rsidR="008A1AA7">
        <w:t xml:space="preserve"> 2</w:t>
      </w:r>
    </w:p>
    <w:p w14:paraId="5CBEB5EE" w14:textId="77777777" w:rsidR="008A1AA7" w:rsidRDefault="008A1AA7" w:rsidP="00C01797">
      <w:r>
        <w:t xml:space="preserve">Please refer to </w:t>
      </w:r>
      <w:r w:rsidR="00C01797">
        <w:t xml:space="preserve">the sponsor’s </w:t>
      </w:r>
      <w:proofErr w:type="spellStart"/>
      <w:r>
        <w:t>Labeling</w:t>
      </w:r>
      <w:proofErr w:type="spellEnd"/>
      <w:r>
        <w:t xml:space="preserve"> Response document</w:t>
      </w:r>
      <w:r w:rsidR="00C01797">
        <w:t xml:space="preserve"> (not included here)</w:t>
      </w:r>
      <w:r>
        <w:t>.</w:t>
      </w:r>
    </w:p>
    <w:p w14:paraId="5CBEB5EF" w14:textId="77777777" w:rsidR="008A1AA7" w:rsidRDefault="00C01797" w:rsidP="00C01797">
      <w:pPr>
        <w:pStyle w:val="Heading5"/>
      </w:pPr>
      <w:r>
        <w:t xml:space="preserve">TGA Comment </w:t>
      </w:r>
      <w:r w:rsidR="008A1AA7">
        <w:t>3</w:t>
      </w:r>
    </w:p>
    <w:p w14:paraId="5CBEB5F0" w14:textId="77777777" w:rsidR="008A1AA7" w:rsidRDefault="008A1AA7" w:rsidP="00C01797">
      <w:r>
        <w:t>Multiple changes recommended for the Australian Product Information.</w:t>
      </w:r>
    </w:p>
    <w:p w14:paraId="5CBEB5F1" w14:textId="77777777" w:rsidR="008A1AA7" w:rsidRDefault="00C01797" w:rsidP="00C01797">
      <w:pPr>
        <w:pStyle w:val="Heading5"/>
      </w:pPr>
      <w:r w:rsidRPr="00C01797">
        <w:t>Sponsor’s response 2</w:t>
      </w:r>
    </w:p>
    <w:p w14:paraId="5CBEB5F2" w14:textId="77777777" w:rsidR="00C01797" w:rsidRDefault="00C01797" w:rsidP="00C01797">
      <w:r>
        <w:t xml:space="preserve">Please refer to the sponsor’s </w:t>
      </w:r>
      <w:proofErr w:type="spellStart"/>
      <w:r>
        <w:t>Labeling</w:t>
      </w:r>
      <w:proofErr w:type="spellEnd"/>
      <w:r>
        <w:t xml:space="preserve"> Response document (not included here).</w:t>
      </w:r>
    </w:p>
    <w:p w14:paraId="5CBEB5F3" w14:textId="77777777" w:rsidR="008A1AA7" w:rsidRDefault="008A1AA7" w:rsidP="00C01797">
      <w:pPr>
        <w:pStyle w:val="Heading5"/>
      </w:pPr>
      <w:r>
        <w:lastRenderedPageBreak/>
        <w:t>Delegates Request for ACM advice</w:t>
      </w:r>
      <w:r w:rsidR="00C01797">
        <w:t>.</w:t>
      </w:r>
      <w:r>
        <w:t xml:space="preserve"> Response to additional questions</w:t>
      </w:r>
    </w:p>
    <w:p w14:paraId="5CBEB5F4" w14:textId="77777777" w:rsidR="008A1AA7" w:rsidRDefault="00C01797" w:rsidP="00C01797">
      <w:pPr>
        <w:pStyle w:val="Heading6"/>
      </w:pPr>
      <w:r w:rsidRPr="00C01797">
        <w:t xml:space="preserve">TGA </w:t>
      </w:r>
      <w:r>
        <w:t>Question 1</w:t>
      </w:r>
    </w:p>
    <w:p w14:paraId="5CBEB5F5" w14:textId="77777777" w:rsidR="008A1AA7" w:rsidRPr="008436BB" w:rsidRDefault="008A1AA7" w:rsidP="008A1AA7">
      <w:pPr>
        <w:rPr>
          <w:i/>
        </w:rPr>
      </w:pPr>
      <w:r w:rsidRPr="008436BB">
        <w:rPr>
          <w:i/>
        </w:rPr>
        <w:t>Is an update available on the current status of KEYNOTE-204 including expected study completion and data submission?</w:t>
      </w:r>
    </w:p>
    <w:p w14:paraId="5CBEB5F6" w14:textId="77777777" w:rsidR="008A1AA7" w:rsidRDefault="00C01797" w:rsidP="00C01797">
      <w:pPr>
        <w:pStyle w:val="Heading6"/>
      </w:pPr>
      <w:r>
        <w:t>Sponsor’s response</w:t>
      </w:r>
    </w:p>
    <w:p w14:paraId="5CBEB5F7" w14:textId="0A28072B" w:rsidR="008A1AA7" w:rsidRDefault="008A1AA7" w:rsidP="008A1AA7">
      <w:r>
        <w:t>There is no data available for KEYNOTE-204 at this time. No planned analyses have yet been conducted.</w:t>
      </w:r>
    </w:p>
    <w:p w14:paraId="5CBEB5F8" w14:textId="77777777" w:rsidR="008A1AA7" w:rsidRDefault="008A1AA7" w:rsidP="008A1AA7">
      <w:r>
        <w:t xml:space="preserve">The results of the Phase </w:t>
      </w:r>
      <w:r w:rsidR="00C01797">
        <w:t>III</w:t>
      </w:r>
      <w:r>
        <w:t xml:space="preserve"> study KEYNOTE-204 will not be available until Q2 2021.</w:t>
      </w:r>
    </w:p>
    <w:p w14:paraId="5CBEB5F9" w14:textId="77777777" w:rsidR="00C01797" w:rsidRDefault="00C01797" w:rsidP="00C01797">
      <w:pPr>
        <w:pStyle w:val="Heading6"/>
      </w:pPr>
      <w:r w:rsidRPr="00C01797">
        <w:t xml:space="preserve">TGA </w:t>
      </w:r>
      <w:r>
        <w:t>Question 2</w:t>
      </w:r>
    </w:p>
    <w:p w14:paraId="5CBEB5FA" w14:textId="77777777" w:rsidR="008A1AA7" w:rsidRPr="008436BB" w:rsidRDefault="008A1AA7" w:rsidP="008A1AA7">
      <w:pPr>
        <w:rPr>
          <w:i/>
        </w:rPr>
      </w:pPr>
      <w:r w:rsidRPr="008436BB">
        <w:rPr>
          <w:i/>
        </w:rPr>
        <w:t xml:space="preserve">Please provide the baseline details in patients in cohort 3 of KEYNOTE-087 stratified by BV status (including age, sex, </w:t>
      </w:r>
      <w:proofErr w:type="spellStart"/>
      <w:r w:rsidRPr="008436BB">
        <w:rPr>
          <w:i/>
        </w:rPr>
        <w:t>etc</w:t>
      </w:r>
      <w:proofErr w:type="spellEnd"/>
      <w:r w:rsidRPr="008436BB">
        <w:rPr>
          <w:i/>
        </w:rPr>
        <w:t>). Please clarify any differences in outcomes in this cohort and please advise if any update to this data is available. As noted in the PI recommendations in attachment 2, please provide the TGA with your position on the proposed wording of the indication which includes BV status.</w:t>
      </w:r>
    </w:p>
    <w:p w14:paraId="5CBEB5FB" w14:textId="77777777" w:rsidR="008A1AA7" w:rsidRDefault="008436BB" w:rsidP="008436BB">
      <w:pPr>
        <w:pStyle w:val="Heading6"/>
      </w:pPr>
      <w:r w:rsidRPr="008436BB">
        <w:t xml:space="preserve">Sponsor’s response </w:t>
      </w:r>
      <w:r>
        <w:t xml:space="preserve">Question </w:t>
      </w:r>
      <w:r w:rsidRPr="008436BB">
        <w:t>2</w:t>
      </w:r>
    </w:p>
    <w:p w14:paraId="5CBEB5FC" w14:textId="77777777" w:rsidR="008A1AA7" w:rsidRPr="00C44A61" w:rsidRDefault="008A1AA7" w:rsidP="008A1AA7">
      <w:r>
        <w:t xml:space="preserve">The baseline subject characteristics by prior </w:t>
      </w:r>
      <w:r w:rsidRPr="00C44A61">
        <w:t xml:space="preserve">BV (yes or no) in Cohort 3 (Table </w:t>
      </w:r>
      <w:r w:rsidR="00C44A61" w:rsidRPr="00C44A61">
        <w:t>24</w:t>
      </w:r>
      <w:r w:rsidRPr="00C44A61">
        <w:t>) show general similarity across the groups with the exception of the subjects without prior BV have fewer lines of prior therapy than those with prior BV, as might be expected.</w:t>
      </w:r>
    </w:p>
    <w:p w14:paraId="5CBEB5FD" w14:textId="77777777" w:rsidR="008A1AA7" w:rsidRPr="00C44A61" w:rsidRDefault="008A1AA7" w:rsidP="008A1AA7">
      <w:r w:rsidRPr="00C44A61">
        <w:t>There have been no updated analyses of the outcomes of Cohort 3 by BV status since the Sept</w:t>
      </w:r>
      <w:r w:rsidR="008436BB" w:rsidRPr="00C44A61">
        <w:t>ember</w:t>
      </w:r>
      <w:r w:rsidRPr="00C44A61">
        <w:t xml:space="preserve"> 2016 data cut</w:t>
      </w:r>
      <w:r w:rsidR="008436BB" w:rsidRPr="00C44A61">
        <w:t>-</w:t>
      </w:r>
      <w:r w:rsidRPr="00C44A61">
        <w:t>off. The summary of efficacy for Cohort 3 by BV status is included here (Table 2</w:t>
      </w:r>
      <w:r w:rsidR="00C44A61" w:rsidRPr="00C44A61">
        <w:t>5</w:t>
      </w:r>
      <w:r w:rsidRPr="00C44A61">
        <w:t>).</w:t>
      </w:r>
    </w:p>
    <w:p w14:paraId="5CBEB5FE" w14:textId="77777777" w:rsidR="008A1AA7" w:rsidRDefault="008A1AA7" w:rsidP="008A1AA7">
      <w:r w:rsidRPr="00C44A61">
        <w:t>The efficacy results for the subgroups were generally similar</w:t>
      </w:r>
      <w:r>
        <w:t>.</w:t>
      </w:r>
    </w:p>
    <w:p w14:paraId="5CBEB5FF" w14:textId="77777777" w:rsidR="008A1AA7" w:rsidRDefault="008436BB" w:rsidP="008A1AA7">
      <w:r>
        <w:t>The s</w:t>
      </w:r>
      <w:r w:rsidR="008A1AA7">
        <w:t>ponsor proposes to retain the proposed indication:</w:t>
      </w:r>
    </w:p>
    <w:p w14:paraId="5CBEB600" w14:textId="77777777" w:rsidR="008A1AA7" w:rsidRPr="008436BB" w:rsidRDefault="00957DB3" w:rsidP="008436BB">
      <w:pPr>
        <w:ind w:left="425"/>
        <w:rPr>
          <w:i/>
        </w:rPr>
      </w:pPr>
      <w:proofErr w:type="spellStart"/>
      <w:r w:rsidRPr="008436BB">
        <w:rPr>
          <w:i/>
        </w:rPr>
        <w:t>Keytruda</w:t>
      </w:r>
      <w:proofErr w:type="spellEnd"/>
      <w:r w:rsidR="008A1AA7" w:rsidRPr="008436BB">
        <w:rPr>
          <w:i/>
        </w:rPr>
        <w:t xml:space="preserve"> as monotherapy is indicated for the treatment of adult patients with relapsed or refractory classical Hodgkin Lymphoma (</w:t>
      </w:r>
      <w:proofErr w:type="spellStart"/>
      <w:r w:rsidR="008A1AA7" w:rsidRPr="008436BB">
        <w:rPr>
          <w:i/>
        </w:rPr>
        <w:t>cHL</w:t>
      </w:r>
      <w:proofErr w:type="spellEnd"/>
      <w:r w:rsidR="008A1AA7" w:rsidRPr="008436BB">
        <w:rPr>
          <w:i/>
        </w:rPr>
        <w:t>):</w:t>
      </w:r>
    </w:p>
    <w:p w14:paraId="5CBEB601" w14:textId="77777777" w:rsidR="008A1AA7" w:rsidRPr="008436BB" w:rsidRDefault="008A1AA7" w:rsidP="005B2867">
      <w:pPr>
        <w:pStyle w:val="Numberbullet0"/>
        <w:numPr>
          <w:ilvl w:val="0"/>
          <w:numId w:val="25"/>
        </w:numPr>
        <w:ind w:left="850"/>
        <w:rPr>
          <w:i/>
        </w:rPr>
      </w:pPr>
      <w:r w:rsidRPr="008436BB">
        <w:rPr>
          <w:i/>
        </w:rPr>
        <w:t xml:space="preserve">following autologous stem cell transplant (ASCT) and </w:t>
      </w:r>
      <w:proofErr w:type="spellStart"/>
      <w:r w:rsidRPr="008436BB">
        <w:rPr>
          <w:i/>
        </w:rPr>
        <w:t>brentuximab</w:t>
      </w:r>
      <w:proofErr w:type="spellEnd"/>
      <w:r w:rsidRPr="008436BB">
        <w:rPr>
          <w:i/>
        </w:rPr>
        <w:t xml:space="preserve"> </w:t>
      </w:r>
      <w:proofErr w:type="spellStart"/>
      <w:r w:rsidRPr="008436BB">
        <w:rPr>
          <w:i/>
        </w:rPr>
        <w:t>vedotin</w:t>
      </w:r>
      <w:proofErr w:type="spellEnd"/>
      <w:r w:rsidRPr="008436BB">
        <w:rPr>
          <w:i/>
        </w:rPr>
        <w:t xml:space="preserve"> (BV) or</w:t>
      </w:r>
    </w:p>
    <w:p w14:paraId="5CBEB602" w14:textId="77777777" w:rsidR="008A1AA7" w:rsidRPr="008436BB" w:rsidRDefault="008A1AA7" w:rsidP="008436BB">
      <w:pPr>
        <w:pStyle w:val="Numberbullet0"/>
        <w:ind w:left="850"/>
        <w:rPr>
          <w:i/>
        </w:rPr>
      </w:pPr>
      <w:proofErr w:type="gramStart"/>
      <w:r w:rsidRPr="008436BB">
        <w:rPr>
          <w:i/>
        </w:rPr>
        <w:t>following</w:t>
      </w:r>
      <w:proofErr w:type="gramEnd"/>
      <w:r w:rsidRPr="008436BB">
        <w:rPr>
          <w:i/>
        </w:rPr>
        <w:t xml:space="preserve"> at least two prior therapies including </w:t>
      </w:r>
      <w:proofErr w:type="spellStart"/>
      <w:r w:rsidRPr="008436BB">
        <w:rPr>
          <w:i/>
        </w:rPr>
        <w:t>brentuximab</w:t>
      </w:r>
      <w:proofErr w:type="spellEnd"/>
      <w:r w:rsidRPr="008436BB">
        <w:rPr>
          <w:i/>
        </w:rPr>
        <w:t xml:space="preserve"> </w:t>
      </w:r>
      <w:proofErr w:type="spellStart"/>
      <w:r w:rsidRPr="008436BB">
        <w:rPr>
          <w:i/>
        </w:rPr>
        <w:t>vedotin</w:t>
      </w:r>
      <w:proofErr w:type="spellEnd"/>
      <w:r w:rsidRPr="008436BB">
        <w:rPr>
          <w:i/>
        </w:rPr>
        <w:t xml:space="preserve"> (BV) when ASCT or multi-agent chemotherapy is not a treatment option.</w:t>
      </w:r>
    </w:p>
    <w:p w14:paraId="5CBEB603" w14:textId="77777777" w:rsidR="008A1AA7" w:rsidRPr="008436BB" w:rsidRDefault="008A1AA7" w:rsidP="008436BB">
      <w:pPr>
        <w:ind w:left="425"/>
        <w:rPr>
          <w:i/>
        </w:rPr>
      </w:pPr>
      <w:r w:rsidRPr="008436BB">
        <w:rPr>
          <w:i/>
        </w:rPr>
        <w:t>The approval of this indication is on the basis of objective response rate (ORR). See CLINICAL TRIALS.</w:t>
      </w:r>
    </w:p>
    <w:p w14:paraId="5CBEB604" w14:textId="77777777" w:rsidR="008A1AA7" w:rsidRDefault="008A1AA7" w:rsidP="008A1AA7">
      <w:r>
        <w:t xml:space="preserve">The rationale for retaining the proposed indication </w:t>
      </w:r>
      <w:r w:rsidRPr="00C44A61">
        <w:t xml:space="preserve">is provided in the </w:t>
      </w:r>
      <w:r w:rsidR="00C44A61" w:rsidRPr="00C44A61">
        <w:t>Sponsor r</w:t>
      </w:r>
      <w:r w:rsidRPr="00C44A61">
        <w:t>esponse 1</w:t>
      </w:r>
      <w:r w:rsidR="00C44A61" w:rsidRPr="00C44A61">
        <w:t xml:space="preserve"> to TGA comment 1 above.</w:t>
      </w:r>
    </w:p>
    <w:p w14:paraId="5CBEB605" w14:textId="77777777" w:rsidR="008A1AA7" w:rsidRDefault="008A1AA7" w:rsidP="008436BB">
      <w:pPr>
        <w:pStyle w:val="Tabletitle0"/>
      </w:pPr>
      <w:r w:rsidRPr="008A1AA7">
        <w:t xml:space="preserve">Table </w:t>
      </w:r>
      <w:r w:rsidR="00C44A61">
        <w:t>24</w:t>
      </w:r>
      <w:r w:rsidR="008436BB">
        <w:t xml:space="preserve">: </w:t>
      </w:r>
      <w:r w:rsidRPr="008A1AA7">
        <w:t xml:space="preserve">Subject Characteristics </w:t>
      </w:r>
      <w:proofErr w:type="gramStart"/>
      <w:r w:rsidRPr="008A1AA7">
        <w:t>By</w:t>
      </w:r>
      <w:proofErr w:type="gramEnd"/>
      <w:r w:rsidRPr="008A1AA7">
        <w:t xml:space="preserve"> </w:t>
      </w:r>
      <w:proofErr w:type="spellStart"/>
      <w:r w:rsidRPr="008A1AA7">
        <w:t>Brentuximab</w:t>
      </w:r>
      <w:proofErr w:type="spellEnd"/>
      <w:r w:rsidRPr="008A1AA7">
        <w:t xml:space="preserve"> Use for Cohort 3 (</w:t>
      </w:r>
      <w:proofErr w:type="spellStart"/>
      <w:r w:rsidRPr="008A1AA7">
        <w:t>ASaT</w:t>
      </w:r>
      <w:proofErr w:type="spellEnd"/>
      <w:r w:rsidRPr="008A1AA7">
        <w:t xml:space="preserve"> Population)</w:t>
      </w:r>
    </w:p>
    <w:tbl>
      <w:tblPr>
        <w:tblW w:w="8789" w:type="dxa"/>
        <w:tblInd w:w="8" w:type="dxa"/>
        <w:tblLayout w:type="fixed"/>
        <w:tblCellMar>
          <w:left w:w="0" w:type="dxa"/>
          <w:right w:w="0" w:type="dxa"/>
        </w:tblCellMar>
        <w:tblLook w:val="0000" w:firstRow="0" w:lastRow="0" w:firstColumn="0" w:lastColumn="0" w:noHBand="0" w:noVBand="0"/>
        <w:tblDescription w:val="Table 24: Subject Characteristics By Brentuximab Use for Cohort 3 (ASaT Population)"/>
      </w:tblPr>
      <w:tblGrid>
        <w:gridCol w:w="2719"/>
        <w:gridCol w:w="924"/>
        <w:gridCol w:w="40"/>
        <w:gridCol w:w="1109"/>
        <w:gridCol w:w="924"/>
        <w:gridCol w:w="40"/>
        <w:gridCol w:w="1109"/>
        <w:gridCol w:w="924"/>
        <w:gridCol w:w="40"/>
        <w:gridCol w:w="960"/>
      </w:tblGrid>
      <w:tr w:rsidR="008436BB" w:rsidRPr="008436BB" w14:paraId="5CBEB60B" w14:textId="77777777" w:rsidTr="00D92572">
        <w:trPr>
          <w:cantSplit/>
          <w:trHeight w:val="212"/>
          <w:tblHeader/>
        </w:trPr>
        <w:tc>
          <w:tcPr>
            <w:tcW w:w="2719" w:type="dxa"/>
            <w:vMerge w:val="restart"/>
            <w:tcBorders>
              <w:top w:val="single" w:sz="6" w:space="0" w:color="000000"/>
              <w:left w:val="single" w:sz="6" w:space="0" w:color="000000"/>
              <w:bottom w:val="single" w:sz="2" w:space="0" w:color="000000"/>
              <w:right w:val="single" w:sz="2" w:space="0" w:color="000000"/>
            </w:tcBorders>
            <w:shd w:val="clear" w:color="auto" w:fill="0070C0"/>
          </w:tcPr>
          <w:p w14:paraId="5CBEB606" w14:textId="77777777" w:rsidR="008A1AA7" w:rsidRPr="008436BB" w:rsidRDefault="008A1AA7" w:rsidP="008436BB">
            <w:pPr>
              <w:spacing w:before="0" w:after="0" w:line="360" w:lineRule="auto"/>
              <w:ind w:left="113"/>
              <w:rPr>
                <w:b/>
                <w:color w:val="FFFFFF" w:themeColor="background1"/>
                <w:sz w:val="18"/>
                <w:szCs w:val="18"/>
              </w:rPr>
            </w:pPr>
          </w:p>
        </w:tc>
        <w:tc>
          <w:tcPr>
            <w:tcW w:w="2073" w:type="dxa"/>
            <w:gridSpan w:val="3"/>
            <w:tcBorders>
              <w:top w:val="single" w:sz="6" w:space="0" w:color="000000"/>
              <w:left w:val="single" w:sz="2" w:space="0" w:color="000000"/>
              <w:bottom w:val="none" w:sz="6" w:space="0" w:color="auto"/>
              <w:right w:val="single" w:sz="2" w:space="0" w:color="000000"/>
            </w:tcBorders>
            <w:shd w:val="clear" w:color="auto" w:fill="0070C0"/>
          </w:tcPr>
          <w:p w14:paraId="5CBEB607"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Yes</w:t>
            </w:r>
          </w:p>
        </w:tc>
        <w:tc>
          <w:tcPr>
            <w:tcW w:w="964" w:type="dxa"/>
            <w:gridSpan w:val="2"/>
            <w:tcBorders>
              <w:top w:val="single" w:sz="6" w:space="0" w:color="000000"/>
              <w:left w:val="single" w:sz="2" w:space="0" w:color="000000"/>
              <w:bottom w:val="none" w:sz="6" w:space="0" w:color="auto"/>
              <w:right w:val="none" w:sz="6" w:space="0" w:color="auto"/>
            </w:tcBorders>
            <w:shd w:val="clear" w:color="auto" w:fill="0070C0"/>
          </w:tcPr>
          <w:p w14:paraId="5CBEB608" w14:textId="77777777" w:rsidR="008A1AA7" w:rsidRPr="008436BB" w:rsidRDefault="008A1AA7" w:rsidP="008436BB">
            <w:pPr>
              <w:spacing w:before="0" w:after="0" w:line="360" w:lineRule="auto"/>
              <w:ind w:left="113"/>
              <w:rPr>
                <w:b/>
                <w:color w:val="FFFFFF" w:themeColor="background1"/>
                <w:sz w:val="18"/>
                <w:szCs w:val="18"/>
              </w:rPr>
            </w:pPr>
          </w:p>
        </w:tc>
        <w:tc>
          <w:tcPr>
            <w:tcW w:w="1109" w:type="dxa"/>
            <w:tcBorders>
              <w:top w:val="single" w:sz="6" w:space="0" w:color="000000"/>
              <w:left w:val="none" w:sz="6" w:space="0" w:color="auto"/>
              <w:bottom w:val="none" w:sz="6" w:space="0" w:color="auto"/>
              <w:right w:val="single" w:sz="2" w:space="0" w:color="000000"/>
            </w:tcBorders>
            <w:shd w:val="clear" w:color="auto" w:fill="0070C0"/>
          </w:tcPr>
          <w:p w14:paraId="5CBEB609"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No</w:t>
            </w:r>
          </w:p>
        </w:tc>
        <w:tc>
          <w:tcPr>
            <w:tcW w:w="1924" w:type="dxa"/>
            <w:gridSpan w:val="3"/>
            <w:tcBorders>
              <w:top w:val="single" w:sz="6" w:space="0" w:color="000000"/>
              <w:left w:val="single" w:sz="2" w:space="0" w:color="000000"/>
              <w:bottom w:val="none" w:sz="6" w:space="0" w:color="auto"/>
              <w:right w:val="single" w:sz="6" w:space="0" w:color="000000"/>
            </w:tcBorders>
            <w:shd w:val="clear" w:color="auto" w:fill="0070C0"/>
          </w:tcPr>
          <w:p w14:paraId="5CBEB60A"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Total</w:t>
            </w:r>
          </w:p>
        </w:tc>
      </w:tr>
      <w:tr w:rsidR="008436BB" w:rsidRPr="008436BB" w14:paraId="5CBEB613" w14:textId="77777777" w:rsidTr="00D92572">
        <w:trPr>
          <w:cantSplit/>
          <w:trHeight w:val="211"/>
          <w:tblHeader/>
        </w:trPr>
        <w:tc>
          <w:tcPr>
            <w:tcW w:w="2719" w:type="dxa"/>
            <w:vMerge/>
            <w:tcBorders>
              <w:top w:val="nil"/>
              <w:left w:val="single" w:sz="6" w:space="0" w:color="000000"/>
              <w:bottom w:val="single" w:sz="2" w:space="0" w:color="000000"/>
              <w:right w:val="single" w:sz="2" w:space="0" w:color="000000"/>
            </w:tcBorders>
            <w:shd w:val="clear" w:color="auto" w:fill="0070C0"/>
          </w:tcPr>
          <w:p w14:paraId="5CBEB60C" w14:textId="77777777" w:rsidR="008A1AA7" w:rsidRPr="008436BB" w:rsidRDefault="008A1AA7" w:rsidP="008436BB">
            <w:pPr>
              <w:spacing w:before="0" w:after="0" w:line="360" w:lineRule="auto"/>
              <w:ind w:left="113"/>
              <w:rPr>
                <w:b/>
                <w:color w:val="FFFFFF" w:themeColor="background1"/>
                <w:sz w:val="18"/>
                <w:szCs w:val="18"/>
              </w:rPr>
            </w:pPr>
          </w:p>
        </w:tc>
        <w:tc>
          <w:tcPr>
            <w:tcW w:w="964" w:type="dxa"/>
            <w:gridSpan w:val="2"/>
            <w:tcBorders>
              <w:top w:val="none" w:sz="6" w:space="0" w:color="auto"/>
              <w:left w:val="single" w:sz="2" w:space="0" w:color="000000"/>
              <w:bottom w:val="single" w:sz="2" w:space="0" w:color="000000"/>
              <w:right w:val="none" w:sz="6" w:space="0" w:color="auto"/>
            </w:tcBorders>
            <w:shd w:val="clear" w:color="auto" w:fill="0070C0"/>
          </w:tcPr>
          <w:p w14:paraId="5CBEB60D"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n</w:t>
            </w:r>
          </w:p>
        </w:tc>
        <w:tc>
          <w:tcPr>
            <w:tcW w:w="1109" w:type="dxa"/>
            <w:tcBorders>
              <w:top w:val="none" w:sz="6" w:space="0" w:color="auto"/>
              <w:left w:val="none" w:sz="6" w:space="0" w:color="auto"/>
              <w:bottom w:val="single" w:sz="2" w:space="0" w:color="000000"/>
              <w:right w:val="single" w:sz="2" w:space="0" w:color="000000"/>
            </w:tcBorders>
            <w:shd w:val="clear" w:color="auto" w:fill="0070C0"/>
          </w:tcPr>
          <w:p w14:paraId="5CBEB60E"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w:t>
            </w:r>
          </w:p>
        </w:tc>
        <w:tc>
          <w:tcPr>
            <w:tcW w:w="964" w:type="dxa"/>
            <w:gridSpan w:val="2"/>
            <w:tcBorders>
              <w:top w:val="none" w:sz="6" w:space="0" w:color="auto"/>
              <w:left w:val="single" w:sz="2" w:space="0" w:color="000000"/>
              <w:bottom w:val="single" w:sz="2" w:space="0" w:color="000000"/>
              <w:right w:val="none" w:sz="6" w:space="0" w:color="auto"/>
            </w:tcBorders>
            <w:shd w:val="clear" w:color="auto" w:fill="0070C0"/>
          </w:tcPr>
          <w:p w14:paraId="5CBEB60F"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n</w:t>
            </w:r>
          </w:p>
        </w:tc>
        <w:tc>
          <w:tcPr>
            <w:tcW w:w="1109" w:type="dxa"/>
            <w:tcBorders>
              <w:top w:val="none" w:sz="6" w:space="0" w:color="auto"/>
              <w:left w:val="none" w:sz="6" w:space="0" w:color="auto"/>
              <w:bottom w:val="single" w:sz="2" w:space="0" w:color="000000"/>
              <w:right w:val="single" w:sz="2" w:space="0" w:color="000000"/>
            </w:tcBorders>
            <w:shd w:val="clear" w:color="auto" w:fill="0070C0"/>
          </w:tcPr>
          <w:p w14:paraId="5CBEB610"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w:t>
            </w:r>
          </w:p>
        </w:tc>
        <w:tc>
          <w:tcPr>
            <w:tcW w:w="964" w:type="dxa"/>
            <w:gridSpan w:val="2"/>
            <w:tcBorders>
              <w:top w:val="none" w:sz="6" w:space="0" w:color="auto"/>
              <w:left w:val="single" w:sz="2" w:space="0" w:color="000000"/>
              <w:bottom w:val="single" w:sz="2" w:space="0" w:color="000000"/>
              <w:right w:val="none" w:sz="6" w:space="0" w:color="auto"/>
            </w:tcBorders>
            <w:shd w:val="clear" w:color="auto" w:fill="0070C0"/>
          </w:tcPr>
          <w:p w14:paraId="5CBEB611"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n</w:t>
            </w:r>
          </w:p>
        </w:tc>
        <w:tc>
          <w:tcPr>
            <w:tcW w:w="960" w:type="dxa"/>
            <w:tcBorders>
              <w:top w:val="none" w:sz="6" w:space="0" w:color="auto"/>
              <w:left w:val="none" w:sz="6" w:space="0" w:color="auto"/>
              <w:bottom w:val="single" w:sz="2" w:space="0" w:color="000000"/>
              <w:right w:val="single" w:sz="6" w:space="0" w:color="000000"/>
            </w:tcBorders>
            <w:shd w:val="clear" w:color="auto" w:fill="0070C0"/>
          </w:tcPr>
          <w:p w14:paraId="5CBEB612" w14:textId="77777777" w:rsidR="008A1AA7" w:rsidRPr="008436BB" w:rsidRDefault="008A1AA7" w:rsidP="008436BB">
            <w:pPr>
              <w:spacing w:before="0" w:after="0" w:line="360" w:lineRule="auto"/>
              <w:ind w:left="113"/>
              <w:rPr>
                <w:b/>
                <w:color w:val="FFFFFF" w:themeColor="background1"/>
                <w:sz w:val="18"/>
                <w:szCs w:val="18"/>
              </w:rPr>
            </w:pPr>
            <w:r w:rsidRPr="008436BB">
              <w:rPr>
                <w:b/>
                <w:color w:val="FFFFFF" w:themeColor="background1"/>
                <w:sz w:val="18"/>
                <w:szCs w:val="18"/>
              </w:rPr>
              <w:t>(%)</w:t>
            </w:r>
          </w:p>
        </w:tc>
      </w:tr>
      <w:tr w:rsidR="008A1AA7" w:rsidRPr="008436BB" w14:paraId="5CBEB618" w14:textId="77777777" w:rsidTr="00D92572">
        <w:trPr>
          <w:trHeight w:val="304"/>
        </w:trPr>
        <w:tc>
          <w:tcPr>
            <w:tcW w:w="2719" w:type="dxa"/>
            <w:tcBorders>
              <w:top w:val="single" w:sz="2" w:space="0" w:color="000000"/>
              <w:left w:val="single" w:sz="6" w:space="0" w:color="000000"/>
              <w:bottom w:val="single" w:sz="2" w:space="0" w:color="000000"/>
              <w:right w:val="single" w:sz="2" w:space="0" w:color="000000"/>
            </w:tcBorders>
          </w:tcPr>
          <w:p w14:paraId="5CBEB614" w14:textId="77777777" w:rsidR="008A1AA7" w:rsidRPr="008436BB" w:rsidRDefault="008A1AA7" w:rsidP="008436BB">
            <w:pPr>
              <w:spacing w:before="0" w:after="0" w:line="360" w:lineRule="auto"/>
              <w:ind w:left="113"/>
              <w:rPr>
                <w:sz w:val="18"/>
                <w:szCs w:val="18"/>
              </w:rPr>
            </w:pPr>
            <w:r w:rsidRPr="008436BB">
              <w:rPr>
                <w:sz w:val="18"/>
                <w:szCs w:val="18"/>
              </w:rPr>
              <w:t>Subjects in population</w:t>
            </w:r>
          </w:p>
        </w:tc>
        <w:tc>
          <w:tcPr>
            <w:tcW w:w="2073" w:type="dxa"/>
            <w:gridSpan w:val="3"/>
            <w:tcBorders>
              <w:top w:val="single" w:sz="2" w:space="0" w:color="000000"/>
              <w:left w:val="single" w:sz="2" w:space="0" w:color="000000"/>
              <w:bottom w:val="single" w:sz="2" w:space="0" w:color="000000"/>
              <w:right w:val="single" w:sz="2" w:space="0" w:color="000000"/>
            </w:tcBorders>
          </w:tcPr>
          <w:p w14:paraId="5CBEB615" w14:textId="77777777" w:rsidR="008A1AA7" w:rsidRPr="008436BB" w:rsidRDefault="008A1AA7" w:rsidP="008436BB">
            <w:pPr>
              <w:spacing w:before="0" w:after="0" w:line="360" w:lineRule="auto"/>
              <w:ind w:left="113"/>
              <w:rPr>
                <w:sz w:val="18"/>
                <w:szCs w:val="18"/>
              </w:rPr>
            </w:pPr>
            <w:r w:rsidRPr="008436BB">
              <w:rPr>
                <w:sz w:val="18"/>
                <w:szCs w:val="18"/>
              </w:rPr>
              <w:t>25</w:t>
            </w:r>
          </w:p>
        </w:tc>
        <w:tc>
          <w:tcPr>
            <w:tcW w:w="2073" w:type="dxa"/>
            <w:gridSpan w:val="3"/>
            <w:tcBorders>
              <w:top w:val="single" w:sz="2" w:space="0" w:color="000000"/>
              <w:left w:val="single" w:sz="2" w:space="0" w:color="000000"/>
              <w:bottom w:val="single" w:sz="2" w:space="0" w:color="000000"/>
              <w:right w:val="single" w:sz="2" w:space="0" w:color="000000"/>
            </w:tcBorders>
          </w:tcPr>
          <w:p w14:paraId="5CBEB616"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924" w:type="dxa"/>
            <w:gridSpan w:val="3"/>
            <w:tcBorders>
              <w:top w:val="single" w:sz="2" w:space="0" w:color="000000"/>
              <w:left w:val="single" w:sz="2" w:space="0" w:color="000000"/>
              <w:bottom w:val="single" w:sz="2" w:space="0" w:color="000000"/>
              <w:right w:val="single" w:sz="6" w:space="0" w:color="000000"/>
            </w:tcBorders>
          </w:tcPr>
          <w:p w14:paraId="5CBEB617" w14:textId="77777777" w:rsidR="008A1AA7" w:rsidRPr="008436BB" w:rsidRDefault="008A1AA7" w:rsidP="008436BB">
            <w:pPr>
              <w:spacing w:before="0" w:after="0" w:line="360" w:lineRule="auto"/>
              <w:ind w:left="113"/>
              <w:rPr>
                <w:sz w:val="18"/>
                <w:szCs w:val="18"/>
              </w:rPr>
            </w:pPr>
            <w:r w:rsidRPr="008436BB">
              <w:rPr>
                <w:sz w:val="18"/>
                <w:szCs w:val="18"/>
              </w:rPr>
              <w:t>60</w:t>
            </w:r>
          </w:p>
        </w:tc>
      </w:tr>
      <w:tr w:rsidR="008A1AA7" w:rsidRPr="008436BB" w14:paraId="5CBEB61A"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619" w14:textId="77777777" w:rsidR="008A1AA7" w:rsidRPr="008436BB" w:rsidRDefault="008A1AA7" w:rsidP="008436BB">
            <w:pPr>
              <w:spacing w:before="0" w:after="0" w:line="360" w:lineRule="auto"/>
              <w:ind w:left="113"/>
              <w:rPr>
                <w:b/>
                <w:bCs/>
                <w:sz w:val="18"/>
                <w:szCs w:val="18"/>
              </w:rPr>
            </w:pPr>
            <w:r w:rsidRPr="008436BB">
              <w:rPr>
                <w:b/>
                <w:bCs/>
                <w:sz w:val="18"/>
                <w:szCs w:val="18"/>
              </w:rPr>
              <w:t>Gender</w:t>
            </w:r>
          </w:p>
        </w:tc>
      </w:tr>
      <w:tr w:rsidR="008A1AA7" w:rsidRPr="008436BB" w14:paraId="5CBEB622"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61B" w14:textId="77777777" w:rsidR="008A1AA7" w:rsidRPr="008436BB" w:rsidRDefault="008A1AA7" w:rsidP="008436BB">
            <w:pPr>
              <w:spacing w:before="0" w:after="0" w:line="360" w:lineRule="auto"/>
              <w:ind w:left="113"/>
              <w:rPr>
                <w:sz w:val="18"/>
                <w:szCs w:val="18"/>
              </w:rPr>
            </w:pPr>
            <w:r w:rsidRPr="008436BB">
              <w:rPr>
                <w:sz w:val="18"/>
                <w:szCs w:val="18"/>
              </w:rPr>
              <w:t>Male</w:t>
            </w:r>
          </w:p>
        </w:tc>
        <w:tc>
          <w:tcPr>
            <w:tcW w:w="964" w:type="dxa"/>
            <w:gridSpan w:val="2"/>
            <w:tcBorders>
              <w:top w:val="single" w:sz="2" w:space="0" w:color="000000"/>
              <w:left w:val="single" w:sz="2" w:space="0" w:color="000000"/>
              <w:bottom w:val="none" w:sz="6" w:space="0" w:color="auto"/>
              <w:right w:val="none" w:sz="6" w:space="0" w:color="auto"/>
            </w:tcBorders>
          </w:tcPr>
          <w:p w14:paraId="5CBEB61C" w14:textId="77777777" w:rsidR="008A1AA7" w:rsidRPr="008436BB" w:rsidRDefault="008A1AA7" w:rsidP="008436BB">
            <w:pPr>
              <w:spacing w:before="0" w:after="0" w:line="360" w:lineRule="auto"/>
              <w:ind w:left="113"/>
              <w:rPr>
                <w:sz w:val="18"/>
                <w:szCs w:val="18"/>
              </w:rPr>
            </w:pPr>
            <w:r w:rsidRPr="008436BB">
              <w:rPr>
                <w:sz w:val="18"/>
                <w:szCs w:val="18"/>
              </w:rPr>
              <w:t>14</w:t>
            </w:r>
          </w:p>
        </w:tc>
        <w:tc>
          <w:tcPr>
            <w:tcW w:w="1109" w:type="dxa"/>
            <w:tcBorders>
              <w:top w:val="single" w:sz="2" w:space="0" w:color="000000"/>
              <w:left w:val="none" w:sz="6" w:space="0" w:color="auto"/>
              <w:bottom w:val="none" w:sz="6" w:space="0" w:color="auto"/>
              <w:right w:val="single" w:sz="2" w:space="0" w:color="000000"/>
            </w:tcBorders>
          </w:tcPr>
          <w:p w14:paraId="5CBEB61D" w14:textId="77777777" w:rsidR="008A1AA7" w:rsidRPr="008436BB" w:rsidRDefault="008A1AA7" w:rsidP="008436BB">
            <w:pPr>
              <w:spacing w:before="0" w:after="0" w:line="360" w:lineRule="auto"/>
              <w:ind w:left="113"/>
              <w:rPr>
                <w:sz w:val="18"/>
                <w:szCs w:val="18"/>
              </w:rPr>
            </w:pPr>
            <w:r w:rsidRPr="008436BB">
              <w:rPr>
                <w:sz w:val="18"/>
                <w:szCs w:val="18"/>
              </w:rPr>
              <w:t>(56.0)</w:t>
            </w:r>
          </w:p>
        </w:tc>
        <w:tc>
          <w:tcPr>
            <w:tcW w:w="964" w:type="dxa"/>
            <w:gridSpan w:val="2"/>
            <w:tcBorders>
              <w:top w:val="single" w:sz="2" w:space="0" w:color="000000"/>
              <w:left w:val="single" w:sz="2" w:space="0" w:color="000000"/>
              <w:bottom w:val="none" w:sz="6" w:space="0" w:color="auto"/>
              <w:right w:val="none" w:sz="6" w:space="0" w:color="auto"/>
            </w:tcBorders>
          </w:tcPr>
          <w:p w14:paraId="5CBEB61E" w14:textId="77777777" w:rsidR="008A1AA7" w:rsidRPr="008436BB" w:rsidRDefault="008A1AA7" w:rsidP="008436BB">
            <w:pPr>
              <w:spacing w:before="0" w:after="0" w:line="360" w:lineRule="auto"/>
              <w:ind w:left="113"/>
              <w:rPr>
                <w:sz w:val="18"/>
                <w:szCs w:val="18"/>
              </w:rPr>
            </w:pPr>
            <w:r w:rsidRPr="008436BB">
              <w:rPr>
                <w:sz w:val="18"/>
                <w:szCs w:val="18"/>
              </w:rPr>
              <w:t>20</w:t>
            </w:r>
          </w:p>
        </w:tc>
        <w:tc>
          <w:tcPr>
            <w:tcW w:w="1109" w:type="dxa"/>
            <w:tcBorders>
              <w:top w:val="single" w:sz="2" w:space="0" w:color="000000"/>
              <w:left w:val="none" w:sz="6" w:space="0" w:color="auto"/>
              <w:bottom w:val="none" w:sz="6" w:space="0" w:color="auto"/>
              <w:right w:val="single" w:sz="2" w:space="0" w:color="000000"/>
            </w:tcBorders>
          </w:tcPr>
          <w:p w14:paraId="5CBEB61F" w14:textId="77777777" w:rsidR="008A1AA7" w:rsidRPr="008436BB" w:rsidRDefault="008A1AA7" w:rsidP="008436BB">
            <w:pPr>
              <w:spacing w:before="0" w:after="0" w:line="360" w:lineRule="auto"/>
              <w:ind w:left="113"/>
              <w:rPr>
                <w:sz w:val="18"/>
                <w:szCs w:val="18"/>
              </w:rPr>
            </w:pPr>
            <w:r w:rsidRPr="008436BB">
              <w:rPr>
                <w:sz w:val="18"/>
                <w:szCs w:val="18"/>
              </w:rPr>
              <w:t>(57.1)</w:t>
            </w:r>
          </w:p>
        </w:tc>
        <w:tc>
          <w:tcPr>
            <w:tcW w:w="964" w:type="dxa"/>
            <w:gridSpan w:val="2"/>
            <w:tcBorders>
              <w:top w:val="single" w:sz="2" w:space="0" w:color="000000"/>
              <w:left w:val="single" w:sz="2" w:space="0" w:color="000000"/>
              <w:bottom w:val="none" w:sz="6" w:space="0" w:color="auto"/>
              <w:right w:val="none" w:sz="6" w:space="0" w:color="auto"/>
            </w:tcBorders>
          </w:tcPr>
          <w:p w14:paraId="5CBEB620" w14:textId="77777777" w:rsidR="008A1AA7" w:rsidRPr="008436BB" w:rsidRDefault="008A1AA7" w:rsidP="008436BB">
            <w:pPr>
              <w:spacing w:before="0" w:after="0" w:line="360" w:lineRule="auto"/>
              <w:ind w:left="113"/>
              <w:rPr>
                <w:sz w:val="18"/>
                <w:szCs w:val="18"/>
              </w:rPr>
            </w:pPr>
            <w:r w:rsidRPr="008436BB">
              <w:rPr>
                <w:sz w:val="18"/>
                <w:szCs w:val="18"/>
              </w:rPr>
              <w:t>34</w:t>
            </w:r>
          </w:p>
        </w:tc>
        <w:tc>
          <w:tcPr>
            <w:tcW w:w="960" w:type="dxa"/>
            <w:tcBorders>
              <w:top w:val="single" w:sz="2" w:space="0" w:color="000000"/>
              <w:left w:val="none" w:sz="6" w:space="0" w:color="auto"/>
              <w:bottom w:val="none" w:sz="6" w:space="0" w:color="auto"/>
              <w:right w:val="single" w:sz="6" w:space="0" w:color="000000"/>
            </w:tcBorders>
          </w:tcPr>
          <w:p w14:paraId="5CBEB621" w14:textId="77777777" w:rsidR="008A1AA7" w:rsidRPr="008436BB" w:rsidRDefault="008A1AA7" w:rsidP="008436BB">
            <w:pPr>
              <w:spacing w:before="0" w:after="0" w:line="360" w:lineRule="auto"/>
              <w:ind w:left="113"/>
              <w:rPr>
                <w:sz w:val="18"/>
                <w:szCs w:val="18"/>
              </w:rPr>
            </w:pPr>
            <w:r w:rsidRPr="008436BB">
              <w:rPr>
                <w:sz w:val="18"/>
                <w:szCs w:val="18"/>
              </w:rPr>
              <w:t>(56.7)</w:t>
            </w:r>
          </w:p>
        </w:tc>
      </w:tr>
      <w:tr w:rsidR="008A1AA7" w:rsidRPr="008436BB" w14:paraId="5CBEB62A" w14:textId="77777777" w:rsidTr="00D92572">
        <w:trPr>
          <w:trHeight w:val="280"/>
        </w:trPr>
        <w:tc>
          <w:tcPr>
            <w:tcW w:w="2719" w:type="dxa"/>
            <w:tcBorders>
              <w:top w:val="none" w:sz="6" w:space="0" w:color="auto"/>
              <w:left w:val="single" w:sz="6" w:space="0" w:color="000000"/>
              <w:bottom w:val="single" w:sz="2" w:space="0" w:color="000000"/>
              <w:right w:val="single" w:sz="2" w:space="0" w:color="000000"/>
            </w:tcBorders>
          </w:tcPr>
          <w:p w14:paraId="5CBEB623" w14:textId="77777777" w:rsidR="008A1AA7" w:rsidRPr="008436BB" w:rsidRDefault="008A1AA7" w:rsidP="008436BB">
            <w:pPr>
              <w:spacing w:before="0" w:after="0" w:line="360" w:lineRule="auto"/>
              <w:ind w:left="113"/>
              <w:rPr>
                <w:sz w:val="18"/>
                <w:szCs w:val="18"/>
              </w:rPr>
            </w:pPr>
            <w:r w:rsidRPr="008436BB">
              <w:rPr>
                <w:sz w:val="18"/>
                <w:szCs w:val="18"/>
              </w:rPr>
              <w:t>Female</w:t>
            </w:r>
          </w:p>
        </w:tc>
        <w:tc>
          <w:tcPr>
            <w:tcW w:w="964" w:type="dxa"/>
            <w:gridSpan w:val="2"/>
            <w:tcBorders>
              <w:top w:val="none" w:sz="6" w:space="0" w:color="auto"/>
              <w:left w:val="single" w:sz="2" w:space="0" w:color="000000"/>
              <w:bottom w:val="single" w:sz="2" w:space="0" w:color="000000"/>
              <w:right w:val="none" w:sz="6" w:space="0" w:color="auto"/>
            </w:tcBorders>
          </w:tcPr>
          <w:p w14:paraId="5CBEB624" w14:textId="77777777" w:rsidR="008A1AA7" w:rsidRPr="008436BB" w:rsidRDefault="008A1AA7" w:rsidP="008436BB">
            <w:pPr>
              <w:spacing w:before="0" w:after="0" w:line="360" w:lineRule="auto"/>
              <w:ind w:left="113"/>
              <w:rPr>
                <w:sz w:val="18"/>
                <w:szCs w:val="18"/>
              </w:rPr>
            </w:pPr>
            <w:r w:rsidRPr="008436BB">
              <w:rPr>
                <w:sz w:val="18"/>
                <w:szCs w:val="18"/>
              </w:rPr>
              <w:t>11</w:t>
            </w:r>
          </w:p>
        </w:tc>
        <w:tc>
          <w:tcPr>
            <w:tcW w:w="1109" w:type="dxa"/>
            <w:tcBorders>
              <w:top w:val="none" w:sz="6" w:space="0" w:color="auto"/>
              <w:left w:val="none" w:sz="6" w:space="0" w:color="auto"/>
              <w:bottom w:val="single" w:sz="2" w:space="0" w:color="000000"/>
              <w:right w:val="single" w:sz="2" w:space="0" w:color="000000"/>
            </w:tcBorders>
          </w:tcPr>
          <w:p w14:paraId="5CBEB625" w14:textId="77777777" w:rsidR="008A1AA7" w:rsidRPr="008436BB" w:rsidRDefault="008A1AA7" w:rsidP="008436BB">
            <w:pPr>
              <w:spacing w:before="0" w:after="0" w:line="360" w:lineRule="auto"/>
              <w:ind w:left="113"/>
              <w:rPr>
                <w:sz w:val="18"/>
                <w:szCs w:val="18"/>
              </w:rPr>
            </w:pPr>
            <w:r w:rsidRPr="008436BB">
              <w:rPr>
                <w:sz w:val="18"/>
                <w:szCs w:val="18"/>
              </w:rPr>
              <w:t>(44.0)</w:t>
            </w:r>
          </w:p>
        </w:tc>
        <w:tc>
          <w:tcPr>
            <w:tcW w:w="964" w:type="dxa"/>
            <w:gridSpan w:val="2"/>
            <w:tcBorders>
              <w:top w:val="none" w:sz="6" w:space="0" w:color="auto"/>
              <w:left w:val="single" w:sz="2" w:space="0" w:color="000000"/>
              <w:bottom w:val="single" w:sz="2" w:space="0" w:color="000000"/>
              <w:right w:val="none" w:sz="6" w:space="0" w:color="auto"/>
            </w:tcBorders>
          </w:tcPr>
          <w:p w14:paraId="5CBEB626" w14:textId="77777777" w:rsidR="008A1AA7" w:rsidRPr="008436BB" w:rsidRDefault="008A1AA7" w:rsidP="008436BB">
            <w:pPr>
              <w:spacing w:before="0" w:after="0" w:line="360" w:lineRule="auto"/>
              <w:ind w:left="113"/>
              <w:rPr>
                <w:sz w:val="18"/>
                <w:szCs w:val="18"/>
              </w:rPr>
            </w:pPr>
            <w:r w:rsidRPr="008436BB">
              <w:rPr>
                <w:sz w:val="18"/>
                <w:szCs w:val="18"/>
              </w:rPr>
              <w:t>15</w:t>
            </w:r>
          </w:p>
        </w:tc>
        <w:tc>
          <w:tcPr>
            <w:tcW w:w="1109" w:type="dxa"/>
            <w:tcBorders>
              <w:top w:val="none" w:sz="6" w:space="0" w:color="auto"/>
              <w:left w:val="none" w:sz="6" w:space="0" w:color="auto"/>
              <w:bottom w:val="single" w:sz="2" w:space="0" w:color="000000"/>
              <w:right w:val="single" w:sz="2" w:space="0" w:color="000000"/>
            </w:tcBorders>
          </w:tcPr>
          <w:p w14:paraId="5CBEB627" w14:textId="77777777" w:rsidR="008A1AA7" w:rsidRPr="008436BB" w:rsidRDefault="008A1AA7" w:rsidP="008436BB">
            <w:pPr>
              <w:spacing w:before="0" w:after="0" w:line="360" w:lineRule="auto"/>
              <w:ind w:left="113"/>
              <w:rPr>
                <w:sz w:val="18"/>
                <w:szCs w:val="18"/>
              </w:rPr>
            </w:pPr>
            <w:r w:rsidRPr="008436BB">
              <w:rPr>
                <w:sz w:val="18"/>
                <w:szCs w:val="18"/>
              </w:rPr>
              <w:t>(42.9)</w:t>
            </w:r>
          </w:p>
        </w:tc>
        <w:tc>
          <w:tcPr>
            <w:tcW w:w="964" w:type="dxa"/>
            <w:gridSpan w:val="2"/>
            <w:tcBorders>
              <w:top w:val="none" w:sz="6" w:space="0" w:color="auto"/>
              <w:left w:val="single" w:sz="2" w:space="0" w:color="000000"/>
              <w:bottom w:val="single" w:sz="2" w:space="0" w:color="000000"/>
              <w:right w:val="none" w:sz="6" w:space="0" w:color="auto"/>
            </w:tcBorders>
          </w:tcPr>
          <w:p w14:paraId="5CBEB628" w14:textId="77777777" w:rsidR="008A1AA7" w:rsidRPr="008436BB" w:rsidRDefault="008A1AA7" w:rsidP="008436BB">
            <w:pPr>
              <w:spacing w:before="0" w:after="0" w:line="360" w:lineRule="auto"/>
              <w:ind w:left="113"/>
              <w:rPr>
                <w:sz w:val="18"/>
                <w:szCs w:val="18"/>
              </w:rPr>
            </w:pPr>
            <w:r w:rsidRPr="008436BB">
              <w:rPr>
                <w:sz w:val="18"/>
                <w:szCs w:val="18"/>
              </w:rPr>
              <w:t>26</w:t>
            </w:r>
          </w:p>
        </w:tc>
        <w:tc>
          <w:tcPr>
            <w:tcW w:w="960" w:type="dxa"/>
            <w:tcBorders>
              <w:top w:val="none" w:sz="6" w:space="0" w:color="auto"/>
              <w:left w:val="none" w:sz="6" w:space="0" w:color="auto"/>
              <w:bottom w:val="single" w:sz="2" w:space="0" w:color="000000"/>
              <w:right w:val="single" w:sz="6" w:space="0" w:color="000000"/>
            </w:tcBorders>
          </w:tcPr>
          <w:p w14:paraId="5CBEB629" w14:textId="77777777" w:rsidR="008A1AA7" w:rsidRPr="008436BB" w:rsidRDefault="008A1AA7" w:rsidP="008436BB">
            <w:pPr>
              <w:spacing w:before="0" w:after="0" w:line="360" w:lineRule="auto"/>
              <w:ind w:left="113"/>
              <w:rPr>
                <w:sz w:val="18"/>
                <w:szCs w:val="18"/>
              </w:rPr>
            </w:pPr>
            <w:r w:rsidRPr="008436BB">
              <w:rPr>
                <w:sz w:val="18"/>
                <w:szCs w:val="18"/>
              </w:rPr>
              <w:t>(43.3)</w:t>
            </w:r>
          </w:p>
        </w:tc>
      </w:tr>
      <w:tr w:rsidR="008A1AA7" w:rsidRPr="008436BB" w14:paraId="5CBEB62C"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62B" w14:textId="77777777" w:rsidR="008A1AA7" w:rsidRPr="008436BB" w:rsidRDefault="008A1AA7" w:rsidP="008436BB">
            <w:pPr>
              <w:spacing w:before="0" w:after="0" w:line="360" w:lineRule="auto"/>
              <w:ind w:left="113"/>
              <w:rPr>
                <w:b/>
                <w:bCs/>
                <w:sz w:val="18"/>
                <w:szCs w:val="18"/>
              </w:rPr>
            </w:pPr>
            <w:r w:rsidRPr="008436BB">
              <w:rPr>
                <w:b/>
                <w:bCs/>
                <w:sz w:val="18"/>
                <w:szCs w:val="18"/>
              </w:rPr>
              <w:t>Age (Years)</w:t>
            </w:r>
          </w:p>
        </w:tc>
      </w:tr>
      <w:tr w:rsidR="008A1AA7" w:rsidRPr="008436BB" w14:paraId="5CBEB634" w14:textId="77777777" w:rsidTr="00D92572">
        <w:trPr>
          <w:trHeight w:val="213"/>
        </w:trPr>
        <w:tc>
          <w:tcPr>
            <w:tcW w:w="2719" w:type="dxa"/>
            <w:tcBorders>
              <w:top w:val="single" w:sz="2" w:space="0" w:color="000000"/>
              <w:left w:val="single" w:sz="6" w:space="0" w:color="000000"/>
              <w:bottom w:val="none" w:sz="6" w:space="0" w:color="auto"/>
              <w:right w:val="single" w:sz="2" w:space="0" w:color="000000"/>
            </w:tcBorders>
          </w:tcPr>
          <w:p w14:paraId="5CBEB62D" w14:textId="77777777" w:rsidR="008A1AA7" w:rsidRPr="008436BB" w:rsidRDefault="008A1AA7" w:rsidP="008436BB">
            <w:pPr>
              <w:spacing w:before="0" w:after="0" w:line="360" w:lineRule="auto"/>
              <w:ind w:left="113"/>
              <w:rPr>
                <w:sz w:val="18"/>
                <w:szCs w:val="18"/>
              </w:rPr>
            </w:pPr>
            <w:r w:rsidRPr="008436BB">
              <w:rPr>
                <w:sz w:val="18"/>
                <w:szCs w:val="18"/>
              </w:rPr>
              <w:t>&lt;65</w:t>
            </w:r>
          </w:p>
        </w:tc>
        <w:tc>
          <w:tcPr>
            <w:tcW w:w="964" w:type="dxa"/>
            <w:gridSpan w:val="2"/>
            <w:tcBorders>
              <w:top w:val="single" w:sz="2" w:space="0" w:color="000000"/>
              <w:left w:val="single" w:sz="2" w:space="0" w:color="000000"/>
              <w:bottom w:val="none" w:sz="6" w:space="0" w:color="auto"/>
              <w:right w:val="none" w:sz="6" w:space="0" w:color="auto"/>
            </w:tcBorders>
          </w:tcPr>
          <w:p w14:paraId="5CBEB62E" w14:textId="77777777" w:rsidR="008A1AA7" w:rsidRPr="008436BB" w:rsidRDefault="008A1AA7" w:rsidP="008436BB">
            <w:pPr>
              <w:spacing w:before="0" w:after="0" w:line="360" w:lineRule="auto"/>
              <w:ind w:left="113"/>
              <w:rPr>
                <w:sz w:val="18"/>
                <w:szCs w:val="18"/>
              </w:rPr>
            </w:pPr>
            <w:r w:rsidRPr="008436BB">
              <w:rPr>
                <w:sz w:val="18"/>
                <w:szCs w:val="18"/>
              </w:rPr>
              <w:t>23</w:t>
            </w:r>
          </w:p>
        </w:tc>
        <w:tc>
          <w:tcPr>
            <w:tcW w:w="1109" w:type="dxa"/>
            <w:tcBorders>
              <w:top w:val="single" w:sz="2" w:space="0" w:color="000000"/>
              <w:left w:val="none" w:sz="6" w:space="0" w:color="auto"/>
              <w:bottom w:val="none" w:sz="6" w:space="0" w:color="auto"/>
              <w:right w:val="single" w:sz="2" w:space="0" w:color="000000"/>
            </w:tcBorders>
          </w:tcPr>
          <w:p w14:paraId="5CBEB62F" w14:textId="77777777" w:rsidR="008A1AA7" w:rsidRPr="008436BB" w:rsidRDefault="008A1AA7" w:rsidP="008436BB">
            <w:pPr>
              <w:spacing w:before="0" w:after="0" w:line="360" w:lineRule="auto"/>
              <w:ind w:left="113"/>
              <w:rPr>
                <w:sz w:val="18"/>
                <w:szCs w:val="18"/>
              </w:rPr>
            </w:pPr>
            <w:r w:rsidRPr="008436BB">
              <w:rPr>
                <w:sz w:val="18"/>
                <w:szCs w:val="18"/>
              </w:rPr>
              <w:t>(92.0)</w:t>
            </w:r>
          </w:p>
        </w:tc>
        <w:tc>
          <w:tcPr>
            <w:tcW w:w="964" w:type="dxa"/>
            <w:gridSpan w:val="2"/>
            <w:tcBorders>
              <w:top w:val="single" w:sz="2" w:space="0" w:color="000000"/>
              <w:left w:val="single" w:sz="2" w:space="0" w:color="000000"/>
              <w:bottom w:val="none" w:sz="6" w:space="0" w:color="auto"/>
              <w:right w:val="none" w:sz="6" w:space="0" w:color="auto"/>
            </w:tcBorders>
          </w:tcPr>
          <w:p w14:paraId="5CBEB630" w14:textId="77777777" w:rsidR="008A1AA7" w:rsidRPr="008436BB" w:rsidRDefault="008A1AA7" w:rsidP="008436BB">
            <w:pPr>
              <w:spacing w:before="0" w:after="0" w:line="360" w:lineRule="auto"/>
              <w:ind w:left="113"/>
              <w:rPr>
                <w:sz w:val="18"/>
                <w:szCs w:val="18"/>
              </w:rPr>
            </w:pPr>
            <w:r w:rsidRPr="008436BB">
              <w:rPr>
                <w:sz w:val="18"/>
                <w:szCs w:val="18"/>
              </w:rPr>
              <w:t>34</w:t>
            </w:r>
          </w:p>
        </w:tc>
        <w:tc>
          <w:tcPr>
            <w:tcW w:w="1109" w:type="dxa"/>
            <w:tcBorders>
              <w:top w:val="single" w:sz="2" w:space="0" w:color="000000"/>
              <w:left w:val="none" w:sz="6" w:space="0" w:color="auto"/>
              <w:bottom w:val="none" w:sz="6" w:space="0" w:color="auto"/>
              <w:right w:val="single" w:sz="2" w:space="0" w:color="000000"/>
            </w:tcBorders>
          </w:tcPr>
          <w:p w14:paraId="5CBEB631" w14:textId="77777777" w:rsidR="008A1AA7" w:rsidRPr="008436BB" w:rsidRDefault="008A1AA7" w:rsidP="008436BB">
            <w:pPr>
              <w:spacing w:before="0" w:after="0" w:line="360" w:lineRule="auto"/>
              <w:ind w:left="113"/>
              <w:rPr>
                <w:sz w:val="18"/>
                <w:szCs w:val="18"/>
              </w:rPr>
            </w:pPr>
            <w:r w:rsidRPr="008436BB">
              <w:rPr>
                <w:sz w:val="18"/>
                <w:szCs w:val="18"/>
              </w:rPr>
              <w:t>(97.1)</w:t>
            </w:r>
          </w:p>
        </w:tc>
        <w:tc>
          <w:tcPr>
            <w:tcW w:w="964" w:type="dxa"/>
            <w:gridSpan w:val="2"/>
            <w:tcBorders>
              <w:top w:val="single" w:sz="2" w:space="0" w:color="000000"/>
              <w:left w:val="single" w:sz="2" w:space="0" w:color="000000"/>
              <w:bottom w:val="none" w:sz="6" w:space="0" w:color="auto"/>
              <w:right w:val="none" w:sz="6" w:space="0" w:color="auto"/>
            </w:tcBorders>
          </w:tcPr>
          <w:p w14:paraId="5CBEB632" w14:textId="77777777" w:rsidR="008A1AA7" w:rsidRPr="008436BB" w:rsidRDefault="008A1AA7" w:rsidP="008436BB">
            <w:pPr>
              <w:spacing w:before="0" w:after="0" w:line="360" w:lineRule="auto"/>
              <w:ind w:left="113"/>
              <w:rPr>
                <w:sz w:val="18"/>
                <w:szCs w:val="18"/>
              </w:rPr>
            </w:pPr>
            <w:r w:rsidRPr="008436BB">
              <w:rPr>
                <w:sz w:val="18"/>
                <w:szCs w:val="18"/>
              </w:rPr>
              <w:t>57</w:t>
            </w:r>
          </w:p>
        </w:tc>
        <w:tc>
          <w:tcPr>
            <w:tcW w:w="960" w:type="dxa"/>
            <w:tcBorders>
              <w:top w:val="single" w:sz="2" w:space="0" w:color="000000"/>
              <w:left w:val="none" w:sz="6" w:space="0" w:color="auto"/>
              <w:bottom w:val="none" w:sz="6" w:space="0" w:color="auto"/>
              <w:right w:val="single" w:sz="6" w:space="0" w:color="000000"/>
            </w:tcBorders>
          </w:tcPr>
          <w:p w14:paraId="5CBEB633" w14:textId="77777777" w:rsidR="008A1AA7" w:rsidRPr="008436BB" w:rsidRDefault="008A1AA7" w:rsidP="008436BB">
            <w:pPr>
              <w:spacing w:before="0" w:after="0" w:line="360" w:lineRule="auto"/>
              <w:ind w:left="113"/>
              <w:rPr>
                <w:sz w:val="18"/>
                <w:szCs w:val="18"/>
              </w:rPr>
            </w:pPr>
            <w:r w:rsidRPr="008436BB">
              <w:rPr>
                <w:sz w:val="18"/>
                <w:szCs w:val="18"/>
              </w:rPr>
              <w:t>(95.0)</w:t>
            </w:r>
          </w:p>
        </w:tc>
      </w:tr>
      <w:tr w:rsidR="008A1AA7" w:rsidRPr="008436BB" w14:paraId="5CBEB63C" w14:textId="77777777" w:rsidTr="00D92572">
        <w:trPr>
          <w:trHeight w:val="321"/>
        </w:trPr>
        <w:tc>
          <w:tcPr>
            <w:tcW w:w="2719" w:type="dxa"/>
            <w:tcBorders>
              <w:top w:val="none" w:sz="6" w:space="0" w:color="auto"/>
              <w:left w:val="single" w:sz="6" w:space="0" w:color="000000"/>
              <w:bottom w:val="none" w:sz="6" w:space="0" w:color="auto"/>
              <w:right w:val="single" w:sz="2" w:space="0" w:color="000000"/>
            </w:tcBorders>
          </w:tcPr>
          <w:p w14:paraId="5CBEB635" w14:textId="77777777" w:rsidR="008A1AA7" w:rsidRPr="008436BB" w:rsidRDefault="008A1AA7" w:rsidP="008436BB">
            <w:pPr>
              <w:spacing w:before="0" w:after="0" w:line="360" w:lineRule="auto"/>
              <w:ind w:left="113"/>
              <w:rPr>
                <w:sz w:val="18"/>
                <w:szCs w:val="18"/>
              </w:rPr>
            </w:pPr>
            <w:r w:rsidRPr="008436BB">
              <w:rPr>
                <w:sz w:val="18"/>
                <w:szCs w:val="18"/>
              </w:rPr>
              <w:t>&gt;=65</w:t>
            </w:r>
          </w:p>
        </w:tc>
        <w:tc>
          <w:tcPr>
            <w:tcW w:w="964" w:type="dxa"/>
            <w:gridSpan w:val="2"/>
            <w:tcBorders>
              <w:top w:val="none" w:sz="6" w:space="0" w:color="auto"/>
              <w:left w:val="single" w:sz="2" w:space="0" w:color="000000"/>
              <w:bottom w:val="none" w:sz="6" w:space="0" w:color="auto"/>
              <w:right w:val="none" w:sz="6" w:space="0" w:color="auto"/>
            </w:tcBorders>
          </w:tcPr>
          <w:p w14:paraId="5CBEB636"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09" w:type="dxa"/>
            <w:tcBorders>
              <w:top w:val="none" w:sz="6" w:space="0" w:color="auto"/>
              <w:left w:val="none" w:sz="6" w:space="0" w:color="auto"/>
              <w:bottom w:val="none" w:sz="6" w:space="0" w:color="auto"/>
              <w:right w:val="single" w:sz="2" w:space="0" w:color="000000"/>
            </w:tcBorders>
          </w:tcPr>
          <w:p w14:paraId="5CBEB637" w14:textId="77777777" w:rsidR="008A1AA7" w:rsidRPr="008436BB" w:rsidRDefault="008A1AA7" w:rsidP="008436BB">
            <w:pPr>
              <w:spacing w:before="0" w:after="0" w:line="360" w:lineRule="auto"/>
              <w:ind w:left="113"/>
              <w:rPr>
                <w:sz w:val="18"/>
                <w:szCs w:val="18"/>
              </w:rPr>
            </w:pPr>
            <w:r w:rsidRPr="008436BB">
              <w:rPr>
                <w:sz w:val="18"/>
                <w:szCs w:val="18"/>
              </w:rPr>
              <w:t>(8.0)</w:t>
            </w:r>
          </w:p>
        </w:tc>
        <w:tc>
          <w:tcPr>
            <w:tcW w:w="964" w:type="dxa"/>
            <w:gridSpan w:val="2"/>
            <w:tcBorders>
              <w:top w:val="none" w:sz="6" w:space="0" w:color="auto"/>
              <w:left w:val="single" w:sz="2" w:space="0" w:color="000000"/>
              <w:bottom w:val="none" w:sz="6" w:space="0" w:color="auto"/>
              <w:right w:val="none" w:sz="6" w:space="0" w:color="auto"/>
            </w:tcBorders>
          </w:tcPr>
          <w:p w14:paraId="5CBEB638"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09" w:type="dxa"/>
            <w:tcBorders>
              <w:top w:val="none" w:sz="6" w:space="0" w:color="auto"/>
              <w:left w:val="none" w:sz="6" w:space="0" w:color="auto"/>
              <w:bottom w:val="none" w:sz="6" w:space="0" w:color="auto"/>
              <w:right w:val="single" w:sz="2" w:space="0" w:color="000000"/>
            </w:tcBorders>
          </w:tcPr>
          <w:p w14:paraId="5CBEB639"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64" w:type="dxa"/>
            <w:gridSpan w:val="2"/>
            <w:tcBorders>
              <w:top w:val="none" w:sz="6" w:space="0" w:color="auto"/>
              <w:left w:val="single" w:sz="2" w:space="0" w:color="000000"/>
              <w:bottom w:val="none" w:sz="6" w:space="0" w:color="auto"/>
              <w:right w:val="none" w:sz="6" w:space="0" w:color="auto"/>
            </w:tcBorders>
          </w:tcPr>
          <w:p w14:paraId="5CBEB63A"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960" w:type="dxa"/>
            <w:tcBorders>
              <w:top w:val="none" w:sz="6" w:space="0" w:color="auto"/>
              <w:left w:val="none" w:sz="6" w:space="0" w:color="auto"/>
              <w:bottom w:val="none" w:sz="6" w:space="0" w:color="auto"/>
              <w:right w:val="single" w:sz="6" w:space="0" w:color="000000"/>
            </w:tcBorders>
          </w:tcPr>
          <w:p w14:paraId="5CBEB63B" w14:textId="77777777" w:rsidR="008A1AA7" w:rsidRPr="008436BB" w:rsidRDefault="008A1AA7" w:rsidP="008436BB">
            <w:pPr>
              <w:spacing w:before="0" w:after="0" w:line="360" w:lineRule="auto"/>
              <w:ind w:left="113"/>
              <w:rPr>
                <w:sz w:val="18"/>
                <w:szCs w:val="18"/>
              </w:rPr>
            </w:pPr>
            <w:r w:rsidRPr="008436BB">
              <w:rPr>
                <w:sz w:val="18"/>
                <w:szCs w:val="18"/>
              </w:rPr>
              <w:t>(5.0)</w:t>
            </w:r>
          </w:p>
        </w:tc>
      </w:tr>
      <w:tr w:rsidR="008A1AA7" w:rsidRPr="008436BB" w14:paraId="5CBEB644" w14:textId="77777777" w:rsidTr="00D92572">
        <w:trPr>
          <w:trHeight w:val="321"/>
        </w:trPr>
        <w:tc>
          <w:tcPr>
            <w:tcW w:w="2719" w:type="dxa"/>
            <w:tcBorders>
              <w:top w:val="none" w:sz="6" w:space="0" w:color="auto"/>
              <w:left w:val="single" w:sz="6" w:space="0" w:color="000000"/>
              <w:bottom w:val="none" w:sz="6" w:space="0" w:color="auto"/>
              <w:right w:val="single" w:sz="2" w:space="0" w:color="000000"/>
            </w:tcBorders>
          </w:tcPr>
          <w:p w14:paraId="5CBEB63D" w14:textId="77777777" w:rsidR="008A1AA7" w:rsidRPr="008436BB" w:rsidRDefault="008A1AA7" w:rsidP="008436BB">
            <w:pPr>
              <w:spacing w:before="0" w:after="0" w:line="360" w:lineRule="auto"/>
              <w:ind w:left="113"/>
              <w:rPr>
                <w:sz w:val="18"/>
                <w:szCs w:val="18"/>
              </w:rPr>
            </w:pPr>
            <w:r w:rsidRPr="008436BB">
              <w:rPr>
                <w:sz w:val="18"/>
                <w:szCs w:val="18"/>
              </w:rPr>
              <w:t>Mean</w:t>
            </w:r>
          </w:p>
        </w:tc>
        <w:tc>
          <w:tcPr>
            <w:tcW w:w="964" w:type="dxa"/>
            <w:gridSpan w:val="2"/>
            <w:tcBorders>
              <w:top w:val="none" w:sz="6" w:space="0" w:color="auto"/>
              <w:left w:val="single" w:sz="2" w:space="0" w:color="000000"/>
              <w:bottom w:val="none" w:sz="6" w:space="0" w:color="auto"/>
              <w:right w:val="none" w:sz="6" w:space="0" w:color="auto"/>
            </w:tcBorders>
          </w:tcPr>
          <w:p w14:paraId="5CBEB63E" w14:textId="77777777" w:rsidR="008A1AA7" w:rsidRPr="008436BB" w:rsidRDefault="008A1AA7" w:rsidP="008436BB">
            <w:pPr>
              <w:spacing w:before="0" w:after="0" w:line="360" w:lineRule="auto"/>
              <w:ind w:left="113"/>
              <w:rPr>
                <w:sz w:val="18"/>
                <w:szCs w:val="18"/>
              </w:rPr>
            </w:pPr>
            <w:r w:rsidRPr="008436BB">
              <w:rPr>
                <w:sz w:val="18"/>
                <w:szCs w:val="18"/>
              </w:rPr>
              <w:t>38.2</w:t>
            </w:r>
          </w:p>
        </w:tc>
        <w:tc>
          <w:tcPr>
            <w:tcW w:w="1109" w:type="dxa"/>
            <w:tcBorders>
              <w:top w:val="none" w:sz="6" w:space="0" w:color="auto"/>
              <w:left w:val="none" w:sz="6" w:space="0" w:color="auto"/>
              <w:bottom w:val="none" w:sz="6" w:space="0" w:color="auto"/>
              <w:right w:val="single" w:sz="2" w:space="0" w:color="000000"/>
            </w:tcBorders>
          </w:tcPr>
          <w:p w14:paraId="5CBEB63F" w14:textId="77777777" w:rsidR="008A1AA7" w:rsidRPr="008436BB" w:rsidRDefault="008A1AA7" w:rsidP="008436BB">
            <w:pPr>
              <w:spacing w:before="0" w:after="0" w:line="360" w:lineRule="auto"/>
              <w:ind w:left="113"/>
              <w:rPr>
                <w:sz w:val="18"/>
                <w:szCs w:val="18"/>
              </w:rPr>
            </w:pPr>
          </w:p>
        </w:tc>
        <w:tc>
          <w:tcPr>
            <w:tcW w:w="964" w:type="dxa"/>
            <w:gridSpan w:val="2"/>
            <w:tcBorders>
              <w:top w:val="none" w:sz="6" w:space="0" w:color="auto"/>
              <w:left w:val="single" w:sz="2" w:space="0" w:color="000000"/>
              <w:bottom w:val="none" w:sz="6" w:space="0" w:color="auto"/>
              <w:right w:val="none" w:sz="6" w:space="0" w:color="auto"/>
            </w:tcBorders>
          </w:tcPr>
          <w:p w14:paraId="5CBEB640" w14:textId="77777777" w:rsidR="008A1AA7" w:rsidRPr="008436BB" w:rsidRDefault="008A1AA7" w:rsidP="008436BB">
            <w:pPr>
              <w:spacing w:before="0" w:after="0" w:line="360" w:lineRule="auto"/>
              <w:ind w:left="113"/>
              <w:rPr>
                <w:sz w:val="18"/>
                <w:szCs w:val="18"/>
              </w:rPr>
            </w:pPr>
            <w:r w:rsidRPr="008436BB">
              <w:rPr>
                <w:sz w:val="18"/>
                <w:szCs w:val="18"/>
              </w:rPr>
              <w:t>35.9</w:t>
            </w:r>
          </w:p>
        </w:tc>
        <w:tc>
          <w:tcPr>
            <w:tcW w:w="1109" w:type="dxa"/>
            <w:tcBorders>
              <w:top w:val="none" w:sz="6" w:space="0" w:color="auto"/>
              <w:left w:val="none" w:sz="6" w:space="0" w:color="auto"/>
              <w:bottom w:val="none" w:sz="6" w:space="0" w:color="auto"/>
              <w:right w:val="single" w:sz="2" w:space="0" w:color="000000"/>
            </w:tcBorders>
          </w:tcPr>
          <w:p w14:paraId="5CBEB641" w14:textId="77777777" w:rsidR="008A1AA7" w:rsidRPr="008436BB" w:rsidRDefault="008A1AA7" w:rsidP="008436BB">
            <w:pPr>
              <w:spacing w:before="0" w:after="0" w:line="360" w:lineRule="auto"/>
              <w:ind w:left="113"/>
              <w:rPr>
                <w:sz w:val="18"/>
                <w:szCs w:val="18"/>
              </w:rPr>
            </w:pPr>
          </w:p>
        </w:tc>
        <w:tc>
          <w:tcPr>
            <w:tcW w:w="964" w:type="dxa"/>
            <w:gridSpan w:val="2"/>
            <w:tcBorders>
              <w:top w:val="none" w:sz="6" w:space="0" w:color="auto"/>
              <w:left w:val="single" w:sz="2" w:space="0" w:color="000000"/>
              <w:bottom w:val="none" w:sz="6" w:space="0" w:color="auto"/>
              <w:right w:val="none" w:sz="6" w:space="0" w:color="auto"/>
            </w:tcBorders>
          </w:tcPr>
          <w:p w14:paraId="5CBEB642" w14:textId="77777777" w:rsidR="008A1AA7" w:rsidRPr="008436BB" w:rsidRDefault="008A1AA7" w:rsidP="008436BB">
            <w:pPr>
              <w:spacing w:before="0" w:after="0" w:line="360" w:lineRule="auto"/>
              <w:ind w:left="113"/>
              <w:rPr>
                <w:sz w:val="18"/>
                <w:szCs w:val="18"/>
              </w:rPr>
            </w:pPr>
            <w:r w:rsidRPr="008436BB">
              <w:rPr>
                <w:sz w:val="18"/>
                <w:szCs w:val="18"/>
              </w:rPr>
              <w:t>36.8</w:t>
            </w:r>
          </w:p>
        </w:tc>
        <w:tc>
          <w:tcPr>
            <w:tcW w:w="960" w:type="dxa"/>
            <w:tcBorders>
              <w:top w:val="none" w:sz="6" w:space="0" w:color="auto"/>
              <w:left w:val="none" w:sz="6" w:space="0" w:color="auto"/>
              <w:bottom w:val="none" w:sz="6" w:space="0" w:color="auto"/>
              <w:right w:val="single" w:sz="6" w:space="0" w:color="000000"/>
            </w:tcBorders>
          </w:tcPr>
          <w:p w14:paraId="5CBEB643" w14:textId="77777777" w:rsidR="008A1AA7" w:rsidRPr="008436BB" w:rsidRDefault="008A1AA7" w:rsidP="008436BB">
            <w:pPr>
              <w:spacing w:before="0" w:after="0" w:line="360" w:lineRule="auto"/>
              <w:ind w:left="113"/>
              <w:rPr>
                <w:sz w:val="18"/>
                <w:szCs w:val="18"/>
              </w:rPr>
            </w:pPr>
          </w:p>
        </w:tc>
      </w:tr>
      <w:tr w:rsidR="008A1AA7" w:rsidRPr="008436BB" w14:paraId="5CBEB64C" w14:textId="77777777"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645" w14:textId="77777777" w:rsidR="008A1AA7" w:rsidRPr="008436BB" w:rsidRDefault="008A1AA7" w:rsidP="008436BB">
            <w:pPr>
              <w:spacing w:before="0" w:after="0" w:line="360" w:lineRule="auto"/>
              <w:ind w:left="113"/>
              <w:rPr>
                <w:sz w:val="18"/>
                <w:szCs w:val="18"/>
              </w:rPr>
            </w:pPr>
            <w:r w:rsidRPr="008436BB">
              <w:rPr>
                <w:sz w:val="18"/>
                <w:szCs w:val="18"/>
              </w:rPr>
              <w:t>SD</w:t>
            </w:r>
          </w:p>
        </w:tc>
        <w:tc>
          <w:tcPr>
            <w:tcW w:w="964" w:type="dxa"/>
            <w:gridSpan w:val="2"/>
            <w:tcBorders>
              <w:top w:val="none" w:sz="6" w:space="0" w:color="auto"/>
              <w:left w:val="single" w:sz="2" w:space="0" w:color="000000"/>
              <w:bottom w:val="none" w:sz="6" w:space="0" w:color="auto"/>
              <w:right w:val="none" w:sz="6" w:space="0" w:color="auto"/>
            </w:tcBorders>
          </w:tcPr>
          <w:p w14:paraId="5CBEB646" w14:textId="77777777" w:rsidR="008A1AA7" w:rsidRPr="008436BB" w:rsidRDefault="008A1AA7" w:rsidP="008436BB">
            <w:pPr>
              <w:spacing w:before="0" w:after="0" w:line="360" w:lineRule="auto"/>
              <w:ind w:left="113"/>
              <w:rPr>
                <w:sz w:val="18"/>
                <w:szCs w:val="18"/>
              </w:rPr>
            </w:pPr>
            <w:r w:rsidRPr="008436BB">
              <w:rPr>
                <w:sz w:val="18"/>
                <w:szCs w:val="18"/>
              </w:rPr>
              <w:t>15.2</w:t>
            </w:r>
          </w:p>
        </w:tc>
        <w:tc>
          <w:tcPr>
            <w:tcW w:w="1109" w:type="dxa"/>
            <w:tcBorders>
              <w:top w:val="none" w:sz="6" w:space="0" w:color="auto"/>
              <w:left w:val="none" w:sz="6" w:space="0" w:color="auto"/>
              <w:bottom w:val="none" w:sz="6" w:space="0" w:color="auto"/>
              <w:right w:val="single" w:sz="2" w:space="0" w:color="000000"/>
            </w:tcBorders>
          </w:tcPr>
          <w:p w14:paraId="5CBEB647" w14:textId="77777777" w:rsidR="008A1AA7" w:rsidRPr="008436BB" w:rsidRDefault="008A1AA7" w:rsidP="008436BB">
            <w:pPr>
              <w:spacing w:before="0" w:after="0" w:line="360" w:lineRule="auto"/>
              <w:ind w:left="113"/>
              <w:rPr>
                <w:sz w:val="18"/>
                <w:szCs w:val="18"/>
              </w:rPr>
            </w:pPr>
          </w:p>
        </w:tc>
        <w:tc>
          <w:tcPr>
            <w:tcW w:w="964" w:type="dxa"/>
            <w:gridSpan w:val="2"/>
            <w:tcBorders>
              <w:top w:val="none" w:sz="6" w:space="0" w:color="auto"/>
              <w:left w:val="single" w:sz="2" w:space="0" w:color="000000"/>
              <w:bottom w:val="none" w:sz="6" w:space="0" w:color="auto"/>
              <w:right w:val="none" w:sz="6" w:space="0" w:color="auto"/>
            </w:tcBorders>
          </w:tcPr>
          <w:p w14:paraId="5CBEB648" w14:textId="77777777" w:rsidR="008A1AA7" w:rsidRPr="008436BB" w:rsidRDefault="008A1AA7" w:rsidP="008436BB">
            <w:pPr>
              <w:spacing w:before="0" w:after="0" w:line="360" w:lineRule="auto"/>
              <w:ind w:left="113"/>
              <w:rPr>
                <w:sz w:val="18"/>
                <w:szCs w:val="18"/>
              </w:rPr>
            </w:pPr>
            <w:r w:rsidRPr="008436BB">
              <w:rPr>
                <w:sz w:val="18"/>
                <w:szCs w:val="18"/>
              </w:rPr>
              <w:t>12.0</w:t>
            </w:r>
          </w:p>
        </w:tc>
        <w:tc>
          <w:tcPr>
            <w:tcW w:w="1109" w:type="dxa"/>
            <w:tcBorders>
              <w:top w:val="none" w:sz="6" w:space="0" w:color="auto"/>
              <w:left w:val="none" w:sz="6" w:space="0" w:color="auto"/>
              <w:bottom w:val="none" w:sz="6" w:space="0" w:color="auto"/>
              <w:right w:val="single" w:sz="2" w:space="0" w:color="000000"/>
            </w:tcBorders>
          </w:tcPr>
          <w:p w14:paraId="5CBEB649" w14:textId="77777777" w:rsidR="008A1AA7" w:rsidRPr="008436BB" w:rsidRDefault="008A1AA7" w:rsidP="008436BB">
            <w:pPr>
              <w:spacing w:before="0" w:after="0" w:line="360" w:lineRule="auto"/>
              <w:ind w:left="113"/>
              <w:rPr>
                <w:sz w:val="18"/>
                <w:szCs w:val="18"/>
              </w:rPr>
            </w:pPr>
          </w:p>
        </w:tc>
        <w:tc>
          <w:tcPr>
            <w:tcW w:w="964" w:type="dxa"/>
            <w:gridSpan w:val="2"/>
            <w:tcBorders>
              <w:top w:val="none" w:sz="6" w:space="0" w:color="auto"/>
              <w:left w:val="single" w:sz="2" w:space="0" w:color="000000"/>
              <w:bottom w:val="none" w:sz="6" w:space="0" w:color="auto"/>
              <w:right w:val="none" w:sz="6" w:space="0" w:color="auto"/>
            </w:tcBorders>
          </w:tcPr>
          <w:p w14:paraId="5CBEB64A" w14:textId="77777777" w:rsidR="008A1AA7" w:rsidRPr="008436BB" w:rsidRDefault="008A1AA7" w:rsidP="008436BB">
            <w:pPr>
              <w:spacing w:before="0" w:after="0" w:line="360" w:lineRule="auto"/>
              <w:ind w:left="113"/>
              <w:rPr>
                <w:sz w:val="18"/>
                <w:szCs w:val="18"/>
              </w:rPr>
            </w:pPr>
            <w:r w:rsidRPr="008436BB">
              <w:rPr>
                <w:sz w:val="18"/>
                <w:szCs w:val="18"/>
              </w:rPr>
              <w:t>13.4</w:t>
            </w:r>
          </w:p>
        </w:tc>
        <w:tc>
          <w:tcPr>
            <w:tcW w:w="960" w:type="dxa"/>
            <w:tcBorders>
              <w:top w:val="none" w:sz="6" w:space="0" w:color="auto"/>
              <w:left w:val="none" w:sz="6" w:space="0" w:color="auto"/>
              <w:bottom w:val="none" w:sz="6" w:space="0" w:color="auto"/>
              <w:right w:val="single" w:sz="6" w:space="0" w:color="000000"/>
            </w:tcBorders>
          </w:tcPr>
          <w:p w14:paraId="5CBEB64B" w14:textId="77777777" w:rsidR="008A1AA7" w:rsidRPr="008436BB" w:rsidRDefault="008A1AA7" w:rsidP="008436BB">
            <w:pPr>
              <w:spacing w:before="0" w:after="0" w:line="360" w:lineRule="auto"/>
              <w:ind w:left="113"/>
              <w:rPr>
                <w:sz w:val="18"/>
                <w:szCs w:val="18"/>
              </w:rPr>
            </w:pPr>
          </w:p>
        </w:tc>
      </w:tr>
      <w:tr w:rsidR="008A1AA7" w:rsidRPr="008436BB" w14:paraId="5CBEB654" w14:textId="039025CD" w:rsidTr="00D92572">
        <w:trPr>
          <w:trHeight w:val="235"/>
        </w:trPr>
        <w:tc>
          <w:tcPr>
            <w:tcW w:w="2719" w:type="dxa"/>
            <w:tcBorders>
              <w:top w:val="none" w:sz="6" w:space="0" w:color="auto"/>
              <w:left w:val="single" w:sz="6" w:space="0" w:color="000000"/>
              <w:bottom w:val="none" w:sz="6" w:space="0" w:color="auto"/>
              <w:right w:val="single" w:sz="2" w:space="0" w:color="000000"/>
            </w:tcBorders>
          </w:tcPr>
          <w:p w14:paraId="5CBEB64D" w14:textId="77777777" w:rsidR="008A1AA7" w:rsidRPr="008436BB" w:rsidRDefault="008A1AA7" w:rsidP="008436BB">
            <w:pPr>
              <w:spacing w:before="0" w:after="0" w:line="360" w:lineRule="auto"/>
              <w:ind w:left="113"/>
              <w:rPr>
                <w:sz w:val="18"/>
                <w:szCs w:val="18"/>
              </w:rPr>
            </w:pPr>
            <w:r w:rsidRPr="008436BB">
              <w:rPr>
                <w:sz w:val="18"/>
                <w:szCs w:val="18"/>
              </w:rPr>
              <w:lastRenderedPageBreak/>
              <w:t>Median</w:t>
            </w:r>
          </w:p>
        </w:tc>
        <w:tc>
          <w:tcPr>
            <w:tcW w:w="964" w:type="dxa"/>
            <w:gridSpan w:val="2"/>
            <w:tcBorders>
              <w:top w:val="none" w:sz="6" w:space="0" w:color="auto"/>
              <w:left w:val="single" w:sz="2" w:space="0" w:color="000000"/>
              <w:bottom w:val="none" w:sz="6" w:space="0" w:color="auto"/>
              <w:right w:val="none" w:sz="6" w:space="0" w:color="auto"/>
            </w:tcBorders>
          </w:tcPr>
          <w:p w14:paraId="5CBEB64E" w14:textId="77777777" w:rsidR="008A1AA7" w:rsidRPr="008436BB" w:rsidRDefault="008A1AA7" w:rsidP="008436BB">
            <w:pPr>
              <w:spacing w:before="0" w:after="0" w:line="360" w:lineRule="auto"/>
              <w:ind w:left="113"/>
              <w:rPr>
                <w:sz w:val="18"/>
                <w:szCs w:val="18"/>
              </w:rPr>
            </w:pPr>
            <w:r w:rsidRPr="008436BB">
              <w:rPr>
                <w:sz w:val="18"/>
                <w:szCs w:val="18"/>
              </w:rPr>
              <w:t>32.0</w:t>
            </w:r>
          </w:p>
        </w:tc>
        <w:tc>
          <w:tcPr>
            <w:tcW w:w="1109" w:type="dxa"/>
            <w:tcBorders>
              <w:top w:val="none" w:sz="6" w:space="0" w:color="auto"/>
              <w:left w:val="none" w:sz="6" w:space="0" w:color="auto"/>
              <w:bottom w:val="none" w:sz="6" w:space="0" w:color="auto"/>
              <w:right w:val="single" w:sz="2" w:space="0" w:color="000000"/>
            </w:tcBorders>
          </w:tcPr>
          <w:p w14:paraId="5CBEB64F" w14:textId="77777777" w:rsidR="008A1AA7" w:rsidRPr="008436BB" w:rsidRDefault="008A1AA7" w:rsidP="008436BB">
            <w:pPr>
              <w:spacing w:before="0" w:after="0" w:line="360" w:lineRule="auto"/>
              <w:ind w:left="113"/>
              <w:rPr>
                <w:sz w:val="18"/>
                <w:szCs w:val="18"/>
              </w:rPr>
            </w:pPr>
          </w:p>
        </w:tc>
        <w:tc>
          <w:tcPr>
            <w:tcW w:w="964" w:type="dxa"/>
            <w:gridSpan w:val="2"/>
            <w:tcBorders>
              <w:top w:val="none" w:sz="6" w:space="0" w:color="auto"/>
              <w:left w:val="single" w:sz="2" w:space="0" w:color="000000"/>
              <w:bottom w:val="none" w:sz="6" w:space="0" w:color="auto"/>
              <w:right w:val="none" w:sz="6" w:space="0" w:color="auto"/>
            </w:tcBorders>
          </w:tcPr>
          <w:p w14:paraId="5CBEB650" w14:textId="77777777" w:rsidR="008A1AA7" w:rsidRPr="008436BB" w:rsidRDefault="008A1AA7" w:rsidP="008436BB">
            <w:pPr>
              <w:spacing w:before="0" w:after="0" w:line="360" w:lineRule="auto"/>
              <w:ind w:left="113"/>
              <w:rPr>
                <w:sz w:val="18"/>
                <w:szCs w:val="18"/>
              </w:rPr>
            </w:pPr>
            <w:r w:rsidRPr="008436BB">
              <w:rPr>
                <w:sz w:val="18"/>
                <w:szCs w:val="18"/>
              </w:rPr>
              <w:t>32.0</w:t>
            </w:r>
          </w:p>
        </w:tc>
        <w:tc>
          <w:tcPr>
            <w:tcW w:w="1109" w:type="dxa"/>
            <w:tcBorders>
              <w:top w:val="none" w:sz="6" w:space="0" w:color="auto"/>
              <w:left w:val="none" w:sz="6" w:space="0" w:color="auto"/>
              <w:bottom w:val="none" w:sz="6" w:space="0" w:color="auto"/>
              <w:right w:val="single" w:sz="2" w:space="0" w:color="000000"/>
            </w:tcBorders>
          </w:tcPr>
          <w:p w14:paraId="5CBEB651" w14:textId="77777777" w:rsidR="008A1AA7" w:rsidRPr="008436BB" w:rsidRDefault="008A1AA7" w:rsidP="008436BB">
            <w:pPr>
              <w:spacing w:before="0" w:after="0" w:line="360" w:lineRule="auto"/>
              <w:ind w:left="113"/>
              <w:rPr>
                <w:sz w:val="18"/>
                <w:szCs w:val="18"/>
              </w:rPr>
            </w:pPr>
          </w:p>
        </w:tc>
        <w:tc>
          <w:tcPr>
            <w:tcW w:w="964" w:type="dxa"/>
            <w:gridSpan w:val="2"/>
            <w:tcBorders>
              <w:top w:val="none" w:sz="6" w:space="0" w:color="auto"/>
              <w:left w:val="single" w:sz="2" w:space="0" w:color="000000"/>
              <w:bottom w:val="none" w:sz="6" w:space="0" w:color="auto"/>
              <w:right w:val="none" w:sz="6" w:space="0" w:color="auto"/>
            </w:tcBorders>
          </w:tcPr>
          <w:p w14:paraId="5CBEB652" w14:textId="77777777" w:rsidR="008A1AA7" w:rsidRPr="008436BB" w:rsidRDefault="008A1AA7" w:rsidP="008436BB">
            <w:pPr>
              <w:spacing w:before="0" w:after="0" w:line="360" w:lineRule="auto"/>
              <w:ind w:left="113"/>
              <w:rPr>
                <w:sz w:val="18"/>
                <w:szCs w:val="18"/>
              </w:rPr>
            </w:pPr>
            <w:r w:rsidRPr="008436BB">
              <w:rPr>
                <w:sz w:val="18"/>
                <w:szCs w:val="18"/>
              </w:rPr>
              <w:t>32.0</w:t>
            </w:r>
          </w:p>
        </w:tc>
        <w:tc>
          <w:tcPr>
            <w:tcW w:w="960" w:type="dxa"/>
            <w:tcBorders>
              <w:top w:val="none" w:sz="6" w:space="0" w:color="auto"/>
              <w:left w:val="none" w:sz="6" w:space="0" w:color="auto"/>
              <w:bottom w:val="none" w:sz="6" w:space="0" w:color="auto"/>
              <w:right w:val="single" w:sz="6" w:space="0" w:color="000000"/>
            </w:tcBorders>
          </w:tcPr>
          <w:p w14:paraId="5CBEB653" w14:textId="77777777" w:rsidR="008A1AA7" w:rsidRPr="008436BB" w:rsidRDefault="008A1AA7" w:rsidP="008436BB">
            <w:pPr>
              <w:spacing w:before="0" w:after="0" w:line="360" w:lineRule="auto"/>
              <w:ind w:left="113"/>
              <w:rPr>
                <w:sz w:val="18"/>
                <w:szCs w:val="18"/>
              </w:rPr>
            </w:pPr>
          </w:p>
        </w:tc>
      </w:tr>
      <w:tr w:rsidR="008A1AA7" w:rsidRPr="008436BB" w14:paraId="5CBEB65C" w14:textId="2449407E"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655" w14:textId="77777777" w:rsidR="008A1AA7" w:rsidRPr="008436BB" w:rsidRDefault="008A1AA7" w:rsidP="008436BB">
            <w:pPr>
              <w:spacing w:before="0" w:after="0" w:line="360" w:lineRule="auto"/>
              <w:ind w:left="113"/>
              <w:rPr>
                <w:sz w:val="18"/>
                <w:szCs w:val="18"/>
              </w:rPr>
            </w:pPr>
            <w:r w:rsidRPr="008436BB">
              <w:rPr>
                <w:sz w:val="18"/>
                <w:szCs w:val="18"/>
              </w:rPr>
              <w:t>Range</w:t>
            </w:r>
          </w:p>
        </w:tc>
        <w:tc>
          <w:tcPr>
            <w:tcW w:w="964" w:type="dxa"/>
            <w:gridSpan w:val="2"/>
            <w:tcBorders>
              <w:top w:val="none" w:sz="6" w:space="0" w:color="auto"/>
              <w:left w:val="single" w:sz="2" w:space="0" w:color="000000"/>
              <w:bottom w:val="single" w:sz="2" w:space="0" w:color="000000"/>
              <w:right w:val="none" w:sz="6" w:space="0" w:color="auto"/>
            </w:tcBorders>
          </w:tcPr>
          <w:p w14:paraId="5CBEB656" w14:textId="77777777" w:rsidR="008A1AA7" w:rsidRPr="008436BB" w:rsidRDefault="008A1AA7" w:rsidP="008436BB">
            <w:pPr>
              <w:spacing w:before="0" w:after="0" w:line="360" w:lineRule="auto"/>
              <w:ind w:left="113"/>
              <w:rPr>
                <w:sz w:val="18"/>
                <w:szCs w:val="18"/>
              </w:rPr>
            </w:pPr>
            <w:r w:rsidRPr="008436BB">
              <w:rPr>
                <w:sz w:val="18"/>
                <w:szCs w:val="18"/>
              </w:rPr>
              <w:t>18 to 73</w:t>
            </w:r>
          </w:p>
        </w:tc>
        <w:tc>
          <w:tcPr>
            <w:tcW w:w="1109" w:type="dxa"/>
            <w:tcBorders>
              <w:top w:val="none" w:sz="6" w:space="0" w:color="auto"/>
              <w:left w:val="none" w:sz="6" w:space="0" w:color="auto"/>
              <w:bottom w:val="single" w:sz="2" w:space="0" w:color="000000"/>
              <w:right w:val="single" w:sz="2" w:space="0" w:color="000000"/>
            </w:tcBorders>
          </w:tcPr>
          <w:p w14:paraId="5CBEB657" w14:textId="77777777" w:rsidR="008A1AA7" w:rsidRPr="008436BB" w:rsidRDefault="008A1AA7" w:rsidP="008436BB">
            <w:pPr>
              <w:spacing w:before="0" w:after="0" w:line="360" w:lineRule="auto"/>
              <w:ind w:left="113"/>
              <w:rPr>
                <w:sz w:val="18"/>
                <w:szCs w:val="18"/>
              </w:rPr>
            </w:pPr>
          </w:p>
        </w:tc>
        <w:tc>
          <w:tcPr>
            <w:tcW w:w="964" w:type="dxa"/>
            <w:gridSpan w:val="2"/>
            <w:tcBorders>
              <w:top w:val="none" w:sz="6" w:space="0" w:color="auto"/>
              <w:left w:val="single" w:sz="2" w:space="0" w:color="000000"/>
              <w:bottom w:val="single" w:sz="2" w:space="0" w:color="000000"/>
              <w:right w:val="none" w:sz="6" w:space="0" w:color="auto"/>
            </w:tcBorders>
          </w:tcPr>
          <w:p w14:paraId="5CBEB658" w14:textId="77777777" w:rsidR="008A1AA7" w:rsidRPr="008436BB" w:rsidRDefault="008A1AA7" w:rsidP="008436BB">
            <w:pPr>
              <w:spacing w:before="0" w:after="0" w:line="360" w:lineRule="auto"/>
              <w:ind w:left="113"/>
              <w:rPr>
                <w:sz w:val="18"/>
                <w:szCs w:val="18"/>
              </w:rPr>
            </w:pPr>
            <w:r w:rsidRPr="008436BB">
              <w:rPr>
                <w:sz w:val="18"/>
                <w:szCs w:val="18"/>
              </w:rPr>
              <w:t>20 to 67</w:t>
            </w:r>
          </w:p>
        </w:tc>
        <w:tc>
          <w:tcPr>
            <w:tcW w:w="1109" w:type="dxa"/>
            <w:tcBorders>
              <w:top w:val="none" w:sz="6" w:space="0" w:color="auto"/>
              <w:left w:val="none" w:sz="6" w:space="0" w:color="auto"/>
              <w:bottom w:val="single" w:sz="2" w:space="0" w:color="000000"/>
              <w:right w:val="single" w:sz="2" w:space="0" w:color="000000"/>
            </w:tcBorders>
          </w:tcPr>
          <w:p w14:paraId="5CBEB659" w14:textId="77777777" w:rsidR="008A1AA7" w:rsidRPr="008436BB" w:rsidRDefault="008A1AA7" w:rsidP="008436BB">
            <w:pPr>
              <w:spacing w:before="0" w:after="0" w:line="360" w:lineRule="auto"/>
              <w:ind w:left="113"/>
              <w:rPr>
                <w:sz w:val="18"/>
                <w:szCs w:val="18"/>
              </w:rPr>
            </w:pPr>
          </w:p>
        </w:tc>
        <w:tc>
          <w:tcPr>
            <w:tcW w:w="964" w:type="dxa"/>
            <w:gridSpan w:val="2"/>
            <w:tcBorders>
              <w:top w:val="none" w:sz="6" w:space="0" w:color="auto"/>
              <w:left w:val="single" w:sz="2" w:space="0" w:color="000000"/>
              <w:bottom w:val="single" w:sz="2" w:space="0" w:color="000000"/>
              <w:right w:val="none" w:sz="6" w:space="0" w:color="auto"/>
            </w:tcBorders>
          </w:tcPr>
          <w:p w14:paraId="5CBEB65A" w14:textId="77777777" w:rsidR="008A1AA7" w:rsidRPr="008436BB" w:rsidRDefault="008A1AA7" w:rsidP="008436BB">
            <w:pPr>
              <w:spacing w:before="0" w:after="0" w:line="360" w:lineRule="auto"/>
              <w:ind w:left="113"/>
              <w:rPr>
                <w:sz w:val="18"/>
                <w:szCs w:val="18"/>
              </w:rPr>
            </w:pPr>
            <w:r w:rsidRPr="008436BB">
              <w:rPr>
                <w:sz w:val="18"/>
                <w:szCs w:val="18"/>
              </w:rPr>
              <w:t>18 to 73</w:t>
            </w:r>
          </w:p>
        </w:tc>
        <w:tc>
          <w:tcPr>
            <w:tcW w:w="960" w:type="dxa"/>
            <w:tcBorders>
              <w:top w:val="none" w:sz="6" w:space="0" w:color="auto"/>
              <w:left w:val="none" w:sz="6" w:space="0" w:color="auto"/>
              <w:bottom w:val="single" w:sz="2" w:space="0" w:color="000000"/>
              <w:right w:val="single" w:sz="6" w:space="0" w:color="000000"/>
            </w:tcBorders>
          </w:tcPr>
          <w:p w14:paraId="5CBEB65B" w14:textId="77777777" w:rsidR="008A1AA7" w:rsidRPr="008436BB" w:rsidRDefault="008A1AA7" w:rsidP="008436BB">
            <w:pPr>
              <w:spacing w:before="0" w:after="0" w:line="360" w:lineRule="auto"/>
              <w:ind w:left="113"/>
              <w:rPr>
                <w:sz w:val="18"/>
                <w:szCs w:val="18"/>
              </w:rPr>
            </w:pPr>
          </w:p>
        </w:tc>
      </w:tr>
      <w:tr w:rsidR="008A1AA7" w:rsidRPr="008436BB" w14:paraId="5CBEB65E"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65D" w14:textId="77777777" w:rsidR="008A1AA7" w:rsidRPr="008436BB" w:rsidRDefault="008A1AA7" w:rsidP="008436BB">
            <w:pPr>
              <w:spacing w:before="0" w:after="0" w:line="360" w:lineRule="auto"/>
              <w:ind w:left="113"/>
              <w:rPr>
                <w:b/>
                <w:bCs/>
                <w:sz w:val="18"/>
                <w:szCs w:val="18"/>
              </w:rPr>
            </w:pPr>
            <w:r w:rsidRPr="008436BB">
              <w:rPr>
                <w:b/>
                <w:bCs/>
                <w:sz w:val="18"/>
                <w:szCs w:val="18"/>
              </w:rPr>
              <w:t>Race</w:t>
            </w:r>
          </w:p>
        </w:tc>
      </w:tr>
      <w:tr w:rsidR="008A1AA7" w:rsidRPr="008436BB" w14:paraId="5CBEB666" w14:textId="6CEABAB0" w:rsidTr="00D92572">
        <w:trPr>
          <w:trHeight w:val="213"/>
        </w:trPr>
        <w:tc>
          <w:tcPr>
            <w:tcW w:w="2719" w:type="dxa"/>
            <w:tcBorders>
              <w:top w:val="single" w:sz="2" w:space="0" w:color="000000"/>
              <w:left w:val="single" w:sz="6" w:space="0" w:color="000000"/>
              <w:bottom w:val="none" w:sz="6" w:space="0" w:color="auto"/>
              <w:right w:val="single" w:sz="2" w:space="0" w:color="000000"/>
            </w:tcBorders>
          </w:tcPr>
          <w:p w14:paraId="5CBEB65F" w14:textId="77777777" w:rsidR="008A1AA7" w:rsidRPr="008436BB" w:rsidRDefault="008A1AA7" w:rsidP="008436BB">
            <w:pPr>
              <w:spacing w:before="0" w:after="0" w:line="360" w:lineRule="auto"/>
              <w:ind w:left="113"/>
              <w:rPr>
                <w:sz w:val="18"/>
                <w:szCs w:val="18"/>
              </w:rPr>
            </w:pPr>
            <w:r w:rsidRPr="008436BB">
              <w:rPr>
                <w:sz w:val="18"/>
                <w:szCs w:val="18"/>
              </w:rPr>
              <w:t>Asian</w:t>
            </w:r>
          </w:p>
        </w:tc>
        <w:tc>
          <w:tcPr>
            <w:tcW w:w="964" w:type="dxa"/>
            <w:gridSpan w:val="2"/>
            <w:tcBorders>
              <w:top w:val="single" w:sz="2" w:space="0" w:color="000000"/>
              <w:left w:val="single" w:sz="2" w:space="0" w:color="000000"/>
              <w:bottom w:val="none" w:sz="6" w:space="0" w:color="auto"/>
              <w:right w:val="none" w:sz="6" w:space="0" w:color="auto"/>
            </w:tcBorders>
          </w:tcPr>
          <w:p w14:paraId="5CBEB660"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09" w:type="dxa"/>
            <w:tcBorders>
              <w:top w:val="single" w:sz="2" w:space="0" w:color="000000"/>
              <w:left w:val="none" w:sz="6" w:space="0" w:color="auto"/>
              <w:bottom w:val="none" w:sz="6" w:space="0" w:color="auto"/>
              <w:right w:val="single" w:sz="2" w:space="0" w:color="000000"/>
            </w:tcBorders>
          </w:tcPr>
          <w:p w14:paraId="5CBEB661"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64" w:type="dxa"/>
            <w:gridSpan w:val="2"/>
            <w:tcBorders>
              <w:top w:val="single" w:sz="2" w:space="0" w:color="000000"/>
              <w:left w:val="single" w:sz="2" w:space="0" w:color="000000"/>
              <w:bottom w:val="none" w:sz="6" w:space="0" w:color="auto"/>
              <w:right w:val="none" w:sz="6" w:space="0" w:color="auto"/>
            </w:tcBorders>
          </w:tcPr>
          <w:p w14:paraId="5CBEB662"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09" w:type="dxa"/>
            <w:tcBorders>
              <w:top w:val="single" w:sz="2" w:space="0" w:color="000000"/>
              <w:left w:val="none" w:sz="6" w:space="0" w:color="auto"/>
              <w:bottom w:val="none" w:sz="6" w:space="0" w:color="auto"/>
              <w:right w:val="single" w:sz="2" w:space="0" w:color="000000"/>
            </w:tcBorders>
          </w:tcPr>
          <w:p w14:paraId="5CBEB663"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64" w:type="dxa"/>
            <w:gridSpan w:val="2"/>
            <w:tcBorders>
              <w:top w:val="single" w:sz="2" w:space="0" w:color="000000"/>
              <w:left w:val="single" w:sz="2" w:space="0" w:color="000000"/>
              <w:bottom w:val="none" w:sz="6" w:space="0" w:color="auto"/>
              <w:right w:val="none" w:sz="6" w:space="0" w:color="auto"/>
            </w:tcBorders>
          </w:tcPr>
          <w:p w14:paraId="5CBEB664"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960" w:type="dxa"/>
            <w:tcBorders>
              <w:top w:val="single" w:sz="2" w:space="0" w:color="000000"/>
              <w:left w:val="none" w:sz="6" w:space="0" w:color="auto"/>
              <w:bottom w:val="none" w:sz="6" w:space="0" w:color="auto"/>
              <w:right w:val="single" w:sz="6" w:space="0" w:color="000000"/>
            </w:tcBorders>
          </w:tcPr>
          <w:p w14:paraId="5CBEB665" w14:textId="77777777" w:rsidR="008A1AA7" w:rsidRPr="008436BB" w:rsidRDefault="008A1AA7" w:rsidP="008436BB">
            <w:pPr>
              <w:spacing w:before="0" w:after="0" w:line="360" w:lineRule="auto"/>
              <w:ind w:left="113"/>
              <w:rPr>
                <w:sz w:val="18"/>
                <w:szCs w:val="18"/>
              </w:rPr>
            </w:pPr>
            <w:r w:rsidRPr="008436BB">
              <w:rPr>
                <w:sz w:val="18"/>
                <w:szCs w:val="18"/>
              </w:rPr>
              <w:t>(1.7)</w:t>
            </w:r>
          </w:p>
        </w:tc>
      </w:tr>
      <w:tr w:rsidR="008A1AA7" w:rsidRPr="008436BB" w14:paraId="5CBEB66E" w14:textId="1274D349"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667" w14:textId="77777777" w:rsidR="008A1AA7" w:rsidRPr="008436BB" w:rsidRDefault="008A1AA7" w:rsidP="008436BB">
            <w:pPr>
              <w:spacing w:before="0" w:after="0" w:line="360" w:lineRule="auto"/>
              <w:ind w:left="113"/>
              <w:rPr>
                <w:sz w:val="18"/>
                <w:szCs w:val="18"/>
              </w:rPr>
            </w:pPr>
            <w:r w:rsidRPr="008436BB">
              <w:rPr>
                <w:sz w:val="18"/>
                <w:szCs w:val="18"/>
              </w:rPr>
              <w:t>Black Or African American</w:t>
            </w:r>
          </w:p>
        </w:tc>
        <w:tc>
          <w:tcPr>
            <w:tcW w:w="964" w:type="dxa"/>
            <w:gridSpan w:val="2"/>
            <w:tcBorders>
              <w:top w:val="none" w:sz="6" w:space="0" w:color="auto"/>
              <w:left w:val="single" w:sz="2" w:space="0" w:color="000000"/>
              <w:bottom w:val="none" w:sz="6" w:space="0" w:color="auto"/>
              <w:right w:val="none" w:sz="6" w:space="0" w:color="auto"/>
            </w:tcBorders>
          </w:tcPr>
          <w:p w14:paraId="5CBEB668"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1109" w:type="dxa"/>
            <w:tcBorders>
              <w:top w:val="none" w:sz="6" w:space="0" w:color="auto"/>
              <w:left w:val="none" w:sz="6" w:space="0" w:color="auto"/>
              <w:bottom w:val="none" w:sz="6" w:space="0" w:color="auto"/>
              <w:right w:val="single" w:sz="2" w:space="0" w:color="000000"/>
            </w:tcBorders>
          </w:tcPr>
          <w:p w14:paraId="5CBEB669" w14:textId="77777777" w:rsidR="008A1AA7" w:rsidRPr="008436BB" w:rsidRDefault="008A1AA7" w:rsidP="008436BB">
            <w:pPr>
              <w:spacing w:before="0" w:after="0" w:line="360" w:lineRule="auto"/>
              <w:ind w:left="113"/>
              <w:rPr>
                <w:sz w:val="18"/>
                <w:szCs w:val="18"/>
              </w:rPr>
            </w:pPr>
            <w:r w:rsidRPr="008436BB">
              <w:rPr>
                <w:sz w:val="18"/>
                <w:szCs w:val="18"/>
              </w:rPr>
              <w:t>(12.0)</w:t>
            </w:r>
          </w:p>
        </w:tc>
        <w:tc>
          <w:tcPr>
            <w:tcW w:w="964" w:type="dxa"/>
            <w:gridSpan w:val="2"/>
            <w:tcBorders>
              <w:top w:val="none" w:sz="6" w:space="0" w:color="auto"/>
              <w:left w:val="single" w:sz="2" w:space="0" w:color="000000"/>
              <w:bottom w:val="none" w:sz="6" w:space="0" w:color="auto"/>
              <w:right w:val="none" w:sz="6" w:space="0" w:color="auto"/>
            </w:tcBorders>
          </w:tcPr>
          <w:p w14:paraId="5CBEB66A"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09" w:type="dxa"/>
            <w:tcBorders>
              <w:top w:val="none" w:sz="6" w:space="0" w:color="auto"/>
              <w:left w:val="none" w:sz="6" w:space="0" w:color="auto"/>
              <w:bottom w:val="none" w:sz="6" w:space="0" w:color="auto"/>
              <w:right w:val="single" w:sz="2" w:space="0" w:color="000000"/>
            </w:tcBorders>
          </w:tcPr>
          <w:p w14:paraId="5CBEB66B"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64" w:type="dxa"/>
            <w:gridSpan w:val="2"/>
            <w:tcBorders>
              <w:top w:val="none" w:sz="6" w:space="0" w:color="auto"/>
              <w:left w:val="single" w:sz="2" w:space="0" w:color="000000"/>
              <w:bottom w:val="none" w:sz="6" w:space="0" w:color="auto"/>
              <w:right w:val="none" w:sz="6" w:space="0" w:color="auto"/>
            </w:tcBorders>
          </w:tcPr>
          <w:p w14:paraId="5CBEB66C"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960" w:type="dxa"/>
            <w:tcBorders>
              <w:top w:val="none" w:sz="6" w:space="0" w:color="auto"/>
              <w:left w:val="none" w:sz="6" w:space="0" w:color="auto"/>
              <w:bottom w:val="none" w:sz="6" w:space="0" w:color="auto"/>
              <w:right w:val="single" w:sz="6" w:space="0" w:color="000000"/>
            </w:tcBorders>
          </w:tcPr>
          <w:p w14:paraId="5CBEB66D" w14:textId="77777777" w:rsidR="008A1AA7" w:rsidRPr="008436BB" w:rsidRDefault="008A1AA7" w:rsidP="008436BB">
            <w:pPr>
              <w:spacing w:before="0" w:after="0" w:line="360" w:lineRule="auto"/>
              <w:ind w:left="113"/>
              <w:rPr>
                <w:sz w:val="18"/>
                <w:szCs w:val="18"/>
              </w:rPr>
            </w:pPr>
            <w:r w:rsidRPr="008436BB">
              <w:rPr>
                <w:sz w:val="18"/>
                <w:szCs w:val="18"/>
              </w:rPr>
              <w:t>(5.0)</w:t>
            </w:r>
          </w:p>
        </w:tc>
      </w:tr>
      <w:tr w:rsidR="008A1AA7" w:rsidRPr="008436BB" w14:paraId="5CBEB676" w14:textId="7E5C57A4" w:rsidTr="00D92572">
        <w:trPr>
          <w:trHeight w:val="235"/>
        </w:trPr>
        <w:tc>
          <w:tcPr>
            <w:tcW w:w="2719" w:type="dxa"/>
            <w:tcBorders>
              <w:top w:val="none" w:sz="6" w:space="0" w:color="auto"/>
              <w:left w:val="single" w:sz="6" w:space="0" w:color="000000"/>
              <w:bottom w:val="none" w:sz="6" w:space="0" w:color="auto"/>
              <w:right w:val="single" w:sz="2" w:space="0" w:color="000000"/>
            </w:tcBorders>
          </w:tcPr>
          <w:p w14:paraId="5CBEB66F" w14:textId="77777777" w:rsidR="008A1AA7" w:rsidRPr="008436BB" w:rsidRDefault="008A1AA7" w:rsidP="008436BB">
            <w:pPr>
              <w:spacing w:before="0" w:after="0" w:line="360" w:lineRule="auto"/>
              <w:ind w:left="113"/>
              <w:rPr>
                <w:sz w:val="18"/>
                <w:szCs w:val="18"/>
              </w:rPr>
            </w:pPr>
            <w:r w:rsidRPr="008436BB">
              <w:rPr>
                <w:sz w:val="18"/>
                <w:szCs w:val="18"/>
              </w:rPr>
              <w:t>Missing</w:t>
            </w:r>
          </w:p>
        </w:tc>
        <w:tc>
          <w:tcPr>
            <w:tcW w:w="964" w:type="dxa"/>
            <w:gridSpan w:val="2"/>
            <w:tcBorders>
              <w:top w:val="none" w:sz="6" w:space="0" w:color="auto"/>
              <w:left w:val="single" w:sz="2" w:space="0" w:color="000000"/>
              <w:bottom w:val="none" w:sz="6" w:space="0" w:color="auto"/>
              <w:right w:val="none" w:sz="6" w:space="0" w:color="auto"/>
            </w:tcBorders>
          </w:tcPr>
          <w:p w14:paraId="5CBEB670"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09" w:type="dxa"/>
            <w:tcBorders>
              <w:top w:val="none" w:sz="6" w:space="0" w:color="auto"/>
              <w:left w:val="none" w:sz="6" w:space="0" w:color="auto"/>
              <w:bottom w:val="none" w:sz="6" w:space="0" w:color="auto"/>
              <w:right w:val="single" w:sz="2" w:space="0" w:color="000000"/>
            </w:tcBorders>
          </w:tcPr>
          <w:p w14:paraId="5CBEB671" w14:textId="77777777" w:rsidR="008A1AA7" w:rsidRPr="008436BB" w:rsidRDefault="008A1AA7" w:rsidP="008436BB">
            <w:pPr>
              <w:spacing w:before="0" w:after="0" w:line="360" w:lineRule="auto"/>
              <w:ind w:left="113"/>
              <w:rPr>
                <w:sz w:val="18"/>
                <w:szCs w:val="18"/>
              </w:rPr>
            </w:pPr>
            <w:r w:rsidRPr="008436BB">
              <w:rPr>
                <w:sz w:val="18"/>
                <w:szCs w:val="18"/>
              </w:rPr>
              <w:t>(4.0)</w:t>
            </w:r>
          </w:p>
        </w:tc>
        <w:tc>
          <w:tcPr>
            <w:tcW w:w="964" w:type="dxa"/>
            <w:gridSpan w:val="2"/>
            <w:tcBorders>
              <w:top w:val="none" w:sz="6" w:space="0" w:color="auto"/>
              <w:left w:val="single" w:sz="2" w:space="0" w:color="000000"/>
              <w:bottom w:val="none" w:sz="6" w:space="0" w:color="auto"/>
              <w:right w:val="none" w:sz="6" w:space="0" w:color="auto"/>
            </w:tcBorders>
          </w:tcPr>
          <w:p w14:paraId="5CBEB672"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09" w:type="dxa"/>
            <w:tcBorders>
              <w:top w:val="none" w:sz="6" w:space="0" w:color="auto"/>
              <w:left w:val="none" w:sz="6" w:space="0" w:color="auto"/>
              <w:bottom w:val="none" w:sz="6" w:space="0" w:color="auto"/>
              <w:right w:val="single" w:sz="2" w:space="0" w:color="000000"/>
            </w:tcBorders>
          </w:tcPr>
          <w:p w14:paraId="5CBEB673"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64" w:type="dxa"/>
            <w:gridSpan w:val="2"/>
            <w:tcBorders>
              <w:top w:val="none" w:sz="6" w:space="0" w:color="auto"/>
              <w:left w:val="single" w:sz="2" w:space="0" w:color="000000"/>
              <w:bottom w:val="none" w:sz="6" w:space="0" w:color="auto"/>
              <w:right w:val="none" w:sz="6" w:space="0" w:color="auto"/>
            </w:tcBorders>
          </w:tcPr>
          <w:p w14:paraId="5CBEB674"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960" w:type="dxa"/>
            <w:tcBorders>
              <w:top w:val="none" w:sz="6" w:space="0" w:color="auto"/>
              <w:left w:val="none" w:sz="6" w:space="0" w:color="auto"/>
              <w:bottom w:val="none" w:sz="6" w:space="0" w:color="auto"/>
              <w:right w:val="single" w:sz="6" w:space="0" w:color="000000"/>
            </w:tcBorders>
          </w:tcPr>
          <w:p w14:paraId="5CBEB675" w14:textId="77777777" w:rsidR="008A1AA7" w:rsidRPr="008436BB" w:rsidRDefault="008A1AA7" w:rsidP="008436BB">
            <w:pPr>
              <w:spacing w:before="0" w:after="0" w:line="360" w:lineRule="auto"/>
              <w:ind w:left="113"/>
              <w:rPr>
                <w:sz w:val="18"/>
                <w:szCs w:val="18"/>
              </w:rPr>
            </w:pPr>
            <w:r w:rsidRPr="008436BB">
              <w:rPr>
                <w:sz w:val="18"/>
                <w:szCs w:val="18"/>
              </w:rPr>
              <w:t>(1.7)</w:t>
            </w:r>
          </w:p>
        </w:tc>
      </w:tr>
      <w:tr w:rsidR="008A1AA7" w:rsidRPr="008436BB" w14:paraId="5CBEB67E" w14:textId="66492B30"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677" w14:textId="77777777" w:rsidR="008A1AA7" w:rsidRPr="008436BB" w:rsidRDefault="008A1AA7" w:rsidP="008436BB">
            <w:pPr>
              <w:spacing w:before="0" w:after="0" w:line="360" w:lineRule="auto"/>
              <w:ind w:left="113"/>
              <w:rPr>
                <w:sz w:val="18"/>
                <w:szCs w:val="18"/>
              </w:rPr>
            </w:pPr>
            <w:r w:rsidRPr="008436BB">
              <w:rPr>
                <w:sz w:val="18"/>
                <w:szCs w:val="18"/>
              </w:rPr>
              <w:t>White</w:t>
            </w:r>
          </w:p>
        </w:tc>
        <w:tc>
          <w:tcPr>
            <w:tcW w:w="964" w:type="dxa"/>
            <w:gridSpan w:val="2"/>
            <w:tcBorders>
              <w:top w:val="none" w:sz="6" w:space="0" w:color="auto"/>
              <w:left w:val="single" w:sz="2" w:space="0" w:color="000000"/>
              <w:bottom w:val="single" w:sz="2" w:space="0" w:color="000000"/>
              <w:right w:val="none" w:sz="6" w:space="0" w:color="auto"/>
            </w:tcBorders>
          </w:tcPr>
          <w:p w14:paraId="5CBEB678" w14:textId="77777777" w:rsidR="008A1AA7" w:rsidRPr="008436BB" w:rsidRDefault="008A1AA7" w:rsidP="008436BB">
            <w:pPr>
              <w:spacing w:before="0" w:after="0" w:line="360" w:lineRule="auto"/>
              <w:ind w:left="113"/>
              <w:rPr>
                <w:sz w:val="18"/>
                <w:szCs w:val="18"/>
              </w:rPr>
            </w:pPr>
            <w:r w:rsidRPr="008436BB">
              <w:rPr>
                <w:sz w:val="18"/>
                <w:szCs w:val="18"/>
              </w:rPr>
              <w:t>21</w:t>
            </w:r>
          </w:p>
        </w:tc>
        <w:tc>
          <w:tcPr>
            <w:tcW w:w="1109" w:type="dxa"/>
            <w:tcBorders>
              <w:top w:val="none" w:sz="6" w:space="0" w:color="auto"/>
              <w:left w:val="none" w:sz="6" w:space="0" w:color="auto"/>
              <w:bottom w:val="single" w:sz="2" w:space="0" w:color="000000"/>
              <w:right w:val="single" w:sz="2" w:space="0" w:color="000000"/>
            </w:tcBorders>
          </w:tcPr>
          <w:p w14:paraId="5CBEB679" w14:textId="77777777" w:rsidR="008A1AA7" w:rsidRPr="008436BB" w:rsidRDefault="008A1AA7" w:rsidP="008436BB">
            <w:pPr>
              <w:spacing w:before="0" w:after="0" w:line="360" w:lineRule="auto"/>
              <w:ind w:left="113"/>
              <w:rPr>
                <w:sz w:val="18"/>
                <w:szCs w:val="18"/>
              </w:rPr>
            </w:pPr>
            <w:r w:rsidRPr="008436BB">
              <w:rPr>
                <w:sz w:val="18"/>
                <w:szCs w:val="18"/>
              </w:rPr>
              <w:t>(84.0)</w:t>
            </w:r>
          </w:p>
        </w:tc>
        <w:tc>
          <w:tcPr>
            <w:tcW w:w="964" w:type="dxa"/>
            <w:gridSpan w:val="2"/>
            <w:tcBorders>
              <w:top w:val="none" w:sz="6" w:space="0" w:color="auto"/>
              <w:left w:val="single" w:sz="2" w:space="0" w:color="000000"/>
              <w:bottom w:val="single" w:sz="2" w:space="0" w:color="000000"/>
              <w:right w:val="none" w:sz="6" w:space="0" w:color="auto"/>
            </w:tcBorders>
          </w:tcPr>
          <w:p w14:paraId="5CBEB67A" w14:textId="77777777" w:rsidR="008A1AA7" w:rsidRPr="008436BB" w:rsidRDefault="008A1AA7" w:rsidP="008436BB">
            <w:pPr>
              <w:spacing w:before="0" w:after="0" w:line="360" w:lineRule="auto"/>
              <w:ind w:left="113"/>
              <w:rPr>
                <w:sz w:val="18"/>
                <w:szCs w:val="18"/>
              </w:rPr>
            </w:pPr>
            <w:r w:rsidRPr="008436BB">
              <w:rPr>
                <w:sz w:val="18"/>
                <w:szCs w:val="18"/>
              </w:rPr>
              <w:t>34</w:t>
            </w:r>
          </w:p>
        </w:tc>
        <w:tc>
          <w:tcPr>
            <w:tcW w:w="1109" w:type="dxa"/>
            <w:tcBorders>
              <w:top w:val="none" w:sz="6" w:space="0" w:color="auto"/>
              <w:left w:val="none" w:sz="6" w:space="0" w:color="auto"/>
              <w:bottom w:val="single" w:sz="2" w:space="0" w:color="000000"/>
              <w:right w:val="single" w:sz="2" w:space="0" w:color="000000"/>
            </w:tcBorders>
          </w:tcPr>
          <w:p w14:paraId="5CBEB67B" w14:textId="77777777" w:rsidR="008A1AA7" w:rsidRPr="008436BB" w:rsidRDefault="008A1AA7" w:rsidP="008436BB">
            <w:pPr>
              <w:spacing w:before="0" w:after="0" w:line="360" w:lineRule="auto"/>
              <w:ind w:left="113"/>
              <w:rPr>
                <w:sz w:val="18"/>
                <w:szCs w:val="18"/>
              </w:rPr>
            </w:pPr>
            <w:r w:rsidRPr="008436BB">
              <w:rPr>
                <w:sz w:val="18"/>
                <w:szCs w:val="18"/>
              </w:rPr>
              <w:t>(97.1)</w:t>
            </w:r>
          </w:p>
        </w:tc>
        <w:tc>
          <w:tcPr>
            <w:tcW w:w="964" w:type="dxa"/>
            <w:gridSpan w:val="2"/>
            <w:tcBorders>
              <w:top w:val="none" w:sz="6" w:space="0" w:color="auto"/>
              <w:left w:val="single" w:sz="2" w:space="0" w:color="000000"/>
              <w:bottom w:val="single" w:sz="2" w:space="0" w:color="000000"/>
              <w:right w:val="none" w:sz="6" w:space="0" w:color="auto"/>
            </w:tcBorders>
          </w:tcPr>
          <w:p w14:paraId="5CBEB67C" w14:textId="77777777" w:rsidR="008A1AA7" w:rsidRPr="008436BB" w:rsidRDefault="008A1AA7" w:rsidP="008436BB">
            <w:pPr>
              <w:spacing w:before="0" w:after="0" w:line="360" w:lineRule="auto"/>
              <w:ind w:left="113"/>
              <w:rPr>
                <w:sz w:val="18"/>
                <w:szCs w:val="18"/>
              </w:rPr>
            </w:pPr>
            <w:r w:rsidRPr="008436BB">
              <w:rPr>
                <w:sz w:val="18"/>
                <w:szCs w:val="18"/>
              </w:rPr>
              <w:t>55</w:t>
            </w:r>
          </w:p>
        </w:tc>
        <w:tc>
          <w:tcPr>
            <w:tcW w:w="960" w:type="dxa"/>
            <w:tcBorders>
              <w:top w:val="none" w:sz="6" w:space="0" w:color="auto"/>
              <w:left w:val="none" w:sz="6" w:space="0" w:color="auto"/>
              <w:bottom w:val="single" w:sz="2" w:space="0" w:color="000000"/>
              <w:right w:val="single" w:sz="6" w:space="0" w:color="000000"/>
            </w:tcBorders>
          </w:tcPr>
          <w:p w14:paraId="5CBEB67D" w14:textId="77777777" w:rsidR="008A1AA7" w:rsidRPr="008436BB" w:rsidRDefault="008A1AA7" w:rsidP="008436BB">
            <w:pPr>
              <w:spacing w:before="0" w:after="0" w:line="360" w:lineRule="auto"/>
              <w:ind w:left="113"/>
              <w:rPr>
                <w:sz w:val="18"/>
                <w:szCs w:val="18"/>
              </w:rPr>
            </w:pPr>
            <w:r w:rsidRPr="008436BB">
              <w:rPr>
                <w:sz w:val="18"/>
                <w:szCs w:val="18"/>
              </w:rPr>
              <w:t>(91.7)</w:t>
            </w:r>
          </w:p>
        </w:tc>
      </w:tr>
      <w:tr w:rsidR="008A1AA7" w:rsidRPr="008436BB" w14:paraId="5CBEB680"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67F" w14:textId="77777777" w:rsidR="008A1AA7" w:rsidRPr="008436BB" w:rsidRDefault="008A1AA7" w:rsidP="008436BB">
            <w:pPr>
              <w:spacing w:before="0" w:after="0" w:line="360" w:lineRule="auto"/>
              <w:ind w:left="113"/>
              <w:rPr>
                <w:b/>
                <w:bCs/>
                <w:sz w:val="18"/>
                <w:szCs w:val="18"/>
              </w:rPr>
            </w:pPr>
            <w:r w:rsidRPr="008436BB">
              <w:rPr>
                <w:b/>
                <w:bCs/>
                <w:sz w:val="18"/>
                <w:szCs w:val="18"/>
              </w:rPr>
              <w:t>Ethnicity</w:t>
            </w:r>
          </w:p>
        </w:tc>
      </w:tr>
      <w:tr w:rsidR="008A1AA7" w:rsidRPr="008436BB" w14:paraId="5CBEB688" w14:textId="39710083" w:rsidTr="00D92572">
        <w:trPr>
          <w:trHeight w:val="213"/>
        </w:trPr>
        <w:tc>
          <w:tcPr>
            <w:tcW w:w="2719" w:type="dxa"/>
            <w:tcBorders>
              <w:top w:val="single" w:sz="2" w:space="0" w:color="000000"/>
              <w:left w:val="single" w:sz="6" w:space="0" w:color="000000"/>
              <w:bottom w:val="none" w:sz="6" w:space="0" w:color="auto"/>
              <w:right w:val="single" w:sz="2" w:space="0" w:color="000000"/>
            </w:tcBorders>
          </w:tcPr>
          <w:p w14:paraId="5CBEB681" w14:textId="77777777" w:rsidR="008A1AA7" w:rsidRPr="008436BB" w:rsidRDefault="008A1AA7" w:rsidP="008436BB">
            <w:pPr>
              <w:spacing w:before="0" w:after="0" w:line="360" w:lineRule="auto"/>
              <w:ind w:left="113"/>
              <w:rPr>
                <w:sz w:val="18"/>
                <w:szCs w:val="18"/>
              </w:rPr>
            </w:pPr>
            <w:r w:rsidRPr="008436BB">
              <w:rPr>
                <w:sz w:val="18"/>
                <w:szCs w:val="18"/>
              </w:rPr>
              <w:t>Hispanic Or Latino</w:t>
            </w:r>
          </w:p>
        </w:tc>
        <w:tc>
          <w:tcPr>
            <w:tcW w:w="964" w:type="dxa"/>
            <w:gridSpan w:val="2"/>
            <w:tcBorders>
              <w:top w:val="single" w:sz="2" w:space="0" w:color="000000"/>
              <w:left w:val="single" w:sz="2" w:space="0" w:color="000000"/>
              <w:bottom w:val="none" w:sz="6" w:space="0" w:color="auto"/>
              <w:right w:val="none" w:sz="6" w:space="0" w:color="auto"/>
            </w:tcBorders>
          </w:tcPr>
          <w:p w14:paraId="5CBEB682"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1109" w:type="dxa"/>
            <w:tcBorders>
              <w:top w:val="single" w:sz="2" w:space="0" w:color="000000"/>
              <w:left w:val="none" w:sz="6" w:space="0" w:color="auto"/>
              <w:bottom w:val="none" w:sz="6" w:space="0" w:color="auto"/>
              <w:right w:val="single" w:sz="2" w:space="0" w:color="000000"/>
            </w:tcBorders>
          </w:tcPr>
          <w:p w14:paraId="5CBEB683" w14:textId="77777777" w:rsidR="008A1AA7" w:rsidRPr="008436BB" w:rsidRDefault="008A1AA7" w:rsidP="008436BB">
            <w:pPr>
              <w:spacing w:before="0" w:after="0" w:line="360" w:lineRule="auto"/>
              <w:ind w:left="113"/>
              <w:rPr>
                <w:sz w:val="18"/>
                <w:szCs w:val="18"/>
              </w:rPr>
            </w:pPr>
            <w:r w:rsidRPr="008436BB">
              <w:rPr>
                <w:sz w:val="18"/>
                <w:szCs w:val="18"/>
              </w:rPr>
              <w:t>(12.0)</w:t>
            </w:r>
          </w:p>
        </w:tc>
        <w:tc>
          <w:tcPr>
            <w:tcW w:w="964" w:type="dxa"/>
            <w:gridSpan w:val="2"/>
            <w:tcBorders>
              <w:top w:val="single" w:sz="2" w:space="0" w:color="000000"/>
              <w:left w:val="single" w:sz="2" w:space="0" w:color="000000"/>
              <w:bottom w:val="none" w:sz="6" w:space="0" w:color="auto"/>
              <w:right w:val="none" w:sz="6" w:space="0" w:color="auto"/>
            </w:tcBorders>
          </w:tcPr>
          <w:p w14:paraId="5CBEB684"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09" w:type="dxa"/>
            <w:tcBorders>
              <w:top w:val="single" w:sz="2" w:space="0" w:color="000000"/>
              <w:left w:val="none" w:sz="6" w:space="0" w:color="auto"/>
              <w:bottom w:val="none" w:sz="6" w:space="0" w:color="auto"/>
              <w:right w:val="single" w:sz="2" w:space="0" w:color="000000"/>
            </w:tcBorders>
          </w:tcPr>
          <w:p w14:paraId="5CBEB685"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64" w:type="dxa"/>
            <w:gridSpan w:val="2"/>
            <w:tcBorders>
              <w:top w:val="single" w:sz="2" w:space="0" w:color="000000"/>
              <w:left w:val="single" w:sz="2" w:space="0" w:color="000000"/>
              <w:bottom w:val="none" w:sz="6" w:space="0" w:color="auto"/>
              <w:right w:val="none" w:sz="6" w:space="0" w:color="auto"/>
            </w:tcBorders>
          </w:tcPr>
          <w:p w14:paraId="5CBEB686"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960" w:type="dxa"/>
            <w:tcBorders>
              <w:top w:val="single" w:sz="2" w:space="0" w:color="000000"/>
              <w:left w:val="none" w:sz="6" w:space="0" w:color="auto"/>
              <w:bottom w:val="none" w:sz="6" w:space="0" w:color="auto"/>
              <w:right w:val="single" w:sz="6" w:space="0" w:color="000000"/>
            </w:tcBorders>
          </w:tcPr>
          <w:p w14:paraId="5CBEB687" w14:textId="77777777" w:rsidR="008A1AA7" w:rsidRPr="008436BB" w:rsidRDefault="008A1AA7" w:rsidP="008436BB">
            <w:pPr>
              <w:spacing w:before="0" w:after="0" w:line="360" w:lineRule="auto"/>
              <w:ind w:left="113"/>
              <w:rPr>
                <w:sz w:val="18"/>
                <w:szCs w:val="18"/>
              </w:rPr>
            </w:pPr>
            <w:r w:rsidRPr="008436BB">
              <w:rPr>
                <w:sz w:val="18"/>
                <w:szCs w:val="18"/>
              </w:rPr>
              <w:t>(5.0)</w:t>
            </w:r>
          </w:p>
        </w:tc>
      </w:tr>
      <w:tr w:rsidR="008A1AA7" w:rsidRPr="008436BB" w14:paraId="5CBEB690" w14:textId="00251946"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689" w14:textId="77777777" w:rsidR="008A1AA7" w:rsidRPr="008436BB" w:rsidRDefault="008A1AA7" w:rsidP="008436BB">
            <w:pPr>
              <w:spacing w:before="0" w:after="0" w:line="360" w:lineRule="auto"/>
              <w:ind w:left="113"/>
              <w:rPr>
                <w:sz w:val="18"/>
                <w:szCs w:val="18"/>
              </w:rPr>
            </w:pPr>
            <w:r w:rsidRPr="008436BB">
              <w:rPr>
                <w:sz w:val="18"/>
                <w:szCs w:val="18"/>
              </w:rPr>
              <w:t>Not Hispanic Or Latino</w:t>
            </w:r>
          </w:p>
        </w:tc>
        <w:tc>
          <w:tcPr>
            <w:tcW w:w="964" w:type="dxa"/>
            <w:gridSpan w:val="2"/>
            <w:tcBorders>
              <w:top w:val="none" w:sz="6" w:space="0" w:color="auto"/>
              <w:left w:val="single" w:sz="2" w:space="0" w:color="000000"/>
              <w:bottom w:val="none" w:sz="6" w:space="0" w:color="auto"/>
              <w:right w:val="none" w:sz="6" w:space="0" w:color="auto"/>
            </w:tcBorders>
          </w:tcPr>
          <w:p w14:paraId="5CBEB68A" w14:textId="77777777" w:rsidR="008A1AA7" w:rsidRPr="008436BB" w:rsidRDefault="008A1AA7" w:rsidP="008436BB">
            <w:pPr>
              <w:spacing w:before="0" w:after="0" w:line="360" w:lineRule="auto"/>
              <w:ind w:left="113"/>
              <w:rPr>
                <w:sz w:val="18"/>
                <w:szCs w:val="18"/>
              </w:rPr>
            </w:pPr>
            <w:r w:rsidRPr="008436BB">
              <w:rPr>
                <w:sz w:val="18"/>
                <w:szCs w:val="18"/>
              </w:rPr>
              <w:t>17</w:t>
            </w:r>
          </w:p>
        </w:tc>
        <w:tc>
          <w:tcPr>
            <w:tcW w:w="1109" w:type="dxa"/>
            <w:tcBorders>
              <w:top w:val="none" w:sz="6" w:space="0" w:color="auto"/>
              <w:left w:val="none" w:sz="6" w:space="0" w:color="auto"/>
              <w:bottom w:val="none" w:sz="6" w:space="0" w:color="auto"/>
              <w:right w:val="single" w:sz="2" w:space="0" w:color="000000"/>
            </w:tcBorders>
          </w:tcPr>
          <w:p w14:paraId="5CBEB68B" w14:textId="77777777" w:rsidR="008A1AA7" w:rsidRPr="008436BB" w:rsidRDefault="008A1AA7" w:rsidP="008436BB">
            <w:pPr>
              <w:spacing w:before="0" w:after="0" w:line="360" w:lineRule="auto"/>
              <w:ind w:left="113"/>
              <w:rPr>
                <w:sz w:val="18"/>
                <w:szCs w:val="18"/>
              </w:rPr>
            </w:pPr>
            <w:r w:rsidRPr="008436BB">
              <w:rPr>
                <w:sz w:val="18"/>
                <w:szCs w:val="18"/>
              </w:rPr>
              <w:t>(68.0)</w:t>
            </w:r>
          </w:p>
        </w:tc>
        <w:tc>
          <w:tcPr>
            <w:tcW w:w="964" w:type="dxa"/>
            <w:gridSpan w:val="2"/>
            <w:tcBorders>
              <w:top w:val="none" w:sz="6" w:space="0" w:color="auto"/>
              <w:left w:val="single" w:sz="2" w:space="0" w:color="000000"/>
              <w:bottom w:val="none" w:sz="6" w:space="0" w:color="auto"/>
              <w:right w:val="none" w:sz="6" w:space="0" w:color="auto"/>
            </w:tcBorders>
          </w:tcPr>
          <w:p w14:paraId="5CBEB68C" w14:textId="77777777" w:rsidR="008A1AA7" w:rsidRPr="008436BB" w:rsidRDefault="008A1AA7" w:rsidP="008436BB">
            <w:pPr>
              <w:spacing w:before="0" w:after="0" w:line="360" w:lineRule="auto"/>
              <w:ind w:left="113"/>
              <w:rPr>
                <w:sz w:val="18"/>
                <w:szCs w:val="18"/>
              </w:rPr>
            </w:pPr>
            <w:r w:rsidRPr="008436BB">
              <w:rPr>
                <w:sz w:val="18"/>
                <w:szCs w:val="18"/>
              </w:rPr>
              <w:t>31</w:t>
            </w:r>
          </w:p>
        </w:tc>
        <w:tc>
          <w:tcPr>
            <w:tcW w:w="1109" w:type="dxa"/>
            <w:tcBorders>
              <w:top w:val="none" w:sz="6" w:space="0" w:color="auto"/>
              <w:left w:val="none" w:sz="6" w:space="0" w:color="auto"/>
              <w:bottom w:val="none" w:sz="6" w:space="0" w:color="auto"/>
              <w:right w:val="single" w:sz="2" w:space="0" w:color="000000"/>
            </w:tcBorders>
          </w:tcPr>
          <w:p w14:paraId="5CBEB68D" w14:textId="77777777" w:rsidR="008A1AA7" w:rsidRPr="008436BB" w:rsidRDefault="008A1AA7" w:rsidP="008436BB">
            <w:pPr>
              <w:spacing w:before="0" w:after="0" w:line="360" w:lineRule="auto"/>
              <w:ind w:left="113"/>
              <w:rPr>
                <w:sz w:val="18"/>
                <w:szCs w:val="18"/>
              </w:rPr>
            </w:pPr>
            <w:r w:rsidRPr="008436BB">
              <w:rPr>
                <w:sz w:val="18"/>
                <w:szCs w:val="18"/>
              </w:rPr>
              <w:t>(88.6)</w:t>
            </w:r>
          </w:p>
        </w:tc>
        <w:tc>
          <w:tcPr>
            <w:tcW w:w="964" w:type="dxa"/>
            <w:gridSpan w:val="2"/>
            <w:tcBorders>
              <w:top w:val="none" w:sz="6" w:space="0" w:color="auto"/>
              <w:left w:val="single" w:sz="2" w:space="0" w:color="000000"/>
              <w:bottom w:val="none" w:sz="6" w:space="0" w:color="auto"/>
              <w:right w:val="none" w:sz="6" w:space="0" w:color="auto"/>
            </w:tcBorders>
          </w:tcPr>
          <w:p w14:paraId="5CBEB68E" w14:textId="77777777" w:rsidR="008A1AA7" w:rsidRPr="008436BB" w:rsidRDefault="008A1AA7" w:rsidP="008436BB">
            <w:pPr>
              <w:spacing w:before="0" w:after="0" w:line="360" w:lineRule="auto"/>
              <w:ind w:left="113"/>
              <w:rPr>
                <w:sz w:val="18"/>
                <w:szCs w:val="18"/>
              </w:rPr>
            </w:pPr>
            <w:r w:rsidRPr="008436BB">
              <w:rPr>
                <w:sz w:val="18"/>
                <w:szCs w:val="18"/>
              </w:rPr>
              <w:t>48</w:t>
            </w:r>
          </w:p>
        </w:tc>
        <w:tc>
          <w:tcPr>
            <w:tcW w:w="960" w:type="dxa"/>
            <w:tcBorders>
              <w:top w:val="none" w:sz="6" w:space="0" w:color="auto"/>
              <w:left w:val="none" w:sz="6" w:space="0" w:color="auto"/>
              <w:bottom w:val="none" w:sz="6" w:space="0" w:color="auto"/>
              <w:right w:val="single" w:sz="6" w:space="0" w:color="000000"/>
            </w:tcBorders>
          </w:tcPr>
          <w:p w14:paraId="5CBEB68F" w14:textId="77777777" w:rsidR="008A1AA7" w:rsidRPr="008436BB" w:rsidRDefault="008A1AA7" w:rsidP="008436BB">
            <w:pPr>
              <w:spacing w:before="0" w:after="0" w:line="360" w:lineRule="auto"/>
              <w:ind w:left="113"/>
              <w:rPr>
                <w:sz w:val="18"/>
                <w:szCs w:val="18"/>
              </w:rPr>
            </w:pPr>
            <w:r w:rsidRPr="008436BB">
              <w:rPr>
                <w:sz w:val="18"/>
                <w:szCs w:val="18"/>
              </w:rPr>
              <w:t>(80.0)</w:t>
            </w:r>
          </w:p>
        </w:tc>
      </w:tr>
      <w:tr w:rsidR="008A1AA7" w:rsidRPr="008436BB" w14:paraId="5CBEB698" w14:textId="3A9ADD04" w:rsidTr="00D92572">
        <w:trPr>
          <w:trHeight w:val="235"/>
        </w:trPr>
        <w:tc>
          <w:tcPr>
            <w:tcW w:w="2719" w:type="dxa"/>
            <w:tcBorders>
              <w:top w:val="none" w:sz="6" w:space="0" w:color="auto"/>
              <w:left w:val="single" w:sz="6" w:space="0" w:color="000000"/>
              <w:bottom w:val="none" w:sz="6" w:space="0" w:color="auto"/>
              <w:right w:val="single" w:sz="2" w:space="0" w:color="000000"/>
            </w:tcBorders>
          </w:tcPr>
          <w:p w14:paraId="5CBEB691" w14:textId="77777777" w:rsidR="008A1AA7" w:rsidRPr="008436BB" w:rsidRDefault="008A1AA7" w:rsidP="008436BB">
            <w:pPr>
              <w:spacing w:before="0" w:after="0" w:line="360" w:lineRule="auto"/>
              <w:ind w:left="113"/>
              <w:rPr>
                <w:sz w:val="18"/>
                <w:szCs w:val="18"/>
              </w:rPr>
            </w:pPr>
            <w:r w:rsidRPr="008436BB">
              <w:rPr>
                <w:sz w:val="18"/>
                <w:szCs w:val="18"/>
              </w:rPr>
              <w:t>Not Reported</w:t>
            </w:r>
          </w:p>
        </w:tc>
        <w:tc>
          <w:tcPr>
            <w:tcW w:w="964" w:type="dxa"/>
            <w:gridSpan w:val="2"/>
            <w:tcBorders>
              <w:top w:val="none" w:sz="6" w:space="0" w:color="auto"/>
              <w:left w:val="single" w:sz="2" w:space="0" w:color="000000"/>
              <w:bottom w:val="none" w:sz="6" w:space="0" w:color="auto"/>
              <w:right w:val="none" w:sz="6" w:space="0" w:color="auto"/>
            </w:tcBorders>
          </w:tcPr>
          <w:p w14:paraId="5CBEB692"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1109" w:type="dxa"/>
            <w:tcBorders>
              <w:top w:val="none" w:sz="6" w:space="0" w:color="auto"/>
              <w:left w:val="none" w:sz="6" w:space="0" w:color="auto"/>
              <w:bottom w:val="none" w:sz="6" w:space="0" w:color="auto"/>
              <w:right w:val="single" w:sz="2" w:space="0" w:color="000000"/>
            </w:tcBorders>
          </w:tcPr>
          <w:p w14:paraId="5CBEB693" w14:textId="77777777" w:rsidR="008A1AA7" w:rsidRPr="008436BB" w:rsidRDefault="008A1AA7" w:rsidP="008436BB">
            <w:pPr>
              <w:spacing w:before="0" w:after="0" w:line="360" w:lineRule="auto"/>
              <w:ind w:left="113"/>
              <w:rPr>
                <w:sz w:val="18"/>
                <w:szCs w:val="18"/>
              </w:rPr>
            </w:pPr>
            <w:r w:rsidRPr="008436BB">
              <w:rPr>
                <w:sz w:val="18"/>
                <w:szCs w:val="18"/>
              </w:rPr>
              <w:t>(12.0)</w:t>
            </w:r>
          </w:p>
        </w:tc>
        <w:tc>
          <w:tcPr>
            <w:tcW w:w="964" w:type="dxa"/>
            <w:gridSpan w:val="2"/>
            <w:tcBorders>
              <w:top w:val="none" w:sz="6" w:space="0" w:color="auto"/>
              <w:left w:val="single" w:sz="2" w:space="0" w:color="000000"/>
              <w:bottom w:val="none" w:sz="6" w:space="0" w:color="auto"/>
              <w:right w:val="none" w:sz="6" w:space="0" w:color="auto"/>
            </w:tcBorders>
          </w:tcPr>
          <w:p w14:paraId="5CBEB694"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09" w:type="dxa"/>
            <w:tcBorders>
              <w:top w:val="none" w:sz="6" w:space="0" w:color="auto"/>
              <w:left w:val="none" w:sz="6" w:space="0" w:color="auto"/>
              <w:bottom w:val="none" w:sz="6" w:space="0" w:color="auto"/>
              <w:right w:val="single" w:sz="2" w:space="0" w:color="000000"/>
            </w:tcBorders>
          </w:tcPr>
          <w:p w14:paraId="5CBEB695"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64" w:type="dxa"/>
            <w:gridSpan w:val="2"/>
            <w:tcBorders>
              <w:top w:val="none" w:sz="6" w:space="0" w:color="auto"/>
              <w:left w:val="single" w:sz="2" w:space="0" w:color="000000"/>
              <w:bottom w:val="none" w:sz="6" w:space="0" w:color="auto"/>
              <w:right w:val="none" w:sz="6" w:space="0" w:color="auto"/>
            </w:tcBorders>
          </w:tcPr>
          <w:p w14:paraId="5CBEB696" w14:textId="77777777" w:rsidR="008A1AA7" w:rsidRPr="008436BB" w:rsidRDefault="008A1AA7" w:rsidP="008436BB">
            <w:pPr>
              <w:spacing w:before="0" w:after="0" w:line="360" w:lineRule="auto"/>
              <w:ind w:left="113"/>
              <w:rPr>
                <w:sz w:val="18"/>
                <w:szCs w:val="18"/>
              </w:rPr>
            </w:pPr>
            <w:r w:rsidRPr="008436BB">
              <w:rPr>
                <w:sz w:val="18"/>
                <w:szCs w:val="18"/>
              </w:rPr>
              <w:t>4</w:t>
            </w:r>
          </w:p>
        </w:tc>
        <w:tc>
          <w:tcPr>
            <w:tcW w:w="960" w:type="dxa"/>
            <w:tcBorders>
              <w:top w:val="none" w:sz="6" w:space="0" w:color="auto"/>
              <w:left w:val="none" w:sz="6" w:space="0" w:color="auto"/>
              <w:bottom w:val="none" w:sz="6" w:space="0" w:color="auto"/>
              <w:right w:val="single" w:sz="6" w:space="0" w:color="000000"/>
            </w:tcBorders>
          </w:tcPr>
          <w:p w14:paraId="5CBEB697" w14:textId="77777777" w:rsidR="008A1AA7" w:rsidRPr="008436BB" w:rsidRDefault="008A1AA7" w:rsidP="008436BB">
            <w:pPr>
              <w:spacing w:before="0" w:after="0" w:line="360" w:lineRule="auto"/>
              <w:ind w:left="113"/>
              <w:rPr>
                <w:sz w:val="18"/>
                <w:szCs w:val="18"/>
              </w:rPr>
            </w:pPr>
            <w:r w:rsidRPr="008436BB">
              <w:rPr>
                <w:sz w:val="18"/>
                <w:szCs w:val="18"/>
              </w:rPr>
              <w:t>(6.7)</w:t>
            </w:r>
          </w:p>
        </w:tc>
      </w:tr>
      <w:tr w:rsidR="008A1AA7" w:rsidRPr="008436BB" w14:paraId="5CBEB6A0" w14:textId="30B49BFB"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699" w14:textId="77777777" w:rsidR="008A1AA7" w:rsidRPr="008436BB" w:rsidRDefault="008A1AA7" w:rsidP="008436BB">
            <w:pPr>
              <w:spacing w:before="0" w:after="0" w:line="360" w:lineRule="auto"/>
              <w:ind w:left="113"/>
              <w:rPr>
                <w:sz w:val="18"/>
                <w:szCs w:val="18"/>
              </w:rPr>
            </w:pPr>
            <w:r w:rsidRPr="008436BB">
              <w:rPr>
                <w:sz w:val="18"/>
                <w:szCs w:val="18"/>
              </w:rPr>
              <w:t>Unknown</w:t>
            </w:r>
          </w:p>
        </w:tc>
        <w:tc>
          <w:tcPr>
            <w:tcW w:w="964" w:type="dxa"/>
            <w:gridSpan w:val="2"/>
            <w:tcBorders>
              <w:top w:val="none" w:sz="6" w:space="0" w:color="auto"/>
              <w:left w:val="single" w:sz="2" w:space="0" w:color="000000"/>
              <w:bottom w:val="single" w:sz="2" w:space="0" w:color="000000"/>
              <w:right w:val="none" w:sz="6" w:space="0" w:color="auto"/>
            </w:tcBorders>
          </w:tcPr>
          <w:p w14:paraId="5CBEB69A"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09" w:type="dxa"/>
            <w:tcBorders>
              <w:top w:val="none" w:sz="6" w:space="0" w:color="auto"/>
              <w:left w:val="none" w:sz="6" w:space="0" w:color="auto"/>
              <w:bottom w:val="single" w:sz="2" w:space="0" w:color="000000"/>
              <w:right w:val="single" w:sz="2" w:space="0" w:color="000000"/>
            </w:tcBorders>
          </w:tcPr>
          <w:p w14:paraId="5CBEB69B" w14:textId="77777777" w:rsidR="008A1AA7" w:rsidRPr="008436BB" w:rsidRDefault="008A1AA7" w:rsidP="008436BB">
            <w:pPr>
              <w:spacing w:before="0" w:after="0" w:line="360" w:lineRule="auto"/>
              <w:ind w:left="113"/>
              <w:rPr>
                <w:sz w:val="18"/>
                <w:szCs w:val="18"/>
              </w:rPr>
            </w:pPr>
            <w:r w:rsidRPr="008436BB">
              <w:rPr>
                <w:sz w:val="18"/>
                <w:szCs w:val="18"/>
              </w:rPr>
              <w:t>(8.0)</w:t>
            </w:r>
          </w:p>
        </w:tc>
        <w:tc>
          <w:tcPr>
            <w:tcW w:w="964" w:type="dxa"/>
            <w:gridSpan w:val="2"/>
            <w:tcBorders>
              <w:top w:val="none" w:sz="6" w:space="0" w:color="auto"/>
              <w:left w:val="single" w:sz="2" w:space="0" w:color="000000"/>
              <w:bottom w:val="single" w:sz="2" w:space="0" w:color="000000"/>
              <w:right w:val="none" w:sz="6" w:space="0" w:color="auto"/>
            </w:tcBorders>
          </w:tcPr>
          <w:p w14:paraId="5CBEB69C"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1109" w:type="dxa"/>
            <w:tcBorders>
              <w:top w:val="none" w:sz="6" w:space="0" w:color="auto"/>
              <w:left w:val="none" w:sz="6" w:space="0" w:color="auto"/>
              <w:bottom w:val="single" w:sz="2" w:space="0" w:color="000000"/>
              <w:right w:val="single" w:sz="2" w:space="0" w:color="000000"/>
            </w:tcBorders>
          </w:tcPr>
          <w:p w14:paraId="5CBEB69D" w14:textId="77777777" w:rsidR="008A1AA7" w:rsidRPr="008436BB" w:rsidRDefault="008A1AA7" w:rsidP="008436BB">
            <w:pPr>
              <w:spacing w:before="0" w:after="0" w:line="360" w:lineRule="auto"/>
              <w:ind w:left="113"/>
              <w:rPr>
                <w:sz w:val="18"/>
                <w:szCs w:val="18"/>
              </w:rPr>
            </w:pPr>
            <w:r w:rsidRPr="008436BB">
              <w:rPr>
                <w:sz w:val="18"/>
                <w:szCs w:val="18"/>
              </w:rPr>
              <w:t>(8.6)</w:t>
            </w:r>
          </w:p>
        </w:tc>
        <w:tc>
          <w:tcPr>
            <w:tcW w:w="964" w:type="dxa"/>
            <w:gridSpan w:val="2"/>
            <w:tcBorders>
              <w:top w:val="none" w:sz="6" w:space="0" w:color="auto"/>
              <w:left w:val="single" w:sz="2" w:space="0" w:color="000000"/>
              <w:bottom w:val="single" w:sz="2" w:space="0" w:color="000000"/>
              <w:right w:val="none" w:sz="6" w:space="0" w:color="auto"/>
            </w:tcBorders>
          </w:tcPr>
          <w:p w14:paraId="5CBEB69E" w14:textId="77777777" w:rsidR="008A1AA7" w:rsidRPr="008436BB" w:rsidRDefault="008A1AA7" w:rsidP="008436BB">
            <w:pPr>
              <w:spacing w:before="0" w:after="0" w:line="360" w:lineRule="auto"/>
              <w:ind w:left="113"/>
              <w:rPr>
                <w:sz w:val="18"/>
                <w:szCs w:val="18"/>
              </w:rPr>
            </w:pPr>
            <w:r w:rsidRPr="008436BB">
              <w:rPr>
                <w:sz w:val="18"/>
                <w:szCs w:val="18"/>
              </w:rPr>
              <w:t>5</w:t>
            </w:r>
          </w:p>
        </w:tc>
        <w:tc>
          <w:tcPr>
            <w:tcW w:w="960" w:type="dxa"/>
            <w:tcBorders>
              <w:top w:val="none" w:sz="6" w:space="0" w:color="auto"/>
              <w:left w:val="none" w:sz="6" w:space="0" w:color="auto"/>
              <w:bottom w:val="single" w:sz="2" w:space="0" w:color="000000"/>
              <w:right w:val="single" w:sz="6" w:space="0" w:color="000000"/>
            </w:tcBorders>
          </w:tcPr>
          <w:p w14:paraId="5CBEB69F" w14:textId="77777777" w:rsidR="008A1AA7" w:rsidRPr="008436BB" w:rsidRDefault="008A1AA7" w:rsidP="008436BB">
            <w:pPr>
              <w:spacing w:before="0" w:after="0" w:line="360" w:lineRule="auto"/>
              <w:ind w:left="113"/>
              <w:rPr>
                <w:sz w:val="18"/>
                <w:szCs w:val="18"/>
              </w:rPr>
            </w:pPr>
            <w:r w:rsidRPr="008436BB">
              <w:rPr>
                <w:sz w:val="18"/>
                <w:szCs w:val="18"/>
              </w:rPr>
              <w:t>(8.3)</w:t>
            </w:r>
          </w:p>
        </w:tc>
      </w:tr>
      <w:tr w:rsidR="008A1AA7" w:rsidRPr="008436BB" w14:paraId="5CBEB6A2"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6A1" w14:textId="77777777" w:rsidR="008A1AA7" w:rsidRPr="008436BB" w:rsidRDefault="008A1AA7" w:rsidP="008436BB">
            <w:pPr>
              <w:spacing w:before="0" w:after="0" w:line="360" w:lineRule="auto"/>
              <w:ind w:left="113"/>
              <w:rPr>
                <w:b/>
                <w:bCs/>
                <w:sz w:val="18"/>
                <w:szCs w:val="18"/>
              </w:rPr>
            </w:pPr>
            <w:r w:rsidRPr="008436BB">
              <w:rPr>
                <w:b/>
                <w:bCs/>
                <w:sz w:val="18"/>
                <w:szCs w:val="18"/>
              </w:rPr>
              <w:t>Race Group</w:t>
            </w:r>
          </w:p>
        </w:tc>
      </w:tr>
      <w:tr w:rsidR="008A1AA7" w:rsidRPr="008436BB" w14:paraId="5CBEB6AA" w14:textId="5F37CF89" w:rsidTr="00D92572">
        <w:trPr>
          <w:trHeight w:val="213"/>
        </w:trPr>
        <w:tc>
          <w:tcPr>
            <w:tcW w:w="2719" w:type="dxa"/>
            <w:tcBorders>
              <w:top w:val="single" w:sz="2" w:space="0" w:color="000000"/>
              <w:left w:val="single" w:sz="6" w:space="0" w:color="000000"/>
              <w:bottom w:val="none" w:sz="6" w:space="0" w:color="auto"/>
              <w:right w:val="single" w:sz="2" w:space="0" w:color="000000"/>
            </w:tcBorders>
          </w:tcPr>
          <w:p w14:paraId="5CBEB6A3" w14:textId="77777777" w:rsidR="008A1AA7" w:rsidRPr="008436BB" w:rsidRDefault="008A1AA7" w:rsidP="008436BB">
            <w:pPr>
              <w:spacing w:before="0" w:after="0" w:line="360" w:lineRule="auto"/>
              <w:ind w:left="113"/>
              <w:rPr>
                <w:sz w:val="18"/>
                <w:szCs w:val="18"/>
              </w:rPr>
            </w:pPr>
            <w:r w:rsidRPr="008436BB">
              <w:rPr>
                <w:sz w:val="18"/>
                <w:szCs w:val="18"/>
              </w:rPr>
              <w:t>White</w:t>
            </w:r>
          </w:p>
        </w:tc>
        <w:tc>
          <w:tcPr>
            <w:tcW w:w="964" w:type="dxa"/>
            <w:gridSpan w:val="2"/>
            <w:tcBorders>
              <w:top w:val="single" w:sz="2" w:space="0" w:color="000000"/>
              <w:left w:val="single" w:sz="2" w:space="0" w:color="000000"/>
              <w:bottom w:val="none" w:sz="6" w:space="0" w:color="auto"/>
              <w:right w:val="none" w:sz="6" w:space="0" w:color="auto"/>
            </w:tcBorders>
          </w:tcPr>
          <w:p w14:paraId="5CBEB6A4" w14:textId="77777777" w:rsidR="008A1AA7" w:rsidRPr="008436BB" w:rsidRDefault="008A1AA7" w:rsidP="008436BB">
            <w:pPr>
              <w:spacing w:before="0" w:after="0" w:line="360" w:lineRule="auto"/>
              <w:ind w:left="113"/>
              <w:rPr>
                <w:sz w:val="18"/>
                <w:szCs w:val="18"/>
              </w:rPr>
            </w:pPr>
            <w:r w:rsidRPr="008436BB">
              <w:rPr>
                <w:sz w:val="18"/>
                <w:szCs w:val="18"/>
              </w:rPr>
              <w:t>21</w:t>
            </w:r>
          </w:p>
        </w:tc>
        <w:tc>
          <w:tcPr>
            <w:tcW w:w="1109" w:type="dxa"/>
            <w:tcBorders>
              <w:top w:val="single" w:sz="2" w:space="0" w:color="000000"/>
              <w:left w:val="none" w:sz="6" w:space="0" w:color="auto"/>
              <w:bottom w:val="none" w:sz="6" w:space="0" w:color="auto"/>
              <w:right w:val="single" w:sz="2" w:space="0" w:color="000000"/>
            </w:tcBorders>
          </w:tcPr>
          <w:p w14:paraId="5CBEB6A5" w14:textId="77777777" w:rsidR="008A1AA7" w:rsidRPr="008436BB" w:rsidRDefault="008A1AA7" w:rsidP="008436BB">
            <w:pPr>
              <w:spacing w:before="0" w:after="0" w:line="360" w:lineRule="auto"/>
              <w:ind w:left="113"/>
              <w:rPr>
                <w:sz w:val="18"/>
                <w:szCs w:val="18"/>
              </w:rPr>
            </w:pPr>
            <w:r w:rsidRPr="008436BB">
              <w:rPr>
                <w:sz w:val="18"/>
                <w:szCs w:val="18"/>
              </w:rPr>
              <w:t>(84.0)</w:t>
            </w:r>
          </w:p>
        </w:tc>
        <w:tc>
          <w:tcPr>
            <w:tcW w:w="964" w:type="dxa"/>
            <w:gridSpan w:val="2"/>
            <w:tcBorders>
              <w:top w:val="single" w:sz="2" w:space="0" w:color="000000"/>
              <w:left w:val="single" w:sz="2" w:space="0" w:color="000000"/>
              <w:bottom w:val="none" w:sz="6" w:space="0" w:color="auto"/>
              <w:right w:val="none" w:sz="6" w:space="0" w:color="auto"/>
            </w:tcBorders>
          </w:tcPr>
          <w:p w14:paraId="5CBEB6A6" w14:textId="77777777" w:rsidR="008A1AA7" w:rsidRPr="008436BB" w:rsidRDefault="008A1AA7" w:rsidP="008436BB">
            <w:pPr>
              <w:spacing w:before="0" w:after="0" w:line="360" w:lineRule="auto"/>
              <w:ind w:left="113"/>
              <w:rPr>
                <w:sz w:val="18"/>
                <w:szCs w:val="18"/>
              </w:rPr>
            </w:pPr>
            <w:r w:rsidRPr="008436BB">
              <w:rPr>
                <w:sz w:val="18"/>
                <w:szCs w:val="18"/>
              </w:rPr>
              <w:t>34</w:t>
            </w:r>
          </w:p>
        </w:tc>
        <w:tc>
          <w:tcPr>
            <w:tcW w:w="1109" w:type="dxa"/>
            <w:tcBorders>
              <w:top w:val="single" w:sz="2" w:space="0" w:color="000000"/>
              <w:left w:val="none" w:sz="6" w:space="0" w:color="auto"/>
              <w:bottom w:val="none" w:sz="6" w:space="0" w:color="auto"/>
              <w:right w:val="single" w:sz="2" w:space="0" w:color="000000"/>
            </w:tcBorders>
          </w:tcPr>
          <w:p w14:paraId="5CBEB6A7" w14:textId="77777777" w:rsidR="008A1AA7" w:rsidRPr="008436BB" w:rsidRDefault="008A1AA7" w:rsidP="008436BB">
            <w:pPr>
              <w:spacing w:before="0" w:after="0" w:line="360" w:lineRule="auto"/>
              <w:ind w:left="113"/>
              <w:rPr>
                <w:sz w:val="18"/>
                <w:szCs w:val="18"/>
              </w:rPr>
            </w:pPr>
            <w:r w:rsidRPr="008436BB">
              <w:rPr>
                <w:sz w:val="18"/>
                <w:szCs w:val="18"/>
              </w:rPr>
              <w:t>(97.1)</w:t>
            </w:r>
          </w:p>
        </w:tc>
        <w:tc>
          <w:tcPr>
            <w:tcW w:w="964" w:type="dxa"/>
            <w:gridSpan w:val="2"/>
            <w:tcBorders>
              <w:top w:val="single" w:sz="2" w:space="0" w:color="000000"/>
              <w:left w:val="single" w:sz="2" w:space="0" w:color="000000"/>
              <w:bottom w:val="none" w:sz="6" w:space="0" w:color="auto"/>
              <w:right w:val="none" w:sz="6" w:space="0" w:color="auto"/>
            </w:tcBorders>
          </w:tcPr>
          <w:p w14:paraId="5CBEB6A8" w14:textId="77777777" w:rsidR="008A1AA7" w:rsidRPr="008436BB" w:rsidRDefault="008A1AA7" w:rsidP="008436BB">
            <w:pPr>
              <w:spacing w:before="0" w:after="0" w:line="360" w:lineRule="auto"/>
              <w:ind w:left="113"/>
              <w:rPr>
                <w:sz w:val="18"/>
                <w:szCs w:val="18"/>
              </w:rPr>
            </w:pPr>
            <w:r w:rsidRPr="008436BB">
              <w:rPr>
                <w:sz w:val="18"/>
                <w:szCs w:val="18"/>
              </w:rPr>
              <w:t>55</w:t>
            </w:r>
          </w:p>
        </w:tc>
        <w:tc>
          <w:tcPr>
            <w:tcW w:w="960" w:type="dxa"/>
            <w:tcBorders>
              <w:top w:val="single" w:sz="2" w:space="0" w:color="000000"/>
              <w:left w:val="none" w:sz="6" w:space="0" w:color="auto"/>
              <w:bottom w:val="none" w:sz="6" w:space="0" w:color="auto"/>
              <w:right w:val="single" w:sz="6" w:space="0" w:color="000000"/>
            </w:tcBorders>
          </w:tcPr>
          <w:p w14:paraId="5CBEB6A9" w14:textId="77777777" w:rsidR="008A1AA7" w:rsidRPr="008436BB" w:rsidRDefault="008A1AA7" w:rsidP="008436BB">
            <w:pPr>
              <w:spacing w:before="0" w:after="0" w:line="360" w:lineRule="auto"/>
              <w:ind w:left="113"/>
              <w:rPr>
                <w:sz w:val="18"/>
                <w:szCs w:val="18"/>
              </w:rPr>
            </w:pPr>
            <w:r w:rsidRPr="008436BB">
              <w:rPr>
                <w:sz w:val="18"/>
                <w:szCs w:val="18"/>
              </w:rPr>
              <w:t>(91.7)</w:t>
            </w:r>
          </w:p>
        </w:tc>
      </w:tr>
      <w:tr w:rsidR="008A1AA7" w:rsidRPr="008436BB" w14:paraId="5CBEB6B2" w14:textId="1D934AD4" w:rsidTr="00D92572">
        <w:trPr>
          <w:trHeight w:val="235"/>
        </w:trPr>
        <w:tc>
          <w:tcPr>
            <w:tcW w:w="2719" w:type="dxa"/>
            <w:tcBorders>
              <w:top w:val="none" w:sz="6" w:space="0" w:color="auto"/>
              <w:left w:val="single" w:sz="6" w:space="0" w:color="000000"/>
              <w:bottom w:val="none" w:sz="6" w:space="0" w:color="auto"/>
              <w:right w:val="single" w:sz="2" w:space="0" w:color="000000"/>
            </w:tcBorders>
          </w:tcPr>
          <w:p w14:paraId="5CBEB6AB" w14:textId="77777777" w:rsidR="008A1AA7" w:rsidRPr="008436BB" w:rsidRDefault="008A1AA7" w:rsidP="008436BB">
            <w:pPr>
              <w:spacing w:before="0" w:after="0" w:line="360" w:lineRule="auto"/>
              <w:ind w:left="113"/>
              <w:rPr>
                <w:sz w:val="18"/>
                <w:szCs w:val="18"/>
              </w:rPr>
            </w:pPr>
            <w:r w:rsidRPr="008436BB">
              <w:rPr>
                <w:sz w:val="18"/>
                <w:szCs w:val="18"/>
              </w:rPr>
              <w:t>Non-White</w:t>
            </w:r>
          </w:p>
        </w:tc>
        <w:tc>
          <w:tcPr>
            <w:tcW w:w="964" w:type="dxa"/>
            <w:gridSpan w:val="2"/>
            <w:tcBorders>
              <w:top w:val="none" w:sz="6" w:space="0" w:color="auto"/>
              <w:left w:val="single" w:sz="2" w:space="0" w:color="000000"/>
              <w:bottom w:val="none" w:sz="6" w:space="0" w:color="auto"/>
              <w:right w:val="none" w:sz="6" w:space="0" w:color="auto"/>
            </w:tcBorders>
          </w:tcPr>
          <w:p w14:paraId="5CBEB6AC"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1109" w:type="dxa"/>
            <w:tcBorders>
              <w:top w:val="none" w:sz="6" w:space="0" w:color="auto"/>
              <w:left w:val="none" w:sz="6" w:space="0" w:color="auto"/>
              <w:bottom w:val="none" w:sz="6" w:space="0" w:color="auto"/>
              <w:right w:val="single" w:sz="2" w:space="0" w:color="000000"/>
            </w:tcBorders>
          </w:tcPr>
          <w:p w14:paraId="5CBEB6AD" w14:textId="77777777" w:rsidR="008A1AA7" w:rsidRPr="008436BB" w:rsidRDefault="008A1AA7" w:rsidP="008436BB">
            <w:pPr>
              <w:spacing w:before="0" w:after="0" w:line="360" w:lineRule="auto"/>
              <w:ind w:left="113"/>
              <w:rPr>
                <w:sz w:val="18"/>
                <w:szCs w:val="18"/>
              </w:rPr>
            </w:pPr>
            <w:r w:rsidRPr="008436BB">
              <w:rPr>
                <w:sz w:val="18"/>
                <w:szCs w:val="18"/>
              </w:rPr>
              <w:t>(12.0)</w:t>
            </w:r>
          </w:p>
        </w:tc>
        <w:tc>
          <w:tcPr>
            <w:tcW w:w="964" w:type="dxa"/>
            <w:gridSpan w:val="2"/>
            <w:tcBorders>
              <w:top w:val="none" w:sz="6" w:space="0" w:color="auto"/>
              <w:left w:val="single" w:sz="2" w:space="0" w:color="000000"/>
              <w:bottom w:val="none" w:sz="6" w:space="0" w:color="auto"/>
              <w:right w:val="none" w:sz="6" w:space="0" w:color="auto"/>
            </w:tcBorders>
          </w:tcPr>
          <w:p w14:paraId="5CBEB6AE"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09" w:type="dxa"/>
            <w:tcBorders>
              <w:top w:val="none" w:sz="6" w:space="0" w:color="auto"/>
              <w:left w:val="none" w:sz="6" w:space="0" w:color="auto"/>
              <w:bottom w:val="none" w:sz="6" w:space="0" w:color="auto"/>
              <w:right w:val="single" w:sz="2" w:space="0" w:color="000000"/>
            </w:tcBorders>
          </w:tcPr>
          <w:p w14:paraId="5CBEB6AF"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64" w:type="dxa"/>
            <w:gridSpan w:val="2"/>
            <w:tcBorders>
              <w:top w:val="none" w:sz="6" w:space="0" w:color="auto"/>
              <w:left w:val="single" w:sz="2" w:space="0" w:color="000000"/>
              <w:bottom w:val="none" w:sz="6" w:space="0" w:color="auto"/>
              <w:right w:val="none" w:sz="6" w:space="0" w:color="auto"/>
            </w:tcBorders>
          </w:tcPr>
          <w:p w14:paraId="5CBEB6B0" w14:textId="77777777" w:rsidR="008A1AA7" w:rsidRPr="008436BB" w:rsidRDefault="008A1AA7" w:rsidP="008436BB">
            <w:pPr>
              <w:spacing w:before="0" w:after="0" w:line="360" w:lineRule="auto"/>
              <w:ind w:left="113"/>
              <w:rPr>
                <w:sz w:val="18"/>
                <w:szCs w:val="18"/>
              </w:rPr>
            </w:pPr>
            <w:r w:rsidRPr="008436BB">
              <w:rPr>
                <w:sz w:val="18"/>
                <w:szCs w:val="18"/>
              </w:rPr>
              <w:t>4</w:t>
            </w:r>
          </w:p>
        </w:tc>
        <w:tc>
          <w:tcPr>
            <w:tcW w:w="960" w:type="dxa"/>
            <w:tcBorders>
              <w:top w:val="none" w:sz="6" w:space="0" w:color="auto"/>
              <w:left w:val="none" w:sz="6" w:space="0" w:color="auto"/>
              <w:bottom w:val="none" w:sz="6" w:space="0" w:color="auto"/>
              <w:right w:val="single" w:sz="6" w:space="0" w:color="000000"/>
            </w:tcBorders>
          </w:tcPr>
          <w:p w14:paraId="5CBEB6B1" w14:textId="77777777" w:rsidR="008A1AA7" w:rsidRPr="008436BB" w:rsidRDefault="008A1AA7" w:rsidP="008436BB">
            <w:pPr>
              <w:spacing w:before="0" w:after="0" w:line="360" w:lineRule="auto"/>
              <w:ind w:left="113"/>
              <w:rPr>
                <w:sz w:val="18"/>
                <w:szCs w:val="18"/>
              </w:rPr>
            </w:pPr>
            <w:r w:rsidRPr="008436BB">
              <w:rPr>
                <w:sz w:val="18"/>
                <w:szCs w:val="18"/>
              </w:rPr>
              <w:t>(6.7)</w:t>
            </w:r>
          </w:p>
        </w:tc>
      </w:tr>
      <w:tr w:rsidR="008A1AA7" w:rsidRPr="008436BB" w14:paraId="5CBEB6BA" w14:textId="28833598"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6B3" w14:textId="77777777" w:rsidR="008A1AA7" w:rsidRPr="008436BB" w:rsidRDefault="008A1AA7" w:rsidP="008436BB">
            <w:pPr>
              <w:spacing w:before="0" w:after="0" w:line="360" w:lineRule="auto"/>
              <w:ind w:left="113"/>
              <w:rPr>
                <w:sz w:val="18"/>
                <w:szCs w:val="18"/>
              </w:rPr>
            </w:pPr>
            <w:r w:rsidRPr="008436BB">
              <w:rPr>
                <w:sz w:val="18"/>
                <w:szCs w:val="18"/>
              </w:rPr>
              <w:t>Missing</w:t>
            </w:r>
          </w:p>
        </w:tc>
        <w:tc>
          <w:tcPr>
            <w:tcW w:w="964" w:type="dxa"/>
            <w:gridSpan w:val="2"/>
            <w:tcBorders>
              <w:top w:val="none" w:sz="6" w:space="0" w:color="auto"/>
              <w:left w:val="single" w:sz="2" w:space="0" w:color="000000"/>
              <w:bottom w:val="single" w:sz="2" w:space="0" w:color="000000"/>
              <w:right w:val="none" w:sz="6" w:space="0" w:color="auto"/>
            </w:tcBorders>
          </w:tcPr>
          <w:p w14:paraId="5CBEB6B4"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09" w:type="dxa"/>
            <w:tcBorders>
              <w:top w:val="none" w:sz="6" w:space="0" w:color="auto"/>
              <w:left w:val="none" w:sz="6" w:space="0" w:color="auto"/>
              <w:bottom w:val="single" w:sz="2" w:space="0" w:color="000000"/>
              <w:right w:val="single" w:sz="2" w:space="0" w:color="000000"/>
            </w:tcBorders>
          </w:tcPr>
          <w:p w14:paraId="5CBEB6B5" w14:textId="77777777" w:rsidR="008A1AA7" w:rsidRPr="008436BB" w:rsidRDefault="008A1AA7" w:rsidP="008436BB">
            <w:pPr>
              <w:spacing w:before="0" w:after="0" w:line="360" w:lineRule="auto"/>
              <w:ind w:left="113"/>
              <w:rPr>
                <w:sz w:val="18"/>
                <w:szCs w:val="18"/>
              </w:rPr>
            </w:pPr>
            <w:r w:rsidRPr="008436BB">
              <w:rPr>
                <w:sz w:val="18"/>
                <w:szCs w:val="18"/>
              </w:rPr>
              <w:t>(4.0)</w:t>
            </w:r>
          </w:p>
        </w:tc>
        <w:tc>
          <w:tcPr>
            <w:tcW w:w="964" w:type="dxa"/>
            <w:gridSpan w:val="2"/>
            <w:tcBorders>
              <w:top w:val="none" w:sz="6" w:space="0" w:color="auto"/>
              <w:left w:val="single" w:sz="2" w:space="0" w:color="000000"/>
              <w:bottom w:val="single" w:sz="2" w:space="0" w:color="000000"/>
              <w:right w:val="none" w:sz="6" w:space="0" w:color="auto"/>
            </w:tcBorders>
          </w:tcPr>
          <w:p w14:paraId="5CBEB6B6"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09" w:type="dxa"/>
            <w:tcBorders>
              <w:top w:val="none" w:sz="6" w:space="0" w:color="auto"/>
              <w:left w:val="none" w:sz="6" w:space="0" w:color="auto"/>
              <w:bottom w:val="single" w:sz="2" w:space="0" w:color="000000"/>
              <w:right w:val="single" w:sz="2" w:space="0" w:color="000000"/>
            </w:tcBorders>
          </w:tcPr>
          <w:p w14:paraId="5CBEB6B7"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64" w:type="dxa"/>
            <w:gridSpan w:val="2"/>
            <w:tcBorders>
              <w:top w:val="none" w:sz="6" w:space="0" w:color="auto"/>
              <w:left w:val="single" w:sz="2" w:space="0" w:color="000000"/>
              <w:bottom w:val="single" w:sz="2" w:space="0" w:color="000000"/>
              <w:right w:val="none" w:sz="6" w:space="0" w:color="auto"/>
            </w:tcBorders>
          </w:tcPr>
          <w:p w14:paraId="5CBEB6B8"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960" w:type="dxa"/>
            <w:tcBorders>
              <w:top w:val="none" w:sz="6" w:space="0" w:color="auto"/>
              <w:left w:val="none" w:sz="6" w:space="0" w:color="auto"/>
              <w:bottom w:val="single" w:sz="2" w:space="0" w:color="000000"/>
              <w:right w:val="single" w:sz="6" w:space="0" w:color="000000"/>
            </w:tcBorders>
          </w:tcPr>
          <w:p w14:paraId="5CBEB6B9" w14:textId="4E40D6F4" w:rsidR="008A1AA7" w:rsidRPr="008436BB" w:rsidRDefault="008A1AA7" w:rsidP="008436BB">
            <w:pPr>
              <w:spacing w:before="0" w:after="0" w:line="360" w:lineRule="auto"/>
              <w:ind w:left="113"/>
              <w:rPr>
                <w:sz w:val="18"/>
                <w:szCs w:val="18"/>
              </w:rPr>
            </w:pPr>
            <w:r w:rsidRPr="008436BB">
              <w:rPr>
                <w:sz w:val="18"/>
                <w:szCs w:val="18"/>
              </w:rPr>
              <w:t>(1.7)</w:t>
            </w:r>
          </w:p>
        </w:tc>
      </w:tr>
      <w:tr w:rsidR="008A1AA7" w:rsidRPr="008436BB" w14:paraId="5CBEB6BC" w14:textId="77777777" w:rsidTr="00D92572">
        <w:trPr>
          <w:trHeight w:val="302"/>
        </w:trPr>
        <w:tc>
          <w:tcPr>
            <w:tcW w:w="8789" w:type="dxa"/>
            <w:gridSpan w:val="10"/>
            <w:tcBorders>
              <w:top w:val="single" w:sz="2" w:space="0" w:color="000000"/>
              <w:left w:val="single" w:sz="6" w:space="0" w:color="000000"/>
              <w:bottom w:val="single" w:sz="2" w:space="0" w:color="000000"/>
              <w:right w:val="single" w:sz="6" w:space="0" w:color="000000"/>
            </w:tcBorders>
          </w:tcPr>
          <w:p w14:paraId="5CBEB6BB" w14:textId="77777777" w:rsidR="008A1AA7" w:rsidRPr="008436BB" w:rsidRDefault="008A1AA7" w:rsidP="008436BB">
            <w:pPr>
              <w:spacing w:before="0" w:after="0" w:line="360" w:lineRule="auto"/>
              <w:ind w:left="113"/>
              <w:rPr>
                <w:b/>
                <w:bCs/>
                <w:sz w:val="18"/>
                <w:szCs w:val="18"/>
              </w:rPr>
            </w:pPr>
            <w:r w:rsidRPr="008436BB">
              <w:rPr>
                <w:b/>
                <w:bCs/>
                <w:sz w:val="18"/>
                <w:szCs w:val="18"/>
              </w:rPr>
              <w:t>US Region</w:t>
            </w:r>
          </w:p>
        </w:tc>
      </w:tr>
      <w:tr w:rsidR="008A1AA7" w:rsidRPr="008436BB" w14:paraId="5CBEB6C4" w14:textId="77777777" w:rsidTr="00D92572">
        <w:trPr>
          <w:trHeight w:val="236"/>
        </w:trPr>
        <w:tc>
          <w:tcPr>
            <w:tcW w:w="2719" w:type="dxa"/>
            <w:tcBorders>
              <w:top w:val="single" w:sz="2" w:space="0" w:color="000000"/>
              <w:left w:val="single" w:sz="6" w:space="0" w:color="000000"/>
              <w:bottom w:val="none" w:sz="6" w:space="0" w:color="auto"/>
              <w:right w:val="single" w:sz="2" w:space="0" w:color="000000"/>
            </w:tcBorders>
          </w:tcPr>
          <w:p w14:paraId="5CBEB6BD" w14:textId="77777777" w:rsidR="008A1AA7" w:rsidRPr="008436BB" w:rsidRDefault="008A1AA7" w:rsidP="008436BB">
            <w:pPr>
              <w:spacing w:before="0" w:after="0" w:line="360" w:lineRule="auto"/>
              <w:ind w:left="113"/>
              <w:rPr>
                <w:sz w:val="18"/>
                <w:szCs w:val="18"/>
              </w:rPr>
            </w:pPr>
            <w:r w:rsidRPr="008436BB">
              <w:rPr>
                <w:sz w:val="18"/>
                <w:szCs w:val="18"/>
              </w:rPr>
              <w:t>US</w:t>
            </w:r>
          </w:p>
        </w:tc>
        <w:tc>
          <w:tcPr>
            <w:tcW w:w="964" w:type="dxa"/>
            <w:gridSpan w:val="2"/>
            <w:tcBorders>
              <w:top w:val="single" w:sz="2" w:space="0" w:color="000000"/>
              <w:left w:val="single" w:sz="2" w:space="0" w:color="000000"/>
              <w:bottom w:val="none" w:sz="6" w:space="0" w:color="auto"/>
              <w:right w:val="none" w:sz="6" w:space="0" w:color="auto"/>
            </w:tcBorders>
          </w:tcPr>
          <w:p w14:paraId="5CBEB6BE" w14:textId="77777777" w:rsidR="008A1AA7" w:rsidRPr="008436BB" w:rsidRDefault="008A1AA7" w:rsidP="008436BB">
            <w:pPr>
              <w:spacing w:before="0" w:after="0" w:line="360" w:lineRule="auto"/>
              <w:ind w:left="113"/>
              <w:rPr>
                <w:sz w:val="18"/>
                <w:szCs w:val="18"/>
              </w:rPr>
            </w:pPr>
            <w:r w:rsidRPr="008436BB">
              <w:rPr>
                <w:sz w:val="18"/>
                <w:szCs w:val="18"/>
              </w:rPr>
              <w:t>14</w:t>
            </w:r>
          </w:p>
        </w:tc>
        <w:tc>
          <w:tcPr>
            <w:tcW w:w="1109" w:type="dxa"/>
            <w:tcBorders>
              <w:top w:val="single" w:sz="2" w:space="0" w:color="000000"/>
              <w:left w:val="none" w:sz="6" w:space="0" w:color="auto"/>
              <w:bottom w:val="none" w:sz="6" w:space="0" w:color="auto"/>
              <w:right w:val="single" w:sz="2" w:space="0" w:color="000000"/>
            </w:tcBorders>
          </w:tcPr>
          <w:p w14:paraId="5CBEB6BF" w14:textId="77777777" w:rsidR="008A1AA7" w:rsidRPr="008436BB" w:rsidRDefault="008A1AA7" w:rsidP="008436BB">
            <w:pPr>
              <w:spacing w:before="0" w:after="0" w:line="360" w:lineRule="auto"/>
              <w:ind w:left="113"/>
              <w:rPr>
                <w:sz w:val="18"/>
                <w:szCs w:val="18"/>
              </w:rPr>
            </w:pPr>
            <w:r w:rsidRPr="008436BB">
              <w:rPr>
                <w:sz w:val="18"/>
                <w:szCs w:val="18"/>
              </w:rPr>
              <w:t>(56.0)</w:t>
            </w:r>
          </w:p>
        </w:tc>
        <w:tc>
          <w:tcPr>
            <w:tcW w:w="964" w:type="dxa"/>
            <w:gridSpan w:val="2"/>
            <w:tcBorders>
              <w:top w:val="single" w:sz="2" w:space="0" w:color="000000"/>
              <w:left w:val="single" w:sz="2" w:space="0" w:color="000000"/>
              <w:bottom w:val="none" w:sz="6" w:space="0" w:color="auto"/>
              <w:right w:val="none" w:sz="6" w:space="0" w:color="auto"/>
            </w:tcBorders>
          </w:tcPr>
          <w:p w14:paraId="5CBEB6C0" w14:textId="77777777" w:rsidR="008A1AA7" w:rsidRPr="008436BB" w:rsidRDefault="008A1AA7" w:rsidP="008436BB">
            <w:pPr>
              <w:spacing w:before="0" w:after="0" w:line="360" w:lineRule="auto"/>
              <w:ind w:left="113"/>
              <w:rPr>
                <w:sz w:val="18"/>
                <w:szCs w:val="18"/>
              </w:rPr>
            </w:pPr>
            <w:r w:rsidRPr="008436BB">
              <w:rPr>
                <w:sz w:val="18"/>
                <w:szCs w:val="18"/>
              </w:rPr>
              <w:t>5</w:t>
            </w:r>
          </w:p>
        </w:tc>
        <w:tc>
          <w:tcPr>
            <w:tcW w:w="1109" w:type="dxa"/>
            <w:tcBorders>
              <w:top w:val="single" w:sz="2" w:space="0" w:color="000000"/>
              <w:left w:val="none" w:sz="6" w:space="0" w:color="auto"/>
              <w:bottom w:val="none" w:sz="6" w:space="0" w:color="auto"/>
              <w:right w:val="single" w:sz="2" w:space="0" w:color="000000"/>
            </w:tcBorders>
          </w:tcPr>
          <w:p w14:paraId="5CBEB6C1" w14:textId="77777777" w:rsidR="008A1AA7" w:rsidRPr="008436BB" w:rsidRDefault="008A1AA7" w:rsidP="008436BB">
            <w:pPr>
              <w:spacing w:before="0" w:after="0" w:line="360" w:lineRule="auto"/>
              <w:ind w:left="113"/>
              <w:rPr>
                <w:sz w:val="18"/>
                <w:szCs w:val="18"/>
              </w:rPr>
            </w:pPr>
            <w:r w:rsidRPr="008436BB">
              <w:rPr>
                <w:sz w:val="18"/>
                <w:szCs w:val="18"/>
              </w:rPr>
              <w:t>(14.3)</w:t>
            </w:r>
          </w:p>
        </w:tc>
        <w:tc>
          <w:tcPr>
            <w:tcW w:w="964" w:type="dxa"/>
            <w:gridSpan w:val="2"/>
            <w:tcBorders>
              <w:top w:val="single" w:sz="2" w:space="0" w:color="000000"/>
              <w:left w:val="single" w:sz="2" w:space="0" w:color="000000"/>
              <w:bottom w:val="none" w:sz="6" w:space="0" w:color="auto"/>
              <w:right w:val="none" w:sz="6" w:space="0" w:color="auto"/>
            </w:tcBorders>
          </w:tcPr>
          <w:p w14:paraId="5CBEB6C2"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960" w:type="dxa"/>
            <w:tcBorders>
              <w:top w:val="single" w:sz="2" w:space="0" w:color="000000"/>
              <w:left w:val="none" w:sz="6" w:space="0" w:color="auto"/>
              <w:bottom w:val="none" w:sz="6" w:space="0" w:color="auto"/>
              <w:right w:val="single" w:sz="6" w:space="0" w:color="000000"/>
            </w:tcBorders>
          </w:tcPr>
          <w:p w14:paraId="5CBEB6C3" w14:textId="77777777" w:rsidR="008A1AA7" w:rsidRPr="008436BB" w:rsidRDefault="008A1AA7" w:rsidP="008436BB">
            <w:pPr>
              <w:spacing w:before="0" w:after="0" w:line="360" w:lineRule="auto"/>
              <w:ind w:left="113"/>
              <w:rPr>
                <w:sz w:val="18"/>
                <w:szCs w:val="18"/>
              </w:rPr>
            </w:pPr>
            <w:r w:rsidRPr="008436BB">
              <w:rPr>
                <w:sz w:val="18"/>
                <w:szCs w:val="18"/>
              </w:rPr>
              <w:t>(31.7)</w:t>
            </w:r>
          </w:p>
        </w:tc>
      </w:tr>
      <w:tr w:rsidR="008A1AA7" w:rsidRPr="008436BB" w14:paraId="5CBEB6CC" w14:textId="77777777" w:rsidTr="00D92572">
        <w:trPr>
          <w:trHeight w:val="282"/>
        </w:trPr>
        <w:tc>
          <w:tcPr>
            <w:tcW w:w="2719" w:type="dxa"/>
            <w:tcBorders>
              <w:top w:val="none" w:sz="6" w:space="0" w:color="auto"/>
              <w:left w:val="single" w:sz="6" w:space="0" w:color="000000"/>
              <w:bottom w:val="single" w:sz="2" w:space="0" w:color="000000"/>
              <w:right w:val="single" w:sz="2" w:space="0" w:color="000000"/>
            </w:tcBorders>
          </w:tcPr>
          <w:p w14:paraId="5CBEB6C5" w14:textId="77777777" w:rsidR="008A1AA7" w:rsidRPr="008436BB" w:rsidRDefault="008A1AA7" w:rsidP="008436BB">
            <w:pPr>
              <w:spacing w:before="0" w:after="0" w:line="360" w:lineRule="auto"/>
              <w:ind w:left="113"/>
              <w:rPr>
                <w:sz w:val="18"/>
                <w:szCs w:val="18"/>
              </w:rPr>
            </w:pPr>
            <w:r w:rsidRPr="008436BB">
              <w:rPr>
                <w:sz w:val="18"/>
                <w:szCs w:val="18"/>
              </w:rPr>
              <w:t>Ex-US</w:t>
            </w:r>
          </w:p>
        </w:tc>
        <w:tc>
          <w:tcPr>
            <w:tcW w:w="964" w:type="dxa"/>
            <w:gridSpan w:val="2"/>
            <w:tcBorders>
              <w:top w:val="none" w:sz="6" w:space="0" w:color="auto"/>
              <w:left w:val="single" w:sz="2" w:space="0" w:color="000000"/>
              <w:bottom w:val="single" w:sz="2" w:space="0" w:color="000000"/>
              <w:right w:val="none" w:sz="6" w:space="0" w:color="auto"/>
            </w:tcBorders>
          </w:tcPr>
          <w:p w14:paraId="5CBEB6C6" w14:textId="77777777" w:rsidR="008A1AA7" w:rsidRPr="008436BB" w:rsidRDefault="008A1AA7" w:rsidP="008436BB">
            <w:pPr>
              <w:spacing w:before="0" w:after="0" w:line="360" w:lineRule="auto"/>
              <w:ind w:left="113"/>
              <w:rPr>
                <w:sz w:val="18"/>
                <w:szCs w:val="18"/>
              </w:rPr>
            </w:pPr>
            <w:r w:rsidRPr="008436BB">
              <w:rPr>
                <w:sz w:val="18"/>
                <w:szCs w:val="18"/>
              </w:rPr>
              <w:t>11</w:t>
            </w:r>
          </w:p>
        </w:tc>
        <w:tc>
          <w:tcPr>
            <w:tcW w:w="1109" w:type="dxa"/>
            <w:tcBorders>
              <w:top w:val="none" w:sz="6" w:space="0" w:color="auto"/>
              <w:left w:val="none" w:sz="6" w:space="0" w:color="auto"/>
              <w:bottom w:val="single" w:sz="2" w:space="0" w:color="000000"/>
              <w:right w:val="single" w:sz="2" w:space="0" w:color="000000"/>
            </w:tcBorders>
          </w:tcPr>
          <w:p w14:paraId="5CBEB6C7" w14:textId="77777777" w:rsidR="008A1AA7" w:rsidRPr="008436BB" w:rsidRDefault="008A1AA7" w:rsidP="008436BB">
            <w:pPr>
              <w:spacing w:before="0" w:after="0" w:line="360" w:lineRule="auto"/>
              <w:ind w:left="113"/>
              <w:rPr>
                <w:sz w:val="18"/>
                <w:szCs w:val="18"/>
              </w:rPr>
            </w:pPr>
            <w:r w:rsidRPr="008436BB">
              <w:rPr>
                <w:sz w:val="18"/>
                <w:szCs w:val="18"/>
              </w:rPr>
              <w:t>(44.0)</w:t>
            </w:r>
          </w:p>
        </w:tc>
        <w:tc>
          <w:tcPr>
            <w:tcW w:w="964" w:type="dxa"/>
            <w:gridSpan w:val="2"/>
            <w:tcBorders>
              <w:top w:val="none" w:sz="6" w:space="0" w:color="auto"/>
              <w:left w:val="single" w:sz="2" w:space="0" w:color="000000"/>
              <w:bottom w:val="single" w:sz="2" w:space="0" w:color="000000"/>
              <w:right w:val="none" w:sz="6" w:space="0" w:color="auto"/>
            </w:tcBorders>
          </w:tcPr>
          <w:p w14:paraId="5CBEB6C8" w14:textId="77777777" w:rsidR="008A1AA7" w:rsidRPr="008436BB" w:rsidRDefault="008A1AA7" w:rsidP="008436BB">
            <w:pPr>
              <w:spacing w:before="0" w:after="0" w:line="360" w:lineRule="auto"/>
              <w:ind w:left="113"/>
              <w:rPr>
                <w:sz w:val="18"/>
                <w:szCs w:val="18"/>
              </w:rPr>
            </w:pPr>
            <w:r w:rsidRPr="008436BB">
              <w:rPr>
                <w:sz w:val="18"/>
                <w:szCs w:val="18"/>
              </w:rPr>
              <w:t>30</w:t>
            </w:r>
          </w:p>
        </w:tc>
        <w:tc>
          <w:tcPr>
            <w:tcW w:w="1109" w:type="dxa"/>
            <w:tcBorders>
              <w:top w:val="none" w:sz="6" w:space="0" w:color="auto"/>
              <w:left w:val="none" w:sz="6" w:space="0" w:color="auto"/>
              <w:bottom w:val="single" w:sz="2" w:space="0" w:color="000000"/>
              <w:right w:val="single" w:sz="2" w:space="0" w:color="000000"/>
            </w:tcBorders>
          </w:tcPr>
          <w:p w14:paraId="5CBEB6C9" w14:textId="77777777" w:rsidR="008A1AA7" w:rsidRPr="008436BB" w:rsidRDefault="008A1AA7" w:rsidP="008436BB">
            <w:pPr>
              <w:spacing w:before="0" w:after="0" w:line="360" w:lineRule="auto"/>
              <w:ind w:left="113"/>
              <w:rPr>
                <w:sz w:val="18"/>
                <w:szCs w:val="18"/>
              </w:rPr>
            </w:pPr>
            <w:r w:rsidRPr="008436BB">
              <w:rPr>
                <w:sz w:val="18"/>
                <w:szCs w:val="18"/>
              </w:rPr>
              <w:t>(85.7)</w:t>
            </w:r>
          </w:p>
        </w:tc>
        <w:tc>
          <w:tcPr>
            <w:tcW w:w="964" w:type="dxa"/>
            <w:gridSpan w:val="2"/>
            <w:tcBorders>
              <w:top w:val="none" w:sz="6" w:space="0" w:color="auto"/>
              <w:left w:val="single" w:sz="2" w:space="0" w:color="000000"/>
              <w:bottom w:val="single" w:sz="2" w:space="0" w:color="000000"/>
              <w:right w:val="none" w:sz="6" w:space="0" w:color="auto"/>
            </w:tcBorders>
          </w:tcPr>
          <w:p w14:paraId="5CBEB6CA" w14:textId="77777777" w:rsidR="008A1AA7" w:rsidRPr="008436BB" w:rsidRDefault="008A1AA7" w:rsidP="008436BB">
            <w:pPr>
              <w:spacing w:before="0" w:after="0" w:line="360" w:lineRule="auto"/>
              <w:ind w:left="113"/>
              <w:rPr>
                <w:sz w:val="18"/>
                <w:szCs w:val="18"/>
              </w:rPr>
            </w:pPr>
            <w:r w:rsidRPr="008436BB">
              <w:rPr>
                <w:sz w:val="18"/>
                <w:szCs w:val="18"/>
              </w:rPr>
              <w:t>41</w:t>
            </w:r>
          </w:p>
        </w:tc>
        <w:tc>
          <w:tcPr>
            <w:tcW w:w="960" w:type="dxa"/>
            <w:tcBorders>
              <w:top w:val="none" w:sz="6" w:space="0" w:color="auto"/>
              <w:left w:val="none" w:sz="6" w:space="0" w:color="auto"/>
              <w:bottom w:val="single" w:sz="2" w:space="0" w:color="000000"/>
              <w:right w:val="single" w:sz="6" w:space="0" w:color="000000"/>
            </w:tcBorders>
          </w:tcPr>
          <w:p w14:paraId="5CBEB6CB" w14:textId="77777777" w:rsidR="008A1AA7" w:rsidRPr="008436BB" w:rsidRDefault="008A1AA7" w:rsidP="008436BB">
            <w:pPr>
              <w:spacing w:before="0" w:after="0" w:line="360" w:lineRule="auto"/>
              <w:ind w:left="113"/>
              <w:rPr>
                <w:sz w:val="18"/>
                <w:szCs w:val="18"/>
              </w:rPr>
            </w:pPr>
            <w:r w:rsidRPr="008436BB">
              <w:rPr>
                <w:sz w:val="18"/>
                <w:szCs w:val="18"/>
              </w:rPr>
              <w:t>(68.3)</w:t>
            </w:r>
          </w:p>
        </w:tc>
      </w:tr>
      <w:tr w:rsidR="008A1AA7" w:rsidRPr="008436BB" w14:paraId="5CBEB6CE"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6CD" w14:textId="77777777" w:rsidR="008A1AA7" w:rsidRPr="008436BB" w:rsidRDefault="008A1AA7" w:rsidP="008436BB">
            <w:pPr>
              <w:spacing w:before="0" w:after="0" w:line="360" w:lineRule="auto"/>
              <w:ind w:left="113"/>
              <w:rPr>
                <w:b/>
                <w:bCs/>
                <w:sz w:val="18"/>
                <w:szCs w:val="18"/>
              </w:rPr>
            </w:pPr>
            <w:r w:rsidRPr="008436BB">
              <w:rPr>
                <w:b/>
                <w:bCs/>
                <w:sz w:val="18"/>
                <w:szCs w:val="18"/>
              </w:rPr>
              <w:t>Disease Subtype</w:t>
            </w:r>
          </w:p>
        </w:tc>
      </w:tr>
      <w:tr w:rsidR="008A1AA7" w:rsidRPr="008436BB" w14:paraId="5CBEB6D6" w14:textId="77777777" w:rsidTr="00D92572">
        <w:trPr>
          <w:trHeight w:val="395"/>
        </w:trPr>
        <w:tc>
          <w:tcPr>
            <w:tcW w:w="2719" w:type="dxa"/>
            <w:tcBorders>
              <w:top w:val="single" w:sz="2" w:space="0" w:color="000000"/>
              <w:left w:val="single" w:sz="6" w:space="0" w:color="000000"/>
              <w:bottom w:val="none" w:sz="6" w:space="0" w:color="auto"/>
              <w:right w:val="single" w:sz="2" w:space="0" w:color="000000"/>
            </w:tcBorders>
          </w:tcPr>
          <w:p w14:paraId="5CBEB6CF" w14:textId="77777777" w:rsidR="008A1AA7" w:rsidRPr="008436BB" w:rsidRDefault="008A1AA7" w:rsidP="008436BB">
            <w:pPr>
              <w:spacing w:before="0" w:after="0" w:line="360" w:lineRule="auto"/>
              <w:ind w:left="113"/>
              <w:rPr>
                <w:sz w:val="18"/>
                <w:szCs w:val="18"/>
              </w:rPr>
            </w:pPr>
            <w:r w:rsidRPr="008436BB">
              <w:rPr>
                <w:sz w:val="18"/>
                <w:szCs w:val="18"/>
              </w:rPr>
              <w:t>Classical Hodgkin Lymphoma- Nodular Sclerosis</w:t>
            </w:r>
          </w:p>
        </w:tc>
        <w:tc>
          <w:tcPr>
            <w:tcW w:w="964" w:type="dxa"/>
            <w:gridSpan w:val="2"/>
            <w:tcBorders>
              <w:top w:val="single" w:sz="2" w:space="0" w:color="000000"/>
              <w:left w:val="single" w:sz="2" w:space="0" w:color="000000"/>
              <w:bottom w:val="none" w:sz="6" w:space="0" w:color="auto"/>
              <w:right w:val="none" w:sz="6" w:space="0" w:color="auto"/>
            </w:tcBorders>
          </w:tcPr>
          <w:p w14:paraId="5CBEB6D0" w14:textId="77777777" w:rsidR="008A1AA7" w:rsidRPr="008436BB" w:rsidRDefault="008A1AA7" w:rsidP="008436BB">
            <w:pPr>
              <w:spacing w:before="0" w:after="0" w:line="360" w:lineRule="auto"/>
              <w:ind w:left="113"/>
              <w:rPr>
                <w:sz w:val="18"/>
                <w:szCs w:val="18"/>
              </w:rPr>
            </w:pPr>
            <w:r w:rsidRPr="008436BB">
              <w:rPr>
                <w:sz w:val="18"/>
                <w:szCs w:val="18"/>
              </w:rPr>
              <w:t>23</w:t>
            </w:r>
          </w:p>
        </w:tc>
        <w:tc>
          <w:tcPr>
            <w:tcW w:w="1109" w:type="dxa"/>
            <w:tcBorders>
              <w:top w:val="single" w:sz="2" w:space="0" w:color="000000"/>
              <w:left w:val="none" w:sz="6" w:space="0" w:color="auto"/>
              <w:bottom w:val="none" w:sz="6" w:space="0" w:color="auto"/>
              <w:right w:val="single" w:sz="2" w:space="0" w:color="000000"/>
            </w:tcBorders>
          </w:tcPr>
          <w:p w14:paraId="5CBEB6D1" w14:textId="77777777" w:rsidR="008A1AA7" w:rsidRPr="008436BB" w:rsidRDefault="008A1AA7" w:rsidP="008436BB">
            <w:pPr>
              <w:spacing w:before="0" w:after="0" w:line="360" w:lineRule="auto"/>
              <w:ind w:left="113"/>
              <w:rPr>
                <w:sz w:val="18"/>
                <w:szCs w:val="18"/>
              </w:rPr>
            </w:pPr>
            <w:r w:rsidRPr="008436BB">
              <w:rPr>
                <w:sz w:val="18"/>
                <w:szCs w:val="18"/>
              </w:rPr>
              <w:t>(92.0)</w:t>
            </w:r>
          </w:p>
        </w:tc>
        <w:tc>
          <w:tcPr>
            <w:tcW w:w="964" w:type="dxa"/>
            <w:gridSpan w:val="2"/>
            <w:tcBorders>
              <w:top w:val="single" w:sz="2" w:space="0" w:color="000000"/>
              <w:left w:val="single" w:sz="2" w:space="0" w:color="000000"/>
              <w:bottom w:val="none" w:sz="6" w:space="0" w:color="auto"/>
              <w:right w:val="none" w:sz="6" w:space="0" w:color="auto"/>
            </w:tcBorders>
          </w:tcPr>
          <w:p w14:paraId="5CBEB6D2" w14:textId="77777777" w:rsidR="008A1AA7" w:rsidRPr="008436BB" w:rsidRDefault="008A1AA7" w:rsidP="008436BB">
            <w:pPr>
              <w:spacing w:before="0" w:after="0" w:line="360" w:lineRule="auto"/>
              <w:ind w:left="113"/>
              <w:rPr>
                <w:sz w:val="18"/>
                <w:szCs w:val="18"/>
              </w:rPr>
            </w:pPr>
            <w:r w:rsidRPr="008436BB">
              <w:rPr>
                <w:sz w:val="18"/>
                <w:szCs w:val="18"/>
              </w:rPr>
              <w:t>26</w:t>
            </w:r>
          </w:p>
        </w:tc>
        <w:tc>
          <w:tcPr>
            <w:tcW w:w="1109" w:type="dxa"/>
            <w:tcBorders>
              <w:top w:val="single" w:sz="2" w:space="0" w:color="000000"/>
              <w:left w:val="none" w:sz="6" w:space="0" w:color="auto"/>
              <w:bottom w:val="none" w:sz="6" w:space="0" w:color="auto"/>
              <w:right w:val="single" w:sz="2" w:space="0" w:color="000000"/>
            </w:tcBorders>
          </w:tcPr>
          <w:p w14:paraId="5CBEB6D3" w14:textId="77777777" w:rsidR="008A1AA7" w:rsidRPr="008436BB" w:rsidRDefault="008A1AA7" w:rsidP="008436BB">
            <w:pPr>
              <w:spacing w:before="0" w:after="0" w:line="360" w:lineRule="auto"/>
              <w:ind w:left="113"/>
              <w:rPr>
                <w:sz w:val="18"/>
                <w:szCs w:val="18"/>
              </w:rPr>
            </w:pPr>
            <w:r w:rsidRPr="008436BB">
              <w:rPr>
                <w:sz w:val="18"/>
                <w:szCs w:val="18"/>
              </w:rPr>
              <w:t>(74.3)</w:t>
            </w:r>
          </w:p>
        </w:tc>
        <w:tc>
          <w:tcPr>
            <w:tcW w:w="964" w:type="dxa"/>
            <w:gridSpan w:val="2"/>
            <w:tcBorders>
              <w:top w:val="single" w:sz="2" w:space="0" w:color="000000"/>
              <w:left w:val="single" w:sz="2" w:space="0" w:color="000000"/>
              <w:bottom w:val="none" w:sz="6" w:space="0" w:color="auto"/>
              <w:right w:val="none" w:sz="6" w:space="0" w:color="auto"/>
            </w:tcBorders>
          </w:tcPr>
          <w:p w14:paraId="5CBEB6D4" w14:textId="77777777" w:rsidR="008A1AA7" w:rsidRPr="008436BB" w:rsidRDefault="008A1AA7" w:rsidP="008436BB">
            <w:pPr>
              <w:spacing w:before="0" w:after="0" w:line="360" w:lineRule="auto"/>
              <w:ind w:left="113"/>
              <w:rPr>
                <w:sz w:val="18"/>
                <w:szCs w:val="18"/>
              </w:rPr>
            </w:pPr>
            <w:r w:rsidRPr="008436BB">
              <w:rPr>
                <w:sz w:val="18"/>
                <w:szCs w:val="18"/>
              </w:rPr>
              <w:t>49</w:t>
            </w:r>
          </w:p>
        </w:tc>
        <w:tc>
          <w:tcPr>
            <w:tcW w:w="960" w:type="dxa"/>
            <w:tcBorders>
              <w:top w:val="single" w:sz="2" w:space="0" w:color="000000"/>
              <w:left w:val="none" w:sz="6" w:space="0" w:color="auto"/>
              <w:bottom w:val="none" w:sz="6" w:space="0" w:color="auto"/>
              <w:right w:val="single" w:sz="6" w:space="0" w:color="000000"/>
            </w:tcBorders>
          </w:tcPr>
          <w:p w14:paraId="5CBEB6D5" w14:textId="77777777" w:rsidR="008A1AA7" w:rsidRPr="008436BB" w:rsidRDefault="008A1AA7" w:rsidP="008436BB">
            <w:pPr>
              <w:spacing w:before="0" w:after="0" w:line="360" w:lineRule="auto"/>
              <w:ind w:left="113"/>
              <w:rPr>
                <w:sz w:val="18"/>
                <w:szCs w:val="18"/>
              </w:rPr>
            </w:pPr>
            <w:r w:rsidRPr="008436BB">
              <w:rPr>
                <w:sz w:val="18"/>
                <w:szCs w:val="18"/>
              </w:rPr>
              <w:t>(81.7)</w:t>
            </w:r>
          </w:p>
        </w:tc>
      </w:tr>
      <w:tr w:rsidR="008A1AA7" w:rsidRPr="008436BB" w14:paraId="5CBEB6DE" w14:textId="77777777" w:rsidTr="00D92572">
        <w:trPr>
          <w:trHeight w:val="398"/>
        </w:trPr>
        <w:tc>
          <w:tcPr>
            <w:tcW w:w="2719" w:type="dxa"/>
            <w:tcBorders>
              <w:top w:val="none" w:sz="6" w:space="0" w:color="auto"/>
              <w:left w:val="single" w:sz="6" w:space="0" w:color="000000"/>
              <w:bottom w:val="none" w:sz="6" w:space="0" w:color="auto"/>
              <w:right w:val="single" w:sz="2" w:space="0" w:color="000000"/>
            </w:tcBorders>
          </w:tcPr>
          <w:p w14:paraId="5CBEB6D7" w14:textId="77777777" w:rsidR="008A1AA7" w:rsidRPr="008436BB" w:rsidRDefault="008A1AA7" w:rsidP="008436BB">
            <w:pPr>
              <w:spacing w:before="0" w:after="0" w:line="360" w:lineRule="auto"/>
              <w:ind w:left="113"/>
              <w:rPr>
                <w:sz w:val="18"/>
                <w:szCs w:val="18"/>
              </w:rPr>
            </w:pPr>
            <w:r w:rsidRPr="008436BB">
              <w:rPr>
                <w:sz w:val="18"/>
                <w:szCs w:val="18"/>
              </w:rPr>
              <w:t>Classical Hodgkin Lymphoma- Mixed Cellularity</w:t>
            </w:r>
          </w:p>
        </w:tc>
        <w:tc>
          <w:tcPr>
            <w:tcW w:w="964" w:type="dxa"/>
            <w:gridSpan w:val="2"/>
            <w:tcBorders>
              <w:top w:val="none" w:sz="6" w:space="0" w:color="auto"/>
              <w:left w:val="single" w:sz="2" w:space="0" w:color="000000"/>
              <w:bottom w:val="none" w:sz="6" w:space="0" w:color="auto"/>
              <w:right w:val="none" w:sz="6" w:space="0" w:color="auto"/>
            </w:tcBorders>
          </w:tcPr>
          <w:p w14:paraId="5CBEB6D8"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09" w:type="dxa"/>
            <w:tcBorders>
              <w:top w:val="none" w:sz="6" w:space="0" w:color="auto"/>
              <w:left w:val="none" w:sz="6" w:space="0" w:color="auto"/>
              <w:bottom w:val="none" w:sz="6" w:space="0" w:color="auto"/>
              <w:right w:val="single" w:sz="2" w:space="0" w:color="000000"/>
            </w:tcBorders>
          </w:tcPr>
          <w:p w14:paraId="5CBEB6D9"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64" w:type="dxa"/>
            <w:gridSpan w:val="2"/>
            <w:tcBorders>
              <w:top w:val="none" w:sz="6" w:space="0" w:color="auto"/>
              <w:left w:val="single" w:sz="2" w:space="0" w:color="000000"/>
              <w:bottom w:val="none" w:sz="6" w:space="0" w:color="auto"/>
              <w:right w:val="none" w:sz="6" w:space="0" w:color="auto"/>
            </w:tcBorders>
          </w:tcPr>
          <w:p w14:paraId="5CBEB6DA" w14:textId="77777777" w:rsidR="008A1AA7" w:rsidRPr="008436BB" w:rsidRDefault="008A1AA7" w:rsidP="008436BB">
            <w:pPr>
              <w:spacing w:before="0" w:after="0" w:line="360" w:lineRule="auto"/>
              <w:ind w:left="113"/>
              <w:rPr>
                <w:sz w:val="18"/>
                <w:szCs w:val="18"/>
              </w:rPr>
            </w:pPr>
            <w:r w:rsidRPr="008436BB">
              <w:rPr>
                <w:sz w:val="18"/>
                <w:szCs w:val="18"/>
              </w:rPr>
              <w:t>5</w:t>
            </w:r>
          </w:p>
        </w:tc>
        <w:tc>
          <w:tcPr>
            <w:tcW w:w="1109" w:type="dxa"/>
            <w:tcBorders>
              <w:top w:val="none" w:sz="6" w:space="0" w:color="auto"/>
              <w:left w:val="none" w:sz="6" w:space="0" w:color="auto"/>
              <w:bottom w:val="none" w:sz="6" w:space="0" w:color="auto"/>
              <w:right w:val="single" w:sz="2" w:space="0" w:color="000000"/>
            </w:tcBorders>
          </w:tcPr>
          <w:p w14:paraId="5CBEB6DB" w14:textId="77777777" w:rsidR="008A1AA7" w:rsidRPr="008436BB" w:rsidRDefault="008A1AA7" w:rsidP="008436BB">
            <w:pPr>
              <w:spacing w:before="0" w:after="0" w:line="360" w:lineRule="auto"/>
              <w:ind w:left="113"/>
              <w:rPr>
                <w:sz w:val="18"/>
                <w:szCs w:val="18"/>
              </w:rPr>
            </w:pPr>
            <w:r w:rsidRPr="008436BB">
              <w:rPr>
                <w:sz w:val="18"/>
                <w:szCs w:val="18"/>
              </w:rPr>
              <w:t>(14.3)</w:t>
            </w:r>
          </w:p>
        </w:tc>
        <w:tc>
          <w:tcPr>
            <w:tcW w:w="964" w:type="dxa"/>
            <w:gridSpan w:val="2"/>
            <w:tcBorders>
              <w:top w:val="none" w:sz="6" w:space="0" w:color="auto"/>
              <w:left w:val="single" w:sz="2" w:space="0" w:color="000000"/>
              <w:bottom w:val="none" w:sz="6" w:space="0" w:color="auto"/>
              <w:right w:val="none" w:sz="6" w:space="0" w:color="auto"/>
            </w:tcBorders>
          </w:tcPr>
          <w:p w14:paraId="5CBEB6DC" w14:textId="77777777" w:rsidR="008A1AA7" w:rsidRPr="008436BB" w:rsidRDefault="008A1AA7" w:rsidP="008436BB">
            <w:pPr>
              <w:spacing w:before="0" w:after="0" w:line="360" w:lineRule="auto"/>
              <w:ind w:left="113"/>
              <w:rPr>
                <w:sz w:val="18"/>
                <w:szCs w:val="18"/>
              </w:rPr>
            </w:pPr>
            <w:r w:rsidRPr="008436BB">
              <w:rPr>
                <w:sz w:val="18"/>
                <w:szCs w:val="18"/>
              </w:rPr>
              <w:t>5</w:t>
            </w:r>
          </w:p>
        </w:tc>
        <w:tc>
          <w:tcPr>
            <w:tcW w:w="960" w:type="dxa"/>
            <w:tcBorders>
              <w:top w:val="none" w:sz="6" w:space="0" w:color="auto"/>
              <w:left w:val="none" w:sz="6" w:space="0" w:color="auto"/>
              <w:bottom w:val="none" w:sz="6" w:space="0" w:color="auto"/>
              <w:right w:val="single" w:sz="6" w:space="0" w:color="000000"/>
            </w:tcBorders>
          </w:tcPr>
          <w:p w14:paraId="5CBEB6DD" w14:textId="77777777" w:rsidR="008A1AA7" w:rsidRPr="008436BB" w:rsidRDefault="008A1AA7" w:rsidP="008436BB">
            <w:pPr>
              <w:spacing w:before="0" w:after="0" w:line="360" w:lineRule="auto"/>
              <w:ind w:left="113"/>
              <w:rPr>
                <w:sz w:val="18"/>
                <w:szCs w:val="18"/>
              </w:rPr>
            </w:pPr>
            <w:r w:rsidRPr="008436BB">
              <w:rPr>
                <w:sz w:val="18"/>
                <w:szCs w:val="18"/>
              </w:rPr>
              <w:t>(8.3)</w:t>
            </w:r>
          </w:p>
        </w:tc>
      </w:tr>
      <w:tr w:rsidR="008A1AA7" w:rsidRPr="008436BB" w14:paraId="5CBEB6E6" w14:textId="77777777" w:rsidTr="00D92572">
        <w:trPr>
          <w:trHeight w:val="400"/>
        </w:trPr>
        <w:tc>
          <w:tcPr>
            <w:tcW w:w="2719" w:type="dxa"/>
            <w:tcBorders>
              <w:top w:val="none" w:sz="6" w:space="0" w:color="auto"/>
              <w:left w:val="single" w:sz="6" w:space="0" w:color="000000"/>
              <w:bottom w:val="single" w:sz="2" w:space="0" w:color="000000"/>
              <w:right w:val="single" w:sz="2" w:space="0" w:color="000000"/>
            </w:tcBorders>
          </w:tcPr>
          <w:p w14:paraId="5CBEB6DF" w14:textId="77777777" w:rsidR="008A1AA7" w:rsidRPr="008436BB" w:rsidRDefault="008A1AA7" w:rsidP="008436BB">
            <w:pPr>
              <w:spacing w:before="0" w:after="0" w:line="360" w:lineRule="auto"/>
              <w:ind w:left="113"/>
              <w:rPr>
                <w:sz w:val="18"/>
                <w:szCs w:val="18"/>
              </w:rPr>
            </w:pPr>
            <w:r w:rsidRPr="008436BB">
              <w:rPr>
                <w:sz w:val="18"/>
                <w:szCs w:val="18"/>
              </w:rPr>
              <w:t>Classical Hodgkin Lymphoma- Lymphocyte Rich</w:t>
            </w:r>
          </w:p>
        </w:tc>
        <w:tc>
          <w:tcPr>
            <w:tcW w:w="964" w:type="dxa"/>
            <w:gridSpan w:val="2"/>
            <w:tcBorders>
              <w:top w:val="none" w:sz="6" w:space="0" w:color="auto"/>
              <w:left w:val="single" w:sz="2" w:space="0" w:color="000000"/>
              <w:bottom w:val="single" w:sz="2" w:space="0" w:color="000000"/>
              <w:right w:val="none" w:sz="6" w:space="0" w:color="auto"/>
            </w:tcBorders>
          </w:tcPr>
          <w:p w14:paraId="5CBEB6E0"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09" w:type="dxa"/>
            <w:tcBorders>
              <w:top w:val="none" w:sz="6" w:space="0" w:color="auto"/>
              <w:left w:val="none" w:sz="6" w:space="0" w:color="auto"/>
              <w:bottom w:val="single" w:sz="2" w:space="0" w:color="000000"/>
              <w:right w:val="single" w:sz="2" w:space="0" w:color="000000"/>
            </w:tcBorders>
          </w:tcPr>
          <w:p w14:paraId="5CBEB6E1" w14:textId="77777777" w:rsidR="008A1AA7" w:rsidRPr="008436BB" w:rsidRDefault="008A1AA7" w:rsidP="008436BB">
            <w:pPr>
              <w:spacing w:before="0" w:after="0" w:line="360" w:lineRule="auto"/>
              <w:ind w:left="113"/>
              <w:rPr>
                <w:sz w:val="18"/>
                <w:szCs w:val="18"/>
              </w:rPr>
            </w:pPr>
            <w:r w:rsidRPr="008436BB">
              <w:rPr>
                <w:sz w:val="18"/>
                <w:szCs w:val="18"/>
              </w:rPr>
              <w:t>(8.0)</w:t>
            </w:r>
          </w:p>
        </w:tc>
        <w:tc>
          <w:tcPr>
            <w:tcW w:w="964" w:type="dxa"/>
            <w:gridSpan w:val="2"/>
            <w:tcBorders>
              <w:top w:val="none" w:sz="6" w:space="0" w:color="auto"/>
              <w:left w:val="single" w:sz="2" w:space="0" w:color="000000"/>
              <w:bottom w:val="single" w:sz="2" w:space="0" w:color="000000"/>
              <w:right w:val="none" w:sz="6" w:space="0" w:color="auto"/>
            </w:tcBorders>
          </w:tcPr>
          <w:p w14:paraId="5CBEB6E2"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09" w:type="dxa"/>
            <w:tcBorders>
              <w:top w:val="none" w:sz="6" w:space="0" w:color="auto"/>
              <w:left w:val="none" w:sz="6" w:space="0" w:color="auto"/>
              <w:bottom w:val="single" w:sz="2" w:space="0" w:color="000000"/>
              <w:right w:val="single" w:sz="2" w:space="0" w:color="000000"/>
            </w:tcBorders>
          </w:tcPr>
          <w:p w14:paraId="5CBEB6E3"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64" w:type="dxa"/>
            <w:gridSpan w:val="2"/>
            <w:tcBorders>
              <w:top w:val="none" w:sz="6" w:space="0" w:color="auto"/>
              <w:left w:val="single" w:sz="2" w:space="0" w:color="000000"/>
              <w:bottom w:val="single" w:sz="2" w:space="0" w:color="000000"/>
              <w:right w:val="none" w:sz="6" w:space="0" w:color="auto"/>
            </w:tcBorders>
          </w:tcPr>
          <w:p w14:paraId="5CBEB6E4"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960" w:type="dxa"/>
            <w:tcBorders>
              <w:top w:val="none" w:sz="6" w:space="0" w:color="auto"/>
              <w:left w:val="none" w:sz="6" w:space="0" w:color="auto"/>
              <w:bottom w:val="single" w:sz="2" w:space="0" w:color="000000"/>
              <w:right w:val="single" w:sz="6" w:space="0" w:color="000000"/>
            </w:tcBorders>
          </w:tcPr>
          <w:p w14:paraId="5CBEB6E5" w14:textId="77777777" w:rsidR="008A1AA7" w:rsidRPr="008436BB" w:rsidRDefault="008A1AA7" w:rsidP="008436BB">
            <w:pPr>
              <w:spacing w:before="0" w:after="0" w:line="360" w:lineRule="auto"/>
              <w:ind w:left="113"/>
              <w:rPr>
                <w:sz w:val="18"/>
                <w:szCs w:val="18"/>
              </w:rPr>
            </w:pPr>
            <w:r w:rsidRPr="008436BB">
              <w:rPr>
                <w:sz w:val="18"/>
                <w:szCs w:val="18"/>
              </w:rPr>
              <w:t>(5.0)</w:t>
            </w:r>
          </w:p>
        </w:tc>
      </w:tr>
      <w:tr w:rsidR="008A1AA7" w:rsidRPr="008436BB" w14:paraId="5CBEB6ED" w14:textId="77777777" w:rsidTr="00D92572">
        <w:trPr>
          <w:trHeight w:val="212"/>
        </w:trPr>
        <w:tc>
          <w:tcPr>
            <w:tcW w:w="2719" w:type="dxa"/>
            <w:vMerge w:val="restart"/>
            <w:tcBorders>
              <w:top w:val="single" w:sz="6" w:space="0" w:color="000000"/>
              <w:left w:val="single" w:sz="6" w:space="0" w:color="000000"/>
              <w:bottom w:val="single" w:sz="2" w:space="0" w:color="000000"/>
              <w:right w:val="single" w:sz="2" w:space="0" w:color="000000"/>
            </w:tcBorders>
          </w:tcPr>
          <w:p w14:paraId="5CBEB6E7" w14:textId="77777777" w:rsidR="008A1AA7" w:rsidRPr="008436BB" w:rsidRDefault="008A1AA7" w:rsidP="008436BB">
            <w:pPr>
              <w:spacing w:before="0" w:after="0" w:line="360" w:lineRule="auto"/>
              <w:ind w:left="113"/>
              <w:rPr>
                <w:sz w:val="18"/>
                <w:szCs w:val="18"/>
              </w:rPr>
            </w:pPr>
          </w:p>
        </w:tc>
        <w:tc>
          <w:tcPr>
            <w:tcW w:w="924" w:type="dxa"/>
            <w:tcBorders>
              <w:top w:val="single" w:sz="6" w:space="0" w:color="000000"/>
              <w:left w:val="single" w:sz="2" w:space="0" w:color="000000"/>
              <w:bottom w:val="none" w:sz="6" w:space="0" w:color="auto"/>
              <w:right w:val="none" w:sz="6" w:space="0" w:color="auto"/>
            </w:tcBorders>
          </w:tcPr>
          <w:p w14:paraId="5CBEB6E8" w14:textId="77777777" w:rsidR="008A1AA7" w:rsidRPr="008436BB" w:rsidRDefault="008A1AA7" w:rsidP="008436BB">
            <w:pPr>
              <w:spacing w:before="0" w:after="0" w:line="360" w:lineRule="auto"/>
              <w:ind w:left="113"/>
              <w:rPr>
                <w:sz w:val="18"/>
                <w:szCs w:val="18"/>
              </w:rPr>
            </w:pPr>
          </w:p>
        </w:tc>
        <w:tc>
          <w:tcPr>
            <w:tcW w:w="1149" w:type="dxa"/>
            <w:gridSpan w:val="2"/>
            <w:tcBorders>
              <w:top w:val="single" w:sz="6" w:space="0" w:color="000000"/>
              <w:left w:val="none" w:sz="6" w:space="0" w:color="auto"/>
              <w:bottom w:val="none" w:sz="6" w:space="0" w:color="auto"/>
              <w:right w:val="single" w:sz="2" w:space="0" w:color="000000"/>
            </w:tcBorders>
          </w:tcPr>
          <w:p w14:paraId="5CBEB6E9"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6" w:space="0" w:color="000000"/>
              <w:left w:val="single" w:sz="2" w:space="0" w:color="000000"/>
              <w:bottom w:val="none" w:sz="6" w:space="0" w:color="auto"/>
              <w:right w:val="none" w:sz="6" w:space="0" w:color="auto"/>
            </w:tcBorders>
          </w:tcPr>
          <w:p w14:paraId="5CBEB6EA" w14:textId="77777777" w:rsidR="008A1AA7" w:rsidRPr="008436BB" w:rsidRDefault="008A1AA7" w:rsidP="008436BB">
            <w:pPr>
              <w:spacing w:before="0" w:after="0" w:line="360" w:lineRule="auto"/>
              <w:ind w:left="113"/>
              <w:rPr>
                <w:sz w:val="18"/>
                <w:szCs w:val="18"/>
              </w:rPr>
            </w:pPr>
          </w:p>
        </w:tc>
        <w:tc>
          <w:tcPr>
            <w:tcW w:w="1149" w:type="dxa"/>
            <w:gridSpan w:val="2"/>
            <w:tcBorders>
              <w:top w:val="single" w:sz="6" w:space="0" w:color="000000"/>
              <w:left w:val="none" w:sz="6" w:space="0" w:color="auto"/>
              <w:bottom w:val="none" w:sz="6" w:space="0" w:color="auto"/>
              <w:right w:val="single" w:sz="2" w:space="0" w:color="000000"/>
            </w:tcBorders>
          </w:tcPr>
          <w:p w14:paraId="5CBEB6EB" w14:textId="77777777" w:rsidR="008A1AA7" w:rsidRPr="008436BB" w:rsidRDefault="008A1AA7" w:rsidP="008436BB">
            <w:pPr>
              <w:spacing w:before="0" w:after="0" w:line="360" w:lineRule="auto"/>
              <w:ind w:left="113"/>
              <w:rPr>
                <w:sz w:val="18"/>
                <w:szCs w:val="18"/>
              </w:rPr>
            </w:pPr>
            <w:r w:rsidRPr="008436BB">
              <w:rPr>
                <w:sz w:val="18"/>
                <w:szCs w:val="18"/>
              </w:rPr>
              <w:t>No</w:t>
            </w:r>
          </w:p>
        </w:tc>
        <w:tc>
          <w:tcPr>
            <w:tcW w:w="1924" w:type="dxa"/>
            <w:gridSpan w:val="3"/>
            <w:tcBorders>
              <w:top w:val="single" w:sz="6" w:space="0" w:color="000000"/>
              <w:left w:val="single" w:sz="2" w:space="0" w:color="000000"/>
              <w:bottom w:val="none" w:sz="6" w:space="0" w:color="auto"/>
              <w:right w:val="single" w:sz="6" w:space="0" w:color="000000"/>
            </w:tcBorders>
          </w:tcPr>
          <w:p w14:paraId="5CBEB6EC" w14:textId="77777777" w:rsidR="008A1AA7" w:rsidRPr="008436BB" w:rsidRDefault="008A1AA7" w:rsidP="008436BB">
            <w:pPr>
              <w:spacing w:before="0" w:after="0" w:line="360" w:lineRule="auto"/>
              <w:ind w:left="113"/>
              <w:rPr>
                <w:sz w:val="18"/>
                <w:szCs w:val="18"/>
              </w:rPr>
            </w:pPr>
            <w:r w:rsidRPr="008436BB">
              <w:rPr>
                <w:sz w:val="18"/>
                <w:szCs w:val="18"/>
              </w:rPr>
              <w:t>Total</w:t>
            </w:r>
          </w:p>
        </w:tc>
      </w:tr>
      <w:tr w:rsidR="008A1AA7" w:rsidRPr="008436BB" w14:paraId="5CBEB6F5" w14:textId="77777777" w:rsidTr="00D92572">
        <w:trPr>
          <w:trHeight w:val="211"/>
        </w:trPr>
        <w:tc>
          <w:tcPr>
            <w:tcW w:w="2719" w:type="dxa"/>
            <w:vMerge/>
            <w:tcBorders>
              <w:top w:val="nil"/>
              <w:left w:val="single" w:sz="6" w:space="0" w:color="000000"/>
              <w:bottom w:val="single" w:sz="2" w:space="0" w:color="000000"/>
              <w:right w:val="single" w:sz="2" w:space="0" w:color="000000"/>
            </w:tcBorders>
          </w:tcPr>
          <w:p w14:paraId="5CBEB6EE"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6EF" w14:textId="77777777" w:rsidR="008A1AA7" w:rsidRPr="008436BB" w:rsidRDefault="008A1AA7" w:rsidP="008436BB">
            <w:pPr>
              <w:spacing w:before="0" w:after="0" w:line="360" w:lineRule="auto"/>
              <w:ind w:left="113"/>
              <w:rPr>
                <w:sz w:val="18"/>
                <w:szCs w:val="18"/>
              </w:rPr>
            </w:pPr>
            <w:r w:rsidRPr="008436BB">
              <w:rPr>
                <w:sz w:val="18"/>
                <w:szCs w:val="18"/>
              </w:rPr>
              <w:t>n</w:t>
            </w:r>
          </w:p>
        </w:tc>
        <w:tc>
          <w:tcPr>
            <w:tcW w:w="1149" w:type="dxa"/>
            <w:gridSpan w:val="2"/>
            <w:tcBorders>
              <w:top w:val="none" w:sz="6" w:space="0" w:color="auto"/>
              <w:left w:val="none" w:sz="6" w:space="0" w:color="auto"/>
              <w:bottom w:val="single" w:sz="2" w:space="0" w:color="000000"/>
              <w:right w:val="single" w:sz="2" w:space="0" w:color="000000"/>
            </w:tcBorders>
          </w:tcPr>
          <w:p w14:paraId="5CBEB6F0" w14:textId="77777777" w:rsidR="008A1AA7" w:rsidRPr="008436BB" w:rsidRDefault="008A1AA7" w:rsidP="008436BB">
            <w:pPr>
              <w:spacing w:before="0" w:after="0" w:line="360" w:lineRule="auto"/>
              <w:ind w:left="113"/>
              <w:rPr>
                <w:sz w:val="18"/>
                <w:szCs w:val="18"/>
              </w:rPr>
            </w:pPr>
            <w:r w:rsidRPr="008436BB">
              <w:rPr>
                <w:sz w:val="18"/>
                <w:szCs w:val="18"/>
              </w:rPr>
              <w:t>(%)</w:t>
            </w:r>
          </w:p>
        </w:tc>
        <w:tc>
          <w:tcPr>
            <w:tcW w:w="924" w:type="dxa"/>
            <w:tcBorders>
              <w:top w:val="none" w:sz="6" w:space="0" w:color="auto"/>
              <w:left w:val="single" w:sz="2" w:space="0" w:color="000000"/>
              <w:bottom w:val="single" w:sz="2" w:space="0" w:color="000000"/>
              <w:right w:val="none" w:sz="6" w:space="0" w:color="auto"/>
            </w:tcBorders>
          </w:tcPr>
          <w:p w14:paraId="5CBEB6F1" w14:textId="77777777" w:rsidR="008A1AA7" w:rsidRPr="008436BB" w:rsidRDefault="008A1AA7" w:rsidP="008436BB">
            <w:pPr>
              <w:spacing w:before="0" w:after="0" w:line="360" w:lineRule="auto"/>
              <w:ind w:left="113"/>
              <w:rPr>
                <w:sz w:val="18"/>
                <w:szCs w:val="18"/>
              </w:rPr>
            </w:pPr>
            <w:r w:rsidRPr="008436BB">
              <w:rPr>
                <w:sz w:val="18"/>
                <w:szCs w:val="18"/>
              </w:rPr>
              <w:t>n</w:t>
            </w:r>
          </w:p>
        </w:tc>
        <w:tc>
          <w:tcPr>
            <w:tcW w:w="1149" w:type="dxa"/>
            <w:gridSpan w:val="2"/>
            <w:tcBorders>
              <w:top w:val="none" w:sz="6" w:space="0" w:color="auto"/>
              <w:left w:val="none" w:sz="6" w:space="0" w:color="auto"/>
              <w:bottom w:val="single" w:sz="2" w:space="0" w:color="000000"/>
              <w:right w:val="single" w:sz="2" w:space="0" w:color="000000"/>
            </w:tcBorders>
          </w:tcPr>
          <w:p w14:paraId="5CBEB6F2" w14:textId="77777777" w:rsidR="008A1AA7" w:rsidRPr="008436BB" w:rsidRDefault="008A1AA7" w:rsidP="008436BB">
            <w:pPr>
              <w:spacing w:before="0" w:after="0" w:line="360" w:lineRule="auto"/>
              <w:ind w:left="113"/>
              <w:rPr>
                <w:sz w:val="18"/>
                <w:szCs w:val="18"/>
              </w:rPr>
            </w:pPr>
            <w:r w:rsidRPr="008436BB">
              <w:rPr>
                <w:sz w:val="18"/>
                <w:szCs w:val="18"/>
              </w:rPr>
              <w:t>(%)</w:t>
            </w:r>
          </w:p>
        </w:tc>
        <w:tc>
          <w:tcPr>
            <w:tcW w:w="924" w:type="dxa"/>
            <w:tcBorders>
              <w:top w:val="none" w:sz="6" w:space="0" w:color="auto"/>
              <w:left w:val="single" w:sz="2" w:space="0" w:color="000000"/>
              <w:bottom w:val="single" w:sz="2" w:space="0" w:color="000000"/>
              <w:right w:val="none" w:sz="6" w:space="0" w:color="auto"/>
            </w:tcBorders>
          </w:tcPr>
          <w:p w14:paraId="5CBEB6F3" w14:textId="77777777" w:rsidR="008A1AA7" w:rsidRPr="008436BB" w:rsidRDefault="008A1AA7" w:rsidP="008436BB">
            <w:pPr>
              <w:spacing w:before="0" w:after="0" w:line="360" w:lineRule="auto"/>
              <w:ind w:left="113"/>
              <w:rPr>
                <w:sz w:val="18"/>
                <w:szCs w:val="18"/>
              </w:rPr>
            </w:pPr>
            <w:r w:rsidRPr="008436BB">
              <w:rPr>
                <w:sz w:val="18"/>
                <w:szCs w:val="18"/>
              </w:rPr>
              <w:t>n</w:t>
            </w:r>
          </w:p>
        </w:tc>
        <w:tc>
          <w:tcPr>
            <w:tcW w:w="1000" w:type="dxa"/>
            <w:gridSpan w:val="2"/>
            <w:tcBorders>
              <w:top w:val="none" w:sz="6" w:space="0" w:color="auto"/>
              <w:left w:val="none" w:sz="6" w:space="0" w:color="auto"/>
              <w:bottom w:val="single" w:sz="2" w:space="0" w:color="000000"/>
              <w:right w:val="single" w:sz="6" w:space="0" w:color="000000"/>
            </w:tcBorders>
          </w:tcPr>
          <w:p w14:paraId="5CBEB6F4" w14:textId="77777777" w:rsidR="008A1AA7" w:rsidRPr="008436BB" w:rsidRDefault="008A1AA7" w:rsidP="008436BB">
            <w:pPr>
              <w:spacing w:before="0" w:after="0" w:line="360" w:lineRule="auto"/>
              <w:ind w:left="113"/>
              <w:rPr>
                <w:sz w:val="18"/>
                <w:szCs w:val="18"/>
              </w:rPr>
            </w:pPr>
            <w:r w:rsidRPr="008436BB">
              <w:rPr>
                <w:sz w:val="18"/>
                <w:szCs w:val="18"/>
              </w:rPr>
              <w:t>(%)</w:t>
            </w:r>
          </w:p>
        </w:tc>
      </w:tr>
      <w:tr w:rsidR="008A1AA7" w:rsidRPr="008436BB" w14:paraId="5CBEB6F7"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6F6" w14:textId="77777777" w:rsidR="008A1AA7" w:rsidRPr="008436BB" w:rsidRDefault="008A1AA7" w:rsidP="008436BB">
            <w:pPr>
              <w:spacing w:before="0" w:after="0" w:line="360" w:lineRule="auto"/>
              <w:ind w:left="113"/>
              <w:rPr>
                <w:b/>
                <w:bCs/>
                <w:sz w:val="18"/>
                <w:szCs w:val="18"/>
              </w:rPr>
            </w:pPr>
            <w:r w:rsidRPr="008436BB">
              <w:rPr>
                <w:b/>
                <w:bCs/>
                <w:sz w:val="18"/>
                <w:szCs w:val="18"/>
              </w:rPr>
              <w:t>Disease Subtype</w:t>
            </w:r>
          </w:p>
        </w:tc>
      </w:tr>
      <w:tr w:rsidR="008A1AA7" w:rsidRPr="008436BB" w14:paraId="5CBEB6FF" w14:textId="77777777" w:rsidTr="00D92572">
        <w:trPr>
          <w:trHeight w:val="418"/>
        </w:trPr>
        <w:tc>
          <w:tcPr>
            <w:tcW w:w="2719" w:type="dxa"/>
            <w:tcBorders>
              <w:top w:val="single" w:sz="2" w:space="0" w:color="000000"/>
              <w:left w:val="single" w:sz="6" w:space="0" w:color="000000"/>
              <w:bottom w:val="none" w:sz="6" w:space="0" w:color="auto"/>
              <w:right w:val="single" w:sz="2" w:space="0" w:color="000000"/>
            </w:tcBorders>
          </w:tcPr>
          <w:p w14:paraId="5CBEB6F8" w14:textId="77777777" w:rsidR="008A1AA7" w:rsidRPr="008436BB" w:rsidRDefault="008A1AA7" w:rsidP="008436BB">
            <w:pPr>
              <w:spacing w:before="0" w:after="0" w:line="360" w:lineRule="auto"/>
              <w:ind w:left="113"/>
              <w:rPr>
                <w:sz w:val="18"/>
                <w:szCs w:val="18"/>
              </w:rPr>
            </w:pPr>
            <w:r w:rsidRPr="008436BB">
              <w:rPr>
                <w:sz w:val="18"/>
                <w:szCs w:val="18"/>
              </w:rPr>
              <w:t>Classical Hodgkin Lymphoma- Lymphocyte Depleted</w:t>
            </w:r>
          </w:p>
        </w:tc>
        <w:tc>
          <w:tcPr>
            <w:tcW w:w="924" w:type="dxa"/>
            <w:tcBorders>
              <w:top w:val="single" w:sz="2" w:space="0" w:color="000000"/>
              <w:left w:val="single" w:sz="2" w:space="0" w:color="000000"/>
              <w:bottom w:val="none" w:sz="6" w:space="0" w:color="auto"/>
              <w:right w:val="none" w:sz="6" w:space="0" w:color="auto"/>
            </w:tcBorders>
          </w:tcPr>
          <w:p w14:paraId="5CBEB6F9"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49" w:type="dxa"/>
            <w:gridSpan w:val="2"/>
            <w:tcBorders>
              <w:top w:val="single" w:sz="2" w:space="0" w:color="000000"/>
              <w:left w:val="none" w:sz="6" w:space="0" w:color="auto"/>
              <w:bottom w:val="none" w:sz="6" w:space="0" w:color="auto"/>
              <w:right w:val="single" w:sz="2" w:space="0" w:color="000000"/>
            </w:tcBorders>
          </w:tcPr>
          <w:p w14:paraId="5CBEB6FA"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24" w:type="dxa"/>
            <w:tcBorders>
              <w:top w:val="single" w:sz="2" w:space="0" w:color="000000"/>
              <w:left w:val="single" w:sz="2" w:space="0" w:color="000000"/>
              <w:bottom w:val="none" w:sz="6" w:space="0" w:color="auto"/>
              <w:right w:val="none" w:sz="6" w:space="0" w:color="auto"/>
            </w:tcBorders>
          </w:tcPr>
          <w:p w14:paraId="5CBEB6FB"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49" w:type="dxa"/>
            <w:gridSpan w:val="2"/>
            <w:tcBorders>
              <w:top w:val="single" w:sz="2" w:space="0" w:color="000000"/>
              <w:left w:val="none" w:sz="6" w:space="0" w:color="auto"/>
              <w:bottom w:val="none" w:sz="6" w:space="0" w:color="auto"/>
              <w:right w:val="single" w:sz="2" w:space="0" w:color="000000"/>
            </w:tcBorders>
          </w:tcPr>
          <w:p w14:paraId="5CBEB6FC"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24" w:type="dxa"/>
            <w:tcBorders>
              <w:top w:val="single" w:sz="2" w:space="0" w:color="000000"/>
              <w:left w:val="single" w:sz="2" w:space="0" w:color="000000"/>
              <w:bottom w:val="none" w:sz="6" w:space="0" w:color="auto"/>
              <w:right w:val="none" w:sz="6" w:space="0" w:color="auto"/>
            </w:tcBorders>
          </w:tcPr>
          <w:p w14:paraId="5CBEB6FD"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000" w:type="dxa"/>
            <w:gridSpan w:val="2"/>
            <w:tcBorders>
              <w:top w:val="single" w:sz="2" w:space="0" w:color="000000"/>
              <w:left w:val="none" w:sz="6" w:space="0" w:color="auto"/>
              <w:bottom w:val="none" w:sz="6" w:space="0" w:color="auto"/>
              <w:right w:val="single" w:sz="6" w:space="0" w:color="000000"/>
            </w:tcBorders>
          </w:tcPr>
          <w:p w14:paraId="5CBEB6FE" w14:textId="77777777" w:rsidR="008A1AA7" w:rsidRPr="008436BB" w:rsidRDefault="008A1AA7" w:rsidP="008436BB">
            <w:pPr>
              <w:spacing w:before="0" w:after="0" w:line="360" w:lineRule="auto"/>
              <w:ind w:left="113"/>
              <w:rPr>
                <w:sz w:val="18"/>
                <w:szCs w:val="18"/>
              </w:rPr>
            </w:pPr>
            <w:r w:rsidRPr="008436BB">
              <w:rPr>
                <w:sz w:val="18"/>
                <w:szCs w:val="18"/>
              </w:rPr>
              <w:t>(1.7)</w:t>
            </w:r>
          </w:p>
        </w:tc>
      </w:tr>
      <w:tr w:rsidR="008A1AA7" w:rsidRPr="008436BB" w14:paraId="5CBEB707" w14:textId="77777777" w:rsidTr="00D92572">
        <w:trPr>
          <w:trHeight w:val="282"/>
        </w:trPr>
        <w:tc>
          <w:tcPr>
            <w:tcW w:w="2719" w:type="dxa"/>
            <w:tcBorders>
              <w:top w:val="none" w:sz="6" w:space="0" w:color="auto"/>
              <w:left w:val="single" w:sz="6" w:space="0" w:color="000000"/>
              <w:bottom w:val="single" w:sz="2" w:space="0" w:color="000000"/>
              <w:right w:val="single" w:sz="2" w:space="0" w:color="000000"/>
            </w:tcBorders>
          </w:tcPr>
          <w:p w14:paraId="5CBEB700" w14:textId="77777777" w:rsidR="008A1AA7" w:rsidRPr="008436BB" w:rsidRDefault="008A1AA7" w:rsidP="008436BB">
            <w:pPr>
              <w:spacing w:before="0" w:after="0" w:line="360" w:lineRule="auto"/>
              <w:ind w:left="113"/>
              <w:rPr>
                <w:sz w:val="18"/>
                <w:szCs w:val="18"/>
              </w:rPr>
            </w:pPr>
            <w:r w:rsidRPr="008436BB">
              <w:rPr>
                <w:sz w:val="18"/>
                <w:szCs w:val="18"/>
              </w:rPr>
              <w:t>Missing</w:t>
            </w:r>
          </w:p>
        </w:tc>
        <w:tc>
          <w:tcPr>
            <w:tcW w:w="924" w:type="dxa"/>
            <w:tcBorders>
              <w:top w:val="none" w:sz="6" w:space="0" w:color="auto"/>
              <w:left w:val="single" w:sz="2" w:space="0" w:color="000000"/>
              <w:bottom w:val="single" w:sz="2" w:space="0" w:color="000000"/>
              <w:right w:val="none" w:sz="6" w:space="0" w:color="auto"/>
            </w:tcBorders>
          </w:tcPr>
          <w:p w14:paraId="5CBEB701"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49" w:type="dxa"/>
            <w:gridSpan w:val="2"/>
            <w:tcBorders>
              <w:top w:val="none" w:sz="6" w:space="0" w:color="auto"/>
              <w:left w:val="none" w:sz="6" w:space="0" w:color="auto"/>
              <w:bottom w:val="single" w:sz="2" w:space="0" w:color="000000"/>
              <w:right w:val="single" w:sz="2" w:space="0" w:color="000000"/>
            </w:tcBorders>
          </w:tcPr>
          <w:p w14:paraId="5CBEB702"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24" w:type="dxa"/>
            <w:tcBorders>
              <w:top w:val="none" w:sz="6" w:space="0" w:color="auto"/>
              <w:left w:val="single" w:sz="2" w:space="0" w:color="000000"/>
              <w:bottom w:val="single" w:sz="2" w:space="0" w:color="000000"/>
              <w:right w:val="none" w:sz="6" w:space="0" w:color="auto"/>
            </w:tcBorders>
          </w:tcPr>
          <w:p w14:paraId="5CBEB703"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49" w:type="dxa"/>
            <w:gridSpan w:val="2"/>
            <w:tcBorders>
              <w:top w:val="none" w:sz="6" w:space="0" w:color="auto"/>
              <w:left w:val="none" w:sz="6" w:space="0" w:color="auto"/>
              <w:bottom w:val="single" w:sz="2" w:space="0" w:color="000000"/>
              <w:right w:val="single" w:sz="2" w:space="0" w:color="000000"/>
            </w:tcBorders>
          </w:tcPr>
          <w:p w14:paraId="5CBEB704" w14:textId="77777777" w:rsidR="008A1AA7" w:rsidRPr="008436BB" w:rsidRDefault="008A1AA7" w:rsidP="008436BB">
            <w:pPr>
              <w:spacing w:before="0" w:after="0" w:line="360" w:lineRule="auto"/>
              <w:ind w:left="113"/>
              <w:rPr>
                <w:sz w:val="18"/>
                <w:szCs w:val="18"/>
              </w:rPr>
            </w:pPr>
            <w:r w:rsidRPr="008436BB">
              <w:rPr>
                <w:sz w:val="18"/>
                <w:szCs w:val="18"/>
              </w:rPr>
              <w:t>(5.7)</w:t>
            </w:r>
          </w:p>
        </w:tc>
        <w:tc>
          <w:tcPr>
            <w:tcW w:w="924" w:type="dxa"/>
            <w:tcBorders>
              <w:top w:val="none" w:sz="6" w:space="0" w:color="auto"/>
              <w:left w:val="single" w:sz="2" w:space="0" w:color="000000"/>
              <w:bottom w:val="single" w:sz="2" w:space="0" w:color="000000"/>
              <w:right w:val="none" w:sz="6" w:space="0" w:color="auto"/>
            </w:tcBorders>
          </w:tcPr>
          <w:p w14:paraId="5CBEB705"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000" w:type="dxa"/>
            <w:gridSpan w:val="2"/>
            <w:tcBorders>
              <w:top w:val="none" w:sz="6" w:space="0" w:color="auto"/>
              <w:left w:val="none" w:sz="6" w:space="0" w:color="auto"/>
              <w:bottom w:val="single" w:sz="2" w:space="0" w:color="000000"/>
              <w:right w:val="single" w:sz="6" w:space="0" w:color="000000"/>
            </w:tcBorders>
          </w:tcPr>
          <w:p w14:paraId="5CBEB706" w14:textId="77777777" w:rsidR="008A1AA7" w:rsidRPr="008436BB" w:rsidRDefault="008A1AA7" w:rsidP="008436BB">
            <w:pPr>
              <w:spacing w:before="0" w:after="0" w:line="360" w:lineRule="auto"/>
              <w:ind w:left="113"/>
              <w:rPr>
                <w:sz w:val="18"/>
                <w:szCs w:val="18"/>
              </w:rPr>
            </w:pPr>
            <w:r w:rsidRPr="008436BB">
              <w:rPr>
                <w:sz w:val="18"/>
                <w:szCs w:val="18"/>
              </w:rPr>
              <w:t>(3.3)</w:t>
            </w:r>
          </w:p>
        </w:tc>
      </w:tr>
      <w:tr w:rsidR="008A1AA7" w:rsidRPr="008436BB" w14:paraId="5CBEB709"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08" w14:textId="77777777" w:rsidR="008A1AA7" w:rsidRPr="008436BB" w:rsidRDefault="008A1AA7" w:rsidP="008436BB">
            <w:pPr>
              <w:spacing w:before="0" w:after="0" w:line="360" w:lineRule="auto"/>
              <w:ind w:left="113"/>
              <w:rPr>
                <w:b/>
                <w:bCs/>
                <w:sz w:val="18"/>
                <w:szCs w:val="18"/>
              </w:rPr>
            </w:pPr>
            <w:r w:rsidRPr="008436BB">
              <w:rPr>
                <w:b/>
                <w:bCs/>
                <w:sz w:val="18"/>
                <w:szCs w:val="18"/>
              </w:rPr>
              <w:t>ECOG Performance Status</w:t>
            </w:r>
          </w:p>
        </w:tc>
      </w:tr>
      <w:tr w:rsidR="008A1AA7" w:rsidRPr="008436BB" w14:paraId="5CBEB711"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70A"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924" w:type="dxa"/>
            <w:tcBorders>
              <w:top w:val="single" w:sz="2" w:space="0" w:color="000000"/>
              <w:left w:val="single" w:sz="2" w:space="0" w:color="000000"/>
              <w:bottom w:val="none" w:sz="6" w:space="0" w:color="auto"/>
              <w:right w:val="none" w:sz="6" w:space="0" w:color="auto"/>
            </w:tcBorders>
          </w:tcPr>
          <w:p w14:paraId="5CBEB70B" w14:textId="77777777" w:rsidR="008A1AA7" w:rsidRPr="008436BB" w:rsidRDefault="008A1AA7" w:rsidP="008436BB">
            <w:pPr>
              <w:spacing w:before="0" w:after="0" w:line="360" w:lineRule="auto"/>
              <w:ind w:left="113"/>
              <w:rPr>
                <w:sz w:val="18"/>
                <w:szCs w:val="18"/>
              </w:rPr>
            </w:pPr>
            <w:r w:rsidRPr="008436BB">
              <w:rPr>
                <w:sz w:val="18"/>
                <w:szCs w:val="18"/>
              </w:rPr>
              <w:t>14</w:t>
            </w:r>
          </w:p>
        </w:tc>
        <w:tc>
          <w:tcPr>
            <w:tcW w:w="1149" w:type="dxa"/>
            <w:gridSpan w:val="2"/>
            <w:tcBorders>
              <w:top w:val="single" w:sz="2" w:space="0" w:color="000000"/>
              <w:left w:val="none" w:sz="6" w:space="0" w:color="auto"/>
              <w:bottom w:val="none" w:sz="6" w:space="0" w:color="auto"/>
              <w:right w:val="single" w:sz="2" w:space="0" w:color="000000"/>
            </w:tcBorders>
          </w:tcPr>
          <w:p w14:paraId="5CBEB70C" w14:textId="77777777" w:rsidR="008A1AA7" w:rsidRPr="008436BB" w:rsidRDefault="008A1AA7" w:rsidP="008436BB">
            <w:pPr>
              <w:spacing w:before="0" w:after="0" w:line="360" w:lineRule="auto"/>
              <w:ind w:left="113"/>
              <w:rPr>
                <w:sz w:val="18"/>
                <w:szCs w:val="18"/>
              </w:rPr>
            </w:pPr>
            <w:r w:rsidRPr="008436BB">
              <w:rPr>
                <w:sz w:val="18"/>
                <w:szCs w:val="18"/>
              </w:rPr>
              <w:t>(56.0)</w:t>
            </w:r>
          </w:p>
        </w:tc>
        <w:tc>
          <w:tcPr>
            <w:tcW w:w="924" w:type="dxa"/>
            <w:tcBorders>
              <w:top w:val="single" w:sz="2" w:space="0" w:color="000000"/>
              <w:left w:val="single" w:sz="2" w:space="0" w:color="000000"/>
              <w:bottom w:val="none" w:sz="6" w:space="0" w:color="auto"/>
              <w:right w:val="none" w:sz="6" w:space="0" w:color="auto"/>
            </w:tcBorders>
          </w:tcPr>
          <w:p w14:paraId="5CBEB70D" w14:textId="77777777" w:rsidR="008A1AA7" w:rsidRPr="008436BB" w:rsidRDefault="008A1AA7" w:rsidP="008436BB">
            <w:pPr>
              <w:spacing w:before="0" w:after="0" w:line="360" w:lineRule="auto"/>
              <w:ind w:left="113"/>
              <w:rPr>
                <w:sz w:val="18"/>
                <w:szCs w:val="18"/>
              </w:rPr>
            </w:pPr>
            <w:r w:rsidRPr="008436BB">
              <w:rPr>
                <w:sz w:val="18"/>
                <w:szCs w:val="18"/>
              </w:rPr>
              <w:t>15</w:t>
            </w:r>
          </w:p>
        </w:tc>
        <w:tc>
          <w:tcPr>
            <w:tcW w:w="1149" w:type="dxa"/>
            <w:gridSpan w:val="2"/>
            <w:tcBorders>
              <w:top w:val="single" w:sz="2" w:space="0" w:color="000000"/>
              <w:left w:val="none" w:sz="6" w:space="0" w:color="auto"/>
              <w:bottom w:val="none" w:sz="6" w:space="0" w:color="auto"/>
              <w:right w:val="single" w:sz="2" w:space="0" w:color="000000"/>
            </w:tcBorders>
          </w:tcPr>
          <w:p w14:paraId="5CBEB70E" w14:textId="77777777" w:rsidR="008A1AA7" w:rsidRPr="008436BB" w:rsidRDefault="008A1AA7" w:rsidP="008436BB">
            <w:pPr>
              <w:spacing w:before="0" w:after="0" w:line="360" w:lineRule="auto"/>
              <w:ind w:left="113"/>
              <w:rPr>
                <w:sz w:val="18"/>
                <w:szCs w:val="18"/>
              </w:rPr>
            </w:pPr>
            <w:r w:rsidRPr="008436BB">
              <w:rPr>
                <w:sz w:val="18"/>
                <w:szCs w:val="18"/>
              </w:rPr>
              <w:t>(42.9)</w:t>
            </w:r>
          </w:p>
        </w:tc>
        <w:tc>
          <w:tcPr>
            <w:tcW w:w="924" w:type="dxa"/>
            <w:tcBorders>
              <w:top w:val="single" w:sz="2" w:space="0" w:color="000000"/>
              <w:left w:val="single" w:sz="2" w:space="0" w:color="000000"/>
              <w:bottom w:val="none" w:sz="6" w:space="0" w:color="auto"/>
              <w:right w:val="none" w:sz="6" w:space="0" w:color="auto"/>
            </w:tcBorders>
          </w:tcPr>
          <w:p w14:paraId="5CBEB70F"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1000" w:type="dxa"/>
            <w:gridSpan w:val="2"/>
            <w:tcBorders>
              <w:top w:val="single" w:sz="2" w:space="0" w:color="000000"/>
              <w:left w:val="none" w:sz="6" w:space="0" w:color="auto"/>
              <w:bottom w:val="none" w:sz="6" w:space="0" w:color="auto"/>
              <w:right w:val="single" w:sz="6" w:space="0" w:color="000000"/>
            </w:tcBorders>
          </w:tcPr>
          <w:p w14:paraId="5CBEB710" w14:textId="77777777" w:rsidR="008A1AA7" w:rsidRPr="008436BB" w:rsidRDefault="008A1AA7" w:rsidP="008436BB">
            <w:pPr>
              <w:spacing w:before="0" w:after="0" w:line="360" w:lineRule="auto"/>
              <w:ind w:left="113"/>
              <w:rPr>
                <w:sz w:val="18"/>
                <w:szCs w:val="18"/>
              </w:rPr>
            </w:pPr>
            <w:r w:rsidRPr="008436BB">
              <w:rPr>
                <w:sz w:val="18"/>
                <w:szCs w:val="18"/>
              </w:rPr>
              <w:t>(48.3)</w:t>
            </w:r>
          </w:p>
        </w:tc>
      </w:tr>
      <w:tr w:rsidR="008A1AA7" w:rsidRPr="008436BB" w14:paraId="5CBEB719"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712"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924" w:type="dxa"/>
            <w:tcBorders>
              <w:top w:val="none" w:sz="6" w:space="0" w:color="auto"/>
              <w:left w:val="single" w:sz="2" w:space="0" w:color="000000"/>
              <w:bottom w:val="single" w:sz="2" w:space="0" w:color="000000"/>
              <w:right w:val="none" w:sz="6" w:space="0" w:color="auto"/>
            </w:tcBorders>
          </w:tcPr>
          <w:p w14:paraId="5CBEB713" w14:textId="77777777" w:rsidR="008A1AA7" w:rsidRPr="008436BB" w:rsidRDefault="008A1AA7" w:rsidP="008436BB">
            <w:pPr>
              <w:spacing w:before="0" w:after="0" w:line="360" w:lineRule="auto"/>
              <w:ind w:left="113"/>
              <w:rPr>
                <w:sz w:val="18"/>
                <w:szCs w:val="18"/>
              </w:rPr>
            </w:pPr>
            <w:r w:rsidRPr="008436BB">
              <w:rPr>
                <w:sz w:val="18"/>
                <w:szCs w:val="18"/>
              </w:rPr>
              <w:t>11</w:t>
            </w:r>
          </w:p>
        </w:tc>
        <w:tc>
          <w:tcPr>
            <w:tcW w:w="1149" w:type="dxa"/>
            <w:gridSpan w:val="2"/>
            <w:tcBorders>
              <w:top w:val="none" w:sz="6" w:space="0" w:color="auto"/>
              <w:left w:val="none" w:sz="6" w:space="0" w:color="auto"/>
              <w:bottom w:val="single" w:sz="2" w:space="0" w:color="000000"/>
              <w:right w:val="single" w:sz="2" w:space="0" w:color="000000"/>
            </w:tcBorders>
          </w:tcPr>
          <w:p w14:paraId="5CBEB714" w14:textId="77777777" w:rsidR="008A1AA7" w:rsidRPr="008436BB" w:rsidRDefault="008A1AA7" w:rsidP="008436BB">
            <w:pPr>
              <w:spacing w:before="0" w:after="0" w:line="360" w:lineRule="auto"/>
              <w:ind w:left="113"/>
              <w:rPr>
                <w:sz w:val="18"/>
                <w:szCs w:val="18"/>
              </w:rPr>
            </w:pPr>
            <w:r w:rsidRPr="008436BB">
              <w:rPr>
                <w:sz w:val="18"/>
                <w:szCs w:val="18"/>
              </w:rPr>
              <w:t>(44.0)</w:t>
            </w:r>
          </w:p>
        </w:tc>
        <w:tc>
          <w:tcPr>
            <w:tcW w:w="924" w:type="dxa"/>
            <w:tcBorders>
              <w:top w:val="none" w:sz="6" w:space="0" w:color="auto"/>
              <w:left w:val="single" w:sz="2" w:space="0" w:color="000000"/>
              <w:bottom w:val="single" w:sz="2" w:space="0" w:color="000000"/>
              <w:right w:val="none" w:sz="6" w:space="0" w:color="auto"/>
            </w:tcBorders>
          </w:tcPr>
          <w:p w14:paraId="5CBEB715" w14:textId="77777777" w:rsidR="008A1AA7" w:rsidRPr="008436BB" w:rsidRDefault="008A1AA7" w:rsidP="008436BB">
            <w:pPr>
              <w:spacing w:before="0" w:after="0" w:line="360" w:lineRule="auto"/>
              <w:ind w:left="113"/>
              <w:rPr>
                <w:sz w:val="18"/>
                <w:szCs w:val="18"/>
              </w:rPr>
            </w:pPr>
            <w:r w:rsidRPr="008436BB">
              <w:rPr>
                <w:sz w:val="18"/>
                <w:szCs w:val="18"/>
              </w:rPr>
              <w:t>20</w:t>
            </w:r>
          </w:p>
        </w:tc>
        <w:tc>
          <w:tcPr>
            <w:tcW w:w="1149" w:type="dxa"/>
            <w:gridSpan w:val="2"/>
            <w:tcBorders>
              <w:top w:val="none" w:sz="6" w:space="0" w:color="auto"/>
              <w:left w:val="none" w:sz="6" w:space="0" w:color="auto"/>
              <w:bottom w:val="single" w:sz="2" w:space="0" w:color="000000"/>
              <w:right w:val="single" w:sz="2" w:space="0" w:color="000000"/>
            </w:tcBorders>
          </w:tcPr>
          <w:p w14:paraId="5CBEB716" w14:textId="77777777" w:rsidR="008A1AA7" w:rsidRPr="008436BB" w:rsidRDefault="008A1AA7" w:rsidP="008436BB">
            <w:pPr>
              <w:spacing w:before="0" w:after="0" w:line="360" w:lineRule="auto"/>
              <w:ind w:left="113"/>
              <w:rPr>
                <w:sz w:val="18"/>
                <w:szCs w:val="18"/>
              </w:rPr>
            </w:pPr>
            <w:r w:rsidRPr="008436BB">
              <w:rPr>
                <w:sz w:val="18"/>
                <w:szCs w:val="18"/>
              </w:rPr>
              <w:t>(57.1)</w:t>
            </w:r>
          </w:p>
        </w:tc>
        <w:tc>
          <w:tcPr>
            <w:tcW w:w="924" w:type="dxa"/>
            <w:tcBorders>
              <w:top w:val="none" w:sz="6" w:space="0" w:color="auto"/>
              <w:left w:val="single" w:sz="2" w:space="0" w:color="000000"/>
              <w:bottom w:val="single" w:sz="2" w:space="0" w:color="000000"/>
              <w:right w:val="none" w:sz="6" w:space="0" w:color="auto"/>
            </w:tcBorders>
          </w:tcPr>
          <w:p w14:paraId="5CBEB717" w14:textId="77777777" w:rsidR="008A1AA7" w:rsidRPr="008436BB" w:rsidRDefault="008A1AA7" w:rsidP="008436BB">
            <w:pPr>
              <w:spacing w:before="0" w:after="0" w:line="360" w:lineRule="auto"/>
              <w:ind w:left="113"/>
              <w:rPr>
                <w:sz w:val="18"/>
                <w:szCs w:val="18"/>
              </w:rPr>
            </w:pPr>
            <w:r w:rsidRPr="008436BB">
              <w:rPr>
                <w:sz w:val="18"/>
                <w:szCs w:val="18"/>
              </w:rPr>
              <w:t>31</w:t>
            </w:r>
          </w:p>
        </w:tc>
        <w:tc>
          <w:tcPr>
            <w:tcW w:w="1000" w:type="dxa"/>
            <w:gridSpan w:val="2"/>
            <w:tcBorders>
              <w:top w:val="none" w:sz="6" w:space="0" w:color="auto"/>
              <w:left w:val="none" w:sz="6" w:space="0" w:color="auto"/>
              <w:bottom w:val="single" w:sz="2" w:space="0" w:color="000000"/>
              <w:right w:val="single" w:sz="6" w:space="0" w:color="000000"/>
            </w:tcBorders>
          </w:tcPr>
          <w:p w14:paraId="5CBEB718" w14:textId="77777777" w:rsidR="008A1AA7" w:rsidRPr="008436BB" w:rsidRDefault="008A1AA7" w:rsidP="008436BB">
            <w:pPr>
              <w:spacing w:before="0" w:after="0" w:line="360" w:lineRule="auto"/>
              <w:ind w:left="113"/>
              <w:rPr>
                <w:sz w:val="18"/>
                <w:szCs w:val="18"/>
              </w:rPr>
            </w:pPr>
            <w:r w:rsidRPr="008436BB">
              <w:rPr>
                <w:sz w:val="18"/>
                <w:szCs w:val="18"/>
              </w:rPr>
              <w:t>(51.7)</w:t>
            </w:r>
          </w:p>
        </w:tc>
      </w:tr>
      <w:tr w:rsidR="008A1AA7" w:rsidRPr="008436BB" w14:paraId="5CBEB71B"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1A" w14:textId="77777777" w:rsidR="008A1AA7" w:rsidRPr="008436BB" w:rsidRDefault="008A1AA7" w:rsidP="008436BB">
            <w:pPr>
              <w:spacing w:before="0" w:after="0" w:line="360" w:lineRule="auto"/>
              <w:ind w:left="113"/>
              <w:rPr>
                <w:b/>
                <w:bCs/>
                <w:sz w:val="18"/>
                <w:szCs w:val="18"/>
              </w:rPr>
            </w:pPr>
            <w:r w:rsidRPr="008436BB">
              <w:rPr>
                <w:b/>
                <w:bCs/>
                <w:sz w:val="18"/>
                <w:szCs w:val="18"/>
              </w:rPr>
              <w:t>Prior Lines of Therapy Group</w:t>
            </w:r>
          </w:p>
        </w:tc>
      </w:tr>
      <w:tr w:rsidR="008A1AA7" w:rsidRPr="008436BB" w14:paraId="5CBEB723"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71C" w14:textId="77777777" w:rsidR="008A1AA7" w:rsidRPr="008436BB" w:rsidRDefault="008A1AA7" w:rsidP="008436BB">
            <w:pPr>
              <w:spacing w:before="0" w:after="0" w:line="360" w:lineRule="auto"/>
              <w:ind w:left="113"/>
              <w:rPr>
                <w:sz w:val="18"/>
                <w:szCs w:val="18"/>
              </w:rPr>
            </w:pPr>
            <w:r w:rsidRPr="008436BB">
              <w:rPr>
                <w:sz w:val="18"/>
                <w:szCs w:val="18"/>
              </w:rPr>
              <w:t>&gt;= 3</w:t>
            </w:r>
          </w:p>
        </w:tc>
        <w:tc>
          <w:tcPr>
            <w:tcW w:w="924" w:type="dxa"/>
            <w:tcBorders>
              <w:top w:val="single" w:sz="2" w:space="0" w:color="000000"/>
              <w:left w:val="single" w:sz="2" w:space="0" w:color="000000"/>
              <w:bottom w:val="none" w:sz="6" w:space="0" w:color="auto"/>
              <w:right w:val="none" w:sz="6" w:space="0" w:color="auto"/>
            </w:tcBorders>
          </w:tcPr>
          <w:p w14:paraId="5CBEB71D" w14:textId="77777777" w:rsidR="008A1AA7" w:rsidRPr="008436BB" w:rsidRDefault="008A1AA7" w:rsidP="008436BB">
            <w:pPr>
              <w:spacing w:before="0" w:after="0" w:line="360" w:lineRule="auto"/>
              <w:ind w:left="113"/>
              <w:rPr>
                <w:sz w:val="18"/>
                <w:szCs w:val="18"/>
              </w:rPr>
            </w:pPr>
            <w:r w:rsidRPr="008436BB">
              <w:rPr>
                <w:sz w:val="18"/>
                <w:szCs w:val="18"/>
              </w:rPr>
              <w:t>23</w:t>
            </w:r>
          </w:p>
        </w:tc>
        <w:tc>
          <w:tcPr>
            <w:tcW w:w="1149" w:type="dxa"/>
            <w:gridSpan w:val="2"/>
            <w:tcBorders>
              <w:top w:val="single" w:sz="2" w:space="0" w:color="000000"/>
              <w:left w:val="none" w:sz="6" w:space="0" w:color="auto"/>
              <w:bottom w:val="none" w:sz="6" w:space="0" w:color="auto"/>
              <w:right w:val="single" w:sz="2" w:space="0" w:color="000000"/>
            </w:tcBorders>
          </w:tcPr>
          <w:p w14:paraId="5CBEB71E" w14:textId="77777777" w:rsidR="008A1AA7" w:rsidRPr="008436BB" w:rsidRDefault="008A1AA7" w:rsidP="008436BB">
            <w:pPr>
              <w:spacing w:before="0" w:after="0" w:line="360" w:lineRule="auto"/>
              <w:ind w:left="113"/>
              <w:rPr>
                <w:sz w:val="18"/>
                <w:szCs w:val="18"/>
              </w:rPr>
            </w:pPr>
            <w:r w:rsidRPr="008436BB">
              <w:rPr>
                <w:sz w:val="18"/>
                <w:szCs w:val="18"/>
              </w:rPr>
              <w:t>(92.0)</w:t>
            </w:r>
          </w:p>
        </w:tc>
        <w:tc>
          <w:tcPr>
            <w:tcW w:w="924" w:type="dxa"/>
            <w:tcBorders>
              <w:top w:val="single" w:sz="2" w:space="0" w:color="000000"/>
              <w:left w:val="single" w:sz="2" w:space="0" w:color="000000"/>
              <w:bottom w:val="none" w:sz="6" w:space="0" w:color="auto"/>
              <w:right w:val="none" w:sz="6" w:space="0" w:color="auto"/>
            </w:tcBorders>
          </w:tcPr>
          <w:p w14:paraId="5CBEB71F" w14:textId="77777777" w:rsidR="008A1AA7" w:rsidRPr="008436BB" w:rsidRDefault="008A1AA7" w:rsidP="008436BB">
            <w:pPr>
              <w:spacing w:before="0" w:after="0" w:line="360" w:lineRule="auto"/>
              <w:ind w:left="113"/>
              <w:rPr>
                <w:sz w:val="18"/>
                <w:szCs w:val="18"/>
              </w:rPr>
            </w:pPr>
            <w:r w:rsidRPr="008436BB">
              <w:rPr>
                <w:sz w:val="18"/>
                <w:szCs w:val="18"/>
              </w:rPr>
              <w:t>13</w:t>
            </w:r>
          </w:p>
        </w:tc>
        <w:tc>
          <w:tcPr>
            <w:tcW w:w="1149" w:type="dxa"/>
            <w:gridSpan w:val="2"/>
            <w:tcBorders>
              <w:top w:val="single" w:sz="2" w:space="0" w:color="000000"/>
              <w:left w:val="none" w:sz="6" w:space="0" w:color="auto"/>
              <w:bottom w:val="none" w:sz="6" w:space="0" w:color="auto"/>
              <w:right w:val="single" w:sz="2" w:space="0" w:color="000000"/>
            </w:tcBorders>
          </w:tcPr>
          <w:p w14:paraId="5CBEB720" w14:textId="77777777" w:rsidR="008A1AA7" w:rsidRPr="008436BB" w:rsidRDefault="008A1AA7" w:rsidP="008436BB">
            <w:pPr>
              <w:spacing w:before="0" w:after="0" w:line="360" w:lineRule="auto"/>
              <w:ind w:left="113"/>
              <w:rPr>
                <w:sz w:val="18"/>
                <w:szCs w:val="18"/>
              </w:rPr>
            </w:pPr>
            <w:r w:rsidRPr="008436BB">
              <w:rPr>
                <w:sz w:val="18"/>
                <w:szCs w:val="18"/>
              </w:rPr>
              <w:t>(37.1)</w:t>
            </w:r>
          </w:p>
        </w:tc>
        <w:tc>
          <w:tcPr>
            <w:tcW w:w="924" w:type="dxa"/>
            <w:tcBorders>
              <w:top w:val="single" w:sz="2" w:space="0" w:color="000000"/>
              <w:left w:val="single" w:sz="2" w:space="0" w:color="000000"/>
              <w:bottom w:val="none" w:sz="6" w:space="0" w:color="auto"/>
              <w:right w:val="none" w:sz="6" w:space="0" w:color="auto"/>
            </w:tcBorders>
          </w:tcPr>
          <w:p w14:paraId="5CBEB721" w14:textId="77777777" w:rsidR="008A1AA7" w:rsidRPr="008436BB" w:rsidRDefault="008A1AA7" w:rsidP="008436BB">
            <w:pPr>
              <w:spacing w:before="0" w:after="0" w:line="360" w:lineRule="auto"/>
              <w:ind w:left="113"/>
              <w:rPr>
                <w:sz w:val="18"/>
                <w:szCs w:val="18"/>
              </w:rPr>
            </w:pPr>
            <w:r w:rsidRPr="008436BB">
              <w:rPr>
                <w:sz w:val="18"/>
                <w:szCs w:val="18"/>
              </w:rPr>
              <w:t>36</w:t>
            </w:r>
          </w:p>
        </w:tc>
        <w:tc>
          <w:tcPr>
            <w:tcW w:w="1000" w:type="dxa"/>
            <w:gridSpan w:val="2"/>
            <w:tcBorders>
              <w:top w:val="single" w:sz="2" w:space="0" w:color="000000"/>
              <w:left w:val="none" w:sz="6" w:space="0" w:color="auto"/>
              <w:bottom w:val="none" w:sz="6" w:space="0" w:color="auto"/>
              <w:right w:val="single" w:sz="6" w:space="0" w:color="000000"/>
            </w:tcBorders>
          </w:tcPr>
          <w:p w14:paraId="5CBEB722" w14:textId="77777777" w:rsidR="008A1AA7" w:rsidRPr="008436BB" w:rsidRDefault="008A1AA7" w:rsidP="008436BB">
            <w:pPr>
              <w:spacing w:before="0" w:after="0" w:line="360" w:lineRule="auto"/>
              <w:ind w:left="113"/>
              <w:rPr>
                <w:sz w:val="18"/>
                <w:szCs w:val="18"/>
              </w:rPr>
            </w:pPr>
            <w:r w:rsidRPr="008436BB">
              <w:rPr>
                <w:sz w:val="18"/>
                <w:szCs w:val="18"/>
              </w:rPr>
              <w:t>(60.0)</w:t>
            </w:r>
          </w:p>
        </w:tc>
      </w:tr>
      <w:tr w:rsidR="008A1AA7" w:rsidRPr="008436BB" w14:paraId="5CBEB72B"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724" w14:textId="77777777" w:rsidR="008A1AA7" w:rsidRPr="008436BB" w:rsidRDefault="008A1AA7" w:rsidP="008436BB">
            <w:pPr>
              <w:spacing w:before="0" w:after="0" w:line="360" w:lineRule="auto"/>
              <w:ind w:left="113"/>
              <w:rPr>
                <w:sz w:val="18"/>
                <w:szCs w:val="18"/>
              </w:rPr>
            </w:pPr>
            <w:r w:rsidRPr="008436BB">
              <w:rPr>
                <w:sz w:val="18"/>
                <w:szCs w:val="18"/>
              </w:rPr>
              <w:t>&lt; 3</w:t>
            </w:r>
          </w:p>
        </w:tc>
        <w:tc>
          <w:tcPr>
            <w:tcW w:w="924" w:type="dxa"/>
            <w:tcBorders>
              <w:top w:val="none" w:sz="6" w:space="0" w:color="auto"/>
              <w:left w:val="single" w:sz="2" w:space="0" w:color="000000"/>
              <w:bottom w:val="single" w:sz="2" w:space="0" w:color="000000"/>
              <w:right w:val="none" w:sz="6" w:space="0" w:color="auto"/>
            </w:tcBorders>
          </w:tcPr>
          <w:p w14:paraId="5CBEB725"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49" w:type="dxa"/>
            <w:gridSpan w:val="2"/>
            <w:tcBorders>
              <w:top w:val="none" w:sz="6" w:space="0" w:color="auto"/>
              <w:left w:val="none" w:sz="6" w:space="0" w:color="auto"/>
              <w:bottom w:val="single" w:sz="2" w:space="0" w:color="000000"/>
              <w:right w:val="single" w:sz="2" w:space="0" w:color="000000"/>
            </w:tcBorders>
          </w:tcPr>
          <w:p w14:paraId="5CBEB726" w14:textId="77777777" w:rsidR="008A1AA7" w:rsidRPr="008436BB" w:rsidRDefault="008A1AA7" w:rsidP="008436BB">
            <w:pPr>
              <w:spacing w:before="0" w:after="0" w:line="360" w:lineRule="auto"/>
              <w:ind w:left="113"/>
              <w:rPr>
                <w:sz w:val="18"/>
                <w:szCs w:val="18"/>
              </w:rPr>
            </w:pPr>
            <w:r w:rsidRPr="008436BB">
              <w:rPr>
                <w:sz w:val="18"/>
                <w:szCs w:val="18"/>
              </w:rPr>
              <w:t>(8.0)</w:t>
            </w:r>
          </w:p>
        </w:tc>
        <w:tc>
          <w:tcPr>
            <w:tcW w:w="924" w:type="dxa"/>
            <w:tcBorders>
              <w:top w:val="none" w:sz="6" w:space="0" w:color="auto"/>
              <w:left w:val="single" w:sz="2" w:space="0" w:color="000000"/>
              <w:bottom w:val="single" w:sz="2" w:space="0" w:color="000000"/>
              <w:right w:val="none" w:sz="6" w:space="0" w:color="auto"/>
            </w:tcBorders>
          </w:tcPr>
          <w:p w14:paraId="5CBEB727" w14:textId="77777777" w:rsidR="008A1AA7" w:rsidRPr="008436BB" w:rsidRDefault="008A1AA7" w:rsidP="008436BB">
            <w:pPr>
              <w:spacing w:before="0" w:after="0" w:line="360" w:lineRule="auto"/>
              <w:ind w:left="113"/>
              <w:rPr>
                <w:sz w:val="18"/>
                <w:szCs w:val="18"/>
              </w:rPr>
            </w:pPr>
            <w:r w:rsidRPr="008436BB">
              <w:rPr>
                <w:sz w:val="18"/>
                <w:szCs w:val="18"/>
              </w:rPr>
              <w:t>22</w:t>
            </w:r>
          </w:p>
        </w:tc>
        <w:tc>
          <w:tcPr>
            <w:tcW w:w="1149" w:type="dxa"/>
            <w:gridSpan w:val="2"/>
            <w:tcBorders>
              <w:top w:val="none" w:sz="6" w:space="0" w:color="auto"/>
              <w:left w:val="none" w:sz="6" w:space="0" w:color="auto"/>
              <w:bottom w:val="single" w:sz="2" w:space="0" w:color="000000"/>
              <w:right w:val="single" w:sz="2" w:space="0" w:color="000000"/>
            </w:tcBorders>
          </w:tcPr>
          <w:p w14:paraId="5CBEB728" w14:textId="77777777" w:rsidR="008A1AA7" w:rsidRPr="008436BB" w:rsidRDefault="008A1AA7" w:rsidP="008436BB">
            <w:pPr>
              <w:spacing w:before="0" w:after="0" w:line="360" w:lineRule="auto"/>
              <w:ind w:left="113"/>
              <w:rPr>
                <w:sz w:val="18"/>
                <w:szCs w:val="18"/>
              </w:rPr>
            </w:pPr>
            <w:r w:rsidRPr="008436BB">
              <w:rPr>
                <w:sz w:val="18"/>
                <w:szCs w:val="18"/>
              </w:rPr>
              <w:t>(62.9)</w:t>
            </w:r>
          </w:p>
        </w:tc>
        <w:tc>
          <w:tcPr>
            <w:tcW w:w="924" w:type="dxa"/>
            <w:tcBorders>
              <w:top w:val="none" w:sz="6" w:space="0" w:color="auto"/>
              <w:left w:val="single" w:sz="2" w:space="0" w:color="000000"/>
              <w:bottom w:val="single" w:sz="2" w:space="0" w:color="000000"/>
              <w:right w:val="none" w:sz="6" w:space="0" w:color="auto"/>
            </w:tcBorders>
          </w:tcPr>
          <w:p w14:paraId="5CBEB729" w14:textId="77777777" w:rsidR="008A1AA7" w:rsidRPr="008436BB" w:rsidRDefault="008A1AA7" w:rsidP="008436BB">
            <w:pPr>
              <w:spacing w:before="0" w:after="0" w:line="360" w:lineRule="auto"/>
              <w:ind w:left="113"/>
              <w:rPr>
                <w:sz w:val="18"/>
                <w:szCs w:val="18"/>
              </w:rPr>
            </w:pPr>
            <w:r w:rsidRPr="008436BB">
              <w:rPr>
                <w:sz w:val="18"/>
                <w:szCs w:val="18"/>
              </w:rPr>
              <w:t>24</w:t>
            </w:r>
          </w:p>
        </w:tc>
        <w:tc>
          <w:tcPr>
            <w:tcW w:w="1000" w:type="dxa"/>
            <w:gridSpan w:val="2"/>
            <w:tcBorders>
              <w:top w:val="none" w:sz="6" w:space="0" w:color="auto"/>
              <w:left w:val="none" w:sz="6" w:space="0" w:color="auto"/>
              <w:bottom w:val="single" w:sz="2" w:space="0" w:color="000000"/>
              <w:right w:val="single" w:sz="6" w:space="0" w:color="000000"/>
            </w:tcBorders>
          </w:tcPr>
          <w:p w14:paraId="5CBEB72A" w14:textId="77777777" w:rsidR="008A1AA7" w:rsidRPr="008436BB" w:rsidRDefault="008A1AA7" w:rsidP="008436BB">
            <w:pPr>
              <w:spacing w:before="0" w:after="0" w:line="360" w:lineRule="auto"/>
              <w:ind w:left="113"/>
              <w:rPr>
                <w:sz w:val="18"/>
                <w:szCs w:val="18"/>
              </w:rPr>
            </w:pPr>
            <w:r w:rsidRPr="008436BB">
              <w:rPr>
                <w:sz w:val="18"/>
                <w:szCs w:val="18"/>
              </w:rPr>
              <w:t>(40.0)</w:t>
            </w:r>
          </w:p>
        </w:tc>
      </w:tr>
      <w:tr w:rsidR="008A1AA7" w:rsidRPr="008436BB" w14:paraId="5CBEB72D" w14:textId="77777777" w:rsidTr="00D92572">
        <w:trPr>
          <w:trHeight w:val="302"/>
        </w:trPr>
        <w:tc>
          <w:tcPr>
            <w:tcW w:w="8789" w:type="dxa"/>
            <w:gridSpan w:val="10"/>
            <w:tcBorders>
              <w:top w:val="single" w:sz="2" w:space="0" w:color="000000"/>
              <w:left w:val="single" w:sz="6" w:space="0" w:color="000000"/>
              <w:bottom w:val="single" w:sz="2" w:space="0" w:color="000000"/>
              <w:right w:val="single" w:sz="6" w:space="0" w:color="000000"/>
            </w:tcBorders>
          </w:tcPr>
          <w:p w14:paraId="5CBEB72C" w14:textId="77777777" w:rsidR="008A1AA7" w:rsidRPr="008436BB" w:rsidRDefault="008A1AA7" w:rsidP="008436BB">
            <w:pPr>
              <w:spacing w:before="0" w:after="0" w:line="360" w:lineRule="auto"/>
              <w:ind w:left="113"/>
              <w:rPr>
                <w:b/>
                <w:bCs/>
                <w:sz w:val="18"/>
                <w:szCs w:val="18"/>
              </w:rPr>
            </w:pPr>
            <w:r w:rsidRPr="008436BB">
              <w:rPr>
                <w:b/>
                <w:bCs/>
                <w:sz w:val="18"/>
                <w:szCs w:val="18"/>
              </w:rPr>
              <w:t>Prior Lines of Therapy</w:t>
            </w:r>
          </w:p>
        </w:tc>
      </w:tr>
      <w:tr w:rsidR="008A1AA7" w:rsidRPr="008436BB" w14:paraId="5CBEB735" w14:textId="77777777" w:rsidTr="00D92572">
        <w:trPr>
          <w:trHeight w:val="214"/>
        </w:trPr>
        <w:tc>
          <w:tcPr>
            <w:tcW w:w="2719" w:type="dxa"/>
            <w:tcBorders>
              <w:top w:val="single" w:sz="2" w:space="0" w:color="000000"/>
              <w:left w:val="single" w:sz="6" w:space="0" w:color="000000"/>
              <w:bottom w:val="none" w:sz="6" w:space="0" w:color="auto"/>
              <w:right w:val="single" w:sz="2" w:space="0" w:color="000000"/>
            </w:tcBorders>
          </w:tcPr>
          <w:p w14:paraId="5CBEB72E" w14:textId="77777777" w:rsidR="008A1AA7" w:rsidRPr="008436BB" w:rsidRDefault="008A1AA7" w:rsidP="008436BB">
            <w:pPr>
              <w:spacing w:before="0" w:after="0" w:line="360" w:lineRule="auto"/>
              <w:ind w:left="113"/>
              <w:rPr>
                <w:sz w:val="18"/>
                <w:szCs w:val="18"/>
              </w:rPr>
            </w:pPr>
            <w:r w:rsidRPr="008436BB">
              <w:rPr>
                <w:sz w:val="18"/>
                <w:szCs w:val="18"/>
              </w:rPr>
              <w:t>Subjects with data</w:t>
            </w:r>
          </w:p>
        </w:tc>
        <w:tc>
          <w:tcPr>
            <w:tcW w:w="924" w:type="dxa"/>
            <w:tcBorders>
              <w:top w:val="single" w:sz="2" w:space="0" w:color="000000"/>
              <w:left w:val="single" w:sz="2" w:space="0" w:color="000000"/>
              <w:bottom w:val="none" w:sz="6" w:space="0" w:color="auto"/>
              <w:right w:val="none" w:sz="6" w:space="0" w:color="auto"/>
            </w:tcBorders>
          </w:tcPr>
          <w:p w14:paraId="5CBEB72F" w14:textId="77777777" w:rsidR="008A1AA7" w:rsidRPr="008436BB" w:rsidRDefault="008A1AA7" w:rsidP="008436BB">
            <w:pPr>
              <w:spacing w:before="0" w:after="0" w:line="360" w:lineRule="auto"/>
              <w:ind w:left="113"/>
              <w:rPr>
                <w:sz w:val="18"/>
                <w:szCs w:val="18"/>
              </w:rPr>
            </w:pPr>
            <w:r w:rsidRPr="008436BB">
              <w:rPr>
                <w:sz w:val="18"/>
                <w:szCs w:val="18"/>
              </w:rPr>
              <w:t>25</w:t>
            </w:r>
          </w:p>
        </w:tc>
        <w:tc>
          <w:tcPr>
            <w:tcW w:w="1149" w:type="dxa"/>
            <w:gridSpan w:val="2"/>
            <w:tcBorders>
              <w:top w:val="single" w:sz="2" w:space="0" w:color="000000"/>
              <w:left w:val="none" w:sz="6" w:space="0" w:color="auto"/>
              <w:bottom w:val="none" w:sz="6" w:space="0" w:color="auto"/>
              <w:right w:val="single" w:sz="2" w:space="0" w:color="000000"/>
            </w:tcBorders>
          </w:tcPr>
          <w:p w14:paraId="5CBEB730" w14:textId="77777777" w:rsidR="008A1AA7" w:rsidRPr="008436BB" w:rsidRDefault="008A1AA7" w:rsidP="008436BB">
            <w:pPr>
              <w:spacing w:before="0" w:after="0" w:line="360" w:lineRule="auto"/>
              <w:ind w:left="113"/>
              <w:rPr>
                <w:sz w:val="18"/>
                <w:szCs w:val="18"/>
              </w:rPr>
            </w:pPr>
          </w:p>
        </w:tc>
        <w:tc>
          <w:tcPr>
            <w:tcW w:w="924" w:type="dxa"/>
            <w:tcBorders>
              <w:top w:val="single" w:sz="2" w:space="0" w:color="000000"/>
              <w:left w:val="single" w:sz="2" w:space="0" w:color="000000"/>
              <w:bottom w:val="none" w:sz="6" w:space="0" w:color="auto"/>
              <w:right w:val="none" w:sz="6" w:space="0" w:color="auto"/>
            </w:tcBorders>
          </w:tcPr>
          <w:p w14:paraId="5CBEB731"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149" w:type="dxa"/>
            <w:gridSpan w:val="2"/>
            <w:tcBorders>
              <w:top w:val="single" w:sz="2" w:space="0" w:color="000000"/>
              <w:left w:val="none" w:sz="6" w:space="0" w:color="auto"/>
              <w:bottom w:val="none" w:sz="6" w:space="0" w:color="auto"/>
              <w:right w:val="single" w:sz="2" w:space="0" w:color="000000"/>
            </w:tcBorders>
          </w:tcPr>
          <w:p w14:paraId="5CBEB732" w14:textId="77777777" w:rsidR="008A1AA7" w:rsidRPr="008436BB" w:rsidRDefault="008A1AA7" w:rsidP="008436BB">
            <w:pPr>
              <w:spacing w:before="0" w:after="0" w:line="360" w:lineRule="auto"/>
              <w:ind w:left="113"/>
              <w:rPr>
                <w:sz w:val="18"/>
                <w:szCs w:val="18"/>
              </w:rPr>
            </w:pPr>
          </w:p>
        </w:tc>
        <w:tc>
          <w:tcPr>
            <w:tcW w:w="924" w:type="dxa"/>
            <w:tcBorders>
              <w:top w:val="single" w:sz="2" w:space="0" w:color="000000"/>
              <w:left w:val="single" w:sz="2" w:space="0" w:color="000000"/>
              <w:bottom w:val="none" w:sz="6" w:space="0" w:color="auto"/>
              <w:right w:val="none" w:sz="6" w:space="0" w:color="auto"/>
            </w:tcBorders>
          </w:tcPr>
          <w:p w14:paraId="5CBEB733" w14:textId="77777777" w:rsidR="008A1AA7" w:rsidRPr="008436BB" w:rsidRDefault="008A1AA7" w:rsidP="008436BB">
            <w:pPr>
              <w:spacing w:before="0" w:after="0" w:line="360" w:lineRule="auto"/>
              <w:ind w:left="113"/>
              <w:rPr>
                <w:sz w:val="18"/>
                <w:szCs w:val="18"/>
              </w:rPr>
            </w:pPr>
            <w:r w:rsidRPr="008436BB">
              <w:rPr>
                <w:sz w:val="18"/>
                <w:szCs w:val="18"/>
              </w:rPr>
              <w:t>60</w:t>
            </w:r>
          </w:p>
        </w:tc>
        <w:tc>
          <w:tcPr>
            <w:tcW w:w="1000" w:type="dxa"/>
            <w:gridSpan w:val="2"/>
            <w:tcBorders>
              <w:top w:val="single" w:sz="2" w:space="0" w:color="000000"/>
              <w:left w:val="none" w:sz="6" w:space="0" w:color="auto"/>
              <w:bottom w:val="none" w:sz="6" w:space="0" w:color="auto"/>
              <w:right w:val="single" w:sz="6" w:space="0" w:color="000000"/>
            </w:tcBorders>
          </w:tcPr>
          <w:p w14:paraId="5CBEB734" w14:textId="77777777" w:rsidR="008A1AA7" w:rsidRPr="008436BB" w:rsidRDefault="008A1AA7" w:rsidP="008436BB">
            <w:pPr>
              <w:spacing w:before="0" w:after="0" w:line="360" w:lineRule="auto"/>
              <w:ind w:left="113"/>
              <w:rPr>
                <w:sz w:val="18"/>
                <w:szCs w:val="18"/>
              </w:rPr>
            </w:pPr>
          </w:p>
        </w:tc>
      </w:tr>
      <w:tr w:rsidR="008A1AA7" w:rsidRPr="008436BB" w14:paraId="5CBEB73D" w14:textId="77777777" w:rsidTr="00D92572">
        <w:trPr>
          <w:trHeight w:val="214"/>
        </w:trPr>
        <w:tc>
          <w:tcPr>
            <w:tcW w:w="2719" w:type="dxa"/>
            <w:tcBorders>
              <w:top w:val="none" w:sz="6" w:space="0" w:color="auto"/>
              <w:left w:val="single" w:sz="6" w:space="0" w:color="000000"/>
              <w:bottom w:val="none" w:sz="6" w:space="0" w:color="auto"/>
              <w:right w:val="single" w:sz="2" w:space="0" w:color="000000"/>
            </w:tcBorders>
          </w:tcPr>
          <w:p w14:paraId="5CBEB736" w14:textId="77777777" w:rsidR="008A1AA7" w:rsidRPr="008436BB" w:rsidRDefault="008A1AA7" w:rsidP="008436BB">
            <w:pPr>
              <w:spacing w:before="0" w:after="0" w:line="360" w:lineRule="auto"/>
              <w:ind w:left="113"/>
              <w:rPr>
                <w:sz w:val="18"/>
                <w:szCs w:val="18"/>
              </w:rPr>
            </w:pPr>
            <w:r w:rsidRPr="008436BB">
              <w:rPr>
                <w:sz w:val="18"/>
                <w:szCs w:val="18"/>
              </w:rPr>
              <w:t>Mean</w:t>
            </w:r>
          </w:p>
        </w:tc>
        <w:tc>
          <w:tcPr>
            <w:tcW w:w="924" w:type="dxa"/>
            <w:tcBorders>
              <w:top w:val="none" w:sz="6" w:space="0" w:color="auto"/>
              <w:left w:val="single" w:sz="2" w:space="0" w:color="000000"/>
              <w:bottom w:val="none" w:sz="6" w:space="0" w:color="auto"/>
              <w:right w:val="none" w:sz="6" w:space="0" w:color="auto"/>
            </w:tcBorders>
          </w:tcPr>
          <w:p w14:paraId="5CBEB737" w14:textId="77777777" w:rsidR="008A1AA7" w:rsidRPr="008436BB" w:rsidRDefault="008A1AA7" w:rsidP="008436BB">
            <w:pPr>
              <w:spacing w:before="0" w:after="0" w:line="360" w:lineRule="auto"/>
              <w:ind w:left="113"/>
              <w:rPr>
                <w:sz w:val="18"/>
                <w:szCs w:val="18"/>
              </w:rPr>
            </w:pPr>
            <w:r w:rsidRPr="008436BB">
              <w:rPr>
                <w:sz w:val="18"/>
                <w:szCs w:val="18"/>
              </w:rPr>
              <w:t>4.0</w:t>
            </w:r>
          </w:p>
        </w:tc>
        <w:tc>
          <w:tcPr>
            <w:tcW w:w="1149" w:type="dxa"/>
            <w:gridSpan w:val="2"/>
            <w:tcBorders>
              <w:top w:val="none" w:sz="6" w:space="0" w:color="auto"/>
              <w:left w:val="none" w:sz="6" w:space="0" w:color="auto"/>
              <w:bottom w:val="none" w:sz="6" w:space="0" w:color="auto"/>
              <w:right w:val="single" w:sz="2" w:space="0" w:color="000000"/>
            </w:tcBorders>
          </w:tcPr>
          <w:p w14:paraId="5CBEB738"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39" w14:textId="77777777" w:rsidR="008A1AA7" w:rsidRPr="008436BB" w:rsidRDefault="008A1AA7" w:rsidP="008436BB">
            <w:pPr>
              <w:spacing w:before="0" w:after="0" w:line="360" w:lineRule="auto"/>
              <w:ind w:left="113"/>
              <w:rPr>
                <w:sz w:val="18"/>
                <w:szCs w:val="18"/>
              </w:rPr>
            </w:pPr>
            <w:r w:rsidRPr="008436BB">
              <w:rPr>
                <w:sz w:val="18"/>
                <w:szCs w:val="18"/>
              </w:rPr>
              <w:t>3.1</w:t>
            </w:r>
          </w:p>
        </w:tc>
        <w:tc>
          <w:tcPr>
            <w:tcW w:w="1149" w:type="dxa"/>
            <w:gridSpan w:val="2"/>
            <w:tcBorders>
              <w:top w:val="none" w:sz="6" w:space="0" w:color="auto"/>
              <w:left w:val="none" w:sz="6" w:space="0" w:color="auto"/>
              <w:bottom w:val="none" w:sz="6" w:space="0" w:color="auto"/>
              <w:right w:val="single" w:sz="2" w:space="0" w:color="000000"/>
            </w:tcBorders>
          </w:tcPr>
          <w:p w14:paraId="5CBEB73A"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3B"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000" w:type="dxa"/>
            <w:gridSpan w:val="2"/>
            <w:tcBorders>
              <w:top w:val="none" w:sz="6" w:space="0" w:color="auto"/>
              <w:left w:val="none" w:sz="6" w:space="0" w:color="auto"/>
              <w:bottom w:val="none" w:sz="6" w:space="0" w:color="auto"/>
              <w:right w:val="single" w:sz="6" w:space="0" w:color="000000"/>
            </w:tcBorders>
          </w:tcPr>
          <w:p w14:paraId="5CBEB73C" w14:textId="77777777" w:rsidR="008A1AA7" w:rsidRPr="008436BB" w:rsidRDefault="008A1AA7" w:rsidP="008436BB">
            <w:pPr>
              <w:spacing w:before="0" w:after="0" w:line="360" w:lineRule="auto"/>
              <w:ind w:left="113"/>
              <w:rPr>
                <w:sz w:val="18"/>
                <w:szCs w:val="18"/>
              </w:rPr>
            </w:pPr>
          </w:p>
        </w:tc>
      </w:tr>
      <w:tr w:rsidR="008A1AA7" w:rsidRPr="008436BB" w14:paraId="5CBEB745" w14:textId="77777777"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73E" w14:textId="77777777" w:rsidR="008A1AA7" w:rsidRPr="008436BB" w:rsidRDefault="008A1AA7" w:rsidP="008436BB">
            <w:pPr>
              <w:spacing w:before="0" w:after="0" w:line="360" w:lineRule="auto"/>
              <w:ind w:left="113"/>
              <w:rPr>
                <w:sz w:val="18"/>
                <w:szCs w:val="18"/>
              </w:rPr>
            </w:pPr>
            <w:r w:rsidRPr="008436BB">
              <w:rPr>
                <w:sz w:val="18"/>
                <w:szCs w:val="18"/>
              </w:rPr>
              <w:t>SD</w:t>
            </w:r>
          </w:p>
        </w:tc>
        <w:tc>
          <w:tcPr>
            <w:tcW w:w="924" w:type="dxa"/>
            <w:tcBorders>
              <w:top w:val="none" w:sz="6" w:space="0" w:color="auto"/>
              <w:left w:val="single" w:sz="2" w:space="0" w:color="000000"/>
              <w:bottom w:val="none" w:sz="6" w:space="0" w:color="auto"/>
              <w:right w:val="none" w:sz="6" w:space="0" w:color="auto"/>
            </w:tcBorders>
          </w:tcPr>
          <w:p w14:paraId="5CBEB73F" w14:textId="77777777" w:rsidR="008A1AA7" w:rsidRPr="008436BB" w:rsidRDefault="008A1AA7" w:rsidP="008436BB">
            <w:pPr>
              <w:spacing w:before="0" w:after="0" w:line="360" w:lineRule="auto"/>
              <w:ind w:left="113"/>
              <w:rPr>
                <w:sz w:val="18"/>
                <w:szCs w:val="18"/>
              </w:rPr>
            </w:pPr>
            <w:r w:rsidRPr="008436BB">
              <w:rPr>
                <w:sz w:val="18"/>
                <w:szCs w:val="18"/>
              </w:rPr>
              <w:t>1.3</w:t>
            </w:r>
          </w:p>
        </w:tc>
        <w:tc>
          <w:tcPr>
            <w:tcW w:w="1149" w:type="dxa"/>
            <w:gridSpan w:val="2"/>
            <w:tcBorders>
              <w:top w:val="none" w:sz="6" w:space="0" w:color="auto"/>
              <w:left w:val="none" w:sz="6" w:space="0" w:color="auto"/>
              <w:bottom w:val="none" w:sz="6" w:space="0" w:color="auto"/>
              <w:right w:val="single" w:sz="2" w:space="0" w:color="000000"/>
            </w:tcBorders>
          </w:tcPr>
          <w:p w14:paraId="5CBEB740"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41"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1149" w:type="dxa"/>
            <w:gridSpan w:val="2"/>
            <w:tcBorders>
              <w:top w:val="none" w:sz="6" w:space="0" w:color="auto"/>
              <w:left w:val="none" w:sz="6" w:space="0" w:color="auto"/>
              <w:bottom w:val="none" w:sz="6" w:space="0" w:color="auto"/>
              <w:right w:val="single" w:sz="2" w:space="0" w:color="000000"/>
            </w:tcBorders>
          </w:tcPr>
          <w:p w14:paraId="5CBEB742"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43" w14:textId="77777777" w:rsidR="008A1AA7" w:rsidRPr="008436BB" w:rsidRDefault="008A1AA7" w:rsidP="008436BB">
            <w:pPr>
              <w:spacing w:before="0" w:after="0" w:line="360" w:lineRule="auto"/>
              <w:ind w:left="113"/>
              <w:rPr>
                <w:sz w:val="18"/>
                <w:szCs w:val="18"/>
              </w:rPr>
            </w:pPr>
            <w:r w:rsidRPr="008436BB">
              <w:rPr>
                <w:sz w:val="18"/>
                <w:szCs w:val="18"/>
              </w:rPr>
              <w:t>1.8</w:t>
            </w:r>
          </w:p>
        </w:tc>
        <w:tc>
          <w:tcPr>
            <w:tcW w:w="1000" w:type="dxa"/>
            <w:gridSpan w:val="2"/>
            <w:tcBorders>
              <w:top w:val="none" w:sz="6" w:space="0" w:color="auto"/>
              <w:left w:val="none" w:sz="6" w:space="0" w:color="auto"/>
              <w:bottom w:val="none" w:sz="6" w:space="0" w:color="auto"/>
              <w:right w:val="single" w:sz="6" w:space="0" w:color="000000"/>
            </w:tcBorders>
          </w:tcPr>
          <w:p w14:paraId="5CBEB744" w14:textId="77777777" w:rsidR="008A1AA7" w:rsidRPr="008436BB" w:rsidRDefault="008A1AA7" w:rsidP="008436BB">
            <w:pPr>
              <w:spacing w:before="0" w:after="0" w:line="360" w:lineRule="auto"/>
              <w:ind w:left="113"/>
              <w:rPr>
                <w:sz w:val="18"/>
                <w:szCs w:val="18"/>
              </w:rPr>
            </w:pPr>
          </w:p>
        </w:tc>
      </w:tr>
      <w:tr w:rsidR="008A1AA7" w:rsidRPr="008436BB" w14:paraId="5CBEB74D" w14:textId="77777777" w:rsidTr="00D92572">
        <w:trPr>
          <w:trHeight w:val="235"/>
        </w:trPr>
        <w:tc>
          <w:tcPr>
            <w:tcW w:w="2719" w:type="dxa"/>
            <w:tcBorders>
              <w:top w:val="none" w:sz="6" w:space="0" w:color="auto"/>
              <w:left w:val="single" w:sz="6" w:space="0" w:color="000000"/>
              <w:bottom w:val="none" w:sz="6" w:space="0" w:color="auto"/>
              <w:right w:val="single" w:sz="2" w:space="0" w:color="000000"/>
            </w:tcBorders>
          </w:tcPr>
          <w:p w14:paraId="5CBEB746" w14:textId="77777777" w:rsidR="008A1AA7" w:rsidRPr="008436BB" w:rsidRDefault="008A1AA7" w:rsidP="008436BB">
            <w:pPr>
              <w:spacing w:before="0" w:after="0" w:line="360" w:lineRule="auto"/>
              <w:ind w:left="113"/>
              <w:rPr>
                <w:sz w:val="18"/>
                <w:szCs w:val="18"/>
              </w:rPr>
            </w:pPr>
            <w:r w:rsidRPr="008436BB">
              <w:rPr>
                <w:sz w:val="18"/>
                <w:szCs w:val="18"/>
              </w:rPr>
              <w:lastRenderedPageBreak/>
              <w:t>Median</w:t>
            </w:r>
          </w:p>
        </w:tc>
        <w:tc>
          <w:tcPr>
            <w:tcW w:w="924" w:type="dxa"/>
            <w:tcBorders>
              <w:top w:val="none" w:sz="6" w:space="0" w:color="auto"/>
              <w:left w:val="single" w:sz="2" w:space="0" w:color="000000"/>
              <w:bottom w:val="none" w:sz="6" w:space="0" w:color="auto"/>
              <w:right w:val="none" w:sz="6" w:space="0" w:color="auto"/>
            </w:tcBorders>
          </w:tcPr>
          <w:p w14:paraId="5CBEB747" w14:textId="77777777" w:rsidR="008A1AA7" w:rsidRPr="008436BB" w:rsidRDefault="008A1AA7" w:rsidP="008436BB">
            <w:pPr>
              <w:spacing w:before="0" w:after="0" w:line="360" w:lineRule="auto"/>
              <w:ind w:left="113"/>
              <w:rPr>
                <w:sz w:val="18"/>
                <w:szCs w:val="18"/>
              </w:rPr>
            </w:pPr>
            <w:r w:rsidRPr="008436BB">
              <w:rPr>
                <w:sz w:val="18"/>
                <w:szCs w:val="18"/>
              </w:rPr>
              <w:t>4.0</w:t>
            </w:r>
          </w:p>
        </w:tc>
        <w:tc>
          <w:tcPr>
            <w:tcW w:w="1149" w:type="dxa"/>
            <w:gridSpan w:val="2"/>
            <w:tcBorders>
              <w:top w:val="none" w:sz="6" w:space="0" w:color="auto"/>
              <w:left w:val="none" w:sz="6" w:space="0" w:color="auto"/>
              <w:bottom w:val="none" w:sz="6" w:space="0" w:color="auto"/>
              <w:right w:val="single" w:sz="2" w:space="0" w:color="000000"/>
            </w:tcBorders>
          </w:tcPr>
          <w:p w14:paraId="5CBEB748"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49" w14:textId="77777777" w:rsidR="008A1AA7" w:rsidRPr="008436BB" w:rsidRDefault="008A1AA7" w:rsidP="008436BB">
            <w:pPr>
              <w:spacing w:before="0" w:after="0" w:line="360" w:lineRule="auto"/>
              <w:ind w:left="113"/>
              <w:rPr>
                <w:sz w:val="18"/>
                <w:szCs w:val="18"/>
              </w:rPr>
            </w:pPr>
            <w:r w:rsidRPr="008436BB">
              <w:rPr>
                <w:sz w:val="18"/>
                <w:szCs w:val="18"/>
              </w:rPr>
              <w:t>2.0</w:t>
            </w:r>
          </w:p>
        </w:tc>
        <w:tc>
          <w:tcPr>
            <w:tcW w:w="1149" w:type="dxa"/>
            <w:gridSpan w:val="2"/>
            <w:tcBorders>
              <w:top w:val="none" w:sz="6" w:space="0" w:color="auto"/>
              <w:left w:val="none" w:sz="6" w:space="0" w:color="auto"/>
              <w:bottom w:val="none" w:sz="6" w:space="0" w:color="auto"/>
              <w:right w:val="single" w:sz="2" w:space="0" w:color="000000"/>
            </w:tcBorders>
          </w:tcPr>
          <w:p w14:paraId="5CBEB74A"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4B" w14:textId="77777777" w:rsidR="008A1AA7" w:rsidRPr="008436BB" w:rsidRDefault="008A1AA7" w:rsidP="008436BB">
            <w:pPr>
              <w:spacing w:before="0" w:after="0" w:line="360" w:lineRule="auto"/>
              <w:ind w:left="113"/>
              <w:rPr>
                <w:sz w:val="18"/>
                <w:szCs w:val="18"/>
              </w:rPr>
            </w:pPr>
            <w:r w:rsidRPr="008436BB">
              <w:rPr>
                <w:sz w:val="18"/>
                <w:szCs w:val="18"/>
              </w:rPr>
              <w:t>3.0</w:t>
            </w:r>
          </w:p>
        </w:tc>
        <w:tc>
          <w:tcPr>
            <w:tcW w:w="1000" w:type="dxa"/>
            <w:gridSpan w:val="2"/>
            <w:tcBorders>
              <w:top w:val="none" w:sz="6" w:space="0" w:color="auto"/>
              <w:left w:val="none" w:sz="6" w:space="0" w:color="auto"/>
              <w:bottom w:val="none" w:sz="6" w:space="0" w:color="auto"/>
              <w:right w:val="single" w:sz="6" w:space="0" w:color="000000"/>
            </w:tcBorders>
          </w:tcPr>
          <w:p w14:paraId="5CBEB74C" w14:textId="77777777" w:rsidR="008A1AA7" w:rsidRPr="008436BB" w:rsidRDefault="008A1AA7" w:rsidP="008436BB">
            <w:pPr>
              <w:spacing w:before="0" w:after="0" w:line="360" w:lineRule="auto"/>
              <w:ind w:left="113"/>
              <w:rPr>
                <w:sz w:val="18"/>
                <w:szCs w:val="18"/>
              </w:rPr>
            </w:pPr>
          </w:p>
        </w:tc>
      </w:tr>
      <w:tr w:rsidR="008A1AA7" w:rsidRPr="008436BB" w14:paraId="5CBEB755"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74E" w14:textId="77777777" w:rsidR="008A1AA7" w:rsidRPr="008436BB" w:rsidRDefault="008A1AA7" w:rsidP="008436BB">
            <w:pPr>
              <w:spacing w:before="0" w:after="0" w:line="360" w:lineRule="auto"/>
              <w:ind w:left="113"/>
              <w:rPr>
                <w:sz w:val="18"/>
                <w:szCs w:val="18"/>
              </w:rPr>
            </w:pPr>
            <w:r w:rsidRPr="008436BB">
              <w:rPr>
                <w:sz w:val="18"/>
                <w:szCs w:val="18"/>
              </w:rPr>
              <w:t>Range</w:t>
            </w:r>
          </w:p>
        </w:tc>
        <w:tc>
          <w:tcPr>
            <w:tcW w:w="924" w:type="dxa"/>
            <w:tcBorders>
              <w:top w:val="none" w:sz="6" w:space="0" w:color="auto"/>
              <w:left w:val="single" w:sz="2" w:space="0" w:color="000000"/>
              <w:bottom w:val="single" w:sz="2" w:space="0" w:color="000000"/>
              <w:right w:val="none" w:sz="6" w:space="0" w:color="auto"/>
            </w:tcBorders>
          </w:tcPr>
          <w:p w14:paraId="5CBEB74F" w14:textId="77777777" w:rsidR="008A1AA7" w:rsidRPr="008436BB" w:rsidRDefault="008A1AA7" w:rsidP="008436BB">
            <w:pPr>
              <w:spacing w:before="0" w:after="0" w:line="360" w:lineRule="auto"/>
              <w:ind w:left="113"/>
              <w:rPr>
                <w:sz w:val="18"/>
                <w:szCs w:val="18"/>
              </w:rPr>
            </w:pPr>
            <w:r w:rsidRPr="008436BB">
              <w:rPr>
                <w:sz w:val="18"/>
                <w:szCs w:val="18"/>
              </w:rPr>
              <w:t>2.0 to 7.0</w:t>
            </w:r>
          </w:p>
        </w:tc>
        <w:tc>
          <w:tcPr>
            <w:tcW w:w="1149" w:type="dxa"/>
            <w:gridSpan w:val="2"/>
            <w:tcBorders>
              <w:top w:val="none" w:sz="6" w:space="0" w:color="auto"/>
              <w:left w:val="none" w:sz="6" w:space="0" w:color="auto"/>
              <w:bottom w:val="single" w:sz="2" w:space="0" w:color="000000"/>
              <w:right w:val="single" w:sz="2" w:space="0" w:color="000000"/>
            </w:tcBorders>
          </w:tcPr>
          <w:p w14:paraId="5CBEB750"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751" w14:textId="77777777" w:rsidR="008A1AA7" w:rsidRPr="008436BB" w:rsidRDefault="008A1AA7" w:rsidP="008436BB">
            <w:pPr>
              <w:spacing w:before="0" w:after="0" w:line="360" w:lineRule="auto"/>
              <w:ind w:left="113"/>
              <w:rPr>
                <w:sz w:val="18"/>
                <w:szCs w:val="18"/>
              </w:rPr>
            </w:pPr>
            <w:r w:rsidRPr="008436BB">
              <w:rPr>
                <w:sz w:val="18"/>
                <w:szCs w:val="18"/>
              </w:rPr>
              <w:t>2.0 to 10.0</w:t>
            </w:r>
          </w:p>
        </w:tc>
        <w:tc>
          <w:tcPr>
            <w:tcW w:w="1149" w:type="dxa"/>
            <w:gridSpan w:val="2"/>
            <w:tcBorders>
              <w:top w:val="none" w:sz="6" w:space="0" w:color="auto"/>
              <w:left w:val="none" w:sz="6" w:space="0" w:color="auto"/>
              <w:bottom w:val="single" w:sz="2" w:space="0" w:color="000000"/>
              <w:right w:val="single" w:sz="2" w:space="0" w:color="000000"/>
            </w:tcBorders>
          </w:tcPr>
          <w:p w14:paraId="5CBEB752"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753" w14:textId="77777777" w:rsidR="008A1AA7" w:rsidRPr="008436BB" w:rsidRDefault="008A1AA7" w:rsidP="008436BB">
            <w:pPr>
              <w:spacing w:before="0" w:after="0" w:line="360" w:lineRule="auto"/>
              <w:ind w:left="113"/>
              <w:rPr>
                <w:sz w:val="18"/>
                <w:szCs w:val="18"/>
              </w:rPr>
            </w:pPr>
            <w:r w:rsidRPr="008436BB">
              <w:rPr>
                <w:sz w:val="18"/>
                <w:szCs w:val="18"/>
              </w:rPr>
              <w:t>2.0 to 10.0</w:t>
            </w:r>
          </w:p>
        </w:tc>
        <w:tc>
          <w:tcPr>
            <w:tcW w:w="1000" w:type="dxa"/>
            <w:gridSpan w:val="2"/>
            <w:tcBorders>
              <w:top w:val="none" w:sz="6" w:space="0" w:color="auto"/>
              <w:left w:val="none" w:sz="6" w:space="0" w:color="auto"/>
              <w:bottom w:val="single" w:sz="2" w:space="0" w:color="000000"/>
              <w:right w:val="single" w:sz="6" w:space="0" w:color="000000"/>
            </w:tcBorders>
          </w:tcPr>
          <w:p w14:paraId="5CBEB754" w14:textId="77777777" w:rsidR="008A1AA7" w:rsidRPr="008436BB" w:rsidRDefault="008A1AA7" w:rsidP="008436BB">
            <w:pPr>
              <w:spacing w:before="0" w:after="0" w:line="360" w:lineRule="auto"/>
              <w:ind w:left="113"/>
              <w:rPr>
                <w:sz w:val="18"/>
                <w:szCs w:val="18"/>
              </w:rPr>
            </w:pPr>
          </w:p>
        </w:tc>
      </w:tr>
      <w:tr w:rsidR="008A1AA7" w:rsidRPr="008436BB" w14:paraId="5CBEB757" w14:textId="77777777" w:rsidTr="00D92572">
        <w:trPr>
          <w:trHeight w:val="302"/>
        </w:trPr>
        <w:tc>
          <w:tcPr>
            <w:tcW w:w="8789" w:type="dxa"/>
            <w:gridSpan w:val="10"/>
            <w:tcBorders>
              <w:top w:val="single" w:sz="2" w:space="0" w:color="000000"/>
              <w:left w:val="single" w:sz="6" w:space="0" w:color="000000"/>
              <w:bottom w:val="single" w:sz="2" w:space="0" w:color="000000"/>
              <w:right w:val="single" w:sz="6" w:space="0" w:color="000000"/>
            </w:tcBorders>
          </w:tcPr>
          <w:p w14:paraId="5CBEB756" w14:textId="77777777" w:rsidR="008A1AA7" w:rsidRPr="008436BB" w:rsidRDefault="008A1AA7" w:rsidP="008436BB">
            <w:pPr>
              <w:spacing w:before="0" w:after="0" w:line="360" w:lineRule="auto"/>
              <w:ind w:left="113"/>
              <w:rPr>
                <w:b/>
                <w:bCs/>
                <w:sz w:val="18"/>
                <w:szCs w:val="18"/>
              </w:rPr>
            </w:pPr>
            <w:r w:rsidRPr="008436BB">
              <w:rPr>
                <w:b/>
                <w:bCs/>
                <w:sz w:val="18"/>
                <w:szCs w:val="18"/>
              </w:rPr>
              <w:t>Refractory or Relapsed After 3 or More Lines</w:t>
            </w:r>
          </w:p>
        </w:tc>
      </w:tr>
      <w:tr w:rsidR="008A1AA7" w:rsidRPr="008436BB" w14:paraId="5CBEB75F" w14:textId="77777777" w:rsidTr="00D92572">
        <w:trPr>
          <w:trHeight w:val="304"/>
        </w:trPr>
        <w:tc>
          <w:tcPr>
            <w:tcW w:w="2719" w:type="dxa"/>
            <w:tcBorders>
              <w:top w:val="single" w:sz="2" w:space="0" w:color="000000"/>
              <w:left w:val="single" w:sz="6" w:space="0" w:color="000000"/>
              <w:bottom w:val="single" w:sz="2" w:space="0" w:color="000000"/>
              <w:right w:val="single" w:sz="2" w:space="0" w:color="000000"/>
            </w:tcBorders>
          </w:tcPr>
          <w:p w14:paraId="5CBEB758"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2" w:space="0" w:color="000000"/>
              <w:left w:val="single" w:sz="2" w:space="0" w:color="000000"/>
              <w:bottom w:val="single" w:sz="2" w:space="0" w:color="000000"/>
              <w:right w:val="none" w:sz="6" w:space="0" w:color="auto"/>
            </w:tcBorders>
          </w:tcPr>
          <w:p w14:paraId="5CBEB759" w14:textId="77777777" w:rsidR="008A1AA7" w:rsidRPr="008436BB" w:rsidRDefault="008A1AA7" w:rsidP="008436BB">
            <w:pPr>
              <w:spacing w:before="0" w:after="0" w:line="360" w:lineRule="auto"/>
              <w:ind w:left="113"/>
              <w:rPr>
                <w:sz w:val="18"/>
                <w:szCs w:val="18"/>
              </w:rPr>
            </w:pPr>
            <w:r w:rsidRPr="008436BB">
              <w:rPr>
                <w:sz w:val="18"/>
                <w:szCs w:val="18"/>
              </w:rPr>
              <w:t>25</w:t>
            </w:r>
          </w:p>
        </w:tc>
        <w:tc>
          <w:tcPr>
            <w:tcW w:w="1149" w:type="dxa"/>
            <w:gridSpan w:val="2"/>
            <w:tcBorders>
              <w:top w:val="single" w:sz="2" w:space="0" w:color="000000"/>
              <w:left w:val="none" w:sz="6" w:space="0" w:color="auto"/>
              <w:bottom w:val="single" w:sz="2" w:space="0" w:color="000000"/>
              <w:right w:val="single" w:sz="2" w:space="0" w:color="000000"/>
            </w:tcBorders>
          </w:tcPr>
          <w:p w14:paraId="5CBEB75A" w14:textId="77777777" w:rsidR="008A1AA7" w:rsidRPr="008436BB" w:rsidRDefault="008A1AA7" w:rsidP="008436BB">
            <w:pPr>
              <w:spacing w:before="0" w:after="0" w:line="360" w:lineRule="auto"/>
              <w:ind w:left="113"/>
              <w:rPr>
                <w:sz w:val="18"/>
                <w:szCs w:val="18"/>
              </w:rPr>
            </w:pPr>
            <w:r w:rsidRPr="008436BB">
              <w:rPr>
                <w:sz w:val="18"/>
                <w:szCs w:val="18"/>
              </w:rPr>
              <w:t>(100.0)</w:t>
            </w:r>
          </w:p>
        </w:tc>
        <w:tc>
          <w:tcPr>
            <w:tcW w:w="924" w:type="dxa"/>
            <w:tcBorders>
              <w:top w:val="single" w:sz="2" w:space="0" w:color="000000"/>
              <w:left w:val="single" w:sz="2" w:space="0" w:color="000000"/>
              <w:bottom w:val="single" w:sz="2" w:space="0" w:color="000000"/>
              <w:right w:val="none" w:sz="6" w:space="0" w:color="auto"/>
            </w:tcBorders>
          </w:tcPr>
          <w:p w14:paraId="5CBEB75B"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149" w:type="dxa"/>
            <w:gridSpan w:val="2"/>
            <w:tcBorders>
              <w:top w:val="single" w:sz="2" w:space="0" w:color="000000"/>
              <w:left w:val="none" w:sz="6" w:space="0" w:color="auto"/>
              <w:bottom w:val="single" w:sz="2" w:space="0" w:color="000000"/>
              <w:right w:val="single" w:sz="2" w:space="0" w:color="000000"/>
            </w:tcBorders>
          </w:tcPr>
          <w:p w14:paraId="5CBEB75C" w14:textId="77777777" w:rsidR="008A1AA7" w:rsidRPr="008436BB" w:rsidRDefault="008A1AA7" w:rsidP="008436BB">
            <w:pPr>
              <w:spacing w:before="0" w:after="0" w:line="360" w:lineRule="auto"/>
              <w:ind w:left="113"/>
              <w:rPr>
                <w:sz w:val="18"/>
                <w:szCs w:val="18"/>
              </w:rPr>
            </w:pPr>
            <w:r w:rsidRPr="008436BB">
              <w:rPr>
                <w:sz w:val="18"/>
                <w:szCs w:val="18"/>
              </w:rPr>
              <w:t>(100.0)</w:t>
            </w:r>
          </w:p>
        </w:tc>
        <w:tc>
          <w:tcPr>
            <w:tcW w:w="924" w:type="dxa"/>
            <w:tcBorders>
              <w:top w:val="single" w:sz="2" w:space="0" w:color="000000"/>
              <w:left w:val="single" w:sz="2" w:space="0" w:color="000000"/>
              <w:bottom w:val="single" w:sz="2" w:space="0" w:color="000000"/>
              <w:right w:val="none" w:sz="6" w:space="0" w:color="auto"/>
            </w:tcBorders>
          </w:tcPr>
          <w:p w14:paraId="5CBEB75D" w14:textId="77777777" w:rsidR="008A1AA7" w:rsidRPr="008436BB" w:rsidRDefault="008A1AA7" w:rsidP="008436BB">
            <w:pPr>
              <w:spacing w:before="0" w:after="0" w:line="360" w:lineRule="auto"/>
              <w:ind w:left="113"/>
              <w:rPr>
                <w:sz w:val="18"/>
                <w:szCs w:val="18"/>
              </w:rPr>
            </w:pPr>
            <w:r w:rsidRPr="008436BB">
              <w:rPr>
                <w:sz w:val="18"/>
                <w:szCs w:val="18"/>
              </w:rPr>
              <w:t>60</w:t>
            </w:r>
          </w:p>
        </w:tc>
        <w:tc>
          <w:tcPr>
            <w:tcW w:w="1000" w:type="dxa"/>
            <w:gridSpan w:val="2"/>
            <w:tcBorders>
              <w:top w:val="single" w:sz="2" w:space="0" w:color="000000"/>
              <w:left w:val="none" w:sz="6" w:space="0" w:color="auto"/>
              <w:bottom w:val="single" w:sz="2" w:space="0" w:color="000000"/>
              <w:right w:val="single" w:sz="6" w:space="0" w:color="000000"/>
            </w:tcBorders>
          </w:tcPr>
          <w:p w14:paraId="5CBEB75E" w14:textId="77777777" w:rsidR="008A1AA7" w:rsidRPr="008436BB" w:rsidRDefault="008A1AA7" w:rsidP="008436BB">
            <w:pPr>
              <w:spacing w:before="0" w:after="0" w:line="360" w:lineRule="auto"/>
              <w:ind w:left="113"/>
              <w:rPr>
                <w:sz w:val="18"/>
                <w:szCs w:val="18"/>
              </w:rPr>
            </w:pPr>
            <w:r w:rsidRPr="008436BB">
              <w:rPr>
                <w:sz w:val="18"/>
                <w:szCs w:val="18"/>
              </w:rPr>
              <w:t>(100.0)</w:t>
            </w:r>
          </w:p>
        </w:tc>
      </w:tr>
      <w:tr w:rsidR="008A1AA7" w:rsidRPr="008436BB" w14:paraId="5CBEB761"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60" w14:textId="77777777" w:rsidR="008A1AA7" w:rsidRPr="008436BB" w:rsidRDefault="008A1AA7" w:rsidP="008436BB">
            <w:pPr>
              <w:spacing w:before="0" w:after="0" w:line="360" w:lineRule="auto"/>
              <w:ind w:left="113"/>
              <w:rPr>
                <w:b/>
                <w:bCs/>
                <w:sz w:val="18"/>
                <w:szCs w:val="18"/>
              </w:rPr>
            </w:pPr>
            <w:r w:rsidRPr="008436BB">
              <w:rPr>
                <w:b/>
                <w:bCs/>
                <w:sz w:val="18"/>
                <w:szCs w:val="18"/>
              </w:rPr>
              <w:t>Time of relapse since SCT failure Group</w:t>
            </w:r>
          </w:p>
        </w:tc>
      </w:tr>
      <w:tr w:rsidR="008A1AA7" w:rsidRPr="008436BB" w14:paraId="5CBEB769"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762" w14:textId="77777777" w:rsidR="008A1AA7" w:rsidRPr="008436BB" w:rsidRDefault="008A1AA7" w:rsidP="008436BB">
            <w:pPr>
              <w:spacing w:before="0" w:after="0" w:line="360" w:lineRule="auto"/>
              <w:ind w:left="113"/>
              <w:rPr>
                <w:sz w:val="18"/>
                <w:szCs w:val="18"/>
              </w:rPr>
            </w:pPr>
            <w:r w:rsidRPr="008436BB">
              <w:rPr>
                <w:sz w:val="18"/>
                <w:szCs w:val="18"/>
              </w:rPr>
              <w:t>&gt;=12 months</w:t>
            </w:r>
          </w:p>
        </w:tc>
        <w:tc>
          <w:tcPr>
            <w:tcW w:w="924" w:type="dxa"/>
            <w:tcBorders>
              <w:top w:val="single" w:sz="2" w:space="0" w:color="000000"/>
              <w:left w:val="single" w:sz="2" w:space="0" w:color="000000"/>
              <w:bottom w:val="none" w:sz="6" w:space="0" w:color="auto"/>
              <w:right w:val="none" w:sz="6" w:space="0" w:color="auto"/>
            </w:tcBorders>
          </w:tcPr>
          <w:p w14:paraId="5CBEB763"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49" w:type="dxa"/>
            <w:gridSpan w:val="2"/>
            <w:tcBorders>
              <w:top w:val="single" w:sz="2" w:space="0" w:color="000000"/>
              <w:left w:val="none" w:sz="6" w:space="0" w:color="auto"/>
              <w:bottom w:val="none" w:sz="6" w:space="0" w:color="auto"/>
              <w:right w:val="single" w:sz="2" w:space="0" w:color="000000"/>
            </w:tcBorders>
          </w:tcPr>
          <w:p w14:paraId="5CBEB764" w14:textId="77777777" w:rsidR="008A1AA7" w:rsidRPr="008436BB" w:rsidRDefault="008A1AA7" w:rsidP="008436BB">
            <w:pPr>
              <w:spacing w:before="0" w:after="0" w:line="360" w:lineRule="auto"/>
              <w:ind w:left="113"/>
              <w:rPr>
                <w:sz w:val="18"/>
                <w:szCs w:val="18"/>
              </w:rPr>
            </w:pPr>
            <w:r w:rsidRPr="008436BB">
              <w:rPr>
                <w:sz w:val="18"/>
                <w:szCs w:val="18"/>
              </w:rPr>
              <w:t>(4.0)</w:t>
            </w:r>
          </w:p>
        </w:tc>
        <w:tc>
          <w:tcPr>
            <w:tcW w:w="924" w:type="dxa"/>
            <w:tcBorders>
              <w:top w:val="single" w:sz="2" w:space="0" w:color="000000"/>
              <w:left w:val="single" w:sz="2" w:space="0" w:color="000000"/>
              <w:bottom w:val="none" w:sz="6" w:space="0" w:color="auto"/>
              <w:right w:val="none" w:sz="6" w:space="0" w:color="auto"/>
            </w:tcBorders>
          </w:tcPr>
          <w:p w14:paraId="5CBEB765" w14:textId="77777777" w:rsidR="008A1AA7" w:rsidRPr="008436BB" w:rsidRDefault="008A1AA7" w:rsidP="008436BB">
            <w:pPr>
              <w:spacing w:before="0" w:after="0" w:line="360" w:lineRule="auto"/>
              <w:ind w:left="113"/>
              <w:rPr>
                <w:sz w:val="18"/>
                <w:szCs w:val="18"/>
              </w:rPr>
            </w:pPr>
            <w:r w:rsidRPr="008436BB">
              <w:rPr>
                <w:sz w:val="18"/>
                <w:szCs w:val="18"/>
              </w:rPr>
              <w:t>6</w:t>
            </w:r>
          </w:p>
        </w:tc>
        <w:tc>
          <w:tcPr>
            <w:tcW w:w="1149" w:type="dxa"/>
            <w:gridSpan w:val="2"/>
            <w:tcBorders>
              <w:top w:val="single" w:sz="2" w:space="0" w:color="000000"/>
              <w:left w:val="none" w:sz="6" w:space="0" w:color="auto"/>
              <w:bottom w:val="none" w:sz="6" w:space="0" w:color="auto"/>
              <w:right w:val="single" w:sz="2" w:space="0" w:color="000000"/>
            </w:tcBorders>
          </w:tcPr>
          <w:p w14:paraId="5CBEB766" w14:textId="77777777" w:rsidR="008A1AA7" w:rsidRPr="008436BB" w:rsidRDefault="008A1AA7" w:rsidP="008436BB">
            <w:pPr>
              <w:spacing w:before="0" w:after="0" w:line="360" w:lineRule="auto"/>
              <w:ind w:left="113"/>
              <w:rPr>
                <w:sz w:val="18"/>
                <w:szCs w:val="18"/>
              </w:rPr>
            </w:pPr>
            <w:r w:rsidRPr="008436BB">
              <w:rPr>
                <w:sz w:val="18"/>
                <w:szCs w:val="18"/>
              </w:rPr>
              <w:t>(17.1)</w:t>
            </w:r>
          </w:p>
        </w:tc>
        <w:tc>
          <w:tcPr>
            <w:tcW w:w="924" w:type="dxa"/>
            <w:tcBorders>
              <w:top w:val="single" w:sz="2" w:space="0" w:color="000000"/>
              <w:left w:val="single" w:sz="2" w:space="0" w:color="000000"/>
              <w:bottom w:val="none" w:sz="6" w:space="0" w:color="auto"/>
              <w:right w:val="none" w:sz="6" w:space="0" w:color="auto"/>
            </w:tcBorders>
          </w:tcPr>
          <w:p w14:paraId="5CBEB767" w14:textId="77777777" w:rsidR="008A1AA7" w:rsidRPr="008436BB" w:rsidRDefault="008A1AA7" w:rsidP="008436BB">
            <w:pPr>
              <w:spacing w:before="0" w:after="0" w:line="360" w:lineRule="auto"/>
              <w:ind w:left="113"/>
              <w:rPr>
                <w:sz w:val="18"/>
                <w:szCs w:val="18"/>
              </w:rPr>
            </w:pPr>
            <w:r w:rsidRPr="008436BB">
              <w:rPr>
                <w:sz w:val="18"/>
                <w:szCs w:val="18"/>
              </w:rPr>
              <w:t>7</w:t>
            </w:r>
          </w:p>
        </w:tc>
        <w:tc>
          <w:tcPr>
            <w:tcW w:w="1000" w:type="dxa"/>
            <w:gridSpan w:val="2"/>
            <w:tcBorders>
              <w:top w:val="single" w:sz="2" w:space="0" w:color="000000"/>
              <w:left w:val="none" w:sz="6" w:space="0" w:color="auto"/>
              <w:bottom w:val="none" w:sz="6" w:space="0" w:color="auto"/>
              <w:right w:val="single" w:sz="6" w:space="0" w:color="000000"/>
            </w:tcBorders>
          </w:tcPr>
          <w:p w14:paraId="5CBEB768" w14:textId="77777777" w:rsidR="008A1AA7" w:rsidRPr="008436BB" w:rsidRDefault="008A1AA7" w:rsidP="008436BB">
            <w:pPr>
              <w:spacing w:before="0" w:after="0" w:line="360" w:lineRule="auto"/>
              <w:ind w:left="113"/>
              <w:rPr>
                <w:sz w:val="18"/>
                <w:szCs w:val="18"/>
              </w:rPr>
            </w:pPr>
            <w:r w:rsidRPr="008436BB">
              <w:rPr>
                <w:sz w:val="18"/>
                <w:szCs w:val="18"/>
              </w:rPr>
              <w:t>(11.7)</w:t>
            </w:r>
          </w:p>
        </w:tc>
      </w:tr>
      <w:tr w:rsidR="008A1AA7" w:rsidRPr="008436BB" w14:paraId="5CBEB771"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76A" w14:textId="77777777" w:rsidR="008A1AA7" w:rsidRPr="008436BB" w:rsidRDefault="008A1AA7" w:rsidP="008436BB">
            <w:pPr>
              <w:spacing w:before="0" w:after="0" w:line="360" w:lineRule="auto"/>
              <w:ind w:left="113"/>
              <w:rPr>
                <w:sz w:val="18"/>
                <w:szCs w:val="18"/>
              </w:rPr>
            </w:pPr>
            <w:r w:rsidRPr="008436BB">
              <w:rPr>
                <w:sz w:val="18"/>
                <w:szCs w:val="18"/>
              </w:rPr>
              <w:t>&lt;12 months</w:t>
            </w:r>
          </w:p>
        </w:tc>
        <w:tc>
          <w:tcPr>
            <w:tcW w:w="924" w:type="dxa"/>
            <w:tcBorders>
              <w:top w:val="none" w:sz="6" w:space="0" w:color="auto"/>
              <w:left w:val="single" w:sz="2" w:space="0" w:color="000000"/>
              <w:bottom w:val="single" w:sz="2" w:space="0" w:color="000000"/>
              <w:right w:val="none" w:sz="6" w:space="0" w:color="auto"/>
            </w:tcBorders>
          </w:tcPr>
          <w:p w14:paraId="5CBEB76B" w14:textId="77777777" w:rsidR="008A1AA7" w:rsidRPr="008436BB" w:rsidRDefault="008A1AA7" w:rsidP="008436BB">
            <w:pPr>
              <w:spacing w:before="0" w:after="0" w:line="360" w:lineRule="auto"/>
              <w:ind w:left="113"/>
              <w:rPr>
                <w:sz w:val="18"/>
                <w:szCs w:val="18"/>
              </w:rPr>
            </w:pPr>
            <w:r w:rsidRPr="008436BB">
              <w:rPr>
                <w:sz w:val="18"/>
                <w:szCs w:val="18"/>
              </w:rPr>
              <w:t>24</w:t>
            </w:r>
          </w:p>
        </w:tc>
        <w:tc>
          <w:tcPr>
            <w:tcW w:w="1149" w:type="dxa"/>
            <w:gridSpan w:val="2"/>
            <w:tcBorders>
              <w:top w:val="none" w:sz="6" w:space="0" w:color="auto"/>
              <w:left w:val="none" w:sz="6" w:space="0" w:color="auto"/>
              <w:bottom w:val="single" w:sz="2" w:space="0" w:color="000000"/>
              <w:right w:val="single" w:sz="2" w:space="0" w:color="000000"/>
            </w:tcBorders>
          </w:tcPr>
          <w:p w14:paraId="5CBEB76C" w14:textId="77777777" w:rsidR="008A1AA7" w:rsidRPr="008436BB" w:rsidRDefault="008A1AA7" w:rsidP="008436BB">
            <w:pPr>
              <w:spacing w:before="0" w:after="0" w:line="360" w:lineRule="auto"/>
              <w:ind w:left="113"/>
              <w:rPr>
                <w:sz w:val="18"/>
                <w:szCs w:val="18"/>
              </w:rPr>
            </w:pPr>
            <w:r w:rsidRPr="008436BB">
              <w:rPr>
                <w:sz w:val="18"/>
                <w:szCs w:val="18"/>
              </w:rPr>
              <w:t>(96.0)</w:t>
            </w:r>
          </w:p>
        </w:tc>
        <w:tc>
          <w:tcPr>
            <w:tcW w:w="924" w:type="dxa"/>
            <w:tcBorders>
              <w:top w:val="none" w:sz="6" w:space="0" w:color="auto"/>
              <w:left w:val="single" w:sz="2" w:space="0" w:color="000000"/>
              <w:bottom w:val="single" w:sz="2" w:space="0" w:color="000000"/>
              <w:right w:val="none" w:sz="6" w:space="0" w:color="auto"/>
            </w:tcBorders>
          </w:tcPr>
          <w:p w14:paraId="5CBEB76D"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1149" w:type="dxa"/>
            <w:gridSpan w:val="2"/>
            <w:tcBorders>
              <w:top w:val="none" w:sz="6" w:space="0" w:color="auto"/>
              <w:left w:val="none" w:sz="6" w:space="0" w:color="auto"/>
              <w:bottom w:val="single" w:sz="2" w:space="0" w:color="000000"/>
              <w:right w:val="single" w:sz="2" w:space="0" w:color="000000"/>
            </w:tcBorders>
          </w:tcPr>
          <w:p w14:paraId="5CBEB76E" w14:textId="77777777" w:rsidR="008A1AA7" w:rsidRPr="008436BB" w:rsidRDefault="008A1AA7" w:rsidP="008436BB">
            <w:pPr>
              <w:spacing w:before="0" w:after="0" w:line="360" w:lineRule="auto"/>
              <w:ind w:left="113"/>
              <w:rPr>
                <w:sz w:val="18"/>
                <w:szCs w:val="18"/>
              </w:rPr>
            </w:pPr>
            <w:r w:rsidRPr="008436BB">
              <w:rPr>
                <w:sz w:val="18"/>
                <w:szCs w:val="18"/>
              </w:rPr>
              <w:t>(82.9)</w:t>
            </w:r>
          </w:p>
        </w:tc>
        <w:tc>
          <w:tcPr>
            <w:tcW w:w="924" w:type="dxa"/>
            <w:tcBorders>
              <w:top w:val="none" w:sz="6" w:space="0" w:color="auto"/>
              <w:left w:val="single" w:sz="2" w:space="0" w:color="000000"/>
              <w:bottom w:val="single" w:sz="2" w:space="0" w:color="000000"/>
              <w:right w:val="none" w:sz="6" w:space="0" w:color="auto"/>
            </w:tcBorders>
          </w:tcPr>
          <w:p w14:paraId="5CBEB76F" w14:textId="77777777" w:rsidR="008A1AA7" w:rsidRPr="008436BB" w:rsidRDefault="008A1AA7" w:rsidP="008436BB">
            <w:pPr>
              <w:spacing w:before="0" w:after="0" w:line="360" w:lineRule="auto"/>
              <w:ind w:left="113"/>
              <w:rPr>
                <w:sz w:val="18"/>
                <w:szCs w:val="18"/>
              </w:rPr>
            </w:pPr>
            <w:r w:rsidRPr="008436BB">
              <w:rPr>
                <w:sz w:val="18"/>
                <w:szCs w:val="18"/>
              </w:rPr>
              <w:t>53</w:t>
            </w:r>
          </w:p>
        </w:tc>
        <w:tc>
          <w:tcPr>
            <w:tcW w:w="1000" w:type="dxa"/>
            <w:gridSpan w:val="2"/>
            <w:tcBorders>
              <w:top w:val="none" w:sz="6" w:space="0" w:color="auto"/>
              <w:left w:val="none" w:sz="6" w:space="0" w:color="auto"/>
              <w:bottom w:val="single" w:sz="2" w:space="0" w:color="000000"/>
              <w:right w:val="single" w:sz="6" w:space="0" w:color="000000"/>
            </w:tcBorders>
          </w:tcPr>
          <w:p w14:paraId="5CBEB770" w14:textId="77777777" w:rsidR="008A1AA7" w:rsidRPr="008436BB" w:rsidRDefault="008A1AA7" w:rsidP="008436BB">
            <w:pPr>
              <w:spacing w:before="0" w:after="0" w:line="360" w:lineRule="auto"/>
              <w:ind w:left="113"/>
              <w:rPr>
                <w:sz w:val="18"/>
                <w:szCs w:val="18"/>
              </w:rPr>
            </w:pPr>
            <w:r w:rsidRPr="008436BB">
              <w:rPr>
                <w:sz w:val="18"/>
                <w:szCs w:val="18"/>
              </w:rPr>
              <w:t>(88.3)</w:t>
            </w:r>
          </w:p>
        </w:tc>
      </w:tr>
      <w:tr w:rsidR="008A1AA7" w:rsidRPr="008436BB" w14:paraId="5CBEB773"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72" w14:textId="77777777" w:rsidR="008A1AA7" w:rsidRPr="008436BB" w:rsidRDefault="008A1AA7" w:rsidP="008436BB">
            <w:pPr>
              <w:spacing w:before="0" w:after="0" w:line="360" w:lineRule="auto"/>
              <w:ind w:left="113"/>
              <w:rPr>
                <w:b/>
                <w:bCs/>
                <w:sz w:val="18"/>
                <w:szCs w:val="18"/>
              </w:rPr>
            </w:pPr>
            <w:r w:rsidRPr="008436BB">
              <w:rPr>
                <w:b/>
                <w:bCs/>
                <w:sz w:val="18"/>
                <w:szCs w:val="18"/>
              </w:rPr>
              <w:t>Time of relapse since SCT failure (Months)</w:t>
            </w:r>
          </w:p>
        </w:tc>
      </w:tr>
      <w:tr w:rsidR="008A1AA7" w:rsidRPr="008436BB" w14:paraId="5CBEB77B" w14:textId="77777777" w:rsidTr="00D92572">
        <w:trPr>
          <w:trHeight w:val="213"/>
        </w:trPr>
        <w:tc>
          <w:tcPr>
            <w:tcW w:w="2719" w:type="dxa"/>
            <w:tcBorders>
              <w:top w:val="single" w:sz="2" w:space="0" w:color="000000"/>
              <w:left w:val="single" w:sz="6" w:space="0" w:color="000000"/>
              <w:bottom w:val="none" w:sz="6" w:space="0" w:color="auto"/>
              <w:right w:val="single" w:sz="2" w:space="0" w:color="000000"/>
            </w:tcBorders>
          </w:tcPr>
          <w:p w14:paraId="5CBEB774" w14:textId="77777777" w:rsidR="008A1AA7" w:rsidRPr="008436BB" w:rsidRDefault="008A1AA7" w:rsidP="008436BB">
            <w:pPr>
              <w:spacing w:before="0" w:after="0" w:line="360" w:lineRule="auto"/>
              <w:ind w:left="113"/>
              <w:rPr>
                <w:sz w:val="18"/>
                <w:szCs w:val="18"/>
              </w:rPr>
            </w:pPr>
            <w:r w:rsidRPr="008436BB">
              <w:rPr>
                <w:sz w:val="18"/>
                <w:szCs w:val="18"/>
              </w:rPr>
              <w:t>Subjects with data</w:t>
            </w:r>
          </w:p>
        </w:tc>
        <w:tc>
          <w:tcPr>
            <w:tcW w:w="924" w:type="dxa"/>
            <w:tcBorders>
              <w:top w:val="single" w:sz="2" w:space="0" w:color="000000"/>
              <w:left w:val="single" w:sz="2" w:space="0" w:color="000000"/>
              <w:bottom w:val="none" w:sz="6" w:space="0" w:color="auto"/>
              <w:right w:val="none" w:sz="6" w:space="0" w:color="auto"/>
            </w:tcBorders>
          </w:tcPr>
          <w:p w14:paraId="5CBEB775" w14:textId="77777777" w:rsidR="008A1AA7" w:rsidRPr="008436BB" w:rsidRDefault="008A1AA7" w:rsidP="008436BB">
            <w:pPr>
              <w:spacing w:before="0" w:after="0" w:line="360" w:lineRule="auto"/>
              <w:ind w:left="113"/>
              <w:rPr>
                <w:sz w:val="18"/>
                <w:szCs w:val="18"/>
              </w:rPr>
            </w:pPr>
            <w:r w:rsidRPr="008436BB">
              <w:rPr>
                <w:sz w:val="18"/>
                <w:szCs w:val="18"/>
              </w:rPr>
              <w:t>25</w:t>
            </w:r>
          </w:p>
        </w:tc>
        <w:tc>
          <w:tcPr>
            <w:tcW w:w="1149" w:type="dxa"/>
            <w:gridSpan w:val="2"/>
            <w:tcBorders>
              <w:top w:val="single" w:sz="2" w:space="0" w:color="000000"/>
              <w:left w:val="none" w:sz="6" w:space="0" w:color="auto"/>
              <w:bottom w:val="none" w:sz="6" w:space="0" w:color="auto"/>
              <w:right w:val="single" w:sz="2" w:space="0" w:color="000000"/>
            </w:tcBorders>
          </w:tcPr>
          <w:p w14:paraId="5CBEB776" w14:textId="77777777" w:rsidR="008A1AA7" w:rsidRPr="008436BB" w:rsidRDefault="008A1AA7" w:rsidP="008436BB">
            <w:pPr>
              <w:spacing w:before="0" w:after="0" w:line="360" w:lineRule="auto"/>
              <w:ind w:left="113"/>
              <w:rPr>
                <w:sz w:val="18"/>
                <w:szCs w:val="18"/>
              </w:rPr>
            </w:pPr>
          </w:p>
        </w:tc>
        <w:tc>
          <w:tcPr>
            <w:tcW w:w="924" w:type="dxa"/>
            <w:tcBorders>
              <w:top w:val="single" w:sz="2" w:space="0" w:color="000000"/>
              <w:left w:val="single" w:sz="2" w:space="0" w:color="000000"/>
              <w:bottom w:val="none" w:sz="6" w:space="0" w:color="auto"/>
              <w:right w:val="none" w:sz="6" w:space="0" w:color="auto"/>
            </w:tcBorders>
          </w:tcPr>
          <w:p w14:paraId="5CBEB777"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149" w:type="dxa"/>
            <w:gridSpan w:val="2"/>
            <w:tcBorders>
              <w:top w:val="single" w:sz="2" w:space="0" w:color="000000"/>
              <w:left w:val="none" w:sz="6" w:space="0" w:color="auto"/>
              <w:bottom w:val="none" w:sz="6" w:space="0" w:color="auto"/>
              <w:right w:val="single" w:sz="2" w:space="0" w:color="000000"/>
            </w:tcBorders>
          </w:tcPr>
          <w:p w14:paraId="5CBEB778" w14:textId="77777777" w:rsidR="008A1AA7" w:rsidRPr="008436BB" w:rsidRDefault="008A1AA7" w:rsidP="008436BB">
            <w:pPr>
              <w:spacing w:before="0" w:after="0" w:line="360" w:lineRule="auto"/>
              <w:ind w:left="113"/>
              <w:rPr>
                <w:sz w:val="18"/>
                <w:szCs w:val="18"/>
              </w:rPr>
            </w:pPr>
          </w:p>
        </w:tc>
        <w:tc>
          <w:tcPr>
            <w:tcW w:w="924" w:type="dxa"/>
            <w:tcBorders>
              <w:top w:val="single" w:sz="2" w:space="0" w:color="000000"/>
              <w:left w:val="single" w:sz="2" w:space="0" w:color="000000"/>
              <w:bottom w:val="none" w:sz="6" w:space="0" w:color="auto"/>
              <w:right w:val="none" w:sz="6" w:space="0" w:color="auto"/>
            </w:tcBorders>
          </w:tcPr>
          <w:p w14:paraId="5CBEB779" w14:textId="77777777" w:rsidR="008A1AA7" w:rsidRPr="008436BB" w:rsidRDefault="008A1AA7" w:rsidP="008436BB">
            <w:pPr>
              <w:spacing w:before="0" w:after="0" w:line="360" w:lineRule="auto"/>
              <w:ind w:left="113"/>
              <w:rPr>
                <w:sz w:val="18"/>
                <w:szCs w:val="18"/>
              </w:rPr>
            </w:pPr>
            <w:r w:rsidRPr="008436BB">
              <w:rPr>
                <w:sz w:val="18"/>
                <w:szCs w:val="18"/>
              </w:rPr>
              <w:t>60</w:t>
            </w:r>
          </w:p>
        </w:tc>
        <w:tc>
          <w:tcPr>
            <w:tcW w:w="1000" w:type="dxa"/>
            <w:gridSpan w:val="2"/>
            <w:tcBorders>
              <w:top w:val="single" w:sz="2" w:space="0" w:color="000000"/>
              <w:left w:val="none" w:sz="6" w:space="0" w:color="auto"/>
              <w:bottom w:val="none" w:sz="6" w:space="0" w:color="auto"/>
              <w:right w:val="single" w:sz="6" w:space="0" w:color="000000"/>
            </w:tcBorders>
          </w:tcPr>
          <w:p w14:paraId="5CBEB77A" w14:textId="77777777" w:rsidR="008A1AA7" w:rsidRPr="008436BB" w:rsidRDefault="008A1AA7" w:rsidP="008436BB">
            <w:pPr>
              <w:spacing w:before="0" w:after="0" w:line="360" w:lineRule="auto"/>
              <w:ind w:left="113"/>
              <w:rPr>
                <w:sz w:val="18"/>
                <w:szCs w:val="18"/>
              </w:rPr>
            </w:pPr>
          </w:p>
        </w:tc>
      </w:tr>
      <w:tr w:rsidR="008A1AA7" w:rsidRPr="008436BB" w14:paraId="5CBEB783" w14:textId="77777777"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77C" w14:textId="77777777" w:rsidR="008A1AA7" w:rsidRPr="008436BB" w:rsidRDefault="008A1AA7" w:rsidP="008436BB">
            <w:pPr>
              <w:spacing w:before="0" w:after="0" w:line="360" w:lineRule="auto"/>
              <w:ind w:left="113"/>
              <w:rPr>
                <w:sz w:val="18"/>
                <w:szCs w:val="18"/>
              </w:rPr>
            </w:pPr>
            <w:r w:rsidRPr="008436BB">
              <w:rPr>
                <w:sz w:val="18"/>
                <w:szCs w:val="18"/>
              </w:rPr>
              <w:t>Mean</w:t>
            </w:r>
          </w:p>
        </w:tc>
        <w:tc>
          <w:tcPr>
            <w:tcW w:w="924" w:type="dxa"/>
            <w:tcBorders>
              <w:top w:val="none" w:sz="6" w:space="0" w:color="auto"/>
              <w:left w:val="single" w:sz="2" w:space="0" w:color="000000"/>
              <w:bottom w:val="none" w:sz="6" w:space="0" w:color="auto"/>
              <w:right w:val="none" w:sz="6" w:space="0" w:color="auto"/>
            </w:tcBorders>
          </w:tcPr>
          <w:p w14:paraId="5CBEB77D" w14:textId="77777777" w:rsidR="008A1AA7" w:rsidRPr="008436BB" w:rsidRDefault="008A1AA7" w:rsidP="008436BB">
            <w:pPr>
              <w:spacing w:before="0" w:after="0" w:line="360" w:lineRule="auto"/>
              <w:ind w:left="113"/>
              <w:rPr>
                <w:sz w:val="18"/>
                <w:szCs w:val="18"/>
              </w:rPr>
            </w:pPr>
            <w:r w:rsidRPr="008436BB">
              <w:rPr>
                <w:sz w:val="18"/>
                <w:szCs w:val="18"/>
              </w:rPr>
              <w:t>3.2</w:t>
            </w:r>
          </w:p>
        </w:tc>
        <w:tc>
          <w:tcPr>
            <w:tcW w:w="1149" w:type="dxa"/>
            <w:gridSpan w:val="2"/>
            <w:tcBorders>
              <w:top w:val="none" w:sz="6" w:space="0" w:color="auto"/>
              <w:left w:val="none" w:sz="6" w:space="0" w:color="auto"/>
              <w:bottom w:val="none" w:sz="6" w:space="0" w:color="auto"/>
              <w:right w:val="single" w:sz="2" w:space="0" w:color="000000"/>
            </w:tcBorders>
          </w:tcPr>
          <w:p w14:paraId="5CBEB77E"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7F" w14:textId="77777777" w:rsidR="008A1AA7" w:rsidRPr="008436BB" w:rsidRDefault="008A1AA7" w:rsidP="008436BB">
            <w:pPr>
              <w:spacing w:before="0" w:after="0" w:line="360" w:lineRule="auto"/>
              <w:ind w:left="113"/>
              <w:rPr>
                <w:sz w:val="18"/>
                <w:szCs w:val="18"/>
              </w:rPr>
            </w:pPr>
            <w:r w:rsidRPr="008436BB">
              <w:rPr>
                <w:sz w:val="18"/>
                <w:szCs w:val="18"/>
              </w:rPr>
              <w:t>8.6</w:t>
            </w:r>
          </w:p>
        </w:tc>
        <w:tc>
          <w:tcPr>
            <w:tcW w:w="1149" w:type="dxa"/>
            <w:gridSpan w:val="2"/>
            <w:tcBorders>
              <w:top w:val="none" w:sz="6" w:space="0" w:color="auto"/>
              <w:left w:val="none" w:sz="6" w:space="0" w:color="auto"/>
              <w:bottom w:val="none" w:sz="6" w:space="0" w:color="auto"/>
              <w:right w:val="single" w:sz="2" w:space="0" w:color="000000"/>
            </w:tcBorders>
          </w:tcPr>
          <w:p w14:paraId="5CBEB780"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81" w14:textId="77777777" w:rsidR="008A1AA7" w:rsidRPr="008436BB" w:rsidRDefault="008A1AA7" w:rsidP="008436BB">
            <w:pPr>
              <w:spacing w:before="0" w:after="0" w:line="360" w:lineRule="auto"/>
              <w:ind w:left="113"/>
              <w:rPr>
                <w:sz w:val="18"/>
                <w:szCs w:val="18"/>
              </w:rPr>
            </w:pPr>
            <w:r w:rsidRPr="008436BB">
              <w:rPr>
                <w:sz w:val="18"/>
                <w:szCs w:val="18"/>
              </w:rPr>
              <w:t>6.3</w:t>
            </w:r>
          </w:p>
        </w:tc>
        <w:tc>
          <w:tcPr>
            <w:tcW w:w="1000" w:type="dxa"/>
            <w:gridSpan w:val="2"/>
            <w:tcBorders>
              <w:top w:val="none" w:sz="6" w:space="0" w:color="auto"/>
              <w:left w:val="none" w:sz="6" w:space="0" w:color="auto"/>
              <w:bottom w:val="none" w:sz="6" w:space="0" w:color="auto"/>
              <w:right w:val="single" w:sz="6" w:space="0" w:color="000000"/>
            </w:tcBorders>
          </w:tcPr>
          <w:p w14:paraId="5CBEB782" w14:textId="77777777" w:rsidR="008A1AA7" w:rsidRPr="008436BB" w:rsidRDefault="008A1AA7" w:rsidP="008436BB">
            <w:pPr>
              <w:spacing w:before="0" w:after="0" w:line="360" w:lineRule="auto"/>
              <w:ind w:left="113"/>
              <w:rPr>
                <w:sz w:val="18"/>
                <w:szCs w:val="18"/>
              </w:rPr>
            </w:pPr>
          </w:p>
        </w:tc>
      </w:tr>
      <w:tr w:rsidR="008A1AA7" w:rsidRPr="008436BB" w14:paraId="5CBEB78B" w14:textId="77777777"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784" w14:textId="77777777" w:rsidR="008A1AA7" w:rsidRPr="008436BB" w:rsidRDefault="008A1AA7" w:rsidP="008436BB">
            <w:pPr>
              <w:spacing w:before="0" w:after="0" w:line="360" w:lineRule="auto"/>
              <w:ind w:left="113"/>
              <w:rPr>
                <w:sz w:val="18"/>
                <w:szCs w:val="18"/>
              </w:rPr>
            </w:pPr>
            <w:r w:rsidRPr="008436BB">
              <w:rPr>
                <w:sz w:val="18"/>
                <w:szCs w:val="18"/>
              </w:rPr>
              <w:t>SD</w:t>
            </w:r>
          </w:p>
        </w:tc>
        <w:tc>
          <w:tcPr>
            <w:tcW w:w="924" w:type="dxa"/>
            <w:tcBorders>
              <w:top w:val="none" w:sz="6" w:space="0" w:color="auto"/>
              <w:left w:val="single" w:sz="2" w:space="0" w:color="000000"/>
              <w:bottom w:val="none" w:sz="6" w:space="0" w:color="auto"/>
              <w:right w:val="none" w:sz="6" w:space="0" w:color="auto"/>
            </w:tcBorders>
          </w:tcPr>
          <w:p w14:paraId="5CBEB785" w14:textId="77777777" w:rsidR="008A1AA7" w:rsidRPr="008436BB" w:rsidRDefault="008A1AA7" w:rsidP="008436BB">
            <w:pPr>
              <w:spacing w:before="0" w:after="0" w:line="360" w:lineRule="auto"/>
              <w:ind w:left="113"/>
              <w:rPr>
                <w:sz w:val="18"/>
                <w:szCs w:val="18"/>
              </w:rPr>
            </w:pPr>
            <w:r w:rsidRPr="008436BB">
              <w:rPr>
                <w:sz w:val="18"/>
                <w:szCs w:val="18"/>
              </w:rPr>
              <w:t>3.6</w:t>
            </w:r>
          </w:p>
        </w:tc>
        <w:tc>
          <w:tcPr>
            <w:tcW w:w="1149" w:type="dxa"/>
            <w:gridSpan w:val="2"/>
            <w:tcBorders>
              <w:top w:val="none" w:sz="6" w:space="0" w:color="auto"/>
              <w:left w:val="none" w:sz="6" w:space="0" w:color="auto"/>
              <w:bottom w:val="none" w:sz="6" w:space="0" w:color="auto"/>
              <w:right w:val="single" w:sz="2" w:space="0" w:color="000000"/>
            </w:tcBorders>
          </w:tcPr>
          <w:p w14:paraId="5CBEB786"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87" w14:textId="77777777" w:rsidR="008A1AA7" w:rsidRPr="008436BB" w:rsidRDefault="008A1AA7" w:rsidP="008436BB">
            <w:pPr>
              <w:spacing w:before="0" w:after="0" w:line="360" w:lineRule="auto"/>
              <w:ind w:left="113"/>
              <w:rPr>
                <w:sz w:val="18"/>
                <w:szCs w:val="18"/>
              </w:rPr>
            </w:pPr>
            <w:r w:rsidRPr="008436BB">
              <w:rPr>
                <w:sz w:val="18"/>
                <w:szCs w:val="18"/>
              </w:rPr>
              <w:t>14.8</w:t>
            </w:r>
          </w:p>
        </w:tc>
        <w:tc>
          <w:tcPr>
            <w:tcW w:w="1149" w:type="dxa"/>
            <w:gridSpan w:val="2"/>
            <w:tcBorders>
              <w:top w:val="none" w:sz="6" w:space="0" w:color="auto"/>
              <w:left w:val="none" w:sz="6" w:space="0" w:color="auto"/>
              <w:bottom w:val="none" w:sz="6" w:space="0" w:color="auto"/>
              <w:right w:val="single" w:sz="2" w:space="0" w:color="000000"/>
            </w:tcBorders>
          </w:tcPr>
          <w:p w14:paraId="5CBEB788"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89" w14:textId="77777777" w:rsidR="008A1AA7" w:rsidRPr="008436BB" w:rsidRDefault="008A1AA7" w:rsidP="008436BB">
            <w:pPr>
              <w:spacing w:before="0" w:after="0" w:line="360" w:lineRule="auto"/>
              <w:ind w:left="113"/>
              <w:rPr>
                <w:sz w:val="18"/>
                <w:szCs w:val="18"/>
              </w:rPr>
            </w:pPr>
            <w:r w:rsidRPr="008436BB">
              <w:rPr>
                <w:sz w:val="18"/>
                <w:szCs w:val="18"/>
              </w:rPr>
              <w:t>11.8</w:t>
            </w:r>
          </w:p>
        </w:tc>
        <w:tc>
          <w:tcPr>
            <w:tcW w:w="1000" w:type="dxa"/>
            <w:gridSpan w:val="2"/>
            <w:tcBorders>
              <w:top w:val="none" w:sz="6" w:space="0" w:color="auto"/>
              <w:left w:val="none" w:sz="6" w:space="0" w:color="auto"/>
              <w:bottom w:val="none" w:sz="6" w:space="0" w:color="auto"/>
              <w:right w:val="single" w:sz="6" w:space="0" w:color="000000"/>
            </w:tcBorders>
          </w:tcPr>
          <w:p w14:paraId="5CBEB78A" w14:textId="77777777" w:rsidR="008A1AA7" w:rsidRPr="008436BB" w:rsidRDefault="008A1AA7" w:rsidP="008436BB">
            <w:pPr>
              <w:spacing w:before="0" w:after="0" w:line="360" w:lineRule="auto"/>
              <w:ind w:left="113"/>
              <w:rPr>
                <w:sz w:val="18"/>
                <w:szCs w:val="18"/>
              </w:rPr>
            </w:pPr>
          </w:p>
        </w:tc>
      </w:tr>
      <w:tr w:rsidR="008A1AA7" w:rsidRPr="008436BB" w14:paraId="5CBEB793" w14:textId="77777777" w:rsidTr="00D92572">
        <w:trPr>
          <w:trHeight w:val="235"/>
        </w:trPr>
        <w:tc>
          <w:tcPr>
            <w:tcW w:w="2719" w:type="dxa"/>
            <w:tcBorders>
              <w:top w:val="none" w:sz="6" w:space="0" w:color="auto"/>
              <w:left w:val="single" w:sz="6" w:space="0" w:color="000000"/>
              <w:bottom w:val="none" w:sz="6" w:space="0" w:color="auto"/>
              <w:right w:val="single" w:sz="2" w:space="0" w:color="000000"/>
            </w:tcBorders>
          </w:tcPr>
          <w:p w14:paraId="5CBEB78C" w14:textId="77777777" w:rsidR="008A1AA7" w:rsidRPr="008436BB" w:rsidRDefault="008A1AA7" w:rsidP="008436BB">
            <w:pPr>
              <w:spacing w:before="0" w:after="0" w:line="360" w:lineRule="auto"/>
              <w:ind w:left="113"/>
              <w:rPr>
                <w:sz w:val="18"/>
                <w:szCs w:val="18"/>
              </w:rPr>
            </w:pPr>
            <w:r w:rsidRPr="008436BB">
              <w:rPr>
                <w:sz w:val="18"/>
                <w:szCs w:val="18"/>
              </w:rPr>
              <w:t>Median</w:t>
            </w:r>
          </w:p>
        </w:tc>
        <w:tc>
          <w:tcPr>
            <w:tcW w:w="924" w:type="dxa"/>
            <w:tcBorders>
              <w:top w:val="none" w:sz="6" w:space="0" w:color="auto"/>
              <w:left w:val="single" w:sz="2" w:space="0" w:color="000000"/>
              <w:bottom w:val="none" w:sz="6" w:space="0" w:color="auto"/>
              <w:right w:val="none" w:sz="6" w:space="0" w:color="auto"/>
            </w:tcBorders>
          </w:tcPr>
          <w:p w14:paraId="5CBEB78D" w14:textId="77777777" w:rsidR="008A1AA7" w:rsidRPr="008436BB" w:rsidRDefault="008A1AA7" w:rsidP="008436BB">
            <w:pPr>
              <w:spacing w:before="0" w:after="0" w:line="360" w:lineRule="auto"/>
              <w:ind w:left="113"/>
              <w:rPr>
                <w:sz w:val="18"/>
                <w:szCs w:val="18"/>
              </w:rPr>
            </w:pPr>
            <w:r w:rsidRPr="008436BB">
              <w:rPr>
                <w:sz w:val="18"/>
                <w:szCs w:val="18"/>
              </w:rPr>
              <w:t>1.6</w:t>
            </w:r>
          </w:p>
        </w:tc>
        <w:tc>
          <w:tcPr>
            <w:tcW w:w="1149" w:type="dxa"/>
            <w:gridSpan w:val="2"/>
            <w:tcBorders>
              <w:top w:val="none" w:sz="6" w:space="0" w:color="auto"/>
              <w:left w:val="none" w:sz="6" w:space="0" w:color="auto"/>
              <w:bottom w:val="none" w:sz="6" w:space="0" w:color="auto"/>
              <w:right w:val="single" w:sz="2" w:space="0" w:color="000000"/>
            </w:tcBorders>
          </w:tcPr>
          <w:p w14:paraId="5CBEB78E"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8F" w14:textId="77777777" w:rsidR="008A1AA7" w:rsidRPr="008436BB" w:rsidRDefault="008A1AA7" w:rsidP="008436BB">
            <w:pPr>
              <w:spacing w:before="0" w:after="0" w:line="360" w:lineRule="auto"/>
              <w:ind w:left="113"/>
              <w:rPr>
                <w:sz w:val="18"/>
                <w:szCs w:val="18"/>
              </w:rPr>
            </w:pPr>
            <w:r w:rsidRPr="008436BB">
              <w:rPr>
                <w:sz w:val="18"/>
                <w:szCs w:val="18"/>
              </w:rPr>
              <w:t>2.8</w:t>
            </w:r>
          </w:p>
        </w:tc>
        <w:tc>
          <w:tcPr>
            <w:tcW w:w="1149" w:type="dxa"/>
            <w:gridSpan w:val="2"/>
            <w:tcBorders>
              <w:top w:val="none" w:sz="6" w:space="0" w:color="auto"/>
              <w:left w:val="none" w:sz="6" w:space="0" w:color="auto"/>
              <w:bottom w:val="none" w:sz="6" w:space="0" w:color="auto"/>
              <w:right w:val="single" w:sz="2" w:space="0" w:color="000000"/>
            </w:tcBorders>
          </w:tcPr>
          <w:p w14:paraId="5CBEB790"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791"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1000" w:type="dxa"/>
            <w:gridSpan w:val="2"/>
            <w:tcBorders>
              <w:top w:val="none" w:sz="6" w:space="0" w:color="auto"/>
              <w:left w:val="none" w:sz="6" w:space="0" w:color="auto"/>
              <w:bottom w:val="none" w:sz="6" w:space="0" w:color="auto"/>
              <w:right w:val="single" w:sz="6" w:space="0" w:color="000000"/>
            </w:tcBorders>
          </w:tcPr>
          <w:p w14:paraId="5CBEB792" w14:textId="77777777" w:rsidR="008A1AA7" w:rsidRPr="008436BB" w:rsidRDefault="008A1AA7" w:rsidP="008436BB">
            <w:pPr>
              <w:spacing w:before="0" w:after="0" w:line="360" w:lineRule="auto"/>
              <w:ind w:left="113"/>
              <w:rPr>
                <w:sz w:val="18"/>
                <w:szCs w:val="18"/>
              </w:rPr>
            </w:pPr>
          </w:p>
        </w:tc>
      </w:tr>
      <w:tr w:rsidR="008A1AA7" w:rsidRPr="008436BB" w14:paraId="5CBEB79B"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794" w14:textId="77777777" w:rsidR="008A1AA7" w:rsidRPr="008436BB" w:rsidRDefault="008A1AA7" w:rsidP="008436BB">
            <w:pPr>
              <w:spacing w:before="0" w:after="0" w:line="360" w:lineRule="auto"/>
              <w:ind w:left="113"/>
              <w:rPr>
                <w:sz w:val="18"/>
                <w:szCs w:val="18"/>
              </w:rPr>
            </w:pPr>
            <w:r w:rsidRPr="008436BB">
              <w:rPr>
                <w:sz w:val="18"/>
                <w:szCs w:val="18"/>
              </w:rPr>
              <w:t>Range</w:t>
            </w:r>
          </w:p>
        </w:tc>
        <w:tc>
          <w:tcPr>
            <w:tcW w:w="924" w:type="dxa"/>
            <w:tcBorders>
              <w:top w:val="none" w:sz="6" w:space="0" w:color="auto"/>
              <w:left w:val="single" w:sz="2" w:space="0" w:color="000000"/>
              <w:bottom w:val="single" w:sz="2" w:space="0" w:color="000000"/>
              <w:right w:val="none" w:sz="6" w:space="0" w:color="auto"/>
            </w:tcBorders>
          </w:tcPr>
          <w:p w14:paraId="5CBEB795" w14:textId="77777777" w:rsidR="008A1AA7" w:rsidRPr="008436BB" w:rsidRDefault="008A1AA7" w:rsidP="008436BB">
            <w:pPr>
              <w:spacing w:before="0" w:after="0" w:line="360" w:lineRule="auto"/>
              <w:ind w:left="113"/>
              <w:rPr>
                <w:sz w:val="18"/>
                <w:szCs w:val="18"/>
              </w:rPr>
            </w:pPr>
            <w:r w:rsidRPr="008436BB">
              <w:rPr>
                <w:sz w:val="18"/>
                <w:szCs w:val="18"/>
              </w:rPr>
              <w:t>0.4 to 17.2</w:t>
            </w:r>
          </w:p>
        </w:tc>
        <w:tc>
          <w:tcPr>
            <w:tcW w:w="1149" w:type="dxa"/>
            <w:gridSpan w:val="2"/>
            <w:tcBorders>
              <w:top w:val="none" w:sz="6" w:space="0" w:color="auto"/>
              <w:left w:val="none" w:sz="6" w:space="0" w:color="auto"/>
              <w:bottom w:val="single" w:sz="2" w:space="0" w:color="000000"/>
              <w:right w:val="single" w:sz="2" w:space="0" w:color="000000"/>
            </w:tcBorders>
          </w:tcPr>
          <w:p w14:paraId="5CBEB796"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797" w14:textId="77777777" w:rsidR="008A1AA7" w:rsidRPr="008436BB" w:rsidRDefault="008A1AA7" w:rsidP="008436BB">
            <w:pPr>
              <w:spacing w:before="0" w:after="0" w:line="360" w:lineRule="auto"/>
              <w:ind w:left="113"/>
              <w:rPr>
                <w:sz w:val="18"/>
                <w:szCs w:val="18"/>
              </w:rPr>
            </w:pPr>
            <w:r w:rsidRPr="008436BB">
              <w:rPr>
                <w:sz w:val="18"/>
                <w:szCs w:val="18"/>
              </w:rPr>
              <w:t>0.4 to 76.0</w:t>
            </w:r>
          </w:p>
        </w:tc>
        <w:tc>
          <w:tcPr>
            <w:tcW w:w="1149" w:type="dxa"/>
            <w:gridSpan w:val="2"/>
            <w:tcBorders>
              <w:top w:val="none" w:sz="6" w:space="0" w:color="auto"/>
              <w:left w:val="none" w:sz="6" w:space="0" w:color="auto"/>
              <w:bottom w:val="single" w:sz="2" w:space="0" w:color="000000"/>
              <w:right w:val="single" w:sz="2" w:space="0" w:color="000000"/>
            </w:tcBorders>
          </w:tcPr>
          <w:p w14:paraId="5CBEB798"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799" w14:textId="77777777" w:rsidR="008A1AA7" w:rsidRPr="008436BB" w:rsidRDefault="008A1AA7" w:rsidP="008436BB">
            <w:pPr>
              <w:spacing w:before="0" w:after="0" w:line="360" w:lineRule="auto"/>
              <w:ind w:left="113"/>
              <w:rPr>
                <w:sz w:val="18"/>
                <w:szCs w:val="18"/>
              </w:rPr>
            </w:pPr>
            <w:r w:rsidRPr="008436BB">
              <w:rPr>
                <w:sz w:val="18"/>
                <w:szCs w:val="18"/>
              </w:rPr>
              <w:t>0.4 to 76.0</w:t>
            </w:r>
          </w:p>
        </w:tc>
        <w:tc>
          <w:tcPr>
            <w:tcW w:w="1000" w:type="dxa"/>
            <w:gridSpan w:val="2"/>
            <w:tcBorders>
              <w:top w:val="none" w:sz="6" w:space="0" w:color="auto"/>
              <w:left w:val="none" w:sz="6" w:space="0" w:color="auto"/>
              <w:bottom w:val="single" w:sz="2" w:space="0" w:color="000000"/>
              <w:right w:val="single" w:sz="6" w:space="0" w:color="000000"/>
            </w:tcBorders>
          </w:tcPr>
          <w:p w14:paraId="5CBEB79A" w14:textId="77777777" w:rsidR="008A1AA7" w:rsidRPr="008436BB" w:rsidRDefault="008A1AA7" w:rsidP="008436BB">
            <w:pPr>
              <w:spacing w:before="0" w:after="0" w:line="360" w:lineRule="auto"/>
              <w:ind w:left="113"/>
              <w:rPr>
                <w:sz w:val="18"/>
                <w:szCs w:val="18"/>
              </w:rPr>
            </w:pPr>
          </w:p>
        </w:tc>
      </w:tr>
      <w:tr w:rsidR="008A1AA7" w:rsidRPr="008436BB" w14:paraId="5CBEB79D"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9C" w14:textId="77777777" w:rsidR="008A1AA7" w:rsidRPr="008436BB" w:rsidRDefault="008A1AA7" w:rsidP="008436BB">
            <w:pPr>
              <w:spacing w:before="0" w:after="0" w:line="360" w:lineRule="auto"/>
              <w:ind w:left="113"/>
              <w:rPr>
                <w:b/>
                <w:bCs/>
                <w:sz w:val="18"/>
                <w:szCs w:val="18"/>
              </w:rPr>
            </w:pPr>
            <w:r w:rsidRPr="008436BB">
              <w:rPr>
                <w:b/>
                <w:bCs/>
                <w:sz w:val="18"/>
                <w:szCs w:val="18"/>
              </w:rPr>
              <w:t>Prior Radiation</w:t>
            </w:r>
          </w:p>
        </w:tc>
      </w:tr>
      <w:tr w:rsidR="008A1AA7" w:rsidRPr="008436BB" w14:paraId="5CBEB7A5"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79E"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2" w:space="0" w:color="000000"/>
              <w:left w:val="single" w:sz="2" w:space="0" w:color="000000"/>
              <w:bottom w:val="none" w:sz="6" w:space="0" w:color="auto"/>
              <w:right w:val="none" w:sz="6" w:space="0" w:color="auto"/>
            </w:tcBorders>
          </w:tcPr>
          <w:p w14:paraId="5CBEB79F" w14:textId="77777777" w:rsidR="008A1AA7" w:rsidRPr="008436BB" w:rsidRDefault="008A1AA7" w:rsidP="008436BB">
            <w:pPr>
              <w:spacing w:before="0" w:after="0" w:line="360" w:lineRule="auto"/>
              <w:ind w:left="113"/>
              <w:rPr>
                <w:sz w:val="18"/>
                <w:szCs w:val="18"/>
              </w:rPr>
            </w:pPr>
            <w:r w:rsidRPr="008436BB">
              <w:rPr>
                <w:sz w:val="18"/>
                <w:szCs w:val="18"/>
              </w:rPr>
              <w:t>8</w:t>
            </w:r>
          </w:p>
        </w:tc>
        <w:tc>
          <w:tcPr>
            <w:tcW w:w="1149" w:type="dxa"/>
            <w:gridSpan w:val="2"/>
            <w:tcBorders>
              <w:top w:val="single" w:sz="2" w:space="0" w:color="000000"/>
              <w:left w:val="none" w:sz="6" w:space="0" w:color="auto"/>
              <w:bottom w:val="none" w:sz="6" w:space="0" w:color="auto"/>
              <w:right w:val="single" w:sz="2" w:space="0" w:color="000000"/>
            </w:tcBorders>
          </w:tcPr>
          <w:p w14:paraId="5CBEB7A0" w14:textId="77777777" w:rsidR="008A1AA7" w:rsidRPr="008436BB" w:rsidRDefault="008A1AA7" w:rsidP="008436BB">
            <w:pPr>
              <w:spacing w:before="0" w:after="0" w:line="360" w:lineRule="auto"/>
              <w:ind w:left="113"/>
              <w:rPr>
                <w:sz w:val="18"/>
                <w:szCs w:val="18"/>
              </w:rPr>
            </w:pPr>
            <w:r w:rsidRPr="008436BB">
              <w:rPr>
                <w:sz w:val="18"/>
                <w:szCs w:val="18"/>
              </w:rPr>
              <w:t>(32.0)</w:t>
            </w:r>
          </w:p>
        </w:tc>
        <w:tc>
          <w:tcPr>
            <w:tcW w:w="924" w:type="dxa"/>
            <w:tcBorders>
              <w:top w:val="single" w:sz="2" w:space="0" w:color="000000"/>
              <w:left w:val="single" w:sz="2" w:space="0" w:color="000000"/>
              <w:bottom w:val="none" w:sz="6" w:space="0" w:color="auto"/>
              <w:right w:val="none" w:sz="6" w:space="0" w:color="auto"/>
            </w:tcBorders>
          </w:tcPr>
          <w:p w14:paraId="5CBEB7A1" w14:textId="77777777" w:rsidR="008A1AA7" w:rsidRPr="008436BB" w:rsidRDefault="008A1AA7" w:rsidP="008436BB">
            <w:pPr>
              <w:spacing w:before="0" w:after="0" w:line="360" w:lineRule="auto"/>
              <w:ind w:left="113"/>
              <w:rPr>
                <w:sz w:val="18"/>
                <w:szCs w:val="18"/>
              </w:rPr>
            </w:pPr>
            <w:r w:rsidRPr="008436BB">
              <w:rPr>
                <w:sz w:val="18"/>
                <w:szCs w:val="18"/>
              </w:rPr>
              <w:t>16</w:t>
            </w:r>
          </w:p>
        </w:tc>
        <w:tc>
          <w:tcPr>
            <w:tcW w:w="1149" w:type="dxa"/>
            <w:gridSpan w:val="2"/>
            <w:tcBorders>
              <w:top w:val="single" w:sz="2" w:space="0" w:color="000000"/>
              <w:left w:val="none" w:sz="6" w:space="0" w:color="auto"/>
              <w:bottom w:val="none" w:sz="6" w:space="0" w:color="auto"/>
              <w:right w:val="single" w:sz="2" w:space="0" w:color="000000"/>
            </w:tcBorders>
          </w:tcPr>
          <w:p w14:paraId="5CBEB7A2" w14:textId="77777777" w:rsidR="008A1AA7" w:rsidRPr="008436BB" w:rsidRDefault="008A1AA7" w:rsidP="008436BB">
            <w:pPr>
              <w:spacing w:before="0" w:after="0" w:line="360" w:lineRule="auto"/>
              <w:ind w:left="113"/>
              <w:rPr>
                <w:sz w:val="18"/>
                <w:szCs w:val="18"/>
              </w:rPr>
            </w:pPr>
            <w:r w:rsidRPr="008436BB">
              <w:rPr>
                <w:sz w:val="18"/>
                <w:szCs w:val="18"/>
              </w:rPr>
              <w:t>(45.7)</w:t>
            </w:r>
          </w:p>
        </w:tc>
        <w:tc>
          <w:tcPr>
            <w:tcW w:w="924" w:type="dxa"/>
            <w:tcBorders>
              <w:top w:val="single" w:sz="2" w:space="0" w:color="000000"/>
              <w:left w:val="single" w:sz="2" w:space="0" w:color="000000"/>
              <w:bottom w:val="none" w:sz="6" w:space="0" w:color="auto"/>
              <w:right w:val="none" w:sz="6" w:space="0" w:color="auto"/>
            </w:tcBorders>
          </w:tcPr>
          <w:p w14:paraId="5CBEB7A3" w14:textId="77777777" w:rsidR="008A1AA7" w:rsidRPr="008436BB" w:rsidRDefault="008A1AA7" w:rsidP="008436BB">
            <w:pPr>
              <w:spacing w:before="0" w:after="0" w:line="360" w:lineRule="auto"/>
              <w:ind w:left="113"/>
              <w:rPr>
                <w:sz w:val="18"/>
                <w:szCs w:val="18"/>
              </w:rPr>
            </w:pPr>
            <w:r w:rsidRPr="008436BB">
              <w:rPr>
                <w:sz w:val="18"/>
                <w:szCs w:val="18"/>
              </w:rPr>
              <w:t>24</w:t>
            </w:r>
          </w:p>
        </w:tc>
        <w:tc>
          <w:tcPr>
            <w:tcW w:w="1000" w:type="dxa"/>
            <w:gridSpan w:val="2"/>
            <w:tcBorders>
              <w:top w:val="single" w:sz="2" w:space="0" w:color="000000"/>
              <w:left w:val="none" w:sz="6" w:space="0" w:color="auto"/>
              <w:bottom w:val="none" w:sz="6" w:space="0" w:color="auto"/>
              <w:right w:val="single" w:sz="6" w:space="0" w:color="000000"/>
            </w:tcBorders>
          </w:tcPr>
          <w:p w14:paraId="5CBEB7A4" w14:textId="77777777" w:rsidR="008A1AA7" w:rsidRPr="008436BB" w:rsidRDefault="008A1AA7" w:rsidP="008436BB">
            <w:pPr>
              <w:spacing w:before="0" w:after="0" w:line="360" w:lineRule="auto"/>
              <w:ind w:left="113"/>
              <w:rPr>
                <w:sz w:val="18"/>
                <w:szCs w:val="18"/>
              </w:rPr>
            </w:pPr>
            <w:r w:rsidRPr="008436BB">
              <w:rPr>
                <w:sz w:val="18"/>
                <w:szCs w:val="18"/>
              </w:rPr>
              <w:t>(40.0)</w:t>
            </w:r>
          </w:p>
        </w:tc>
      </w:tr>
      <w:tr w:rsidR="008A1AA7" w:rsidRPr="008436BB" w14:paraId="5CBEB7AD"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7A6" w14:textId="77777777" w:rsidR="008A1AA7" w:rsidRPr="008436BB" w:rsidRDefault="008A1AA7" w:rsidP="008436BB">
            <w:pPr>
              <w:spacing w:before="0" w:after="0" w:line="360" w:lineRule="auto"/>
              <w:ind w:left="113"/>
              <w:rPr>
                <w:sz w:val="18"/>
                <w:szCs w:val="18"/>
              </w:rPr>
            </w:pPr>
            <w:r w:rsidRPr="008436BB">
              <w:rPr>
                <w:sz w:val="18"/>
                <w:szCs w:val="18"/>
              </w:rPr>
              <w:t>No</w:t>
            </w:r>
          </w:p>
        </w:tc>
        <w:tc>
          <w:tcPr>
            <w:tcW w:w="924" w:type="dxa"/>
            <w:tcBorders>
              <w:top w:val="none" w:sz="6" w:space="0" w:color="auto"/>
              <w:left w:val="single" w:sz="2" w:space="0" w:color="000000"/>
              <w:bottom w:val="single" w:sz="2" w:space="0" w:color="000000"/>
              <w:right w:val="none" w:sz="6" w:space="0" w:color="auto"/>
            </w:tcBorders>
          </w:tcPr>
          <w:p w14:paraId="5CBEB7A7" w14:textId="77777777" w:rsidR="008A1AA7" w:rsidRPr="008436BB" w:rsidRDefault="008A1AA7" w:rsidP="008436BB">
            <w:pPr>
              <w:spacing w:before="0" w:after="0" w:line="360" w:lineRule="auto"/>
              <w:ind w:left="113"/>
              <w:rPr>
                <w:sz w:val="18"/>
                <w:szCs w:val="18"/>
              </w:rPr>
            </w:pPr>
            <w:r w:rsidRPr="008436BB">
              <w:rPr>
                <w:sz w:val="18"/>
                <w:szCs w:val="18"/>
              </w:rPr>
              <w:t>17</w:t>
            </w:r>
          </w:p>
        </w:tc>
        <w:tc>
          <w:tcPr>
            <w:tcW w:w="1149" w:type="dxa"/>
            <w:gridSpan w:val="2"/>
            <w:tcBorders>
              <w:top w:val="none" w:sz="6" w:space="0" w:color="auto"/>
              <w:left w:val="none" w:sz="6" w:space="0" w:color="auto"/>
              <w:bottom w:val="single" w:sz="2" w:space="0" w:color="000000"/>
              <w:right w:val="single" w:sz="2" w:space="0" w:color="000000"/>
            </w:tcBorders>
          </w:tcPr>
          <w:p w14:paraId="5CBEB7A8" w14:textId="77777777" w:rsidR="008A1AA7" w:rsidRPr="008436BB" w:rsidRDefault="008A1AA7" w:rsidP="008436BB">
            <w:pPr>
              <w:spacing w:before="0" w:after="0" w:line="360" w:lineRule="auto"/>
              <w:ind w:left="113"/>
              <w:rPr>
                <w:sz w:val="18"/>
                <w:szCs w:val="18"/>
              </w:rPr>
            </w:pPr>
            <w:r w:rsidRPr="008436BB">
              <w:rPr>
                <w:sz w:val="18"/>
                <w:szCs w:val="18"/>
              </w:rPr>
              <w:t>(68.0)</w:t>
            </w:r>
          </w:p>
        </w:tc>
        <w:tc>
          <w:tcPr>
            <w:tcW w:w="924" w:type="dxa"/>
            <w:tcBorders>
              <w:top w:val="none" w:sz="6" w:space="0" w:color="auto"/>
              <w:left w:val="single" w:sz="2" w:space="0" w:color="000000"/>
              <w:bottom w:val="single" w:sz="2" w:space="0" w:color="000000"/>
              <w:right w:val="none" w:sz="6" w:space="0" w:color="auto"/>
            </w:tcBorders>
          </w:tcPr>
          <w:p w14:paraId="5CBEB7A9"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1149" w:type="dxa"/>
            <w:gridSpan w:val="2"/>
            <w:tcBorders>
              <w:top w:val="none" w:sz="6" w:space="0" w:color="auto"/>
              <w:left w:val="none" w:sz="6" w:space="0" w:color="auto"/>
              <w:bottom w:val="single" w:sz="2" w:space="0" w:color="000000"/>
              <w:right w:val="single" w:sz="2" w:space="0" w:color="000000"/>
            </w:tcBorders>
          </w:tcPr>
          <w:p w14:paraId="5CBEB7AA" w14:textId="77777777" w:rsidR="008A1AA7" w:rsidRPr="008436BB" w:rsidRDefault="008A1AA7" w:rsidP="008436BB">
            <w:pPr>
              <w:spacing w:before="0" w:after="0" w:line="360" w:lineRule="auto"/>
              <w:ind w:left="113"/>
              <w:rPr>
                <w:sz w:val="18"/>
                <w:szCs w:val="18"/>
              </w:rPr>
            </w:pPr>
            <w:r w:rsidRPr="008436BB">
              <w:rPr>
                <w:sz w:val="18"/>
                <w:szCs w:val="18"/>
              </w:rPr>
              <w:t>(54.3)</w:t>
            </w:r>
          </w:p>
        </w:tc>
        <w:tc>
          <w:tcPr>
            <w:tcW w:w="924" w:type="dxa"/>
            <w:tcBorders>
              <w:top w:val="none" w:sz="6" w:space="0" w:color="auto"/>
              <w:left w:val="single" w:sz="2" w:space="0" w:color="000000"/>
              <w:bottom w:val="single" w:sz="2" w:space="0" w:color="000000"/>
              <w:right w:val="none" w:sz="6" w:space="0" w:color="auto"/>
            </w:tcBorders>
          </w:tcPr>
          <w:p w14:paraId="5CBEB7AB" w14:textId="77777777" w:rsidR="008A1AA7" w:rsidRPr="008436BB" w:rsidRDefault="008A1AA7" w:rsidP="008436BB">
            <w:pPr>
              <w:spacing w:before="0" w:after="0" w:line="360" w:lineRule="auto"/>
              <w:ind w:left="113"/>
              <w:rPr>
                <w:sz w:val="18"/>
                <w:szCs w:val="18"/>
              </w:rPr>
            </w:pPr>
            <w:r w:rsidRPr="008436BB">
              <w:rPr>
                <w:sz w:val="18"/>
                <w:szCs w:val="18"/>
              </w:rPr>
              <w:t>36</w:t>
            </w:r>
          </w:p>
        </w:tc>
        <w:tc>
          <w:tcPr>
            <w:tcW w:w="1000" w:type="dxa"/>
            <w:gridSpan w:val="2"/>
            <w:tcBorders>
              <w:top w:val="none" w:sz="6" w:space="0" w:color="auto"/>
              <w:left w:val="none" w:sz="6" w:space="0" w:color="auto"/>
              <w:bottom w:val="single" w:sz="2" w:space="0" w:color="000000"/>
              <w:right w:val="single" w:sz="6" w:space="0" w:color="000000"/>
            </w:tcBorders>
          </w:tcPr>
          <w:p w14:paraId="5CBEB7AC" w14:textId="77777777" w:rsidR="008A1AA7" w:rsidRPr="008436BB" w:rsidRDefault="008A1AA7" w:rsidP="008436BB">
            <w:pPr>
              <w:spacing w:before="0" w:after="0" w:line="360" w:lineRule="auto"/>
              <w:ind w:left="113"/>
              <w:rPr>
                <w:sz w:val="18"/>
                <w:szCs w:val="18"/>
              </w:rPr>
            </w:pPr>
            <w:r w:rsidRPr="008436BB">
              <w:rPr>
                <w:sz w:val="18"/>
                <w:szCs w:val="18"/>
              </w:rPr>
              <w:t>(60.0)</w:t>
            </w:r>
          </w:p>
        </w:tc>
      </w:tr>
      <w:tr w:rsidR="008A1AA7" w:rsidRPr="008436BB" w14:paraId="5CBEB7AF" w14:textId="77777777" w:rsidTr="00D92572">
        <w:trPr>
          <w:trHeight w:val="302"/>
        </w:trPr>
        <w:tc>
          <w:tcPr>
            <w:tcW w:w="8789" w:type="dxa"/>
            <w:gridSpan w:val="10"/>
            <w:tcBorders>
              <w:top w:val="single" w:sz="2" w:space="0" w:color="000000"/>
              <w:left w:val="single" w:sz="6" w:space="0" w:color="000000"/>
              <w:bottom w:val="single" w:sz="2" w:space="0" w:color="000000"/>
              <w:right w:val="single" w:sz="6" w:space="0" w:color="000000"/>
            </w:tcBorders>
          </w:tcPr>
          <w:p w14:paraId="5CBEB7AE" w14:textId="77777777" w:rsidR="008A1AA7" w:rsidRPr="008436BB" w:rsidRDefault="008A1AA7" w:rsidP="008436BB">
            <w:pPr>
              <w:spacing w:before="0" w:after="0" w:line="360" w:lineRule="auto"/>
              <w:ind w:left="113"/>
              <w:rPr>
                <w:b/>
                <w:bCs/>
                <w:sz w:val="18"/>
                <w:szCs w:val="18"/>
              </w:rPr>
            </w:pPr>
            <w:r w:rsidRPr="008436BB">
              <w:rPr>
                <w:b/>
                <w:bCs/>
                <w:sz w:val="18"/>
                <w:szCs w:val="18"/>
              </w:rPr>
              <w:t>Bulky Lymphadenopathy</w:t>
            </w:r>
          </w:p>
        </w:tc>
      </w:tr>
      <w:tr w:rsidR="008A1AA7" w:rsidRPr="008436BB" w14:paraId="5CBEB7B7" w14:textId="77777777" w:rsidTr="00D92572">
        <w:trPr>
          <w:trHeight w:val="236"/>
        </w:trPr>
        <w:tc>
          <w:tcPr>
            <w:tcW w:w="2719" w:type="dxa"/>
            <w:tcBorders>
              <w:top w:val="single" w:sz="2" w:space="0" w:color="000000"/>
              <w:left w:val="single" w:sz="6" w:space="0" w:color="000000"/>
              <w:bottom w:val="none" w:sz="6" w:space="0" w:color="auto"/>
              <w:right w:val="single" w:sz="2" w:space="0" w:color="000000"/>
            </w:tcBorders>
          </w:tcPr>
          <w:p w14:paraId="5CBEB7B0"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2" w:space="0" w:color="000000"/>
              <w:left w:val="single" w:sz="2" w:space="0" w:color="000000"/>
              <w:bottom w:val="none" w:sz="6" w:space="0" w:color="auto"/>
              <w:right w:val="none" w:sz="6" w:space="0" w:color="auto"/>
            </w:tcBorders>
          </w:tcPr>
          <w:p w14:paraId="5CBEB7B1"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49" w:type="dxa"/>
            <w:gridSpan w:val="2"/>
            <w:tcBorders>
              <w:top w:val="single" w:sz="2" w:space="0" w:color="000000"/>
              <w:left w:val="none" w:sz="6" w:space="0" w:color="auto"/>
              <w:bottom w:val="none" w:sz="6" w:space="0" w:color="auto"/>
              <w:right w:val="single" w:sz="2" w:space="0" w:color="000000"/>
            </w:tcBorders>
          </w:tcPr>
          <w:p w14:paraId="5CBEB7B2" w14:textId="77777777" w:rsidR="008A1AA7" w:rsidRPr="008436BB" w:rsidRDefault="008A1AA7" w:rsidP="008436BB">
            <w:pPr>
              <w:spacing w:before="0" w:after="0" w:line="360" w:lineRule="auto"/>
              <w:ind w:left="113"/>
              <w:rPr>
                <w:sz w:val="18"/>
                <w:szCs w:val="18"/>
              </w:rPr>
            </w:pPr>
            <w:r w:rsidRPr="008436BB">
              <w:rPr>
                <w:sz w:val="18"/>
                <w:szCs w:val="18"/>
              </w:rPr>
              <w:t>(8.0)</w:t>
            </w:r>
          </w:p>
        </w:tc>
        <w:tc>
          <w:tcPr>
            <w:tcW w:w="924" w:type="dxa"/>
            <w:tcBorders>
              <w:top w:val="single" w:sz="2" w:space="0" w:color="000000"/>
              <w:left w:val="single" w:sz="2" w:space="0" w:color="000000"/>
              <w:bottom w:val="none" w:sz="6" w:space="0" w:color="auto"/>
              <w:right w:val="none" w:sz="6" w:space="0" w:color="auto"/>
            </w:tcBorders>
          </w:tcPr>
          <w:p w14:paraId="5CBEB7B3"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49" w:type="dxa"/>
            <w:gridSpan w:val="2"/>
            <w:tcBorders>
              <w:top w:val="single" w:sz="2" w:space="0" w:color="000000"/>
              <w:left w:val="none" w:sz="6" w:space="0" w:color="auto"/>
              <w:bottom w:val="none" w:sz="6" w:space="0" w:color="auto"/>
              <w:right w:val="single" w:sz="2" w:space="0" w:color="000000"/>
            </w:tcBorders>
          </w:tcPr>
          <w:p w14:paraId="5CBEB7B4"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24" w:type="dxa"/>
            <w:tcBorders>
              <w:top w:val="single" w:sz="2" w:space="0" w:color="000000"/>
              <w:left w:val="single" w:sz="2" w:space="0" w:color="000000"/>
              <w:bottom w:val="none" w:sz="6" w:space="0" w:color="auto"/>
              <w:right w:val="none" w:sz="6" w:space="0" w:color="auto"/>
            </w:tcBorders>
          </w:tcPr>
          <w:p w14:paraId="5CBEB7B5"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1000" w:type="dxa"/>
            <w:gridSpan w:val="2"/>
            <w:tcBorders>
              <w:top w:val="single" w:sz="2" w:space="0" w:color="000000"/>
              <w:left w:val="none" w:sz="6" w:space="0" w:color="auto"/>
              <w:bottom w:val="none" w:sz="6" w:space="0" w:color="auto"/>
              <w:right w:val="single" w:sz="6" w:space="0" w:color="000000"/>
            </w:tcBorders>
          </w:tcPr>
          <w:p w14:paraId="5CBEB7B6" w14:textId="77777777" w:rsidR="008A1AA7" w:rsidRPr="008436BB" w:rsidRDefault="008A1AA7" w:rsidP="008436BB">
            <w:pPr>
              <w:spacing w:before="0" w:after="0" w:line="360" w:lineRule="auto"/>
              <w:ind w:left="113"/>
              <w:rPr>
                <w:sz w:val="18"/>
                <w:szCs w:val="18"/>
              </w:rPr>
            </w:pPr>
            <w:r w:rsidRPr="008436BB">
              <w:rPr>
                <w:sz w:val="18"/>
                <w:szCs w:val="18"/>
              </w:rPr>
              <w:t>(5.0)</w:t>
            </w:r>
          </w:p>
        </w:tc>
      </w:tr>
      <w:tr w:rsidR="008A1AA7" w:rsidRPr="008436BB" w14:paraId="5CBEB7BF" w14:textId="77777777" w:rsidTr="00D92572">
        <w:trPr>
          <w:trHeight w:val="282"/>
        </w:trPr>
        <w:tc>
          <w:tcPr>
            <w:tcW w:w="2719" w:type="dxa"/>
            <w:tcBorders>
              <w:top w:val="none" w:sz="6" w:space="0" w:color="auto"/>
              <w:left w:val="single" w:sz="6" w:space="0" w:color="000000"/>
              <w:bottom w:val="single" w:sz="2" w:space="0" w:color="000000"/>
              <w:right w:val="single" w:sz="2" w:space="0" w:color="000000"/>
            </w:tcBorders>
          </w:tcPr>
          <w:p w14:paraId="5CBEB7B8" w14:textId="77777777" w:rsidR="008A1AA7" w:rsidRPr="008436BB" w:rsidRDefault="008A1AA7" w:rsidP="008436BB">
            <w:pPr>
              <w:spacing w:before="0" w:after="0" w:line="360" w:lineRule="auto"/>
              <w:ind w:left="113"/>
              <w:rPr>
                <w:sz w:val="18"/>
                <w:szCs w:val="18"/>
              </w:rPr>
            </w:pPr>
            <w:r w:rsidRPr="008436BB">
              <w:rPr>
                <w:sz w:val="18"/>
                <w:szCs w:val="18"/>
              </w:rPr>
              <w:t>No</w:t>
            </w:r>
          </w:p>
        </w:tc>
        <w:tc>
          <w:tcPr>
            <w:tcW w:w="924" w:type="dxa"/>
            <w:tcBorders>
              <w:top w:val="none" w:sz="6" w:space="0" w:color="auto"/>
              <w:left w:val="single" w:sz="2" w:space="0" w:color="000000"/>
              <w:bottom w:val="single" w:sz="2" w:space="0" w:color="000000"/>
              <w:right w:val="none" w:sz="6" w:space="0" w:color="auto"/>
            </w:tcBorders>
          </w:tcPr>
          <w:p w14:paraId="5CBEB7B9" w14:textId="77777777" w:rsidR="008A1AA7" w:rsidRPr="008436BB" w:rsidRDefault="008A1AA7" w:rsidP="008436BB">
            <w:pPr>
              <w:spacing w:before="0" w:after="0" w:line="360" w:lineRule="auto"/>
              <w:ind w:left="113"/>
              <w:rPr>
                <w:sz w:val="18"/>
                <w:szCs w:val="18"/>
              </w:rPr>
            </w:pPr>
            <w:r w:rsidRPr="008436BB">
              <w:rPr>
                <w:sz w:val="18"/>
                <w:szCs w:val="18"/>
              </w:rPr>
              <w:t>23</w:t>
            </w:r>
          </w:p>
        </w:tc>
        <w:tc>
          <w:tcPr>
            <w:tcW w:w="1149" w:type="dxa"/>
            <w:gridSpan w:val="2"/>
            <w:tcBorders>
              <w:top w:val="none" w:sz="6" w:space="0" w:color="auto"/>
              <w:left w:val="none" w:sz="6" w:space="0" w:color="auto"/>
              <w:bottom w:val="single" w:sz="2" w:space="0" w:color="000000"/>
              <w:right w:val="single" w:sz="2" w:space="0" w:color="000000"/>
            </w:tcBorders>
          </w:tcPr>
          <w:p w14:paraId="5CBEB7BA" w14:textId="77777777" w:rsidR="008A1AA7" w:rsidRPr="008436BB" w:rsidRDefault="008A1AA7" w:rsidP="008436BB">
            <w:pPr>
              <w:spacing w:before="0" w:after="0" w:line="360" w:lineRule="auto"/>
              <w:ind w:left="113"/>
              <w:rPr>
                <w:sz w:val="18"/>
                <w:szCs w:val="18"/>
              </w:rPr>
            </w:pPr>
            <w:r w:rsidRPr="008436BB">
              <w:rPr>
                <w:sz w:val="18"/>
                <w:szCs w:val="18"/>
              </w:rPr>
              <w:t>(92.0)</w:t>
            </w:r>
          </w:p>
        </w:tc>
        <w:tc>
          <w:tcPr>
            <w:tcW w:w="924" w:type="dxa"/>
            <w:tcBorders>
              <w:top w:val="none" w:sz="6" w:space="0" w:color="auto"/>
              <w:left w:val="single" w:sz="2" w:space="0" w:color="000000"/>
              <w:bottom w:val="single" w:sz="2" w:space="0" w:color="000000"/>
              <w:right w:val="none" w:sz="6" w:space="0" w:color="auto"/>
            </w:tcBorders>
          </w:tcPr>
          <w:p w14:paraId="5CBEB7BB" w14:textId="77777777" w:rsidR="008A1AA7" w:rsidRPr="008436BB" w:rsidRDefault="008A1AA7" w:rsidP="008436BB">
            <w:pPr>
              <w:spacing w:before="0" w:after="0" w:line="360" w:lineRule="auto"/>
              <w:ind w:left="113"/>
              <w:rPr>
                <w:sz w:val="18"/>
                <w:szCs w:val="18"/>
              </w:rPr>
            </w:pPr>
            <w:r w:rsidRPr="008436BB">
              <w:rPr>
                <w:sz w:val="18"/>
                <w:szCs w:val="18"/>
              </w:rPr>
              <w:t>34</w:t>
            </w:r>
          </w:p>
        </w:tc>
        <w:tc>
          <w:tcPr>
            <w:tcW w:w="1149" w:type="dxa"/>
            <w:gridSpan w:val="2"/>
            <w:tcBorders>
              <w:top w:val="none" w:sz="6" w:space="0" w:color="auto"/>
              <w:left w:val="none" w:sz="6" w:space="0" w:color="auto"/>
              <w:bottom w:val="single" w:sz="2" w:space="0" w:color="000000"/>
              <w:right w:val="single" w:sz="2" w:space="0" w:color="000000"/>
            </w:tcBorders>
          </w:tcPr>
          <w:p w14:paraId="5CBEB7BC" w14:textId="77777777" w:rsidR="008A1AA7" w:rsidRPr="008436BB" w:rsidRDefault="008A1AA7" w:rsidP="008436BB">
            <w:pPr>
              <w:spacing w:before="0" w:after="0" w:line="360" w:lineRule="auto"/>
              <w:ind w:left="113"/>
              <w:rPr>
                <w:sz w:val="18"/>
                <w:szCs w:val="18"/>
              </w:rPr>
            </w:pPr>
            <w:r w:rsidRPr="008436BB">
              <w:rPr>
                <w:sz w:val="18"/>
                <w:szCs w:val="18"/>
              </w:rPr>
              <w:t>(97.1)</w:t>
            </w:r>
          </w:p>
        </w:tc>
        <w:tc>
          <w:tcPr>
            <w:tcW w:w="924" w:type="dxa"/>
            <w:tcBorders>
              <w:top w:val="none" w:sz="6" w:space="0" w:color="auto"/>
              <w:left w:val="single" w:sz="2" w:space="0" w:color="000000"/>
              <w:bottom w:val="single" w:sz="2" w:space="0" w:color="000000"/>
              <w:right w:val="none" w:sz="6" w:space="0" w:color="auto"/>
            </w:tcBorders>
          </w:tcPr>
          <w:p w14:paraId="5CBEB7BD" w14:textId="77777777" w:rsidR="008A1AA7" w:rsidRPr="008436BB" w:rsidRDefault="008A1AA7" w:rsidP="008436BB">
            <w:pPr>
              <w:spacing w:before="0" w:after="0" w:line="360" w:lineRule="auto"/>
              <w:ind w:left="113"/>
              <w:rPr>
                <w:sz w:val="18"/>
                <w:szCs w:val="18"/>
              </w:rPr>
            </w:pPr>
            <w:r w:rsidRPr="008436BB">
              <w:rPr>
                <w:sz w:val="18"/>
                <w:szCs w:val="18"/>
              </w:rPr>
              <w:t>57</w:t>
            </w:r>
          </w:p>
        </w:tc>
        <w:tc>
          <w:tcPr>
            <w:tcW w:w="1000" w:type="dxa"/>
            <w:gridSpan w:val="2"/>
            <w:tcBorders>
              <w:top w:val="none" w:sz="6" w:space="0" w:color="auto"/>
              <w:left w:val="none" w:sz="6" w:space="0" w:color="auto"/>
              <w:bottom w:val="single" w:sz="2" w:space="0" w:color="000000"/>
              <w:right w:val="single" w:sz="6" w:space="0" w:color="000000"/>
            </w:tcBorders>
          </w:tcPr>
          <w:p w14:paraId="5CBEB7BE" w14:textId="77777777" w:rsidR="008A1AA7" w:rsidRPr="008436BB" w:rsidRDefault="008A1AA7" w:rsidP="008436BB">
            <w:pPr>
              <w:spacing w:before="0" w:after="0" w:line="360" w:lineRule="auto"/>
              <w:ind w:left="113"/>
              <w:rPr>
                <w:sz w:val="18"/>
                <w:szCs w:val="18"/>
              </w:rPr>
            </w:pPr>
            <w:r w:rsidRPr="008436BB">
              <w:rPr>
                <w:sz w:val="18"/>
                <w:szCs w:val="18"/>
              </w:rPr>
              <w:t>(95.0)</w:t>
            </w:r>
          </w:p>
        </w:tc>
      </w:tr>
      <w:tr w:rsidR="008A1AA7" w:rsidRPr="008436BB" w14:paraId="5CBEB7C1"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C0" w14:textId="77777777" w:rsidR="008A1AA7" w:rsidRPr="008436BB" w:rsidRDefault="008A1AA7" w:rsidP="008436BB">
            <w:pPr>
              <w:spacing w:before="0" w:after="0" w:line="360" w:lineRule="auto"/>
              <w:ind w:left="113"/>
              <w:rPr>
                <w:b/>
                <w:bCs/>
                <w:sz w:val="18"/>
                <w:szCs w:val="18"/>
              </w:rPr>
            </w:pPr>
            <w:r w:rsidRPr="008436BB">
              <w:rPr>
                <w:b/>
                <w:bCs/>
                <w:sz w:val="18"/>
                <w:szCs w:val="18"/>
              </w:rPr>
              <w:t>Baseline B Symptoms</w:t>
            </w:r>
          </w:p>
        </w:tc>
      </w:tr>
      <w:tr w:rsidR="008A1AA7" w:rsidRPr="008436BB" w14:paraId="5CBEB7C9" w14:textId="77777777" w:rsidTr="00D92572">
        <w:trPr>
          <w:trHeight w:val="213"/>
        </w:trPr>
        <w:tc>
          <w:tcPr>
            <w:tcW w:w="2719" w:type="dxa"/>
            <w:tcBorders>
              <w:top w:val="single" w:sz="2" w:space="0" w:color="000000"/>
              <w:left w:val="single" w:sz="6" w:space="0" w:color="000000"/>
              <w:bottom w:val="single" w:sz="2" w:space="0" w:color="000000"/>
              <w:right w:val="single" w:sz="2" w:space="0" w:color="000000"/>
            </w:tcBorders>
          </w:tcPr>
          <w:p w14:paraId="5CBEB7C2"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2" w:space="0" w:color="000000"/>
              <w:left w:val="single" w:sz="2" w:space="0" w:color="000000"/>
              <w:bottom w:val="single" w:sz="2" w:space="0" w:color="000000"/>
              <w:right w:val="none" w:sz="6" w:space="0" w:color="auto"/>
            </w:tcBorders>
          </w:tcPr>
          <w:p w14:paraId="5CBEB7C3" w14:textId="77777777" w:rsidR="008A1AA7" w:rsidRPr="008436BB" w:rsidRDefault="008A1AA7" w:rsidP="008436BB">
            <w:pPr>
              <w:spacing w:before="0" w:after="0" w:line="360" w:lineRule="auto"/>
              <w:ind w:left="113"/>
              <w:rPr>
                <w:sz w:val="18"/>
                <w:szCs w:val="18"/>
              </w:rPr>
            </w:pPr>
            <w:r w:rsidRPr="008436BB">
              <w:rPr>
                <w:sz w:val="18"/>
                <w:szCs w:val="18"/>
              </w:rPr>
              <w:t>5</w:t>
            </w:r>
          </w:p>
        </w:tc>
        <w:tc>
          <w:tcPr>
            <w:tcW w:w="1149" w:type="dxa"/>
            <w:gridSpan w:val="2"/>
            <w:tcBorders>
              <w:top w:val="single" w:sz="2" w:space="0" w:color="000000"/>
              <w:left w:val="none" w:sz="6" w:space="0" w:color="auto"/>
              <w:bottom w:val="single" w:sz="2" w:space="0" w:color="000000"/>
              <w:right w:val="single" w:sz="2" w:space="0" w:color="000000"/>
            </w:tcBorders>
          </w:tcPr>
          <w:p w14:paraId="5CBEB7C4" w14:textId="77777777" w:rsidR="008A1AA7" w:rsidRPr="008436BB" w:rsidRDefault="008A1AA7" w:rsidP="008436BB">
            <w:pPr>
              <w:spacing w:before="0" w:after="0" w:line="360" w:lineRule="auto"/>
              <w:ind w:left="113"/>
              <w:rPr>
                <w:sz w:val="18"/>
                <w:szCs w:val="18"/>
              </w:rPr>
            </w:pPr>
            <w:r w:rsidRPr="008436BB">
              <w:rPr>
                <w:sz w:val="18"/>
                <w:szCs w:val="18"/>
              </w:rPr>
              <w:t>(20.0)</w:t>
            </w:r>
          </w:p>
        </w:tc>
        <w:tc>
          <w:tcPr>
            <w:tcW w:w="924" w:type="dxa"/>
            <w:tcBorders>
              <w:top w:val="single" w:sz="2" w:space="0" w:color="000000"/>
              <w:left w:val="single" w:sz="2" w:space="0" w:color="000000"/>
              <w:bottom w:val="single" w:sz="2" w:space="0" w:color="000000"/>
              <w:right w:val="none" w:sz="6" w:space="0" w:color="auto"/>
            </w:tcBorders>
          </w:tcPr>
          <w:p w14:paraId="5CBEB7C5" w14:textId="77777777" w:rsidR="008A1AA7" w:rsidRPr="008436BB" w:rsidRDefault="008A1AA7" w:rsidP="008436BB">
            <w:pPr>
              <w:spacing w:before="0" w:after="0" w:line="360" w:lineRule="auto"/>
              <w:ind w:left="113"/>
              <w:rPr>
                <w:sz w:val="18"/>
                <w:szCs w:val="18"/>
              </w:rPr>
            </w:pPr>
            <w:r w:rsidRPr="008436BB">
              <w:rPr>
                <w:sz w:val="18"/>
                <w:szCs w:val="18"/>
              </w:rPr>
              <w:t>14</w:t>
            </w:r>
          </w:p>
        </w:tc>
        <w:tc>
          <w:tcPr>
            <w:tcW w:w="1149" w:type="dxa"/>
            <w:gridSpan w:val="2"/>
            <w:tcBorders>
              <w:top w:val="single" w:sz="2" w:space="0" w:color="000000"/>
              <w:left w:val="none" w:sz="6" w:space="0" w:color="auto"/>
              <w:bottom w:val="single" w:sz="2" w:space="0" w:color="000000"/>
              <w:right w:val="single" w:sz="2" w:space="0" w:color="000000"/>
            </w:tcBorders>
          </w:tcPr>
          <w:p w14:paraId="5CBEB7C6" w14:textId="77777777" w:rsidR="008A1AA7" w:rsidRPr="008436BB" w:rsidRDefault="008A1AA7" w:rsidP="008436BB">
            <w:pPr>
              <w:spacing w:before="0" w:after="0" w:line="360" w:lineRule="auto"/>
              <w:ind w:left="113"/>
              <w:rPr>
                <w:sz w:val="18"/>
                <w:szCs w:val="18"/>
              </w:rPr>
            </w:pPr>
            <w:r w:rsidRPr="008436BB">
              <w:rPr>
                <w:sz w:val="18"/>
                <w:szCs w:val="18"/>
              </w:rPr>
              <w:t>(40.0)</w:t>
            </w:r>
          </w:p>
        </w:tc>
        <w:tc>
          <w:tcPr>
            <w:tcW w:w="924" w:type="dxa"/>
            <w:tcBorders>
              <w:top w:val="single" w:sz="2" w:space="0" w:color="000000"/>
              <w:left w:val="single" w:sz="2" w:space="0" w:color="000000"/>
              <w:bottom w:val="single" w:sz="2" w:space="0" w:color="000000"/>
              <w:right w:val="none" w:sz="6" w:space="0" w:color="auto"/>
            </w:tcBorders>
          </w:tcPr>
          <w:p w14:paraId="5CBEB7C7"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1000" w:type="dxa"/>
            <w:gridSpan w:val="2"/>
            <w:tcBorders>
              <w:top w:val="single" w:sz="2" w:space="0" w:color="000000"/>
              <w:left w:val="none" w:sz="6" w:space="0" w:color="auto"/>
              <w:bottom w:val="single" w:sz="2" w:space="0" w:color="000000"/>
              <w:right w:val="single" w:sz="6" w:space="0" w:color="000000"/>
            </w:tcBorders>
          </w:tcPr>
          <w:p w14:paraId="5CBEB7C8" w14:textId="77777777" w:rsidR="008A1AA7" w:rsidRPr="008436BB" w:rsidRDefault="008A1AA7" w:rsidP="008436BB">
            <w:pPr>
              <w:spacing w:before="0" w:after="0" w:line="360" w:lineRule="auto"/>
              <w:ind w:left="113"/>
              <w:rPr>
                <w:sz w:val="18"/>
                <w:szCs w:val="18"/>
              </w:rPr>
            </w:pPr>
            <w:r w:rsidRPr="008436BB">
              <w:rPr>
                <w:sz w:val="18"/>
                <w:szCs w:val="18"/>
              </w:rPr>
              <w:t>(31.7)</w:t>
            </w:r>
          </w:p>
        </w:tc>
      </w:tr>
      <w:tr w:rsidR="008A1AA7" w:rsidRPr="008436BB" w14:paraId="5CBEB7D0" w14:textId="77777777" w:rsidTr="00D92572">
        <w:trPr>
          <w:trHeight w:val="212"/>
        </w:trPr>
        <w:tc>
          <w:tcPr>
            <w:tcW w:w="2719" w:type="dxa"/>
            <w:vMerge w:val="restart"/>
            <w:tcBorders>
              <w:top w:val="single" w:sz="6" w:space="0" w:color="000000"/>
              <w:left w:val="single" w:sz="6" w:space="0" w:color="000000"/>
              <w:bottom w:val="single" w:sz="2" w:space="0" w:color="000000"/>
              <w:right w:val="single" w:sz="2" w:space="0" w:color="000000"/>
            </w:tcBorders>
          </w:tcPr>
          <w:p w14:paraId="5CBEB7CA" w14:textId="77777777" w:rsidR="008A1AA7" w:rsidRPr="008436BB" w:rsidRDefault="008A1AA7" w:rsidP="008436BB">
            <w:pPr>
              <w:spacing w:before="0" w:after="0" w:line="360" w:lineRule="auto"/>
              <w:ind w:left="113"/>
              <w:rPr>
                <w:sz w:val="18"/>
                <w:szCs w:val="18"/>
              </w:rPr>
            </w:pPr>
          </w:p>
        </w:tc>
        <w:tc>
          <w:tcPr>
            <w:tcW w:w="924" w:type="dxa"/>
            <w:tcBorders>
              <w:top w:val="single" w:sz="6" w:space="0" w:color="000000"/>
              <w:left w:val="single" w:sz="2" w:space="0" w:color="000000"/>
              <w:bottom w:val="none" w:sz="6" w:space="0" w:color="auto"/>
              <w:right w:val="none" w:sz="6" w:space="0" w:color="auto"/>
            </w:tcBorders>
          </w:tcPr>
          <w:p w14:paraId="5CBEB7CB" w14:textId="77777777" w:rsidR="008A1AA7" w:rsidRPr="008436BB" w:rsidRDefault="008A1AA7" w:rsidP="008436BB">
            <w:pPr>
              <w:spacing w:before="0" w:after="0" w:line="360" w:lineRule="auto"/>
              <w:ind w:left="113"/>
              <w:rPr>
                <w:sz w:val="18"/>
                <w:szCs w:val="18"/>
              </w:rPr>
            </w:pPr>
          </w:p>
        </w:tc>
        <w:tc>
          <w:tcPr>
            <w:tcW w:w="1149" w:type="dxa"/>
            <w:gridSpan w:val="2"/>
            <w:tcBorders>
              <w:top w:val="single" w:sz="6" w:space="0" w:color="000000"/>
              <w:left w:val="none" w:sz="6" w:space="0" w:color="auto"/>
              <w:bottom w:val="none" w:sz="6" w:space="0" w:color="auto"/>
              <w:right w:val="single" w:sz="2" w:space="0" w:color="000000"/>
            </w:tcBorders>
          </w:tcPr>
          <w:p w14:paraId="5CBEB7CC"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6" w:space="0" w:color="000000"/>
              <w:left w:val="single" w:sz="2" w:space="0" w:color="000000"/>
              <w:bottom w:val="none" w:sz="6" w:space="0" w:color="auto"/>
              <w:right w:val="none" w:sz="6" w:space="0" w:color="auto"/>
            </w:tcBorders>
          </w:tcPr>
          <w:p w14:paraId="5CBEB7CD" w14:textId="77777777" w:rsidR="008A1AA7" w:rsidRPr="008436BB" w:rsidRDefault="008A1AA7" w:rsidP="008436BB">
            <w:pPr>
              <w:spacing w:before="0" w:after="0" w:line="360" w:lineRule="auto"/>
              <w:ind w:left="113"/>
              <w:rPr>
                <w:sz w:val="18"/>
                <w:szCs w:val="18"/>
              </w:rPr>
            </w:pPr>
          </w:p>
        </w:tc>
        <w:tc>
          <w:tcPr>
            <w:tcW w:w="1149" w:type="dxa"/>
            <w:gridSpan w:val="2"/>
            <w:tcBorders>
              <w:top w:val="single" w:sz="6" w:space="0" w:color="000000"/>
              <w:left w:val="none" w:sz="6" w:space="0" w:color="auto"/>
              <w:bottom w:val="none" w:sz="6" w:space="0" w:color="auto"/>
              <w:right w:val="single" w:sz="2" w:space="0" w:color="000000"/>
            </w:tcBorders>
          </w:tcPr>
          <w:p w14:paraId="5CBEB7CE" w14:textId="77777777" w:rsidR="008A1AA7" w:rsidRPr="008436BB" w:rsidRDefault="008A1AA7" w:rsidP="008436BB">
            <w:pPr>
              <w:spacing w:before="0" w:after="0" w:line="360" w:lineRule="auto"/>
              <w:ind w:left="113"/>
              <w:rPr>
                <w:sz w:val="18"/>
                <w:szCs w:val="18"/>
              </w:rPr>
            </w:pPr>
            <w:r w:rsidRPr="008436BB">
              <w:rPr>
                <w:sz w:val="18"/>
                <w:szCs w:val="18"/>
              </w:rPr>
              <w:t>No</w:t>
            </w:r>
          </w:p>
        </w:tc>
        <w:tc>
          <w:tcPr>
            <w:tcW w:w="1924" w:type="dxa"/>
            <w:gridSpan w:val="3"/>
            <w:tcBorders>
              <w:top w:val="single" w:sz="6" w:space="0" w:color="000000"/>
              <w:left w:val="single" w:sz="2" w:space="0" w:color="000000"/>
              <w:bottom w:val="none" w:sz="6" w:space="0" w:color="auto"/>
              <w:right w:val="single" w:sz="6" w:space="0" w:color="000000"/>
            </w:tcBorders>
          </w:tcPr>
          <w:p w14:paraId="5CBEB7CF" w14:textId="77777777" w:rsidR="008A1AA7" w:rsidRPr="008436BB" w:rsidRDefault="008A1AA7" w:rsidP="008436BB">
            <w:pPr>
              <w:spacing w:before="0" w:after="0" w:line="360" w:lineRule="auto"/>
              <w:ind w:left="113"/>
              <w:rPr>
                <w:sz w:val="18"/>
                <w:szCs w:val="18"/>
              </w:rPr>
            </w:pPr>
            <w:r w:rsidRPr="008436BB">
              <w:rPr>
                <w:sz w:val="18"/>
                <w:szCs w:val="18"/>
              </w:rPr>
              <w:t>Total</w:t>
            </w:r>
          </w:p>
        </w:tc>
      </w:tr>
      <w:tr w:rsidR="008A1AA7" w:rsidRPr="008436BB" w14:paraId="5CBEB7D8" w14:textId="77777777" w:rsidTr="00D92572">
        <w:trPr>
          <w:trHeight w:val="211"/>
        </w:trPr>
        <w:tc>
          <w:tcPr>
            <w:tcW w:w="2719" w:type="dxa"/>
            <w:vMerge/>
            <w:tcBorders>
              <w:top w:val="nil"/>
              <w:left w:val="single" w:sz="6" w:space="0" w:color="000000"/>
              <w:bottom w:val="single" w:sz="2" w:space="0" w:color="000000"/>
              <w:right w:val="single" w:sz="2" w:space="0" w:color="000000"/>
            </w:tcBorders>
          </w:tcPr>
          <w:p w14:paraId="5CBEB7D1"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7D2" w14:textId="77777777" w:rsidR="008A1AA7" w:rsidRPr="008436BB" w:rsidRDefault="008A1AA7" w:rsidP="008436BB">
            <w:pPr>
              <w:spacing w:before="0" w:after="0" w:line="360" w:lineRule="auto"/>
              <w:ind w:left="113"/>
              <w:rPr>
                <w:sz w:val="18"/>
                <w:szCs w:val="18"/>
              </w:rPr>
            </w:pPr>
            <w:r w:rsidRPr="008436BB">
              <w:rPr>
                <w:sz w:val="18"/>
                <w:szCs w:val="18"/>
              </w:rPr>
              <w:t>n</w:t>
            </w:r>
          </w:p>
        </w:tc>
        <w:tc>
          <w:tcPr>
            <w:tcW w:w="1149" w:type="dxa"/>
            <w:gridSpan w:val="2"/>
            <w:tcBorders>
              <w:top w:val="none" w:sz="6" w:space="0" w:color="auto"/>
              <w:left w:val="none" w:sz="6" w:space="0" w:color="auto"/>
              <w:bottom w:val="single" w:sz="2" w:space="0" w:color="000000"/>
              <w:right w:val="single" w:sz="2" w:space="0" w:color="000000"/>
            </w:tcBorders>
          </w:tcPr>
          <w:p w14:paraId="5CBEB7D3" w14:textId="77777777" w:rsidR="008A1AA7" w:rsidRPr="008436BB" w:rsidRDefault="008A1AA7" w:rsidP="008436BB">
            <w:pPr>
              <w:spacing w:before="0" w:after="0" w:line="360" w:lineRule="auto"/>
              <w:ind w:left="113"/>
              <w:rPr>
                <w:sz w:val="18"/>
                <w:szCs w:val="18"/>
              </w:rPr>
            </w:pPr>
            <w:r w:rsidRPr="008436BB">
              <w:rPr>
                <w:sz w:val="18"/>
                <w:szCs w:val="18"/>
              </w:rPr>
              <w:t>(%)</w:t>
            </w:r>
          </w:p>
        </w:tc>
        <w:tc>
          <w:tcPr>
            <w:tcW w:w="924" w:type="dxa"/>
            <w:tcBorders>
              <w:top w:val="none" w:sz="6" w:space="0" w:color="auto"/>
              <w:left w:val="single" w:sz="2" w:space="0" w:color="000000"/>
              <w:bottom w:val="single" w:sz="2" w:space="0" w:color="000000"/>
              <w:right w:val="none" w:sz="6" w:space="0" w:color="auto"/>
            </w:tcBorders>
          </w:tcPr>
          <w:p w14:paraId="5CBEB7D4" w14:textId="77777777" w:rsidR="008A1AA7" w:rsidRPr="008436BB" w:rsidRDefault="008A1AA7" w:rsidP="008436BB">
            <w:pPr>
              <w:spacing w:before="0" w:after="0" w:line="360" w:lineRule="auto"/>
              <w:ind w:left="113"/>
              <w:rPr>
                <w:sz w:val="18"/>
                <w:szCs w:val="18"/>
              </w:rPr>
            </w:pPr>
            <w:r w:rsidRPr="008436BB">
              <w:rPr>
                <w:sz w:val="18"/>
                <w:szCs w:val="18"/>
              </w:rPr>
              <w:t>n</w:t>
            </w:r>
          </w:p>
        </w:tc>
        <w:tc>
          <w:tcPr>
            <w:tcW w:w="1149" w:type="dxa"/>
            <w:gridSpan w:val="2"/>
            <w:tcBorders>
              <w:top w:val="none" w:sz="6" w:space="0" w:color="auto"/>
              <w:left w:val="none" w:sz="6" w:space="0" w:color="auto"/>
              <w:bottom w:val="single" w:sz="2" w:space="0" w:color="000000"/>
              <w:right w:val="single" w:sz="2" w:space="0" w:color="000000"/>
            </w:tcBorders>
          </w:tcPr>
          <w:p w14:paraId="5CBEB7D5" w14:textId="77777777" w:rsidR="008A1AA7" w:rsidRPr="008436BB" w:rsidRDefault="008A1AA7" w:rsidP="008436BB">
            <w:pPr>
              <w:spacing w:before="0" w:after="0" w:line="360" w:lineRule="auto"/>
              <w:ind w:left="113"/>
              <w:rPr>
                <w:sz w:val="18"/>
                <w:szCs w:val="18"/>
              </w:rPr>
            </w:pPr>
            <w:r w:rsidRPr="008436BB">
              <w:rPr>
                <w:sz w:val="18"/>
                <w:szCs w:val="18"/>
              </w:rPr>
              <w:t>(%)</w:t>
            </w:r>
          </w:p>
        </w:tc>
        <w:tc>
          <w:tcPr>
            <w:tcW w:w="924" w:type="dxa"/>
            <w:tcBorders>
              <w:top w:val="none" w:sz="6" w:space="0" w:color="auto"/>
              <w:left w:val="single" w:sz="2" w:space="0" w:color="000000"/>
              <w:bottom w:val="single" w:sz="2" w:space="0" w:color="000000"/>
              <w:right w:val="none" w:sz="6" w:space="0" w:color="auto"/>
            </w:tcBorders>
          </w:tcPr>
          <w:p w14:paraId="5CBEB7D6" w14:textId="77777777" w:rsidR="008A1AA7" w:rsidRPr="008436BB" w:rsidRDefault="008A1AA7" w:rsidP="008436BB">
            <w:pPr>
              <w:spacing w:before="0" w:after="0" w:line="360" w:lineRule="auto"/>
              <w:ind w:left="113"/>
              <w:rPr>
                <w:sz w:val="18"/>
                <w:szCs w:val="18"/>
              </w:rPr>
            </w:pPr>
            <w:r w:rsidRPr="008436BB">
              <w:rPr>
                <w:sz w:val="18"/>
                <w:szCs w:val="18"/>
              </w:rPr>
              <w:t>n</w:t>
            </w:r>
          </w:p>
        </w:tc>
        <w:tc>
          <w:tcPr>
            <w:tcW w:w="1000" w:type="dxa"/>
            <w:gridSpan w:val="2"/>
            <w:tcBorders>
              <w:top w:val="none" w:sz="6" w:space="0" w:color="auto"/>
              <w:left w:val="none" w:sz="6" w:space="0" w:color="auto"/>
              <w:bottom w:val="single" w:sz="2" w:space="0" w:color="000000"/>
              <w:right w:val="single" w:sz="6" w:space="0" w:color="000000"/>
            </w:tcBorders>
          </w:tcPr>
          <w:p w14:paraId="5CBEB7D7" w14:textId="77777777" w:rsidR="008A1AA7" w:rsidRPr="008436BB" w:rsidRDefault="008A1AA7" w:rsidP="008436BB">
            <w:pPr>
              <w:spacing w:before="0" w:after="0" w:line="360" w:lineRule="auto"/>
              <w:ind w:left="113"/>
              <w:rPr>
                <w:sz w:val="18"/>
                <w:szCs w:val="18"/>
              </w:rPr>
            </w:pPr>
            <w:r w:rsidRPr="008436BB">
              <w:rPr>
                <w:sz w:val="18"/>
                <w:szCs w:val="18"/>
              </w:rPr>
              <w:t>(%)</w:t>
            </w:r>
          </w:p>
        </w:tc>
      </w:tr>
      <w:tr w:rsidR="008A1AA7" w:rsidRPr="008436BB" w14:paraId="5CBEB7DA"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D9" w14:textId="77777777" w:rsidR="008A1AA7" w:rsidRPr="008436BB" w:rsidRDefault="008A1AA7" w:rsidP="008436BB">
            <w:pPr>
              <w:spacing w:before="0" w:after="0" w:line="360" w:lineRule="auto"/>
              <w:ind w:left="113"/>
              <w:rPr>
                <w:b/>
                <w:bCs/>
                <w:sz w:val="18"/>
                <w:szCs w:val="18"/>
              </w:rPr>
            </w:pPr>
            <w:r w:rsidRPr="008436BB">
              <w:rPr>
                <w:b/>
                <w:bCs/>
                <w:sz w:val="18"/>
                <w:szCs w:val="18"/>
              </w:rPr>
              <w:t>Disease Subtype</w:t>
            </w:r>
          </w:p>
        </w:tc>
      </w:tr>
      <w:tr w:rsidR="008A1AA7" w:rsidRPr="008436BB" w14:paraId="5CBEB7E2" w14:textId="77777777" w:rsidTr="00D92572">
        <w:trPr>
          <w:trHeight w:val="418"/>
        </w:trPr>
        <w:tc>
          <w:tcPr>
            <w:tcW w:w="2719" w:type="dxa"/>
            <w:tcBorders>
              <w:top w:val="single" w:sz="2" w:space="0" w:color="000000"/>
              <w:left w:val="single" w:sz="6" w:space="0" w:color="000000"/>
              <w:bottom w:val="none" w:sz="6" w:space="0" w:color="auto"/>
              <w:right w:val="single" w:sz="2" w:space="0" w:color="000000"/>
            </w:tcBorders>
          </w:tcPr>
          <w:p w14:paraId="5CBEB7DB" w14:textId="77777777" w:rsidR="008A1AA7" w:rsidRPr="008436BB" w:rsidRDefault="008A1AA7" w:rsidP="008436BB">
            <w:pPr>
              <w:spacing w:before="0" w:after="0" w:line="360" w:lineRule="auto"/>
              <w:ind w:left="113"/>
              <w:rPr>
                <w:sz w:val="18"/>
                <w:szCs w:val="18"/>
              </w:rPr>
            </w:pPr>
            <w:r w:rsidRPr="008436BB">
              <w:rPr>
                <w:sz w:val="18"/>
                <w:szCs w:val="18"/>
              </w:rPr>
              <w:t>Classical Hodgkin Lymphoma- Lymphocyte Depleted</w:t>
            </w:r>
          </w:p>
        </w:tc>
        <w:tc>
          <w:tcPr>
            <w:tcW w:w="924" w:type="dxa"/>
            <w:tcBorders>
              <w:top w:val="single" w:sz="2" w:space="0" w:color="000000"/>
              <w:left w:val="single" w:sz="2" w:space="0" w:color="000000"/>
              <w:bottom w:val="none" w:sz="6" w:space="0" w:color="auto"/>
              <w:right w:val="none" w:sz="6" w:space="0" w:color="auto"/>
            </w:tcBorders>
          </w:tcPr>
          <w:p w14:paraId="5CBEB7DC"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49" w:type="dxa"/>
            <w:gridSpan w:val="2"/>
            <w:tcBorders>
              <w:top w:val="single" w:sz="2" w:space="0" w:color="000000"/>
              <w:left w:val="none" w:sz="6" w:space="0" w:color="auto"/>
              <w:bottom w:val="none" w:sz="6" w:space="0" w:color="auto"/>
              <w:right w:val="single" w:sz="2" w:space="0" w:color="000000"/>
            </w:tcBorders>
          </w:tcPr>
          <w:p w14:paraId="5CBEB7DD"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24" w:type="dxa"/>
            <w:tcBorders>
              <w:top w:val="single" w:sz="2" w:space="0" w:color="000000"/>
              <w:left w:val="single" w:sz="2" w:space="0" w:color="000000"/>
              <w:bottom w:val="none" w:sz="6" w:space="0" w:color="auto"/>
              <w:right w:val="none" w:sz="6" w:space="0" w:color="auto"/>
            </w:tcBorders>
          </w:tcPr>
          <w:p w14:paraId="5CBEB7DE"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49" w:type="dxa"/>
            <w:gridSpan w:val="2"/>
            <w:tcBorders>
              <w:top w:val="single" w:sz="2" w:space="0" w:color="000000"/>
              <w:left w:val="none" w:sz="6" w:space="0" w:color="auto"/>
              <w:bottom w:val="none" w:sz="6" w:space="0" w:color="auto"/>
              <w:right w:val="single" w:sz="2" w:space="0" w:color="000000"/>
            </w:tcBorders>
          </w:tcPr>
          <w:p w14:paraId="5CBEB7DF"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24" w:type="dxa"/>
            <w:tcBorders>
              <w:top w:val="single" w:sz="2" w:space="0" w:color="000000"/>
              <w:left w:val="single" w:sz="2" w:space="0" w:color="000000"/>
              <w:bottom w:val="none" w:sz="6" w:space="0" w:color="auto"/>
              <w:right w:val="none" w:sz="6" w:space="0" w:color="auto"/>
            </w:tcBorders>
          </w:tcPr>
          <w:p w14:paraId="5CBEB7E0"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000" w:type="dxa"/>
            <w:gridSpan w:val="2"/>
            <w:tcBorders>
              <w:top w:val="single" w:sz="2" w:space="0" w:color="000000"/>
              <w:left w:val="none" w:sz="6" w:space="0" w:color="auto"/>
              <w:bottom w:val="none" w:sz="6" w:space="0" w:color="auto"/>
              <w:right w:val="single" w:sz="6" w:space="0" w:color="000000"/>
            </w:tcBorders>
          </w:tcPr>
          <w:p w14:paraId="5CBEB7E1" w14:textId="77777777" w:rsidR="008A1AA7" w:rsidRPr="008436BB" w:rsidRDefault="008A1AA7" w:rsidP="008436BB">
            <w:pPr>
              <w:spacing w:before="0" w:after="0" w:line="360" w:lineRule="auto"/>
              <w:ind w:left="113"/>
              <w:rPr>
                <w:sz w:val="18"/>
                <w:szCs w:val="18"/>
              </w:rPr>
            </w:pPr>
            <w:r w:rsidRPr="008436BB">
              <w:rPr>
                <w:sz w:val="18"/>
                <w:szCs w:val="18"/>
              </w:rPr>
              <w:t>(1.7)</w:t>
            </w:r>
          </w:p>
        </w:tc>
      </w:tr>
      <w:tr w:rsidR="008A1AA7" w:rsidRPr="008436BB" w14:paraId="5CBEB7EA" w14:textId="77777777" w:rsidTr="00D92572">
        <w:trPr>
          <w:trHeight w:val="282"/>
        </w:trPr>
        <w:tc>
          <w:tcPr>
            <w:tcW w:w="2719" w:type="dxa"/>
            <w:tcBorders>
              <w:top w:val="none" w:sz="6" w:space="0" w:color="auto"/>
              <w:left w:val="single" w:sz="6" w:space="0" w:color="000000"/>
              <w:bottom w:val="single" w:sz="2" w:space="0" w:color="000000"/>
              <w:right w:val="single" w:sz="2" w:space="0" w:color="000000"/>
            </w:tcBorders>
          </w:tcPr>
          <w:p w14:paraId="5CBEB7E3" w14:textId="77777777" w:rsidR="008A1AA7" w:rsidRPr="008436BB" w:rsidRDefault="008A1AA7" w:rsidP="008436BB">
            <w:pPr>
              <w:spacing w:before="0" w:after="0" w:line="360" w:lineRule="auto"/>
              <w:ind w:left="113"/>
              <w:rPr>
                <w:sz w:val="18"/>
                <w:szCs w:val="18"/>
              </w:rPr>
            </w:pPr>
            <w:r w:rsidRPr="008436BB">
              <w:rPr>
                <w:sz w:val="18"/>
                <w:szCs w:val="18"/>
              </w:rPr>
              <w:t>Missing</w:t>
            </w:r>
          </w:p>
        </w:tc>
        <w:tc>
          <w:tcPr>
            <w:tcW w:w="924" w:type="dxa"/>
            <w:tcBorders>
              <w:top w:val="none" w:sz="6" w:space="0" w:color="auto"/>
              <w:left w:val="single" w:sz="2" w:space="0" w:color="000000"/>
              <w:bottom w:val="single" w:sz="2" w:space="0" w:color="000000"/>
              <w:right w:val="none" w:sz="6" w:space="0" w:color="auto"/>
            </w:tcBorders>
          </w:tcPr>
          <w:p w14:paraId="5CBEB7E4"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1149" w:type="dxa"/>
            <w:gridSpan w:val="2"/>
            <w:tcBorders>
              <w:top w:val="none" w:sz="6" w:space="0" w:color="auto"/>
              <w:left w:val="none" w:sz="6" w:space="0" w:color="auto"/>
              <w:bottom w:val="single" w:sz="2" w:space="0" w:color="000000"/>
              <w:right w:val="single" w:sz="2" w:space="0" w:color="000000"/>
            </w:tcBorders>
          </w:tcPr>
          <w:p w14:paraId="5CBEB7E5" w14:textId="77777777" w:rsidR="008A1AA7" w:rsidRPr="008436BB" w:rsidRDefault="008A1AA7" w:rsidP="008436BB">
            <w:pPr>
              <w:spacing w:before="0" w:after="0" w:line="360" w:lineRule="auto"/>
              <w:ind w:left="113"/>
              <w:rPr>
                <w:sz w:val="18"/>
                <w:szCs w:val="18"/>
              </w:rPr>
            </w:pPr>
            <w:r w:rsidRPr="008436BB">
              <w:rPr>
                <w:sz w:val="18"/>
                <w:szCs w:val="18"/>
              </w:rPr>
              <w:t>(0.0)</w:t>
            </w:r>
          </w:p>
        </w:tc>
        <w:tc>
          <w:tcPr>
            <w:tcW w:w="924" w:type="dxa"/>
            <w:tcBorders>
              <w:top w:val="none" w:sz="6" w:space="0" w:color="auto"/>
              <w:left w:val="single" w:sz="2" w:space="0" w:color="000000"/>
              <w:bottom w:val="single" w:sz="2" w:space="0" w:color="000000"/>
              <w:right w:val="none" w:sz="6" w:space="0" w:color="auto"/>
            </w:tcBorders>
          </w:tcPr>
          <w:p w14:paraId="5CBEB7E6"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49" w:type="dxa"/>
            <w:gridSpan w:val="2"/>
            <w:tcBorders>
              <w:top w:val="none" w:sz="6" w:space="0" w:color="auto"/>
              <w:left w:val="none" w:sz="6" w:space="0" w:color="auto"/>
              <w:bottom w:val="single" w:sz="2" w:space="0" w:color="000000"/>
              <w:right w:val="single" w:sz="2" w:space="0" w:color="000000"/>
            </w:tcBorders>
          </w:tcPr>
          <w:p w14:paraId="5CBEB7E7" w14:textId="77777777" w:rsidR="008A1AA7" w:rsidRPr="008436BB" w:rsidRDefault="008A1AA7" w:rsidP="008436BB">
            <w:pPr>
              <w:spacing w:before="0" w:after="0" w:line="360" w:lineRule="auto"/>
              <w:ind w:left="113"/>
              <w:rPr>
                <w:sz w:val="18"/>
                <w:szCs w:val="18"/>
              </w:rPr>
            </w:pPr>
            <w:r w:rsidRPr="008436BB">
              <w:rPr>
                <w:sz w:val="18"/>
                <w:szCs w:val="18"/>
              </w:rPr>
              <w:t>(5.7)</w:t>
            </w:r>
          </w:p>
        </w:tc>
        <w:tc>
          <w:tcPr>
            <w:tcW w:w="924" w:type="dxa"/>
            <w:tcBorders>
              <w:top w:val="none" w:sz="6" w:space="0" w:color="auto"/>
              <w:left w:val="single" w:sz="2" w:space="0" w:color="000000"/>
              <w:bottom w:val="single" w:sz="2" w:space="0" w:color="000000"/>
              <w:right w:val="none" w:sz="6" w:space="0" w:color="auto"/>
            </w:tcBorders>
          </w:tcPr>
          <w:p w14:paraId="5CBEB7E8"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000" w:type="dxa"/>
            <w:gridSpan w:val="2"/>
            <w:tcBorders>
              <w:top w:val="none" w:sz="6" w:space="0" w:color="auto"/>
              <w:left w:val="none" w:sz="6" w:space="0" w:color="auto"/>
              <w:bottom w:val="single" w:sz="2" w:space="0" w:color="000000"/>
              <w:right w:val="single" w:sz="6" w:space="0" w:color="000000"/>
            </w:tcBorders>
          </w:tcPr>
          <w:p w14:paraId="5CBEB7E9" w14:textId="77777777" w:rsidR="008A1AA7" w:rsidRPr="008436BB" w:rsidRDefault="008A1AA7" w:rsidP="008436BB">
            <w:pPr>
              <w:spacing w:before="0" w:after="0" w:line="360" w:lineRule="auto"/>
              <w:ind w:left="113"/>
              <w:rPr>
                <w:sz w:val="18"/>
                <w:szCs w:val="18"/>
              </w:rPr>
            </w:pPr>
            <w:r w:rsidRPr="008436BB">
              <w:rPr>
                <w:sz w:val="18"/>
                <w:szCs w:val="18"/>
              </w:rPr>
              <w:t>(3.3)</w:t>
            </w:r>
          </w:p>
        </w:tc>
      </w:tr>
      <w:tr w:rsidR="008A1AA7" w:rsidRPr="008436BB" w14:paraId="5CBEB7EC"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EB" w14:textId="77777777" w:rsidR="008A1AA7" w:rsidRPr="008436BB" w:rsidRDefault="008A1AA7" w:rsidP="008436BB">
            <w:pPr>
              <w:spacing w:before="0" w:after="0" w:line="360" w:lineRule="auto"/>
              <w:ind w:left="113"/>
              <w:rPr>
                <w:b/>
                <w:bCs/>
                <w:sz w:val="18"/>
                <w:szCs w:val="18"/>
              </w:rPr>
            </w:pPr>
            <w:r w:rsidRPr="008436BB">
              <w:rPr>
                <w:b/>
                <w:bCs/>
                <w:sz w:val="18"/>
                <w:szCs w:val="18"/>
              </w:rPr>
              <w:t>ECOG Performance Status</w:t>
            </w:r>
          </w:p>
        </w:tc>
      </w:tr>
      <w:tr w:rsidR="008A1AA7" w:rsidRPr="008436BB" w14:paraId="5CBEB7F4"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7ED" w14:textId="77777777" w:rsidR="008A1AA7" w:rsidRPr="008436BB" w:rsidRDefault="008A1AA7" w:rsidP="008436BB">
            <w:pPr>
              <w:spacing w:before="0" w:after="0" w:line="360" w:lineRule="auto"/>
              <w:ind w:left="113"/>
              <w:rPr>
                <w:sz w:val="18"/>
                <w:szCs w:val="18"/>
              </w:rPr>
            </w:pPr>
            <w:r w:rsidRPr="008436BB">
              <w:rPr>
                <w:sz w:val="18"/>
                <w:szCs w:val="18"/>
              </w:rPr>
              <w:t>0</w:t>
            </w:r>
          </w:p>
        </w:tc>
        <w:tc>
          <w:tcPr>
            <w:tcW w:w="924" w:type="dxa"/>
            <w:tcBorders>
              <w:top w:val="single" w:sz="2" w:space="0" w:color="000000"/>
              <w:left w:val="single" w:sz="2" w:space="0" w:color="000000"/>
              <w:bottom w:val="none" w:sz="6" w:space="0" w:color="auto"/>
              <w:right w:val="none" w:sz="6" w:space="0" w:color="auto"/>
            </w:tcBorders>
          </w:tcPr>
          <w:p w14:paraId="5CBEB7EE" w14:textId="77777777" w:rsidR="008A1AA7" w:rsidRPr="008436BB" w:rsidRDefault="008A1AA7" w:rsidP="008436BB">
            <w:pPr>
              <w:spacing w:before="0" w:after="0" w:line="360" w:lineRule="auto"/>
              <w:ind w:left="113"/>
              <w:rPr>
                <w:sz w:val="18"/>
                <w:szCs w:val="18"/>
              </w:rPr>
            </w:pPr>
            <w:r w:rsidRPr="008436BB">
              <w:rPr>
                <w:sz w:val="18"/>
                <w:szCs w:val="18"/>
              </w:rPr>
              <w:t>14</w:t>
            </w:r>
          </w:p>
        </w:tc>
        <w:tc>
          <w:tcPr>
            <w:tcW w:w="1149" w:type="dxa"/>
            <w:gridSpan w:val="2"/>
            <w:tcBorders>
              <w:top w:val="single" w:sz="2" w:space="0" w:color="000000"/>
              <w:left w:val="none" w:sz="6" w:space="0" w:color="auto"/>
              <w:bottom w:val="none" w:sz="6" w:space="0" w:color="auto"/>
              <w:right w:val="single" w:sz="2" w:space="0" w:color="000000"/>
            </w:tcBorders>
          </w:tcPr>
          <w:p w14:paraId="5CBEB7EF" w14:textId="77777777" w:rsidR="008A1AA7" w:rsidRPr="008436BB" w:rsidRDefault="008A1AA7" w:rsidP="008436BB">
            <w:pPr>
              <w:spacing w:before="0" w:after="0" w:line="360" w:lineRule="auto"/>
              <w:ind w:left="113"/>
              <w:rPr>
                <w:sz w:val="18"/>
                <w:szCs w:val="18"/>
              </w:rPr>
            </w:pPr>
            <w:r w:rsidRPr="008436BB">
              <w:rPr>
                <w:sz w:val="18"/>
                <w:szCs w:val="18"/>
              </w:rPr>
              <w:t>(56.0)</w:t>
            </w:r>
          </w:p>
        </w:tc>
        <w:tc>
          <w:tcPr>
            <w:tcW w:w="924" w:type="dxa"/>
            <w:tcBorders>
              <w:top w:val="single" w:sz="2" w:space="0" w:color="000000"/>
              <w:left w:val="single" w:sz="2" w:space="0" w:color="000000"/>
              <w:bottom w:val="none" w:sz="6" w:space="0" w:color="auto"/>
              <w:right w:val="none" w:sz="6" w:space="0" w:color="auto"/>
            </w:tcBorders>
          </w:tcPr>
          <w:p w14:paraId="5CBEB7F0" w14:textId="77777777" w:rsidR="008A1AA7" w:rsidRPr="008436BB" w:rsidRDefault="008A1AA7" w:rsidP="008436BB">
            <w:pPr>
              <w:spacing w:before="0" w:after="0" w:line="360" w:lineRule="auto"/>
              <w:ind w:left="113"/>
              <w:rPr>
                <w:sz w:val="18"/>
                <w:szCs w:val="18"/>
              </w:rPr>
            </w:pPr>
            <w:r w:rsidRPr="008436BB">
              <w:rPr>
                <w:sz w:val="18"/>
                <w:szCs w:val="18"/>
              </w:rPr>
              <w:t>15</w:t>
            </w:r>
          </w:p>
        </w:tc>
        <w:tc>
          <w:tcPr>
            <w:tcW w:w="1149" w:type="dxa"/>
            <w:gridSpan w:val="2"/>
            <w:tcBorders>
              <w:top w:val="single" w:sz="2" w:space="0" w:color="000000"/>
              <w:left w:val="none" w:sz="6" w:space="0" w:color="auto"/>
              <w:bottom w:val="none" w:sz="6" w:space="0" w:color="auto"/>
              <w:right w:val="single" w:sz="2" w:space="0" w:color="000000"/>
            </w:tcBorders>
          </w:tcPr>
          <w:p w14:paraId="5CBEB7F1" w14:textId="77777777" w:rsidR="008A1AA7" w:rsidRPr="008436BB" w:rsidRDefault="008A1AA7" w:rsidP="008436BB">
            <w:pPr>
              <w:spacing w:before="0" w:after="0" w:line="360" w:lineRule="auto"/>
              <w:ind w:left="113"/>
              <w:rPr>
                <w:sz w:val="18"/>
                <w:szCs w:val="18"/>
              </w:rPr>
            </w:pPr>
            <w:r w:rsidRPr="008436BB">
              <w:rPr>
                <w:sz w:val="18"/>
                <w:szCs w:val="18"/>
              </w:rPr>
              <w:t>(42.9)</w:t>
            </w:r>
          </w:p>
        </w:tc>
        <w:tc>
          <w:tcPr>
            <w:tcW w:w="924" w:type="dxa"/>
            <w:tcBorders>
              <w:top w:val="single" w:sz="2" w:space="0" w:color="000000"/>
              <w:left w:val="single" w:sz="2" w:space="0" w:color="000000"/>
              <w:bottom w:val="none" w:sz="6" w:space="0" w:color="auto"/>
              <w:right w:val="none" w:sz="6" w:space="0" w:color="auto"/>
            </w:tcBorders>
          </w:tcPr>
          <w:p w14:paraId="5CBEB7F2"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1000" w:type="dxa"/>
            <w:gridSpan w:val="2"/>
            <w:tcBorders>
              <w:top w:val="single" w:sz="2" w:space="0" w:color="000000"/>
              <w:left w:val="none" w:sz="6" w:space="0" w:color="auto"/>
              <w:bottom w:val="none" w:sz="6" w:space="0" w:color="auto"/>
              <w:right w:val="single" w:sz="6" w:space="0" w:color="000000"/>
            </w:tcBorders>
          </w:tcPr>
          <w:p w14:paraId="5CBEB7F3" w14:textId="77777777" w:rsidR="008A1AA7" w:rsidRPr="008436BB" w:rsidRDefault="008A1AA7" w:rsidP="008436BB">
            <w:pPr>
              <w:spacing w:before="0" w:after="0" w:line="360" w:lineRule="auto"/>
              <w:ind w:left="113"/>
              <w:rPr>
                <w:sz w:val="18"/>
                <w:szCs w:val="18"/>
              </w:rPr>
            </w:pPr>
            <w:r w:rsidRPr="008436BB">
              <w:rPr>
                <w:sz w:val="18"/>
                <w:szCs w:val="18"/>
              </w:rPr>
              <w:t>(48.3)</w:t>
            </w:r>
          </w:p>
        </w:tc>
      </w:tr>
      <w:tr w:rsidR="008A1AA7" w:rsidRPr="008436BB" w14:paraId="5CBEB7FC"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7F5"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924" w:type="dxa"/>
            <w:tcBorders>
              <w:top w:val="none" w:sz="6" w:space="0" w:color="auto"/>
              <w:left w:val="single" w:sz="2" w:space="0" w:color="000000"/>
              <w:bottom w:val="single" w:sz="2" w:space="0" w:color="000000"/>
              <w:right w:val="none" w:sz="6" w:space="0" w:color="auto"/>
            </w:tcBorders>
          </w:tcPr>
          <w:p w14:paraId="5CBEB7F6" w14:textId="77777777" w:rsidR="008A1AA7" w:rsidRPr="008436BB" w:rsidRDefault="008A1AA7" w:rsidP="008436BB">
            <w:pPr>
              <w:spacing w:before="0" w:after="0" w:line="360" w:lineRule="auto"/>
              <w:ind w:left="113"/>
              <w:rPr>
                <w:sz w:val="18"/>
                <w:szCs w:val="18"/>
              </w:rPr>
            </w:pPr>
            <w:r w:rsidRPr="008436BB">
              <w:rPr>
                <w:sz w:val="18"/>
                <w:szCs w:val="18"/>
              </w:rPr>
              <w:t>11</w:t>
            </w:r>
          </w:p>
        </w:tc>
        <w:tc>
          <w:tcPr>
            <w:tcW w:w="1149" w:type="dxa"/>
            <w:gridSpan w:val="2"/>
            <w:tcBorders>
              <w:top w:val="none" w:sz="6" w:space="0" w:color="auto"/>
              <w:left w:val="none" w:sz="6" w:space="0" w:color="auto"/>
              <w:bottom w:val="single" w:sz="2" w:space="0" w:color="000000"/>
              <w:right w:val="single" w:sz="2" w:space="0" w:color="000000"/>
            </w:tcBorders>
          </w:tcPr>
          <w:p w14:paraId="5CBEB7F7" w14:textId="77777777" w:rsidR="008A1AA7" w:rsidRPr="008436BB" w:rsidRDefault="008A1AA7" w:rsidP="008436BB">
            <w:pPr>
              <w:spacing w:before="0" w:after="0" w:line="360" w:lineRule="auto"/>
              <w:ind w:left="113"/>
              <w:rPr>
                <w:sz w:val="18"/>
                <w:szCs w:val="18"/>
              </w:rPr>
            </w:pPr>
            <w:r w:rsidRPr="008436BB">
              <w:rPr>
                <w:sz w:val="18"/>
                <w:szCs w:val="18"/>
              </w:rPr>
              <w:t>(44.0)</w:t>
            </w:r>
          </w:p>
        </w:tc>
        <w:tc>
          <w:tcPr>
            <w:tcW w:w="924" w:type="dxa"/>
            <w:tcBorders>
              <w:top w:val="none" w:sz="6" w:space="0" w:color="auto"/>
              <w:left w:val="single" w:sz="2" w:space="0" w:color="000000"/>
              <w:bottom w:val="single" w:sz="2" w:space="0" w:color="000000"/>
              <w:right w:val="none" w:sz="6" w:space="0" w:color="auto"/>
            </w:tcBorders>
          </w:tcPr>
          <w:p w14:paraId="5CBEB7F8" w14:textId="77777777" w:rsidR="008A1AA7" w:rsidRPr="008436BB" w:rsidRDefault="008A1AA7" w:rsidP="008436BB">
            <w:pPr>
              <w:spacing w:before="0" w:after="0" w:line="360" w:lineRule="auto"/>
              <w:ind w:left="113"/>
              <w:rPr>
                <w:sz w:val="18"/>
                <w:szCs w:val="18"/>
              </w:rPr>
            </w:pPr>
            <w:r w:rsidRPr="008436BB">
              <w:rPr>
                <w:sz w:val="18"/>
                <w:szCs w:val="18"/>
              </w:rPr>
              <w:t>20</w:t>
            </w:r>
          </w:p>
        </w:tc>
        <w:tc>
          <w:tcPr>
            <w:tcW w:w="1149" w:type="dxa"/>
            <w:gridSpan w:val="2"/>
            <w:tcBorders>
              <w:top w:val="none" w:sz="6" w:space="0" w:color="auto"/>
              <w:left w:val="none" w:sz="6" w:space="0" w:color="auto"/>
              <w:bottom w:val="single" w:sz="2" w:space="0" w:color="000000"/>
              <w:right w:val="single" w:sz="2" w:space="0" w:color="000000"/>
            </w:tcBorders>
          </w:tcPr>
          <w:p w14:paraId="5CBEB7F9" w14:textId="77777777" w:rsidR="008A1AA7" w:rsidRPr="008436BB" w:rsidRDefault="008A1AA7" w:rsidP="008436BB">
            <w:pPr>
              <w:spacing w:before="0" w:after="0" w:line="360" w:lineRule="auto"/>
              <w:ind w:left="113"/>
              <w:rPr>
                <w:sz w:val="18"/>
                <w:szCs w:val="18"/>
              </w:rPr>
            </w:pPr>
            <w:r w:rsidRPr="008436BB">
              <w:rPr>
                <w:sz w:val="18"/>
                <w:szCs w:val="18"/>
              </w:rPr>
              <w:t>(57.1)</w:t>
            </w:r>
          </w:p>
        </w:tc>
        <w:tc>
          <w:tcPr>
            <w:tcW w:w="924" w:type="dxa"/>
            <w:tcBorders>
              <w:top w:val="none" w:sz="6" w:space="0" w:color="auto"/>
              <w:left w:val="single" w:sz="2" w:space="0" w:color="000000"/>
              <w:bottom w:val="single" w:sz="2" w:space="0" w:color="000000"/>
              <w:right w:val="none" w:sz="6" w:space="0" w:color="auto"/>
            </w:tcBorders>
          </w:tcPr>
          <w:p w14:paraId="5CBEB7FA" w14:textId="77777777" w:rsidR="008A1AA7" w:rsidRPr="008436BB" w:rsidRDefault="008A1AA7" w:rsidP="008436BB">
            <w:pPr>
              <w:spacing w:before="0" w:after="0" w:line="360" w:lineRule="auto"/>
              <w:ind w:left="113"/>
              <w:rPr>
                <w:sz w:val="18"/>
                <w:szCs w:val="18"/>
              </w:rPr>
            </w:pPr>
            <w:r w:rsidRPr="008436BB">
              <w:rPr>
                <w:sz w:val="18"/>
                <w:szCs w:val="18"/>
              </w:rPr>
              <w:t>31</w:t>
            </w:r>
          </w:p>
        </w:tc>
        <w:tc>
          <w:tcPr>
            <w:tcW w:w="1000" w:type="dxa"/>
            <w:gridSpan w:val="2"/>
            <w:tcBorders>
              <w:top w:val="none" w:sz="6" w:space="0" w:color="auto"/>
              <w:left w:val="none" w:sz="6" w:space="0" w:color="auto"/>
              <w:bottom w:val="single" w:sz="2" w:space="0" w:color="000000"/>
              <w:right w:val="single" w:sz="6" w:space="0" w:color="000000"/>
            </w:tcBorders>
          </w:tcPr>
          <w:p w14:paraId="5CBEB7FB" w14:textId="77777777" w:rsidR="008A1AA7" w:rsidRPr="008436BB" w:rsidRDefault="008A1AA7" w:rsidP="008436BB">
            <w:pPr>
              <w:spacing w:before="0" w:after="0" w:line="360" w:lineRule="auto"/>
              <w:ind w:left="113"/>
              <w:rPr>
                <w:sz w:val="18"/>
                <w:szCs w:val="18"/>
              </w:rPr>
            </w:pPr>
            <w:r w:rsidRPr="008436BB">
              <w:rPr>
                <w:sz w:val="18"/>
                <w:szCs w:val="18"/>
              </w:rPr>
              <w:t>(51.7)</w:t>
            </w:r>
          </w:p>
        </w:tc>
      </w:tr>
      <w:tr w:rsidR="008A1AA7" w:rsidRPr="008436BB" w14:paraId="5CBEB7FE"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7FD" w14:textId="77777777" w:rsidR="008A1AA7" w:rsidRPr="008436BB" w:rsidRDefault="008A1AA7" w:rsidP="008436BB">
            <w:pPr>
              <w:spacing w:before="0" w:after="0" w:line="360" w:lineRule="auto"/>
              <w:ind w:left="113"/>
              <w:rPr>
                <w:b/>
                <w:bCs/>
                <w:sz w:val="18"/>
                <w:szCs w:val="18"/>
              </w:rPr>
            </w:pPr>
            <w:r w:rsidRPr="008436BB">
              <w:rPr>
                <w:b/>
                <w:bCs/>
                <w:sz w:val="18"/>
                <w:szCs w:val="18"/>
              </w:rPr>
              <w:t>Prior Lines of Therapy Group</w:t>
            </w:r>
          </w:p>
        </w:tc>
      </w:tr>
      <w:tr w:rsidR="008A1AA7" w:rsidRPr="008436BB" w14:paraId="5CBEB806"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7FF" w14:textId="77777777" w:rsidR="008A1AA7" w:rsidRPr="008436BB" w:rsidRDefault="008A1AA7" w:rsidP="008436BB">
            <w:pPr>
              <w:spacing w:before="0" w:after="0" w:line="360" w:lineRule="auto"/>
              <w:ind w:left="113"/>
              <w:rPr>
                <w:sz w:val="18"/>
                <w:szCs w:val="18"/>
              </w:rPr>
            </w:pPr>
            <w:r w:rsidRPr="008436BB">
              <w:rPr>
                <w:sz w:val="18"/>
                <w:szCs w:val="18"/>
              </w:rPr>
              <w:t>&gt;= 3</w:t>
            </w:r>
          </w:p>
        </w:tc>
        <w:tc>
          <w:tcPr>
            <w:tcW w:w="924" w:type="dxa"/>
            <w:tcBorders>
              <w:top w:val="single" w:sz="2" w:space="0" w:color="000000"/>
              <w:left w:val="single" w:sz="2" w:space="0" w:color="000000"/>
              <w:bottom w:val="none" w:sz="6" w:space="0" w:color="auto"/>
              <w:right w:val="none" w:sz="6" w:space="0" w:color="auto"/>
            </w:tcBorders>
          </w:tcPr>
          <w:p w14:paraId="5CBEB800" w14:textId="77777777" w:rsidR="008A1AA7" w:rsidRPr="008436BB" w:rsidRDefault="008A1AA7" w:rsidP="008436BB">
            <w:pPr>
              <w:spacing w:before="0" w:after="0" w:line="360" w:lineRule="auto"/>
              <w:ind w:left="113"/>
              <w:rPr>
                <w:sz w:val="18"/>
                <w:szCs w:val="18"/>
              </w:rPr>
            </w:pPr>
            <w:r w:rsidRPr="008436BB">
              <w:rPr>
                <w:sz w:val="18"/>
                <w:szCs w:val="18"/>
              </w:rPr>
              <w:t>23</w:t>
            </w:r>
          </w:p>
        </w:tc>
        <w:tc>
          <w:tcPr>
            <w:tcW w:w="1149" w:type="dxa"/>
            <w:gridSpan w:val="2"/>
            <w:tcBorders>
              <w:top w:val="single" w:sz="2" w:space="0" w:color="000000"/>
              <w:left w:val="none" w:sz="6" w:space="0" w:color="auto"/>
              <w:bottom w:val="none" w:sz="6" w:space="0" w:color="auto"/>
              <w:right w:val="single" w:sz="2" w:space="0" w:color="000000"/>
            </w:tcBorders>
          </w:tcPr>
          <w:p w14:paraId="5CBEB801" w14:textId="77777777" w:rsidR="008A1AA7" w:rsidRPr="008436BB" w:rsidRDefault="008A1AA7" w:rsidP="008436BB">
            <w:pPr>
              <w:spacing w:before="0" w:after="0" w:line="360" w:lineRule="auto"/>
              <w:ind w:left="113"/>
              <w:rPr>
                <w:sz w:val="18"/>
                <w:szCs w:val="18"/>
              </w:rPr>
            </w:pPr>
            <w:r w:rsidRPr="008436BB">
              <w:rPr>
                <w:sz w:val="18"/>
                <w:szCs w:val="18"/>
              </w:rPr>
              <w:t>(92.0)</w:t>
            </w:r>
          </w:p>
        </w:tc>
        <w:tc>
          <w:tcPr>
            <w:tcW w:w="924" w:type="dxa"/>
            <w:tcBorders>
              <w:top w:val="single" w:sz="2" w:space="0" w:color="000000"/>
              <w:left w:val="single" w:sz="2" w:space="0" w:color="000000"/>
              <w:bottom w:val="none" w:sz="6" w:space="0" w:color="auto"/>
              <w:right w:val="none" w:sz="6" w:space="0" w:color="auto"/>
            </w:tcBorders>
          </w:tcPr>
          <w:p w14:paraId="5CBEB802" w14:textId="77777777" w:rsidR="008A1AA7" w:rsidRPr="008436BB" w:rsidRDefault="008A1AA7" w:rsidP="008436BB">
            <w:pPr>
              <w:spacing w:before="0" w:after="0" w:line="360" w:lineRule="auto"/>
              <w:ind w:left="113"/>
              <w:rPr>
                <w:sz w:val="18"/>
                <w:szCs w:val="18"/>
              </w:rPr>
            </w:pPr>
            <w:r w:rsidRPr="008436BB">
              <w:rPr>
                <w:sz w:val="18"/>
                <w:szCs w:val="18"/>
              </w:rPr>
              <w:t>13</w:t>
            </w:r>
          </w:p>
        </w:tc>
        <w:tc>
          <w:tcPr>
            <w:tcW w:w="1149" w:type="dxa"/>
            <w:gridSpan w:val="2"/>
            <w:tcBorders>
              <w:top w:val="single" w:sz="2" w:space="0" w:color="000000"/>
              <w:left w:val="none" w:sz="6" w:space="0" w:color="auto"/>
              <w:bottom w:val="none" w:sz="6" w:space="0" w:color="auto"/>
              <w:right w:val="single" w:sz="2" w:space="0" w:color="000000"/>
            </w:tcBorders>
          </w:tcPr>
          <w:p w14:paraId="5CBEB803" w14:textId="77777777" w:rsidR="008A1AA7" w:rsidRPr="008436BB" w:rsidRDefault="008A1AA7" w:rsidP="008436BB">
            <w:pPr>
              <w:spacing w:before="0" w:after="0" w:line="360" w:lineRule="auto"/>
              <w:ind w:left="113"/>
              <w:rPr>
                <w:sz w:val="18"/>
                <w:szCs w:val="18"/>
              </w:rPr>
            </w:pPr>
            <w:r w:rsidRPr="008436BB">
              <w:rPr>
                <w:sz w:val="18"/>
                <w:szCs w:val="18"/>
              </w:rPr>
              <w:t>(37.1)</w:t>
            </w:r>
          </w:p>
        </w:tc>
        <w:tc>
          <w:tcPr>
            <w:tcW w:w="924" w:type="dxa"/>
            <w:tcBorders>
              <w:top w:val="single" w:sz="2" w:space="0" w:color="000000"/>
              <w:left w:val="single" w:sz="2" w:space="0" w:color="000000"/>
              <w:bottom w:val="none" w:sz="6" w:space="0" w:color="auto"/>
              <w:right w:val="none" w:sz="6" w:space="0" w:color="auto"/>
            </w:tcBorders>
          </w:tcPr>
          <w:p w14:paraId="5CBEB804" w14:textId="77777777" w:rsidR="008A1AA7" w:rsidRPr="008436BB" w:rsidRDefault="008A1AA7" w:rsidP="008436BB">
            <w:pPr>
              <w:spacing w:before="0" w:after="0" w:line="360" w:lineRule="auto"/>
              <w:ind w:left="113"/>
              <w:rPr>
                <w:sz w:val="18"/>
                <w:szCs w:val="18"/>
              </w:rPr>
            </w:pPr>
            <w:r w:rsidRPr="008436BB">
              <w:rPr>
                <w:sz w:val="18"/>
                <w:szCs w:val="18"/>
              </w:rPr>
              <w:t>36</w:t>
            </w:r>
          </w:p>
        </w:tc>
        <w:tc>
          <w:tcPr>
            <w:tcW w:w="1000" w:type="dxa"/>
            <w:gridSpan w:val="2"/>
            <w:tcBorders>
              <w:top w:val="single" w:sz="2" w:space="0" w:color="000000"/>
              <w:left w:val="none" w:sz="6" w:space="0" w:color="auto"/>
              <w:bottom w:val="none" w:sz="6" w:space="0" w:color="auto"/>
              <w:right w:val="single" w:sz="6" w:space="0" w:color="000000"/>
            </w:tcBorders>
          </w:tcPr>
          <w:p w14:paraId="5CBEB805" w14:textId="77777777" w:rsidR="008A1AA7" w:rsidRPr="008436BB" w:rsidRDefault="008A1AA7" w:rsidP="008436BB">
            <w:pPr>
              <w:spacing w:before="0" w:after="0" w:line="360" w:lineRule="auto"/>
              <w:ind w:left="113"/>
              <w:rPr>
                <w:sz w:val="18"/>
                <w:szCs w:val="18"/>
              </w:rPr>
            </w:pPr>
            <w:r w:rsidRPr="008436BB">
              <w:rPr>
                <w:sz w:val="18"/>
                <w:szCs w:val="18"/>
              </w:rPr>
              <w:t>(60.0)</w:t>
            </w:r>
          </w:p>
        </w:tc>
      </w:tr>
      <w:tr w:rsidR="008A1AA7" w:rsidRPr="008436BB" w14:paraId="5CBEB80E"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807" w14:textId="77777777" w:rsidR="008A1AA7" w:rsidRPr="008436BB" w:rsidRDefault="008A1AA7" w:rsidP="008436BB">
            <w:pPr>
              <w:spacing w:before="0" w:after="0" w:line="360" w:lineRule="auto"/>
              <w:ind w:left="113"/>
              <w:rPr>
                <w:sz w:val="18"/>
                <w:szCs w:val="18"/>
              </w:rPr>
            </w:pPr>
            <w:r w:rsidRPr="008436BB">
              <w:rPr>
                <w:sz w:val="18"/>
                <w:szCs w:val="18"/>
              </w:rPr>
              <w:t>&lt; 3</w:t>
            </w:r>
          </w:p>
        </w:tc>
        <w:tc>
          <w:tcPr>
            <w:tcW w:w="924" w:type="dxa"/>
            <w:tcBorders>
              <w:top w:val="none" w:sz="6" w:space="0" w:color="auto"/>
              <w:left w:val="single" w:sz="2" w:space="0" w:color="000000"/>
              <w:bottom w:val="single" w:sz="2" w:space="0" w:color="000000"/>
              <w:right w:val="none" w:sz="6" w:space="0" w:color="auto"/>
            </w:tcBorders>
          </w:tcPr>
          <w:p w14:paraId="5CBEB808"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49" w:type="dxa"/>
            <w:gridSpan w:val="2"/>
            <w:tcBorders>
              <w:top w:val="none" w:sz="6" w:space="0" w:color="auto"/>
              <w:left w:val="none" w:sz="6" w:space="0" w:color="auto"/>
              <w:bottom w:val="single" w:sz="2" w:space="0" w:color="000000"/>
              <w:right w:val="single" w:sz="2" w:space="0" w:color="000000"/>
            </w:tcBorders>
          </w:tcPr>
          <w:p w14:paraId="5CBEB809" w14:textId="77777777" w:rsidR="008A1AA7" w:rsidRPr="008436BB" w:rsidRDefault="008A1AA7" w:rsidP="008436BB">
            <w:pPr>
              <w:spacing w:before="0" w:after="0" w:line="360" w:lineRule="auto"/>
              <w:ind w:left="113"/>
              <w:rPr>
                <w:sz w:val="18"/>
                <w:szCs w:val="18"/>
              </w:rPr>
            </w:pPr>
            <w:r w:rsidRPr="008436BB">
              <w:rPr>
                <w:sz w:val="18"/>
                <w:szCs w:val="18"/>
              </w:rPr>
              <w:t>(8.0)</w:t>
            </w:r>
          </w:p>
        </w:tc>
        <w:tc>
          <w:tcPr>
            <w:tcW w:w="924" w:type="dxa"/>
            <w:tcBorders>
              <w:top w:val="none" w:sz="6" w:space="0" w:color="auto"/>
              <w:left w:val="single" w:sz="2" w:space="0" w:color="000000"/>
              <w:bottom w:val="single" w:sz="2" w:space="0" w:color="000000"/>
              <w:right w:val="none" w:sz="6" w:space="0" w:color="auto"/>
            </w:tcBorders>
          </w:tcPr>
          <w:p w14:paraId="5CBEB80A" w14:textId="77777777" w:rsidR="008A1AA7" w:rsidRPr="008436BB" w:rsidRDefault="008A1AA7" w:rsidP="008436BB">
            <w:pPr>
              <w:spacing w:before="0" w:after="0" w:line="360" w:lineRule="auto"/>
              <w:ind w:left="113"/>
              <w:rPr>
                <w:sz w:val="18"/>
                <w:szCs w:val="18"/>
              </w:rPr>
            </w:pPr>
            <w:r w:rsidRPr="008436BB">
              <w:rPr>
                <w:sz w:val="18"/>
                <w:szCs w:val="18"/>
              </w:rPr>
              <w:t>22</w:t>
            </w:r>
          </w:p>
        </w:tc>
        <w:tc>
          <w:tcPr>
            <w:tcW w:w="1149" w:type="dxa"/>
            <w:gridSpan w:val="2"/>
            <w:tcBorders>
              <w:top w:val="none" w:sz="6" w:space="0" w:color="auto"/>
              <w:left w:val="none" w:sz="6" w:space="0" w:color="auto"/>
              <w:bottom w:val="single" w:sz="2" w:space="0" w:color="000000"/>
              <w:right w:val="single" w:sz="2" w:space="0" w:color="000000"/>
            </w:tcBorders>
          </w:tcPr>
          <w:p w14:paraId="5CBEB80B" w14:textId="77777777" w:rsidR="008A1AA7" w:rsidRPr="008436BB" w:rsidRDefault="008A1AA7" w:rsidP="008436BB">
            <w:pPr>
              <w:spacing w:before="0" w:after="0" w:line="360" w:lineRule="auto"/>
              <w:ind w:left="113"/>
              <w:rPr>
                <w:sz w:val="18"/>
                <w:szCs w:val="18"/>
              </w:rPr>
            </w:pPr>
            <w:r w:rsidRPr="008436BB">
              <w:rPr>
                <w:sz w:val="18"/>
                <w:szCs w:val="18"/>
              </w:rPr>
              <w:t>(62.9)</w:t>
            </w:r>
          </w:p>
        </w:tc>
        <w:tc>
          <w:tcPr>
            <w:tcW w:w="924" w:type="dxa"/>
            <w:tcBorders>
              <w:top w:val="none" w:sz="6" w:space="0" w:color="auto"/>
              <w:left w:val="single" w:sz="2" w:space="0" w:color="000000"/>
              <w:bottom w:val="single" w:sz="2" w:space="0" w:color="000000"/>
              <w:right w:val="none" w:sz="6" w:space="0" w:color="auto"/>
            </w:tcBorders>
          </w:tcPr>
          <w:p w14:paraId="5CBEB80C" w14:textId="77777777" w:rsidR="008A1AA7" w:rsidRPr="008436BB" w:rsidRDefault="008A1AA7" w:rsidP="008436BB">
            <w:pPr>
              <w:spacing w:before="0" w:after="0" w:line="360" w:lineRule="auto"/>
              <w:ind w:left="113"/>
              <w:rPr>
                <w:sz w:val="18"/>
                <w:szCs w:val="18"/>
              </w:rPr>
            </w:pPr>
            <w:r w:rsidRPr="008436BB">
              <w:rPr>
                <w:sz w:val="18"/>
                <w:szCs w:val="18"/>
              </w:rPr>
              <w:t>24</w:t>
            </w:r>
          </w:p>
        </w:tc>
        <w:tc>
          <w:tcPr>
            <w:tcW w:w="1000" w:type="dxa"/>
            <w:gridSpan w:val="2"/>
            <w:tcBorders>
              <w:top w:val="none" w:sz="6" w:space="0" w:color="auto"/>
              <w:left w:val="none" w:sz="6" w:space="0" w:color="auto"/>
              <w:bottom w:val="single" w:sz="2" w:space="0" w:color="000000"/>
              <w:right w:val="single" w:sz="6" w:space="0" w:color="000000"/>
            </w:tcBorders>
          </w:tcPr>
          <w:p w14:paraId="5CBEB80D" w14:textId="77777777" w:rsidR="008A1AA7" w:rsidRPr="008436BB" w:rsidRDefault="008A1AA7" w:rsidP="008436BB">
            <w:pPr>
              <w:spacing w:before="0" w:after="0" w:line="360" w:lineRule="auto"/>
              <w:ind w:left="113"/>
              <w:rPr>
                <w:sz w:val="18"/>
                <w:szCs w:val="18"/>
              </w:rPr>
            </w:pPr>
            <w:r w:rsidRPr="008436BB">
              <w:rPr>
                <w:sz w:val="18"/>
                <w:szCs w:val="18"/>
              </w:rPr>
              <w:t>(40.0)</w:t>
            </w:r>
          </w:p>
        </w:tc>
      </w:tr>
      <w:tr w:rsidR="008A1AA7" w:rsidRPr="008436BB" w14:paraId="5CBEB810" w14:textId="77777777" w:rsidTr="00D92572">
        <w:trPr>
          <w:trHeight w:val="302"/>
        </w:trPr>
        <w:tc>
          <w:tcPr>
            <w:tcW w:w="8789" w:type="dxa"/>
            <w:gridSpan w:val="10"/>
            <w:tcBorders>
              <w:top w:val="single" w:sz="2" w:space="0" w:color="000000"/>
              <w:left w:val="single" w:sz="6" w:space="0" w:color="000000"/>
              <w:bottom w:val="single" w:sz="2" w:space="0" w:color="000000"/>
              <w:right w:val="single" w:sz="6" w:space="0" w:color="000000"/>
            </w:tcBorders>
          </w:tcPr>
          <w:p w14:paraId="5CBEB80F" w14:textId="77777777" w:rsidR="008A1AA7" w:rsidRPr="008436BB" w:rsidRDefault="008A1AA7" w:rsidP="008436BB">
            <w:pPr>
              <w:spacing w:before="0" w:after="0" w:line="360" w:lineRule="auto"/>
              <w:ind w:left="113"/>
              <w:rPr>
                <w:b/>
                <w:bCs/>
                <w:sz w:val="18"/>
                <w:szCs w:val="18"/>
              </w:rPr>
            </w:pPr>
            <w:r w:rsidRPr="008436BB">
              <w:rPr>
                <w:b/>
                <w:bCs/>
                <w:sz w:val="18"/>
                <w:szCs w:val="18"/>
              </w:rPr>
              <w:t>Prior Lines of Therapy</w:t>
            </w:r>
          </w:p>
        </w:tc>
      </w:tr>
      <w:tr w:rsidR="008A1AA7" w:rsidRPr="008436BB" w14:paraId="5CBEB818" w14:textId="77777777" w:rsidTr="00D92572">
        <w:trPr>
          <w:trHeight w:val="214"/>
        </w:trPr>
        <w:tc>
          <w:tcPr>
            <w:tcW w:w="2719" w:type="dxa"/>
            <w:tcBorders>
              <w:top w:val="single" w:sz="2" w:space="0" w:color="000000"/>
              <w:left w:val="single" w:sz="6" w:space="0" w:color="000000"/>
              <w:bottom w:val="none" w:sz="6" w:space="0" w:color="auto"/>
              <w:right w:val="single" w:sz="2" w:space="0" w:color="000000"/>
            </w:tcBorders>
          </w:tcPr>
          <w:p w14:paraId="5CBEB811" w14:textId="77777777" w:rsidR="008A1AA7" w:rsidRPr="008436BB" w:rsidRDefault="008A1AA7" w:rsidP="008436BB">
            <w:pPr>
              <w:spacing w:before="0" w:after="0" w:line="360" w:lineRule="auto"/>
              <w:ind w:left="113"/>
              <w:rPr>
                <w:sz w:val="18"/>
                <w:szCs w:val="18"/>
              </w:rPr>
            </w:pPr>
            <w:r w:rsidRPr="008436BB">
              <w:rPr>
                <w:sz w:val="18"/>
                <w:szCs w:val="18"/>
              </w:rPr>
              <w:t>Subjects with data</w:t>
            </w:r>
          </w:p>
        </w:tc>
        <w:tc>
          <w:tcPr>
            <w:tcW w:w="924" w:type="dxa"/>
            <w:tcBorders>
              <w:top w:val="single" w:sz="2" w:space="0" w:color="000000"/>
              <w:left w:val="single" w:sz="2" w:space="0" w:color="000000"/>
              <w:bottom w:val="none" w:sz="6" w:space="0" w:color="auto"/>
              <w:right w:val="none" w:sz="6" w:space="0" w:color="auto"/>
            </w:tcBorders>
          </w:tcPr>
          <w:p w14:paraId="5CBEB812" w14:textId="77777777" w:rsidR="008A1AA7" w:rsidRPr="008436BB" w:rsidRDefault="008A1AA7" w:rsidP="008436BB">
            <w:pPr>
              <w:spacing w:before="0" w:after="0" w:line="360" w:lineRule="auto"/>
              <w:ind w:left="113"/>
              <w:rPr>
                <w:sz w:val="18"/>
                <w:szCs w:val="18"/>
              </w:rPr>
            </w:pPr>
            <w:r w:rsidRPr="008436BB">
              <w:rPr>
                <w:sz w:val="18"/>
                <w:szCs w:val="18"/>
              </w:rPr>
              <w:t>25</w:t>
            </w:r>
          </w:p>
        </w:tc>
        <w:tc>
          <w:tcPr>
            <w:tcW w:w="1149" w:type="dxa"/>
            <w:gridSpan w:val="2"/>
            <w:tcBorders>
              <w:top w:val="single" w:sz="2" w:space="0" w:color="000000"/>
              <w:left w:val="none" w:sz="6" w:space="0" w:color="auto"/>
              <w:bottom w:val="none" w:sz="6" w:space="0" w:color="auto"/>
              <w:right w:val="single" w:sz="2" w:space="0" w:color="000000"/>
            </w:tcBorders>
          </w:tcPr>
          <w:p w14:paraId="5CBEB813" w14:textId="77777777" w:rsidR="008A1AA7" w:rsidRPr="008436BB" w:rsidRDefault="008A1AA7" w:rsidP="008436BB">
            <w:pPr>
              <w:spacing w:before="0" w:after="0" w:line="360" w:lineRule="auto"/>
              <w:ind w:left="113"/>
              <w:rPr>
                <w:sz w:val="18"/>
                <w:szCs w:val="18"/>
              </w:rPr>
            </w:pPr>
          </w:p>
        </w:tc>
        <w:tc>
          <w:tcPr>
            <w:tcW w:w="924" w:type="dxa"/>
            <w:tcBorders>
              <w:top w:val="single" w:sz="2" w:space="0" w:color="000000"/>
              <w:left w:val="single" w:sz="2" w:space="0" w:color="000000"/>
              <w:bottom w:val="none" w:sz="6" w:space="0" w:color="auto"/>
              <w:right w:val="none" w:sz="6" w:space="0" w:color="auto"/>
            </w:tcBorders>
          </w:tcPr>
          <w:p w14:paraId="5CBEB814"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149" w:type="dxa"/>
            <w:gridSpan w:val="2"/>
            <w:tcBorders>
              <w:top w:val="single" w:sz="2" w:space="0" w:color="000000"/>
              <w:left w:val="none" w:sz="6" w:space="0" w:color="auto"/>
              <w:bottom w:val="none" w:sz="6" w:space="0" w:color="auto"/>
              <w:right w:val="single" w:sz="2" w:space="0" w:color="000000"/>
            </w:tcBorders>
          </w:tcPr>
          <w:p w14:paraId="5CBEB815" w14:textId="77777777" w:rsidR="008A1AA7" w:rsidRPr="008436BB" w:rsidRDefault="008A1AA7" w:rsidP="008436BB">
            <w:pPr>
              <w:spacing w:before="0" w:after="0" w:line="360" w:lineRule="auto"/>
              <w:ind w:left="113"/>
              <w:rPr>
                <w:sz w:val="18"/>
                <w:szCs w:val="18"/>
              </w:rPr>
            </w:pPr>
          </w:p>
        </w:tc>
        <w:tc>
          <w:tcPr>
            <w:tcW w:w="924" w:type="dxa"/>
            <w:tcBorders>
              <w:top w:val="single" w:sz="2" w:space="0" w:color="000000"/>
              <w:left w:val="single" w:sz="2" w:space="0" w:color="000000"/>
              <w:bottom w:val="none" w:sz="6" w:space="0" w:color="auto"/>
              <w:right w:val="none" w:sz="6" w:space="0" w:color="auto"/>
            </w:tcBorders>
          </w:tcPr>
          <w:p w14:paraId="5CBEB816" w14:textId="77777777" w:rsidR="008A1AA7" w:rsidRPr="008436BB" w:rsidRDefault="008A1AA7" w:rsidP="008436BB">
            <w:pPr>
              <w:spacing w:before="0" w:after="0" w:line="360" w:lineRule="auto"/>
              <w:ind w:left="113"/>
              <w:rPr>
                <w:sz w:val="18"/>
                <w:szCs w:val="18"/>
              </w:rPr>
            </w:pPr>
            <w:r w:rsidRPr="008436BB">
              <w:rPr>
                <w:sz w:val="18"/>
                <w:szCs w:val="18"/>
              </w:rPr>
              <w:t>60</w:t>
            </w:r>
          </w:p>
        </w:tc>
        <w:tc>
          <w:tcPr>
            <w:tcW w:w="1000" w:type="dxa"/>
            <w:gridSpan w:val="2"/>
            <w:tcBorders>
              <w:top w:val="single" w:sz="2" w:space="0" w:color="000000"/>
              <w:left w:val="none" w:sz="6" w:space="0" w:color="auto"/>
              <w:bottom w:val="none" w:sz="6" w:space="0" w:color="auto"/>
              <w:right w:val="single" w:sz="6" w:space="0" w:color="000000"/>
            </w:tcBorders>
          </w:tcPr>
          <w:p w14:paraId="5CBEB817" w14:textId="77777777" w:rsidR="008A1AA7" w:rsidRPr="008436BB" w:rsidRDefault="008A1AA7" w:rsidP="008436BB">
            <w:pPr>
              <w:spacing w:before="0" w:after="0" w:line="360" w:lineRule="auto"/>
              <w:ind w:left="113"/>
              <w:rPr>
                <w:sz w:val="18"/>
                <w:szCs w:val="18"/>
              </w:rPr>
            </w:pPr>
          </w:p>
        </w:tc>
      </w:tr>
      <w:tr w:rsidR="008A1AA7" w:rsidRPr="008436BB" w14:paraId="5CBEB820" w14:textId="77777777" w:rsidTr="00D92572">
        <w:trPr>
          <w:trHeight w:val="214"/>
        </w:trPr>
        <w:tc>
          <w:tcPr>
            <w:tcW w:w="2719" w:type="dxa"/>
            <w:tcBorders>
              <w:top w:val="none" w:sz="6" w:space="0" w:color="auto"/>
              <w:left w:val="single" w:sz="6" w:space="0" w:color="000000"/>
              <w:bottom w:val="none" w:sz="6" w:space="0" w:color="auto"/>
              <w:right w:val="single" w:sz="2" w:space="0" w:color="000000"/>
            </w:tcBorders>
          </w:tcPr>
          <w:p w14:paraId="5CBEB819" w14:textId="77777777" w:rsidR="008A1AA7" w:rsidRPr="008436BB" w:rsidRDefault="008A1AA7" w:rsidP="008436BB">
            <w:pPr>
              <w:spacing w:before="0" w:after="0" w:line="360" w:lineRule="auto"/>
              <w:ind w:left="113"/>
              <w:rPr>
                <w:sz w:val="18"/>
                <w:szCs w:val="18"/>
              </w:rPr>
            </w:pPr>
            <w:r w:rsidRPr="008436BB">
              <w:rPr>
                <w:sz w:val="18"/>
                <w:szCs w:val="18"/>
              </w:rPr>
              <w:t>Mean</w:t>
            </w:r>
          </w:p>
        </w:tc>
        <w:tc>
          <w:tcPr>
            <w:tcW w:w="924" w:type="dxa"/>
            <w:tcBorders>
              <w:top w:val="none" w:sz="6" w:space="0" w:color="auto"/>
              <w:left w:val="single" w:sz="2" w:space="0" w:color="000000"/>
              <w:bottom w:val="none" w:sz="6" w:space="0" w:color="auto"/>
              <w:right w:val="none" w:sz="6" w:space="0" w:color="auto"/>
            </w:tcBorders>
          </w:tcPr>
          <w:p w14:paraId="5CBEB81A" w14:textId="77777777" w:rsidR="008A1AA7" w:rsidRPr="008436BB" w:rsidRDefault="008A1AA7" w:rsidP="008436BB">
            <w:pPr>
              <w:spacing w:before="0" w:after="0" w:line="360" w:lineRule="auto"/>
              <w:ind w:left="113"/>
              <w:rPr>
                <w:sz w:val="18"/>
                <w:szCs w:val="18"/>
              </w:rPr>
            </w:pPr>
            <w:r w:rsidRPr="008436BB">
              <w:rPr>
                <w:sz w:val="18"/>
                <w:szCs w:val="18"/>
              </w:rPr>
              <w:t>4.0</w:t>
            </w:r>
          </w:p>
        </w:tc>
        <w:tc>
          <w:tcPr>
            <w:tcW w:w="1149" w:type="dxa"/>
            <w:gridSpan w:val="2"/>
            <w:tcBorders>
              <w:top w:val="none" w:sz="6" w:space="0" w:color="auto"/>
              <w:left w:val="none" w:sz="6" w:space="0" w:color="auto"/>
              <w:bottom w:val="none" w:sz="6" w:space="0" w:color="auto"/>
              <w:right w:val="single" w:sz="2" w:space="0" w:color="000000"/>
            </w:tcBorders>
          </w:tcPr>
          <w:p w14:paraId="5CBEB81B"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1C" w14:textId="77777777" w:rsidR="008A1AA7" w:rsidRPr="008436BB" w:rsidRDefault="008A1AA7" w:rsidP="008436BB">
            <w:pPr>
              <w:spacing w:before="0" w:after="0" w:line="360" w:lineRule="auto"/>
              <w:ind w:left="113"/>
              <w:rPr>
                <w:sz w:val="18"/>
                <w:szCs w:val="18"/>
              </w:rPr>
            </w:pPr>
            <w:r w:rsidRPr="008436BB">
              <w:rPr>
                <w:sz w:val="18"/>
                <w:szCs w:val="18"/>
              </w:rPr>
              <w:t>3.1</w:t>
            </w:r>
          </w:p>
        </w:tc>
        <w:tc>
          <w:tcPr>
            <w:tcW w:w="1149" w:type="dxa"/>
            <w:gridSpan w:val="2"/>
            <w:tcBorders>
              <w:top w:val="none" w:sz="6" w:space="0" w:color="auto"/>
              <w:left w:val="none" w:sz="6" w:space="0" w:color="auto"/>
              <w:bottom w:val="none" w:sz="6" w:space="0" w:color="auto"/>
              <w:right w:val="single" w:sz="2" w:space="0" w:color="000000"/>
            </w:tcBorders>
          </w:tcPr>
          <w:p w14:paraId="5CBEB81D"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1E"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000" w:type="dxa"/>
            <w:gridSpan w:val="2"/>
            <w:tcBorders>
              <w:top w:val="none" w:sz="6" w:space="0" w:color="auto"/>
              <w:left w:val="none" w:sz="6" w:space="0" w:color="auto"/>
              <w:bottom w:val="none" w:sz="6" w:space="0" w:color="auto"/>
              <w:right w:val="single" w:sz="6" w:space="0" w:color="000000"/>
            </w:tcBorders>
          </w:tcPr>
          <w:p w14:paraId="5CBEB81F" w14:textId="77777777" w:rsidR="008A1AA7" w:rsidRPr="008436BB" w:rsidRDefault="008A1AA7" w:rsidP="008436BB">
            <w:pPr>
              <w:spacing w:before="0" w:after="0" w:line="360" w:lineRule="auto"/>
              <w:ind w:left="113"/>
              <w:rPr>
                <w:sz w:val="18"/>
                <w:szCs w:val="18"/>
              </w:rPr>
            </w:pPr>
          </w:p>
        </w:tc>
      </w:tr>
      <w:tr w:rsidR="008A1AA7" w:rsidRPr="008436BB" w14:paraId="5CBEB828" w14:textId="77777777"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821" w14:textId="77777777" w:rsidR="008A1AA7" w:rsidRPr="008436BB" w:rsidRDefault="008A1AA7" w:rsidP="008436BB">
            <w:pPr>
              <w:spacing w:before="0" w:after="0" w:line="360" w:lineRule="auto"/>
              <w:ind w:left="113"/>
              <w:rPr>
                <w:sz w:val="18"/>
                <w:szCs w:val="18"/>
              </w:rPr>
            </w:pPr>
            <w:r w:rsidRPr="008436BB">
              <w:rPr>
                <w:sz w:val="18"/>
                <w:szCs w:val="18"/>
              </w:rPr>
              <w:t>SD</w:t>
            </w:r>
          </w:p>
        </w:tc>
        <w:tc>
          <w:tcPr>
            <w:tcW w:w="924" w:type="dxa"/>
            <w:tcBorders>
              <w:top w:val="none" w:sz="6" w:space="0" w:color="auto"/>
              <w:left w:val="single" w:sz="2" w:space="0" w:color="000000"/>
              <w:bottom w:val="none" w:sz="6" w:space="0" w:color="auto"/>
              <w:right w:val="none" w:sz="6" w:space="0" w:color="auto"/>
            </w:tcBorders>
          </w:tcPr>
          <w:p w14:paraId="5CBEB822" w14:textId="77777777" w:rsidR="008A1AA7" w:rsidRPr="008436BB" w:rsidRDefault="008A1AA7" w:rsidP="008436BB">
            <w:pPr>
              <w:spacing w:before="0" w:after="0" w:line="360" w:lineRule="auto"/>
              <w:ind w:left="113"/>
              <w:rPr>
                <w:sz w:val="18"/>
                <w:szCs w:val="18"/>
              </w:rPr>
            </w:pPr>
            <w:r w:rsidRPr="008436BB">
              <w:rPr>
                <w:sz w:val="18"/>
                <w:szCs w:val="18"/>
              </w:rPr>
              <w:t>1.3</w:t>
            </w:r>
          </w:p>
        </w:tc>
        <w:tc>
          <w:tcPr>
            <w:tcW w:w="1149" w:type="dxa"/>
            <w:gridSpan w:val="2"/>
            <w:tcBorders>
              <w:top w:val="none" w:sz="6" w:space="0" w:color="auto"/>
              <w:left w:val="none" w:sz="6" w:space="0" w:color="auto"/>
              <w:bottom w:val="none" w:sz="6" w:space="0" w:color="auto"/>
              <w:right w:val="single" w:sz="2" w:space="0" w:color="000000"/>
            </w:tcBorders>
          </w:tcPr>
          <w:p w14:paraId="5CBEB823"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24"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1149" w:type="dxa"/>
            <w:gridSpan w:val="2"/>
            <w:tcBorders>
              <w:top w:val="none" w:sz="6" w:space="0" w:color="auto"/>
              <w:left w:val="none" w:sz="6" w:space="0" w:color="auto"/>
              <w:bottom w:val="none" w:sz="6" w:space="0" w:color="auto"/>
              <w:right w:val="single" w:sz="2" w:space="0" w:color="000000"/>
            </w:tcBorders>
          </w:tcPr>
          <w:p w14:paraId="5CBEB825"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26" w14:textId="77777777" w:rsidR="008A1AA7" w:rsidRPr="008436BB" w:rsidRDefault="008A1AA7" w:rsidP="008436BB">
            <w:pPr>
              <w:spacing w:before="0" w:after="0" w:line="360" w:lineRule="auto"/>
              <w:ind w:left="113"/>
              <w:rPr>
                <w:sz w:val="18"/>
                <w:szCs w:val="18"/>
              </w:rPr>
            </w:pPr>
            <w:r w:rsidRPr="008436BB">
              <w:rPr>
                <w:sz w:val="18"/>
                <w:szCs w:val="18"/>
              </w:rPr>
              <w:t>1.8</w:t>
            </w:r>
          </w:p>
        </w:tc>
        <w:tc>
          <w:tcPr>
            <w:tcW w:w="1000" w:type="dxa"/>
            <w:gridSpan w:val="2"/>
            <w:tcBorders>
              <w:top w:val="none" w:sz="6" w:space="0" w:color="auto"/>
              <w:left w:val="none" w:sz="6" w:space="0" w:color="auto"/>
              <w:bottom w:val="none" w:sz="6" w:space="0" w:color="auto"/>
              <w:right w:val="single" w:sz="6" w:space="0" w:color="000000"/>
            </w:tcBorders>
          </w:tcPr>
          <w:p w14:paraId="5CBEB827" w14:textId="77777777" w:rsidR="008A1AA7" w:rsidRPr="008436BB" w:rsidRDefault="008A1AA7" w:rsidP="008436BB">
            <w:pPr>
              <w:spacing w:before="0" w:after="0" w:line="360" w:lineRule="auto"/>
              <w:ind w:left="113"/>
              <w:rPr>
                <w:sz w:val="18"/>
                <w:szCs w:val="18"/>
              </w:rPr>
            </w:pPr>
          </w:p>
        </w:tc>
      </w:tr>
      <w:tr w:rsidR="008A1AA7" w:rsidRPr="008436BB" w14:paraId="5CBEB830" w14:textId="77777777" w:rsidTr="00D92572">
        <w:trPr>
          <w:trHeight w:val="235"/>
        </w:trPr>
        <w:tc>
          <w:tcPr>
            <w:tcW w:w="2719" w:type="dxa"/>
            <w:tcBorders>
              <w:top w:val="none" w:sz="6" w:space="0" w:color="auto"/>
              <w:left w:val="single" w:sz="6" w:space="0" w:color="000000"/>
              <w:bottom w:val="none" w:sz="6" w:space="0" w:color="auto"/>
              <w:right w:val="single" w:sz="2" w:space="0" w:color="000000"/>
            </w:tcBorders>
          </w:tcPr>
          <w:p w14:paraId="5CBEB829" w14:textId="77777777" w:rsidR="008A1AA7" w:rsidRPr="008436BB" w:rsidRDefault="008A1AA7" w:rsidP="008436BB">
            <w:pPr>
              <w:spacing w:before="0" w:after="0" w:line="360" w:lineRule="auto"/>
              <w:ind w:left="113"/>
              <w:rPr>
                <w:sz w:val="18"/>
                <w:szCs w:val="18"/>
              </w:rPr>
            </w:pPr>
            <w:r w:rsidRPr="008436BB">
              <w:rPr>
                <w:sz w:val="18"/>
                <w:szCs w:val="18"/>
              </w:rPr>
              <w:t>Median</w:t>
            </w:r>
          </w:p>
        </w:tc>
        <w:tc>
          <w:tcPr>
            <w:tcW w:w="924" w:type="dxa"/>
            <w:tcBorders>
              <w:top w:val="none" w:sz="6" w:space="0" w:color="auto"/>
              <w:left w:val="single" w:sz="2" w:space="0" w:color="000000"/>
              <w:bottom w:val="none" w:sz="6" w:space="0" w:color="auto"/>
              <w:right w:val="none" w:sz="6" w:space="0" w:color="auto"/>
            </w:tcBorders>
          </w:tcPr>
          <w:p w14:paraId="5CBEB82A" w14:textId="77777777" w:rsidR="008A1AA7" w:rsidRPr="008436BB" w:rsidRDefault="008A1AA7" w:rsidP="008436BB">
            <w:pPr>
              <w:spacing w:before="0" w:after="0" w:line="360" w:lineRule="auto"/>
              <w:ind w:left="113"/>
              <w:rPr>
                <w:sz w:val="18"/>
                <w:szCs w:val="18"/>
              </w:rPr>
            </w:pPr>
            <w:r w:rsidRPr="008436BB">
              <w:rPr>
                <w:sz w:val="18"/>
                <w:szCs w:val="18"/>
              </w:rPr>
              <w:t>4.0</w:t>
            </w:r>
          </w:p>
        </w:tc>
        <w:tc>
          <w:tcPr>
            <w:tcW w:w="1149" w:type="dxa"/>
            <w:gridSpan w:val="2"/>
            <w:tcBorders>
              <w:top w:val="none" w:sz="6" w:space="0" w:color="auto"/>
              <w:left w:val="none" w:sz="6" w:space="0" w:color="auto"/>
              <w:bottom w:val="none" w:sz="6" w:space="0" w:color="auto"/>
              <w:right w:val="single" w:sz="2" w:space="0" w:color="000000"/>
            </w:tcBorders>
          </w:tcPr>
          <w:p w14:paraId="5CBEB82B"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2C" w14:textId="77777777" w:rsidR="008A1AA7" w:rsidRPr="008436BB" w:rsidRDefault="008A1AA7" w:rsidP="008436BB">
            <w:pPr>
              <w:spacing w:before="0" w:after="0" w:line="360" w:lineRule="auto"/>
              <w:ind w:left="113"/>
              <w:rPr>
                <w:sz w:val="18"/>
                <w:szCs w:val="18"/>
              </w:rPr>
            </w:pPr>
            <w:r w:rsidRPr="008436BB">
              <w:rPr>
                <w:sz w:val="18"/>
                <w:szCs w:val="18"/>
              </w:rPr>
              <w:t>2.0</w:t>
            </w:r>
          </w:p>
        </w:tc>
        <w:tc>
          <w:tcPr>
            <w:tcW w:w="1149" w:type="dxa"/>
            <w:gridSpan w:val="2"/>
            <w:tcBorders>
              <w:top w:val="none" w:sz="6" w:space="0" w:color="auto"/>
              <w:left w:val="none" w:sz="6" w:space="0" w:color="auto"/>
              <w:bottom w:val="none" w:sz="6" w:space="0" w:color="auto"/>
              <w:right w:val="single" w:sz="2" w:space="0" w:color="000000"/>
            </w:tcBorders>
          </w:tcPr>
          <w:p w14:paraId="5CBEB82D"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2E" w14:textId="77777777" w:rsidR="008A1AA7" w:rsidRPr="008436BB" w:rsidRDefault="008A1AA7" w:rsidP="008436BB">
            <w:pPr>
              <w:spacing w:before="0" w:after="0" w:line="360" w:lineRule="auto"/>
              <w:ind w:left="113"/>
              <w:rPr>
                <w:sz w:val="18"/>
                <w:szCs w:val="18"/>
              </w:rPr>
            </w:pPr>
            <w:r w:rsidRPr="008436BB">
              <w:rPr>
                <w:sz w:val="18"/>
                <w:szCs w:val="18"/>
              </w:rPr>
              <w:t>3.0</w:t>
            </w:r>
          </w:p>
        </w:tc>
        <w:tc>
          <w:tcPr>
            <w:tcW w:w="1000" w:type="dxa"/>
            <w:gridSpan w:val="2"/>
            <w:tcBorders>
              <w:top w:val="none" w:sz="6" w:space="0" w:color="auto"/>
              <w:left w:val="none" w:sz="6" w:space="0" w:color="auto"/>
              <w:bottom w:val="none" w:sz="6" w:space="0" w:color="auto"/>
              <w:right w:val="single" w:sz="6" w:space="0" w:color="000000"/>
            </w:tcBorders>
          </w:tcPr>
          <w:p w14:paraId="5CBEB82F" w14:textId="77777777" w:rsidR="008A1AA7" w:rsidRPr="008436BB" w:rsidRDefault="008A1AA7" w:rsidP="008436BB">
            <w:pPr>
              <w:spacing w:before="0" w:after="0" w:line="360" w:lineRule="auto"/>
              <w:ind w:left="113"/>
              <w:rPr>
                <w:sz w:val="18"/>
                <w:szCs w:val="18"/>
              </w:rPr>
            </w:pPr>
          </w:p>
        </w:tc>
      </w:tr>
      <w:tr w:rsidR="008A1AA7" w:rsidRPr="008436BB" w14:paraId="5CBEB838"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831" w14:textId="77777777" w:rsidR="008A1AA7" w:rsidRPr="008436BB" w:rsidRDefault="008A1AA7" w:rsidP="008436BB">
            <w:pPr>
              <w:spacing w:before="0" w:after="0" w:line="360" w:lineRule="auto"/>
              <w:ind w:left="113"/>
              <w:rPr>
                <w:sz w:val="18"/>
                <w:szCs w:val="18"/>
              </w:rPr>
            </w:pPr>
            <w:r w:rsidRPr="008436BB">
              <w:rPr>
                <w:sz w:val="18"/>
                <w:szCs w:val="18"/>
              </w:rPr>
              <w:t>Range</w:t>
            </w:r>
          </w:p>
        </w:tc>
        <w:tc>
          <w:tcPr>
            <w:tcW w:w="924" w:type="dxa"/>
            <w:tcBorders>
              <w:top w:val="none" w:sz="6" w:space="0" w:color="auto"/>
              <w:left w:val="single" w:sz="2" w:space="0" w:color="000000"/>
              <w:bottom w:val="single" w:sz="2" w:space="0" w:color="000000"/>
              <w:right w:val="none" w:sz="6" w:space="0" w:color="auto"/>
            </w:tcBorders>
          </w:tcPr>
          <w:p w14:paraId="5CBEB832" w14:textId="77777777" w:rsidR="008A1AA7" w:rsidRPr="008436BB" w:rsidRDefault="008A1AA7" w:rsidP="008436BB">
            <w:pPr>
              <w:spacing w:before="0" w:after="0" w:line="360" w:lineRule="auto"/>
              <w:ind w:left="113"/>
              <w:rPr>
                <w:sz w:val="18"/>
                <w:szCs w:val="18"/>
              </w:rPr>
            </w:pPr>
            <w:r w:rsidRPr="008436BB">
              <w:rPr>
                <w:sz w:val="18"/>
                <w:szCs w:val="18"/>
              </w:rPr>
              <w:t>2.0 to 7.0</w:t>
            </w:r>
          </w:p>
        </w:tc>
        <w:tc>
          <w:tcPr>
            <w:tcW w:w="1149" w:type="dxa"/>
            <w:gridSpan w:val="2"/>
            <w:tcBorders>
              <w:top w:val="none" w:sz="6" w:space="0" w:color="auto"/>
              <w:left w:val="none" w:sz="6" w:space="0" w:color="auto"/>
              <w:bottom w:val="single" w:sz="2" w:space="0" w:color="000000"/>
              <w:right w:val="single" w:sz="2" w:space="0" w:color="000000"/>
            </w:tcBorders>
          </w:tcPr>
          <w:p w14:paraId="5CBEB833"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834" w14:textId="77777777" w:rsidR="008A1AA7" w:rsidRPr="008436BB" w:rsidRDefault="008A1AA7" w:rsidP="008436BB">
            <w:pPr>
              <w:spacing w:before="0" w:after="0" w:line="360" w:lineRule="auto"/>
              <w:ind w:left="113"/>
              <w:rPr>
                <w:sz w:val="18"/>
                <w:szCs w:val="18"/>
              </w:rPr>
            </w:pPr>
            <w:r w:rsidRPr="008436BB">
              <w:rPr>
                <w:sz w:val="18"/>
                <w:szCs w:val="18"/>
              </w:rPr>
              <w:t>2.0 to 10.0</w:t>
            </w:r>
          </w:p>
        </w:tc>
        <w:tc>
          <w:tcPr>
            <w:tcW w:w="1149" w:type="dxa"/>
            <w:gridSpan w:val="2"/>
            <w:tcBorders>
              <w:top w:val="none" w:sz="6" w:space="0" w:color="auto"/>
              <w:left w:val="none" w:sz="6" w:space="0" w:color="auto"/>
              <w:bottom w:val="single" w:sz="2" w:space="0" w:color="000000"/>
              <w:right w:val="single" w:sz="2" w:space="0" w:color="000000"/>
            </w:tcBorders>
          </w:tcPr>
          <w:p w14:paraId="5CBEB835"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836" w14:textId="77777777" w:rsidR="008A1AA7" w:rsidRPr="008436BB" w:rsidRDefault="008A1AA7" w:rsidP="008436BB">
            <w:pPr>
              <w:spacing w:before="0" w:after="0" w:line="360" w:lineRule="auto"/>
              <w:ind w:left="113"/>
              <w:rPr>
                <w:sz w:val="18"/>
                <w:szCs w:val="18"/>
              </w:rPr>
            </w:pPr>
            <w:r w:rsidRPr="008436BB">
              <w:rPr>
                <w:sz w:val="18"/>
                <w:szCs w:val="18"/>
              </w:rPr>
              <w:t>2.0 to 10.0</w:t>
            </w:r>
          </w:p>
        </w:tc>
        <w:tc>
          <w:tcPr>
            <w:tcW w:w="1000" w:type="dxa"/>
            <w:gridSpan w:val="2"/>
            <w:tcBorders>
              <w:top w:val="none" w:sz="6" w:space="0" w:color="auto"/>
              <w:left w:val="none" w:sz="6" w:space="0" w:color="auto"/>
              <w:bottom w:val="single" w:sz="2" w:space="0" w:color="000000"/>
              <w:right w:val="single" w:sz="6" w:space="0" w:color="000000"/>
            </w:tcBorders>
          </w:tcPr>
          <w:p w14:paraId="5CBEB837" w14:textId="77777777" w:rsidR="008A1AA7" w:rsidRPr="008436BB" w:rsidRDefault="008A1AA7" w:rsidP="008436BB">
            <w:pPr>
              <w:spacing w:before="0" w:after="0" w:line="360" w:lineRule="auto"/>
              <w:ind w:left="113"/>
              <w:rPr>
                <w:sz w:val="18"/>
                <w:szCs w:val="18"/>
              </w:rPr>
            </w:pPr>
          </w:p>
        </w:tc>
      </w:tr>
      <w:tr w:rsidR="008A1AA7" w:rsidRPr="008436BB" w14:paraId="5CBEB83A" w14:textId="77777777" w:rsidTr="00D92572">
        <w:trPr>
          <w:trHeight w:val="302"/>
        </w:trPr>
        <w:tc>
          <w:tcPr>
            <w:tcW w:w="8789" w:type="dxa"/>
            <w:gridSpan w:val="10"/>
            <w:tcBorders>
              <w:top w:val="single" w:sz="2" w:space="0" w:color="000000"/>
              <w:left w:val="single" w:sz="6" w:space="0" w:color="000000"/>
              <w:bottom w:val="single" w:sz="2" w:space="0" w:color="000000"/>
              <w:right w:val="single" w:sz="6" w:space="0" w:color="000000"/>
            </w:tcBorders>
          </w:tcPr>
          <w:p w14:paraId="5CBEB839" w14:textId="77777777" w:rsidR="008A1AA7" w:rsidRPr="008436BB" w:rsidRDefault="008A1AA7" w:rsidP="008436BB">
            <w:pPr>
              <w:spacing w:before="0" w:after="0" w:line="360" w:lineRule="auto"/>
              <w:ind w:left="113"/>
              <w:rPr>
                <w:b/>
                <w:bCs/>
                <w:sz w:val="18"/>
                <w:szCs w:val="18"/>
              </w:rPr>
            </w:pPr>
            <w:r w:rsidRPr="008436BB">
              <w:rPr>
                <w:b/>
                <w:bCs/>
                <w:sz w:val="18"/>
                <w:szCs w:val="18"/>
              </w:rPr>
              <w:t>Refractory or Relapsed After 3 or More Lines</w:t>
            </w:r>
          </w:p>
        </w:tc>
      </w:tr>
      <w:tr w:rsidR="008A1AA7" w:rsidRPr="008436BB" w14:paraId="5CBEB842" w14:textId="77777777" w:rsidTr="00D92572">
        <w:trPr>
          <w:trHeight w:val="304"/>
        </w:trPr>
        <w:tc>
          <w:tcPr>
            <w:tcW w:w="2719" w:type="dxa"/>
            <w:tcBorders>
              <w:top w:val="single" w:sz="2" w:space="0" w:color="000000"/>
              <w:left w:val="single" w:sz="6" w:space="0" w:color="000000"/>
              <w:bottom w:val="single" w:sz="2" w:space="0" w:color="000000"/>
              <w:right w:val="single" w:sz="2" w:space="0" w:color="000000"/>
            </w:tcBorders>
          </w:tcPr>
          <w:p w14:paraId="5CBEB83B"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2" w:space="0" w:color="000000"/>
              <w:left w:val="single" w:sz="2" w:space="0" w:color="000000"/>
              <w:bottom w:val="single" w:sz="2" w:space="0" w:color="000000"/>
              <w:right w:val="none" w:sz="6" w:space="0" w:color="auto"/>
            </w:tcBorders>
          </w:tcPr>
          <w:p w14:paraId="5CBEB83C" w14:textId="77777777" w:rsidR="008A1AA7" w:rsidRPr="008436BB" w:rsidRDefault="008A1AA7" w:rsidP="008436BB">
            <w:pPr>
              <w:spacing w:before="0" w:after="0" w:line="360" w:lineRule="auto"/>
              <w:ind w:left="113"/>
              <w:rPr>
                <w:sz w:val="18"/>
                <w:szCs w:val="18"/>
              </w:rPr>
            </w:pPr>
            <w:r w:rsidRPr="008436BB">
              <w:rPr>
                <w:sz w:val="18"/>
                <w:szCs w:val="18"/>
              </w:rPr>
              <w:t>25</w:t>
            </w:r>
          </w:p>
        </w:tc>
        <w:tc>
          <w:tcPr>
            <w:tcW w:w="1149" w:type="dxa"/>
            <w:gridSpan w:val="2"/>
            <w:tcBorders>
              <w:top w:val="single" w:sz="2" w:space="0" w:color="000000"/>
              <w:left w:val="none" w:sz="6" w:space="0" w:color="auto"/>
              <w:bottom w:val="single" w:sz="2" w:space="0" w:color="000000"/>
              <w:right w:val="single" w:sz="2" w:space="0" w:color="000000"/>
            </w:tcBorders>
          </w:tcPr>
          <w:p w14:paraId="5CBEB83D" w14:textId="77777777" w:rsidR="008A1AA7" w:rsidRPr="008436BB" w:rsidRDefault="008A1AA7" w:rsidP="008436BB">
            <w:pPr>
              <w:spacing w:before="0" w:after="0" w:line="360" w:lineRule="auto"/>
              <w:ind w:left="113"/>
              <w:rPr>
                <w:sz w:val="18"/>
                <w:szCs w:val="18"/>
              </w:rPr>
            </w:pPr>
            <w:r w:rsidRPr="008436BB">
              <w:rPr>
                <w:sz w:val="18"/>
                <w:szCs w:val="18"/>
              </w:rPr>
              <w:t>(100.0)</w:t>
            </w:r>
          </w:p>
        </w:tc>
        <w:tc>
          <w:tcPr>
            <w:tcW w:w="924" w:type="dxa"/>
            <w:tcBorders>
              <w:top w:val="single" w:sz="2" w:space="0" w:color="000000"/>
              <w:left w:val="single" w:sz="2" w:space="0" w:color="000000"/>
              <w:bottom w:val="single" w:sz="2" w:space="0" w:color="000000"/>
              <w:right w:val="none" w:sz="6" w:space="0" w:color="auto"/>
            </w:tcBorders>
          </w:tcPr>
          <w:p w14:paraId="5CBEB83E"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149" w:type="dxa"/>
            <w:gridSpan w:val="2"/>
            <w:tcBorders>
              <w:top w:val="single" w:sz="2" w:space="0" w:color="000000"/>
              <w:left w:val="none" w:sz="6" w:space="0" w:color="auto"/>
              <w:bottom w:val="single" w:sz="2" w:space="0" w:color="000000"/>
              <w:right w:val="single" w:sz="2" w:space="0" w:color="000000"/>
            </w:tcBorders>
          </w:tcPr>
          <w:p w14:paraId="5CBEB83F" w14:textId="77777777" w:rsidR="008A1AA7" w:rsidRPr="008436BB" w:rsidRDefault="008A1AA7" w:rsidP="008436BB">
            <w:pPr>
              <w:spacing w:before="0" w:after="0" w:line="360" w:lineRule="auto"/>
              <w:ind w:left="113"/>
              <w:rPr>
                <w:sz w:val="18"/>
                <w:szCs w:val="18"/>
              </w:rPr>
            </w:pPr>
            <w:r w:rsidRPr="008436BB">
              <w:rPr>
                <w:sz w:val="18"/>
                <w:szCs w:val="18"/>
              </w:rPr>
              <w:t>(100.0)</w:t>
            </w:r>
          </w:p>
        </w:tc>
        <w:tc>
          <w:tcPr>
            <w:tcW w:w="924" w:type="dxa"/>
            <w:tcBorders>
              <w:top w:val="single" w:sz="2" w:space="0" w:color="000000"/>
              <w:left w:val="single" w:sz="2" w:space="0" w:color="000000"/>
              <w:bottom w:val="single" w:sz="2" w:space="0" w:color="000000"/>
              <w:right w:val="none" w:sz="6" w:space="0" w:color="auto"/>
            </w:tcBorders>
          </w:tcPr>
          <w:p w14:paraId="5CBEB840" w14:textId="77777777" w:rsidR="008A1AA7" w:rsidRPr="008436BB" w:rsidRDefault="008A1AA7" w:rsidP="008436BB">
            <w:pPr>
              <w:spacing w:before="0" w:after="0" w:line="360" w:lineRule="auto"/>
              <w:ind w:left="113"/>
              <w:rPr>
                <w:sz w:val="18"/>
                <w:szCs w:val="18"/>
              </w:rPr>
            </w:pPr>
            <w:r w:rsidRPr="008436BB">
              <w:rPr>
                <w:sz w:val="18"/>
                <w:szCs w:val="18"/>
              </w:rPr>
              <w:t>60</w:t>
            </w:r>
          </w:p>
        </w:tc>
        <w:tc>
          <w:tcPr>
            <w:tcW w:w="1000" w:type="dxa"/>
            <w:gridSpan w:val="2"/>
            <w:tcBorders>
              <w:top w:val="single" w:sz="2" w:space="0" w:color="000000"/>
              <w:left w:val="none" w:sz="6" w:space="0" w:color="auto"/>
              <w:bottom w:val="single" w:sz="2" w:space="0" w:color="000000"/>
              <w:right w:val="single" w:sz="6" w:space="0" w:color="000000"/>
            </w:tcBorders>
          </w:tcPr>
          <w:p w14:paraId="5CBEB841" w14:textId="77777777" w:rsidR="008A1AA7" w:rsidRPr="008436BB" w:rsidRDefault="008A1AA7" w:rsidP="008436BB">
            <w:pPr>
              <w:spacing w:before="0" w:after="0" w:line="360" w:lineRule="auto"/>
              <w:ind w:left="113"/>
              <w:rPr>
                <w:sz w:val="18"/>
                <w:szCs w:val="18"/>
              </w:rPr>
            </w:pPr>
            <w:r w:rsidRPr="008436BB">
              <w:rPr>
                <w:sz w:val="18"/>
                <w:szCs w:val="18"/>
              </w:rPr>
              <w:t>(100.0)</w:t>
            </w:r>
          </w:p>
        </w:tc>
      </w:tr>
      <w:tr w:rsidR="008A1AA7" w:rsidRPr="008436BB" w14:paraId="5CBEB844"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843" w14:textId="77777777" w:rsidR="008A1AA7" w:rsidRPr="008436BB" w:rsidRDefault="008A1AA7" w:rsidP="008436BB">
            <w:pPr>
              <w:spacing w:before="0" w:after="0" w:line="360" w:lineRule="auto"/>
              <w:ind w:left="113"/>
              <w:rPr>
                <w:b/>
                <w:bCs/>
                <w:sz w:val="18"/>
                <w:szCs w:val="18"/>
              </w:rPr>
            </w:pPr>
            <w:r w:rsidRPr="008436BB">
              <w:rPr>
                <w:b/>
                <w:bCs/>
                <w:sz w:val="18"/>
                <w:szCs w:val="18"/>
              </w:rPr>
              <w:t>Time of relapse since SCT failure Group</w:t>
            </w:r>
          </w:p>
        </w:tc>
      </w:tr>
      <w:tr w:rsidR="008A1AA7" w:rsidRPr="008436BB" w14:paraId="5CBEB84C"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845" w14:textId="77777777" w:rsidR="008A1AA7" w:rsidRPr="008436BB" w:rsidRDefault="008A1AA7" w:rsidP="008436BB">
            <w:pPr>
              <w:spacing w:before="0" w:after="0" w:line="360" w:lineRule="auto"/>
              <w:ind w:left="113"/>
              <w:rPr>
                <w:sz w:val="18"/>
                <w:szCs w:val="18"/>
              </w:rPr>
            </w:pPr>
            <w:r w:rsidRPr="008436BB">
              <w:rPr>
                <w:sz w:val="18"/>
                <w:szCs w:val="18"/>
              </w:rPr>
              <w:lastRenderedPageBreak/>
              <w:t>&gt;=12 months</w:t>
            </w:r>
          </w:p>
        </w:tc>
        <w:tc>
          <w:tcPr>
            <w:tcW w:w="924" w:type="dxa"/>
            <w:tcBorders>
              <w:top w:val="single" w:sz="2" w:space="0" w:color="000000"/>
              <w:left w:val="single" w:sz="2" w:space="0" w:color="000000"/>
              <w:bottom w:val="none" w:sz="6" w:space="0" w:color="auto"/>
              <w:right w:val="none" w:sz="6" w:space="0" w:color="auto"/>
            </w:tcBorders>
          </w:tcPr>
          <w:p w14:paraId="5CBEB846"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49" w:type="dxa"/>
            <w:gridSpan w:val="2"/>
            <w:tcBorders>
              <w:top w:val="single" w:sz="2" w:space="0" w:color="000000"/>
              <w:left w:val="none" w:sz="6" w:space="0" w:color="auto"/>
              <w:bottom w:val="none" w:sz="6" w:space="0" w:color="auto"/>
              <w:right w:val="single" w:sz="2" w:space="0" w:color="000000"/>
            </w:tcBorders>
          </w:tcPr>
          <w:p w14:paraId="5CBEB847" w14:textId="77777777" w:rsidR="008A1AA7" w:rsidRPr="008436BB" w:rsidRDefault="008A1AA7" w:rsidP="008436BB">
            <w:pPr>
              <w:spacing w:before="0" w:after="0" w:line="360" w:lineRule="auto"/>
              <w:ind w:left="113"/>
              <w:rPr>
                <w:sz w:val="18"/>
                <w:szCs w:val="18"/>
              </w:rPr>
            </w:pPr>
            <w:r w:rsidRPr="008436BB">
              <w:rPr>
                <w:sz w:val="18"/>
                <w:szCs w:val="18"/>
              </w:rPr>
              <w:t>(4.0)</w:t>
            </w:r>
          </w:p>
        </w:tc>
        <w:tc>
          <w:tcPr>
            <w:tcW w:w="924" w:type="dxa"/>
            <w:tcBorders>
              <w:top w:val="single" w:sz="2" w:space="0" w:color="000000"/>
              <w:left w:val="single" w:sz="2" w:space="0" w:color="000000"/>
              <w:bottom w:val="none" w:sz="6" w:space="0" w:color="auto"/>
              <w:right w:val="none" w:sz="6" w:space="0" w:color="auto"/>
            </w:tcBorders>
          </w:tcPr>
          <w:p w14:paraId="5CBEB848" w14:textId="77777777" w:rsidR="008A1AA7" w:rsidRPr="008436BB" w:rsidRDefault="008A1AA7" w:rsidP="008436BB">
            <w:pPr>
              <w:spacing w:before="0" w:after="0" w:line="360" w:lineRule="auto"/>
              <w:ind w:left="113"/>
              <w:rPr>
                <w:sz w:val="18"/>
                <w:szCs w:val="18"/>
              </w:rPr>
            </w:pPr>
            <w:r w:rsidRPr="008436BB">
              <w:rPr>
                <w:sz w:val="18"/>
                <w:szCs w:val="18"/>
              </w:rPr>
              <w:t>6</w:t>
            </w:r>
          </w:p>
        </w:tc>
        <w:tc>
          <w:tcPr>
            <w:tcW w:w="1149" w:type="dxa"/>
            <w:gridSpan w:val="2"/>
            <w:tcBorders>
              <w:top w:val="single" w:sz="2" w:space="0" w:color="000000"/>
              <w:left w:val="none" w:sz="6" w:space="0" w:color="auto"/>
              <w:bottom w:val="none" w:sz="6" w:space="0" w:color="auto"/>
              <w:right w:val="single" w:sz="2" w:space="0" w:color="000000"/>
            </w:tcBorders>
          </w:tcPr>
          <w:p w14:paraId="5CBEB849" w14:textId="77777777" w:rsidR="008A1AA7" w:rsidRPr="008436BB" w:rsidRDefault="008A1AA7" w:rsidP="008436BB">
            <w:pPr>
              <w:spacing w:before="0" w:after="0" w:line="360" w:lineRule="auto"/>
              <w:ind w:left="113"/>
              <w:rPr>
                <w:sz w:val="18"/>
                <w:szCs w:val="18"/>
              </w:rPr>
            </w:pPr>
            <w:r w:rsidRPr="008436BB">
              <w:rPr>
                <w:sz w:val="18"/>
                <w:szCs w:val="18"/>
              </w:rPr>
              <w:t>(17.1)</w:t>
            </w:r>
          </w:p>
        </w:tc>
        <w:tc>
          <w:tcPr>
            <w:tcW w:w="924" w:type="dxa"/>
            <w:tcBorders>
              <w:top w:val="single" w:sz="2" w:space="0" w:color="000000"/>
              <w:left w:val="single" w:sz="2" w:space="0" w:color="000000"/>
              <w:bottom w:val="none" w:sz="6" w:space="0" w:color="auto"/>
              <w:right w:val="none" w:sz="6" w:space="0" w:color="auto"/>
            </w:tcBorders>
          </w:tcPr>
          <w:p w14:paraId="5CBEB84A" w14:textId="77777777" w:rsidR="008A1AA7" w:rsidRPr="008436BB" w:rsidRDefault="008A1AA7" w:rsidP="008436BB">
            <w:pPr>
              <w:spacing w:before="0" w:after="0" w:line="360" w:lineRule="auto"/>
              <w:ind w:left="113"/>
              <w:rPr>
                <w:sz w:val="18"/>
                <w:szCs w:val="18"/>
              </w:rPr>
            </w:pPr>
            <w:r w:rsidRPr="008436BB">
              <w:rPr>
                <w:sz w:val="18"/>
                <w:szCs w:val="18"/>
              </w:rPr>
              <w:t>7</w:t>
            </w:r>
          </w:p>
        </w:tc>
        <w:tc>
          <w:tcPr>
            <w:tcW w:w="1000" w:type="dxa"/>
            <w:gridSpan w:val="2"/>
            <w:tcBorders>
              <w:top w:val="single" w:sz="2" w:space="0" w:color="000000"/>
              <w:left w:val="none" w:sz="6" w:space="0" w:color="auto"/>
              <w:bottom w:val="none" w:sz="6" w:space="0" w:color="auto"/>
              <w:right w:val="single" w:sz="6" w:space="0" w:color="000000"/>
            </w:tcBorders>
          </w:tcPr>
          <w:p w14:paraId="5CBEB84B" w14:textId="77777777" w:rsidR="008A1AA7" w:rsidRPr="008436BB" w:rsidRDefault="008A1AA7" w:rsidP="008436BB">
            <w:pPr>
              <w:spacing w:before="0" w:after="0" w:line="360" w:lineRule="auto"/>
              <w:ind w:left="113"/>
              <w:rPr>
                <w:sz w:val="18"/>
                <w:szCs w:val="18"/>
              </w:rPr>
            </w:pPr>
            <w:r w:rsidRPr="008436BB">
              <w:rPr>
                <w:sz w:val="18"/>
                <w:szCs w:val="18"/>
              </w:rPr>
              <w:t>(11.7)</w:t>
            </w:r>
          </w:p>
        </w:tc>
      </w:tr>
      <w:tr w:rsidR="008A1AA7" w:rsidRPr="008436BB" w14:paraId="5CBEB854"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84D" w14:textId="77777777" w:rsidR="008A1AA7" w:rsidRPr="008436BB" w:rsidRDefault="008A1AA7" w:rsidP="008436BB">
            <w:pPr>
              <w:spacing w:before="0" w:after="0" w:line="360" w:lineRule="auto"/>
              <w:ind w:left="113"/>
              <w:rPr>
                <w:sz w:val="18"/>
                <w:szCs w:val="18"/>
              </w:rPr>
            </w:pPr>
            <w:r w:rsidRPr="008436BB">
              <w:rPr>
                <w:sz w:val="18"/>
                <w:szCs w:val="18"/>
              </w:rPr>
              <w:t>&lt;12 months</w:t>
            </w:r>
          </w:p>
        </w:tc>
        <w:tc>
          <w:tcPr>
            <w:tcW w:w="924" w:type="dxa"/>
            <w:tcBorders>
              <w:top w:val="none" w:sz="6" w:space="0" w:color="auto"/>
              <w:left w:val="single" w:sz="2" w:space="0" w:color="000000"/>
              <w:bottom w:val="single" w:sz="2" w:space="0" w:color="000000"/>
              <w:right w:val="none" w:sz="6" w:space="0" w:color="auto"/>
            </w:tcBorders>
          </w:tcPr>
          <w:p w14:paraId="5CBEB84E" w14:textId="77777777" w:rsidR="008A1AA7" w:rsidRPr="008436BB" w:rsidRDefault="008A1AA7" w:rsidP="008436BB">
            <w:pPr>
              <w:spacing w:before="0" w:after="0" w:line="360" w:lineRule="auto"/>
              <w:ind w:left="113"/>
              <w:rPr>
                <w:sz w:val="18"/>
                <w:szCs w:val="18"/>
              </w:rPr>
            </w:pPr>
            <w:r w:rsidRPr="008436BB">
              <w:rPr>
                <w:sz w:val="18"/>
                <w:szCs w:val="18"/>
              </w:rPr>
              <w:t>24</w:t>
            </w:r>
          </w:p>
        </w:tc>
        <w:tc>
          <w:tcPr>
            <w:tcW w:w="1149" w:type="dxa"/>
            <w:gridSpan w:val="2"/>
            <w:tcBorders>
              <w:top w:val="none" w:sz="6" w:space="0" w:color="auto"/>
              <w:left w:val="none" w:sz="6" w:space="0" w:color="auto"/>
              <w:bottom w:val="single" w:sz="2" w:space="0" w:color="000000"/>
              <w:right w:val="single" w:sz="2" w:space="0" w:color="000000"/>
            </w:tcBorders>
          </w:tcPr>
          <w:p w14:paraId="5CBEB84F" w14:textId="77777777" w:rsidR="008A1AA7" w:rsidRPr="008436BB" w:rsidRDefault="008A1AA7" w:rsidP="008436BB">
            <w:pPr>
              <w:spacing w:before="0" w:after="0" w:line="360" w:lineRule="auto"/>
              <w:ind w:left="113"/>
              <w:rPr>
                <w:sz w:val="18"/>
                <w:szCs w:val="18"/>
              </w:rPr>
            </w:pPr>
            <w:r w:rsidRPr="008436BB">
              <w:rPr>
                <w:sz w:val="18"/>
                <w:szCs w:val="18"/>
              </w:rPr>
              <w:t>(96.0)</w:t>
            </w:r>
          </w:p>
        </w:tc>
        <w:tc>
          <w:tcPr>
            <w:tcW w:w="924" w:type="dxa"/>
            <w:tcBorders>
              <w:top w:val="none" w:sz="6" w:space="0" w:color="auto"/>
              <w:left w:val="single" w:sz="2" w:space="0" w:color="000000"/>
              <w:bottom w:val="single" w:sz="2" w:space="0" w:color="000000"/>
              <w:right w:val="none" w:sz="6" w:space="0" w:color="auto"/>
            </w:tcBorders>
          </w:tcPr>
          <w:p w14:paraId="5CBEB850"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1149" w:type="dxa"/>
            <w:gridSpan w:val="2"/>
            <w:tcBorders>
              <w:top w:val="none" w:sz="6" w:space="0" w:color="auto"/>
              <w:left w:val="none" w:sz="6" w:space="0" w:color="auto"/>
              <w:bottom w:val="single" w:sz="2" w:space="0" w:color="000000"/>
              <w:right w:val="single" w:sz="2" w:space="0" w:color="000000"/>
            </w:tcBorders>
          </w:tcPr>
          <w:p w14:paraId="5CBEB851" w14:textId="77777777" w:rsidR="008A1AA7" w:rsidRPr="008436BB" w:rsidRDefault="008A1AA7" w:rsidP="008436BB">
            <w:pPr>
              <w:spacing w:before="0" w:after="0" w:line="360" w:lineRule="auto"/>
              <w:ind w:left="113"/>
              <w:rPr>
                <w:sz w:val="18"/>
                <w:szCs w:val="18"/>
              </w:rPr>
            </w:pPr>
            <w:r w:rsidRPr="008436BB">
              <w:rPr>
                <w:sz w:val="18"/>
                <w:szCs w:val="18"/>
              </w:rPr>
              <w:t>(82.9)</w:t>
            </w:r>
          </w:p>
        </w:tc>
        <w:tc>
          <w:tcPr>
            <w:tcW w:w="924" w:type="dxa"/>
            <w:tcBorders>
              <w:top w:val="none" w:sz="6" w:space="0" w:color="auto"/>
              <w:left w:val="single" w:sz="2" w:space="0" w:color="000000"/>
              <w:bottom w:val="single" w:sz="2" w:space="0" w:color="000000"/>
              <w:right w:val="none" w:sz="6" w:space="0" w:color="auto"/>
            </w:tcBorders>
          </w:tcPr>
          <w:p w14:paraId="5CBEB852" w14:textId="77777777" w:rsidR="008A1AA7" w:rsidRPr="008436BB" w:rsidRDefault="008A1AA7" w:rsidP="008436BB">
            <w:pPr>
              <w:spacing w:before="0" w:after="0" w:line="360" w:lineRule="auto"/>
              <w:ind w:left="113"/>
              <w:rPr>
                <w:sz w:val="18"/>
                <w:szCs w:val="18"/>
              </w:rPr>
            </w:pPr>
            <w:r w:rsidRPr="008436BB">
              <w:rPr>
                <w:sz w:val="18"/>
                <w:szCs w:val="18"/>
              </w:rPr>
              <w:t>53</w:t>
            </w:r>
          </w:p>
        </w:tc>
        <w:tc>
          <w:tcPr>
            <w:tcW w:w="1000" w:type="dxa"/>
            <w:gridSpan w:val="2"/>
            <w:tcBorders>
              <w:top w:val="none" w:sz="6" w:space="0" w:color="auto"/>
              <w:left w:val="none" w:sz="6" w:space="0" w:color="auto"/>
              <w:bottom w:val="single" w:sz="2" w:space="0" w:color="000000"/>
              <w:right w:val="single" w:sz="6" w:space="0" w:color="000000"/>
            </w:tcBorders>
          </w:tcPr>
          <w:p w14:paraId="5CBEB853" w14:textId="77777777" w:rsidR="008A1AA7" w:rsidRPr="008436BB" w:rsidRDefault="008A1AA7" w:rsidP="008436BB">
            <w:pPr>
              <w:spacing w:before="0" w:after="0" w:line="360" w:lineRule="auto"/>
              <w:ind w:left="113"/>
              <w:rPr>
                <w:sz w:val="18"/>
                <w:szCs w:val="18"/>
              </w:rPr>
            </w:pPr>
            <w:r w:rsidRPr="008436BB">
              <w:rPr>
                <w:sz w:val="18"/>
                <w:szCs w:val="18"/>
              </w:rPr>
              <w:t>(88.3)</w:t>
            </w:r>
          </w:p>
        </w:tc>
      </w:tr>
      <w:tr w:rsidR="008A1AA7" w:rsidRPr="008436BB" w14:paraId="5CBEB856"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855" w14:textId="77777777" w:rsidR="008A1AA7" w:rsidRPr="008436BB" w:rsidRDefault="008A1AA7" w:rsidP="008436BB">
            <w:pPr>
              <w:spacing w:before="0" w:after="0" w:line="360" w:lineRule="auto"/>
              <w:ind w:left="113"/>
              <w:rPr>
                <w:b/>
                <w:bCs/>
                <w:sz w:val="18"/>
                <w:szCs w:val="18"/>
              </w:rPr>
            </w:pPr>
            <w:r w:rsidRPr="008436BB">
              <w:rPr>
                <w:b/>
                <w:bCs/>
                <w:sz w:val="18"/>
                <w:szCs w:val="18"/>
              </w:rPr>
              <w:t>Time of relapse since SCT failure (Months)</w:t>
            </w:r>
          </w:p>
        </w:tc>
      </w:tr>
      <w:tr w:rsidR="008A1AA7" w:rsidRPr="008436BB" w14:paraId="5CBEB85E" w14:textId="77777777" w:rsidTr="00D92572">
        <w:trPr>
          <w:trHeight w:val="213"/>
        </w:trPr>
        <w:tc>
          <w:tcPr>
            <w:tcW w:w="2719" w:type="dxa"/>
            <w:tcBorders>
              <w:top w:val="single" w:sz="2" w:space="0" w:color="000000"/>
              <w:left w:val="single" w:sz="6" w:space="0" w:color="000000"/>
              <w:bottom w:val="none" w:sz="6" w:space="0" w:color="auto"/>
              <w:right w:val="single" w:sz="2" w:space="0" w:color="000000"/>
            </w:tcBorders>
          </w:tcPr>
          <w:p w14:paraId="5CBEB857" w14:textId="77777777" w:rsidR="008A1AA7" w:rsidRPr="008436BB" w:rsidRDefault="008A1AA7" w:rsidP="008436BB">
            <w:pPr>
              <w:spacing w:before="0" w:after="0" w:line="360" w:lineRule="auto"/>
              <w:ind w:left="113"/>
              <w:rPr>
                <w:sz w:val="18"/>
                <w:szCs w:val="18"/>
              </w:rPr>
            </w:pPr>
            <w:r w:rsidRPr="008436BB">
              <w:rPr>
                <w:sz w:val="18"/>
                <w:szCs w:val="18"/>
              </w:rPr>
              <w:t>Subjects with data</w:t>
            </w:r>
          </w:p>
        </w:tc>
        <w:tc>
          <w:tcPr>
            <w:tcW w:w="924" w:type="dxa"/>
            <w:tcBorders>
              <w:top w:val="single" w:sz="2" w:space="0" w:color="000000"/>
              <w:left w:val="single" w:sz="2" w:space="0" w:color="000000"/>
              <w:bottom w:val="none" w:sz="6" w:space="0" w:color="auto"/>
              <w:right w:val="none" w:sz="6" w:space="0" w:color="auto"/>
            </w:tcBorders>
          </w:tcPr>
          <w:p w14:paraId="5CBEB858" w14:textId="77777777" w:rsidR="008A1AA7" w:rsidRPr="008436BB" w:rsidRDefault="008A1AA7" w:rsidP="008436BB">
            <w:pPr>
              <w:spacing w:before="0" w:after="0" w:line="360" w:lineRule="auto"/>
              <w:ind w:left="113"/>
              <w:rPr>
                <w:sz w:val="18"/>
                <w:szCs w:val="18"/>
              </w:rPr>
            </w:pPr>
            <w:r w:rsidRPr="008436BB">
              <w:rPr>
                <w:sz w:val="18"/>
                <w:szCs w:val="18"/>
              </w:rPr>
              <w:t>25</w:t>
            </w:r>
          </w:p>
        </w:tc>
        <w:tc>
          <w:tcPr>
            <w:tcW w:w="1149" w:type="dxa"/>
            <w:gridSpan w:val="2"/>
            <w:tcBorders>
              <w:top w:val="single" w:sz="2" w:space="0" w:color="000000"/>
              <w:left w:val="none" w:sz="6" w:space="0" w:color="auto"/>
              <w:bottom w:val="none" w:sz="6" w:space="0" w:color="auto"/>
              <w:right w:val="single" w:sz="2" w:space="0" w:color="000000"/>
            </w:tcBorders>
          </w:tcPr>
          <w:p w14:paraId="5CBEB859" w14:textId="77777777" w:rsidR="008A1AA7" w:rsidRPr="008436BB" w:rsidRDefault="008A1AA7" w:rsidP="008436BB">
            <w:pPr>
              <w:spacing w:before="0" w:after="0" w:line="360" w:lineRule="auto"/>
              <w:ind w:left="113"/>
              <w:rPr>
                <w:sz w:val="18"/>
                <w:szCs w:val="18"/>
              </w:rPr>
            </w:pPr>
          </w:p>
        </w:tc>
        <w:tc>
          <w:tcPr>
            <w:tcW w:w="924" w:type="dxa"/>
            <w:tcBorders>
              <w:top w:val="single" w:sz="2" w:space="0" w:color="000000"/>
              <w:left w:val="single" w:sz="2" w:space="0" w:color="000000"/>
              <w:bottom w:val="none" w:sz="6" w:space="0" w:color="auto"/>
              <w:right w:val="none" w:sz="6" w:space="0" w:color="auto"/>
            </w:tcBorders>
          </w:tcPr>
          <w:p w14:paraId="5CBEB85A" w14:textId="77777777" w:rsidR="008A1AA7" w:rsidRPr="008436BB" w:rsidRDefault="008A1AA7" w:rsidP="008436BB">
            <w:pPr>
              <w:spacing w:before="0" w:after="0" w:line="360" w:lineRule="auto"/>
              <w:ind w:left="113"/>
              <w:rPr>
                <w:sz w:val="18"/>
                <w:szCs w:val="18"/>
              </w:rPr>
            </w:pPr>
            <w:r w:rsidRPr="008436BB">
              <w:rPr>
                <w:sz w:val="18"/>
                <w:szCs w:val="18"/>
              </w:rPr>
              <w:t>35</w:t>
            </w:r>
          </w:p>
        </w:tc>
        <w:tc>
          <w:tcPr>
            <w:tcW w:w="1149" w:type="dxa"/>
            <w:gridSpan w:val="2"/>
            <w:tcBorders>
              <w:top w:val="single" w:sz="2" w:space="0" w:color="000000"/>
              <w:left w:val="none" w:sz="6" w:space="0" w:color="auto"/>
              <w:bottom w:val="none" w:sz="6" w:space="0" w:color="auto"/>
              <w:right w:val="single" w:sz="2" w:space="0" w:color="000000"/>
            </w:tcBorders>
          </w:tcPr>
          <w:p w14:paraId="5CBEB85B" w14:textId="77777777" w:rsidR="008A1AA7" w:rsidRPr="008436BB" w:rsidRDefault="008A1AA7" w:rsidP="008436BB">
            <w:pPr>
              <w:spacing w:before="0" w:after="0" w:line="360" w:lineRule="auto"/>
              <w:ind w:left="113"/>
              <w:rPr>
                <w:sz w:val="18"/>
                <w:szCs w:val="18"/>
              </w:rPr>
            </w:pPr>
          </w:p>
        </w:tc>
        <w:tc>
          <w:tcPr>
            <w:tcW w:w="924" w:type="dxa"/>
            <w:tcBorders>
              <w:top w:val="single" w:sz="2" w:space="0" w:color="000000"/>
              <w:left w:val="single" w:sz="2" w:space="0" w:color="000000"/>
              <w:bottom w:val="none" w:sz="6" w:space="0" w:color="auto"/>
              <w:right w:val="none" w:sz="6" w:space="0" w:color="auto"/>
            </w:tcBorders>
          </w:tcPr>
          <w:p w14:paraId="5CBEB85C" w14:textId="77777777" w:rsidR="008A1AA7" w:rsidRPr="008436BB" w:rsidRDefault="008A1AA7" w:rsidP="008436BB">
            <w:pPr>
              <w:spacing w:before="0" w:after="0" w:line="360" w:lineRule="auto"/>
              <w:ind w:left="113"/>
              <w:rPr>
                <w:sz w:val="18"/>
                <w:szCs w:val="18"/>
              </w:rPr>
            </w:pPr>
            <w:r w:rsidRPr="008436BB">
              <w:rPr>
                <w:sz w:val="18"/>
                <w:szCs w:val="18"/>
              </w:rPr>
              <w:t>60</w:t>
            </w:r>
          </w:p>
        </w:tc>
        <w:tc>
          <w:tcPr>
            <w:tcW w:w="1000" w:type="dxa"/>
            <w:gridSpan w:val="2"/>
            <w:tcBorders>
              <w:top w:val="single" w:sz="2" w:space="0" w:color="000000"/>
              <w:left w:val="none" w:sz="6" w:space="0" w:color="auto"/>
              <w:bottom w:val="none" w:sz="6" w:space="0" w:color="auto"/>
              <w:right w:val="single" w:sz="6" w:space="0" w:color="000000"/>
            </w:tcBorders>
          </w:tcPr>
          <w:p w14:paraId="5CBEB85D" w14:textId="77777777" w:rsidR="008A1AA7" w:rsidRPr="008436BB" w:rsidRDefault="008A1AA7" w:rsidP="008436BB">
            <w:pPr>
              <w:spacing w:before="0" w:after="0" w:line="360" w:lineRule="auto"/>
              <w:ind w:left="113"/>
              <w:rPr>
                <w:sz w:val="18"/>
                <w:szCs w:val="18"/>
              </w:rPr>
            </w:pPr>
          </w:p>
        </w:tc>
      </w:tr>
      <w:tr w:rsidR="008A1AA7" w:rsidRPr="008436BB" w14:paraId="5CBEB866" w14:textId="77777777"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85F" w14:textId="77777777" w:rsidR="008A1AA7" w:rsidRPr="008436BB" w:rsidRDefault="008A1AA7" w:rsidP="008436BB">
            <w:pPr>
              <w:spacing w:before="0" w:after="0" w:line="360" w:lineRule="auto"/>
              <w:ind w:left="113"/>
              <w:rPr>
                <w:sz w:val="18"/>
                <w:szCs w:val="18"/>
              </w:rPr>
            </w:pPr>
            <w:r w:rsidRPr="008436BB">
              <w:rPr>
                <w:sz w:val="18"/>
                <w:szCs w:val="18"/>
              </w:rPr>
              <w:t>Mean</w:t>
            </w:r>
          </w:p>
        </w:tc>
        <w:tc>
          <w:tcPr>
            <w:tcW w:w="924" w:type="dxa"/>
            <w:tcBorders>
              <w:top w:val="none" w:sz="6" w:space="0" w:color="auto"/>
              <w:left w:val="single" w:sz="2" w:space="0" w:color="000000"/>
              <w:bottom w:val="none" w:sz="6" w:space="0" w:color="auto"/>
              <w:right w:val="none" w:sz="6" w:space="0" w:color="auto"/>
            </w:tcBorders>
          </w:tcPr>
          <w:p w14:paraId="5CBEB860" w14:textId="77777777" w:rsidR="008A1AA7" w:rsidRPr="008436BB" w:rsidRDefault="008A1AA7" w:rsidP="008436BB">
            <w:pPr>
              <w:spacing w:before="0" w:after="0" w:line="360" w:lineRule="auto"/>
              <w:ind w:left="113"/>
              <w:rPr>
                <w:sz w:val="18"/>
                <w:szCs w:val="18"/>
              </w:rPr>
            </w:pPr>
            <w:r w:rsidRPr="008436BB">
              <w:rPr>
                <w:sz w:val="18"/>
                <w:szCs w:val="18"/>
              </w:rPr>
              <w:t>3.2</w:t>
            </w:r>
          </w:p>
        </w:tc>
        <w:tc>
          <w:tcPr>
            <w:tcW w:w="1149" w:type="dxa"/>
            <w:gridSpan w:val="2"/>
            <w:tcBorders>
              <w:top w:val="none" w:sz="6" w:space="0" w:color="auto"/>
              <w:left w:val="none" w:sz="6" w:space="0" w:color="auto"/>
              <w:bottom w:val="none" w:sz="6" w:space="0" w:color="auto"/>
              <w:right w:val="single" w:sz="2" w:space="0" w:color="000000"/>
            </w:tcBorders>
          </w:tcPr>
          <w:p w14:paraId="5CBEB861"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62" w14:textId="77777777" w:rsidR="008A1AA7" w:rsidRPr="008436BB" w:rsidRDefault="008A1AA7" w:rsidP="008436BB">
            <w:pPr>
              <w:spacing w:before="0" w:after="0" w:line="360" w:lineRule="auto"/>
              <w:ind w:left="113"/>
              <w:rPr>
                <w:sz w:val="18"/>
                <w:szCs w:val="18"/>
              </w:rPr>
            </w:pPr>
            <w:r w:rsidRPr="008436BB">
              <w:rPr>
                <w:sz w:val="18"/>
                <w:szCs w:val="18"/>
              </w:rPr>
              <w:t>8.6</w:t>
            </w:r>
          </w:p>
        </w:tc>
        <w:tc>
          <w:tcPr>
            <w:tcW w:w="1149" w:type="dxa"/>
            <w:gridSpan w:val="2"/>
            <w:tcBorders>
              <w:top w:val="none" w:sz="6" w:space="0" w:color="auto"/>
              <w:left w:val="none" w:sz="6" w:space="0" w:color="auto"/>
              <w:bottom w:val="none" w:sz="6" w:space="0" w:color="auto"/>
              <w:right w:val="single" w:sz="2" w:space="0" w:color="000000"/>
            </w:tcBorders>
          </w:tcPr>
          <w:p w14:paraId="5CBEB863"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64" w14:textId="77777777" w:rsidR="008A1AA7" w:rsidRPr="008436BB" w:rsidRDefault="008A1AA7" w:rsidP="008436BB">
            <w:pPr>
              <w:spacing w:before="0" w:after="0" w:line="360" w:lineRule="auto"/>
              <w:ind w:left="113"/>
              <w:rPr>
                <w:sz w:val="18"/>
                <w:szCs w:val="18"/>
              </w:rPr>
            </w:pPr>
            <w:r w:rsidRPr="008436BB">
              <w:rPr>
                <w:sz w:val="18"/>
                <w:szCs w:val="18"/>
              </w:rPr>
              <w:t>6.3</w:t>
            </w:r>
          </w:p>
        </w:tc>
        <w:tc>
          <w:tcPr>
            <w:tcW w:w="1000" w:type="dxa"/>
            <w:gridSpan w:val="2"/>
            <w:tcBorders>
              <w:top w:val="none" w:sz="6" w:space="0" w:color="auto"/>
              <w:left w:val="none" w:sz="6" w:space="0" w:color="auto"/>
              <w:bottom w:val="none" w:sz="6" w:space="0" w:color="auto"/>
              <w:right w:val="single" w:sz="6" w:space="0" w:color="000000"/>
            </w:tcBorders>
          </w:tcPr>
          <w:p w14:paraId="5CBEB865" w14:textId="77777777" w:rsidR="008A1AA7" w:rsidRPr="008436BB" w:rsidRDefault="008A1AA7" w:rsidP="008436BB">
            <w:pPr>
              <w:spacing w:before="0" w:after="0" w:line="360" w:lineRule="auto"/>
              <w:ind w:left="113"/>
              <w:rPr>
                <w:sz w:val="18"/>
                <w:szCs w:val="18"/>
              </w:rPr>
            </w:pPr>
          </w:p>
        </w:tc>
      </w:tr>
      <w:tr w:rsidR="008A1AA7" w:rsidRPr="008436BB" w14:paraId="5CBEB86E" w14:textId="77777777" w:rsidTr="00D92572">
        <w:trPr>
          <w:trHeight w:val="213"/>
        </w:trPr>
        <w:tc>
          <w:tcPr>
            <w:tcW w:w="2719" w:type="dxa"/>
            <w:tcBorders>
              <w:top w:val="none" w:sz="6" w:space="0" w:color="auto"/>
              <w:left w:val="single" w:sz="6" w:space="0" w:color="000000"/>
              <w:bottom w:val="none" w:sz="6" w:space="0" w:color="auto"/>
              <w:right w:val="single" w:sz="2" w:space="0" w:color="000000"/>
            </w:tcBorders>
          </w:tcPr>
          <w:p w14:paraId="5CBEB867" w14:textId="77777777" w:rsidR="008A1AA7" w:rsidRPr="008436BB" w:rsidRDefault="008A1AA7" w:rsidP="008436BB">
            <w:pPr>
              <w:spacing w:before="0" w:after="0" w:line="360" w:lineRule="auto"/>
              <w:ind w:left="113"/>
              <w:rPr>
                <w:sz w:val="18"/>
                <w:szCs w:val="18"/>
              </w:rPr>
            </w:pPr>
            <w:r w:rsidRPr="008436BB">
              <w:rPr>
                <w:sz w:val="18"/>
                <w:szCs w:val="18"/>
              </w:rPr>
              <w:t>SD</w:t>
            </w:r>
          </w:p>
        </w:tc>
        <w:tc>
          <w:tcPr>
            <w:tcW w:w="924" w:type="dxa"/>
            <w:tcBorders>
              <w:top w:val="none" w:sz="6" w:space="0" w:color="auto"/>
              <w:left w:val="single" w:sz="2" w:space="0" w:color="000000"/>
              <w:bottom w:val="none" w:sz="6" w:space="0" w:color="auto"/>
              <w:right w:val="none" w:sz="6" w:space="0" w:color="auto"/>
            </w:tcBorders>
          </w:tcPr>
          <w:p w14:paraId="5CBEB868" w14:textId="77777777" w:rsidR="008A1AA7" w:rsidRPr="008436BB" w:rsidRDefault="008A1AA7" w:rsidP="008436BB">
            <w:pPr>
              <w:spacing w:before="0" w:after="0" w:line="360" w:lineRule="auto"/>
              <w:ind w:left="113"/>
              <w:rPr>
                <w:sz w:val="18"/>
                <w:szCs w:val="18"/>
              </w:rPr>
            </w:pPr>
            <w:r w:rsidRPr="008436BB">
              <w:rPr>
                <w:sz w:val="18"/>
                <w:szCs w:val="18"/>
              </w:rPr>
              <w:t>3.6</w:t>
            </w:r>
          </w:p>
        </w:tc>
        <w:tc>
          <w:tcPr>
            <w:tcW w:w="1149" w:type="dxa"/>
            <w:gridSpan w:val="2"/>
            <w:tcBorders>
              <w:top w:val="none" w:sz="6" w:space="0" w:color="auto"/>
              <w:left w:val="none" w:sz="6" w:space="0" w:color="auto"/>
              <w:bottom w:val="none" w:sz="6" w:space="0" w:color="auto"/>
              <w:right w:val="single" w:sz="2" w:space="0" w:color="000000"/>
            </w:tcBorders>
          </w:tcPr>
          <w:p w14:paraId="5CBEB869"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6A" w14:textId="77777777" w:rsidR="008A1AA7" w:rsidRPr="008436BB" w:rsidRDefault="008A1AA7" w:rsidP="008436BB">
            <w:pPr>
              <w:spacing w:before="0" w:after="0" w:line="360" w:lineRule="auto"/>
              <w:ind w:left="113"/>
              <w:rPr>
                <w:sz w:val="18"/>
                <w:szCs w:val="18"/>
              </w:rPr>
            </w:pPr>
            <w:r w:rsidRPr="008436BB">
              <w:rPr>
                <w:sz w:val="18"/>
                <w:szCs w:val="18"/>
              </w:rPr>
              <w:t>14.8</w:t>
            </w:r>
          </w:p>
        </w:tc>
        <w:tc>
          <w:tcPr>
            <w:tcW w:w="1149" w:type="dxa"/>
            <w:gridSpan w:val="2"/>
            <w:tcBorders>
              <w:top w:val="none" w:sz="6" w:space="0" w:color="auto"/>
              <w:left w:val="none" w:sz="6" w:space="0" w:color="auto"/>
              <w:bottom w:val="none" w:sz="6" w:space="0" w:color="auto"/>
              <w:right w:val="single" w:sz="2" w:space="0" w:color="000000"/>
            </w:tcBorders>
          </w:tcPr>
          <w:p w14:paraId="5CBEB86B"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6C" w14:textId="77777777" w:rsidR="008A1AA7" w:rsidRPr="008436BB" w:rsidRDefault="008A1AA7" w:rsidP="008436BB">
            <w:pPr>
              <w:spacing w:before="0" w:after="0" w:line="360" w:lineRule="auto"/>
              <w:ind w:left="113"/>
              <w:rPr>
                <w:sz w:val="18"/>
                <w:szCs w:val="18"/>
              </w:rPr>
            </w:pPr>
            <w:r w:rsidRPr="008436BB">
              <w:rPr>
                <w:sz w:val="18"/>
                <w:szCs w:val="18"/>
              </w:rPr>
              <w:t>11.8</w:t>
            </w:r>
          </w:p>
        </w:tc>
        <w:tc>
          <w:tcPr>
            <w:tcW w:w="1000" w:type="dxa"/>
            <w:gridSpan w:val="2"/>
            <w:tcBorders>
              <w:top w:val="none" w:sz="6" w:space="0" w:color="auto"/>
              <w:left w:val="none" w:sz="6" w:space="0" w:color="auto"/>
              <w:bottom w:val="none" w:sz="6" w:space="0" w:color="auto"/>
              <w:right w:val="single" w:sz="6" w:space="0" w:color="000000"/>
            </w:tcBorders>
          </w:tcPr>
          <w:p w14:paraId="5CBEB86D" w14:textId="77777777" w:rsidR="008A1AA7" w:rsidRPr="008436BB" w:rsidRDefault="008A1AA7" w:rsidP="008436BB">
            <w:pPr>
              <w:spacing w:before="0" w:after="0" w:line="360" w:lineRule="auto"/>
              <w:ind w:left="113"/>
              <w:rPr>
                <w:sz w:val="18"/>
                <w:szCs w:val="18"/>
              </w:rPr>
            </w:pPr>
          </w:p>
        </w:tc>
      </w:tr>
      <w:tr w:rsidR="008A1AA7" w:rsidRPr="008436BB" w14:paraId="5CBEB876" w14:textId="77777777" w:rsidTr="00D92572">
        <w:trPr>
          <w:trHeight w:val="235"/>
        </w:trPr>
        <w:tc>
          <w:tcPr>
            <w:tcW w:w="2719" w:type="dxa"/>
            <w:tcBorders>
              <w:top w:val="none" w:sz="6" w:space="0" w:color="auto"/>
              <w:left w:val="single" w:sz="6" w:space="0" w:color="000000"/>
              <w:bottom w:val="none" w:sz="6" w:space="0" w:color="auto"/>
              <w:right w:val="single" w:sz="2" w:space="0" w:color="000000"/>
            </w:tcBorders>
          </w:tcPr>
          <w:p w14:paraId="5CBEB86F" w14:textId="77777777" w:rsidR="008A1AA7" w:rsidRPr="008436BB" w:rsidRDefault="008A1AA7" w:rsidP="008436BB">
            <w:pPr>
              <w:spacing w:before="0" w:after="0" w:line="360" w:lineRule="auto"/>
              <w:ind w:left="113"/>
              <w:rPr>
                <w:sz w:val="18"/>
                <w:szCs w:val="18"/>
              </w:rPr>
            </w:pPr>
            <w:r w:rsidRPr="008436BB">
              <w:rPr>
                <w:sz w:val="18"/>
                <w:szCs w:val="18"/>
              </w:rPr>
              <w:t>Median</w:t>
            </w:r>
          </w:p>
        </w:tc>
        <w:tc>
          <w:tcPr>
            <w:tcW w:w="924" w:type="dxa"/>
            <w:tcBorders>
              <w:top w:val="none" w:sz="6" w:space="0" w:color="auto"/>
              <w:left w:val="single" w:sz="2" w:space="0" w:color="000000"/>
              <w:bottom w:val="none" w:sz="6" w:space="0" w:color="auto"/>
              <w:right w:val="none" w:sz="6" w:space="0" w:color="auto"/>
            </w:tcBorders>
          </w:tcPr>
          <w:p w14:paraId="5CBEB870" w14:textId="77777777" w:rsidR="008A1AA7" w:rsidRPr="008436BB" w:rsidRDefault="008A1AA7" w:rsidP="008436BB">
            <w:pPr>
              <w:spacing w:before="0" w:after="0" w:line="360" w:lineRule="auto"/>
              <w:ind w:left="113"/>
              <w:rPr>
                <w:sz w:val="18"/>
                <w:szCs w:val="18"/>
              </w:rPr>
            </w:pPr>
            <w:r w:rsidRPr="008436BB">
              <w:rPr>
                <w:sz w:val="18"/>
                <w:szCs w:val="18"/>
              </w:rPr>
              <w:t>1.6</w:t>
            </w:r>
          </w:p>
        </w:tc>
        <w:tc>
          <w:tcPr>
            <w:tcW w:w="1149" w:type="dxa"/>
            <w:gridSpan w:val="2"/>
            <w:tcBorders>
              <w:top w:val="none" w:sz="6" w:space="0" w:color="auto"/>
              <w:left w:val="none" w:sz="6" w:space="0" w:color="auto"/>
              <w:bottom w:val="none" w:sz="6" w:space="0" w:color="auto"/>
              <w:right w:val="single" w:sz="2" w:space="0" w:color="000000"/>
            </w:tcBorders>
          </w:tcPr>
          <w:p w14:paraId="5CBEB871"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72" w14:textId="77777777" w:rsidR="008A1AA7" w:rsidRPr="008436BB" w:rsidRDefault="008A1AA7" w:rsidP="008436BB">
            <w:pPr>
              <w:spacing w:before="0" w:after="0" w:line="360" w:lineRule="auto"/>
              <w:ind w:left="113"/>
              <w:rPr>
                <w:sz w:val="18"/>
                <w:szCs w:val="18"/>
              </w:rPr>
            </w:pPr>
            <w:r w:rsidRPr="008436BB">
              <w:rPr>
                <w:sz w:val="18"/>
                <w:szCs w:val="18"/>
              </w:rPr>
              <w:t>2.8</w:t>
            </w:r>
          </w:p>
        </w:tc>
        <w:tc>
          <w:tcPr>
            <w:tcW w:w="1149" w:type="dxa"/>
            <w:gridSpan w:val="2"/>
            <w:tcBorders>
              <w:top w:val="none" w:sz="6" w:space="0" w:color="auto"/>
              <w:left w:val="none" w:sz="6" w:space="0" w:color="auto"/>
              <w:bottom w:val="none" w:sz="6" w:space="0" w:color="auto"/>
              <w:right w:val="single" w:sz="2" w:space="0" w:color="000000"/>
            </w:tcBorders>
          </w:tcPr>
          <w:p w14:paraId="5CBEB873"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none" w:sz="6" w:space="0" w:color="auto"/>
              <w:right w:val="none" w:sz="6" w:space="0" w:color="auto"/>
            </w:tcBorders>
          </w:tcPr>
          <w:p w14:paraId="5CBEB874"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1000" w:type="dxa"/>
            <w:gridSpan w:val="2"/>
            <w:tcBorders>
              <w:top w:val="none" w:sz="6" w:space="0" w:color="auto"/>
              <w:left w:val="none" w:sz="6" w:space="0" w:color="auto"/>
              <w:bottom w:val="none" w:sz="6" w:space="0" w:color="auto"/>
              <w:right w:val="single" w:sz="6" w:space="0" w:color="000000"/>
            </w:tcBorders>
          </w:tcPr>
          <w:p w14:paraId="5CBEB875" w14:textId="77777777" w:rsidR="008A1AA7" w:rsidRPr="008436BB" w:rsidRDefault="008A1AA7" w:rsidP="008436BB">
            <w:pPr>
              <w:spacing w:before="0" w:after="0" w:line="360" w:lineRule="auto"/>
              <w:ind w:left="113"/>
              <w:rPr>
                <w:sz w:val="18"/>
                <w:szCs w:val="18"/>
              </w:rPr>
            </w:pPr>
          </w:p>
        </w:tc>
      </w:tr>
      <w:tr w:rsidR="008A1AA7" w:rsidRPr="008436BB" w14:paraId="5CBEB87E"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877" w14:textId="77777777" w:rsidR="008A1AA7" w:rsidRPr="008436BB" w:rsidRDefault="008A1AA7" w:rsidP="008436BB">
            <w:pPr>
              <w:spacing w:before="0" w:after="0" w:line="360" w:lineRule="auto"/>
              <w:ind w:left="113"/>
              <w:rPr>
                <w:sz w:val="18"/>
                <w:szCs w:val="18"/>
              </w:rPr>
            </w:pPr>
            <w:r w:rsidRPr="008436BB">
              <w:rPr>
                <w:sz w:val="18"/>
                <w:szCs w:val="18"/>
              </w:rPr>
              <w:t>Range</w:t>
            </w:r>
          </w:p>
        </w:tc>
        <w:tc>
          <w:tcPr>
            <w:tcW w:w="924" w:type="dxa"/>
            <w:tcBorders>
              <w:top w:val="none" w:sz="6" w:space="0" w:color="auto"/>
              <w:left w:val="single" w:sz="2" w:space="0" w:color="000000"/>
              <w:bottom w:val="single" w:sz="2" w:space="0" w:color="000000"/>
              <w:right w:val="none" w:sz="6" w:space="0" w:color="auto"/>
            </w:tcBorders>
          </w:tcPr>
          <w:p w14:paraId="5CBEB878" w14:textId="77777777" w:rsidR="008A1AA7" w:rsidRPr="008436BB" w:rsidRDefault="008A1AA7" w:rsidP="008436BB">
            <w:pPr>
              <w:spacing w:before="0" w:after="0" w:line="360" w:lineRule="auto"/>
              <w:ind w:left="113"/>
              <w:rPr>
                <w:sz w:val="18"/>
                <w:szCs w:val="18"/>
              </w:rPr>
            </w:pPr>
            <w:r w:rsidRPr="008436BB">
              <w:rPr>
                <w:sz w:val="18"/>
                <w:szCs w:val="18"/>
              </w:rPr>
              <w:t>0.4 to 17.2</w:t>
            </w:r>
          </w:p>
        </w:tc>
        <w:tc>
          <w:tcPr>
            <w:tcW w:w="1149" w:type="dxa"/>
            <w:gridSpan w:val="2"/>
            <w:tcBorders>
              <w:top w:val="none" w:sz="6" w:space="0" w:color="auto"/>
              <w:left w:val="none" w:sz="6" w:space="0" w:color="auto"/>
              <w:bottom w:val="single" w:sz="2" w:space="0" w:color="000000"/>
              <w:right w:val="single" w:sz="2" w:space="0" w:color="000000"/>
            </w:tcBorders>
          </w:tcPr>
          <w:p w14:paraId="5CBEB879"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87A" w14:textId="77777777" w:rsidR="008A1AA7" w:rsidRPr="008436BB" w:rsidRDefault="008A1AA7" w:rsidP="008436BB">
            <w:pPr>
              <w:spacing w:before="0" w:after="0" w:line="360" w:lineRule="auto"/>
              <w:ind w:left="113"/>
              <w:rPr>
                <w:sz w:val="18"/>
                <w:szCs w:val="18"/>
              </w:rPr>
            </w:pPr>
            <w:r w:rsidRPr="008436BB">
              <w:rPr>
                <w:sz w:val="18"/>
                <w:szCs w:val="18"/>
              </w:rPr>
              <w:t>0.4 to 76.0</w:t>
            </w:r>
          </w:p>
        </w:tc>
        <w:tc>
          <w:tcPr>
            <w:tcW w:w="1149" w:type="dxa"/>
            <w:gridSpan w:val="2"/>
            <w:tcBorders>
              <w:top w:val="none" w:sz="6" w:space="0" w:color="auto"/>
              <w:left w:val="none" w:sz="6" w:space="0" w:color="auto"/>
              <w:bottom w:val="single" w:sz="2" w:space="0" w:color="000000"/>
              <w:right w:val="single" w:sz="2" w:space="0" w:color="000000"/>
            </w:tcBorders>
          </w:tcPr>
          <w:p w14:paraId="5CBEB87B" w14:textId="77777777" w:rsidR="008A1AA7" w:rsidRPr="008436BB" w:rsidRDefault="008A1AA7" w:rsidP="008436BB">
            <w:pPr>
              <w:spacing w:before="0" w:after="0" w:line="360" w:lineRule="auto"/>
              <w:ind w:left="113"/>
              <w:rPr>
                <w:sz w:val="18"/>
                <w:szCs w:val="18"/>
              </w:rPr>
            </w:pPr>
          </w:p>
        </w:tc>
        <w:tc>
          <w:tcPr>
            <w:tcW w:w="924" w:type="dxa"/>
            <w:tcBorders>
              <w:top w:val="none" w:sz="6" w:space="0" w:color="auto"/>
              <w:left w:val="single" w:sz="2" w:space="0" w:color="000000"/>
              <w:bottom w:val="single" w:sz="2" w:space="0" w:color="000000"/>
              <w:right w:val="none" w:sz="6" w:space="0" w:color="auto"/>
            </w:tcBorders>
          </w:tcPr>
          <w:p w14:paraId="5CBEB87C" w14:textId="77777777" w:rsidR="008A1AA7" w:rsidRPr="008436BB" w:rsidRDefault="008A1AA7" w:rsidP="008436BB">
            <w:pPr>
              <w:spacing w:before="0" w:after="0" w:line="360" w:lineRule="auto"/>
              <w:ind w:left="113"/>
              <w:rPr>
                <w:sz w:val="18"/>
                <w:szCs w:val="18"/>
              </w:rPr>
            </w:pPr>
            <w:r w:rsidRPr="008436BB">
              <w:rPr>
                <w:sz w:val="18"/>
                <w:szCs w:val="18"/>
              </w:rPr>
              <w:t>0.4 to 76.0</w:t>
            </w:r>
          </w:p>
        </w:tc>
        <w:tc>
          <w:tcPr>
            <w:tcW w:w="1000" w:type="dxa"/>
            <w:gridSpan w:val="2"/>
            <w:tcBorders>
              <w:top w:val="none" w:sz="6" w:space="0" w:color="auto"/>
              <w:left w:val="none" w:sz="6" w:space="0" w:color="auto"/>
              <w:bottom w:val="single" w:sz="2" w:space="0" w:color="000000"/>
              <w:right w:val="single" w:sz="6" w:space="0" w:color="000000"/>
            </w:tcBorders>
          </w:tcPr>
          <w:p w14:paraId="5CBEB87D" w14:textId="77777777" w:rsidR="008A1AA7" w:rsidRPr="008436BB" w:rsidRDefault="008A1AA7" w:rsidP="008436BB">
            <w:pPr>
              <w:spacing w:before="0" w:after="0" w:line="360" w:lineRule="auto"/>
              <w:ind w:left="113"/>
              <w:rPr>
                <w:sz w:val="18"/>
                <w:szCs w:val="18"/>
              </w:rPr>
            </w:pPr>
          </w:p>
        </w:tc>
      </w:tr>
      <w:tr w:rsidR="008A1AA7" w:rsidRPr="008436BB" w14:paraId="5CBEB880"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87F" w14:textId="77777777" w:rsidR="008A1AA7" w:rsidRPr="008436BB" w:rsidRDefault="008A1AA7" w:rsidP="008436BB">
            <w:pPr>
              <w:spacing w:before="0" w:after="0" w:line="360" w:lineRule="auto"/>
              <w:ind w:left="113"/>
              <w:rPr>
                <w:b/>
                <w:bCs/>
                <w:sz w:val="18"/>
                <w:szCs w:val="18"/>
              </w:rPr>
            </w:pPr>
            <w:r w:rsidRPr="008436BB">
              <w:rPr>
                <w:b/>
                <w:bCs/>
                <w:sz w:val="18"/>
                <w:szCs w:val="18"/>
              </w:rPr>
              <w:t>Prior Radiation</w:t>
            </w:r>
          </w:p>
        </w:tc>
      </w:tr>
      <w:tr w:rsidR="008A1AA7" w:rsidRPr="008436BB" w14:paraId="5CBEB888" w14:textId="77777777" w:rsidTr="00D92572">
        <w:trPr>
          <w:trHeight w:val="234"/>
        </w:trPr>
        <w:tc>
          <w:tcPr>
            <w:tcW w:w="2719" w:type="dxa"/>
            <w:tcBorders>
              <w:top w:val="single" w:sz="2" w:space="0" w:color="000000"/>
              <w:left w:val="single" w:sz="6" w:space="0" w:color="000000"/>
              <w:bottom w:val="none" w:sz="6" w:space="0" w:color="auto"/>
              <w:right w:val="single" w:sz="2" w:space="0" w:color="000000"/>
            </w:tcBorders>
          </w:tcPr>
          <w:p w14:paraId="5CBEB881"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2" w:space="0" w:color="000000"/>
              <w:left w:val="single" w:sz="2" w:space="0" w:color="000000"/>
              <w:bottom w:val="none" w:sz="6" w:space="0" w:color="auto"/>
              <w:right w:val="none" w:sz="6" w:space="0" w:color="auto"/>
            </w:tcBorders>
          </w:tcPr>
          <w:p w14:paraId="5CBEB882" w14:textId="77777777" w:rsidR="008A1AA7" w:rsidRPr="008436BB" w:rsidRDefault="008A1AA7" w:rsidP="008436BB">
            <w:pPr>
              <w:spacing w:before="0" w:after="0" w:line="360" w:lineRule="auto"/>
              <w:ind w:left="113"/>
              <w:rPr>
                <w:sz w:val="18"/>
                <w:szCs w:val="18"/>
              </w:rPr>
            </w:pPr>
            <w:r w:rsidRPr="008436BB">
              <w:rPr>
                <w:sz w:val="18"/>
                <w:szCs w:val="18"/>
              </w:rPr>
              <w:t>8</w:t>
            </w:r>
          </w:p>
        </w:tc>
        <w:tc>
          <w:tcPr>
            <w:tcW w:w="1149" w:type="dxa"/>
            <w:gridSpan w:val="2"/>
            <w:tcBorders>
              <w:top w:val="single" w:sz="2" w:space="0" w:color="000000"/>
              <w:left w:val="none" w:sz="6" w:space="0" w:color="auto"/>
              <w:bottom w:val="none" w:sz="6" w:space="0" w:color="auto"/>
              <w:right w:val="single" w:sz="2" w:space="0" w:color="000000"/>
            </w:tcBorders>
          </w:tcPr>
          <w:p w14:paraId="5CBEB883" w14:textId="77777777" w:rsidR="008A1AA7" w:rsidRPr="008436BB" w:rsidRDefault="008A1AA7" w:rsidP="008436BB">
            <w:pPr>
              <w:spacing w:before="0" w:after="0" w:line="360" w:lineRule="auto"/>
              <w:ind w:left="113"/>
              <w:rPr>
                <w:sz w:val="18"/>
                <w:szCs w:val="18"/>
              </w:rPr>
            </w:pPr>
            <w:r w:rsidRPr="008436BB">
              <w:rPr>
                <w:sz w:val="18"/>
                <w:szCs w:val="18"/>
              </w:rPr>
              <w:t>(32.0)</w:t>
            </w:r>
          </w:p>
        </w:tc>
        <w:tc>
          <w:tcPr>
            <w:tcW w:w="924" w:type="dxa"/>
            <w:tcBorders>
              <w:top w:val="single" w:sz="2" w:space="0" w:color="000000"/>
              <w:left w:val="single" w:sz="2" w:space="0" w:color="000000"/>
              <w:bottom w:val="none" w:sz="6" w:space="0" w:color="auto"/>
              <w:right w:val="none" w:sz="6" w:space="0" w:color="auto"/>
            </w:tcBorders>
          </w:tcPr>
          <w:p w14:paraId="5CBEB884" w14:textId="77777777" w:rsidR="008A1AA7" w:rsidRPr="008436BB" w:rsidRDefault="008A1AA7" w:rsidP="008436BB">
            <w:pPr>
              <w:spacing w:before="0" w:after="0" w:line="360" w:lineRule="auto"/>
              <w:ind w:left="113"/>
              <w:rPr>
                <w:sz w:val="18"/>
                <w:szCs w:val="18"/>
              </w:rPr>
            </w:pPr>
            <w:r w:rsidRPr="008436BB">
              <w:rPr>
                <w:sz w:val="18"/>
                <w:szCs w:val="18"/>
              </w:rPr>
              <w:t>16</w:t>
            </w:r>
          </w:p>
        </w:tc>
        <w:tc>
          <w:tcPr>
            <w:tcW w:w="1149" w:type="dxa"/>
            <w:gridSpan w:val="2"/>
            <w:tcBorders>
              <w:top w:val="single" w:sz="2" w:space="0" w:color="000000"/>
              <w:left w:val="none" w:sz="6" w:space="0" w:color="auto"/>
              <w:bottom w:val="none" w:sz="6" w:space="0" w:color="auto"/>
              <w:right w:val="single" w:sz="2" w:space="0" w:color="000000"/>
            </w:tcBorders>
          </w:tcPr>
          <w:p w14:paraId="5CBEB885" w14:textId="77777777" w:rsidR="008A1AA7" w:rsidRPr="008436BB" w:rsidRDefault="008A1AA7" w:rsidP="008436BB">
            <w:pPr>
              <w:spacing w:before="0" w:after="0" w:line="360" w:lineRule="auto"/>
              <w:ind w:left="113"/>
              <w:rPr>
                <w:sz w:val="18"/>
                <w:szCs w:val="18"/>
              </w:rPr>
            </w:pPr>
            <w:r w:rsidRPr="008436BB">
              <w:rPr>
                <w:sz w:val="18"/>
                <w:szCs w:val="18"/>
              </w:rPr>
              <w:t>(45.7)</w:t>
            </w:r>
          </w:p>
        </w:tc>
        <w:tc>
          <w:tcPr>
            <w:tcW w:w="924" w:type="dxa"/>
            <w:tcBorders>
              <w:top w:val="single" w:sz="2" w:space="0" w:color="000000"/>
              <w:left w:val="single" w:sz="2" w:space="0" w:color="000000"/>
              <w:bottom w:val="none" w:sz="6" w:space="0" w:color="auto"/>
              <w:right w:val="none" w:sz="6" w:space="0" w:color="auto"/>
            </w:tcBorders>
          </w:tcPr>
          <w:p w14:paraId="5CBEB886" w14:textId="77777777" w:rsidR="008A1AA7" w:rsidRPr="008436BB" w:rsidRDefault="008A1AA7" w:rsidP="008436BB">
            <w:pPr>
              <w:spacing w:before="0" w:after="0" w:line="360" w:lineRule="auto"/>
              <w:ind w:left="113"/>
              <w:rPr>
                <w:sz w:val="18"/>
                <w:szCs w:val="18"/>
              </w:rPr>
            </w:pPr>
            <w:r w:rsidRPr="008436BB">
              <w:rPr>
                <w:sz w:val="18"/>
                <w:szCs w:val="18"/>
              </w:rPr>
              <w:t>24</w:t>
            </w:r>
          </w:p>
        </w:tc>
        <w:tc>
          <w:tcPr>
            <w:tcW w:w="1000" w:type="dxa"/>
            <w:gridSpan w:val="2"/>
            <w:tcBorders>
              <w:top w:val="single" w:sz="2" w:space="0" w:color="000000"/>
              <w:left w:val="none" w:sz="6" w:space="0" w:color="auto"/>
              <w:bottom w:val="none" w:sz="6" w:space="0" w:color="auto"/>
              <w:right w:val="single" w:sz="6" w:space="0" w:color="000000"/>
            </w:tcBorders>
          </w:tcPr>
          <w:p w14:paraId="5CBEB887" w14:textId="77777777" w:rsidR="008A1AA7" w:rsidRPr="008436BB" w:rsidRDefault="008A1AA7" w:rsidP="008436BB">
            <w:pPr>
              <w:spacing w:before="0" w:after="0" w:line="360" w:lineRule="auto"/>
              <w:ind w:left="113"/>
              <w:rPr>
                <w:sz w:val="18"/>
                <w:szCs w:val="18"/>
              </w:rPr>
            </w:pPr>
            <w:r w:rsidRPr="008436BB">
              <w:rPr>
                <w:sz w:val="18"/>
                <w:szCs w:val="18"/>
              </w:rPr>
              <w:t>(40.0)</w:t>
            </w:r>
          </w:p>
        </w:tc>
      </w:tr>
      <w:tr w:rsidR="008A1AA7" w:rsidRPr="008436BB" w14:paraId="5CBEB890" w14:textId="77777777" w:rsidTr="00D92572">
        <w:trPr>
          <w:trHeight w:val="283"/>
        </w:trPr>
        <w:tc>
          <w:tcPr>
            <w:tcW w:w="2719" w:type="dxa"/>
            <w:tcBorders>
              <w:top w:val="none" w:sz="6" w:space="0" w:color="auto"/>
              <w:left w:val="single" w:sz="6" w:space="0" w:color="000000"/>
              <w:bottom w:val="single" w:sz="2" w:space="0" w:color="000000"/>
              <w:right w:val="single" w:sz="2" w:space="0" w:color="000000"/>
            </w:tcBorders>
          </w:tcPr>
          <w:p w14:paraId="5CBEB889" w14:textId="77777777" w:rsidR="008A1AA7" w:rsidRPr="008436BB" w:rsidRDefault="008A1AA7" w:rsidP="008436BB">
            <w:pPr>
              <w:spacing w:before="0" w:after="0" w:line="360" w:lineRule="auto"/>
              <w:ind w:left="113"/>
              <w:rPr>
                <w:sz w:val="18"/>
                <w:szCs w:val="18"/>
              </w:rPr>
            </w:pPr>
            <w:r w:rsidRPr="008436BB">
              <w:rPr>
                <w:sz w:val="18"/>
                <w:szCs w:val="18"/>
              </w:rPr>
              <w:t>No</w:t>
            </w:r>
          </w:p>
        </w:tc>
        <w:tc>
          <w:tcPr>
            <w:tcW w:w="924" w:type="dxa"/>
            <w:tcBorders>
              <w:top w:val="none" w:sz="6" w:space="0" w:color="auto"/>
              <w:left w:val="single" w:sz="2" w:space="0" w:color="000000"/>
              <w:bottom w:val="single" w:sz="2" w:space="0" w:color="000000"/>
              <w:right w:val="none" w:sz="6" w:space="0" w:color="auto"/>
            </w:tcBorders>
          </w:tcPr>
          <w:p w14:paraId="5CBEB88A" w14:textId="77777777" w:rsidR="008A1AA7" w:rsidRPr="008436BB" w:rsidRDefault="008A1AA7" w:rsidP="008436BB">
            <w:pPr>
              <w:spacing w:before="0" w:after="0" w:line="360" w:lineRule="auto"/>
              <w:ind w:left="113"/>
              <w:rPr>
                <w:sz w:val="18"/>
                <w:szCs w:val="18"/>
              </w:rPr>
            </w:pPr>
            <w:r w:rsidRPr="008436BB">
              <w:rPr>
                <w:sz w:val="18"/>
                <w:szCs w:val="18"/>
              </w:rPr>
              <w:t>17</w:t>
            </w:r>
          </w:p>
        </w:tc>
        <w:tc>
          <w:tcPr>
            <w:tcW w:w="1149" w:type="dxa"/>
            <w:gridSpan w:val="2"/>
            <w:tcBorders>
              <w:top w:val="none" w:sz="6" w:space="0" w:color="auto"/>
              <w:left w:val="none" w:sz="6" w:space="0" w:color="auto"/>
              <w:bottom w:val="single" w:sz="2" w:space="0" w:color="000000"/>
              <w:right w:val="single" w:sz="2" w:space="0" w:color="000000"/>
            </w:tcBorders>
          </w:tcPr>
          <w:p w14:paraId="5CBEB88B" w14:textId="77777777" w:rsidR="008A1AA7" w:rsidRPr="008436BB" w:rsidRDefault="008A1AA7" w:rsidP="008436BB">
            <w:pPr>
              <w:spacing w:before="0" w:after="0" w:line="360" w:lineRule="auto"/>
              <w:ind w:left="113"/>
              <w:rPr>
                <w:sz w:val="18"/>
                <w:szCs w:val="18"/>
              </w:rPr>
            </w:pPr>
            <w:r w:rsidRPr="008436BB">
              <w:rPr>
                <w:sz w:val="18"/>
                <w:szCs w:val="18"/>
              </w:rPr>
              <w:t>(68.0)</w:t>
            </w:r>
          </w:p>
        </w:tc>
        <w:tc>
          <w:tcPr>
            <w:tcW w:w="924" w:type="dxa"/>
            <w:tcBorders>
              <w:top w:val="none" w:sz="6" w:space="0" w:color="auto"/>
              <w:left w:val="single" w:sz="2" w:space="0" w:color="000000"/>
              <w:bottom w:val="single" w:sz="2" w:space="0" w:color="000000"/>
              <w:right w:val="none" w:sz="6" w:space="0" w:color="auto"/>
            </w:tcBorders>
          </w:tcPr>
          <w:p w14:paraId="5CBEB88C"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1149" w:type="dxa"/>
            <w:gridSpan w:val="2"/>
            <w:tcBorders>
              <w:top w:val="none" w:sz="6" w:space="0" w:color="auto"/>
              <w:left w:val="none" w:sz="6" w:space="0" w:color="auto"/>
              <w:bottom w:val="single" w:sz="2" w:space="0" w:color="000000"/>
              <w:right w:val="single" w:sz="2" w:space="0" w:color="000000"/>
            </w:tcBorders>
          </w:tcPr>
          <w:p w14:paraId="5CBEB88D" w14:textId="77777777" w:rsidR="008A1AA7" w:rsidRPr="008436BB" w:rsidRDefault="008A1AA7" w:rsidP="008436BB">
            <w:pPr>
              <w:spacing w:before="0" w:after="0" w:line="360" w:lineRule="auto"/>
              <w:ind w:left="113"/>
              <w:rPr>
                <w:sz w:val="18"/>
                <w:szCs w:val="18"/>
              </w:rPr>
            </w:pPr>
            <w:r w:rsidRPr="008436BB">
              <w:rPr>
                <w:sz w:val="18"/>
                <w:szCs w:val="18"/>
              </w:rPr>
              <w:t>(54.3)</w:t>
            </w:r>
          </w:p>
        </w:tc>
        <w:tc>
          <w:tcPr>
            <w:tcW w:w="924" w:type="dxa"/>
            <w:tcBorders>
              <w:top w:val="none" w:sz="6" w:space="0" w:color="auto"/>
              <w:left w:val="single" w:sz="2" w:space="0" w:color="000000"/>
              <w:bottom w:val="single" w:sz="2" w:space="0" w:color="000000"/>
              <w:right w:val="none" w:sz="6" w:space="0" w:color="auto"/>
            </w:tcBorders>
          </w:tcPr>
          <w:p w14:paraId="5CBEB88E" w14:textId="77777777" w:rsidR="008A1AA7" w:rsidRPr="008436BB" w:rsidRDefault="008A1AA7" w:rsidP="008436BB">
            <w:pPr>
              <w:spacing w:before="0" w:after="0" w:line="360" w:lineRule="auto"/>
              <w:ind w:left="113"/>
              <w:rPr>
                <w:sz w:val="18"/>
                <w:szCs w:val="18"/>
              </w:rPr>
            </w:pPr>
            <w:r w:rsidRPr="008436BB">
              <w:rPr>
                <w:sz w:val="18"/>
                <w:szCs w:val="18"/>
              </w:rPr>
              <w:t>36</w:t>
            </w:r>
          </w:p>
        </w:tc>
        <w:tc>
          <w:tcPr>
            <w:tcW w:w="1000" w:type="dxa"/>
            <w:gridSpan w:val="2"/>
            <w:tcBorders>
              <w:top w:val="none" w:sz="6" w:space="0" w:color="auto"/>
              <w:left w:val="none" w:sz="6" w:space="0" w:color="auto"/>
              <w:bottom w:val="single" w:sz="2" w:space="0" w:color="000000"/>
              <w:right w:val="single" w:sz="6" w:space="0" w:color="000000"/>
            </w:tcBorders>
          </w:tcPr>
          <w:p w14:paraId="5CBEB88F" w14:textId="77777777" w:rsidR="008A1AA7" w:rsidRPr="008436BB" w:rsidRDefault="008A1AA7" w:rsidP="008436BB">
            <w:pPr>
              <w:spacing w:before="0" w:after="0" w:line="360" w:lineRule="auto"/>
              <w:ind w:left="113"/>
              <w:rPr>
                <w:sz w:val="18"/>
                <w:szCs w:val="18"/>
              </w:rPr>
            </w:pPr>
            <w:r w:rsidRPr="008436BB">
              <w:rPr>
                <w:sz w:val="18"/>
                <w:szCs w:val="18"/>
              </w:rPr>
              <w:t>(60.0)</w:t>
            </w:r>
          </w:p>
        </w:tc>
      </w:tr>
      <w:tr w:rsidR="008A1AA7" w:rsidRPr="008436BB" w14:paraId="5CBEB892" w14:textId="77777777" w:rsidTr="00D92572">
        <w:trPr>
          <w:trHeight w:val="302"/>
        </w:trPr>
        <w:tc>
          <w:tcPr>
            <w:tcW w:w="8789" w:type="dxa"/>
            <w:gridSpan w:val="10"/>
            <w:tcBorders>
              <w:top w:val="single" w:sz="2" w:space="0" w:color="000000"/>
              <w:left w:val="single" w:sz="6" w:space="0" w:color="000000"/>
              <w:bottom w:val="single" w:sz="2" w:space="0" w:color="000000"/>
              <w:right w:val="single" w:sz="6" w:space="0" w:color="000000"/>
            </w:tcBorders>
          </w:tcPr>
          <w:p w14:paraId="5CBEB891" w14:textId="77777777" w:rsidR="008A1AA7" w:rsidRPr="008436BB" w:rsidRDefault="008A1AA7" w:rsidP="008436BB">
            <w:pPr>
              <w:spacing w:before="0" w:after="0" w:line="360" w:lineRule="auto"/>
              <w:ind w:left="113"/>
              <w:rPr>
                <w:b/>
                <w:bCs/>
                <w:sz w:val="18"/>
                <w:szCs w:val="18"/>
              </w:rPr>
            </w:pPr>
            <w:r w:rsidRPr="008436BB">
              <w:rPr>
                <w:b/>
                <w:bCs/>
                <w:sz w:val="18"/>
                <w:szCs w:val="18"/>
              </w:rPr>
              <w:t>Bulky Lymphadenopathy</w:t>
            </w:r>
          </w:p>
        </w:tc>
      </w:tr>
      <w:tr w:rsidR="008A1AA7" w:rsidRPr="008436BB" w14:paraId="5CBEB89A" w14:textId="77777777" w:rsidTr="00D92572">
        <w:trPr>
          <w:trHeight w:val="236"/>
        </w:trPr>
        <w:tc>
          <w:tcPr>
            <w:tcW w:w="2719" w:type="dxa"/>
            <w:tcBorders>
              <w:top w:val="single" w:sz="2" w:space="0" w:color="000000"/>
              <w:left w:val="single" w:sz="6" w:space="0" w:color="000000"/>
              <w:bottom w:val="none" w:sz="6" w:space="0" w:color="auto"/>
              <w:right w:val="single" w:sz="2" w:space="0" w:color="000000"/>
            </w:tcBorders>
          </w:tcPr>
          <w:p w14:paraId="5CBEB893"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2" w:space="0" w:color="000000"/>
              <w:left w:val="single" w:sz="2" w:space="0" w:color="000000"/>
              <w:bottom w:val="none" w:sz="6" w:space="0" w:color="auto"/>
              <w:right w:val="none" w:sz="6" w:space="0" w:color="auto"/>
            </w:tcBorders>
          </w:tcPr>
          <w:p w14:paraId="5CBEB894" w14:textId="77777777" w:rsidR="008A1AA7" w:rsidRPr="008436BB" w:rsidRDefault="008A1AA7" w:rsidP="008436BB">
            <w:pPr>
              <w:spacing w:before="0" w:after="0" w:line="360" w:lineRule="auto"/>
              <w:ind w:left="113"/>
              <w:rPr>
                <w:sz w:val="18"/>
                <w:szCs w:val="18"/>
              </w:rPr>
            </w:pPr>
            <w:r w:rsidRPr="008436BB">
              <w:rPr>
                <w:sz w:val="18"/>
                <w:szCs w:val="18"/>
              </w:rPr>
              <w:t>2</w:t>
            </w:r>
          </w:p>
        </w:tc>
        <w:tc>
          <w:tcPr>
            <w:tcW w:w="1149" w:type="dxa"/>
            <w:gridSpan w:val="2"/>
            <w:tcBorders>
              <w:top w:val="single" w:sz="2" w:space="0" w:color="000000"/>
              <w:left w:val="none" w:sz="6" w:space="0" w:color="auto"/>
              <w:bottom w:val="none" w:sz="6" w:space="0" w:color="auto"/>
              <w:right w:val="single" w:sz="2" w:space="0" w:color="000000"/>
            </w:tcBorders>
          </w:tcPr>
          <w:p w14:paraId="5CBEB895" w14:textId="77777777" w:rsidR="008A1AA7" w:rsidRPr="008436BB" w:rsidRDefault="008A1AA7" w:rsidP="008436BB">
            <w:pPr>
              <w:spacing w:before="0" w:after="0" w:line="360" w:lineRule="auto"/>
              <w:ind w:left="113"/>
              <w:rPr>
                <w:sz w:val="18"/>
                <w:szCs w:val="18"/>
              </w:rPr>
            </w:pPr>
            <w:r w:rsidRPr="008436BB">
              <w:rPr>
                <w:sz w:val="18"/>
                <w:szCs w:val="18"/>
              </w:rPr>
              <w:t>(8.0)</w:t>
            </w:r>
          </w:p>
        </w:tc>
        <w:tc>
          <w:tcPr>
            <w:tcW w:w="924" w:type="dxa"/>
            <w:tcBorders>
              <w:top w:val="single" w:sz="2" w:space="0" w:color="000000"/>
              <w:left w:val="single" w:sz="2" w:space="0" w:color="000000"/>
              <w:bottom w:val="none" w:sz="6" w:space="0" w:color="auto"/>
              <w:right w:val="none" w:sz="6" w:space="0" w:color="auto"/>
            </w:tcBorders>
          </w:tcPr>
          <w:p w14:paraId="5CBEB896" w14:textId="77777777" w:rsidR="008A1AA7" w:rsidRPr="008436BB" w:rsidRDefault="008A1AA7" w:rsidP="008436BB">
            <w:pPr>
              <w:spacing w:before="0" w:after="0" w:line="360" w:lineRule="auto"/>
              <w:ind w:left="113"/>
              <w:rPr>
                <w:sz w:val="18"/>
                <w:szCs w:val="18"/>
              </w:rPr>
            </w:pPr>
            <w:r w:rsidRPr="008436BB">
              <w:rPr>
                <w:sz w:val="18"/>
                <w:szCs w:val="18"/>
              </w:rPr>
              <w:t>1</w:t>
            </w:r>
          </w:p>
        </w:tc>
        <w:tc>
          <w:tcPr>
            <w:tcW w:w="1149" w:type="dxa"/>
            <w:gridSpan w:val="2"/>
            <w:tcBorders>
              <w:top w:val="single" w:sz="2" w:space="0" w:color="000000"/>
              <w:left w:val="none" w:sz="6" w:space="0" w:color="auto"/>
              <w:bottom w:val="none" w:sz="6" w:space="0" w:color="auto"/>
              <w:right w:val="single" w:sz="2" w:space="0" w:color="000000"/>
            </w:tcBorders>
          </w:tcPr>
          <w:p w14:paraId="5CBEB897" w14:textId="77777777" w:rsidR="008A1AA7" w:rsidRPr="008436BB" w:rsidRDefault="008A1AA7" w:rsidP="008436BB">
            <w:pPr>
              <w:spacing w:before="0" w:after="0" w:line="360" w:lineRule="auto"/>
              <w:ind w:left="113"/>
              <w:rPr>
                <w:sz w:val="18"/>
                <w:szCs w:val="18"/>
              </w:rPr>
            </w:pPr>
            <w:r w:rsidRPr="008436BB">
              <w:rPr>
                <w:sz w:val="18"/>
                <w:szCs w:val="18"/>
              </w:rPr>
              <w:t>(2.9)</w:t>
            </w:r>
          </w:p>
        </w:tc>
        <w:tc>
          <w:tcPr>
            <w:tcW w:w="924" w:type="dxa"/>
            <w:tcBorders>
              <w:top w:val="single" w:sz="2" w:space="0" w:color="000000"/>
              <w:left w:val="single" w:sz="2" w:space="0" w:color="000000"/>
              <w:bottom w:val="none" w:sz="6" w:space="0" w:color="auto"/>
              <w:right w:val="none" w:sz="6" w:space="0" w:color="auto"/>
            </w:tcBorders>
          </w:tcPr>
          <w:p w14:paraId="5CBEB898" w14:textId="77777777" w:rsidR="008A1AA7" w:rsidRPr="008436BB" w:rsidRDefault="008A1AA7" w:rsidP="008436BB">
            <w:pPr>
              <w:spacing w:before="0" w:after="0" w:line="360" w:lineRule="auto"/>
              <w:ind w:left="113"/>
              <w:rPr>
                <w:sz w:val="18"/>
                <w:szCs w:val="18"/>
              </w:rPr>
            </w:pPr>
            <w:r w:rsidRPr="008436BB">
              <w:rPr>
                <w:sz w:val="18"/>
                <w:szCs w:val="18"/>
              </w:rPr>
              <w:t>3</w:t>
            </w:r>
          </w:p>
        </w:tc>
        <w:tc>
          <w:tcPr>
            <w:tcW w:w="1000" w:type="dxa"/>
            <w:gridSpan w:val="2"/>
            <w:tcBorders>
              <w:top w:val="single" w:sz="2" w:space="0" w:color="000000"/>
              <w:left w:val="none" w:sz="6" w:space="0" w:color="auto"/>
              <w:bottom w:val="none" w:sz="6" w:space="0" w:color="auto"/>
              <w:right w:val="single" w:sz="6" w:space="0" w:color="000000"/>
            </w:tcBorders>
          </w:tcPr>
          <w:p w14:paraId="5CBEB899" w14:textId="77777777" w:rsidR="008A1AA7" w:rsidRPr="008436BB" w:rsidRDefault="008A1AA7" w:rsidP="008436BB">
            <w:pPr>
              <w:spacing w:before="0" w:after="0" w:line="360" w:lineRule="auto"/>
              <w:ind w:left="113"/>
              <w:rPr>
                <w:sz w:val="18"/>
                <w:szCs w:val="18"/>
              </w:rPr>
            </w:pPr>
            <w:r w:rsidRPr="008436BB">
              <w:rPr>
                <w:sz w:val="18"/>
                <w:szCs w:val="18"/>
              </w:rPr>
              <w:t>(5.0)</w:t>
            </w:r>
          </w:p>
        </w:tc>
      </w:tr>
      <w:tr w:rsidR="008A1AA7" w:rsidRPr="008436BB" w14:paraId="5CBEB8A2" w14:textId="77777777" w:rsidTr="00D92572">
        <w:trPr>
          <w:trHeight w:val="282"/>
        </w:trPr>
        <w:tc>
          <w:tcPr>
            <w:tcW w:w="2719" w:type="dxa"/>
            <w:tcBorders>
              <w:top w:val="none" w:sz="6" w:space="0" w:color="auto"/>
              <w:left w:val="single" w:sz="6" w:space="0" w:color="000000"/>
              <w:bottom w:val="single" w:sz="2" w:space="0" w:color="000000"/>
              <w:right w:val="single" w:sz="2" w:space="0" w:color="000000"/>
            </w:tcBorders>
          </w:tcPr>
          <w:p w14:paraId="5CBEB89B" w14:textId="77777777" w:rsidR="008A1AA7" w:rsidRPr="008436BB" w:rsidRDefault="008A1AA7" w:rsidP="008436BB">
            <w:pPr>
              <w:spacing w:before="0" w:after="0" w:line="360" w:lineRule="auto"/>
              <w:ind w:left="113"/>
              <w:rPr>
                <w:sz w:val="18"/>
                <w:szCs w:val="18"/>
              </w:rPr>
            </w:pPr>
            <w:r w:rsidRPr="008436BB">
              <w:rPr>
                <w:sz w:val="18"/>
                <w:szCs w:val="18"/>
              </w:rPr>
              <w:t>No</w:t>
            </w:r>
          </w:p>
        </w:tc>
        <w:tc>
          <w:tcPr>
            <w:tcW w:w="924" w:type="dxa"/>
            <w:tcBorders>
              <w:top w:val="none" w:sz="6" w:space="0" w:color="auto"/>
              <w:left w:val="single" w:sz="2" w:space="0" w:color="000000"/>
              <w:bottom w:val="single" w:sz="2" w:space="0" w:color="000000"/>
              <w:right w:val="none" w:sz="6" w:space="0" w:color="auto"/>
            </w:tcBorders>
          </w:tcPr>
          <w:p w14:paraId="5CBEB89C" w14:textId="77777777" w:rsidR="008A1AA7" w:rsidRPr="008436BB" w:rsidRDefault="008A1AA7" w:rsidP="008436BB">
            <w:pPr>
              <w:spacing w:before="0" w:after="0" w:line="360" w:lineRule="auto"/>
              <w:ind w:left="113"/>
              <w:rPr>
                <w:sz w:val="18"/>
                <w:szCs w:val="18"/>
              </w:rPr>
            </w:pPr>
            <w:r w:rsidRPr="008436BB">
              <w:rPr>
                <w:sz w:val="18"/>
                <w:szCs w:val="18"/>
              </w:rPr>
              <w:t>23</w:t>
            </w:r>
          </w:p>
        </w:tc>
        <w:tc>
          <w:tcPr>
            <w:tcW w:w="1149" w:type="dxa"/>
            <w:gridSpan w:val="2"/>
            <w:tcBorders>
              <w:top w:val="none" w:sz="6" w:space="0" w:color="auto"/>
              <w:left w:val="none" w:sz="6" w:space="0" w:color="auto"/>
              <w:bottom w:val="single" w:sz="2" w:space="0" w:color="000000"/>
              <w:right w:val="single" w:sz="2" w:space="0" w:color="000000"/>
            </w:tcBorders>
          </w:tcPr>
          <w:p w14:paraId="5CBEB89D" w14:textId="77777777" w:rsidR="008A1AA7" w:rsidRPr="008436BB" w:rsidRDefault="008A1AA7" w:rsidP="008436BB">
            <w:pPr>
              <w:spacing w:before="0" w:after="0" w:line="360" w:lineRule="auto"/>
              <w:ind w:left="113"/>
              <w:rPr>
                <w:sz w:val="18"/>
                <w:szCs w:val="18"/>
              </w:rPr>
            </w:pPr>
            <w:r w:rsidRPr="008436BB">
              <w:rPr>
                <w:sz w:val="18"/>
                <w:szCs w:val="18"/>
              </w:rPr>
              <w:t>(92.0)</w:t>
            </w:r>
          </w:p>
        </w:tc>
        <w:tc>
          <w:tcPr>
            <w:tcW w:w="924" w:type="dxa"/>
            <w:tcBorders>
              <w:top w:val="none" w:sz="6" w:space="0" w:color="auto"/>
              <w:left w:val="single" w:sz="2" w:space="0" w:color="000000"/>
              <w:bottom w:val="single" w:sz="2" w:space="0" w:color="000000"/>
              <w:right w:val="none" w:sz="6" w:space="0" w:color="auto"/>
            </w:tcBorders>
          </w:tcPr>
          <w:p w14:paraId="5CBEB89E" w14:textId="77777777" w:rsidR="008A1AA7" w:rsidRPr="008436BB" w:rsidRDefault="008A1AA7" w:rsidP="008436BB">
            <w:pPr>
              <w:spacing w:before="0" w:after="0" w:line="360" w:lineRule="auto"/>
              <w:ind w:left="113"/>
              <w:rPr>
                <w:sz w:val="18"/>
                <w:szCs w:val="18"/>
              </w:rPr>
            </w:pPr>
            <w:r w:rsidRPr="008436BB">
              <w:rPr>
                <w:sz w:val="18"/>
                <w:szCs w:val="18"/>
              </w:rPr>
              <w:t>34</w:t>
            </w:r>
          </w:p>
        </w:tc>
        <w:tc>
          <w:tcPr>
            <w:tcW w:w="1149" w:type="dxa"/>
            <w:gridSpan w:val="2"/>
            <w:tcBorders>
              <w:top w:val="none" w:sz="6" w:space="0" w:color="auto"/>
              <w:left w:val="none" w:sz="6" w:space="0" w:color="auto"/>
              <w:bottom w:val="single" w:sz="2" w:space="0" w:color="000000"/>
              <w:right w:val="single" w:sz="2" w:space="0" w:color="000000"/>
            </w:tcBorders>
          </w:tcPr>
          <w:p w14:paraId="5CBEB89F" w14:textId="77777777" w:rsidR="008A1AA7" w:rsidRPr="008436BB" w:rsidRDefault="008A1AA7" w:rsidP="008436BB">
            <w:pPr>
              <w:spacing w:before="0" w:after="0" w:line="360" w:lineRule="auto"/>
              <w:ind w:left="113"/>
              <w:rPr>
                <w:sz w:val="18"/>
                <w:szCs w:val="18"/>
              </w:rPr>
            </w:pPr>
            <w:r w:rsidRPr="008436BB">
              <w:rPr>
                <w:sz w:val="18"/>
                <w:szCs w:val="18"/>
              </w:rPr>
              <w:t>(97.1)</w:t>
            </w:r>
          </w:p>
        </w:tc>
        <w:tc>
          <w:tcPr>
            <w:tcW w:w="924" w:type="dxa"/>
            <w:tcBorders>
              <w:top w:val="none" w:sz="6" w:space="0" w:color="auto"/>
              <w:left w:val="single" w:sz="2" w:space="0" w:color="000000"/>
              <w:bottom w:val="single" w:sz="2" w:space="0" w:color="000000"/>
              <w:right w:val="none" w:sz="6" w:space="0" w:color="auto"/>
            </w:tcBorders>
          </w:tcPr>
          <w:p w14:paraId="5CBEB8A0" w14:textId="77777777" w:rsidR="008A1AA7" w:rsidRPr="008436BB" w:rsidRDefault="008A1AA7" w:rsidP="008436BB">
            <w:pPr>
              <w:spacing w:before="0" w:after="0" w:line="360" w:lineRule="auto"/>
              <w:ind w:left="113"/>
              <w:rPr>
                <w:sz w:val="18"/>
                <w:szCs w:val="18"/>
              </w:rPr>
            </w:pPr>
            <w:r w:rsidRPr="008436BB">
              <w:rPr>
                <w:sz w:val="18"/>
                <w:szCs w:val="18"/>
              </w:rPr>
              <w:t>57</w:t>
            </w:r>
          </w:p>
        </w:tc>
        <w:tc>
          <w:tcPr>
            <w:tcW w:w="1000" w:type="dxa"/>
            <w:gridSpan w:val="2"/>
            <w:tcBorders>
              <w:top w:val="none" w:sz="6" w:space="0" w:color="auto"/>
              <w:left w:val="none" w:sz="6" w:space="0" w:color="auto"/>
              <w:bottom w:val="single" w:sz="2" w:space="0" w:color="000000"/>
              <w:right w:val="single" w:sz="6" w:space="0" w:color="000000"/>
            </w:tcBorders>
          </w:tcPr>
          <w:p w14:paraId="5CBEB8A1" w14:textId="77777777" w:rsidR="008A1AA7" w:rsidRPr="008436BB" w:rsidRDefault="008A1AA7" w:rsidP="008436BB">
            <w:pPr>
              <w:spacing w:before="0" w:after="0" w:line="360" w:lineRule="auto"/>
              <w:ind w:left="113"/>
              <w:rPr>
                <w:sz w:val="18"/>
                <w:szCs w:val="18"/>
              </w:rPr>
            </w:pPr>
            <w:r w:rsidRPr="008436BB">
              <w:rPr>
                <w:sz w:val="18"/>
                <w:szCs w:val="18"/>
              </w:rPr>
              <w:t>(95.0)</w:t>
            </w:r>
          </w:p>
        </w:tc>
      </w:tr>
      <w:tr w:rsidR="008A1AA7" w:rsidRPr="008436BB" w14:paraId="5CBEB8A4" w14:textId="77777777" w:rsidTr="00D92572">
        <w:trPr>
          <w:trHeight w:val="304"/>
        </w:trPr>
        <w:tc>
          <w:tcPr>
            <w:tcW w:w="8789" w:type="dxa"/>
            <w:gridSpan w:val="10"/>
            <w:tcBorders>
              <w:top w:val="single" w:sz="2" w:space="0" w:color="000000"/>
              <w:left w:val="single" w:sz="6" w:space="0" w:color="000000"/>
              <w:bottom w:val="single" w:sz="2" w:space="0" w:color="000000"/>
              <w:right w:val="single" w:sz="6" w:space="0" w:color="000000"/>
            </w:tcBorders>
          </w:tcPr>
          <w:p w14:paraId="5CBEB8A3" w14:textId="77777777" w:rsidR="008A1AA7" w:rsidRPr="008436BB" w:rsidRDefault="008A1AA7" w:rsidP="008436BB">
            <w:pPr>
              <w:spacing w:before="0" w:after="0" w:line="360" w:lineRule="auto"/>
              <w:ind w:left="113"/>
              <w:rPr>
                <w:b/>
                <w:bCs/>
                <w:sz w:val="18"/>
                <w:szCs w:val="18"/>
              </w:rPr>
            </w:pPr>
            <w:r w:rsidRPr="008436BB">
              <w:rPr>
                <w:b/>
                <w:bCs/>
                <w:sz w:val="18"/>
                <w:szCs w:val="18"/>
              </w:rPr>
              <w:t>Baseline B Symptoms</w:t>
            </w:r>
          </w:p>
        </w:tc>
      </w:tr>
      <w:tr w:rsidR="008A1AA7" w:rsidRPr="008436BB" w14:paraId="5CBEB8AC" w14:textId="77777777" w:rsidTr="00D92572">
        <w:trPr>
          <w:trHeight w:val="213"/>
        </w:trPr>
        <w:tc>
          <w:tcPr>
            <w:tcW w:w="2719" w:type="dxa"/>
            <w:tcBorders>
              <w:top w:val="single" w:sz="2" w:space="0" w:color="000000"/>
              <w:left w:val="single" w:sz="6" w:space="0" w:color="000000"/>
              <w:bottom w:val="single" w:sz="2" w:space="0" w:color="000000"/>
              <w:right w:val="single" w:sz="2" w:space="0" w:color="000000"/>
            </w:tcBorders>
          </w:tcPr>
          <w:p w14:paraId="5CBEB8A5" w14:textId="77777777" w:rsidR="008A1AA7" w:rsidRPr="008436BB" w:rsidRDefault="008A1AA7" w:rsidP="008436BB">
            <w:pPr>
              <w:spacing w:before="0" w:after="0" w:line="360" w:lineRule="auto"/>
              <w:ind w:left="113"/>
              <w:rPr>
                <w:sz w:val="18"/>
                <w:szCs w:val="18"/>
              </w:rPr>
            </w:pPr>
            <w:r w:rsidRPr="008436BB">
              <w:rPr>
                <w:sz w:val="18"/>
                <w:szCs w:val="18"/>
              </w:rPr>
              <w:t>Yes</w:t>
            </w:r>
          </w:p>
        </w:tc>
        <w:tc>
          <w:tcPr>
            <w:tcW w:w="924" w:type="dxa"/>
            <w:tcBorders>
              <w:top w:val="single" w:sz="2" w:space="0" w:color="000000"/>
              <w:left w:val="single" w:sz="2" w:space="0" w:color="000000"/>
              <w:bottom w:val="single" w:sz="2" w:space="0" w:color="000000"/>
              <w:right w:val="none" w:sz="6" w:space="0" w:color="auto"/>
            </w:tcBorders>
          </w:tcPr>
          <w:p w14:paraId="5CBEB8A6" w14:textId="77777777" w:rsidR="008A1AA7" w:rsidRPr="008436BB" w:rsidRDefault="008A1AA7" w:rsidP="008436BB">
            <w:pPr>
              <w:spacing w:before="0" w:after="0" w:line="360" w:lineRule="auto"/>
              <w:ind w:left="113"/>
              <w:rPr>
                <w:sz w:val="18"/>
                <w:szCs w:val="18"/>
              </w:rPr>
            </w:pPr>
            <w:r w:rsidRPr="008436BB">
              <w:rPr>
                <w:sz w:val="18"/>
                <w:szCs w:val="18"/>
              </w:rPr>
              <w:t>5</w:t>
            </w:r>
          </w:p>
        </w:tc>
        <w:tc>
          <w:tcPr>
            <w:tcW w:w="1149" w:type="dxa"/>
            <w:gridSpan w:val="2"/>
            <w:tcBorders>
              <w:top w:val="single" w:sz="2" w:space="0" w:color="000000"/>
              <w:left w:val="none" w:sz="6" w:space="0" w:color="auto"/>
              <w:bottom w:val="single" w:sz="2" w:space="0" w:color="000000"/>
              <w:right w:val="single" w:sz="2" w:space="0" w:color="000000"/>
            </w:tcBorders>
          </w:tcPr>
          <w:p w14:paraId="5CBEB8A7" w14:textId="77777777" w:rsidR="008A1AA7" w:rsidRPr="008436BB" w:rsidRDefault="008A1AA7" w:rsidP="008436BB">
            <w:pPr>
              <w:spacing w:before="0" w:after="0" w:line="360" w:lineRule="auto"/>
              <w:ind w:left="113"/>
              <w:rPr>
                <w:sz w:val="18"/>
                <w:szCs w:val="18"/>
              </w:rPr>
            </w:pPr>
            <w:r w:rsidRPr="008436BB">
              <w:rPr>
                <w:sz w:val="18"/>
                <w:szCs w:val="18"/>
              </w:rPr>
              <w:t>(20.0)</w:t>
            </w:r>
          </w:p>
        </w:tc>
        <w:tc>
          <w:tcPr>
            <w:tcW w:w="924" w:type="dxa"/>
            <w:tcBorders>
              <w:top w:val="single" w:sz="2" w:space="0" w:color="000000"/>
              <w:left w:val="single" w:sz="2" w:space="0" w:color="000000"/>
              <w:bottom w:val="single" w:sz="2" w:space="0" w:color="000000"/>
              <w:right w:val="none" w:sz="6" w:space="0" w:color="auto"/>
            </w:tcBorders>
          </w:tcPr>
          <w:p w14:paraId="5CBEB8A8" w14:textId="77777777" w:rsidR="008A1AA7" w:rsidRPr="008436BB" w:rsidRDefault="008A1AA7" w:rsidP="008436BB">
            <w:pPr>
              <w:spacing w:before="0" w:after="0" w:line="360" w:lineRule="auto"/>
              <w:ind w:left="113"/>
              <w:rPr>
                <w:sz w:val="18"/>
                <w:szCs w:val="18"/>
              </w:rPr>
            </w:pPr>
            <w:r w:rsidRPr="008436BB">
              <w:rPr>
                <w:sz w:val="18"/>
                <w:szCs w:val="18"/>
              </w:rPr>
              <w:t>14</w:t>
            </w:r>
          </w:p>
        </w:tc>
        <w:tc>
          <w:tcPr>
            <w:tcW w:w="1149" w:type="dxa"/>
            <w:gridSpan w:val="2"/>
            <w:tcBorders>
              <w:top w:val="single" w:sz="2" w:space="0" w:color="000000"/>
              <w:left w:val="none" w:sz="6" w:space="0" w:color="auto"/>
              <w:bottom w:val="single" w:sz="2" w:space="0" w:color="000000"/>
              <w:right w:val="single" w:sz="2" w:space="0" w:color="000000"/>
            </w:tcBorders>
          </w:tcPr>
          <w:p w14:paraId="5CBEB8A9" w14:textId="77777777" w:rsidR="008A1AA7" w:rsidRPr="008436BB" w:rsidRDefault="008A1AA7" w:rsidP="008436BB">
            <w:pPr>
              <w:spacing w:before="0" w:after="0" w:line="360" w:lineRule="auto"/>
              <w:ind w:left="113"/>
              <w:rPr>
                <w:sz w:val="18"/>
                <w:szCs w:val="18"/>
              </w:rPr>
            </w:pPr>
            <w:r w:rsidRPr="008436BB">
              <w:rPr>
                <w:sz w:val="18"/>
                <w:szCs w:val="18"/>
              </w:rPr>
              <w:t>(40.0)</w:t>
            </w:r>
          </w:p>
        </w:tc>
        <w:tc>
          <w:tcPr>
            <w:tcW w:w="924" w:type="dxa"/>
            <w:tcBorders>
              <w:top w:val="single" w:sz="2" w:space="0" w:color="000000"/>
              <w:left w:val="single" w:sz="2" w:space="0" w:color="000000"/>
              <w:bottom w:val="single" w:sz="2" w:space="0" w:color="000000"/>
              <w:right w:val="none" w:sz="6" w:space="0" w:color="auto"/>
            </w:tcBorders>
          </w:tcPr>
          <w:p w14:paraId="5CBEB8AA" w14:textId="77777777" w:rsidR="008A1AA7" w:rsidRPr="008436BB" w:rsidRDefault="008A1AA7" w:rsidP="008436BB">
            <w:pPr>
              <w:spacing w:before="0" w:after="0" w:line="360" w:lineRule="auto"/>
              <w:ind w:left="113"/>
              <w:rPr>
                <w:sz w:val="18"/>
                <w:szCs w:val="18"/>
              </w:rPr>
            </w:pPr>
            <w:r w:rsidRPr="008436BB">
              <w:rPr>
                <w:sz w:val="18"/>
                <w:szCs w:val="18"/>
              </w:rPr>
              <w:t>19</w:t>
            </w:r>
          </w:p>
        </w:tc>
        <w:tc>
          <w:tcPr>
            <w:tcW w:w="1000" w:type="dxa"/>
            <w:gridSpan w:val="2"/>
            <w:tcBorders>
              <w:top w:val="single" w:sz="2" w:space="0" w:color="000000"/>
              <w:left w:val="none" w:sz="6" w:space="0" w:color="auto"/>
              <w:bottom w:val="single" w:sz="2" w:space="0" w:color="000000"/>
              <w:right w:val="single" w:sz="6" w:space="0" w:color="000000"/>
            </w:tcBorders>
          </w:tcPr>
          <w:p w14:paraId="5CBEB8AB" w14:textId="77777777" w:rsidR="008A1AA7" w:rsidRPr="008436BB" w:rsidRDefault="008A1AA7" w:rsidP="008436BB">
            <w:pPr>
              <w:spacing w:before="0" w:after="0" w:line="360" w:lineRule="auto"/>
              <w:ind w:left="113"/>
              <w:rPr>
                <w:sz w:val="18"/>
                <w:szCs w:val="18"/>
              </w:rPr>
            </w:pPr>
            <w:r w:rsidRPr="008436BB">
              <w:rPr>
                <w:sz w:val="18"/>
                <w:szCs w:val="18"/>
              </w:rPr>
              <w:t>(31.7)</w:t>
            </w:r>
          </w:p>
        </w:tc>
      </w:tr>
    </w:tbl>
    <w:p w14:paraId="5CBEB8AD" w14:textId="461D4B2B" w:rsidR="008A1AA7" w:rsidRDefault="008436BB" w:rsidP="008436BB">
      <w:pPr>
        <w:pStyle w:val="Tabletitle0"/>
      </w:pPr>
      <w:r>
        <w:t xml:space="preserve">Table </w:t>
      </w:r>
      <w:r w:rsidR="00C44A61">
        <w:t xml:space="preserve">25: </w:t>
      </w:r>
      <w:r w:rsidR="008A1AA7" w:rsidRPr="008A1AA7">
        <w:t xml:space="preserve">Summary of Efficacy by </w:t>
      </w:r>
      <w:proofErr w:type="spellStart"/>
      <w:r w:rsidR="008A1AA7" w:rsidRPr="008A1AA7">
        <w:t>Brentuximab</w:t>
      </w:r>
      <w:proofErr w:type="spellEnd"/>
      <w:r w:rsidR="008A1AA7" w:rsidRPr="008A1AA7">
        <w:t xml:space="preserve"> </w:t>
      </w:r>
      <w:proofErr w:type="spellStart"/>
      <w:r w:rsidR="008A1AA7" w:rsidRPr="008A1AA7">
        <w:t>Vedotin</w:t>
      </w:r>
      <w:proofErr w:type="spellEnd"/>
      <w:r w:rsidR="008A1AA7" w:rsidRPr="008A1AA7">
        <w:t xml:space="preserve"> Status, KEYNOTE-087 Cohort 3</w:t>
      </w:r>
    </w:p>
    <w:tbl>
      <w:tblPr>
        <w:tblW w:w="0" w:type="auto"/>
        <w:tblInd w:w="5" w:type="dxa"/>
        <w:tblLayout w:type="fixed"/>
        <w:tblCellMar>
          <w:left w:w="0" w:type="dxa"/>
          <w:right w:w="0" w:type="dxa"/>
        </w:tblCellMar>
        <w:tblLook w:val="0000" w:firstRow="0" w:lastRow="0" w:firstColumn="0" w:lastColumn="0" w:noHBand="0" w:noVBand="0"/>
        <w:tblDescription w:val="Table 25: Summary of Efficacy by Brentuximab Vedotin Status, KEYNOTE-087 Cohort 3"/>
      </w:tblPr>
      <w:tblGrid>
        <w:gridCol w:w="3413"/>
        <w:gridCol w:w="2402"/>
        <w:gridCol w:w="2402"/>
      </w:tblGrid>
      <w:tr w:rsidR="008436BB" w:rsidRPr="008436BB" w14:paraId="5CBEB8B0" w14:textId="77777777" w:rsidTr="00782317">
        <w:trPr>
          <w:cantSplit/>
          <w:trHeight w:val="253"/>
          <w:tblHeader/>
        </w:trPr>
        <w:tc>
          <w:tcPr>
            <w:tcW w:w="3413" w:type="dxa"/>
            <w:vMerge w:val="restart"/>
            <w:tcBorders>
              <w:top w:val="single" w:sz="4" w:space="0" w:color="000000"/>
              <w:left w:val="single" w:sz="4" w:space="0" w:color="000000"/>
              <w:bottom w:val="single" w:sz="4" w:space="0" w:color="000000"/>
              <w:right w:val="single" w:sz="4" w:space="0" w:color="000000"/>
            </w:tcBorders>
            <w:shd w:val="clear" w:color="auto" w:fill="0070C0"/>
          </w:tcPr>
          <w:p w14:paraId="5CBEB8AE" w14:textId="77777777" w:rsidR="008A1AA7" w:rsidRPr="008436BB" w:rsidRDefault="008A1AA7" w:rsidP="008436BB">
            <w:pPr>
              <w:spacing w:before="0" w:after="0" w:line="360" w:lineRule="auto"/>
              <w:rPr>
                <w:b/>
                <w:color w:val="FFFFFF" w:themeColor="background1"/>
                <w:sz w:val="18"/>
                <w:szCs w:val="18"/>
              </w:rPr>
            </w:pP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0070C0"/>
          </w:tcPr>
          <w:p w14:paraId="5CBEB8AF" w14:textId="77777777" w:rsidR="008A1AA7" w:rsidRPr="008436BB" w:rsidRDefault="008A1AA7" w:rsidP="008436BB">
            <w:pPr>
              <w:spacing w:before="0" w:after="0" w:line="360" w:lineRule="auto"/>
              <w:rPr>
                <w:b/>
                <w:color w:val="FFFFFF" w:themeColor="background1"/>
                <w:sz w:val="18"/>
                <w:szCs w:val="18"/>
              </w:rPr>
            </w:pPr>
            <w:r w:rsidRPr="008436BB">
              <w:rPr>
                <w:b/>
                <w:color w:val="FFFFFF" w:themeColor="background1"/>
                <w:sz w:val="18"/>
                <w:szCs w:val="18"/>
              </w:rPr>
              <w:t>Cohort 3</w:t>
            </w:r>
          </w:p>
        </w:tc>
      </w:tr>
      <w:tr w:rsidR="008436BB" w:rsidRPr="008436BB" w14:paraId="5CBEB8B4" w14:textId="77777777" w:rsidTr="00782317">
        <w:trPr>
          <w:cantSplit/>
          <w:trHeight w:val="251"/>
          <w:tblHeader/>
        </w:trPr>
        <w:tc>
          <w:tcPr>
            <w:tcW w:w="3413" w:type="dxa"/>
            <w:vMerge/>
            <w:tcBorders>
              <w:top w:val="nil"/>
              <w:left w:val="single" w:sz="4" w:space="0" w:color="000000"/>
              <w:bottom w:val="single" w:sz="4" w:space="0" w:color="000000"/>
              <w:right w:val="single" w:sz="4" w:space="0" w:color="000000"/>
            </w:tcBorders>
            <w:shd w:val="clear" w:color="auto" w:fill="0070C0"/>
          </w:tcPr>
          <w:p w14:paraId="5CBEB8B1" w14:textId="77777777" w:rsidR="008A1AA7" w:rsidRPr="008436BB" w:rsidRDefault="008A1AA7" w:rsidP="008436BB">
            <w:pPr>
              <w:spacing w:before="0" w:after="0" w:line="360" w:lineRule="auto"/>
              <w:rPr>
                <w:b/>
                <w:color w:val="FFFFFF" w:themeColor="background1"/>
                <w:sz w:val="18"/>
                <w:szCs w:val="18"/>
              </w:rPr>
            </w:pPr>
          </w:p>
        </w:tc>
        <w:tc>
          <w:tcPr>
            <w:tcW w:w="2402" w:type="dxa"/>
            <w:tcBorders>
              <w:top w:val="single" w:sz="4" w:space="0" w:color="000000"/>
              <w:left w:val="single" w:sz="4" w:space="0" w:color="000000"/>
              <w:bottom w:val="single" w:sz="4" w:space="0" w:color="000000"/>
              <w:right w:val="single" w:sz="4" w:space="0" w:color="000000"/>
            </w:tcBorders>
            <w:shd w:val="clear" w:color="auto" w:fill="0070C0"/>
          </w:tcPr>
          <w:p w14:paraId="5CBEB8B2" w14:textId="77777777" w:rsidR="008A1AA7" w:rsidRPr="008436BB" w:rsidRDefault="008A1AA7" w:rsidP="008436BB">
            <w:pPr>
              <w:spacing w:before="0" w:after="0" w:line="360" w:lineRule="auto"/>
              <w:rPr>
                <w:b/>
                <w:color w:val="FFFFFF" w:themeColor="background1"/>
                <w:sz w:val="18"/>
                <w:szCs w:val="18"/>
              </w:rPr>
            </w:pPr>
            <w:r w:rsidRPr="008436BB">
              <w:rPr>
                <w:b/>
                <w:color w:val="FFFFFF" w:themeColor="background1"/>
                <w:sz w:val="18"/>
                <w:szCs w:val="18"/>
              </w:rPr>
              <w:t>Prior BV (n=25)</w:t>
            </w:r>
          </w:p>
        </w:tc>
        <w:tc>
          <w:tcPr>
            <w:tcW w:w="2402" w:type="dxa"/>
            <w:tcBorders>
              <w:top w:val="single" w:sz="4" w:space="0" w:color="000000"/>
              <w:left w:val="single" w:sz="4" w:space="0" w:color="000000"/>
              <w:bottom w:val="single" w:sz="4" w:space="0" w:color="000000"/>
              <w:right w:val="single" w:sz="4" w:space="0" w:color="000000"/>
            </w:tcBorders>
            <w:shd w:val="clear" w:color="auto" w:fill="0070C0"/>
          </w:tcPr>
          <w:p w14:paraId="5CBEB8B3" w14:textId="77777777" w:rsidR="008A1AA7" w:rsidRPr="008436BB" w:rsidRDefault="008A1AA7" w:rsidP="008436BB">
            <w:pPr>
              <w:spacing w:before="0" w:after="0" w:line="360" w:lineRule="auto"/>
              <w:rPr>
                <w:b/>
                <w:color w:val="FFFFFF" w:themeColor="background1"/>
                <w:sz w:val="18"/>
                <w:szCs w:val="18"/>
              </w:rPr>
            </w:pPr>
            <w:r w:rsidRPr="008436BB">
              <w:rPr>
                <w:b/>
                <w:color w:val="FFFFFF" w:themeColor="background1"/>
                <w:sz w:val="18"/>
                <w:szCs w:val="18"/>
              </w:rPr>
              <w:t>BV-naïve (n=35)</w:t>
            </w:r>
          </w:p>
        </w:tc>
      </w:tr>
      <w:tr w:rsidR="008A1AA7" w:rsidRPr="008436BB" w14:paraId="5CBEB8B8" w14:textId="77777777" w:rsidTr="00782317">
        <w:trPr>
          <w:trHeight w:val="505"/>
        </w:trPr>
        <w:tc>
          <w:tcPr>
            <w:tcW w:w="3413" w:type="dxa"/>
            <w:tcBorders>
              <w:top w:val="single" w:sz="4" w:space="0" w:color="000000"/>
              <w:left w:val="single" w:sz="4" w:space="0" w:color="000000"/>
              <w:bottom w:val="single" w:sz="4" w:space="0" w:color="000000"/>
              <w:right w:val="single" w:sz="4" w:space="0" w:color="000000"/>
            </w:tcBorders>
          </w:tcPr>
          <w:p w14:paraId="5CBEB8B5" w14:textId="77777777" w:rsidR="008A1AA7" w:rsidRPr="008436BB" w:rsidRDefault="008A1AA7" w:rsidP="00782317">
            <w:pPr>
              <w:spacing w:before="0" w:after="0" w:line="360" w:lineRule="auto"/>
              <w:ind w:left="113"/>
              <w:rPr>
                <w:sz w:val="18"/>
                <w:szCs w:val="18"/>
              </w:rPr>
            </w:pPr>
            <w:r w:rsidRPr="008436BB">
              <w:rPr>
                <w:sz w:val="18"/>
                <w:szCs w:val="18"/>
              </w:rPr>
              <w:t>ORR</w:t>
            </w:r>
            <w:r w:rsidR="00782317">
              <w:rPr>
                <w:sz w:val="18"/>
                <w:szCs w:val="18"/>
              </w:rPr>
              <w:t xml:space="preserve"> </w:t>
            </w:r>
            <w:r w:rsidRPr="008436BB">
              <w:rPr>
                <w:sz w:val="18"/>
                <w:szCs w:val="18"/>
              </w:rPr>
              <w:t>(95% CI)</w:t>
            </w:r>
          </w:p>
        </w:tc>
        <w:tc>
          <w:tcPr>
            <w:tcW w:w="2402" w:type="dxa"/>
            <w:tcBorders>
              <w:top w:val="single" w:sz="4" w:space="0" w:color="000000"/>
              <w:left w:val="single" w:sz="4" w:space="0" w:color="000000"/>
              <w:bottom w:val="single" w:sz="4" w:space="0" w:color="000000"/>
              <w:right w:val="single" w:sz="4" w:space="0" w:color="000000"/>
            </w:tcBorders>
          </w:tcPr>
          <w:p w14:paraId="5CBEB8B6" w14:textId="77777777" w:rsidR="008A1AA7" w:rsidRPr="008436BB" w:rsidRDefault="008A1AA7" w:rsidP="00782317">
            <w:pPr>
              <w:spacing w:before="0" w:after="0" w:line="360" w:lineRule="auto"/>
              <w:ind w:left="113"/>
              <w:rPr>
                <w:sz w:val="18"/>
                <w:szCs w:val="18"/>
              </w:rPr>
            </w:pPr>
            <w:r w:rsidRPr="008436BB">
              <w:rPr>
                <w:sz w:val="18"/>
                <w:szCs w:val="18"/>
              </w:rPr>
              <w:t>68.0%</w:t>
            </w:r>
            <w:r w:rsidR="00782317">
              <w:rPr>
                <w:sz w:val="18"/>
                <w:szCs w:val="18"/>
              </w:rPr>
              <w:t xml:space="preserve"> </w:t>
            </w:r>
            <w:r w:rsidRPr="008436BB">
              <w:rPr>
                <w:sz w:val="18"/>
                <w:szCs w:val="18"/>
              </w:rPr>
              <w:t>(46.5%, 85.1%)</w:t>
            </w:r>
          </w:p>
        </w:tc>
        <w:tc>
          <w:tcPr>
            <w:tcW w:w="2402" w:type="dxa"/>
            <w:tcBorders>
              <w:top w:val="single" w:sz="4" w:space="0" w:color="000000"/>
              <w:left w:val="single" w:sz="4" w:space="0" w:color="000000"/>
              <w:bottom w:val="single" w:sz="4" w:space="0" w:color="000000"/>
              <w:right w:val="single" w:sz="4" w:space="0" w:color="000000"/>
            </w:tcBorders>
          </w:tcPr>
          <w:p w14:paraId="5CBEB8B7" w14:textId="77777777" w:rsidR="008A1AA7" w:rsidRPr="008436BB" w:rsidRDefault="008A1AA7" w:rsidP="00782317">
            <w:pPr>
              <w:spacing w:before="0" w:after="0" w:line="360" w:lineRule="auto"/>
              <w:ind w:left="113"/>
              <w:rPr>
                <w:sz w:val="18"/>
                <w:szCs w:val="18"/>
              </w:rPr>
            </w:pPr>
            <w:r w:rsidRPr="008436BB">
              <w:rPr>
                <w:sz w:val="18"/>
                <w:szCs w:val="18"/>
              </w:rPr>
              <w:t>71.4%</w:t>
            </w:r>
            <w:r w:rsidR="00782317">
              <w:rPr>
                <w:sz w:val="18"/>
                <w:szCs w:val="18"/>
              </w:rPr>
              <w:t xml:space="preserve"> </w:t>
            </w:r>
            <w:r w:rsidRPr="008436BB">
              <w:rPr>
                <w:sz w:val="18"/>
                <w:szCs w:val="18"/>
              </w:rPr>
              <w:t>(53.7%, 85.4%)</w:t>
            </w:r>
          </w:p>
        </w:tc>
      </w:tr>
      <w:tr w:rsidR="008A1AA7" w:rsidRPr="008436BB" w14:paraId="5CBEB8BC" w14:textId="77777777" w:rsidTr="00782317">
        <w:trPr>
          <w:trHeight w:val="505"/>
        </w:trPr>
        <w:tc>
          <w:tcPr>
            <w:tcW w:w="3413" w:type="dxa"/>
            <w:tcBorders>
              <w:top w:val="single" w:sz="4" w:space="0" w:color="000000"/>
              <w:left w:val="single" w:sz="4" w:space="0" w:color="000000"/>
              <w:bottom w:val="single" w:sz="4" w:space="0" w:color="000000"/>
              <w:right w:val="single" w:sz="4" w:space="0" w:color="000000"/>
            </w:tcBorders>
          </w:tcPr>
          <w:p w14:paraId="5CBEB8B9" w14:textId="77777777" w:rsidR="008A1AA7" w:rsidRPr="008436BB" w:rsidRDefault="008A1AA7" w:rsidP="00782317">
            <w:pPr>
              <w:spacing w:before="0" w:after="0" w:line="360" w:lineRule="auto"/>
              <w:ind w:left="113"/>
              <w:rPr>
                <w:sz w:val="18"/>
                <w:szCs w:val="18"/>
              </w:rPr>
            </w:pPr>
            <w:r w:rsidRPr="008436BB">
              <w:rPr>
                <w:sz w:val="18"/>
                <w:szCs w:val="18"/>
              </w:rPr>
              <w:t>Median DOR (95% CI)</w:t>
            </w:r>
          </w:p>
        </w:tc>
        <w:tc>
          <w:tcPr>
            <w:tcW w:w="2402" w:type="dxa"/>
            <w:tcBorders>
              <w:top w:val="single" w:sz="4" w:space="0" w:color="000000"/>
              <w:left w:val="single" w:sz="4" w:space="0" w:color="000000"/>
              <w:bottom w:val="single" w:sz="4" w:space="0" w:color="000000"/>
              <w:right w:val="single" w:sz="4" w:space="0" w:color="000000"/>
            </w:tcBorders>
          </w:tcPr>
          <w:p w14:paraId="5CBEB8BA" w14:textId="77777777" w:rsidR="008A1AA7" w:rsidRPr="008436BB" w:rsidRDefault="008A1AA7" w:rsidP="00782317">
            <w:pPr>
              <w:spacing w:before="0" w:after="0" w:line="360" w:lineRule="auto"/>
              <w:ind w:left="113"/>
              <w:rPr>
                <w:sz w:val="18"/>
                <w:szCs w:val="18"/>
              </w:rPr>
            </w:pPr>
            <w:r w:rsidRPr="008436BB">
              <w:rPr>
                <w:sz w:val="18"/>
                <w:szCs w:val="18"/>
              </w:rPr>
              <w:t>8.5 m</w:t>
            </w:r>
            <w:r w:rsidR="00782317">
              <w:rPr>
                <w:sz w:val="18"/>
                <w:szCs w:val="18"/>
              </w:rPr>
              <w:t xml:space="preserve"> </w:t>
            </w:r>
            <w:r w:rsidRPr="008436BB">
              <w:rPr>
                <w:sz w:val="18"/>
                <w:szCs w:val="18"/>
              </w:rPr>
              <w:t>(5.5, 8.5)</w:t>
            </w:r>
          </w:p>
        </w:tc>
        <w:tc>
          <w:tcPr>
            <w:tcW w:w="2402" w:type="dxa"/>
            <w:tcBorders>
              <w:top w:val="single" w:sz="4" w:space="0" w:color="000000"/>
              <w:left w:val="single" w:sz="4" w:space="0" w:color="000000"/>
              <w:bottom w:val="single" w:sz="4" w:space="0" w:color="000000"/>
              <w:right w:val="single" w:sz="4" w:space="0" w:color="000000"/>
            </w:tcBorders>
          </w:tcPr>
          <w:p w14:paraId="5CBEB8BB" w14:textId="77777777" w:rsidR="008A1AA7" w:rsidRPr="008436BB" w:rsidRDefault="008A1AA7" w:rsidP="00782317">
            <w:pPr>
              <w:spacing w:before="0" w:after="0" w:line="360" w:lineRule="auto"/>
              <w:ind w:left="113"/>
              <w:rPr>
                <w:sz w:val="18"/>
                <w:szCs w:val="18"/>
              </w:rPr>
            </w:pPr>
            <w:r w:rsidRPr="008436BB">
              <w:rPr>
                <w:sz w:val="18"/>
                <w:szCs w:val="18"/>
              </w:rPr>
              <w:t>NR</w:t>
            </w:r>
            <w:r w:rsidR="00782317">
              <w:rPr>
                <w:sz w:val="18"/>
                <w:szCs w:val="18"/>
              </w:rPr>
              <w:t xml:space="preserve"> </w:t>
            </w:r>
            <w:r w:rsidRPr="008436BB">
              <w:rPr>
                <w:sz w:val="18"/>
                <w:szCs w:val="18"/>
              </w:rPr>
              <w:t>(NR, NR)</w:t>
            </w:r>
          </w:p>
        </w:tc>
      </w:tr>
      <w:tr w:rsidR="008A1AA7" w:rsidRPr="008436BB" w14:paraId="5CBEB8C0" w14:textId="77777777" w:rsidTr="00782317">
        <w:trPr>
          <w:trHeight w:val="506"/>
        </w:trPr>
        <w:tc>
          <w:tcPr>
            <w:tcW w:w="3413" w:type="dxa"/>
            <w:tcBorders>
              <w:top w:val="single" w:sz="4" w:space="0" w:color="000000"/>
              <w:left w:val="single" w:sz="4" w:space="0" w:color="000000"/>
              <w:bottom w:val="single" w:sz="4" w:space="0" w:color="000000"/>
              <w:right w:val="single" w:sz="4" w:space="0" w:color="000000"/>
            </w:tcBorders>
          </w:tcPr>
          <w:p w14:paraId="5CBEB8BD" w14:textId="77777777" w:rsidR="008A1AA7" w:rsidRPr="008436BB" w:rsidRDefault="008A1AA7" w:rsidP="00782317">
            <w:pPr>
              <w:spacing w:before="0" w:after="0" w:line="360" w:lineRule="auto"/>
              <w:ind w:left="113"/>
              <w:rPr>
                <w:sz w:val="18"/>
                <w:szCs w:val="18"/>
              </w:rPr>
            </w:pPr>
            <w:r w:rsidRPr="008436BB">
              <w:rPr>
                <w:sz w:val="18"/>
                <w:szCs w:val="18"/>
              </w:rPr>
              <w:t>Median PFS</w:t>
            </w:r>
            <w:r w:rsidR="00782317">
              <w:rPr>
                <w:sz w:val="18"/>
                <w:szCs w:val="18"/>
              </w:rPr>
              <w:t xml:space="preserve"> </w:t>
            </w:r>
            <w:r w:rsidRPr="008436BB">
              <w:rPr>
                <w:sz w:val="18"/>
                <w:szCs w:val="18"/>
              </w:rPr>
              <w:t>(95% CI)</w:t>
            </w:r>
          </w:p>
        </w:tc>
        <w:tc>
          <w:tcPr>
            <w:tcW w:w="2402" w:type="dxa"/>
            <w:tcBorders>
              <w:top w:val="single" w:sz="4" w:space="0" w:color="000000"/>
              <w:left w:val="single" w:sz="4" w:space="0" w:color="000000"/>
              <w:bottom w:val="single" w:sz="4" w:space="0" w:color="000000"/>
              <w:right w:val="single" w:sz="4" w:space="0" w:color="000000"/>
            </w:tcBorders>
          </w:tcPr>
          <w:p w14:paraId="5CBEB8BE" w14:textId="77777777" w:rsidR="008A1AA7" w:rsidRPr="008436BB" w:rsidRDefault="008A1AA7" w:rsidP="00782317">
            <w:pPr>
              <w:spacing w:before="0" w:after="0" w:line="360" w:lineRule="auto"/>
              <w:ind w:left="113"/>
              <w:rPr>
                <w:sz w:val="18"/>
                <w:szCs w:val="18"/>
              </w:rPr>
            </w:pPr>
            <w:r w:rsidRPr="008436BB">
              <w:rPr>
                <w:sz w:val="18"/>
                <w:szCs w:val="18"/>
              </w:rPr>
              <w:t>11.3 m</w:t>
            </w:r>
            <w:r w:rsidR="00782317">
              <w:rPr>
                <w:sz w:val="18"/>
                <w:szCs w:val="18"/>
              </w:rPr>
              <w:t xml:space="preserve"> </w:t>
            </w:r>
            <w:r w:rsidRPr="008436BB">
              <w:rPr>
                <w:sz w:val="18"/>
                <w:szCs w:val="18"/>
              </w:rPr>
              <w:t>(8.5 m, NR)</w:t>
            </w:r>
          </w:p>
        </w:tc>
        <w:tc>
          <w:tcPr>
            <w:tcW w:w="2402" w:type="dxa"/>
            <w:tcBorders>
              <w:top w:val="single" w:sz="4" w:space="0" w:color="000000"/>
              <w:left w:val="single" w:sz="4" w:space="0" w:color="000000"/>
              <w:bottom w:val="single" w:sz="4" w:space="0" w:color="000000"/>
              <w:right w:val="single" w:sz="4" w:space="0" w:color="000000"/>
            </w:tcBorders>
          </w:tcPr>
          <w:p w14:paraId="5CBEB8BF" w14:textId="77777777" w:rsidR="008A1AA7" w:rsidRPr="008436BB" w:rsidRDefault="008A1AA7" w:rsidP="00782317">
            <w:pPr>
              <w:spacing w:before="0" w:after="0" w:line="360" w:lineRule="auto"/>
              <w:ind w:left="113"/>
              <w:rPr>
                <w:sz w:val="18"/>
                <w:szCs w:val="18"/>
              </w:rPr>
            </w:pPr>
            <w:r w:rsidRPr="008436BB">
              <w:rPr>
                <w:sz w:val="18"/>
                <w:szCs w:val="18"/>
              </w:rPr>
              <w:t>10.3 m</w:t>
            </w:r>
            <w:r w:rsidR="00782317">
              <w:rPr>
                <w:sz w:val="18"/>
                <w:szCs w:val="18"/>
              </w:rPr>
              <w:t xml:space="preserve"> </w:t>
            </w:r>
            <w:r w:rsidRPr="008436BB">
              <w:rPr>
                <w:sz w:val="18"/>
                <w:szCs w:val="18"/>
              </w:rPr>
              <w:t>(6.1 m, NR)</w:t>
            </w:r>
          </w:p>
        </w:tc>
      </w:tr>
      <w:tr w:rsidR="008A1AA7" w:rsidRPr="008436BB" w14:paraId="5CBEB8C4" w14:textId="77777777" w:rsidTr="00782317">
        <w:trPr>
          <w:trHeight w:val="506"/>
        </w:trPr>
        <w:tc>
          <w:tcPr>
            <w:tcW w:w="3413" w:type="dxa"/>
            <w:tcBorders>
              <w:top w:val="single" w:sz="4" w:space="0" w:color="000000"/>
              <w:left w:val="single" w:sz="4" w:space="0" w:color="000000"/>
              <w:bottom w:val="single" w:sz="4" w:space="0" w:color="000000"/>
              <w:right w:val="single" w:sz="4" w:space="0" w:color="000000"/>
            </w:tcBorders>
          </w:tcPr>
          <w:p w14:paraId="5CBEB8C1" w14:textId="77777777" w:rsidR="008A1AA7" w:rsidRPr="008436BB" w:rsidRDefault="008A1AA7" w:rsidP="00782317">
            <w:pPr>
              <w:spacing w:before="0" w:after="0" w:line="360" w:lineRule="auto"/>
              <w:ind w:left="113"/>
              <w:rPr>
                <w:sz w:val="18"/>
                <w:szCs w:val="18"/>
              </w:rPr>
            </w:pPr>
            <w:r w:rsidRPr="008436BB">
              <w:rPr>
                <w:sz w:val="18"/>
                <w:szCs w:val="18"/>
              </w:rPr>
              <w:t>Median OS</w:t>
            </w:r>
            <w:r w:rsidR="00782317">
              <w:rPr>
                <w:sz w:val="18"/>
                <w:szCs w:val="18"/>
              </w:rPr>
              <w:t xml:space="preserve">  </w:t>
            </w:r>
            <w:r w:rsidRPr="008436BB">
              <w:rPr>
                <w:sz w:val="18"/>
                <w:szCs w:val="18"/>
              </w:rPr>
              <w:t>(95% CI)</w:t>
            </w:r>
          </w:p>
        </w:tc>
        <w:tc>
          <w:tcPr>
            <w:tcW w:w="2402" w:type="dxa"/>
            <w:tcBorders>
              <w:top w:val="single" w:sz="4" w:space="0" w:color="000000"/>
              <w:left w:val="single" w:sz="4" w:space="0" w:color="000000"/>
              <w:bottom w:val="single" w:sz="4" w:space="0" w:color="000000"/>
              <w:right w:val="single" w:sz="4" w:space="0" w:color="000000"/>
            </w:tcBorders>
          </w:tcPr>
          <w:p w14:paraId="5CBEB8C2" w14:textId="77777777" w:rsidR="008A1AA7" w:rsidRPr="008436BB" w:rsidRDefault="008A1AA7" w:rsidP="00782317">
            <w:pPr>
              <w:spacing w:before="0" w:after="0" w:line="360" w:lineRule="auto"/>
              <w:ind w:left="113"/>
              <w:rPr>
                <w:sz w:val="18"/>
                <w:szCs w:val="18"/>
              </w:rPr>
            </w:pPr>
            <w:r w:rsidRPr="008436BB">
              <w:rPr>
                <w:sz w:val="18"/>
                <w:szCs w:val="18"/>
              </w:rPr>
              <w:t>NR</w:t>
            </w:r>
            <w:r w:rsidR="00782317">
              <w:rPr>
                <w:sz w:val="18"/>
                <w:szCs w:val="18"/>
              </w:rPr>
              <w:t xml:space="preserve"> </w:t>
            </w:r>
            <w:r w:rsidRPr="008436BB">
              <w:rPr>
                <w:sz w:val="18"/>
                <w:szCs w:val="18"/>
              </w:rPr>
              <w:t>(NR, NR)</w:t>
            </w:r>
          </w:p>
        </w:tc>
        <w:tc>
          <w:tcPr>
            <w:tcW w:w="2402" w:type="dxa"/>
            <w:tcBorders>
              <w:top w:val="single" w:sz="4" w:space="0" w:color="000000"/>
              <w:left w:val="single" w:sz="4" w:space="0" w:color="000000"/>
              <w:bottom w:val="single" w:sz="4" w:space="0" w:color="000000"/>
              <w:right w:val="single" w:sz="4" w:space="0" w:color="000000"/>
            </w:tcBorders>
          </w:tcPr>
          <w:p w14:paraId="5CBEB8C3" w14:textId="77777777" w:rsidR="008A1AA7" w:rsidRPr="008436BB" w:rsidRDefault="008A1AA7" w:rsidP="00782317">
            <w:pPr>
              <w:spacing w:before="0" w:after="0" w:line="360" w:lineRule="auto"/>
              <w:ind w:left="113"/>
              <w:rPr>
                <w:sz w:val="18"/>
                <w:szCs w:val="18"/>
              </w:rPr>
            </w:pPr>
            <w:r w:rsidRPr="008436BB">
              <w:rPr>
                <w:sz w:val="18"/>
                <w:szCs w:val="18"/>
              </w:rPr>
              <w:t>NR</w:t>
            </w:r>
            <w:r w:rsidR="00782317">
              <w:rPr>
                <w:sz w:val="18"/>
                <w:szCs w:val="18"/>
              </w:rPr>
              <w:t xml:space="preserve"> </w:t>
            </w:r>
            <w:r w:rsidRPr="008436BB">
              <w:rPr>
                <w:sz w:val="18"/>
                <w:szCs w:val="18"/>
              </w:rPr>
              <w:t>(NR, NR)</w:t>
            </w:r>
          </w:p>
        </w:tc>
      </w:tr>
      <w:tr w:rsidR="008A1AA7" w:rsidRPr="008436BB" w14:paraId="5CBEB8C6" w14:textId="77777777" w:rsidTr="00782317">
        <w:trPr>
          <w:trHeight w:val="253"/>
        </w:trPr>
        <w:tc>
          <w:tcPr>
            <w:tcW w:w="8217" w:type="dxa"/>
            <w:gridSpan w:val="3"/>
            <w:tcBorders>
              <w:top w:val="single" w:sz="4" w:space="0" w:color="000000"/>
              <w:left w:val="single" w:sz="4" w:space="0" w:color="000000"/>
              <w:bottom w:val="single" w:sz="4" w:space="0" w:color="000000"/>
              <w:right w:val="single" w:sz="4" w:space="0" w:color="000000"/>
            </w:tcBorders>
          </w:tcPr>
          <w:p w14:paraId="5CBEB8C5" w14:textId="77777777" w:rsidR="008A1AA7" w:rsidRPr="008436BB" w:rsidRDefault="008A1AA7" w:rsidP="008436BB">
            <w:pPr>
              <w:spacing w:before="0" w:after="0" w:line="360" w:lineRule="auto"/>
              <w:ind w:left="113"/>
              <w:rPr>
                <w:sz w:val="18"/>
                <w:szCs w:val="18"/>
              </w:rPr>
            </w:pPr>
            <w:r w:rsidRPr="008436BB">
              <w:rPr>
                <w:sz w:val="18"/>
                <w:szCs w:val="18"/>
              </w:rPr>
              <w:t>NR= not reached; m=months</w:t>
            </w:r>
          </w:p>
        </w:tc>
      </w:tr>
      <w:tr w:rsidR="008A1AA7" w:rsidRPr="008436BB" w14:paraId="5CBEB8C9" w14:textId="77777777" w:rsidTr="00782317">
        <w:tblPrEx>
          <w:tblLook w:val="04A0" w:firstRow="1" w:lastRow="0" w:firstColumn="1" w:lastColumn="0" w:noHBand="0" w:noVBand="1"/>
        </w:tblPrEx>
        <w:trPr>
          <w:trHeight w:val="253"/>
        </w:trPr>
        <w:tc>
          <w:tcPr>
            <w:tcW w:w="3413" w:type="dxa"/>
            <w:vMerge w:val="restart"/>
            <w:tcBorders>
              <w:top w:val="single" w:sz="4" w:space="0" w:color="000000"/>
              <w:left w:val="single" w:sz="4" w:space="0" w:color="000000"/>
              <w:bottom w:val="single" w:sz="4" w:space="0" w:color="000000"/>
              <w:right w:val="single" w:sz="4" w:space="0" w:color="000000"/>
            </w:tcBorders>
          </w:tcPr>
          <w:p w14:paraId="5CBEB8C7" w14:textId="77777777" w:rsidR="008A1AA7" w:rsidRPr="008436BB" w:rsidRDefault="008A1AA7" w:rsidP="008436BB">
            <w:pPr>
              <w:spacing w:before="0" w:after="0" w:line="360" w:lineRule="auto"/>
              <w:ind w:left="113"/>
              <w:rPr>
                <w:sz w:val="18"/>
                <w:szCs w:val="18"/>
              </w:rPr>
            </w:pPr>
          </w:p>
        </w:tc>
        <w:tc>
          <w:tcPr>
            <w:tcW w:w="4804" w:type="dxa"/>
            <w:gridSpan w:val="2"/>
            <w:tcBorders>
              <w:top w:val="single" w:sz="4" w:space="0" w:color="000000"/>
              <w:left w:val="single" w:sz="4" w:space="0" w:color="000000"/>
              <w:bottom w:val="single" w:sz="4" w:space="0" w:color="000000"/>
              <w:right w:val="single" w:sz="4" w:space="0" w:color="000000"/>
            </w:tcBorders>
            <w:hideMark/>
          </w:tcPr>
          <w:p w14:paraId="5CBEB8C8" w14:textId="77777777" w:rsidR="008A1AA7" w:rsidRPr="008436BB" w:rsidRDefault="008A1AA7" w:rsidP="008436BB">
            <w:pPr>
              <w:spacing w:before="0" w:after="0" w:line="360" w:lineRule="auto"/>
              <w:ind w:left="113"/>
              <w:rPr>
                <w:sz w:val="18"/>
                <w:szCs w:val="18"/>
              </w:rPr>
            </w:pPr>
            <w:r w:rsidRPr="008436BB">
              <w:rPr>
                <w:sz w:val="18"/>
                <w:szCs w:val="18"/>
              </w:rPr>
              <w:t>Cohort 3</w:t>
            </w:r>
          </w:p>
        </w:tc>
      </w:tr>
      <w:tr w:rsidR="008A1AA7" w:rsidRPr="008436BB" w14:paraId="5CBEB8CD" w14:textId="77777777" w:rsidTr="00782317">
        <w:tblPrEx>
          <w:tblLook w:val="04A0" w:firstRow="1" w:lastRow="0" w:firstColumn="1" w:lastColumn="0" w:noHBand="0" w:noVBand="1"/>
        </w:tblPrEx>
        <w:trPr>
          <w:trHeight w:val="251"/>
        </w:trPr>
        <w:tc>
          <w:tcPr>
            <w:tcW w:w="3413" w:type="dxa"/>
            <w:vMerge/>
            <w:tcBorders>
              <w:top w:val="single" w:sz="4" w:space="0" w:color="000000"/>
              <w:left w:val="single" w:sz="4" w:space="0" w:color="000000"/>
              <w:bottom w:val="single" w:sz="4" w:space="0" w:color="000000"/>
              <w:right w:val="single" w:sz="4" w:space="0" w:color="000000"/>
            </w:tcBorders>
            <w:vAlign w:val="center"/>
            <w:hideMark/>
          </w:tcPr>
          <w:p w14:paraId="5CBEB8CA" w14:textId="77777777" w:rsidR="008A1AA7" w:rsidRPr="008436BB" w:rsidRDefault="008A1AA7" w:rsidP="008436BB">
            <w:pPr>
              <w:spacing w:before="0" w:after="0" w:line="360" w:lineRule="auto"/>
              <w:ind w:left="113"/>
              <w:rPr>
                <w:rFonts w:ascii="Times New Roman" w:hAnsi="Times New Roman"/>
                <w:sz w:val="18"/>
                <w:szCs w:val="18"/>
              </w:rPr>
            </w:pPr>
          </w:p>
        </w:tc>
        <w:tc>
          <w:tcPr>
            <w:tcW w:w="2402" w:type="dxa"/>
            <w:tcBorders>
              <w:top w:val="single" w:sz="4" w:space="0" w:color="000000"/>
              <w:left w:val="single" w:sz="4" w:space="0" w:color="000000"/>
              <w:bottom w:val="single" w:sz="4" w:space="0" w:color="000000"/>
              <w:right w:val="single" w:sz="4" w:space="0" w:color="000000"/>
            </w:tcBorders>
            <w:hideMark/>
          </w:tcPr>
          <w:p w14:paraId="5CBEB8CB" w14:textId="77777777" w:rsidR="008A1AA7" w:rsidRPr="008436BB" w:rsidRDefault="008A1AA7" w:rsidP="008436BB">
            <w:pPr>
              <w:spacing w:before="0" w:after="0" w:line="360" w:lineRule="auto"/>
              <w:ind w:left="113"/>
              <w:rPr>
                <w:sz w:val="18"/>
                <w:szCs w:val="18"/>
              </w:rPr>
            </w:pPr>
            <w:r w:rsidRPr="008436BB">
              <w:rPr>
                <w:sz w:val="18"/>
                <w:szCs w:val="18"/>
              </w:rPr>
              <w:t>Prior BV (n=25)</w:t>
            </w:r>
          </w:p>
        </w:tc>
        <w:tc>
          <w:tcPr>
            <w:tcW w:w="2402" w:type="dxa"/>
            <w:tcBorders>
              <w:top w:val="single" w:sz="4" w:space="0" w:color="000000"/>
              <w:left w:val="single" w:sz="4" w:space="0" w:color="000000"/>
              <w:bottom w:val="single" w:sz="4" w:space="0" w:color="000000"/>
              <w:right w:val="single" w:sz="4" w:space="0" w:color="000000"/>
            </w:tcBorders>
            <w:hideMark/>
          </w:tcPr>
          <w:p w14:paraId="5CBEB8CC" w14:textId="77777777" w:rsidR="008A1AA7" w:rsidRPr="008436BB" w:rsidRDefault="008A1AA7" w:rsidP="008436BB">
            <w:pPr>
              <w:spacing w:before="0" w:after="0" w:line="360" w:lineRule="auto"/>
              <w:ind w:left="113"/>
              <w:rPr>
                <w:sz w:val="18"/>
                <w:szCs w:val="18"/>
              </w:rPr>
            </w:pPr>
            <w:r w:rsidRPr="008436BB">
              <w:rPr>
                <w:sz w:val="18"/>
                <w:szCs w:val="18"/>
              </w:rPr>
              <w:t>BV-naïve (n=35)</w:t>
            </w:r>
          </w:p>
        </w:tc>
      </w:tr>
      <w:tr w:rsidR="008A1AA7" w:rsidRPr="008436BB" w14:paraId="5CBEB8D1" w14:textId="77777777" w:rsidTr="00782317">
        <w:tblPrEx>
          <w:tblLook w:val="04A0" w:firstRow="1" w:lastRow="0" w:firstColumn="1" w:lastColumn="0" w:noHBand="0" w:noVBand="1"/>
        </w:tblPrEx>
        <w:trPr>
          <w:trHeight w:val="505"/>
        </w:trPr>
        <w:tc>
          <w:tcPr>
            <w:tcW w:w="3413" w:type="dxa"/>
            <w:tcBorders>
              <w:top w:val="single" w:sz="4" w:space="0" w:color="000000"/>
              <w:left w:val="single" w:sz="4" w:space="0" w:color="000000"/>
              <w:bottom w:val="single" w:sz="4" w:space="0" w:color="000000"/>
              <w:right w:val="single" w:sz="4" w:space="0" w:color="000000"/>
            </w:tcBorders>
            <w:hideMark/>
          </w:tcPr>
          <w:p w14:paraId="5CBEB8CE" w14:textId="77777777" w:rsidR="008A1AA7" w:rsidRPr="008436BB" w:rsidRDefault="008A1AA7" w:rsidP="00782317">
            <w:pPr>
              <w:spacing w:before="0" w:after="0" w:line="360" w:lineRule="auto"/>
              <w:ind w:left="113"/>
              <w:rPr>
                <w:sz w:val="18"/>
                <w:szCs w:val="18"/>
              </w:rPr>
            </w:pPr>
            <w:r w:rsidRPr="008436BB">
              <w:rPr>
                <w:sz w:val="18"/>
                <w:szCs w:val="18"/>
              </w:rPr>
              <w:t>ORR</w:t>
            </w:r>
            <w:r w:rsidR="00782317">
              <w:rPr>
                <w:sz w:val="18"/>
                <w:szCs w:val="18"/>
              </w:rPr>
              <w:t xml:space="preserve"> </w:t>
            </w:r>
            <w:r w:rsidRPr="008436BB">
              <w:rPr>
                <w:sz w:val="18"/>
                <w:szCs w:val="18"/>
              </w:rPr>
              <w:t>(95% CI)</w:t>
            </w:r>
          </w:p>
        </w:tc>
        <w:tc>
          <w:tcPr>
            <w:tcW w:w="2402" w:type="dxa"/>
            <w:tcBorders>
              <w:top w:val="single" w:sz="4" w:space="0" w:color="000000"/>
              <w:left w:val="single" w:sz="4" w:space="0" w:color="000000"/>
              <w:bottom w:val="single" w:sz="4" w:space="0" w:color="000000"/>
              <w:right w:val="single" w:sz="4" w:space="0" w:color="000000"/>
            </w:tcBorders>
            <w:hideMark/>
          </w:tcPr>
          <w:p w14:paraId="5CBEB8CF" w14:textId="77777777" w:rsidR="008A1AA7" w:rsidRPr="008436BB" w:rsidRDefault="008A1AA7" w:rsidP="00782317">
            <w:pPr>
              <w:spacing w:before="0" w:after="0" w:line="360" w:lineRule="auto"/>
              <w:ind w:left="113"/>
              <w:rPr>
                <w:sz w:val="18"/>
                <w:szCs w:val="18"/>
              </w:rPr>
            </w:pPr>
            <w:r w:rsidRPr="008436BB">
              <w:rPr>
                <w:sz w:val="18"/>
                <w:szCs w:val="18"/>
              </w:rPr>
              <w:t>68.0%</w:t>
            </w:r>
            <w:r w:rsidR="00782317">
              <w:rPr>
                <w:sz w:val="18"/>
                <w:szCs w:val="18"/>
              </w:rPr>
              <w:t xml:space="preserve"> </w:t>
            </w:r>
            <w:r w:rsidRPr="008436BB">
              <w:rPr>
                <w:sz w:val="18"/>
                <w:szCs w:val="18"/>
              </w:rPr>
              <w:t>(46.5%, 85.1%)</w:t>
            </w:r>
          </w:p>
        </w:tc>
        <w:tc>
          <w:tcPr>
            <w:tcW w:w="2402" w:type="dxa"/>
            <w:tcBorders>
              <w:top w:val="single" w:sz="4" w:space="0" w:color="000000"/>
              <w:left w:val="single" w:sz="4" w:space="0" w:color="000000"/>
              <w:bottom w:val="single" w:sz="4" w:space="0" w:color="000000"/>
              <w:right w:val="single" w:sz="4" w:space="0" w:color="000000"/>
            </w:tcBorders>
            <w:hideMark/>
          </w:tcPr>
          <w:p w14:paraId="5CBEB8D0" w14:textId="77777777" w:rsidR="008A1AA7" w:rsidRPr="008436BB" w:rsidRDefault="008A1AA7" w:rsidP="00782317">
            <w:pPr>
              <w:spacing w:before="0" w:after="0" w:line="360" w:lineRule="auto"/>
              <w:ind w:left="113"/>
              <w:rPr>
                <w:sz w:val="18"/>
                <w:szCs w:val="18"/>
              </w:rPr>
            </w:pPr>
            <w:r w:rsidRPr="008436BB">
              <w:rPr>
                <w:sz w:val="18"/>
                <w:szCs w:val="18"/>
              </w:rPr>
              <w:t>71.4%</w:t>
            </w:r>
            <w:r w:rsidR="00782317">
              <w:rPr>
                <w:sz w:val="18"/>
                <w:szCs w:val="18"/>
              </w:rPr>
              <w:t xml:space="preserve"> </w:t>
            </w:r>
            <w:r w:rsidRPr="008436BB">
              <w:rPr>
                <w:sz w:val="18"/>
                <w:szCs w:val="18"/>
              </w:rPr>
              <w:t>(53.7%, 85.4%)</w:t>
            </w:r>
          </w:p>
        </w:tc>
      </w:tr>
      <w:tr w:rsidR="008A1AA7" w:rsidRPr="008436BB" w14:paraId="5CBEB8D5" w14:textId="77777777" w:rsidTr="00782317">
        <w:tblPrEx>
          <w:tblLook w:val="04A0" w:firstRow="1" w:lastRow="0" w:firstColumn="1" w:lastColumn="0" w:noHBand="0" w:noVBand="1"/>
        </w:tblPrEx>
        <w:trPr>
          <w:trHeight w:val="505"/>
        </w:trPr>
        <w:tc>
          <w:tcPr>
            <w:tcW w:w="3413" w:type="dxa"/>
            <w:tcBorders>
              <w:top w:val="single" w:sz="4" w:space="0" w:color="000000"/>
              <w:left w:val="single" w:sz="4" w:space="0" w:color="000000"/>
              <w:bottom w:val="single" w:sz="4" w:space="0" w:color="000000"/>
              <w:right w:val="single" w:sz="4" w:space="0" w:color="000000"/>
            </w:tcBorders>
            <w:hideMark/>
          </w:tcPr>
          <w:p w14:paraId="5CBEB8D2" w14:textId="77777777" w:rsidR="008A1AA7" w:rsidRPr="008436BB" w:rsidRDefault="008A1AA7" w:rsidP="00782317">
            <w:pPr>
              <w:spacing w:before="0" w:after="0" w:line="360" w:lineRule="auto"/>
              <w:ind w:left="113"/>
              <w:rPr>
                <w:sz w:val="18"/>
                <w:szCs w:val="18"/>
              </w:rPr>
            </w:pPr>
            <w:r w:rsidRPr="008436BB">
              <w:rPr>
                <w:sz w:val="18"/>
                <w:szCs w:val="18"/>
              </w:rPr>
              <w:t xml:space="preserve">Median DOR </w:t>
            </w:r>
            <w:r w:rsidR="00782317">
              <w:rPr>
                <w:sz w:val="18"/>
                <w:szCs w:val="18"/>
              </w:rPr>
              <w:t xml:space="preserve"> </w:t>
            </w:r>
            <w:r w:rsidRPr="008436BB">
              <w:rPr>
                <w:sz w:val="18"/>
                <w:szCs w:val="18"/>
              </w:rPr>
              <w:t>(95% CI)</w:t>
            </w:r>
          </w:p>
        </w:tc>
        <w:tc>
          <w:tcPr>
            <w:tcW w:w="2402" w:type="dxa"/>
            <w:tcBorders>
              <w:top w:val="single" w:sz="4" w:space="0" w:color="000000"/>
              <w:left w:val="single" w:sz="4" w:space="0" w:color="000000"/>
              <w:bottom w:val="single" w:sz="4" w:space="0" w:color="000000"/>
              <w:right w:val="single" w:sz="4" w:space="0" w:color="000000"/>
            </w:tcBorders>
            <w:hideMark/>
          </w:tcPr>
          <w:p w14:paraId="5CBEB8D3" w14:textId="77777777" w:rsidR="008A1AA7" w:rsidRPr="008436BB" w:rsidRDefault="008A1AA7" w:rsidP="00782317">
            <w:pPr>
              <w:spacing w:before="0" w:after="0" w:line="360" w:lineRule="auto"/>
              <w:ind w:left="113"/>
              <w:rPr>
                <w:sz w:val="18"/>
                <w:szCs w:val="18"/>
              </w:rPr>
            </w:pPr>
            <w:r w:rsidRPr="008436BB">
              <w:rPr>
                <w:sz w:val="18"/>
                <w:szCs w:val="18"/>
              </w:rPr>
              <w:t>8.5 m</w:t>
            </w:r>
            <w:r w:rsidR="00782317">
              <w:rPr>
                <w:sz w:val="18"/>
                <w:szCs w:val="18"/>
              </w:rPr>
              <w:t xml:space="preserve"> </w:t>
            </w:r>
            <w:r w:rsidRPr="008436BB">
              <w:rPr>
                <w:sz w:val="18"/>
                <w:szCs w:val="18"/>
              </w:rPr>
              <w:t>(5.5, 8.5)</w:t>
            </w:r>
          </w:p>
        </w:tc>
        <w:tc>
          <w:tcPr>
            <w:tcW w:w="2402" w:type="dxa"/>
            <w:tcBorders>
              <w:top w:val="single" w:sz="4" w:space="0" w:color="000000"/>
              <w:left w:val="single" w:sz="4" w:space="0" w:color="000000"/>
              <w:bottom w:val="single" w:sz="4" w:space="0" w:color="000000"/>
              <w:right w:val="single" w:sz="4" w:space="0" w:color="000000"/>
            </w:tcBorders>
            <w:hideMark/>
          </w:tcPr>
          <w:p w14:paraId="5CBEB8D4" w14:textId="77777777" w:rsidR="008A1AA7" w:rsidRPr="008436BB" w:rsidRDefault="008A1AA7" w:rsidP="00782317">
            <w:pPr>
              <w:spacing w:before="0" w:after="0" w:line="360" w:lineRule="auto"/>
              <w:ind w:left="113"/>
              <w:rPr>
                <w:sz w:val="18"/>
                <w:szCs w:val="18"/>
              </w:rPr>
            </w:pPr>
            <w:r w:rsidRPr="008436BB">
              <w:rPr>
                <w:sz w:val="18"/>
                <w:szCs w:val="18"/>
              </w:rPr>
              <w:t>NR</w:t>
            </w:r>
            <w:r w:rsidR="00782317">
              <w:rPr>
                <w:sz w:val="18"/>
                <w:szCs w:val="18"/>
              </w:rPr>
              <w:t xml:space="preserve"> </w:t>
            </w:r>
            <w:r w:rsidRPr="008436BB">
              <w:rPr>
                <w:sz w:val="18"/>
                <w:szCs w:val="18"/>
              </w:rPr>
              <w:t>(NR, NR)</w:t>
            </w:r>
          </w:p>
        </w:tc>
      </w:tr>
      <w:tr w:rsidR="008A1AA7" w:rsidRPr="008436BB" w14:paraId="5CBEB8D9" w14:textId="77777777" w:rsidTr="00782317">
        <w:tblPrEx>
          <w:tblLook w:val="04A0" w:firstRow="1" w:lastRow="0" w:firstColumn="1" w:lastColumn="0" w:noHBand="0" w:noVBand="1"/>
        </w:tblPrEx>
        <w:trPr>
          <w:trHeight w:val="506"/>
        </w:trPr>
        <w:tc>
          <w:tcPr>
            <w:tcW w:w="3413" w:type="dxa"/>
            <w:tcBorders>
              <w:top w:val="single" w:sz="4" w:space="0" w:color="000000"/>
              <w:left w:val="single" w:sz="4" w:space="0" w:color="000000"/>
              <w:bottom w:val="single" w:sz="4" w:space="0" w:color="000000"/>
              <w:right w:val="single" w:sz="4" w:space="0" w:color="000000"/>
            </w:tcBorders>
            <w:hideMark/>
          </w:tcPr>
          <w:p w14:paraId="5CBEB8D6" w14:textId="77777777" w:rsidR="008A1AA7" w:rsidRPr="008436BB" w:rsidRDefault="008A1AA7" w:rsidP="00782317">
            <w:pPr>
              <w:spacing w:before="0" w:after="0" w:line="360" w:lineRule="auto"/>
              <w:ind w:left="113"/>
              <w:rPr>
                <w:sz w:val="18"/>
                <w:szCs w:val="18"/>
              </w:rPr>
            </w:pPr>
            <w:r w:rsidRPr="008436BB">
              <w:rPr>
                <w:sz w:val="18"/>
                <w:szCs w:val="18"/>
              </w:rPr>
              <w:t>Median PFS</w:t>
            </w:r>
            <w:r w:rsidR="00782317">
              <w:rPr>
                <w:sz w:val="18"/>
                <w:szCs w:val="18"/>
              </w:rPr>
              <w:t xml:space="preserve"> </w:t>
            </w:r>
            <w:r w:rsidRPr="008436BB">
              <w:rPr>
                <w:sz w:val="18"/>
                <w:szCs w:val="18"/>
              </w:rPr>
              <w:t>(95% CI)</w:t>
            </w:r>
          </w:p>
        </w:tc>
        <w:tc>
          <w:tcPr>
            <w:tcW w:w="2402" w:type="dxa"/>
            <w:tcBorders>
              <w:top w:val="single" w:sz="4" w:space="0" w:color="000000"/>
              <w:left w:val="single" w:sz="4" w:space="0" w:color="000000"/>
              <w:bottom w:val="single" w:sz="4" w:space="0" w:color="000000"/>
              <w:right w:val="single" w:sz="4" w:space="0" w:color="000000"/>
            </w:tcBorders>
            <w:hideMark/>
          </w:tcPr>
          <w:p w14:paraId="5CBEB8D7" w14:textId="77777777" w:rsidR="008A1AA7" w:rsidRPr="008436BB" w:rsidRDefault="008A1AA7" w:rsidP="00782317">
            <w:pPr>
              <w:spacing w:before="0" w:after="0" w:line="360" w:lineRule="auto"/>
              <w:ind w:left="113"/>
              <w:rPr>
                <w:sz w:val="18"/>
                <w:szCs w:val="18"/>
              </w:rPr>
            </w:pPr>
            <w:r w:rsidRPr="008436BB">
              <w:rPr>
                <w:sz w:val="18"/>
                <w:szCs w:val="18"/>
              </w:rPr>
              <w:t>11.3 m</w:t>
            </w:r>
            <w:r w:rsidR="00782317">
              <w:rPr>
                <w:sz w:val="18"/>
                <w:szCs w:val="18"/>
              </w:rPr>
              <w:t xml:space="preserve"> </w:t>
            </w:r>
            <w:r w:rsidRPr="008436BB">
              <w:rPr>
                <w:sz w:val="18"/>
                <w:szCs w:val="18"/>
              </w:rPr>
              <w:t>(8.5 m, NR)</w:t>
            </w:r>
          </w:p>
        </w:tc>
        <w:tc>
          <w:tcPr>
            <w:tcW w:w="2402" w:type="dxa"/>
            <w:tcBorders>
              <w:top w:val="single" w:sz="4" w:space="0" w:color="000000"/>
              <w:left w:val="single" w:sz="4" w:space="0" w:color="000000"/>
              <w:bottom w:val="single" w:sz="4" w:space="0" w:color="000000"/>
              <w:right w:val="single" w:sz="4" w:space="0" w:color="000000"/>
            </w:tcBorders>
            <w:hideMark/>
          </w:tcPr>
          <w:p w14:paraId="5CBEB8D8" w14:textId="77777777" w:rsidR="008A1AA7" w:rsidRPr="008436BB" w:rsidRDefault="008A1AA7" w:rsidP="00782317">
            <w:pPr>
              <w:spacing w:before="0" w:after="0" w:line="360" w:lineRule="auto"/>
              <w:ind w:left="113"/>
              <w:rPr>
                <w:sz w:val="18"/>
                <w:szCs w:val="18"/>
              </w:rPr>
            </w:pPr>
            <w:r w:rsidRPr="008436BB">
              <w:rPr>
                <w:sz w:val="18"/>
                <w:szCs w:val="18"/>
              </w:rPr>
              <w:t>10.3 m</w:t>
            </w:r>
            <w:r w:rsidR="00782317">
              <w:rPr>
                <w:sz w:val="18"/>
                <w:szCs w:val="18"/>
              </w:rPr>
              <w:t xml:space="preserve"> </w:t>
            </w:r>
            <w:r w:rsidRPr="008436BB">
              <w:rPr>
                <w:sz w:val="18"/>
                <w:szCs w:val="18"/>
              </w:rPr>
              <w:t>(6.1 m, NR)</w:t>
            </w:r>
          </w:p>
        </w:tc>
      </w:tr>
      <w:tr w:rsidR="008A1AA7" w:rsidRPr="008436BB" w14:paraId="5CBEB8DD" w14:textId="77777777" w:rsidTr="00782317">
        <w:tblPrEx>
          <w:tblLook w:val="04A0" w:firstRow="1" w:lastRow="0" w:firstColumn="1" w:lastColumn="0" w:noHBand="0" w:noVBand="1"/>
        </w:tblPrEx>
        <w:trPr>
          <w:trHeight w:val="506"/>
        </w:trPr>
        <w:tc>
          <w:tcPr>
            <w:tcW w:w="3413" w:type="dxa"/>
            <w:tcBorders>
              <w:top w:val="single" w:sz="4" w:space="0" w:color="000000"/>
              <w:left w:val="single" w:sz="4" w:space="0" w:color="000000"/>
              <w:bottom w:val="single" w:sz="4" w:space="0" w:color="000000"/>
              <w:right w:val="single" w:sz="4" w:space="0" w:color="000000"/>
            </w:tcBorders>
            <w:hideMark/>
          </w:tcPr>
          <w:p w14:paraId="5CBEB8DA" w14:textId="77777777" w:rsidR="008A1AA7" w:rsidRPr="008436BB" w:rsidRDefault="008A1AA7" w:rsidP="00782317">
            <w:pPr>
              <w:spacing w:before="0" w:after="0" w:line="360" w:lineRule="auto"/>
              <w:ind w:left="113"/>
              <w:rPr>
                <w:sz w:val="18"/>
                <w:szCs w:val="18"/>
              </w:rPr>
            </w:pPr>
            <w:r w:rsidRPr="008436BB">
              <w:rPr>
                <w:sz w:val="18"/>
                <w:szCs w:val="18"/>
              </w:rPr>
              <w:t>Median OS</w:t>
            </w:r>
            <w:r w:rsidR="00782317">
              <w:rPr>
                <w:sz w:val="18"/>
                <w:szCs w:val="18"/>
              </w:rPr>
              <w:t xml:space="preserve"> </w:t>
            </w:r>
            <w:r w:rsidRPr="008436BB">
              <w:rPr>
                <w:sz w:val="18"/>
                <w:szCs w:val="18"/>
              </w:rPr>
              <w:t>(95% CI)</w:t>
            </w:r>
          </w:p>
        </w:tc>
        <w:tc>
          <w:tcPr>
            <w:tcW w:w="2402" w:type="dxa"/>
            <w:tcBorders>
              <w:top w:val="single" w:sz="4" w:space="0" w:color="000000"/>
              <w:left w:val="single" w:sz="4" w:space="0" w:color="000000"/>
              <w:bottom w:val="single" w:sz="4" w:space="0" w:color="000000"/>
              <w:right w:val="single" w:sz="4" w:space="0" w:color="000000"/>
            </w:tcBorders>
            <w:hideMark/>
          </w:tcPr>
          <w:p w14:paraId="5CBEB8DB" w14:textId="77777777" w:rsidR="008A1AA7" w:rsidRPr="008436BB" w:rsidRDefault="008A1AA7" w:rsidP="00782317">
            <w:pPr>
              <w:spacing w:before="0" w:after="0" w:line="360" w:lineRule="auto"/>
              <w:ind w:left="113"/>
              <w:rPr>
                <w:sz w:val="18"/>
                <w:szCs w:val="18"/>
              </w:rPr>
            </w:pPr>
            <w:r w:rsidRPr="008436BB">
              <w:rPr>
                <w:sz w:val="18"/>
                <w:szCs w:val="18"/>
              </w:rPr>
              <w:t>NR</w:t>
            </w:r>
            <w:r w:rsidR="00782317">
              <w:rPr>
                <w:sz w:val="18"/>
                <w:szCs w:val="18"/>
              </w:rPr>
              <w:t xml:space="preserve"> </w:t>
            </w:r>
            <w:r w:rsidRPr="008436BB">
              <w:rPr>
                <w:sz w:val="18"/>
                <w:szCs w:val="18"/>
              </w:rPr>
              <w:t>(NR, NR)</w:t>
            </w:r>
          </w:p>
        </w:tc>
        <w:tc>
          <w:tcPr>
            <w:tcW w:w="2402" w:type="dxa"/>
            <w:tcBorders>
              <w:top w:val="single" w:sz="4" w:space="0" w:color="000000"/>
              <w:left w:val="single" w:sz="4" w:space="0" w:color="000000"/>
              <w:bottom w:val="single" w:sz="4" w:space="0" w:color="000000"/>
              <w:right w:val="single" w:sz="4" w:space="0" w:color="000000"/>
            </w:tcBorders>
            <w:hideMark/>
          </w:tcPr>
          <w:p w14:paraId="5CBEB8DC" w14:textId="77777777" w:rsidR="008A1AA7" w:rsidRPr="008436BB" w:rsidRDefault="008A1AA7" w:rsidP="00782317">
            <w:pPr>
              <w:spacing w:before="0" w:after="0" w:line="360" w:lineRule="auto"/>
              <w:ind w:left="113"/>
              <w:rPr>
                <w:sz w:val="18"/>
                <w:szCs w:val="18"/>
              </w:rPr>
            </w:pPr>
            <w:r w:rsidRPr="008436BB">
              <w:rPr>
                <w:sz w:val="18"/>
                <w:szCs w:val="18"/>
              </w:rPr>
              <w:t>NR</w:t>
            </w:r>
            <w:r w:rsidR="00782317">
              <w:rPr>
                <w:sz w:val="18"/>
                <w:szCs w:val="18"/>
              </w:rPr>
              <w:t xml:space="preserve"> </w:t>
            </w:r>
            <w:r w:rsidRPr="008436BB">
              <w:rPr>
                <w:sz w:val="18"/>
                <w:szCs w:val="18"/>
              </w:rPr>
              <w:t>(NR, NR)</w:t>
            </w:r>
          </w:p>
        </w:tc>
      </w:tr>
      <w:tr w:rsidR="008A1AA7" w:rsidRPr="008436BB" w14:paraId="5CBEB8DF" w14:textId="77777777" w:rsidTr="00782317">
        <w:tblPrEx>
          <w:tblLook w:val="04A0" w:firstRow="1" w:lastRow="0" w:firstColumn="1" w:lastColumn="0" w:noHBand="0" w:noVBand="1"/>
        </w:tblPrEx>
        <w:trPr>
          <w:trHeight w:val="253"/>
        </w:trPr>
        <w:tc>
          <w:tcPr>
            <w:tcW w:w="8217" w:type="dxa"/>
            <w:gridSpan w:val="3"/>
            <w:tcBorders>
              <w:top w:val="single" w:sz="4" w:space="0" w:color="000000"/>
              <w:left w:val="single" w:sz="4" w:space="0" w:color="000000"/>
              <w:bottom w:val="single" w:sz="4" w:space="0" w:color="000000"/>
              <w:right w:val="single" w:sz="4" w:space="0" w:color="000000"/>
            </w:tcBorders>
            <w:hideMark/>
          </w:tcPr>
          <w:p w14:paraId="5CBEB8DE" w14:textId="77777777" w:rsidR="008A1AA7" w:rsidRPr="008436BB" w:rsidRDefault="008A1AA7" w:rsidP="008436BB">
            <w:pPr>
              <w:spacing w:before="0" w:after="0" w:line="360" w:lineRule="auto"/>
              <w:ind w:left="113"/>
              <w:rPr>
                <w:sz w:val="18"/>
                <w:szCs w:val="18"/>
              </w:rPr>
            </w:pPr>
            <w:r w:rsidRPr="008436BB">
              <w:rPr>
                <w:sz w:val="18"/>
                <w:szCs w:val="18"/>
              </w:rPr>
              <w:t>NR= not reached; m=months</w:t>
            </w:r>
          </w:p>
        </w:tc>
      </w:tr>
    </w:tbl>
    <w:p w14:paraId="5CBEB8E0" w14:textId="77777777" w:rsidR="008436BB" w:rsidRDefault="008436BB" w:rsidP="008436BB">
      <w:pPr>
        <w:pStyle w:val="Heading6"/>
      </w:pPr>
      <w:r>
        <w:t>TGA Question 3</w:t>
      </w:r>
    </w:p>
    <w:p w14:paraId="5CBEB8E1" w14:textId="77777777" w:rsidR="008A1AA7" w:rsidRPr="008436BB" w:rsidRDefault="008A1AA7" w:rsidP="008A1AA7">
      <w:pPr>
        <w:rPr>
          <w:i/>
        </w:rPr>
      </w:pPr>
      <w:r w:rsidRPr="008436BB">
        <w:rPr>
          <w:i/>
        </w:rPr>
        <w:t>Is there any validated minimally important difference (MID) available for these QOL studies?</w:t>
      </w:r>
    </w:p>
    <w:p w14:paraId="5CBEB8E2" w14:textId="77777777" w:rsidR="008A1AA7" w:rsidRDefault="008436BB" w:rsidP="008436BB">
      <w:pPr>
        <w:pStyle w:val="Heading6"/>
      </w:pPr>
      <w:r>
        <w:lastRenderedPageBreak/>
        <w:t xml:space="preserve">Sponsor’s response </w:t>
      </w:r>
      <w:r w:rsidR="000B7A4C">
        <w:t xml:space="preserve">Question </w:t>
      </w:r>
      <w:r>
        <w:t>3</w:t>
      </w:r>
    </w:p>
    <w:p w14:paraId="5CBEB8E3" w14:textId="77777777" w:rsidR="008A1AA7" w:rsidRDefault="008A1AA7" w:rsidP="008A1AA7">
      <w:r>
        <w:t>A minimally important difference (MID) of 10 points has been validated for EORTC QLQ- C30.</w:t>
      </w:r>
      <w:r w:rsidR="000B7A4C">
        <w:rPr>
          <w:rStyle w:val="FootnoteReference"/>
        </w:rPr>
        <w:footnoteReference w:id="11"/>
      </w:r>
    </w:p>
    <w:p w14:paraId="5CBEB8E4" w14:textId="77777777" w:rsidR="008A1AA7" w:rsidRDefault="008A1AA7" w:rsidP="008A1AA7">
      <w:r>
        <w:t xml:space="preserve">A MID of 7 points is considered </w:t>
      </w:r>
      <w:r w:rsidR="00972E20">
        <w:t>acceptable for EQ-5D</w:t>
      </w:r>
      <w:r w:rsidR="00972E20">
        <w:rPr>
          <w:rStyle w:val="FootnoteReference"/>
        </w:rPr>
        <w:footnoteReference w:id="12"/>
      </w:r>
      <w:r>
        <w:t>.</w:t>
      </w:r>
    </w:p>
    <w:p w14:paraId="08DE39BD" w14:textId="77777777" w:rsidR="00F8652A" w:rsidRDefault="008436BB" w:rsidP="008436BB">
      <w:pPr>
        <w:pStyle w:val="Heading6"/>
      </w:pPr>
      <w:r>
        <w:t>TGA Question 4</w:t>
      </w:r>
    </w:p>
    <w:p w14:paraId="5CBEB8E6" w14:textId="2DE6C347" w:rsidR="008A1AA7" w:rsidRPr="008436BB" w:rsidRDefault="008A1AA7" w:rsidP="008A1AA7">
      <w:pPr>
        <w:rPr>
          <w:i/>
        </w:rPr>
      </w:pPr>
      <w:r w:rsidRPr="008436BB">
        <w:rPr>
          <w:i/>
        </w:rPr>
        <w:t>Is an analysis available based on history of radiation and/or baseline thyroid status?</w:t>
      </w:r>
    </w:p>
    <w:p w14:paraId="5CBEB8E7" w14:textId="77777777" w:rsidR="008A1AA7" w:rsidRDefault="000B7A4C" w:rsidP="000B7A4C">
      <w:pPr>
        <w:pStyle w:val="Heading6"/>
      </w:pPr>
      <w:r w:rsidRPr="000B7A4C">
        <w:t xml:space="preserve">Sponsor’s response </w:t>
      </w:r>
      <w:r>
        <w:t>Question 4</w:t>
      </w:r>
    </w:p>
    <w:p w14:paraId="5CBEB8E8" w14:textId="77777777" w:rsidR="008A1AA7" w:rsidRDefault="008A1AA7" w:rsidP="008A1AA7">
      <w:r>
        <w:t>There were 34 subjects with treatment-emergent hypothyroidism as described in the Safety Update Report. Of the 34 subjects, 47% (16/34) had prior radiation. As described in the listing in the original filing, most subjects with prior radiation had received it to the mediastinum, cervical lymph nodes, or supraclavicular lymph nodes, which potentially could have involved the thyroid gland.</w:t>
      </w:r>
    </w:p>
    <w:p w14:paraId="5CBEB8E9" w14:textId="77777777" w:rsidR="008A1AA7" w:rsidRDefault="008A1AA7" w:rsidP="008A1AA7">
      <w:r>
        <w:t>Of the 34 subjects with hypothyroidism, 5 had elevated TSH at baseline per laboratory tests, and 1 of 34 had a medical history of hypothyroidism</w:t>
      </w:r>
    </w:p>
    <w:p w14:paraId="5CBEB8EA" w14:textId="77777777" w:rsidR="000B7A4C" w:rsidRDefault="000B7A4C" w:rsidP="000B7A4C">
      <w:pPr>
        <w:pStyle w:val="Heading6"/>
      </w:pPr>
      <w:r>
        <w:t>TGA Question 5</w:t>
      </w:r>
    </w:p>
    <w:p w14:paraId="5CBEB8EB" w14:textId="77777777" w:rsidR="008A1AA7" w:rsidRPr="000B7A4C" w:rsidRDefault="008A1AA7" w:rsidP="008A1AA7">
      <w:pPr>
        <w:rPr>
          <w:i/>
        </w:rPr>
      </w:pPr>
      <w:r w:rsidRPr="000B7A4C">
        <w:rPr>
          <w:i/>
        </w:rPr>
        <w:t>Could you please confirm how many patients in each cohort of KEYNOTE-087 required dose modification due to adverse events?</w:t>
      </w:r>
    </w:p>
    <w:p w14:paraId="5CBEB8EC" w14:textId="77777777" w:rsidR="008A1AA7" w:rsidRDefault="000B7A4C" w:rsidP="000B7A4C">
      <w:pPr>
        <w:pStyle w:val="Heading6"/>
      </w:pPr>
      <w:r>
        <w:t>Sponsor’s response Question 5</w:t>
      </w:r>
    </w:p>
    <w:p w14:paraId="5CBEB8ED" w14:textId="77777777" w:rsidR="008A1AA7" w:rsidRDefault="008A1AA7" w:rsidP="008A1AA7">
      <w:r>
        <w:t xml:space="preserve">Tables describing adverse events leading to treatment interruption or discontinuation in KEYNOTE-087 by cohort </w:t>
      </w:r>
      <w:r w:rsidR="000B7A4C">
        <w:t>were</w:t>
      </w:r>
      <w:r>
        <w:t xml:space="preserve"> provided. Overall 25.7% (54/210) of subjects had treatment interrupted and 5.2% (11/210) of subjects had treatment discontinued due to adverse events, which were similar across the cohorts. For adverse events that were reported as being drug-related, 12.4% (26/210) of subjects had treatment interrupted and 4.3% (9/210) of subjects had treatment discontinued.</w:t>
      </w:r>
    </w:p>
    <w:p w14:paraId="5CBEB8EE" w14:textId="77777777" w:rsidR="008A1AA7" w:rsidRDefault="000B7A4C" w:rsidP="000B7A4C">
      <w:pPr>
        <w:pStyle w:val="Heading6"/>
      </w:pPr>
      <w:r>
        <w:t>TGA Question 6</w:t>
      </w:r>
    </w:p>
    <w:p w14:paraId="5CBEB8EF" w14:textId="77777777" w:rsidR="008A1AA7" w:rsidRPr="000B7A4C" w:rsidRDefault="008A1AA7" w:rsidP="008A1AA7">
      <w:pPr>
        <w:rPr>
          <w:i/>
        </w:rPr>
      </w:pPr>
      <w:r w:rsidRPr="000B7A4C">
        <w:rPr>
          <w:i/>
        </w:rPr>
        <w:t xml:space="preserve">Is an update available regarding the number of patients with </w:t>
      </w:r>
      <w:r w:rsidR="000B7A4C" w:rsidRPr="000B7A4C">
        <w:rPr>
          <w:i/>
        </w:rPr>
        <w:t>G</w:t>
      </w:r>
      <w:r w:rsidRPr="000B7A4C">
        <w:rPr>
          <w:i/>
        </w:rPr>
        <w:t xml:space="preserve">rade 3-5 adverse events relating to skin and subcutaneous tissue disorders based on the data cut off of 27 September 2016 and 25 September 2016? This does not appear to be included in </w:t>
      </w:r>
      <w:r w:rsidR="000B7A4C" w:rsidRPr="000B7A4C">
        <w:rPr>
          <w:i/>
        </w:rPr>
        <w:t>the Safety Update Report (utilis</w:t>
      </w:r>
      <w:r w:rsidRPr="000B7A4C">
        <w:rPr>
          <w:i/>
        </w:rPr>
        <w:t xml:space="preserve">ing incidence </w:t>
      </w:r>
      <w:r w:rsidR="00D65F50" w:rsidRPr="000B7A4C">
        <w:rPr>
          <w:i/>
        </w:rPr>
        <w:t xml:space="preserve">≥ </w:t>
      </w:r>
      <w:r w:rsidRPr="000B7A4C">
        <w:rPr>
          <w:i/>
        </w:rPr>
        <w:t>1%) however the incidence in the previous data set was 1.2%.</w:t>
      </w:r>
    </w:p>
    <w:p w14:paraId="5CBEB8F0" w14:textId="77777777" w:rsidR="008A1AA7" w:rsidRDefault="000B7A4C" w:rsidP="000B7A4C">
      <w:pPr>
        <w:pStyle w:val="Heading6"/>
      </w:pPr>
      <w:r>
        <w:t>Sponsor’s response Question 6</w:t>
      </w:r>
    </w:p>
    <w:p w14:paraId="5CBEB8F1" w14:textId="77777777" w:rsidR="008A1AA7" w:rsidRDefault="008A1AA7" w:rsidP="008A1AA7">
      <w:r>
        <w:t xml:space="preserve">The number of subjects with Grade 3-5 adverse events </w:t>
      </w:r>
      <w:r w:rsidR="00972E20">
        <w:t>under</w:t>
      </w:r>
      <w:r>
        <w:t xml:space="preserve"> the System Organ Class (SOC) of Skin and Subcutaneous Tissue Disorders did not change with the updated data </w:t>
      </w:r>
      <w:r w:rsidR="00972E20">
        <w:t>(</w:t>
      </w:r>
      <w:r>
        <w:t>cut-off of September 2016</w:t>
      </w:r>
      <w:r w:rsidR="00972E20">
        <w:t>)</w:t>
      </w:r>
      <w:r>
        <w:t xml:space="preserve">. It remained the same with 3 subjects (1.2%), 1 subject with the preferred term (PT) of </w:t>
      </w:r>
      <w:r w:rsidR="00ED59E7">
        <w:t>‘</w:t>
      </w:r>
      <w:r>
        <w:t xml:space="preserve">Dermatitis </w:t>
      </w:r>
      <w:proofErr w:type="spellStart"/>
      <w:r>
        <w:t>psoriasiform</w:t>
      </w:r>
      <w:proofErr w:type="spellEnd"/>
      <w:r w:rsidR="00ED59E7">
        <w:t>’</w:t>
      </w:r>
      <w:r>
        <w:t xml:space="preserve">, one subject with </w:t>
      </w:r>
      <w:proofErr w:type="gramStart"/>
      <w:r w:rsidR="00ED59E7">
        <w:t>‘</w:t>
      </w:r>
      <w:r>
        <w:t>Lichenoid keratosis</w:t>
      </w:r>
      <w:r w:rsidR="00ED59E7">
        <w:t>’</w:t>
      </w:r>
      <w:proofErr w:type="gramEnd"/>
      <w:r>
        <w:t xml:space="preserve"> and one subject with </w:t>
      </w:r>
      <w:r w:rsidR="00ED59E7">
        <w:t>‘</w:t>
      </w:r>
      <w:r>
        <w:t>Skin ulcer</w:t>
      </w:r>
      <w:r w:rsidR="00ED59E7">
        <w:t>’</w:t>
      </w:r>
      <w:r>
        <w:t>. A summary of all Grade 3-5 AEs based on the September 2016 update, sorted by SOC and regardless of incidence</w:t>
      </w:r>
      <w:r w:rsidR="000B7A4C">
        <w:t xml:space="preserve"> were given</w:t>
      </w:r>
      <w:r>
        <w:t>. It should be noted that Table 2.7.4: 6 of the SUR presents PTs that have an incidence greater than 1% (in descending ord</w:t>
      </w:r>
      <w:r w:rsidR="000B7A4C">
        <w:t>er), regardless of SOC categoris</w:t>
      </w:r>
      <w:r>
        <w:t xml:space="preserve">ation; thus </w:t>
      </w:r>
      <w:r w:rsidR="00ED59E7">
        <w:t>‘</w:t>
      </w:r>
      <w:r>
        <w:t>Skin and Subcutaneous Tissue Disorders</w:t>
      </w:r>
      <w:r w:rsidR="00ED59E7">
        <w:t>’</w:t>
      </w:r>
      <w:r>
        <w:t xml:space="preserve"> would not appear by design in that table.</w:t>
      </w:r>
    </w:p>
    <w:p w14:paraId="5CBEB8F2" w14:textId="77777777" w:rsidR="008A1AA7" w:rsidRDefault="000B7A4C" w:rsidP="000B7A4C">
      <w:pPr>
        <w:pStyle w:val="Heading6"/>
      </w:pPr>
      <w:r>
        <w:t>TGA Question 7</w:t>
      </w:r>
    </w:p>
    <w:p w14:paraId="5CBEB8F3" w14:textId="77777777" w:rsidR="008A1AA7" w:rsidRPr="000B7A4C" w:rsidRDefault="008A1AA7" w:rsidP="008A1AA7">
      <w:pPr>
        <w:rPr>
          <w:i/>
        </w:rPr>
      </w:pPr>
      <w:r w:rsidRPr="000B7A4C">
        <w:rPr>
          <w:i/>
        </w:rPr>
        <w:t>Please respond to the outstanding issues identified in the RMP report dated 27 June 2016.</w:t>
      </w:r>
    </w:p>
    <w:p w14:paraId="5CBEB8F4" w14:textId="77777777" w:rsidR="008A1AA7" w:rsidRDefault="009261A4" w:rsidP="009261A4">
      <w:pPr>
        <w:pStyle w:val="Heading6"/>
      </w:pPr>
      <w:r>
        <w:t>Sponsor’s response Question 7</w:t>
      </w:r>
    </w:p>
    <w:p w14:paraId="5CBEB8F5" w14:textId="77777777" w:rsidR="008A1AA7" w:rsidRDefault="008A1AA7" w:rsidP="008A1AA7">
      <w:r>
        <w:t>The outstanding issues identified in the RMP report are addressed as follows:</w:t>
      </w:r>
    </w:p>
    <w:p w14:paraId="5CBEB8F6" w14:textId="77777777" w:rsidR="008A1AA7" w:rsidRPr="009261A4" w:rsidRDefault="008A1AA7" w:rsidP="005B2867">
      <w:pPr>
        <w:pStyle w:val="Numberbullet0"/>
        <w:numPr>
          <w:ilvl w:val="0"/>
          <w:numId w:val="26"/>
        </w:numPr>
        <w:rPr>
          <w:i/>
        </w:rPr>
      </w:pPr>
      <w:r w:rsidRPr="009261A4">
        <w:rPr>
          <w:i/>
        </w:rPr>
        <w:lastRenderedPageBreak/>
        <w:t>Add Important Identified Risks encephalitis and sarcoidosis to the RMP.</w:t>
      </w:r>
    </w:p>
    <w:p w14:paraId="5CBEB8F7" w14:textId="77777777" w:rsidR="008A1AA7" w:rsidRDefault="008A1AA7" w:rsidP="008A1AA7">
      <w:r>
        <w:t xml:space="preserve">The </w:t>
      </w:r>
      <w:r w:rsidR="009261A4">
        <w:t>marketing authorisation holder</w:t>
      </w:r>
      <w:r>
        <w:t xml:space="preserve"> </w:t>
      </w:r>
      <w:r w:rsidR="009261A4">
        <w:t xml:space="preserve">(MAH) </w:t>
      </w:r>
      <w:r>
        <w:t xml:space="preserve">has added encephalitis and sarcoidosis to the list of Important Identified Risks in the </w:t>
      </w:r>
      <w:proofErr w:type="spellStart"/>
      <w:r>
        <w:t>pembrolizumab</w:t>
      </w:r>
      <w:proofErr w:type="spellEnd"/>
      <w:r>
        <w:t xml:space="preserve"> core RMP v. 14.</w:t>
      </w:r>
    </w:p>
    <w:p w14:paraId="5CBEB8F8" w14:textId="77777777" w:rsidR="008A1AA7" w:rsidRPr="009261A4" w:rsidRDefault="008A1AA7" w:rsidP="009261A4">
      <w:pPr>
        <w:pStyle w:val="Numberbullet0"/>
        <w:rPr>
          <w:i/>
        </w:rPr>
      </w:pPr>
      <w:r w:rsidRPr="009261A4">
        <w:rPr>
          <w:i/>
        </w:rPr>
        <w:t>Provide (further) justification for the removal of ‘long-term safety data’ from the list of safety concerns (or reinstate it).</w:t>
      </w:r>
    </w:p>
    <w:p w14:paraId="5CBEB8F9" w14:textId="77777777" w:rsidR="008A1AA7" w:rsidRDefault="008A1AA7" w:rsidP="008A1AA7">
      <w:r>
        <w:t xml:space="preserve">Protocol 001 (melanoma) provided the longest </w:t>
      </w:r>
      <w:proofErr w:type="spellStart"/>
      <w:r>
        <w:t>pembrolizumab</w:t>
      </w:r>
      <w:proofErr w:type="spellEnd"/>
      <w:r>
        <w:t xml:space="preserve"> exposure to date, with a mean exposure of nearly 1 year (347.4 days) across all doses (range of 1 to 1,338 days). The cumulative exposure to </w:t>
      </w:r>
      <w:proofErr w:type="spellStart"/>
      <w:r>
        <w:t>pembrolizumab</w:t>
      </w:r>
      <w:proofErr w:type="spellEnd"/>
      <w:r>
        <w:t xml:space="preserve"> in P001 is 498.9 patient-years for those treated for more than 12 months. Despite the long exposure to </w:t>
      </w:r>
      <w:proofErr w:type="spellStart"/>
      <w:r>
        <w:t>pembrolizumab</w:t>
      </w:r>
      <w:proofErr w:type="spellEnd"/>
      <w:r>
        <w:t xml:space="preserve"> in P001, exposure-adjusted analyses of AEOSIs did not reveal an increase in the incidence of AEOSIs over time, and no new safety signals were observed. Hence, the results from P001 provide evidence that the safety of long term </w:t>
      </w:r>
      <w:proofErr w:type="spellStart"/>
      <w:r>
        <w:t>pembrolizumab</w:t>
      </w:r>
      <w:proofErr w:type="spellEnd"/>
      <w:r>
        <w:t xml:space="preserve"> use is consistent with the known safety profile of </w:t>
      </w:r>
      <w:proofErr w:type="spellStart"/>
      <w:r>
        <w:t>pembrolizumab</w:t>
      </w:r>
      <w:proofErr w:type="spellEnd"/>
      <w:r>
        <w:t>. Based on the evidence provided by the results in P001 for melanoma, the MAH no longer considers long term safety to be missing information; therefore it was removed from the summary of ongoing safety concerns in cRMPv11.0.</w:t>
      </w:r>
    </w:p>
    <w:p w14:paraId="5CBEB8FA" w14:textId="77777777" w:rsidR="008A1AA7" w:rsidRPr="009261A4" w:rsidRDefault="008A1AA7" w:rsidP="009261A4">
      <w:pPr>
        <w:pStyle w:val="Numberbullet0"/>
        <w:rPr>
          <w:i/>
        </w:rPr>
      </w:pPr>
      <w:r w:rsidRPr="009261A4">
        <w:rPr>
          <w:i/>
        </w:rPr>
        <w:t xml:space="preserve">Include GVHD and pyrexia in the Product Information/ CMI (also requested in </w:t>
      </w:r>
      <w:r w:rsidR="009261A4" w:rsidRPr="009261A4">
        <w:rPr>
          <w:i/>
        </w:rPr>
        <w:t>clinical evaluation report</w:t>
      </w:r>
      <w:r w:rsidRPr="009261A4">
        <w:rPr>
          <w:i/>
        </w:rPr>
        <w:t>)</w:t>
      </w:r>
    </w:p>
    <w:p w14:paraId="5CBEB8FB" w14:textId="77777777" w:rsidR="008A1AA7" w:rsidRDefault="008A1AA7" w:rsidP="008A1AA7">
      <w:r>
        <w:t xml:space="preserve">Please refer to the </w:t>
      </w:r>
      <w:proofErr w:type="spellStart"/>
      <w:r>
        <w:t>Labeling</w:t>
      </w:r>
      <w:proofErr w:type="spellEnd"/>
      <w:r>
        <w:t xml:space="preserve"> Responses document</w:t>
      </w:r>
      <w:r w:rsidR="009261A4">
        <w:t xml:space="preserve"> (not included here)</w:t>
      </w:r>
      <w:r>
        <w:t>.</w:t>
      </w:r>
    </w:p>
    <w:p w14:paraId="5CBEB8FC" w14:textId="77777777" w:rsidR="008A1AA7" w:rsidRPr="009261A4" w:rsidRDefault="008A1AA7" w:rsidP="009261A4">
      <w:pPr>
        <w:pStyle w:val="Numberbullet0"/>
        <w:rPr>
          <w:i/>
        </w:rPr>
      </w:pPr>
      <w:r w:rsidRPr="009261A4">
        <w:rPr>
          <w:i/>
        </w:rPr>
        <w:t>Revise HCP/patient materials to include (3), dose modifications for haematological malignancies, solid organ transplant</w:t>
      </w:r>
    </w:p>
    <w:p w14:paraId="5CBEB8FD" w14:textId="77777777" w:rsidR="008A1AA7" w:rsidRDefault="009261A4" w:rsidP="008A1AA7">
      <w:r>
        <w:t xml:space="preserve">The sponsor </w:t>
      </w:r>
      <w:r w:rsidR="008A1AA7">
        <w:t xml:space="preserve">agrees to provide these materials as per proposed </w:t>
      </w:r>
      <w:proofErr w:type="spellStart"/>
      <w:r w:rsidR="008A1AA7">
        <w:t>labeling</w:t>
      </w:r>
      <w:proofErr w:type="spellEnd"/>
      <w:r w:rsidR="008A1AA7">
        <w:t xml:space="preserve"> document.</w:t>
      </w:r>
    </w:p>
    <w:p w14:paraId="5CBEB8FE" w14:textId="77777777" w:rsidR="008A1AA7" w:rsidRPr="009261A4" w:rsidRDefault="008A1AA7" w:rsidP="009261A4">
      <w:pPr>
        <w:pStyle w:val="Numberbullet0"/>
        <w:rPr>
          <w:i/>
        </w:rPr>
      </w:pPr>
      <w:r w:rsidRPr="009261A4">
        <w:rPr>
          <w:i/>
        </w:rPr>
        <w:t>Provide the latest EU-RMP and EU educational materials</w:t>
      </w:r>
    </w:p>
    <w:p w14:paraId="5CBEB8FF" w14:textId="77777777" w:rsidR="008A1AA7" w:rsidRDefault="008A1AA7" w:rsidP="008A1AA7">
      <w:r>
        <w:t>MAH will provide an approved EU RMP and EU educational materials as soon as available.</w:t>
      </w:r>
    </w:p>
    <w:p w14:paraId="5CBEB900" w14:textId="77777777" w:rsidR="009261A4" w:rsidRDefault="009261A4" w:rsidP="009261A4">
      <w:pPr>
        <w:pStyle w:val="Heading6"/>
      </w:pPr>
      <w:r>
        <w:t>TGA Question 8</w:t>
      </w:r>
    </w:p>
    <w:p w14:paraId="5CBEB901" w14:textId="77777777" w:rsidR="008A1AA7" w:rsidRPr="009261A4" w:rsidRDefault="008A1AA7" w:rsidP="008A1AA7">
      <w:pPr>
        <w:rPr>
          <w:i/>
        </w:rPr>
      </w:pPr>
      <w:r w:rsidRPr="009261A4">
        <w:rPr>
          <w:i/>
        </w:rPr>
        <w:t>Please respond to the outstanding issues identified in the RMP report dated 27 June 2016.</w:t>
      </w:r>
    </w:p>
    <w:p w14:paraId="5CBEB902" w14:textId="77777777" w:rsidR="008A1AA7" w:rsidRDefault="009261A4" w:rsidP="009261A4">
      <w:pPr>
        <w:pStyle w:val="Heading6"/>
      </w:pPr>
      <w:r>
        <w:t>Sponsor’s response Question 8</w:t>
      </w:r>
    </w:p>
    <w:p w14:paraId="5CBEB903" w14:textId="77777777" w:rsidR="008A1AA7" w:rsidRDefault="008A1AA7" w:rsidP="008A1AA7">
      <w:r>
        <w:t>The outstanding issues identified in the RMP report are addressed as follows:</w:t>
      </w:r>
    </w:p>
    <w:p w14:paraId="5CBEB904" w14:textId="77777777" w:rsidR="008A1AA7" w:rsidRPr="009261A4" w:rsidRDefault="008A1AA7" w:rsidP="005B2867">
      <w:pPr>
        <w:pStyle w:val="Numberbullet0"/>
        <w:numPr>
          <w:ilvl w:val="0"/>
          <w:numId w:val="27"/>
        </w:numPr>
        <w:rPr>
          <w:i/>
        </w:rPr>
      </w:pPr>
      <w:r w:rsidRPr="009261A4">
        <w:rPr>
          <w:i/>
        </w:rPr>
        <w:t>Add Important Identified Risks encephalitis and sarcoidosis to the RMP.</w:t>
      </w:r>
    </w:p>
    <w:p w14:paraId="5CBEB905" w14:textId="77777777" w:rsidR="008A1AA7" w:rsidRDefault="008A1AA7" w:rsidP="008A1AA7">
      <w:r>
        <w:t xml:space="preserve">The MAH has added encephalitis and sarcoidosis to the list of Important Identified Risks in the </w:t>
      </w:r>
      <w:proofErr w:type="spellStart"/>
      <w:r>
        <w:t>pembrolizumab</w:t>
      </w:r>
      <w:proofErr w:type="spellEnd"/>
      <w:r>
        <w:t xml:space="preserve"> core RMP v. 14.</w:t>
      </w:r>
    </w:p>
    <w:p w14:paraId="5CBEB906" w14:textId="77777777" w:rsidR="008A1AA7" w:rsidRPr="009261A4" w:rsidRDefault="008A1AA7" w:rsidP="009261A4">
      <w:pPr>
        <w:pStyle w:val="Numberbullet0"/>
        <w:rPr>
          <w:i/>
        </w:rPr>
      </w:pPr>
      <w:r w:rsidRPr="009261A4">
        <w:rPr>
          <w:i/>
        </w:rPr>
        <w:t>Provide (further) justification for the removal of ‘long-term safety data’ from the list of safety concerns (or reinstate it).</w:t>
      </w:r>
    </w:p>
    <w:p w14:paraId="5CBEB907" w14:textId="77777777" w:rsidR="008A1AA7" w:rsidRDefault="008A1AA7" w:rsidP="008A1AA7">
      <w:r>
        <w:t xml:space="preserve">Protocol 001 (melanoma) provided the longest </w:t>
      </w:r>
      <w:proofErr w:type="spellStart"/>
      <w:r>
        <w:t>pembrolizumab</w:t>
      </w:r>
      <w:proofErr w:type="spellEnd"/>
      <w:r>
        <w:t xml:space="preserve"> exposure to date, with a mean exposure of nearly 1 year (347.4 days) across all doses (range of 1 to 1,338 days). The cumulative exposure to </w:t>
      </w:r>
      <w:proofErr w:type="spellStart"/>
      <w:r>
        <w:t>pembrolizumab</w:t>
      </w:r>
      <w:proofErr w:type="spellEnd"/>
      <w:r>
        <w:t xml:space="preserve"> in P001 is 498.9 patient-years for those treated for more than 12 months. Despite the long exposure to </w:t>
      </w:r>
      <w:proofErr w:type="spellStart"/>
      <w:r>
        <w:t>pembrolizumab</w:t>
      </w:r>
      <w:proofErr w:type="spellEnd"/>
      <w:r>
        <w:t xml:space="preserve"> in P001, exposure-adjusted analyses of AEOSIs did not reveal an increase in the incidence of AEOSIs over time, and no new safety signals were observed. Hence, the results from P001 provide evidence that the safety of long term </w:t>
      </w:r>
      <w:proofErr w:type="spellStart"/>
      <w:r>
        <w:t>pembrolizumab</w:t>
      </w:r>
      <w:proofErr w:type="spellEnd"/>
      <w:r>
        <w:t xml:space="preserve"> use is consistent with the known safety profile of </w:t>
      </w:r>
      <w:proofErr w:type="spellStart"/>
      <w:r>
        <w:t>pembrolizumab</w:t>
      </w:r>
      <w:proofErr w:type="spellEnd"/>
      <w:r>
        <w:t>. Based on the evidence provided by the results in P001 for melanoma, the MAH no longer considers long term safety to be missing information; therefore it was removed from the summary of ongoing safety concerns in cRMPv11.0.</w:t>
      </w:r>
    </w:p>
    <w:p w14:paraId="5CBEB908" w14:textId="77777777" w:rsidR="008A1AA7" w:rsidRPr="009261A4" w:rsidRDefault="008A1AA7" w:rsidP="009261A4">
      <w:pPr>
        <w:pStyle w:val="Numberbullet0"/>
        <w:rPr>
          <w:i/>
        </w:rPr>
      </w:pPr>
      <w:r w:rsidRPr="009261A4">
        <w:rPr>
          <w:i/>
        </w:rPr>
        <w:t>Include GVHD and pyrexia in the Product Information/ CMI (also requested in Clinical Evaluation Report)</w:t>
      </w:r>
    </w:p>
    <w:p w14:paraId="5CBEB909" w14:textId="77777777" w:rsidR="008A1AA7" w:rsidRDefault="008A1AA7" w:rsidP="008A1AA7">
      <w:r>
        <w:t xml:space="preserve">Please refer to the </w:t>
      </w:r>
      <w:proofErr w:type="spellStart"/>
      <w:r>
        <w:t>Labeling</w:t>
      </w:r>
      <w:proofErr w:type="spellEnd"/>
      <w:r>
        <w:t xml:space="preserve"> Responses document</w:t>
      </w:r>
      <w:r w:rsidR="00EB2B94">
        <w:t xml:space="preserve"> (not included here)</w:t>
      </w:r>
      <w:r>
        <w:t>.</w:t>
      </w:r>
    </w:p>
    <w:p w14:paraId="5CBEB90A" w14:textId="77777777" w:rsidR="008A1AA7" w:rsidRPr="00EB2B94" w:rsidRDefault="008A1AA7" w:rsidP="00EB2B94">
      <w:pPr>
        <w:pStyle w:val="Numberbullet0"/>
        <w:rPr>
          <w:i/>
        </w:rPr>
      </w:pPr>
      <w:r w:rsidRPr="00EB2B94">
        <w:rPr>
          <w:i/>
        </w:rPr>
        <w:t>Revise HCP/patient materials to include (3), dose modifications for haematological malignancies, solid organ transplant</w:t>
      </w:r>
    </w:p>
    <w:p w14:paraId="5CBEB90B" w14:textId="77777777" w:rsidR="008A1AA7" w:rsidRDefault="00EB2B94" w:rsidP="008A1AA7">
      <w:r>
        <w:lastRenderedPageBreak/>
        <w:t>The sponsor</w:t>
      </w:r>
      <w:r w:rsidR="008A1AA7">
        <w:t xml:space="preserve"> agrees to provide these materials as per proposed </w:t>
      </w:r>
      <w:proofErr w:type="spellStart"/>
      <w:r w:rsidR="008A1AA7">
        <w:t>labeling</w:t>
      </w:r>
      <w:proofErr w:type="spellEnd"/>
      <w:r w:rsidR="008A1AA7">
        <w:t xml:space="preserve"> document.</w:t>
      </w:r>
    </w:p>
    <w:p w14:paraId="5CBEB90C" w14:textId="77777777" w:rsidR="008A1AA7" w:rsidRPr="00EB2B94" w:rsidRDefault="008A1AA7" w:rsidP="00EB2B94">
      <w:pPr>
        <w:pStyle w:val="Numberbullet0"/>
        <w:rPr>
          <w:i/>
        </w:rPr>
      </w:pPr>
      <w:r w:rsidRPr="00EB2B94">
        <w:rPr>
          <w:i/>
        </w:rPr>
        <w:t>Provide the latest EU-RMP and EU educational materials</w:t>
      </w:r>
    </w:p>
    <w:p w14:paraId="5CBEB90D" w14:textId="77777777" w:rsidR="008A1AA7" w:rsidRDefault="008A1AA7" w:rsidP="008A1AA7">
      <w:r>
        <w:t>MAH will provide an approved EU RMP and EU educational materials as soon as available.</w:t>
      </w:r>
    </w:p>
    <w:p w14:paraId="5CBEB90E" w14:textId="77777777" w:rsidR="008A1AA7" w:rsidRDefault="00EB2B94" w:rsidP="00EB2B94">
      <w:pPr>
        <w:pStyle w:val="Heading6"/>
      </w:pPr>
      <w:r w:rsidRPr="00EB2B94">
        <w:t>TGA Questi</w:t>
      </w:r>
      <w:r>
        <w:t>on 9</w:t>
      </w:r>
    </w:p>
    <w:p w14:paraId="5CBEB90F" w14:textId="77777777" w:rsidR="008A1AA7" w:rsidRPr="00EB2B94" w:rsidRDefault="008A1AA7" w:rsidP="008A1AA7">
      <w:pPr>
        <w:rPr>
          <w:i/>
        </w:rPr>
      </w:pPr>
      <w:r w:rsidRPr="00C44A61">
        <w:rPr>
          <w:i/>
        </w:rPr>
        <w:t xml:space="preserve">Please clarify the expected submission dates for the final reports of each of the studies listed in Table </w:t>
      </w:r>
      <w:r w:rsidR="00C44A61" w:rsidRPr="00C44A61">
        <w:rPr>
          <w:i/>
        </w:rPr>
        <w:t>22</w:t>
      </w:r>
      <w:r w:rsidRPr="00C44A61">
        <w:rPr>
          <w:i/>
        </w:rPr>
        <w:t>.</w:t>
      </w:r>
    </w:p>
    <w:p w14:paraId="5CBEB910" w14:textId="77777777" w:rsidR="00EB2B94" w:rsidRDefault="00EB2B94" w:rsidP="00EB2B94">
      <w:pPr>
        <w:pStyle w:val="Heading6"/>
      </w:pPr>
      <w:r w:rsidRPr="00EB2B94">
        <w:t xml:space="preserve">Sponsor’s response Question </w:t>
      </w:r>
      <w:r>
        <w:t>9</w:t>
      </w:r>
    </w:p>
    <w:p w14:paraId="5CBEB911" w14:textId="77777777" w:rsidR="008A1AA7" w:rsidRDefault="008A1AA7" w:rsidP="008A1AA7">
      <w:r>
        <w:t xml:space="preserve">The final reports for the studies in Hodgkin lymphoma are projected to be: KEYNOTE-013: </w:t>
      </w:r>
      <w:r w:rsidR="00EB2B94">
        <w:t>second h</w:t>
      </w:r>
      <w:r>
        <w:t>alf 2018</w:t>
      </w:r>
    </w:p>
    <w:p w14:paraId="5CBEB912" w14:textId="77777777" w:rsidR="008A1AA7" w:rsidRDefault="008A1AA7" w:rsidP="008A1AA7">
      <w:r>
        <w:t xml:space="preserve">KEYNOTE-087: </w:t>
      </w:r>
      <w:r w:rsidR="00EB2B94">
        <w:t>second h</w:t>
      </w:r>
      <w:r>
        <w:t xml:space="preserve">alf 2021 KEYNOTE-204: </w:t>
      </w:r>
      <w:r w:rsidR="00EB2B94">
        <w:t>first h</w:t>
      </w:r>
      <w:r>
        <w:t>alf 2021</w:t>
      </w:r>
    </w:p>
    <w:p w14:paraId="5CBEB913" w14:textId="77777777" w:rsidR="008E7846" w:rsidRDefault="008E7846" w:rsidP="008E7846">
      <w:pPr>
        <w:pStyle w:val="Heading4"/>
      </w:pPr>
      <w:r>
        <w:t>Advisory Committee Considerations</w:t>
      </w:r>
    </w:p>
    <w:p w14:paraId="5CBEB914" w14:textId="77777777"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14:paraId="5CBEB915" w14:textId="77777777" w:rsidR="00A7102E" w:rsidRDefault="00A7102E" w:rsidP="00EB2B94">
      <w:r w:rsidRPr="003D39DE">
        <w:t xml:space="preserve">The ACM taking into account the submitted evidence of efficacy, safety and quality, agreed with the delegate and considered </w:t>
      </w:r>
      <w:r w:rsidR="00957DB3">
        <w:rPr>
          <w:noProof/>
        </w:rPr>
        <w:t>Keytruda</w:t>
      </w:r>
      <w:r w:rsidRPr="003D39DE">
        <w:t xml:space="preserve"> </w:t>
      </w:r>
      <w:r w:rsidRPr="00D55E49">
        <w:rPr>
          <w:noProof/>
        </w:rPr>
        <w:t>powder for solution for infusion, solution for infusion</w:t>
      </w:r>
      <w:r w:rsidRPr="003D39DE">
        <w:t xml:space="preserve"> containing </w:t>
      </w:r>
      <w:r w:rsidRPr="00D55E49">
        <w:rPr>
          <w:noProof/>
        </w:rPr>
        <w:t>5</w:t>
      </w:r>
      <w:r w:rsidR="00CC4E8D">
        <w:rPr>
          <w:noProof/>
        </w:rPr>
        <w:t>0 mg</w:t>
      </w:r>
      <w:r w:rsidRPr="00D55E49">
        <w:rPr>
          <w:noProof/>
        </w:rPr>
        <w:t xml:space="preserve"> powder, 10</w:t>
      </w:r>
      <w:r w:rsidR="00CC4E8D">
        <w:rPr>
          <w:noProof/>
        </w:rPr>
        <w:t>0 mg</w:t>
      </w:r>
      <w:r w:rsidRPr="00D55E49">
        <w:rPr>
          <w:noProof/>
        </w:rPr>
        <w:t>/4mL solution</w:t>
      </w:r>
      <w:r w:rsidRPr="003D39DE">
        <w:t xml:space="preserve"> of </w:t>
      </w:r>
      <w:r w:rsidRPr="00D55E49">
        <w:rPr>
          <w:noProof/>
        </w:rPr>
        <w:t>pembrolizumab</w:t>
      </w:r>
      <w:r w:rsidRPr="003D39DE">
        <w:t xml:space="preserve"> to have an overall positive benefit-risk profile for the </w:t>
      </w:r>
      <w:r w:rsidRPr="00891840">
        <w:t>treatment of adult patients with relapsed or refractory cl</w:t>
      </w:r>
      <w:r>
        <w:t>assical Hodgkin Lymphoma (</w:t>
      </w:r>
      <w:proofErr w:type="spellStart"/>
      <w:r>
        <w:t>cHL</w:t>
      </w:r>
      <w:proofErr w:type="spellEnd"/>
      <w:r>
        <w:t xml:space="preserve">) </w:t>
      </w:r>
      <w:r w:rsidRPr="00891840">
        <w:t>following autologous</w:t>
      </w:r>
      <w:r>
        <w:t xml:space="preserve"> stem cell transplant (ASCT) or </w:t>
      </w:r>
      <w:r w:rsidRPr="00891840">
        <w:t>following at least two prior therapies when ASCT or multi-agent chemotherapy is not a treatment option.</w:t>
      </w:r>
    </w:p>
    <w:p w14:paraId="5CBEB916" w14:textId="77777777" w:rsidR="00A7102E" w:rsidRPr="00D55E49" w:rsidRDefault="00A7102E" w:rsidP="00EB2B94">
      <w:pPr>
        <w:pStyle w:val="Heading5"/>
        <w:rPr>
          <w:noProof/>
        </w:rPr>
      </w:pPr>
      <w:r w:rsidRPr="00D55E49">
        <w:rPr>
          <w:noProof/>
        </w:rPr>
        <w:t>Current approved indication</w:t>
      </w:r>
      <w:r>
        <w:rPr>
          <w:noProof/>
        </w:rPr>
        <w:t>s</w:t>
      </w:r>
    </w:p>
    <w:p w14:paraId="5CBEB917" w14:textId="77777777" w:rsidR="00A7102E" w:rsidRPr="00EB2B94" w:rsidRDefault="00957DB3" w:rsidP="00EB2B94">
      <w:pPr>
        <w:ind w:left="720"/>
        <w:rPr>
          <w:i/>
          <w:noProof/>
        </w:rPr>
      </w:pPr>
      <w:r w:rsidRPr="00EB2B94">
        <w:rPr>
          <w:i/>
          <w:noProof/>
        </w:rPr>
        <w:t>Keytruda</w:t>
      </w:r>
      <w:r w:rsidR="00A7102E" w:rsidRPr="00EB2B94">
        <w:rPr>
          <w:i/>
          <w:noProof/>
        </w:rPr>
        <w:t xml:space="preserve"> (pembrolizumab) is indicated as monotherapy for the treatment of unresectable or metastatic melanoma in adults.</w:t>
      </w:r>
    </w:p>
    <w:p w14:paraId="5CBEB918" w14:textId="77777777" w:rsidR="00A7102E" w:rsidRPr="00EB2B94" w:rsidRDefault="00957DB3" w:rsidP="00EB2B94">
      <w:pPr>
        <w:ind w:left="720"/>
        <w:rPr>
          <w:i/>
          <w:noProof/>
        </w:rPr>
      </w:pPr>
      <w:r w:rsidRPr="00EB2B94">
        <w:rPr>
          <w:i/>
          <w:noProof/>
        </w:rPr>
        <w:t>Keytruda</w:t>
      </w:r>
      <w:r w:rsidR="00A7102E" w:rsidRPr="00EB2B94">
        <w:rPr>
          <w:i/>
          <w:noProof/>
        </w:rPr>
        <w:t xml:space="preserve"> is indicated for the first-line treatment of patients with metastatic non-small cell lung carcinoma (NSCLC) whose tumours express PD-L1 with a </w:t>
      </w:r>
      <w:r w:rsidR="00D65F50" w:rsidRPr="00EB2B94">
        <w:rPr>
          <w:i/>
          <w:noProof/>
        </w:rPr>
        <w:t xml:space="preserve">≥ </w:t>
      </w:r>
      <w:r w:rsidR="00A7102E" w:rsidRPr="00EB2B94">
        <w:rPr>
          <w:i/>
          <w:noProof/>
        </w:rPr>
        <w:t>50% tumour proportion score (TPS) as determined by a validated test, with no EGFR or ALK genomic tumour aberrations.</w:t>
      </w:r>
    </w:p>
    <w:p w14:paraId="1B001B53" w14:textId="77777777" w:rsidR="00F8652A" w:rsidRDefault="00957DB3" w:rsidP="00EB2B94">
      <w:pPr>
        <w:ind w:left="720"/>
        <w:rPr>
          <w:i/>
          <w:noProof/>
        </w:rPr>
      </w:pPr>
      <w:r w:rsidRPr="00EB2B94">
        <w:rPr>
          <w:i/>
          <w:noProof/>
        </w:rPr>
        <w:t>Keytruda</w:t>
      </w:r>
      <w:r w:rsidR="00A7102E" w:rsidRPr="00EB2B94">
        <w:rPr>
          <w:i/>
          <w:noProof/>
        </w:rPr>
        <w:t xml:space="preserve"> is indicated for the treatment of patients with advanced NSCLC whose tumours express PD-L1 with a </w:t>
      </w:r>
      <w:r w:rsidR="00D65F50" w:rsidRPr="00EB2B94">
        <w:rPr>
          <w:i/>
          <w:noProof/>
        </w:rPr>
        <w:t xml:space="preserve">≥ </w:t>
      </w:r>
      <w:r w:rsidR="00A7102E" w:rsidRPr="00EB2B94">
        <w:rPr>
          <w:i/>
          <w:noProof/>
        </w:rPr>
        <w:t xml:space="preserve">1% TPS as determined by a validated test and who have received platinum-containing chemotherapy. Patients with EGFR or ALK genomic tumour aberrations should have received prior therapy for these aberrations prior to receiving </w:t>
      </w:r>
      <w:r w:rsidRPr="00EB2B94">
        <w:rPr>
          <w:i/>
          <w:noProof/>
        </w:rPr>
        <w:t>Keytruda</w:t>
      </w:r>
      <w:r w:rsidR="00A7102E" w:rsidRPr="00EB2B94">
        <w:rPr>
          <w:i/>
          <w:noProof/>
        </w:rPr>
        <w:t>.</w:t>
      </w:r>
    </w:p>
    <w:p w14:paraId="1B968F7D" w14:textId="77777777" w:rsidR="00F8652A" w:rsidRDefault="00957DB3" w:rsidP="00EB2B94">
      <w:pPr>
        <w:ind w:left="720"/>
        <w:rPr>
          <w:i/>
          <w:noProof/>
        </w:rPr>
      </w:pPr>
      <w:r w:rsidRPr="00EB2B94">
        <w:rPr>
          <w:i/>
          <w:noProof/>
        </w:rPr>
        <w:t>Keytruda</w:t>
      </w:r>
      <w:r w:rsidR="00A7102E" w:rsidRPr="00EB2B94">
        <w:rPr>
          <w:i/>
          <w:noProof/>
        </w:rPr>
        <w:t xml:space="preserve"> (pembrolizumab) is indicated for the treatment of patients with recurrent or metastatic head and neck squamous cell carcinoma (HNSCC) with disease progression on or after platinum-containing chemotherapy. This indication is approved based on overall response rate and duration of response. Improvements in overall survival, progression-free survival or health-related quality of life have not been established.</w:t>
      </w:r>
    </w:p>
    <w:p w14:paraId="5CBEB91B" w14:textId="6E24F9F8" w:rsidR="00A7102E" w:rsidRPr="00681C76" w:rsidRDefault="00A7102E" w:rsidP="00EB2B94">
      <w:pPr>
        <w:pStyle w:val="Heading5"/>
        <w:rPr>
          <w:noProof/>
        </w:rPr>
      </w:pPr>
      <w:r>
        <w:rPr>
          <w:noProof/>
        </w:rPr>
        <w:t>Proposed</w:t>
      </w:r>
      <w:r w:rsidRPr="00681C76">
        <w:rPr>
          <w:noProof/>
        </w:rPr>
        <w:t xml:space="preserve"> indication following </w:t>
      </w:r>
      <w:r w:rsidR="00EB2B94">
        <w:rPr>
          <w:noProof/>
        </w:rPr>
        <w:t>the second r</w:t>
      </w:r>
      <w:r w:rsidRPr="00681C76">
        <w:rPr>
          <w:noProof/>
        </w:rPr>
        <w:t>ound evaluation:</w:t>
      </w:r>
    </w:p>
    <w:p w14:paraId="5CBEB91C" w14:textId="77777777" w:rsidR="00A7102E" w:rsidRPr="00EB2B94" w:rsidRDefault="00957DB3" w:rsidP="00EB2B94">
      <w:pPr>
        <w:ind w:left="425"/>
        <w:rPr>
          <w:i/>
          <w:noProof/>
        </w:rPr>
      </w:pPr>
      <w:r w:rsidRPr="00EB2B94">
        <w:rPr>
          <w:i/>
          <w:noProof/>
        </w:rPr>
        <w:t>Keytruda</w:t>
      </w:r>
      <w:r w:rsidR="00A7102E" w:rsidRPr="00EB2B94">
        <w:rPr>
          <w:i/>
          <w:noProof/>
        </w:rPr>
        <w:t xml:space="preserve"> as monotherapy is indicated for the treatment of adult patients with relapsed or refractory classical Hodgkin Lymphoma (cHL):</w:t>
      </w:r>
    </w:p>
    <w:p w14:paraId="5CBEB91D" w14:textId="77777777" w:rsidR="00A7102E" w:rsidRPr="00EB2B94" w:rsidRDefault="00A7102E" w:rsidP="005B2867">
      <w:pPr>
        <w:pStyle w:val="Numberbullet0"/>
        <w:numPr>
          <w:ilvl w:val="0"/>
          <w:numId w:val="28"/>
        </w:numPr>
        <w:ind w:left="850"/>
        <w:rPr>
          <w:i/>
          <w:noProof/>
        </w:rPr>
      </w:pPr>
      <w:r w:rsidRPr="00EB2B94">
        <w:rPr>
          <w:i/>
          <w:noProof/>
        </w:rPr>
        <w:t>following autologous stem cell transplant (ASCT) or</w:t>
      </w:r>
    </w:p>
    <w:p w14:paraId="5CBEB91E" w14:textId="77777777" w:rsidR="00A7102E" w:rsidRPr="00EB2B94" w:rsidRDefault="00A7102E" w:rsidP="00EB2B94">
      <w:pPr>
        <w:pStyle w:val="Numberbullet0"/>
        <w:ind w:left="850"/>
        <w:rPr>
          <w:i/>
          <w:noProof/>
        </w:rPr>
      </w:pPr>
      <w:r w:rsidRPr="00EB2B94">
        <w:rPr>
          <w:i/>
          <w:noProof/>
        </w:rPr>
        <w:t>following at least two prior therapies when ASCT or multi-agent chemotherapy is not a treatment option.</w:t>
      </w:r>
    </w:p>
    <w:p w14:paraId="5CBEB91F" w14:textId="77777777" w:rsidR="00A7102E" w:rsidRPr="00EB2B94" w:rsidRDefault="00A7102E" w:rsidP="00EB2B94">
      <w:pPr>
        <w:ind w:left="425"/>
        <w:rPr>
          <w:i/>
          <w:noProof/>
        </w:rPr>
      </w:pPr>
      <w:r w:rsidRPr="00EB2B94">
        <w:rPr>
          <w:i/>
          <w:noProof/>
        </w:rPr>
        <w:t>The approval of this indication is on the basis of objective response rate (ORR). Data on progression free and overall survival is limited.</w:t>
      </w:r>
    </w:p>
    <w:p w14:paraId="5CBEB920" w14:textId="77777777" w:rsidR="00A7102E" w:rsidRPr="00D55E49" w:rsidRDefault="00A7102E" w:rsidP="00EB2B94">
      <w:pPr>
        <w:pStyle w:val="Heading5"/>
        <w:rPr>
          <w:noProof/>
        </w:rPr>
      </w:pPr>
      <w:r w:rsidRPr="00D55E49">
        <w:rPr>
          <w:noProof/>
        </w:rPr>
        <w:lastRenderedPageBreak/>
        <w:t>Indicati</w:t>
      </w:r>
      <w:r>
        <w:rPr>
          <w:noProof/>
        </w:rPr>
        <w:t>on proposed by Delegate</w:t>
      </w:r>
      <w:r w:rsidRPr="00D55E49">
        <w:rPr>
          <w:noProof/>
        </w:rPr>
        <w:t>:</w:t>
      </w:r>
    </w:p>
    <w:p w14:paraId="5CBEB921" w14:textId="77777777" w:rsidR="00A7102E" w:rsidRPr="00EB2B94" w:rsidRDefault="00957DB3" w:rsidP="00EB2B94">
      <w:pPr>
        <w:ind w:left="425"/>
        <w:rPr>
          <w:i/>
          <w:noProof/>
        </w:rPr>
      </w:pPr>
      <w:r w:rsidRPr="00EB2B94">
        <w:rPr>
          <w:i/>
          <w:noProof/>
        </w:rPr>
        <w:t>Keytruda</w:t>
      </w:r>
      <w:r w:rsidR="00A7102E" w:rsidRPr="00EB2B94">
        <w:rPr>
          <w:i/>
          <w:noProof/>
        </w:rPr>
        <w:t xml:space="preserve"> as monotherapy is indicated for the treatment of adult patients with relapsed or refractory classical Hodgkin Lymphoma (cHL):</w:t>
      </w:r>
    </w:p>
    <w:p w14:paraId="5CBEB922" w14:textId="77777777" w:rsidR="00A7102E" w:rsidRPr="00EB2B94" w:rsidRDefault="00A7102E" w:rsidP="005B2867">
      <w:pPr>
        <w:pStyle w:val="Numberbullet0"/>
        <w:numPr>
          <w:ilvl w:val="0"/>
          <w:numId w:val="29"/>
        </w:numPr>
        <w:ind w:left="850"/>
        <w:rPr>
          <w:i/>
          <w:noProof/>
        </w:rPr>
      </w:pPr>
      <w:r w:rsidRPr="00EB2B94">
        <w:rPr>
          <w:i/>
          <w:noProof/>
        </w:rPr>
        <w:t>following autologous stem cell transplant (ASCT) and brentuximab vedotin (BV) or</w:t>
      </w:r>
    </w:p>
    <w:p w14:paraId="5CBEB923" w14:textId="77777777" w:rsidR="00A7102E" w:rsidRPr="00EB2B94" w:rsidRDefault="00A7102E" w:rsidP="00EB2B94">
      <w:pPr>
        <w:pStyle w:val="Numberbullet0"/>
        <w:ind w:left="850"/>
        <w:rPr>
          <w:i/>
          <w:noProof/>
        </w:rPr>
      </w:pPr>
      <w:r w:rsidRPr="00EB2B94">
        <w:rPr>
          <w:i/>
          <w:noProof/>
        </w:rPr>
        <w:t>following at least two prior therapies including brentuximab vedotin (BV) when ASCT or multi-agent chemotherapy is not a treatment option.</w:t>
      </w:r>
    </w:p>
    <w:p w14:paraId="5CBEB924" w14:textId="77777777" w:rsidR="00A7102E" w:rsidRPr="00EB2B94" w:rsidRDefault="00A7102E" w:rsidP="00EB2B94">
      <w:pPr>
        <w:ind w:left="425"/>
        <w:rPr>
          <w:i/>
          <w:noProof/>
        </w:rPr>
      </w:pPr>
      <w:r w:rsidRPr="00EB2B94">
        <w:rPr>
          <w:i/>
          <w:noProof/>
        </w:rPr>
        <w:t>The approval of this indication is on the basis of objective response rate (ORR). See CLINICAL TRIALS.</w:t>
      </w:r>
    </w:p>
    <w:p w14:paraId="5CBEB925" w14:textId="77777777" w:rsidR="00A7102E" w:rsidRPr="003D39DE" w:rsidRDefault="00A7102E" w:rsidP="00EB2B94">
      <w:r w:rsidRPr="003D39DE">
        <w:t xml:space="preserve">In making this recommendation the ACM </w:t>
      </w:r>
      <w:r>
        <w:t>noted</w:t>
      </w:r>
    </w:p>
    <w:p w14:paraId="5CBEB926" w14:textId="77777777" w:rsidR="00A7102E" w:rsidRDefault="00A7102E" w:rsidP="00EB2B94">
      <w:pPr>
        <w:pStyle w:val="ListBullet"/>
      </w:pPr>
      <w:r>
        <w:t>wording of proposed indication</w:t>
      </w:r>
    </w:p>
    <w:p w14:paraId="5CBEB927" w14:textId="77777777" w:rsidR="00A7102E" w:rsidRDefault="00A7102E" w:rsidP="00EB2B94">
      <w:pPr>
        <w:pStyle w:val="ListBullet"/>
      </w:pPr>
      <w:proofErr w:type="gramStart"/>
      <w:r>
        <w:t>differences</w:t>
      </w:r>
      <w:proofErr w:type="gramEnd"/>
      <w:r>
        <w:t xml:space="preserve"> in PK and safety profile for indicated population compared to reference population for </w:t>
      </w:r>
      <w:proofErr w:type="spellStart"/>
      <w:r>
        <w:t>pembrolizumab</w:t>
      </w:r>
      <w:proofErr w:type="spellEnd"/>
      <w:r>
        <w:t>.</w:t>
      </w:r>
    </w:p>
    <w:p w14:paraId="5CBEB928" w14:textId="77777777" w:rsidR="00A7102E" w:rsidRDefault="00A7102E" w:rsidP="00EB2B94">
      <w:pPr>
        <w:pStyle w:val="ListBullet"/>
      </w:pPr>
      <w:r>
        <w:t>multiple changes recommended for the Australian Product Information</w:t>
      </w:r>
    </w:p>
    <w:p w14:paraId="5CBEB929" w14:textId="77777777" w:rsidR="00A7102E" w:rsidRPr="003D39DE" w:rsidRDefault="00A7102E" w:rsidP="00EB2B94">
      <w:pPr>
        <w:pStyle w:val="Heading5"/>
      </w:pPr>
      <w:r w:rsidRPr="003D39DE">
        <w:t>Proposed conditions of registration</w:t>
      </w:r>
    </w:p>
    <w:p w14:paraId="245D749E" w14:textId="77777777" w:rsidR="00F8652A" w:rsidRDefault="00EB2B94" w:rsidP="00EB2B94">
      <w:r>
        <w:t>The ACM agreed with the D</w:t>
      </w:r>
      <w:r w:rsidR="00A7102E" w:rsidRPr="00736541">
        <w:t>elegate on the proposed conditions of registration and advised on the inclusion of the following:</w:t>
      </w:r>
    </w:p>
    <w:p w14:paraId="5CBEB92B" w14:textId="7A0B7391" w:rsidR="00A7102E" w:rsidRPr="00736541" w:rsidRDefault="00A7102E" w:rsidP="00EB2B94">
      <w:pPr>
        <w:pStyle w:val="ListBullet"/>
      </w:pPr>
      <w:r w:rsidRPr="00736541">
        <w:t>Subject to satisfactory implementation of the Risk Management Plan most recently negotiated by the TGA,</w:t>
      </w:r>
    </w:p>
    <w:p w14:paraId="5CBEB92C" w14:textId="77777777" w:rsidR="00A7102E" w:rsidRPr="00736541" w:rsidRDefault="00A7102E" w:rsidP="00EB2B94">
      <w:pPr>
        <w:pStyle w:val="ListBullet"/>
      </w:pPr>
      <w:r w:rsidRPr="00736541">
        <w:t>Negotiation of the Product Information and Consumer Medicine Information to the satisfaction of the TGA.</w:t>
      </w:r>
    </w:p>
    <w:p w14:paraId="5CBEB92D" w14:textId="77777777" w:rsidR="00A7102E" w:rsidRPr="003D39DE" w:rsidRDefault="00A7102E" w:rsidP="00EB2B94">
      <w:pPr>
        <w:pStyle w:val="Heading5"/>
      </w:pPr>
      <w:r w:rsidRPr="003D39DE">
        <w:t>Proposed Product Information (PI)/ Consumer Medicine Information (CMI) amendments</w:t>
      </w:r>
    </w:p>
    <w:p w14:paraId="5CBEB92E" w14:textId="77777777" w:rsidR="00A7102E" w:rsidRPr="003D39DE" w:rsidRDefault="00A7102E" w:rsidP="00EB2B94">
      <w:r w:rsidRPr="003D39DE">
        <w:t xml:space="preserve">The </w:t>
      </w:r>
      <w:r w:rsidR="00EB2B94">
        <w:t>ACM agreed with the D</w:t>
      </w:r>
      <w:r w:rsidRPr="00EB0DD7">
        <w:t xml:space="preserve">elegate to the proposed </w:t>
      </w:r>
      <w:r w:rsidRPr="003D39DE">
        <w:t>amendments to the Product Information (PI) and Consumer Medicine information (CMI) and specifically advised on the inclusion of the following:</w:t>
      </w:r>
    </w:p>
    <w:p w14:paraId="5CBEB92F" w14:textId="77777777" w:rsidR="00A7102E" w:rsidRPr="00EB0DD7" w:rsidRDefault="00EB2B94" w:rsidP="00EB2B94">
      <w:pPr>
        <w:pStyle w:val="ListBullet"/>
      </w:pPr>
      <w:r>
        <w:t>a</w:t>
      </w:r>
      <w:r w:rsidR="00A7102E" w:rsidRPr="00EB0DD7">
        <w:t xml:space="preserve"> statement in the </w:t>
      </w:r>
      <w:r w:rsidR="00A7102E">
        <w:t xml:space="preserve">Precautions’ </w:t>
      </w:r>
      <w:r w:rsidR="00A7102E" w:rsidRPr="00EB0DD7">
        <w:t>section of the PI and relevant sections of the CMI to include</w:t>
      </w:r>
      <w:r w:rsidR="00D65F50">
        <w:t xml:space="preserve"> </w:t>
      </w:r>
      <w:r w:rsidR="00A7102E" w:rsidRPr="00EB0DD7">
        <w:t>to following statement:</w:t>
      </w:r>
    </w:p>
    <w:p w14:paraId="5CBEB930" w14:textId="77777777" w:rsidR="00A7102E" w:rsidRPr="00EB2B94" w:rsidRDefault="00A7102E" w:rsidP="00EB2B94">
      <w:pPr>
        <w:ind w:left="360"/>
        <w:rPr>
          <w:i/>
        </w:rPr>
      </w:pPr>
      <w:r w:rsidRPr="00EB2B94">
        <w:rPr>
          <w:i/>
        </w:rPr>
        <w:t xml:space="preserve">Immune-mediated complications, including fatal events, occurred in patients who underwent allogeneic hematopoietic stem cell transplantation (HSCT) after being treated with </w:t>
      </w:r>
      <w:proofErr w:type="spellStart"/>
      <w:r w:rsidR="00957DB3" w:rsidRPr="00EB2B94">
        <w:rPr>
          <w:i/>
        </w:rPr>
        <w:t>Keytruda</w:t>
      </w:r>
      <w:proofErr w:type="spellEnd"/>
      <w:r w:rsidRPr="00EB2B94">
        <w:rPr>
          <w:i/>
        </w:rPr>
        <w:t xml:space="preserve">. Of 23 patients with </w:t>
      </w:r>
      <w:proofErr w:type="spellStart"/>
      <w:r w:rsidRPr="00EB2B94">
        <w:rPr>
          <w:i/>
        </w:rPr>
        <w:t>cHL</w:t>
      </w:r>
      <w:proofErr w:type="spellEnd"/>
      <w:r w:rsidRPr="00EB2B94">
        <w:rPr>
          <w:i/>
        </w:rPr>
        <w:t xml:space="preserve"> who proceeded to allogeneic HSCT after treatment with </w:t>
      </w:r>
      <w:proofErr w:type="spellStart"/>
      <w:r w:rsidR="00957DB3" w:rsidRPr="00EB2B94">
        <w:rPr>
          <w:i/>
        </w:rPr>
        <w:t>Keytruda</w:t>
      </w:r>
      <w:proofErr w:type="spellEnd"/>
      <w:r w:rsidRPr="00EB2B94">
        <w:rPr>
          <w:i/>
        </w:rPr>
        <w:t xml:space="preserve"> on any trial, 6 patients (26%) developed graft-versus-host-disease (GVHD), one of which was fatal, and 2 patients (9%) developed severe hepatic </w:t>
      </w:r>
      <w:proofErr w:type="spellStart"/>
      <w:r w:rsidRPr="00EB2B94">
        <w:rPr>
          <w:i/>
        </w:rPr>
        <w:t>veno</w:t>
      </w:r>
      <w:proofErr w:type="spellEnd"/>
      <w:r w:rsidRPr="00EB2B94">
        <w:rPr>
          <w:i/>
        </w:rPr>
        <w:t xml:space="preserve">-occlusive disease (VOD) after reduced-intensity conditioning, one of which was fatal. Cases of fatal </w:t>
      </w:r>
      <w:proofErr w:type="spellStart"/>
      <w:r w:rsidRPr="00EB2B94">
        <w:rPr>
          <w:i/>
        </w:rPr>
        <w:t>hyperacute</w:t>
      </w:r>
      <w:proofErr w:type="spellEnd"/>
      <w:r w:rsidRPr="00EB2B94">
        <w:rPr>
          <w:i/>
        </w:rPr>
        <w:t xml:space="preserve"> GVHD after allogeneic HSCT have also been reported in patients with lymphoma who received a PD-1 receptor blocking antibody before transplantation. These complications may occur despite intervening therapy between PD-1 blockade and allogeneic HSCT. Follow patients closely for early evidence of transplant-related complications such as </w:t>
      </w:r>
      <w:proofErr w:type="spellStart"/>
      <w:r w:rsidRPr="00EB2B94">
        <w:rPr>
          <w:i/>
        </w:rPr>
        <w:t>hyperacute</w:t>
      </w:r>
      <w:proofErr w:type="spellEnd"/>
      <w:r w:rsidRPr="00EB2B94">
        <w:rPr>
          <w:i/>
        </w:rPr>
        <w:t xml:space="preserve"> GVHD, severe (Grade 3 to 4) acute GVHD, steroid-requiring febrile syndrome, hepatic VOD, and other immune mediated adverse reactions, and intervene promptly.</w:t>
      </w:r>
    </w:p>
    <w:p w14:paraId="5CBEB931" w14:textId="77777777" w:rsidR="00A7102E" w:rsidRPr="003D39DE" w:rsidRDefault="00A7102E" w:rsidP="00EB2B94">
      <w:pPr>
        <w:pStyle w:val="Heading5"/>
      </w:pPr>
      <w:r w:rsidRPr="003D39DE">
        <w:t>Specific Advice</w:t>
      </w:r>
    </w:p>
    <w:p w14:paraId="5CBEB932" w14:textId="77777777" w:rsidR="00A7102E" w:rsidRPr="003D39DE" w:rsidRDefault="00A7102E" w:rsidP="00EB2B94">
      <w:r w:rsidRPr="003D39DE">
        <w:t>The ACM advised the following in response to</w:t>
      </w:r>
      <w:r w:rsidR="00EB2B94">
        <w:t xml:space="preserve"> the D</w:t>
      </w:r>
      <w:r w:rsidRPr="003D39DE">
        <w:t>elegate’s specific questions on the submission:</w:t>
      </w:r>
    </w:p>
    <w:p w14:paraId="5CBEB933" w14:textId="77777777" w:rsidR="00A7102E" w:rsidRPr="005B2867" w:rsidRDefault="00A7102E" w:rsidP="005B2867">
      <w:pPr>
        <w:pStyle w:val="Numberbullet0"/>
        <w:numPr>
          <w:ilvl w:val="0"/>
          <w:numId w:val="30"/>
        </w:numPr>
        <w:rPr>
          <w:i/>
          <w:noProof/>
        </w:rPr>
      </w:pPr>
      <w:r w:rsidRPr="005B2867">
        <w:rPr>
          <w:i/>
          <w:noProof/>
        </w:rPr>
        <w:t>Can the committee comment on the wording of the proposed indication. With note to the 35 patients in Cohort 3 of KEYNOTE 087 who were BV naïve and in light of the request for further information on this group, is additional amendment to the proposed indication required based on the data presented?</w:t>
      </w:r>
    </w:p>
    <w:p w14:paraId="5CBEB934" w14:textId="3CA7AB60" w:rsidR="00A7102E" w:rsidRDefault="00A7102E" w:rsidP="005B2867">
      <w:pPr>
        <w:rPr>
          <w:noProof/>
        </w:rPr>
      </w:pPr>
      <w:r w:rsidRPr="00486E4A">
        <w:rPr>
          <w:noProof/>
        </w:rPr>
        <w:t>The ACM</w:t>
      </w:r>
      <w:r>
        <w:rPr>
          <w:noProof/>
        </w:rPr>
        <w:t xml:space="preserve"> did not agree that the indication should include reference to BV status and recommended the following wording of indication:</w:t>
      </w:r>
    </w:p>
    <w:p w14:paraId="5CBEB935" w14:textId="77777777" w:rsidR="00A7102E" w:rsidRPr="005B2867" w:rsidRDefault="00957DB3" w:rsidP="005B2867">
      <w:pPr>
        <w:ind w:left="425"/>
        <w:rPr>
          <w:i/>
        </w:rPr>
      </w:pPr>
      <w:proofErr w:type="spellStart"/>
      <w:r w:rsidRPr="005B2867">
        <w:rPr>
          <w:i/>
        </w:rPr>
        <w:lastRenderedPageBreak/>
        <w:t>Keytruda</w:t>
      </w:r>
      <w:proofErr w:type="spellEnd"/>
      <w:r w:rsidR="00A7102E" w:rsidRPr="005B2867">
        <w:rPr>
          <w:i/>
        </w:rPr>
        <w:t xml:space="preserve"> as monotherapy is indicated for the treatment of adult patients with relapsed or refractory classical Hodgkin Lymphoma (</w:t>
      </w:r>
      <w:proofErr w:type="spellStart"/>
      <w:r w:rsidR="00A7102E" w:rsidRPr="005B2867">
        <w:rPr>
          <w:i/>
        </w:rPr>
        <w:t>cHL</w:t>
      </w:r>
      <w:proofErr w:type="spellEnd"/>
      <w:r w:rsidR="00A7102E" w:rsidRPr="005B2867">
        <w:rPr>
          <w:i/>
        </w:rPr>
        <w:t>):</w:t>
      </w:r>
    </w:p>
    <w:p w14:paraId="5CBEB936" w14:textId="77777777" w:rsidR="00A7102E" w:rsidRPr="005B2867" w:rsidRDefault="00A7102E" w:rsidP="005B2867">
      <w:pPr>
        <w:pStyle w:val="Numberbullet0"/>
        <w:numPr>
          <w:ilvl w:val="0"/>
          <w:numId w:val="31"/>
        </w:numPr>
        <w:ind w:left="850"/>
        <w:rPr>
          <w:i/>
        </w:rPr>
      </w:pPr>
      <w:r w:rsidRPr="005B2867">
        <w:rPr>
          <w:i/>
        </w:rPr>
        <w:t>following autologous stem cell transplant (ASCT) or</w:t>
      </w:r>
    </w:p>
    <w:p w14:paraId="5CBEB937" w14:textId="77777777" w:rsidR="00A7102E" w:rsidRPr="005B2867" w:rsidRDefault="00A7102E" w:rsidP="005B2867">
      <w:pPr>
        <w:pStyle w:val="Numberbullet0"/>
        <w:ind w:left="850"/>
        <w:rPr>
          <w:i/>
        </w:rPr>
      </w:pPr>
      <w:proofErr w:type="gramStart"/>
      <w:r w:rsidRPr="005B2867">
        <w:rPr>
          <w:i/>
        </w:rPr>
        <w:t>following</w:t>
      </w:r>
      <w:proofErr w:type="gramEnd"/>
      <w:r w:rsidRPr="005B2867">
        <w:rPr>
          <w:i/>
        </w:rPr>
        <w:t xml:space="preserve"> at least two prior therapies when ASCT or multi-agent chemotherapy is not a treatment option.</w:t>
      </w:r>
    </w:p>
    <w:p w14:paraId="5CBEB938" w14:textId="77777777" w:rsidR="00A7102E" w:rsidRPr="005B2867" w:rsidRDefault="00A7102E" w:rsidP="005B2867">
      <w:pPr>
        <w:ind w:left="425"/>
        <w:rPr>
          <w:i/>
        </w:rPr>
      </w:pPr>
      <w:r w:rsidRPr="005B2867">
        <w:rPr>
          <w:i/>
        </w:rPr>
        <w:t>The approval of this indication is on the basis of objective response rate (ORR). See CLINICAL TRIALS.</w:t>
      </w:r>
    </w:p>
    <w:p w14:paraId="5CBEB939" w14:textId="77777777" w:rsidR="00A7102E" w:rsidRPr="005B2867" w:rsidRDefault="00A7102E" w:rsidP="005B2867">
      <w:pPr>
        <w:pStyle w:val="Numberbullet0"/>
        <w:numPr>
          <w:ilvl w:val="0"/>
          <w:numId w:val="32"/>
        </w:numPr>
        <w:rPr>
          <w:i/>
          <w:noProof/>
        </w:rPr>
      </w:pPr>
      <w:r w:rsidRPr="005B2867">
        <w:rPr>
          <w:i/>
          <w:noProof/>
        </w:rPr>
        <w:t>In light of the Delegate’s proposed PI changes, does the ACM consider that the safety of pembrolizumab (</w:t>
      </w:r>
      <w:r w:rsidR="00957DB3" w:rsidRPr="005B2867">
        <w:rPr>
          <w:i/>
          <w:noProof/>
        </w:rPr>
        <w:t>Keytruda</w:t>
      </w:r>
      <w:r w:rsidRPr="005B2867">
        <w:rPr>
          <w:i/>
          <w:noProof/>
        </w:rPr>
        <w:t>) in the proposed new indication is sufficiently well characterised and communicated in the PI?</w:t>
      </w:r>
    </w:p>
    <w:p w14:paraId="79526CE2" w14:textId="77777777" w:rsidR="00F8652A" w:rsidRDefault="00A7102E" w:rsidP="005B2867">
      <w:r w:rsidRPr="00EB0DD7">
        <w:t>The ACM agreed to includ</w:t>
      </w:r>
      <w:r>
        <w:t>e in the PI under ‘</w:t>
      </w:r>
      <w:r w:rsidRPr="00EB0DD7">
        <w:t>Precautions’ to ad</w:t>
      </w:r>
      <w:r>
        <w:t xml:space="preserve">d the </w:t>
      </w:r>
      <w:r w:rsidRPr="00EB0DD7">
        <w:t xml:space="preserve">warning statement regarding the use of </w:t>
      </w:r>
      <w:proofErr w:type="spellStart"/>
      <w:r w:rsidRPr="00EB0DD7">
        <w:t>pembrolizumab</w:t>
      </w:r>
      <w:proofErr w:type="spellEnd"/>
      <w:r w:rsidRPr="00EB0DD7">
        <w:t xml:space="preserve"> in patients undergoing allogeneic </w:t>
      </w:r>
      <w:r>
        <w:t>transplantation as worded in the ‘</w:t>
      </w:r>
      <w:r w:rsidRPr="00EB0DD7">
        <w:t>Proposed Product Information (PI)/ Consumer Medicine Information (CMI) amendments</w:t>
      </w:r>
      <w:r>
        <w:t>’ section.</w:t>
      </w:r>
    </w:p>
    <w:p w14:paraId="5CBEB93B" w14:textId="304F9D4D" w:rsidR="00A7102E" w:rsidRPr="00EB0DD7" w:rsidRDefault="00A7102E" w:rsidP="005B2867">
      <w:r w:rsidRPr="003D39DE">
        <w:t xml:space="preserve">The ACM advised that implementation by the sponsor of the recommendations outlined above to the satisfaction of the TGA, in addition to the evidence of efficacy and safety provided would support the safe and effective </w:t>
      </w:r>
      <w:r w:rsidRPr="00C14869">
        <w:t>use of this product.</w:t>
      </w:r>
    </w:p>
    <w:p w14:paraId="5CBEB93C" w14:textId="77777777" w:rsidR="008E7846" w:rsidRPr="002E238E" w:rsidRDefault="008E7846" w:rsidP="005B2867">
      <w:pPr>
        <w:pStyle w:val="Heading3"/>
      </w:pPr>
      <w:bookmarkStart w:id="132" w:name="_Toc247691532"/>
      <w:bookmarkStart w:id="133" w:name="_Toc314842516"/>
      <w:bookmarkStart w:id="134" w:name="_Toc517786153"/>
      <w:bookmarkEnd w:id="74"/>
      <w:bookmarkEnd w:id="127"/>
      <w:bookmarkEnd w:id="128"/>
      <w:r>
        <w:t>Outcome</w:t>
      </w:r>
      <w:bookmarkEnd w:id="132"/>
      <w:bookmarkEnd w:id="133"/>
      <w:bookmarkEnd w:id="134"/>
    </w:p>
    <w:p w14:paraId="5CBEB93D" w14:textId="77777777" w:rsidR="0015320B" w:rsidRPr="005B2867" w:rsidRDefault="00D23139" w:rsidP="005B2867">
      <w:bookmarkStart w:id="135" w:name="_Toc247691533"/>
      <w:bookmarkStart w:id="136" w:name="_Toc314842517"/>
      <w:r w:rsidRPr="005B2867">
        <w:t xml:space="preserve">Based on a review of quality, safety and efficacy, TGA </w:t>
      </w:r>
      <w:r w:rsidR="0015320B" w:rsidRPr="005B2867">
        <w:t xml:space="preserve">approve the registration of </w:t>
      </w:r>
      <w:proofErr w:type="spellStart"/>
      <w:r w:rsidR="00957DB3" w:rsidRPr="005B2867">
        <w:t>Keytruda</w:t>
      </w:r>
      <w:proofErr w:type="spellEnd"/>
      <w:r w:rsidR="0015320B" w:rsidRPr="005B2867">
        <w:t xml:space="preserve"> containing </w:t>
      </w:r>
      <w:proofErr w:type="spellStart"/>
      <w:r w:rsidR="0015320B" w:rsidRPr="005B2867">
        <w:t>pembrolizumab</w:t>
      </w:r>
      <w:proofErr w:type="spellEnd"/>
      <w:r w:rsidR="0015320B" w:rsidRPr="005B2867">
        <w:t xml:space="preserve"> (</w:t>
      </w:r>
      <w:proofErr w:type="spellStart"/>
      <w:r w:rsidR="0015320B" w:rsidRPr="005B2867">
        <w:t>rch</w:t>
      </w:r>
      <w:proofErr w:type="spellEnd"/>
      <w:r w:rsidR="0015320B" w:rsidRPr="005B2867">
        <w:t>) for the new indication:</w:t>
      </w:r>
    </w:p>
    <w:p w14:paraId="5CBEB93E" w14:textId="77777777" w:rsidR="0015320B" w:rsidRPr="005B2867" w:rsidRDefault="00957DB3" w:rsidP="005B2867">
      <w:pPr>
        <w:ind w:left="425"/>
        <w:rPr>
          <w:i/>
        </w:rPr>
      </w:pPr>
      <w:proofErr w:type="spellStart"/>
      <w:r w:rsidRPr="005B2867">
        <w:rPr>
          <w:i/>
        </w:rPr>
        <w:t>Keytruda</w:t>
      </w:r>
      <w:proofErr w:type="spellEnd"/>
      <w:r w:rsidR="0015320B" w:rsidRPr="005B2867">
        <w:rPr>
          <w:i/>
        </w:rPr>
        <w:t xml:space="preserve"> as monotherapy is indicated for the treatment of adult patients with relapsed or refractory classical Hodgkin Lymphoma (</w:t>
      </w:r>
      <w:proofErr w:type="spellStart"/>
      <w:r w:rsidR="0015320B" w:rsidRPr="005B2867">
        <w:rPr>
          <w:i/>
        </w:rPr>
        <w:t>cHL</w:t>
      </w:r>
      <w:proofErr w:type="spellEnd"/>
      <w:r w:rsidR="0015320B" w:rsidRPr="005B2867">
        <w:rPr>
          <w:i/>
        </w:rPr>
        <w:t>):</w:t>
      </w:r>
    </w:p>
    <w:p w14:paraId="5CBEB93F" w14:textId="77777777" w:rsidR="0015320B" w:rsidRPr="005B2867" w:rsidRDefault="0015320B" w:rsidP="005B2867">
      <w:pPr>
        <w:pStyle w:val="Numberbullet0"/>
        <w:numPr>
          <w:ilvl w:val="0"/>
          <w:numId w:val="33"/>
        </w:numPr>
        <w:ind w:left="850"/>
        <w:rPr>
          <w:i/>
        </w:rPr>
      </w:pPr>
      <w:r w:rsidRPr="005B2867">
        <w:rPr>
          <w:i/>
        </w:rPr>
        <w:t>following autologous stem cell transplant (ASCT)</w:t>
      </w:r>
      <w:r w:rsidRPr="005B2867">
        <w:rPr>
          <w:i/>
          <w:spacing w:val="-5"/>
        </w:rPr>
        <w:t xml:space="preserve"> </w:t>
      </w:r>
      <w:r w:rsidRPr="005B2867">
        <w:rPr>
          <w:i/>
        </w:rPr>
        <w:t>or</w:t>
      </w:r>
    </w:p>
    <w:p w14:paraId="5CBEB940" w14:textId="77777777" w:rsidR="0015320B" w:rsidRPr="005B2867" w:rsidRDefault="0015320B" w:rsidP="005B2867">
      <w:pPr>
        <w:pStyle w:val="Numberbullet0"/>
        <w:ind w:left="850"/>
        <w:rPr>
          <w:i/>
        </w:rPr>
      </w:pPr>
      <w:proofErr w:type="gramStart"/>
      <w:r w:rsidRPr="005B2867">
        <w:rPr>
          <w:i/>
        </w:rPr>
        <w:t>following</w:t>
      </w:r>
      <w:proofErr w:type="gramEnd"/>
      <w:r w:rsidRPr="005B2867">
        <w:rPr>
          <w:i/>
        </w:rPr>
        <w:t xml:space="preserve"> at least two prior therapies when ASCT or multi-agent chemotherapy is not a treatment</w:t>
      </w:r>
      <w:r w:rsidRPr="005B2867">
        <w:rPr>
          <w:i/>
          <w:spacing w:val="-3"/>
        </w:rPr>
        <w:t xml:space="preserve"> </w:t>
      </w:r>
      <w:r w:rsidRPr="005B2867">
        <w:rPr>
          <w:i/>
        </w:rPr>
        <w:t>option.</w:t>
      </w:r>
    </w:p>
    <w:p w14:paraId="5CBEB941" w14:textId="77777777" w:rsidR="0015320B" w:rsidRPr="005B2867" w:rsidRDefault="0015320B" w:rsidP="005B2867">
      <w:pPr>
        <w:ind w:left="425"/>
        <w:rPr>
          <w:i/>
        </w:rPr>
      </w:pPr>
      <w:r w:rsidRPr="005B2867">
        <w:rPr>
          <w:i/>
        </w:rPr>
        <w:t>The approval of this indication is on the basis of objective response rate (ORR). See CLINICAL TRIALS.</w:t>
      </w:r>
    </w:p>
    <w:p w14:paraId="5CBEB942" w14:textId="77777777" w:rsidR="00D23139" w:rsidRPr="00D23139" w:rsidRDefault="00D23139" w:rsidP="00D23139">
      <w:pPr>
        <w:pStyle w:val="Heading4"/>
      </w:pPr>
      <w:r w:rsidRPr="00D23139">
        <w:t>Specific conditions of registration applying to these goods</w:t>
      </w:r>
    </w:p>
    <w:p w14:paraId="5CBEB943" w14:textId="77777777" w:rsidR="00D23139" w:rsidRPr="00D23139" w:rsidRDefault="00164FDD" w:rsidP="00D23139">
      <w:r w:rsidRPr="00164FDD">
        <w:t xml:space="preserve">The </w:t>
      </w:r>
      <w:proofErr w:type="spellStart"/>
      <w:r w:rsidRPr="00164FDD">
        <w:t>pembrolizumab</w:t>
      </w:r>
      <w:proofErr w:type="spellEnd"/>
      <w:r w:rsidRPr="00164FDD">
        <w:t xml:space="preserve"> (</w:t>
      </w:r>
      <w:proofErr w:type="spellStart"/>
      <w:r w:rsidRPr="00164FDD">
        <w:t>rch</w:t>
      </w:r>
      <w:proofErr w:type="spellEnd"/>
      <w:r w:rsidRPr="00164FDD">
        <w:t>) Core-Risk Management Plan (Core-RMP), version 13.0, 6 March 2017; DLP 8 December 2016 with Australian Specific Annex version 8.0, 17 March 2017, and any subsequent revisions, as agreed with the TGA will be implemented in Australia.</w:t>
      </w:r>
    </w:p>
    <w:p w14:paraId="5CBEB944" w14:textId="77777777" w:rsidR="008E7846" w:rsidRDefault="00A80B5B" w:rsidP="00D23139">
      <w:pPr>
        <w:pStyle w:val="Heading2"/>
      </w:pPr>
      <w:bookmarkStart w:id="137" w:name="_Toc517786154"/>
      <w:proofErr w:type="gramStart"/>
      <w:r>
        <w:t>Attachment 1.</w:t>
      </w:r>
      <w:proofErr w:type="gramEnd"/>
      <w:r>
        <w:t xml:space="preserve"> </w:t>
      </w:r>
      <w:r w:rsidR="008E7846">
        <w:t xml:space="preserve">Product </w:t>
      </w:r>
      <w:r w:rsidR="00AA0ED0">
        <w:t>I</w:t>
      </w:r>
      <w:r w:rsidR="008E7846">
        <w:t>nformation</w:t>
      </w:r>
      <w:bookmarkEnd w:id="135"/>
      <w:bookmarkEnd w:id="136"/>
      <w:bookmarkEnd w:id="137"/>
    </w:p>
    <w:p w14:paraId="5CBEB945" w14:textId="77777777" w:rsidR="00C80137" w:rsidRDefault="006136D7" w:rsidP="00C80137">
      <w:pPr>
        <w:rPr>
          <w:color w:val="000000"/>
          <w:lang w:eastAsia="en-AU"/>
        </w:rPr>
      </w:pPr>
      <w:r w:rsidRPr="002B3624">
        <w:t xml:space="preserve">The </w:t>
      </w:r>
      <w:r>
        <w:t>PI</w:t>
      </w:r>
      <w:r w:rsidRPr="002B3624">
        <w:t xml:space="preserve"> for </w:t>
      </w:r>
      <w:proofErr w:type="spellStart"/>
      <w:r w:rsidR="00957DB3">
        <w:t>Keytruda</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43" w:history="1">
        <w:r w:rsidR="007C6B9B" w:rsidRPr="007C6B9B">
          <w:rPr>
            <w:rStyle w:val="Hyperlink"/>
          </w:rPr>
          <w:t>https://www.tga.gov.au/product-information-pi</w:t>
        </w:r>
      </w:hyperlink>
      <w:r w:rsidR="004E571F">
        <w:t>&gt;.</w:t>
      </w:r>
    </w:p>
    <w:p w14:paraId="5CBEB946" w14:textId="77777777" w:rsidR="00C80137" w:rsidRDefault="00C80137" w:rsidP="00C80137">
      <w:pPr>
        <w:pStyle w:val="Heading2"/>
        <w:rPr>
          <w:lang w:eastAsia="en-AU"/>
        </w:rPr>
      </w:pPr>
      <w:bookmarkStart w:id="138" w:name="_Toc517786155"/>
      <w:proofErr w:type="gramStart"/>
      <w:r>
        <w:rPr>
          <w:lang w:eastAsia="en-AU"/>
        </w:rPr>
        <w:t>Attachment 2.</w:t>
      </w:r>
      <w:proofErr w:type="gramEnd"/>
      <w:r w:rsidR="00A80B5B">
        <w:rPr>
          <w:lang w:eastAsia="en-AU"/>
        </w:rPr>
        <w:t xml:space="preserve"> </w:t>
      </w:r>
      <w:r>
        <w:rPr>
          <w:lang w:eastAsia="en-AU"/>
        </w:rPr>
        <w:t>Extract from the Clinical Evaluation Report</w:t>
      </w:r>
      <w:bookmarkEnd w:id="138"/>
    </w:p>
    <w:p w14:paraId="5CBEB947" w14:textId="77777777" w:rsidR="00291957" w:rsidRDefault="00291957" w:rsidP="00291957">
      <w:pPr>
        <w:rPr>
          <w:lang w:eastAsia="ja-JP"/>
        </w:rPr>
      </w:pPr>
    </w:p>
    <w:p w14:paraId="5CBEB948" w14:textId="77777777" w:rsidR="00C80137" w:rsidRPr="001D043B" w:rsidRDefault="00C80137" w:rsidP="003A7F6C">
      <w:pPr>
        <w:pStyle w:val="TableTitle"/>
        <w:sectPr w:rsidR="00C80137" w:rsidRPr="001D043B" w:rsidSect="00F57565">
          <w:headerReference w:type="even" r:id="rId44"/>
          <w:headerReference w:type="default" r:id="rId45"/>
          <w:headerReference w:type="first" r:id="rId46"/>
          <w:footerReference w:type="first" r:id="rId47"/>
          <w:pgSz w:w="11906" w:h="16838" w:code="9"/>
          <w:pgMar w:top="834" w:right="707"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14:paraId="5CBEB94A" w14:textId="77777777" w:rsidTr="00A05FA4">
        <w:trPr>
          <w:trHeight w:hRule="exact" w:val="704"/>
        </w:trPr>
        <w:tc>
          <w:tcPr>
            <w:tcW w:w="9175" w:type="dxa"/>
          </w:tcPr>
          <w:p w14:paraId="5CBEB949" w14:textId="77777777" w:rsidR="001C32CD" w:rsidRPr="00487162" w:rsidRDefault="001C32CD" w:rsidP="00A05FA4">
            <w:pPr>
              <w:pStyle w:val="TGASignoff"/>
            </w:pPr>
            <w:r w:rsidRPr="00487162">
              <w:lastRenderedPageBreak/>
              <w:t>Therapeutic Goods Administration</w:t>
            </w:r>
          </w:p>
        </w:tc>
      </w:tr>
      <w:tr w:rsidR="001C32CD" w:rsidRPr="004C239D" w14:paraId="5CBEB94E" w14:textId="77777777" w:rsidTr="00A05FA4">
        <w:trPr>
          <w:trHeight w:val="1221"/>
        </w:trPr>
        <w:tc>
          <w:tcPr>
            <w:tcW w:w="9175" w:type="dxa"/>
            <w:tcMar>
              <w:top w:w="28" w:type="dxa"/>
            </w:tcMar>
          </w:tcPr>
          <w:p w14:paraId="5CBEB94B" w14:textId="77777777" w:rsidR="001C32CD" w:rsidRPr="00487162" w:rsidRDefault="001C32CD" w:rsidP="00A05FA4">
            <w:pPr>
              <w:pStyle w:val="Address"/>
            </w:pPr>
            <w:r w:rsidRPr="00487162">
              <w:t>PO Box 100 Woden ACT 2606 Australia</w:t>
            </w:r>
          </w:p>
          <w:p w14:paraId="5CBEB94C" w14:textId="77777777" w:rsidR="001C32CD" w:rsidRPr="00487162" w:rsidRDefault="001C32CD" w:rsidP="00A05FA4">
            <w:pPr>
              <w:pStyle w:val="Address"/>
            </w:pPr>
            <w:r w:rsidRPr="00487162">
              <w:t xml:space="preserve">Email: </w:t>
            </w:r>
            <w:hyperlink r:id="rId48" w:history="1">
              <w:r w:rsidRPr="004C239D">
                <w:rPr>
                  <w:rStyle w:val="Hyperlink"/>
                </w:rPr>
                <w:t>info@tga.gov.au</w:t>
              </w:r>
            </w:hyperlink>
            <w:r w:rsidR="00D65F50">
              <w:t xml:space="preserve"> </w:t>
            </w:r>
            <w:r w:rsidRPr="00487162">
              <w:t>Phone: 1800 020 653</w:t>
            </w:r>
            <w:r w:rsidR="00D65F50">
              <w:t xml:space="preserve"> </w:t>
            </w:r>
            <w:r w:rsidRPr="00487162">
              <w:t>Fax: 02 6232 8605</w:t>
            </w:r>
          </w:p>
          <w:p w14:paraId="5CBEB94D" w14:textId="77777777" w:rsidR="001C32CD" w:rsidRPr="004C239D" w:rsidRDefault="009D188B" w:rsidP="00A05FA4">
            <w:pPr>
              <w:pStyle w:val="Address"/>
              <w:spacing w:line="260" w:lineRule="atLeast"/>
              <w:rPr>
                <w:b/>
                <w:color w:val="0000FF"/>
                <w:u w:val="single"/>
              </w:rPr>
            </w:pPr>
            <w:hyperlink r:id="rId49" w:history="1">
              <w:r w:rsidR="007C6B9B" w:rsidRPr="007C6B9B">
                <w:rPr>
                  <w:rStyle w:val="Hyperlink"/>
                  <w:b/>
                </w:rPr>
                <w:t>https://www.tga.gov.au</w:t>
              </w:r>
            </w:hyperlink>
          </w:p>
        </w:tc>
      </w:tr>
    </w:tbl>
    <w:p w14:paraId="5CBEB94F" w14:textId="77777777" w:rsidR="00774E1D" w:rsidRPr="008A5E0B" w:rsidRDefault="00774E1D" w:rsidP="004C239D"/>
    <w:sectPr w:rsidR="00774E1D" w:rsidRPr="008A5E0B" w:rsidSect="001C32CD">
      <w:headerReference w:type="even" r:id="rId50"/>
      <w:headerReference w:type="default" r:id="rId51"/>
      <w:footerReference w:type="default" r:id="rId52"/>
      <w:headerReference w:type="first" r:id="rId53"/>
      <w:footerReference w:type="first" r:id="rId5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D68D1" w14:textId="77777777" w:rsidR="00F8652A" w:rsidRDefault="00F8652A" w:rsidP="00C40A36">
      <w:pPr>
        <w:spacing w:after="0"/>
      </w:pPr>
      <w:r>
        <w:separator/>
      </w:r>
    </w:p>
  </w:endnote>
  <w:endnote w:type="continuationSeparator" w:id="0">
    <w:p w14:paraId="2A8F4D67" w14:textId="77777777" w:rsidR="00F8652A" w:rsidRDefault="00F8652A" w:rsidP="00C40A36">
      <w:pPr>
        <w:spacing w:after="0"/>
      </w:pPr>
      <w:r>
        <w:continuationSeparator/>
      </w:r>
    </w:p>
  </w:endnote>
  <w:endnote w:type="continuationNotice" w:id="1">
    <w:p w14:paraId="4C767EDA" w14:textId="77777777" w:rsidR="00F8652A" w:rsidRDefault="00F865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Description w:val="AusPAR Keytruda Pembrolizumab Merck Sharp &amp; Dohme Australia Pty Ltd PM-2016 – 02736-1-4&#10;Final 30 May 2018&#10;"/>
    </w:tblPr>
    <w:tblGrid>
      <w:gridCol w:w="7371"/>
      <w:gridCol w:w="1490"/>
    </w:tblGrid>
    <w:tr w:rsidR="00F8652A" w:rsidRPr="00487162" w14:paraId="5CBEB97B" w14:textId="77777777" w:rsidTr="00DB750B">
      <w:trPr>
        <w:trHeight w:val="269"/>
      </w:trPr>
      <w:tc>
        <w:tcPr>
          <w:tcW w:w="7371" w:type="dxa"/>
          <w:tcMar>
            <w:top w:w="142" w:type="dxa"/>
            <w:bottom w:w="0" w:type="dxa"/>
          </w:tcMar>
        </w:tcPr>
        <w:p w14:paraId="5CBEB979" w14:textId="545A9C3E" w:rsidR="00F8652A" w:rsidRPr="00487162" w:rsidRDefault="00F8652A" w:rsidP="003E3B31">
          <w:pPr>
            <w:pStyle w:val="Footer"/>
          </w:pPr>
          <w:proofErr w:type="spellStart"/>
          <w:r w:rsidRPr="00487162">
            <w:t>AusPA</w:t>
          </w:r>
          <w:r>
            <w:t>R</w:t>
          </w:r>
          <w:proofErr w:type="spellEnd"/>
          <w:r>
            <w:t xml:space="preserve"> </w:t>
          </w:r>
          <w:proofErr w:type="spellStart"/>
          <w:r>
            <w:t>Keytruda</w:t>
          </w:r>
          <w:proofErr w:type="spellEnd"/>
          <w:r>
            <w:t xml:space="preserve"> </w:t>
          </w:r>
          <w:proofErr w:type="spellStart"/>
          <w:r w:rsidRPr="004E571F">
            <w:t>Pembrolizumab</w:t>
          </w:r>
          <w:proofErr w:type="spellEnd"/>
          <w:r>
            <w:t xml:space="preserve"> </w:t>
          </w:r>
          <w:r w:rsidRPr="00BD2AE2">
            <w:t xml:space="preserve">Merck Sharp &amp; Dohme Australia Pty Ltd </w:t>
          </w:r>
          <w:r w:rsidRPr="004E571F">
            <w:t>PM-2016 – 02736-1-4</w:t>
          </w:r>
          <w:r>
            <w:br/>
            <w:t>Final 30 May 2018</w:t>
          </w:r>
        </w:p>
      </w:tc>
      <w:tc>
        <w:tcPr>
          <w:tcW w:w="1490" w:type="dxa"/>
          <w:tcMar>
            <w:top w:w="142" w:type="dxa"/>
            <w:bottom w:w="0" w:type="dxa"/>
          </w:tcMar>
        </w:tcPr>
        <w:p w14:paraId="5CBEB97A" w14:textId="77777777" w:rsidR="00F8652A" w:rsidRPr="00487162" w:rsidRDefault="00F8652A" w:rsidP="00DB750B">
          <w:pPr>
            <w:pStyle w:val="Footer"/>
            <w:jc w:val="right"/>
          </w:pPr>
          <w:r w:rsidRPr="00487162">
            <w:t xml:space="preserve">Page </w:t>
          </w:r>
          <w:r>
            <w:fldChar w:fldCharType="begin"/>
          </w:r>
          <w:r>
            <w:instrText xml:space="preserve"> PAGE  \* Arabic </w:instrText>
          </w:r>
          <w:r>
            <w:fldChar w:fldCharType="separate"/>
          </w:r>
          <w:r w:rsidR="004A3568">
            <w:rPr>
              <w:noProof/>
            </w:rPr>
            <w:t>26</w:t>
          </w:r>
          <w:r>
            <w:fldChar w:fldCharType="end"/>
          </w:r>
          <w:r w:rsidRPr="00487162">
            <w:t xml:space="preserve"> of </w:t>
          </w:r>
          <w:fldSimple w:instr=" NUMPAGES  \* Arabic ">
            <w:r w:rsidR="004A3568">
              <w:rPr>
                <w:noProof/>
              </w:rPr>
              <w:t>54</w:t>
            </w:r>
          </w:fldSimple>
        </w:p>
      </w:tc>
    </w:tr>
  </w:tbl>
  <w:p w14:paraId="5CBEB97C" w14:textId="77777777" w:rsidR="00F8652A" w:rsidRDefault="00F8652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8652A" w:rsidRPr="00487162" w14:paraId="5CBEB985" w14:textId="77777777" w:rsidTr="00E45619">
      <w:trPr>
        <w:trHeight w:val="269"/>
      </w:trPr>
      <w:tc>
        <w:tcPr>
          <w:tcW w:w="4519" w:type="dxa"/>
          <w:tcBorders>
            <w:top w:val="single" w:sz="4" w:space="0" w:color="auto"/>
          </w:tcBorders>
          <w:tcMar>
            <w:top w:w="142" w:type="dxa"/>
            <w:bottom w:w="0" w:type="dxa"/>
          </w:tcMar>
        </w:tcPr>
        <w:p w14:paraId="5CBEB982" w14:textId="77777777" w:rsidR="00F8652A" w:rsidRPr="00487162" w:rsidRDefault="00F8652A" w:rsidP="00FE1DEE">
          <w:pPr>
            <w:pStyle w:val="Footer"/>
          </w:pPr>
          <w:r w:rsidRPr="00487162">
            <w:t>Document title, Part #, Section # - Section title</w:t>
          </w:r>
        </w:p>
        <w:p w14:paraId="5CBEB983" w14:textId="77777777" w:rsidR="00F8652A" w:rsidRPr="00487162" w:rsidRDefault="00F8652A" w:rsidP="00FE1DEE">
          <w:pPr>
            <w:pStyle w:val="Footer"/>
          </w:pPr>
          <w:r w:rsidRPr="00487162">
            <w:t>V1.0 October 2010</w:t>
          </w:r>
        </w:p>
      </w:tc>
      <w:tc>
        <w:tcPr>
          <w:tcW w:w="4342" w:type="dxa"/>
          <w:tcBorders>
            <w:top w:val="single" w:sz="4" w:space="0" w:color="auto"/>
          </w:tcBorders>
          <w:tcMar>
            <w:top w:w="142" w:type="dxa"/>
            <w:bottom w:w="0" w:type="dxa"/>
          </w:tcMar>
        </w:tcPr>
        <w:p w14:paraId="5CBEB984" w14:textId="77777777" w:rsidR="00F8652A" w:rsidRPr="00487162" w:rsidRDefault="00F8652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5CBEB986" w14:textId="77777777" w:rsidR="00F8652A" w:rsidRDefault="00F865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89" w14:textId="77777777" w:rsidR="00F8652A" w:rsidRPr="001C32CD" w:rsidRDefault="00F8652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8652A" w14:paraId="5CBEB997" w14:textId="77777777" w:rsidTr="0010601F">
      <w:trPr>
        <w:trHeight w:val="108"/>
      </w:trPr>
      <w:tc>
        <w:tcPr>
          <w:tcW w:w="8875" w:type="dxa"/>
          <w:gridSpan w:val="2"/>
          <w:tcBorders>
            <w:bottom w:val="single" w:sz="4" w:space="0" w:color="auto"/>
          </w:tcBorders>
          <w:tcMar>
            <w:right w:w="284" w:type="dxa"/>
          </w:tcMar>
        </w:tcPr>
        <w:p w14:paraId="5CBEB98C" w14:textId="77777777" w:rsidR="00F8652A" w:rsidRDefault="00F8652A" w:rsidP="006E08B3">
          <w:pPr>
            <w:pStyle w:val="Heading3"/>
          </w:pPr>
          <w:r>
            <w:t>Copyright</w:t>
          </w:r>
        </w:p>
        <w:p w14:paraId="5CBEB98D" w14:textId="77777777" w:rsidR="00F8652A" w:rsidRDefault="00F8652A" w:rsidP="006E08B3">
          <w:r>
            <w:rPr>
              <w:rFonts w:cs="Arial"/>
            </w:rPr>
            <w:t>©</w:t>
          </w:r>
          <w:r>
            <w:t xml:space="preserve"> Commonwealth of Australia [add year]</w:t>
          </w:r>
        </w:p>
        <w:p w14:paraId="5CBEB98E" w14:textId="77777777" w:rsidR="00F8652A" w:rsidRDefault="00F8652A" w:rsidP="006E08B3"/>
        <w:p w14:paraId="5CBEB98F" w14:textId="77777777" w:rsidR="00F8652A" w:rsidRDefault="00F8652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CBEB990" w14:textId="77777777" w:rsidR="00F8652A" w:rsidRDefault="00F8652A" w:rsidP="006E08B3"/>
        <w:p w14:paraId="5CBEB991" w14:textId="77777777" w:rsidR="00F8652A" w:rsidRDefault="00F8652A" w:rsidP="006E08B3">
          <w:pPr>
            <w:pStyle w:val="Heading3"/>
          </w:pPr>
          <w:r>
            <w:t>Confidentiality</w:t>
          </w:r>
        </w:p>
        <w:p w14:paraId="5CBEB992" w14:textId="77777777" w:rsidR="00F8652A" w:rsidRDefault="00F8652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CBEB993" w14:textId="77777777" w:rsidR="00F8652A" w:rsidRDefault="00F8652A" w:rsidP="006E08B3"/>
        <w:p w14:paraId="5CBEB994" w14:textId="77777777" w:rsidR="00F8652A" w:rsidRDefault="00F8652A" w:rsidP="006E08B3">
          <w:r>
            <w:t>For submission made by individuals, all personal details, other than your name, will be removed from your submission before it is published on the TGA’s Internet site.</w:t>
          </w:r>
        </w:p>
        <w:p w14:paraId="5CBEB995" w14:textId="77777777" w:rsidR="00F8652A" w:rsidRDefault="00F8652A" w:rsidP="006E08B3"/>
        <w:p w14:paraId="5CBEB996" w14:textId="77777777" w:rsidR="00F8652A" w:rsidRDefault="00F8652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8652A" w14:paraId="5CBEB99B" w14:textId="77777777" w:rsidTr="0010601F">
      <w:trPr>
        <w:trHeight w:val="417"/>
      </w:trPr>
      <w:tc>
        <w:tcPr>
          <w:tcW w:w="4519" w:type="dxa"/>
          <w:tcBorders>
            <w:top w:val="single" w:sz="4" w:space="0" w:color="auto"/>
          </w:tcBorders>
          <w:tcMar>
            <w:top w:w="142" w:type="dxa"/>
            <w:bottom w:w="0" w:type="dxa"/>
          </w:tcMar>
        </w:tcPr>
        <w:p w14:paraId="5CBEB998" w14:textId="77777777" w:rsidR="00F8652A" w:rsidRDefault="00F8652A" w:rsidP="006E08B3">
          <w:r>
            <w:t>Document title, Part #, Section # - Section title</w:t>
          </w:r>
        </w:p>
        <w:p w14:paraId="5CBEB999" w14:textId="77777777" w:rsidR="00F8652A" w:rsidRDefault="00F8652A" w:rsidP="006E08B3">
          <w:r>
            <w:t>V1.0 October 2010</w:t>
          </w:r>
        </w:p>
      </w:tc>
      <w:tc>
        <w:tcPr>
          <w:tcW w:w="4356" w:type="dxa"/>
          <w:tcBorders>
            <w:top w:val="single" w:sz="4" w:space="0" w:color="auto"/>
          </w:tcBorders>
          <w:tcMar>
            <w:top w:w="142" w:type="dxa"/>
            <w:bottom w:w="0" w:type="dxa"/>
          </w:tcMar>
        </w:tcPr>
        <w:p w14:paraId="5CBEB99A" w14:textId="77777777" w:rsidR="00F8652A" w:rsidRDefault="00F8652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5CBEB99C" w14:textId="77777777" w:rsidR="00F8652A" w:rsidRDefault="00F865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9380E" w14:textId="77777777" w:rsidR="00F8652A" w:rsidRDefault="00F8652A" w:rsidP="00C40A36">
      <w:pPr>
        <w:spacing w:after="0"/>
      </w:pPr>
      <w:r>
        <w:separator/>
      </w:r>
    </w:p>
  </w:footnote>
  <w:footnote w:type="continuationSeparator" w:id="0">
    <w:p w14:paraId="045236ED" w14:textId="77777777" w:rsidR="00F8652A" w:rsidRDefault="00F8652A" w:rsidP="00C40A36">
      <w:pPr>
        <w:spacing w:after="0"/>
      </w:pPr>
      <w:r>
        <w:continuationSeparator/>
      </w:r>
    </w:p>
  </w:footnote>
  <w:footnote w:type="continuationNotice" w:id="1">
    <w:p w14:paraId="05A289EA" w14:textId="77777777" w:rsidR="00F8652A" w:rsidRDefault="00F8652A">
      <w:pPr>
        <w:spacing w:before="0" w:after="0" w:line="240" w:lineRule="auto"/>
      </w:pPr>
    </w:p>
  </w:footnote>
  <w:footnote w:id="2">
    <w:p w14:paraId="5CBEB9A1" w14:textId="77777777" w:rsidR="00F8652A" w:rsidRPr="0029052F" w:rsidRDefault="00F8652A" w:rsidP="00DD165C">
      <w:pPr>
        <w:pStyle w:val="FootnoteText"/>
        <w:rPr>
          <w:i/>
        </w:rPr>
      </w:pPr>
      <w:r>
        <w:rPr>
          <w:rStyle w:val="FootnoteReference"/>
        </w:rPr>
        <w:footnoteRef/>
      </w:r>
      <w:r>
        <w:t xml:space="preserve"> Currently approved indications: </w:t>
      </w:r>
      <w:proofErr w:type="spellStart"/>
      <w:r w:rsidRPr="0029052F">
        <w:rPr>
          <w:i/>
        </w:rPr>
        <w:t>Keytruda</w:t>
      </w:r>
      <w:proofErr w:type="spellEnd"/>
      <w:r w:rsidRPr="0029052F">
        <w:rPr>
          <w:i/>
        </w:rPr>
        <w:t xml:space="preserve"> (</w:t>
      </w:r>
      <w:proofErr w:type="spellStart"/>
      <w:r w:rsidRPr="0029052F">
        <w:rPr>
          <w:i/>
        </w:rPr>
        <w:t>pembrolizumab</w:t>
      </w:r>
      <w:proofErr w:type="spellEnd"/>
      <w:r w:rsidRPr="0029052F">
        <w:rPr>
          <w:i/>
        </w:rPr>
        <w:t xml:space="preserve">) is indicated as monotherapy for the treatment of </w:t>
      </w:r>
      <w:proofErr w:type="spellStart"/>
      <w:r w:rsidRPr="0029052F">
        <w:rPr>
          <w:i/>
        </w:rPr>
        <w:t>unresectable</w:t>
      </w:r>
      <w:proofErr w:type="spellEnd"/>
      <w:r w:rsidRPr="0029052F">
        <w:rPr>
          <w:i/>
        </w:rPr>
        <w:t xml:space="preserve"> or metastatic melanoma in adults.   </w:t>
      </w:r>
      <w:proofErr w:type="spellStart"/>
      <w:r w:rsidRPr="0029052F">
        <w:rPr>
          <w:i/>
        </w:rPr>
        <w:t>Keytruda</w:t>
      </w:r>
      <w:proofErr w:type="spellEnd"/>
      <w:r w:rsidRPr="0029052F">
        <w:rPr>
          <w:i/>
        </w:rPr>
        <w:t xml:space="preserve"> is indicated for the first-line treatment of patients with metastatic non-small cell lung carcinoma (NSCLC) whose tumours express PD-L1 with a ≥ 50% tumour proportion score (TPS) as determined by a validated test, with no EGFR or ALK genomic tumour aberrations.</w:t>
      </w:r>
    </w:p>
    <w:p w14:paraId="5CBEB9A2" w14:textId="777EB96D" w:rsidR="00F8652A" w:rsidRPr="00DD165C" w:rsidRDefault="00F8652A" w:rsidP="00DD165C">
      <w:pPr>
        <w:pStyle w:val="FootnoteText"/>
        <w:rPr>
          <w:lang w:val="en-US"/>
        </w:rPr>
      </w:pPr>
      <w:proofErr w:type="spellStart"/>
      <w:r w:rsidRPr="0029052F">
        <w:rPr>
          <w:i/>
        </w:rPr>
        <w:t>Keytruda</w:t>
      </w:r>
      <w:proofErr w:type="spellEnd"/>
      <w:r w:rsidRPr="0029052F">
        <w:rPr>
          <w:i/>
        </w:rPr>
        <w:t xml:space="preserve"> is indicated for the treatment of patients with advanced NSCLC whose tumours express PD-L1 with a ≥ 1% TPS as determined by a validated test and who have received platinum-containing chemotherapy. Patients with EGFR or ALK genomic tumour aberrations should have received prior therapy for these aberrations prior to receiving </w:t>
      </w:r>
      <w:proofErr w:type="spellStart"/>
      <w:r w:rsidRPr="0029052F">
        <w:rPr>
          <w:i/>
        </w:rPr>
        <w:t>Keytruda</w:t>
      </w:r>
      <w:proofErr w:type="spellEnd"/>
      <w:r w:rsidRPr="0029052F">
        <w:rPr>
          <w:i/>
        </w:rPr>
        <w:t xml:space="preserve">. </w:t>
      </w:r>
      <w:proofErr w:type="spellStart"/>
      <w:r w:rsidRPr="0029052F">
        <w:rPr>
          <w:i/>
        </w:rPr>
        <w:t>Keytruda</w:t>
      </w:r>
      <w:proofErr w:type="spellEnd"/>
      <w:r w:rsidRPr="0029052F">
        <w:rPr>
          <w:i/>
        </w:rPr>
        <w:t xml:space="preserve"> (</w:t>
      </w:r>
      <w:proofErr w:type="spellStart"/>
      <w:r w:rsidRPr="0029052F">
        <w:rPr>
          <w:i/>
        </w:rPr>
        <w:t>pembrolizumab</w:t>
      </w:r>
      <w:proofErr w:type="spellEnd"/>
      <w:r w:rsidRPr="0029052F">
        <w:rPr>
          <w:i/>
        </w:rPr>
        <w:t>) is indicated for the treatment of patients with recurrent or metastatic head and neck squamous cell carcinoma (HNSCC) with disease progression on or after platinum-containing chemotherapy. This indication is approved based on overall response rate and duration of response. Improvements in overall survival, progression-free survival or health-related quality of life have not been established</w:t>
      </w:r>
      <w:r>
        <w:t>.</w:t>
      </w:r>
    </w:p>
  </w:footnote>
  <w:footnote w:id="3">
    <w:p w14:paraId="5CBEB9A3" w14:textId="77777777" w:rsidR="00F8652A" w:rsidRPr="009F7D40" w:rsidRDefault="00F8652A">
      <w:pPr>
        <w:pStyle w:val="FootnoteText"/>
        <w:rPr>
          <w:lang w:val="en-US"/>
        </w:rPr>
      </w:pPr>
      <w:r>
        <w:rPr>
          <w:rStyle w:val="FootnoteReference"/>
        </w:rPr>
        <w:footnoteRef/>
      </w:r>
      <w:r w:rsidRPr="009F7D40">
        <w:t>AIHW Canberra Cancer in Australia, An Overview 2014 http://www.aihw.gov.au/cancer/cancer-in-australia-overview-2014/appendixb/#t11</w:t>
      </w:r>
    </w:p>
  </w:footnote>
  <w:footnote w:id="4">
    <w:p w14:paraId="5CBEB9A4" w14:textId="77777777" w:rsidR="00F8652A" w:rsidRPr="009F7D40" w:rsidRDefault="00F8652A">
      <w:pPr>
        <w:pStyle w:val="FootnoteText"/>
        <w:rPr>
          <w:lang w:val="en-US"/>
        </w:rPr>
      </w:pPr>
      <w:r>
        <w:rPr>
          <w:rStyle w:val="FootnoteReference"/>
        </w:rPr>
        <w:footnoteRef/>
      </w:r>
      <w:proofErr w:type="spellStart"/>
      <w:proofErr w:type="gramStart"/>
      <w:r w:rsidRPr="009F7D40">
        <w:t>Alinari</w:t>
      </w:r>
      <w:proofErr w:type="spellEnd"/>
      <w:r w:rsidRPr="009F7D40">
        <w:t xml:space="preserve"> L and Blum KA.</w:t>
      </w:r>
      <w:proofErr w:type="gramEnd"/>
      <w:r w:rsidRPr="009F7D40">
        <w:t xml:space="preserve"> How I treat classical Hodgkin lymphoma after autologous stem cell transplant. Blood 2016; 127: 287-295.</w:t>
      </w:r>
    </w:p>
  </w:footnote>
  <w:footnote w:id="5">
    <w:p w14:paraId="5CBEB9A5" w14:textId="77777777" w:rsidR="00F8652A" w:rsidRPr="009F7D40" w:rsidRDefault="00F8652A">
      <w:pPr>
        <w:pStyle w:val="FootnoteText"/>
        <w:rPr>
          <w:lang w:val="en-US"/>
        </w:rPr>
      </w:pPr>
      <w:r>
        <w:rPr>
          <w:rStyle w:val="FootnoteReference"/>
        </w:rPr>
        <w:footnoteRef/>
      </w:r>
      <w:proofErr w:type="gramStart"/>
      <w:r w:rsidRPr="009F7D40">
        <w:t>European Medicines Agency.</w:t>
      </w:r>
      <w:proofErr w:type="gramEnd"/>
      <w:r w:rsidRPr="009F7D40">
        <w:t xml:space="preserve"> ‘Points to consider on application with 1) Meta-analyses; 2) </w:t>
      </w:r>
      <w:proofErr w:type="gramStart"/>
      <w:r w:rsidRPr="009F7D40">
        <w:t>One</w:t>
      </w:r>
      <w:proofErr w:type="gramEnd"/>
      <w:r w:rsidRPr="009F7D40">
        <w:t xml:space="preserve"> pivotal study’. </w:t>
      </w:r>
      <w:proofErr w:type="gramStart"/>
      <w:r w:rsidRPr="009F7D40">
        <w:t>EMA/CPMP/EWP/2330/99.</w:t>
      </w:r>
      <w:proofErr w:type="gramEnd"/>
      <w:r w:rsidRPr="009F7D40">
        <w:t xml:space="preserve"> </w:t>
      </w:r>
      <w:proofErr w:type="gramStart"/>
      <w:r w:rsidRPr="009F7D40">
        <w:t>Dated 31 May 2001.</w:t>
      </w:r>
      <w:proofErr w:type="gramEnd"/>
      <w:r w:rsidRPr="009F7D40">
        <w:t xml:space="preserve"> Available at: http://www.ema.europa.eu/docs/en_GB/document_library/Scientific_guideline/2009/09/WC500003657.pdf</w:t>
      </w:r>
    </w:p>
  </w:footnote>
  <w:footnote w:id="6">
    <w:p w14:paraId="5CBEB9A6" w14:textId="77777777" w:rsidR="00F8652A" w:rsidRPr="009F7D40" w:rsidRDefault="00F8652A">
      <w:pPr>
        <w:pStyle w:val="FootnoteText"/>
        <w:rPr>
          <w:lang w:val="en-US"/>
        </w:rPr>
      </w:pPr>
      <w:r>
        <w:rPr>
          <w:rStyle w:val="FootnoteReference"/>
        </w:rPr>
        <w:footnoteRef/>
      </w:r>
      <w:r w:rsidRPr="009F7D40">
        <w:t>European Union (EU) – European Medicines Agency (EMA). http://www.ema.europa.eu/ema/index.jsp?curl=pages/medicines/human/medicines/003820/human_med_001886.jsp&amp;mid=WC0b01ac058001d124</w:t>
      </w:r>
    </w:p>
  </w:footnote>
  <w:footnote w:id="7">
    <w:p w14:paraId="5CBEB9A7" w14:textId="77777777" w:rsidR="00F8652A" w:rsidRPr="00E4230B" w:rsidRDefault="00F8652A" w:rsidP="00972E20">
      <w:pPr>
        <w:spacing w:before="0" w:after="0" w:line="240" w:lineRule="auto"/>
        <w:rPr>
          <w:rFonts w:asciiTheme="minorHAnsi" w:hAnsiTheme="minorHAnsi"/>
          <w:bCs/>
          <w:sz w:val="18"/>
          <w:szCs w:val="18"/>
        </w:rPr>
      </w:pPr>
      <w:r w:rsidRPr="00E4230B">
        <w:rPr>
          <w:rStyle w:val="FootnoteReference"/>
          <w:rFonts w:asciiTheme="minorHAnsi" w:hAnsiTheme="minorHAnsi"/>
          <w:sz w:val="18"/>
          <w:szCs w:val="18"/>
        </w:rPr>
        <w:footnoteRef/>
      </w:r>
      <w:r w:rsidRPr="00E4230B">
        <w:rPr>
          <w:rFonts w:asciiTheme="minorHAnsi" w:hAnsiTheme="minorHAnsi"/>
          <w:sz w:val="18"/>
          <w:szCs w:val="18"/>
        </w:rPr>
        <w:t xml:space="preserve"> </w:t>
      </w:r>
      <w:proofErr w:type="spellStart"/>
      <w:r w:rsidRPr="00E4230B">
        <w:rPr>
          <w:rFonts w:asciiTheme="minorHAnsi" w:hAnsiTheme="minorHAnsi"/>
          <w:bCs/>
          <w:sz w:val="18"/>
          <w:szCs w:val="18"/>
        </w:rPr>
        <w:t>Canellos</w:t>
      </w:r>
      <w:proofErr w:type="spellEnd"/>
      <w:r w:rsidRPr="00E4230B">
        <w:rPr>
          <w:rFonts w:asciiTheme="minorHAnsi" w:hAnsiTheme="minorHAnsi"/>
          <w:bCs/>
          <w:sz w:val="18"/>
          <w:szCs w:val="18"/>
        </w:rPr>
        <w:t xml:space="preserve"> GP. </w:t>
      </w:r>
      <w:proofErr w:type="gramStart"/>
      <w:r w:rsidRPr="00E4230B">
        <w:rPr>
          <w:rFonts w:asciiTheme="minorHAnsi" w:hAnsiTheme="minorHAnsi"/>
          <w:bCs/>
          <w:sz w:val="18"/>
          <w:szCs w:val="18"/>
        </w:rPr>
        <w:t>Second and third line chemotherapy regimens and biologic therapy for relapsing or resistant classical Hodgkin lymphoma.</w:t>
      </w:r>
      <w:proofErr w:type="gramEnd"/>
      <w:r w:rsidRPr="00E4230B">
        <w:rPr>
          <w:rFonts w:asciiTheme="minorHAnsi" w:hAnsiTheme="minorHAnsi"/>
          <w:bCs/>
          <w:sz w:val="18"/>
          <w:szCs w:val="18"/>
        </w:rPr>
        <w:t xml:space="preserve"> </w:t>
      </w:r>
      <w:proofErr w:type="spellStart"/>
      <w:proofErr w:type="gramStart"/>
      <w:r w:rsidRPr="00E4230B">
        <w:rPr>
          <w:rFonts w:asciiTheme="minorHAnsi" w:hAnsiTheme="minorHAnsi"/>
          <w:bCs/>
          <w:sz w:val="18"/>
          <w:szCs w:val="18"/>
        </w:rPr>
        <w:t>UpToDate</w:t>
      </w:r>
      <w:proofErr w:type="spellEnd"/>
      <w:r w:rsidRPr="00E4230B">
        <w:rPr>
          <w:rFonts w:asciiTheme="minorHAnsi" w:hAnsiTheme="minorHAnsi"/>
          <w:bCs/>
          <w:sz w:val="18"/>
          <w:szCs w:val="18"/>
        </w:rPr>
        <w:t>.</w:t>
      </w:r>
      <w:proofErr w:type="gramEnd"/>
      <w:r w:rsidRPr="00E4230B">
        <w:rPr>
          <w:rFonts w:asciiTheme="minorHAnsi" w:hAnsiTheme="minorHAnsi"/>
          <w:bCs/>
          <w:sz w:val="18"/>
          <w:szCs w:val="18"/>
        </w:rPr>
        <w:t xml:space="preserve"> Literature review current through: September 2016. </w:t>
      </w:r>
      <w:proofErr w:type="gramStart"/>
      <w:r w:rsidRPr="00E4230B">
        <w:rPr>
          <w:rFonts w:asciiTheme="minorHAnsi" w:hAnsiTheme="minorHAnsi"/>
          <w:bCs/>
          <w:sz w:val="18"/>
          <w:szCs w:val="18"/>
        </w:rPr>
        <w:t>Updated October 18, 2016.</w:t>
      </w:r>
      <w:proofErr w:type="gramEnd"/>
      <w:r w:rsidRPr="00E4230B">
        <w:rPr>
          <w:rFonts w:asciiTheme="minorHAnsi" w:hAnsiTheme="minorHAnsi"/>
          <w:bCs/>
          <w:sz w:val="18"/>
          <w:szCs w:val="18"/>
        </w:rPr>
        <w:t xml:space="preserve"> </w:t>
      </w:r>
    </w:p>
  </w:footnote>
  <w:footnote w:id="8">
    <w:p w14:paraId="5CBEB9A8" w14:textId="77777777" w:rsidR="00F8652A" w:rsidRPr="009F7D40" w:rsidRDefault="00F8652A">
      <w:pPr>
        <w:pStyle w:val="FootnoteText"/>
        <w:rPr>
          <w:lang w:val="en-US"/>
        </w:rPr>
      </w:pPr>
      <w:r>
        <w:rPr>
          <w:rStyle w:val="FootnoteReference"/>
        </w:rPr>
        <w:footnoteRef/>
      </w:r>
      <w:proofErr w:type="gramStart"/>
      <w:r w:rsidRPr="009F7D40">
        <w:t>European Medicines Agency.</w:t>
      </w:r>
      <w:proofErr w:type="gramEnd"/>
      <w:r w:rsidRPr="009F7D40">
        <w:t xml:space="preserve"> </w:t>
      </w:r>
      <w:proofErr w:type="gramStart"/>
      <w:r w:rsidRPr="009F7D40">
        <w:t>‘Guideline on evaluation of anticancer medicinal products in man.</w:t>
      </w:r>
      <w:proofErr w:type="gramEnd"/>
      <w:r w:rsidRPr="009F7D40">
        <w:t xml:space="preserve"> </w:t>
      </w:r>
      <w:proofErr w:type="gramStart"/>
      <w:r w:rsidRPr="009F7D40">
        <w:t>EMA/CHMP/205/95/Rev.5 (and relevant appendices).</w:t>
      </w:r>
      <w:proofErr w:type="gramEnd"/>
      <w:r w:rsidRPr="009F7D40">
        <w:t xml:space="preserve"> Draft format dated 25 February 2016. Available at: http://www.ema.europa.eu/docs/en_GB/document_library/Scientific_guideline/2016/03/WC500203320.pdf</w:t>
      </w:r>
    </w:p>
  </w:footnote>
  <w:footnote w:id="9">
    <w:p w14:paraId="5CBEB9A9" w14:textId="77777777" w:rsidR="00F8652A" w:rsidRPr="009F7D40" w:rsidRDefault="00F8652A">
      <w:pPr>
        <w:pStyle w:val="FootnoteText"/>
        <w:rPr>
          <w:lang w:val="en-US"/>
        </w:rPr>
      </w:pPr>
      <w:r>
        <w:rPr>
          <w:rStyle w:val="FootnoteReference"/>
        </w:rPr>
        <w:footnoteRef/>
      </w:r>
      <w:r w:rsidRPr="009F7D40">
        <w:t>http://www.ema.europa.eu/docs/en_GB/document_library/Scientific_guideline/2009/09/WC500003615.pdf</w:t>
      </w:r>
    </w:p>
  </w:footnote>
  <w:footnote w:id="10">
    <w:p w14:paraId="5CBEB9AA" w14:textId="77777777" w:rsidR="00F8652A" w:rsidRPr="009F7D40" w:rsidRDefault="00F8652A">
      <w:pPr>
        <w:pStyle w:val="FootnoteText"/>
        <w:rPr>
          <w:lang w:val="en-US"/>
        </w:rPr>
      </w:pPr>
      <w:r>
        <w:rPr>
          <w:rStyle w:val="FootnoteReference"/>
        </w:rPr>
        <w:footnoteRef/>
      </w:r>
      <w:proofErr w:type="gramStart"/>
      <w:r w:rsidRPr="009F7D40">
        <w:t>Guidance for Industry FDA Approval of New Cancer Treatment Uses for Marketed Drug and Biological Products.</w:t>
      </w:r>
      <w:proofErr w:type="gramEnd"/>
      <w:r w:rsidRPr="009F7D40">
        <w:t xml:space="preserve"> Accessed February 2017at: http://www.fda.gov/downloads/Drugs/GuidanceComplianceRegulatoryInformation/Guidances/UCM071657.pdf</w:t>
      </w:r>
    </w:p>
  </w:footnote>
  <w:footnote w:id="11">
    <w:p w14:paraId="5CBEB9AB" w14:textId="77777777" w:rsidR="00F8652A" w:rsidRPr="000B7A4C" w:rsidRDefault="00F8652A">
      <w:pPr>
        <w:pStyle w:val="FootnoteText"/>
        <w:rPr>
          <w:lang w:val="en-US"/>
        </w:rPr>
      </w:pPr>
      <w:r>
        <w:rPr>
          <w:rStyle w:val="FootnoteReference"/>
        </w:rPr>
        <w:footnoteRef/>
      </w:r>
      <w:r>
        <w:t xml:space="preserve"> </w:t>
      </w:r>
      <w:r w:rsidRPr="000B7A4C">
        <w:t xml:space="preserve">King MT. </w:t>
      </w:r>
      <w:proofErr w:type="gramStart"/>
      <w:r w:rsidRPr="000B7A4C">
        <w:t>The interpretation of scores from the EORTC quality of life questionnaire QLQ-C30.</w:t>
      </w:r>
      <w:proofErr w:type="gramEnd"/>
      <w:r w:rsidRPr="000B7A4C">
        <w:t xml:space="preserve"> Quality of Life Research, 5, 1996; pp. 555-567</w:t>
      </w:r>
    </w:p>
  </w:footnote>
  <w:footnote w:id="12">
    <w:p w14:paraId="5CBEB9AC" w14:textId="77777777" w:rsidR="00F8652A" w:rsidRPr="00972E20" w:rsidRDefault="00F8652A">
      <w:pPr>
        <w:pStyle w:val="FootnoteText"/>
        <w:rPr>
          <w:lang w:val="en-US"/>
        </w:rPr>
      </w:pPr>
      <w:r>
        <w:rPr>
          <w:rStyle w:val="FootnoteReference"/>
        </w:rPr>
        <w:footnoteRef/>
      </w:r>
      <w:r>
        <w:t xml:space="preserve"> </w:t>
      </w:r>
      <w:proofErr w:type="gramStart"/>
      <w:r w:rsidRPr="00972E20">
        <w:t xml:space="preserve">Pickard AS, </w:t>
      </w:r>
      <w:proofErr w:type="spellStart"/>
      <w:r w:rsidRPr="00972E20">
        <w:t>Neary</w:t>
      </w:r>
      <w:proofErr w:type="spellEnd"/>
      <w:r w:rsidRPr="00972E20">
        <w:t xml:space="preserve"> MP, and </w:t>
      </w:r>
      <w:proofErr w:type="spellStart"/>
      <w:r w:rsidRPr="00972E20">
        <w:t>Cella</w:t>
      </w:r>
      <w:proofErr w:type="spellEnd"/>
      <w:r w:rsidRPr="00972E20">
        <w:t xml:space="preserve"> D. Estimation of minimally important differences in EQ-5D utility and VAS scores in cancer.</w:t>
      </w:r>
      <w:proofErr w:type="gramEnd"/>
      <w:r w:rsidRPr="00972E20">
        <w:t xml:space="preserve"> Health and Quality of Life Outcomes 2007, 5:70 doi:10.1186/1477-7525-5- 70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78" w14:textId="77777777" w:rsidR="00F8652A" w:rsidRDefault="00F8652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7D" w14:textId="77777777" w:rsidR="00F8652A" w:rsidRDefault="00F8652A">
    <w:pPr>
      <w:rPr>
        <w:noProof/>
        <w:lang w:eastAsia="en-AU"/>
      </w:rPr>
    </w:pPr>
    <w:r w:rsidRPr="00347824">
      <w:rPr>
        <w:noProof/>
        <w:lang w:eastAsia="en-AU"/>
      </w:rPr>
      <w:drawing>
        <wp:anchor distT="0" distB="0" distL="114300" distR="114300" simplePos="0" relativeHeight="251658240" behindDoc="1" locked="0" layoutInCell="1" allowOverlap="1" wp14:anchorId="5CBEB99D" wp14:editId="5CBEB99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CBEB97E" w14:textId="77777777" w:rsidR="00F8652A" w:rsidRDefault="00F8652A" w:rsidP="00593AD1">
    <w:pPr>
      <w:pStyle w:val="HeaderNoLine"/>
    </w:pPr>
    <w:r>
      <w:rPr>
        <w:noProof/>
        <w:lang w:eastAsia="en-AU"/>
      </w:rPr>
      <w:drawing>
        <wp:inline distT="0" distB="0" distL="0" distR="0" wp14:anchorId="5CBEB99F" wp14:editId="5E112A5E">
          <wp:extent cx="5400675" cy="7639050"/>
          <wp:effectExtent l="0" t="0" r="9525" b="0"/>
          <wp:docPr id="22" name="Picture 2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7F" w14:textId="77777777" w:rsidR="00F8652A" w:rsidRDefault="00F865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80" w14:textId="77777777" w:rsidR="00F8652A" w:rsidRDefault="00F8652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81" w14:textId="77777777" w:rsidR="00F8652A" w:rsidRDefault="00F8652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87" w14:textId="77777777" w:rsidR="00F8652A" w:rsidRDefault="00F865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88" w14:textId="77777777" w:rsidR="00F8652A" w:rsidRDefault="00F8652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B98A" w14:textId="77777777" w:rsidR="00F8652A" w:rsidRDefault="00F8652A" w:rsidP="006E08B3">
    <w:r>
      <w:t>Therapeutic Goods Administration</w:t>
    </w:r>
  </w:p>
  <w:p w14:paraId="5CBEB98B" w14:textId="77777777" w:rsidR="00F8652A" w:rsidRDefault="00F8652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B0EDC2"/>
    <w:lvl w:ilvl="0">
      <w:start w:val="1"/>
      <w:numFmt w:val="decimal"/>
      <w:pStyle w:val="ListNumber2"/>
      <w:lvlText w:val="%1."/>
      <w:lvlJc w:val="left"/>
      <w:pPr>
        <w:tabs>
          <w:tab w:val="num" w:pos="643"/>
        </w:tabs>
        <w:ind w:left="643" w:hanging="360"/>
      </w:pPr>
    </w:lvl>
  </w:abstractNum>
  <w:abstractNum w:abstractNumId="1">
    <w:nsid w:val="FFFFFF89"/>
    <w:multiLevelType w:val="singleLevel"/>
    <w:tmpl w:val="8330523A"/>
    <w:styleLink w:val="ListBullets1"/>
    <w:lvl w:ilvl="0">
      <w:start w:val="1"/>
      <w:numFmt w:val="bullet"/>
      <w:lvlText w:val=""/>
      <w:lvlJc w:val="left"/>
      <w:pPr>
        <w:tabs>
          <w:tab w:val="num" w:pos="360"/>
        </w:tabs>
        <w:ind w:left="360" w:hanging="360"/>
      </w:pPr>
      <w:rPr>
        <w:rFonts w:ascii="Symbol" w:hAnsi="Symbol" w:hint="default"/>
      </w:rPr>
    </w:lvl>
  </w:abstractNum>
  <w:abstractNum w:abstractNumId="2">
    <w:nsid w:val="0E9108CD"/>
    <w:multiLevelType w:val="hybridMultilevel"/>
    <w:tmpl w:val="F9A4A902"/>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4EC00BD"/>
    <w:multiLevelType w:val="hybridMultilevel"/>
    <w:tmpl w:val="EAF42E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062247C"/>
    <w:multiLevelType w:val="multilevel"/>
    <w:tmpl w:val="6284B7C8"/>
    <w:styleLink w:val="Recommendations"/>
    <w:lvl w:ilvl="0">
      <w:start w:val="1"/>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95B7A66"/>
    <w:multiLevelType w:val="hybridMultilevel"/>
    <w:tmpl w:val="11A2CE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4"/>
  </w:num>
  <w:num w:numId="5">
    <w:abstractNumId w:val="3"/>
  </w:num>
  <w:num w:numId="6">
    <w:abstractNumId w:val="8"/>
  </w:num>
  <w:num w:numId="7">
    <w:abstractNumId w:val="9"/>
  </w:num>
  <w:num w:numId="8">
    <w:abstractNumId w:val="6"/>
  </w:num>
  <w:num w:numId="9">
    <w:abstractNumId w:val="7"/>
  </w:num>
  <w:num w:numId="10">
    <w:abstractNumId w:val="2"/>
  </w:num>
  <w:num w:numId="11">
    <w:abstractNumId w:val="5"/>
  </w:num>
  <w:num w:numId="12">
    <w:abstractNumId w:val="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2"/>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71F"/>
    <w:rsid w:val="00002031"/>
    <w:rsid w:val="00004734"/>
    <w:rsid w:val="00006B22"/>
    <w:rsid w:val="0001276A"/>
    <w:rsid w:val="00016F17"/>
    <w:rsid w:val="000246AE"/>
    <w:rsid w:val="00025C67"/>
    <w:rsid w:val="00042902"/>
    <w:rsid w:val="00044772"/>
    <w:rsid w:val="000476AD"/>
    <w:rsid w:val="0005559E"/>
    <w:rsid w:val="000604D6"/>
    <w:rsid w:val="00070C4A"/>
    <w:rsid w:val="00071D95"/>
    <w:rsid w:val="000734D8"/>
    <w:rsid w:val="00077775"/>
    <w:rsid w:val="00090471"/>
    <w:rsid w:val="00096AA7"/>
    <w:rsid w:val="000A174C"/>
    <w:rsid w:val="000A3AED"/>
    <w:rsid w:val="000B3532"/>
    <w:rsid w:val="000B3A75"/>
    <w:rsid w:val="000B7A4C"/>
    <w:rsid w:val="000C00C2"/>
    <w:rsid w:val="000C690F"/>
    <w:rsid w:val="000D1295"/>
    <w:rsid w:val="000D391B"/>
    <w:rsid w:val="000D3D6D"/>
    <w:rsid w:val="000D4FC7"/>
    <w:rsid w:val="000E6196"/>
    <w:rsid w:val="000F320A"/>
    <w:rsid w:val="000F4869"/>
    <w:rsid w:val="000F5B42"/>
    <w:rsid w:val="000F6E6F"/>
    <w:rsid w:val="0010601F"/>
    <w:rsid w:val="0010788A"/>
    <w:rsid w:val="00107A31"/>
    <w:rsid w:val="00107D21"/>
    <w:rsid w:val="00110EA5"/>
    <w:rsid w:val="00110FB6"/>
    <w:rsid w:val="00112F56"/>
    <w:rsid w:val="00125318"/>
    <w:rsid w:val="001305A2"/>
    <w:rsid w:val="00133238"/>
    <w:rsid w:val="00133A1B"/>
    <w:rsid w:val="00140C9E"/>
    <w:rsid w:val="0014197B"/>
    <w:rsid w:val="001447CD"/>
    <w:rsid w:val="001516B1"/>
    <w:rsid w:val="00151D57"/>
    <w:rsid w:val="0015320B"/>
    <w:rsid w:val="00154EBB"/>
    <w:rsid w:val="00156316"/>
    <w:rsid w:val="00160DD0"/>
    <w:rsid w:val="00161181"/>
    <w:rsid w:val="00162D14"/>
    <w:rsid w:val="00164FDD"/>
    <w:rsid w:val="00165389"/>
    <w:rsid w:val="0017693F"/>
    <w:rsid w:val="0018110E"/>
    <w:rsid w:val="00181684"/>
    <w:rsid w:val="001843C6"/>
    <w:rsid w:val="001850E0"/>
    <w:rsid w:val="001A2158"/>
    <w:rsid w:val="001A525F"/>
    <w:rsid w:val="001B09F9"/>
    <w:rsid w:val="001B5C90"/>
    <w:rsid w:val="001B6448"/>
    <w:rsid w:val="001B7AD0"/>
    <w:rsid w:val="001C32CD"/>
    <w:rsid w:val="001D2984"/>
    <w:rsid w:val="001E07CF"/>
    <w:rsid w:val="001E1AE4"/>
    <w:rsid w:val="001E59F1"/>
    <w:rsid w:val="001F2CEE"/>
    <w:rsid w:val="001F49EB"/>
    <w:rsid w:val="001F6CBA"/>
    <w:rsid w:val="00201D4E"/>
    <w:rsid w:val="002076C9"/>
    <w:rsid w:val="00213202"/>
    <w:rsid w:val="00220B8A"/>
    <w:rsid w:val="002231A7"/>
    <w:rsid w:val="002257F3"/>
    <w:rsid w:val="00233456"/>
    <w:rsid w:val="002339A5"/>
    <w:rsid w:val="00257848"/>
    <w:rsid w:val="0027084A"/>
    <w:rsid w:val="00275701"/>
    <w:rsid w:val="00286434"/>
    <w:rsid w:val="00286C59"/>
    <w:rsid w:val="0029052F"/>
    <w:rsid w:val="00291957"/>
    <w:rsid w:val="002942D1"/>
    <w:rsid w:val="0029501A"/>
    <w:rsid w:val="002A3721"/>
    <w:rsid w:val="002B1638"/>
    <w:rsid w:val="002B3624"/>
    <w:rsid w:val="002D0952"/>
    <w:rsid w:val="002E40B3"/>
    <w:rsid w:val="002E4C9A"/>
    <w:rsid w:val="002F11F8"/>
    <w:rsid w:val="002F3F56"/>
    <w:rsid w:val="002F44B5"/>
    <w:rsid w:val="00311AC0"/>
    <w:rsid w:val="003176FC"/>
    <w:rsid w:val="00320CF4"/>
    <w:rsid w:val="003253B9"/>
    <w:rsid w:val="0032583B"/>
    <w:rsid w:val="00327883"/>
    <w:rsid w:val="00335504"/>
    <w:rsid w:val="00340C18"/>
    <w:rsid w:val="003442FD"/>
    <w:rsid w:val="00347824"/>
    <w:rsid w:val="00350567"/>
    <w:rsid w:val="003521E8"/>
    <w:rsid w:val="00367614"/>
    <w:rsid w:val="00370CE3"/>
    <w:rsid w:val="003728F3"/>
    <w:rsid w:val="0037496E"/>
    <w:rsid w:val="00375488"/>
    <w:rsid w:val="00383221"/>
    <w:rsid w:val="00386150"/>
    <w:rsid w:val="003874CE"/>
    <w:rsid w:val="00390900"/>
    <w:rsid w:val="003A202D"/>
    <w:rsid w:val="003A383B"/>
    <w:rsid w:val="003A7F6C"/>
    <w:rsid w:val="003B4D60"/>
    <w:rsid w:val="003B7E39"/>
    <w:rsid w:val="003C58DC"/>
    <w:rsid w:val="003D1E62"/>
    <w:rsid w:val="003E0B99"/>
    <w:rsid w:val="003E2486"/>
    <w:rsid w:val="003E3208"/>
    <w:rsid w:val="003E3B31"/>
    <w:rsid w:val="003E6EF3"/>
    <w:rsid w:val="003F0B04"/>
    <w:rsid w:val="003F1F28"/>
    <w:rsid w:val="00400270"/>
    <w:rsid w:val="00400846"/>
    <w:rsid w:val="0040134E"/>
    <w:rsid w:val="004334C7"/>
    <w:rsid w:val="00436796"/>
    <w:rsid w:val="00440A2D"/>
    <w:rsid w:val="00441C3F"/>
    <w:rsid w:val="004564A7"/>
    <w:rsid w:val="004617BF"/>
    <w:rsid w:val="00463658"/>
    <w:rsid w:val="004637A0"/>
    <w:rsid w:val="004722CC"/>
    <w:rsid w:val="0049158D"/>
    <w:rsid w:val="00492232"/>
    <w:rsid w:val="004936E4"/>
    <w:rsid w:val="00494E60"/>
    <w:rsid w:val="00497487"/>
    <w:rsid w:val="004A3568"/>
    <w:rsid w:val="004A6189"/>
    <w:rsid w:val="004A7390"/>
    <w:rsid w:val="004B7B76"/>
    <w:rsid w:val="004C239D"/>
    <w:rsid w:val="004C2DCA"/>
    <w:rsid w:val="004C61D2"/>
    <w:rsid w:val="004D37F1"/>
    <w:rsid w:val="004E571F"/>
    <w:rsid w:val="004F0C4A"/>
    <w:rsid w:val="004F0F38"/>
    <w:rsid w:val="004F47D6"/>
    <w:rsid w:val="004F4829"/>
    <w:rsid w:val="005002DD"/>
    <w:rsid w:val="00501921"/>
    <w:rsid w:val="00517CAE"/>
    <w:rsid w:val="00530354"/>
    <w:rsid w:val="00530E74"/>
    <w:rsid w:val="0053625B"/>
    <w:rsid w:val="00542EEB"/>
    <w:rsid w:val="005434C6"/>
    <w:rsid w:val="00543B39"/>
    <w:rsid w:val="00546154"/>
    <w:rsid w:val="00550096"/>
    <w:rsid w:val="00555280"/>
    <w:rsid w:val="00557FF9"/>
    <w:rsid w:val="005616A2"/>
    <w:rsid w:val="005620C5"/>
    <w:rsid w:val="00562327"/>
    <w:rsid w:val="005711D5"/>
    <w:rsid w:val="00576378"/>
    <w:rsid w:val="00577130"/>
    <w:rsid w:val="00577945"/>
    <w:rsid w:val="00577E38"/>
    <w:rsid w:val="00585322"/>
    <w:rsid w:val="005857C6"/>
    <w:rsid w:val="00592F6E"/>
    <w:rsid w:val="00593AD1"/>
    <w:rsid w:val="005A68B6"/>
    <w:rsid w:val="005B26FA"/>
    <w:rsid w:val="005B2867"/>
    <w:rsid w:val="005C5570"/>
    <w:rsid w:val="005C79A4"/>
    <w:rsid w:val="005D5442"/>
    <w:rsid w:val="0060194D"/>
    <w:rsid w:val="00603F32"/>
    <w:rsid w:val="00605AD4"/>
    <w:rsid w:val="00606070"/>
    <w:rsid w:val="006136D7"/>
    <w:rsid w:val="00625A6E"/>
    <w:rsid w:val="00632398"/>
    <w:rsid w:val="00640FC3"/>
    <w:rsid w:val="00642020"/>
    <w:rsid w:val="00643CED"/>
    <w:rsid w:val="006515C1"/>
    <w:rsid w:val="0065337B"/>
    <w:rsid w:val="0065419D"/>
    <w:rsid w:val="006604D8"/>
    <w:rsid w:val="00664A5B"/>
    <w:rsid w:val="0066735C"/>
    <w:rsid w:val="006763D2"/>
    <w:rsid w:val="00680C08"/>
    <w:rsid w:val="006916A0"/>
    <w:rsid w:val="006931B1"/>
    <w:rsid w:val="006A15C0"/>
    <w:rsid w:val="006C3E2A"/>
    <w:rsid w:val="006C642F"/>
    <w:rsid w:val="006C6B9B"/>
    <w:rsid w:val="006D03E5"/>
    <w:rsid w:val="006D5D3E"/>
    <w:rsid w:val="006E08B3"/>
    <w:rsid w:val="006F17AC"/>
    <w:rsid w:val="006F25B8"/>
    <w:rsid w:val="006F572E"/>
    <w:rsid w:val="007013A0"/>
    <w:rsid w:val="00702A64"/>
    <w:rsid w:val="007046D6"/>
    <w:rsid w:val="00705DB0"/>
    <w:rsid w:val="00722B57"/>
    <w:rsid w:val="00730F8A"/>
    <w:rsid w:val="00735A8C"/>
    <w:rsid w:val="0074253D"/>
    <w:rsid w:val="0074429B"/>
    <w:rsid w:val="00760808"/>
    <w:rsid w:val="007615BC"/>
    <w:rsid w:val="00762F05"/>
    <w:rsid w:val="0076396E"/>
    <w:rsid w:val="0076528D"/>
    <w:rsid w:val="007652FF"/>
    <w:rsid w:val="00770CAC"/>
    <w:rsid w:val="00770EF1"/>
    <w:rsid w:val="00773EF7"/>
    <w:rsid w:val="00774CD1"/>
    <w:rsid w:val="00774E1D"/>
    <w:rsid w:val="007765D8"/>
    <w:rsid w:val="0077675A"/>
    <w:rsid w:val="00777233"/>
    <w:rsid w:val="00780355"/>
    <w:rsid w:val="007819FD"/>
    <w:rsid w:val="00782317"/>
    <w:rsid w:val="00785717"/>
    <w:rsid w:val="00785721"/>
    <w:rsid w:val="00793A59"/>
    <w:rsid w:val="007A204F"/>
    <w:rsid w:val="007B031A"/>
    <w:rsid w:val="007B6132"/>
    <w:rsid w:val="007B6E9F"/>
    <w:rsid w:val="007C1216"/>
    <w:rsid w:val="007C1AF7"/>
    <w:rsid w:val="007C6B9B"/>
    <w:rsid w:val="007D6DFD"/>
    <w:rsid w:val="007D71D1"/>
    <w:rsid w:val="00805D27"/>
    <w:rsid w:val="00806DCB"/>
    <w:rsid w:val="00821776"/>
    <w:rsid w:val="00821F3D"/>
    <w:rsid w:val="008321F5"/>
    <w:rsid w:val="00832369"/>
    <w:rsid w:val="00833FAF"/>
    <w:rsid w:val="00834660"/>
    <w:rsid w:val="00835EE7"/>
    <w:rsid w:val="00836BC2"/>
    <w:rsid w:val="008436BB"/>
    <w:rsid w:val="0085156D"/>
    <w:rsid w:val="0085641B"/>
    <w:rsid w:val="00857136"/>
    <w:rsid w:val="0087400D"/>
    <w:rsid w:val="00875A6B"/>
    <w:rsid w:val="008851ED"/>
    <w:rsid w:val="00885B11"/>
    <w:rsid w:val="00885EC5"/>
    <w:rsid w:val="00886D15"/>
    <w:rsid w:val="00887DD8"/>
    <w:rsid w:val="00891BA9"/>
    <w:rsid w:val="00896018"/>
    <w:rsid w:val="008960DD"/>
    <w:rsid w:val="0089635C"/>
    <w:rsid w:val="008A1AA7"/>
    <w:rsid w:val="008A2B9D"/>
    <w:rsid w:val="008A3D9F"/>
    <w:rsid w:val="008A5E0B"/>
    <w:rsid w:val="008A6D59"/>
    <w:rsid w:val="008B4B03"/>
    <w:rsid w:val="008B596F"/>
    <w:rsid w:val="008C159F"/>
    <w:rsid w:val="008C1623"/>
    <w:rsid w:val="008C1850"/>
    <w:rsid w:val="008C51A9"/>
    <w:rsid w:val="008D3DD5"/>
    <w:rsid w:val="008D4AD1"/>
    <w:rsid w:val="008E2A98"/>
    <w:rsid w:val="008E7846"/>
    <w:rsid w:val="008F02E5"/>
    <w:rsid w:val="008F1CCC"/>
    <w:rsid w:val="008F2967"/>
    <w:rsid w:val="008F3099"/>
    <w:rsid w:val="008F6943"/>
    <w:rsid w:val="00902A21"/>
    <w:rsid w:val="00920330"/>
    <w:rsid w:val="009219D7"/>
    <w:rsid w:val="00922D53"/>
    <w:rsid w:val="00923B70"/>
    <w:rsid w:val="00924482"/>
    <w:rsid w:val="009261A4"/>
    <w:rsid w:val="00930237"/>
    <w:rsid w:val="00937C17"/>
    <w:rsid w:val="00940A89"/>
    <w:rsid w:val="00946EA5"/>
    <w:rsid w:val="00957DB3"/>
    <w:rsid w:val="00961C9D"/>
    <w:rsid w:val="00963C08"/>
    <w:rsid w:val="00965227"/>
    <w:rsid w:val="00971CD0"/>
    <w:rsid w:val="00972E20"/>
    <w:rsid w:val="009752A5"/>
    <w:rsid w:val="0098585A"/>
    <w:rsid w:val="009A4CED"/>
    <w:rsid w:val="009A690D"/>
    <w:rsid w:val="009B1D12"/>
    <w:rsid w:val="009B416B"/>
    <w:rsid w:val="009B58E6"/>
    <w:rsid w:val="009C4BD5"/>
    <w:rsid w:val="009D188B"/>
    <w:rsid w:val="009D304C"/>
    <w:rsid w:val="009D7B77"/>
    <w:rsid w:val="009E0BB0"/>
    <w:rsid w:val="009E3FBB"/>
    <w:rsid w:val="009F7353"/>
    <w:rsid w:val="009F7D40"/>
    <w:rsid w:val="00A0219D"/>
    <w:rsid w:val="00A040A4"/>
    <w:rsid w:val="00A04F85"/>
    <w:rsid w:val="00A05FA4"/>
    <w:rsid w:val="00A102E4"/>
    <w:rsid w:val="00A12C42"/>
    <w:rsid w:val="00A14DF7"/>
    <w:rsid w:val="00A3246D"/>
    <w:rsid w:val="00A33955"/>
    <w:rsid w:val="00A36FA7"/>
    <w:rsid w:val="00A44DDB"/>
    <w:rsid w:val="00A475B7"/>
    <w:rsid w:val="00A47AF7"/>
    <w:rsid w:val="00A47C3E"/>
    <w:rsid w:val="00A5019F"/>
    <w:rsid w:val="00A50226"/>
    <w:rsid w:val="00A60BAD"/>
    <w:rsid w:val="00A63AA2"/>
    <w:rsid w:val="00A7102E"/>
    <w:rsid w:val="00A80B5B"/>
    <w:rsid w:val="00A84E36"/>
    <w:rsid w:val="00A958C9"/>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5034"/>
    <w:rsid w:val="00B33588"/>
    <w:rsid w:val="00B33863"/>
    <w:rsid w:val="00B37D17"/>
    <w:rsid w:val="00B4175E"/>
    <w:rsid w:val="00B452CE"/>
    <w:rsid w:val="00B537FA"/>
    <w:rsid w:val="00B54C25"/>
    <w:rsid w:val="00B76B91"/>
    <w:rsid w:val="00B77EB1"/>
    <w:rsid w:val="00B811C6"/>
    <w:rsid w:val="00B855B0"/>
    <w:rsid w:val="00B92E08"/>
    <w:rsid w:val="00BA3F34"/>
    <w:rsid w:val="00BB796C"/>
    <w:rsid w:val="00BC29CB"/>
    <w:rsid w:val="00BC55E8"/>
    <w:rsid w:val="00BC622A"/>
    <w:rsid w:val="00BD2AE2"/>
    <w:rsid w:val="00BD64A8"/>
    <w:rsid w:val="00BE0A78"/>
    <w:rsid w:val="00BE79F0"/>
    <w:rsid w:val="00BF046D"/>
    <w:rsid w:val="00BF1190"/>
    <w:rsid w:val="00BF3FA0"/>
    <w:rsid w:val="00BF5D04"/>
    <w:rsid w:val="00C009AA"/>
    <w:rsid w:val="00C01797"/>
    <w:rsid w:val="00C1164D"/>
    <w:rsid w:val="00C16861"/>
    <w:rsid w:val="00C346AB"/>
    <w:rsid w:val="00C404A6"/>
    <w:rsid w:val="00C40A36"/>
    <w:rsid w:val="00C41A15"/>
    <w:rsid w:val="00C41C8A"/>
    <w:rsid w:val="00C44419"/>
    <w:rsid w:val="00C44A61"/>
    <w:rsid w:val="00C45E7B"/>
    <w:rsid w:val="00C471B1"/>
    <w:rsid w:val="00C62DD3"/>
    <w:rsid w:val="00C6316B"/>
    <w:rsid w:val="00C634A9"/>
    <w:rsid w:val="00C64586"/>
    <w:rsid w:val="00C70D53"/>
    <w:rsid w:val="00C73D0B"/>
    <w:rsid w:val="00C772FF"/>
    <w:rsid w:val="00C80137"/>
    <w:rsid w:val="00C801AF"/>
    <w:rsid w:val="00C80256"/>
    <w:rsid w:val="00C94CD4"/>
    <w:rsid w:val="00C9747E"/>
    <w:rsid w:val="00CB0FE4"/>
    <w:rsid w:val="00CB5A50"/>
    <w:rsid w:val="00CB6BC0"/>
    <w:rsid w:val="00CC1B7C"/>
    <w:rsid w:val="00CC4E8D"/>
    <w:rsid w:val="00CC727F"/>
    <w:rsid w:val="00CE0AB4"/>
    <w:rsid w:val="00CF15C3"/>
    <w:rsid w:val="00CF2B6F"/>
    <w:rsid w:val="00CF2F3E"/>
    <w:rsid w:val="00CF58B6"/>
    <w:rsid w:val="00D0062D"/>
    <w:rsid w:val="00D017ED"/>
    <w:rsid w:val="00D040D3"/>
    <w:rsid w:val="00D04C65"/>
    <w:rsid w:val="00D201D2"/>
    <w:rsid w:val="00D224FE"/>
    <w:rsid w:val="00D23139"/>
    <w:rsid w:val="00D425BB"/>
    <w:rsid w:val="00D6493E"/>
    <w:rsid w:val="00D65F50"/>
    <w:rsid w:val="00D7195D"/>
    <w:rsid w:val="00D7301E"/>
    <w:rsid w:val="00D83AE1"/>
    <w:rsid w:val="00D855D4"/>
    <w:rsid w:val="00D902C9"/>
    <w:rsid w:val="00D92572"/>
    <w:rsid w:val="00D93466"/>
    <w:rsid w:val="00DA10E8"/>
    <w:rsid w:val="00DA1124"/>
    <w:rsid w:val="00DA3875"/>
    <w:rsid w:val="00DB6124"/>
    <w:rsid w:val="00DB750B"/>
    <w:rsid w:val="00DB75B7"/>
    <w:rsid w:val="00DC6E02"/>
    <w:rsid w:val="00DD165C"/>
    <w:rsid w:val="00DD28CD"/>
    <w:rsid w:val="00DE02AE"/>
    <w:rsid w:val="00DF1D7F"/>
    <w:rsid w:val="00DF1FCC"/>
    <w:rsid w:val="00DF4BE4"/>
    <w:rsid w:val="00E02FB4"/>
    <w:rsid w:val="00E055C7"/>
    <w:rsid w:val="00E13FC7"/>
    <w:rsid w:val="00E20571"/>
    <w:rsid w:val="00E235F7"/>
    <w:rsid w:val="00E23659"/>
    <w:rsid w:val="00E239D4"/>
    <w:rsid w:val="00E26130"/>
    <w:rsid w:val="00E40B22"/>
    <w:rsid w:val="00E4230B"/>
    <w:rsid w:val="00E44ED1"/>
    <w:rsid w:val="00E45619"/>
    <w:rsid w:val="00E4588F"/>
    <w:rsid w:val="00E46DA3"/>
    <w:rsid w:val="00E51BB1"/>
    <w:rsid w:val="00E57665"/>
    <w:rsid w:val="00E624A5"/>
    <w:rsid w:val="00E64BA4"/>
    <w:rsid w:val="00E7344E"/>
    <w:rsid w:val="00E73FD9"/>
    <w:rsid w:val="00E80E60"/>
    <w:rsid w:val="00E82665"/>
    <w:rsid w:val="00EA352D"/>
    <w:rsid w:val="00EA75DD"/>
    <w:rsid w:val="00EB0798"/>
    <w:rsid w:val="00EB2B94"/>
    <w:rsid w:val="00EB40AD"/>
    <w:rsid w:val="00EB586E"/>
    <w:rsid w:val="00EB5FC8"/>
    <w:rsid w:val="00EB6B0A"/>
    <w:rsid w:val="00EC463D"/>
    <w:rsid w:val="00EC7A85"/>
    <w:rsid w:val="00ED2922"/>
    <w:rsid w:val="00ED3CAD"/>
    <w:rsid w:val="00ED59E7"/>
    <w:rsid w:val="00ED5A41"/>
    <w:rsid w:val="00ED605C"/>
    <w:rsid w:val="00ED72FB"/>
    <w:rsid w:val="00EE1DE8"/>
    <w:rsid w:val="00EE27C2"/>
    <w:rsid w:val="00EF4BAD"/>
    <w:rsid w:val="00EF59DC"/>
    <w:rsid w:val="00F033EC"/>
    <w:rsid w:val="00F04F68"/>
    <w:rsid w:val="00F12670"/>
    <w:rsid w:val="00F14B27"/>
    <w:rsid w:val="00F30618"/>
    <w:rsid w:val="00F3148D"/>
    <w:rsid w:val="00F325C5"/>
    <w:rsid w:val="00F32FE0"/>
    <w:rsid w:val="00F35298"/>
    <w:rsid w:val="00F47333"/>
    <w:rsid w:val="00F47E37"/>
    <w:rsid w:val="00F53C07"/>
    <w:rsid w:val="00F53C7F"/>
    <w:rsid w:val="00F54B65"/>
    <w:rsid w:val="00F57565"/>
    <w:rsid w:val="00F6157E"/>
    <w:rsid w:val="00F640B6"/>
    <w:rsid w:val="00F66DF2"/>
    <w:rsid w:val="00F74C57"/>
    <w:rsid w:val="00F750AF"/>
    <w:rsid w:val="00F80E40"/>
    <w:rsid w:val="00F848D9"/>
    <w:rsid w:val="00F8652A"/>
    <w:rsid w:val="00F86ED7"/>
    <w:rsid w:val="00FA5B82"/>
    <w:rsid w:val="00FA639E"/>
    <w:rsid w:val="00FC1FCA"/>
    <w:rsid w:val="00FC25E4"/>
    <w:rsid w:val="00FC4EF7"/>
    <w:rsid w:val="00FD0824"/>
    <w:rsid w:val="00FD119B"/>
    <w:rsid w:val="00FD1EDC"/>
    <w:rsid w:val="00FE1DEE"/>
    <w:rsid w:val="00FE2C80"/>
    <w:rsid w:val="00FE3C3F"/>
    <w:rsid w:val="00FE6681"/>
    <w:rsid w:val="00FE7F2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BE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qFormat="1"/>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20CF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8652A"/>
    <w:pPr>
      <w:tabs>
        <w:tab w:val="right" w:pos="8505"/>
      </w:tabs>
      <w:spacing w:after="200"/>
    </w:pPr>
    <w:rPr>
      <w:rFonts w:ascii="Arial" w:hAnsi="Arial"/>
      <w:b/>
      <w:sz w:val="30"/>
    </w:rPr>
  </w:style>
  <w:style w:type="paragraph" w:styleId="TOC2">
    <w:name w:val="toc 2"/>
    <w:basedOn w:val="Normal"/>
    <w:next w:val="Normal"/>
    <w:uiPriority w:val="39"/>
    <w:rsid w:val="00F8652A"/>
    <w:pPr>
      <w:tabs>
        <w:tab w:val="right" w:leader="underscore" w:pos="8505"/>
      </w:tabs>
      <w:spacing w:after="100"/>
      <w:ind w:left="624"/>
    </w:pPr>
    <w:rPr>
      <w:rFonts w:asciiTheme="majorHAnsi" w:hAnsiTheme="majorHAnsi"/>
      <w:b/>
      <w:sz w:val="24"/>
    </w:rPr>
  </w:style>
  <w:style w:type="paragraph" w:styleId="TOC3">
    <w:name w:val="toc 3"/>
    <w:basedOn w:val="Normal"/>
    <w:next w:val="Normal"/>
    <w:uiPriority w:val="39"/>
    <w:rsid w:val="00F8652A"/>
    <w:pPr>
      <w:tabs>
        <w:tab w:val="right" w:leader="underscore" w:pos="8505"/>
      </w:tabs>
      <w:spacing w:after="100"/>
      <w:ind w:left="1021"/>
    </w:pPr>
    <w:rPr>
      <w:rFonts w:ascii="Arial" w:hAnsi="Arial"/>
    </w:r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4E571F"/>
    <w:pPr>
      <w:adjustRightInd w:val="0"/>
      <w:snapToGrid w:val="0"/>
      <w:spacing w:before="180" w:after="180"/>
      <w:ind w:left="720"/>
      <w:contextualSpacing/>
    </w:pPr>
    <w:rPr>
      <w:rFonts w:eastAsia="MS Mincho"/>
      <w:szCs w:val="20"/>
      <w:lang w:eastAsia="ja-JP"/>
    </w:rPr>
  </w:style>
  <w:style w:type="paragraph" w:customStyle="1" w:styleId="FigureCaption">
    <w:name w:val="Figure Caption"/>
    <w:basedOn w:val="Normal"/>
    <w:qFormat/>
    <w:rsid w:val="000476AD"/>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8F3099"/>
    <w:pPr>
      <w:keepNext/>
      <w:spacing w:after="120"/>
    </w:pPr>
    <w:rPr>
      <w:b/>
    </w:rPr>
  </w:style>
  <w:style w:type="table" w:customStyle="1" w:styleId="TableTGA2">
    <w:name w:val="Table TGA 2"/>
    <w:basedOn w:val="TableNormal"/>
    <w:uiPriority w:val="99"/>
    <w:rsid w:val="000476AD"/>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0476AD"/>
    <w:pPr>
      <w:adjustRightInd w:val="0"/>
      <w:snapToGrid w:val="0"/>
      <w:spacing w:before="180" w:after="180"/>
    </w:pPr>
    <w:rPr>
      <w:rFonts w:eastAsia="MS Mincho"/>
      <w:b/>
      <w:szCs w:val="20"/>
      <w:lang w:eastAsia="ja-JP"/>
    </w:rPr>
  </w:style>
  <w:style w:type="paragraph" w:customStyle="1" w:styleId="Addressee">
    <w:name w:val="Addressee"/>
    <w:basedOn w:val="Normal"/>
    <w:qFormat/>
    <w:rsid w:val="000476AD"/>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0476AD"/>
    <w:rPr>
      <w:rFonts w:ascii="Arial" w:hAnsi="Arial"/>
      <w:color w:val="002C47"/>
      <w:sz w:val="14"/>
    </w:rPr>
  </w:style>
  <w:style w:type="paragraph" w:customStyle="1" w:styleId="BodyCopy">
    <w:name w:val="Body Copy"/>
    <w:basedOn w:val="Normal"/>
    <w:qFormat/>
    <w:rsid w:val="000476AD"/>
    <w:pPr>
      <w:adjustRightInd w:val="0"/>
      <w:snapToGrid w:val="0"/>
      <w:spacing w:before="180" w:after="180"/>
    </w:pPr>
    <w:rPr>
      <w:rFonts w:eastAsia="MS Mincho"/>
      <w:szCs w:val="20"/>
      <w:lang w:eastAsia="ja-JP"/>
    </w:rPr>
  </w:style>
  <w:style w:type="paragraph" w:customStyle="1" w:styleId="Bulletpoint">
    <w:name w:val="Bullet point"/>
    <w:basedOn w:val="Normal"/>
    <w:rsid w:val="000476AD"/>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Default">
    <w:name w:val="Default"/>
    <w:rsid w:val="000476AD"/>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Standard">
    <w:name w:val="Standard"/>
    <w:basedOn w:val="Normal"/>
    <w:link w:val="StandardChar"/>
    <w:qFormat/>
    <w:rsid w:val="000476A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476AD"/>
    <w:rPr>
      <w:rFonts w:ascii="Cambria" w:eastAsia="Times New Roman" w:hAnsi="Cambria" w:cs="Times New Roman"/>
      <w:snapToGrid w:val="0"/>
      <w:kern w:val="16"/>
      <w:sz w:val="23"/>
      <w:szCs w:val="24"/>
    </w:rPr>
  </w:style>
  <w:style w:type="paragraph" w:customStyle="1" w:styleId="TableParagraph">
    <w:name w:val="Table Paragraph"/>
    <w:basedOn w:val="Normal"/>
    <w:uiPriority w:val="1"/>
    <w:qFormat/>
    <w:rsid w:val="000476AD"/>
    <w:pPr>
      <w:autoSpaceDE w:val="0"/>
      <w:autoSpaceDN w:val="0"/>
      <w:adjustRightInd w:val="0"/>
      <w:spacing w:before="0" w:after="0" w:line="240" w:lineRule="auto"/>
    </w:pPr>
    <w:rPr>
      <w:rFonts w:ascii="Times New Roman" w:eastAsia="Times New Roman" w:hAnsi="Times New Roman"/>
      <w:sz w:val="24"/>
      <w:szCs w:val="24"/>
      <w:lang w:eastAsia="en-AU"/>
    </w:rPr>
  </w:style>
  <w:style w:type="numbering" w:customStyle="1" w:styleId="ListBullets1">
    <w:name w:val="ListBullets1"/>
    <w:uiPriority w:val="99"/>
    <w:locked/>
    <w:rsid w:val="000476AD"/>
    <w:pPr>
      <w:numPr>
        <w:numId w:val="1"/>
      </w:numPr>
    </w:pPr>
  </w:style>
  <w:style w:type="numbering" w:customStyle="1" w:styleId="Recommendations">
    <w:name w:val="Recommendations"/>
    <w:uiPriority w:val="99"/>
    <w:rsid w:val="000476AD"/>
    <w:pPr>
      <w:numPr>
        <w:numId w:val="9"/>
      </w:numPr>
    </w:pPr>
  </w:style>
  <w:style w:type="paragraph" w:customStyle="1" w:styleId="Bulletlist">
    <w:name w:val="Bullet list"/>
    <w:basedOn w:val="Standard"/>
    <w:link w:val="BulletlistChar"/>
    <w:qFormat/>
    <w:rsid w:val="00833FAF"/>
    <w:pPr>
      <w:numPr>
        <w:numId w:val="10"/>
      </w:numPr>
      <w:spacing w:after="180"/>
    </w:pPr>
    <w:rPr>
      <w:kern w:val="2"/>
    </w:rPr>
  </w:style>
  <w:style w:type="character" w:customStyle="1" w:styleId="TabletextChar">
    <w:name w:val="Table text Char"/>
    <w:basedOn w:val="StandardChar"/>
    <w:link w:val="Tabletext"/>
    <w:rsid w:val="00833FAF"/>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833FAF"/>
    <w:rPr>
      <w:rFonts w:ascii="Cambria" w:eastAsia="Times New Roman" w:hAnsi="Cambria" w:cs="Times New Roman"/>
      <w:snapToGrid w:val="0"/>
      <w:kern w:val="2"/>
      <w:sz w:val="23"/>
      <w:szCs w:val="24"/>
    </w:rPr>
  </w:style>
  <w:style w:type="paragraph" w:customStyle="1" w:styleId="Comment1">
    <w:name w:val="Comment 1"/>
    <w:basedOn w:val="Normal"/>
    <w:next w:val="Normal"/>
    <w:qFormat/>
    <w:rsid w:val="0076528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76528D"/>
    <w:pPr>
      <w:numPr>
        <w:numId w:val="11"/>
      </w:numPr>
      <w:spacing w:after="0" w:line="240" w:lineRule="auto"/>
    </w:pPr>
    <w:rPr>
      <w:rFonts w:eastAsia="Times New Roman"/>
      <w:kern w:val="24"/>
      <w:szCs w:val="24"/>
      <w:lang w:eastAsia="en-AU"/>
    </w:rPr>
  </w:style>
  <w:style w:type="paragraph" w:styleId="BodyText">
    <w:name w:val="Body Text"/>
    <w:basedOn w:val="Normal"/>
    <w:link w:val="BodyTextChar"/>
    <w:uiPriority w:val="1"/>
    <w:qFormat/>
    <w:rsid w:val="008A1AA7"/>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8A1AA7"/>
    <w:rPr>
      <w:rFonts w:ascii="Times New Roman" w:eastAsiaTheme="minorEastAsia" w:hAnsi="Times New Roman" w:cs="Times New Roman"/>
      <w:sz w:val="24"/>
      <w:szCs w:val="24"/>
      <w:lang w:eastAsia="en-AU"/>
    </w:rPr>
  </w:style>
  <w:style w:type="paragraph" w:styleId="ListNumber2">
    <w:name w:val="List Number 2"/>
    <w:basedOn w:val="Normal"/>
    <w:uiPriority w:val="99"/>
    <w:unhideWhenUsed/>
    <w:rsid w:val="00A7102E"/>
    <w:pPr>
      <w:numPr>
        <w:numId w:val="12"/>
      </w:numPr>
      <w:spacing w:before="0" w:after="200" w:line="276" w:lineRule="auto"/>
      <w:contextualSpacing/>
    </w:pPr>
    <w:rPr>
      <w:rFonts w:asciiTheme="minorHAnsi" w:eastAsiaTheme="minorHAnsi" w:hAnsiTheme="minorHAnsi" w:cstheme="minorBidi"/>
    </w:rPr>
  </w:style>
  <w:style w:type="paragraph" w:customStyle="1" w:styleId="Tabletitle0">
    <w:name w:val="Table title"/>
    <w:basedOn w:val="Normal"/>
    <w:next w:val="Normal"/>
    <w:rsid w:val="00BD2AE2"/>
    <w:pPr>
      <w:keepNext/>
      <w:spacing w:after="180"/>
      <w:outlineLvl w:val="4"/>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qFormat="1"/>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20CF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8652A"/>
    <w:pPr>
      <w:tabs>
        <w:tab w:val="right" w:pos="8505"/>
      </w:tabs>
      <w:spacing w:after="200"/>
    </w:pPr>
    <w:rPr>
      <w:rFonts w:ascii="Arial" w:hAnsi="Arial"/>
      <w:b/>
      <w:sz w:val="30"/>
    </w:rPr>
  </w:style>
  <w:style w:type="paragraph" w:styleId="TOC2">
    <w:name w:val="toc 2"/>
    <w:basedOn w:val="Normal"/>
    <w:next w:val="Normal"/>
    <w:uiPriority w:val="39"/>
    <w:rsid w:val="00F8652A"/>
    <w:pPr>
      <w:tabs>
        <w:tab w:val="right" w:leader="underscore" w:pos="8505"/>
      </w:tabs>
      <w:spacing w:after="100"/>
      <w:ind w:left="624"/>
    </w:pPr>
    <w:rPr>
      <w:rFonts w:asciiTheme="majorHAnsi" w:hAnsiTheme="majorHAnsi"/>
      <w:b/>
      <w:sz w:val="24"/>
    </w:rPr>
  </w:style>
  <w:style w:type="paragraph" w:styleId="TOC3">
    <w:name w:val="toc 3"/>
    <w:basedOn w:val="Normal"/>
    <w:next w:val="Normal"/>
    <w:uiPriority w:val="39"/>
    <w:rsid w:val="00F8652A"/>
    <w:pPr>
      <w:tabs>
        <w:tab w:val="right" w:leader="underscore" w:pos="8505"/>
      </w:tabs>
      <w:spacing w:after="100"/>
      <w:ind w:left="1021"/>
    </w:pPr>
    <w:rPr>
      <w:rFonts w:ascii="Arial" w:hAnsi="Arial"/>
    </w:r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4E571F"/>
    <w:pPr>
      <w:adjustRightInd w:val="0"/>
      <w:snapToGrid w:val="0"/>
      <w:spacing w:before="180" w:after="180"/>
      <w:ind w:left="720"/>
      <w:contextualSpacing/>
    </w:pPr>
    <w:rPr>
      <w:rFonts w:eastAsia="MS Mincho"/>
      <w:szCs w:val="20"/>
      <w:lang w:eastAsia="ja-JP"/>
    </w:rPr>
  </w:style>
  <w:style w:type="paragraph" w:customStyle="1" w:styleId="FigureCaption">
    <w:name w:val="Figure Caption"/>
    <w:basedOn w:val="Normal"/>
    <w:qFormat/>
    <w:rsid w:val="000476AD"/>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8F3099"/>
    <w:pPr>
      <w:keepNext/>
      <w:spacing w:after="120"/>
    </w:pPr>
    <w:rPr>
      <w:b/>
    </w:rPr>
  </w:style>
  <w:style w:type="table" w:customStyle="1" w:styleId="TableTGA2">
    <w:name w:val="Table TGA 2"/>
    <w:basedOn w:val="TableNormal"/>
    <w:uiPriority w:val="99"/>
    <w:rsid w:val="000476AD"/>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0476AD"/>
    <w:pPr>
      <w:adjustRightInd w:val="0"/>
      <w:snapToGrid w:val="0"/>
      <w:spacing w:before="180" w:after="180"/>
    </w:pPr>
    <w:rPr>
      <w:rFonts w:eastAsia="MS Mincho"/>
      <w:b/>
      <w:szCs w:val="20"/>
      <w:lang w:eastAsia="ja-JP"/>
    </w:rPr>
  </w:style>
  <w:style w:type="paragraph" w:customStyle="1" w:styleId="Addressee">
    <w:name w:val="Addressee"/>
    <w:basedOn w:val="Normal"/>
    <w:qFormat/>
    <w:rsid w:val="000476AD"/>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0476AD"/>
    <w:rPr>
      <w:rFonts w:ascii="Arial" w:hAnsi="Arial"/>
      <w:color w:val="002C47"/>
      <w:sz w:val="14"/>
    </w:rPr>
  </w:style>
  <w:style w:type="paragraph" w:customStyle="1" w:styleId="BodyCopy">
    <w:name w:val="Body Copy"/>
    <w:basedOn w:val="Normal"/>
    <w:qFormat/>
    <w:rsid w:val="000476AD"/>
    <w:pPr>
      <w:adjustRightInd w:val="0"/>
      <w:snapToGrid w:val="0"/>
      <w:spacing w:before="180" w:after="180"/>
    </w:pPr>
    <w:rPr>
      <w:rFonts w:eastAsia="MS Mincho"/>
      <w:szCs w:val="20"/>
      <w:lang w:eastAsia="ja-JP"/>
    </w:rPr>
  </w:style>
  <w:style w:type="paragraph" w:customStyle="1" w:styleId="Bulletpoint">
    <w:name w:val="Bullet point"/>
    <w:basedOn w:val="Normal"/>
    <w:rsid w:val="000476AD"/>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Default">
    <w:name w:val="Default"/>
    <w:rsid w:val="000476AD"/>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Standard">
    <w:name w:val="Standard"/>
    <w:basedOn w:val="Normal"/>
    <w:link w:val="StandardChar"/>
    <w:qFormat/>
    <w:rsid w:val="000476A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476AD"/>
    <w:rPr>
      <w:rFonts w:ascii="Cambria" w:eastAsia="Times New Roman" w:hAnsi="Cambria" w:cs="Times New Roman"/>
      <w:snapToGrid w:val="0"/>
      <w:kern w:val="16"/>
      <w:sz w:val="23"/>
      <w:szCs w:val="24"/>
    </w:rPr>
  </w:style>
  <w:style w:type="paragraph" w:customStyle="1" w:styleId="TableParagraph">
    <w:name w:val="Table Paragraph"/>
    <w:basedOn w:val="Normal"/>
    <w:uiPriority w:val="1"/>
    <w:qFormat/>
    <w:rsid w:val="000476AD"/>
    <w:pPr>
      <w:autoSpaceDE w:val="0"/>
      <w:autoSpaceDN w:val="0"/>
      <w:adjustRightInd w:val="0"/>
      <w:spacing w:before="0" w:after="0" w:line="240" w:lineRule="auto"/>
    </w:pPr>
    <w:rPr>
      <w:rFonts w:ascii="Times New Roman" w:eastAsia="Times New Roman" w:hAnsi="Times New Roman"/>
      <w:sz w:val="24"/>
      <w:szCs w:val="24"/>
      <w:lang w:eastAsia="en-AU"/>
    </w:rPr>
  </w:style>
  <w:style w:type="numbering" w:customStyle="1" w:styleId="ListBullets1">
    <w:name w:val="ListBullets1"/>
    <w:uiPriority w:val="99"/>
    <w:locked/>
    <w:rsid w:val="000476AD"/>
    <w:pPr>
      <w:numPr>
        <w:numId w:val="1"/>
      </w:numPr>
    </w:pPr>
  </w:style>
  <w:style w:type="numbering" w:customStyle="1" w:styleId="Recommendations">
    <w:name w:val="Recommendations"/>
    <w:uiPriority w:val="99"/>
    <w:rsid w:val="000476AD"/>
    <w:pPr>
      <w:numPr>
        <w:numId w:val="9"/>
      </w:numPr>
    </w:pPr>
  </w:style>
  <w:style w:type="paragraph" w:customStyle="1" w:styleId="Bulletlist">
    <w:name w:val="Bullet list"/>
    <w:basedOn w:val="Standard"/>
    <w:link w:val="BulletlistChar"/>
    <w:qFormat/>
    <w:rsid w:val="00833FAF"/>
    <w:pPr>
      <w:numPr>
        <w:numId w:val="10"/>
      </w:numPr>
      <w:spacing w:after="180"/>
    </w:pPr>
    <w:rPr>
      <w:kern w:val="2"/>
    </w:rPr>
  </w:style>
  <w:style w:type="character" w:customStyle="1" w:styleId="TabletextChar">
    <w:name w:val="Table text Char"/>
    <w:basedOn w:val="StandardChar"/>
    <w:link w:val="Tabletext"/>
    <w:rsid w:val="00833FAF"/>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833FAF"/>
    <w:rPr>
      <w:rFonts w:ascii="Cambria" w:eastAsia="Times New Roman" w:hAnsi="Cambria" w:cs="Times New Roman"/>
      <w:snapToGrid w:val="0"/>
      <w:kern w:val="2"/>
      <w:sz w:val="23"/>
      <w:szCs w:val="24"/>
    </w:rPr>
  </w:style>
  <w:style w:type="paragraph" w:customStyle="1" w:styleId="Comment1">
    <w:name w:val="Comment 1"/>
    <w:basedOn w:val="Normal"/>
    <w:next w:val="Normal"/>
    <w:qFormat/>
    <w:rsid w:val="0076528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76528D"/>
    <w:pPr>
      <w:numPr>
        <w:numId w:val="11"/>
      </w:numPr>
      <w:spacing w:after="0" w:line="240" w:lineRule="auto"/>
    </w:pPr>
    <w:rPr>
      <w:rFonts w:eastAsia="Times New Roman"/>
      <w:kern w:val="24"/>
      <w:szCs w:val="24"/>
      <w:lang w:eastAsia="en-AU"/>
    </w:rPr>
  </w:style>
  <w:style w:type="paragraph" w:styleId="BodyText">
    <w:name w:val="Body Text"/>
    <w:basedOn w:val="Normal"/>
    <w:link w:val="BodyTextChar"/>
    <w:uiPriority w:val="1"/>
    <w:qFormat/>
    <w:rsid w:val="008A1AA7"/>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8A1AA7"/>
    <w:rPr>
      <w:rFonts w:ascii="Times New Roman" w:eastAsiaTheme="minorEastAsia" w:hAnsi="Times New Roman" w:cs="Times New Roman"/>
      <w:sz w:val="24"/>
      <w:szCs w:val="24"/>
      <w:lang w:eastAsia="en-AU"/>
    </w:rPr>
  </w:style>
  <w:style w:type="paragraph" w:styleId="ListNumber2">
    <w:name w:val="List Number 2"/>
    <w:basedOn w:val="Normal"/>
    <w:uiPriority w:val="99"/>
    <w:unhideWhenUsed/>
    <w:rsid w:val="00A7102E"/>
    <w:pPr>
      <w:numPr>
        <w:numId w:val="12"/>
      </w:numPr>
      <w:spacing w:before="0" w:after="200" w:line="276" w:lineRule="auto"/>
      <w:contextualSpacing/>
    </w:pPr>
    <w:rPr>
      <w:rFonts w:asciiTheme="minorHAnsi" w:eastAsiaTheme="minorHAnsi" w:hAnsiTheme="minorHAnsi" w:cstheme="minorBidi"/>
    </w:rPr>
  </w:style>
  <w:style w:type="paragraph" w:customStyle="1" w:styleId="Tabletitle0">
    <w:name w:val="Table title"/>
    <w:basedOn w:val="Normal"/>
    <w:next w:val="Normal"/>
    <w:rsid w:val="00BD2AE2"/>
    <w:pPr>
      <w:keepNext/>
      <w:spacing w:after="180"/>
      <w:outlineLvl w:val="4"/>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0981">
      <w:bodyDiv w:val="1"/>
      <w:marLeft w:val="0"/>
      <w:marRight w:val="0"/>
      <w:marTop w:val="0"/>
      <w:marBottom w:val="0"/>
      <w:divBdr>
        <w:top w:val="none" w:sz="0" w:space="0" w:color="auto"/>
        <w:left w:val="none" w:sz="0" w:space="0" w:color="auto"/>
        <w:bottom w:val="none" w:sz="0" w:space="0" w:color="auto"/>
        <w:right w:val="none" w:sz="0" w:space="0" w:color="auto"/>
      </w:divBdr>
    </w:div>
    <w:div w:id="24600233">
      <w:bodyDiv w:val="1"/>
      <w:marLeft w:val="0"/>
      <w:marRight w:val="0"/>
      <w:marTop w:val="0"/>
      <w:marBottom w:val="0"/>
      <w:divBdr>
        <w:top w:val="none" w:sz="0" w:space="0" w:color="auto"/>
        <w:left w:val="none" w:sz="0" w:space="0" w:color="auto"/>
        <w:bottom w:val="none" w:sz="0" w:space="0" w:color="auto"/>
        <w:right w:val="none" w:sz="0" w:space="0" w:color="auto"/>
      </w:divBdr>
    </w:div>
    <w:div w:id="34234811">
      <w:bodyDiv w:val="1"/>
      <w:marLeft w:val="0"/>
      <w:marRight w:val="0"/>
      <w:marTop w:val="0"/>
      <w:marBottom w:val="0"/>
      <w:divBdr>
        <w:top w:val="none" w:sz="0" w:space="0" w:color="auto"/>
        <w:left w:val="none" w:sz="0" w:space="0" w:color="auto"/>
        <w:bottom w:val="none" w:sz="0" w:space="0" w:color="auto"/>
        <w:right w:val="none" w:sz="0" w:space="0" w:color="auto"/>
      </w:divBdr>
    </w:div>
    <w:div w:id="41029477">
      <w:bodyDiv w:val="1"/>
      <w:marLeft w:val="0"/>
      <w:marRight w:val="0"/>
      <w:marTop w:val="0"/>
      <w:marBottom w:val="0"/>
      <w:divBdr>
        <w:top w:val="none" w:sz="0" w:space="0" w:color="auto"/>
        <w:left w:val="none" w:sz="0" w:space="0" w:color="auto"/>
        <w:bottom w:val="none" w:sz="0" w:space="0" w:color="auto"/>
        <w:right w:val="none" w:sz="0" w:space="0" w:color="auto"/>
      </w:divBdr>
    </w:div>
    <w:div w:id="46802781">
      <w:bodyDiv w:val="1"/>
      <w:marLeft w:val="0"/>
      <w:marRight w:val="0"/>
      <w:marTop w:val="0"/>
      <w:marBottom w:val="0"/>
      <w:divBdr>
        <w:top w:val="none" w:sz="0" w:space="0" w:color="auto"/>
        <w:left w:val="none" w:sz="0" w:space="0" w:color="auto"/>
        <w:bottom w:val="none" w:sz="0" w:space="0" w:color="auto"/>
        <w:right w:val="none" w:sz="0" w:space="0" w:color="auto"/>
      </w:divBdr>
    </w:div>
    <w:div w:id="108087966">
      <w:bodyDiv w:val="1"/>
      <w:marLeft w:val="0"/>
      <w:marRight w:val="0"/>
      <w:marTop w:val="0"/>
      <w:marBottom w:val="0"/>
      <w:divBdr>
        <w:top w:val="none" w:sz="0" w:space="0" w:color="auto"/>
        <w:left w:val="none" w:sz="0" w:space="0" w:color="auto"/>
        <w:bottom w:val="none" w:sz="0" w:space="0" w:color="auto"/>
        <w:right w:val="none" w:sz="0" w:space="0" w:color="auto"/>
      </w:divBdr>
    </w:div>
    <w:div w:id="108400293">
      <w:bodyDiv w:val="1"/>
      <w:marLeft w:val="0"/>
      <w:marRight w:val="0"/>
      <w:marTop w:val="0"/>
      <w:marBottom w:val="0"/>
      <w:divBdr>
        <w:top w:val="none" w:sz="0" w:space="0" w:color="auto"/>
        <w:left w:val="none" w:sz="0" w:space="0" w:color="auto"/>
        <w:bottom w:val="none" w:sz="0" w:space="0" w:color="auto"/>
        <w:right w:val="none" w:sz="0" w:space="0" w:color="auto"/>
      </w:divBdr>
    </w:div>
    <w:div w:id="147866502">
      <w:bodyDiv w:val="1"/>
      <w:marLeft w:val="0"/>
      <w:marRight w:val="0"/>
      <w:marTop w:val="0"/>
      <w:marBottom w:val="0"/>
      <w:divBdr>
        <w:top w:val="none" w:sz="0" w:space="0" w:color="auto"/>
        <w:left w:val="none" w:sz="0" w:space="0" w:color="auto"/>
        <w:bottom w:val="none" w:sz="0" w:space="0" w:color="auto"/>
        <w:right w:val="none" w:sz="0" w:space="0" w:color="auto"/>
      </w:divBdr>
    </w:div>
    <w:div w:id="152576160">
      <w:bodyDiv w:val="1"/>
      <w:marLeft w:val="0"/>
      <w:marRight w:val="0"/>
      <w:marTop w:val="0"/>
      <w:marBottom w:val="0"/>
      <w:divBdr>
        <w:top w:val="none" w:sz="0" w:space="0" w:color="auto"/>
        <w:left w:val="none" w:sz="0" w:space="0" w:color="auto"/>
        <w:bottom w:val="none" w:sz="0" w:space="0" w:color="auto"/>
        <w:right w:val="none" w:sz="0" w:space="0" w:color="auto"/>
      </w:divBdr>
    </w:div>
    <w:div w:id="229852003">
      <w:bodyDiv w:val="1"/>
      <w:marLeft w:val="0"/>
      <w:marRight w:val="0"/>
      <w:marTop w:val="0"/>
      <w:marBottom w:val="0"/>
      <w:divBdr>
        <w:top w:val="none" w:sz="0" w:space="0" w:color="auto"/>
        <w:left w:val="none" w:sz="0" w:space="0" w:color="auto"/>
        <w:bottom w:val="none" w:sz="0" w:space="0" w:color="auto"/>
        <w:right w:val="none" w:sz="0" w:space="0" w:color="auto"/>
      </w:divBdr>
    </w:div>
    <w:div w:id="236794619">
      <w:bodyDiv w:val="1"/>
      <w:marLeft w:val="0"/>
      <w:marRight w:val="0"/>
      <w:marTop w:val="0"/>
      <w:marBottom w:val="0"/>
      <w:divBdr>
        <w:top w:val="none" w:sz="0" w:space="0" w:color="auto"/>
        <w:left w:val="none" w:sz="0" w:space="0" w:color="auto"/>
        <w:bottom w:val="none" w:sz="0" w:space="0" w:color="auto"/>
        <w:right w:val="none" w:sz="0" w:space="0" w:color="auto"/>
      </w:divBdr>
    </w:div>
    <w:div w:id="245455448">
      <w:bodyDiv w:val="1"/>
      <w:marLeft w:val="0"/>
      <w:marRight w:val="0"/>
      <w:marTop w:val="0"/>
      <w:marBottom w:val="0"/>
      <w:divBdr>
        <w:top w:val="none" w:sz="0" w:space="0" w:color="auto"/>
        <w:left w:val="none" w:sz="0" w:space="0" w:color="auto"/>
        <w:bottom w:val="none" w:sz="0" w:space="0" w:color="auto"/>
        <w:right w:val="none" w:sz="0" w:space="0" w:color="auto"/>
      </w:divBdr>
    </w:div>
    <w:div w:id="281304815">
      <w:bodyDiv w:val="1"/>
      <w:marLeft w:val="0"/>
      <w:marRight w:val="0"/>
      <w:marTop w:val="0"/>
      <w:marBottom w:val="0"/>
      <w:divBdr>
        <w:top w:val="none" w:sz="0" w:space="0" w:color="auto"/>
        <w:left w:val="none" w:sz="0" w:space="0" w:color="auto"/>
        <w:bottom w:val="none" w:sz="0" w:space="0" w:color="auto"/>
        <w:right w:val="none" w:sz="0" w:space="0" w:color="auto"/>
      </w:divBdr>
    </w:div>
    <w:div w:id="297809508">
      <w:bodyDiv w:val="1"/>
      <w:marLeft w:val="0"/>
      <w:marRight w:val="0"/>
      <w:marTop w:val="0"/>
      <w:marBottom w:val="0"/>
      <w:divBdr>
        <w:top w:val="none" w:sz="0" w:space="0" w:color="auto"/>
        <w:left w:val="none" w:sz="0" w:space="0" w:color="auto"/>
        <w:bottom w:val="none" w:sz="0" w:space="0" w:color="auto"/>
        <w:right w:val="none" w:sz="0" w:space="0" w:color="auto"/>
      </w:divBdr>
    </w:div>
    <w:div w:id="347415888">
      <w:bodyDiv w:val="1"/>
      <w:marLeft w:val="0"/>
      <w:marRight w:val="0"/>
      <w:marTop w:val="0"/>
      <w:marBottom w:val="0"/>
      <w:divBdr>
        <w:top w:val="none" w:sz="0" w:space="0" w:color="auto"/>
        <w:left w:val="none" w:sz="0" w:space="0" w:color="auto"/>
        <w:bottom w:val="none" w:sz="0" w:space="0" w:color="auto"/>
        <w:right w:val="none" w:sz="0" w:space="0" w:color="auto"/>
      </w:divBdr>
    </w:div>
    <w:div w:id="379060327">
      <w:bodyDiv w:val="1"/>
      <w:marLeft w:val="0"/>
      <w:marRight w:val="0"/>
      <w:marTop w:val="0"/>
      <w:marBottom w:val="0"/>
      <w:divBdr>
        <w:top w:val="none" w:sz="0" w:space="0" w:color="auto"/>
        <w:left w:val="none" w:sz="0" w:space="0" w:color="auto"/>
        <w:bottom w:val="none" w:sz="0" w:space="0" w:color="auto"/>
        <w:right w:val="none" w:sz="0" w:space="0" w:color="auto"/>
      </w:divBdr>
    </w:div>
    <w:div w:id="416368424">
      <w:bodyDiv w:val="1"/>
      <w:marLeft w:val="0"/>
      <w:marRight w:val="0"/>
      <w:marTop w:val="0"/>
      <w:marBottom w:val="0"/>
      <w:divBdr>
        <w:top w:val="none" w:sz="0" w:space="0" w:color="auto"/>
        <w:left w:val="none" w:sz="0" w:space="0" w:color="auto"/>
        <w:bottom w:val="none" w:sz="0" w:space="0" w:color="auto"/>
        <w:right w:val="none" w:sz="0" w:space="0" w:color="auto"/>
      </w:divBdr>
    </w:div>
    <w:div w:id="448549433">
      <w:bodyDiv w:val="1"/>
      <w:marLeft w:val="0"/>
      <w:marRight w:val="0"/>
      <w:marTop w:val="0"/>
      <w:marBottom w:val="0"/>
      <w:divBdr>
        <w:top w:val="none" w:sz="0" w:space="0" w:color="auto"/>
        <w:left w:val="none" w:sz="0" w:space="0" w:color="auto"/>
        <w:bottom w:val="none" w:sz="0" w:space="0" w:color="auto"/>
        <w:right w:val="none" w:sz="0" w:space="0" w:color="auto"/>
      </w:divBdr>
    </w:div>
    <w:div w:id="469636474">
      <w:bodyDiv w:val="1"/>
      <w:marLeft w:val="0"/>
      <w:marRight w:val="0"/>
      <w:marTop w:val="0"/>
      <w:marBottom w:val="0"/>
      <w:divBdr>
        <w:top w:val="none" w:sz="0" w:space="0" w:color="auto"/>
        <w:left w:val="none" w:sz="0" w:space="0" w:color="auto"/>
        <w:bottom w:val="none" w:sz="0" w:space="0" w:color="auto"/>
        <w:right w:val="none" w:sz="0" w:space="0" w:color="auto"/>
      </w:divBdr>
    </w:div>
    <w:div w:id="473792287">
      <w:bodyDiv w:val="1"/>
      <w:marLeft w:val="0"/>
      <w:marRight w:val="0"/>
      <w:marTop w:val="0"/>
      <w:marBottom w:val="0"/>
      <w:divBdr>
        <w:top w:val="none" w:sz="0" w:space="0" w:color="auto"/>
        <w:left w:val="none" w:sz="0" w:space="0" w:color="auto"/>
        <w:bottom w:val="none" w:sz="0" w:space="0" w:color="auto"/>
        <w:right w:val="none" w:sz="0" w:space="0" w:color="auto"/>
      </w:divBdr>
    </w:div>
    <w:div w:id="478688100">
      <w:bodyDiv w:val="1"/>
      <w:marLeft w:val="0"/>
      <w:marRight w:val="0"/>
      <w:marTop w:val="0"/>
      <w:marBottom w:val="0"/>
      <w:divBdr>
        <w:top w:val="none" w:sz="0" w:space="0" w:color="auto"/>
        <w:left w:val="none" w:sz="0" w:space="0" w:color="auto"/>
        <w:bottom w:val="none" w:sz="0" w:space="0" w:color="auto"/>
        <w:right w:val="none" w:sz="0" w:space="0" w:color="auto"/>
      </w:divBdr>
    </w:div>
    <w:div w:id="502472180">
      <w:bodyDiv w:val="1"/>
      <w:marLeft w:val="0"/>
      <w:marRight w:val="0"/>
      <w:marTop w:val="0"/>
      <w:marBottom w:val="0"/>
      <w:divBdr>
        <w:top w:val="none" w:sz="0" w:space="0" w:color="auto"/>
        <w:left w:val="none" w:sz="0" w:space="0" w:color="auto"/>
        <w:bottom w:val="none" w:sz="0" w:space="0" w:color="auto"/>
        <w:right w:val="none" w:sz="0" w:space="0" w:color="auto"/>
      </w:divBdr>
    </w:div>
    <w:div w:id="549002957">
      <w:bodyDiv w:val="1"/>
      <w:marLeft w:val="0"/>
      <w:marRight w:val="0"/>
      <w:marTop w:val="0"/>
      <w:marBottom w:val="0"/>
      <w:divBdr>
        <w:top w:val="none" w:sz="0" w:space="0" w:color="auto"/>
        <w:left w:val="none" w:sz="0" w:space="0" w:color="auto"/>
        <w:bottom w:val="none" w:sz="0" w:space="0" w:color="auto"/>
        <w:right w:val="none" w:sz="0" w:space="0" w:color="auto"/>
      </w:divBdr>
    </w:div>
    <w:div w:id="572619345">
      <w:bodyDiv w:val="1"/>
      <w:marLeft w:val="0"/>
      <w:marRight w:val="0"/>
      <w:marTop w:val="0"/>
      <w:marBottom w:val="0"/>
      <w:divBdr>
        <w:top w:val="none" w:sz="0" w:space="0" w:color="auto"/>
        <w:left w:val="none" w:sz="0" w:space="0" w:color="auto"/>
        <w:bottom w:val="none" w:sz="0" w:space="0" w:color="auto"/>
        <w:right w:val="none" w:sz="0" w:space="0" w:color="auto"/>
      </w:divBdr>
    </w:div>
    <w:div w:id="627203323">
      <w:bodyDiv w:val="1"/>
      <w:marLeft w:val="0"/>
      <w:marRight w:val="0"/>
      <w:marTop w:val="0"/>
      <w:marBottom w:val="0"/>
      <w:divBdr>
        <w:top w:val="none" w:sz="0" w:space="0" w:color="auto"/>
        <w:left w:val="none" w:sz="0" w:space="0" w:color="auto"/>
        <w:bottom w:val="none" w:sz="0" w:space="0" w:color="auto"/>
        <w:right w:val="none" w:sz="0" w:space="0" w:color="auto"/>
      </w:divBdr>
    </w:div>
    <w:div w:id="628165605">
      <w:bodyDiv w:val="1"/>
      <w:marLeft w:val="0"/>
      <w:marRight w:val="0"/>
      <w:marTop w:val="0"/>
      <w:marBottom w:val="0"/>
      <w:divBdr>
        <w:top w:val="none" w:sz="0" w:space="0" w:color="auto"/>
        <w:left w:val="none" w:sz="0" w:space="0" w:color="auto"/>
        <w:bottom w:val="none" w:sz="0" w:space="0" w:color="auto"/>
        <w:right w:val="none" w:sz="0" w:space="0" w:color="auto"/>
      </w:divBdr>
    </w:div>
    <w:div w:id="681930629">
      <w:bodyDiv w:val="1"/>
      <w:marLeft w:val="0"/>
      <w:marRight w:val="0"/>
      <w:marTop w:val="0"/>
      <w:marBottom w:val="0"/>
      <w:divBdr>
        <w:top w:val="none" w:sz="0" w:space="0" w:color="auto"/>
        <w:left w:val="none" w:sz="0" w:space="0" w:color="auto"/>
        <w:bottom w:val="none" w:sz="0" w:space="0" w:color="auto"/>
        <w:right w:val="none" w:sz="0" w:space="0" w:color="auto"/>
      </w:divBdr>
    </w:div>
    <w:div w:id="713503037">
      <w:bodyDiv w:val="1"/>
      <w:marLeft w:val="0"/>
      <w:marRight w:val="0"/>
      <w:marTop w:val="0"/>
      <w:marBottom w:val="0"/>
      <w:divBdr>
        <w:top w:val="none" w:sz="0" w:space="0" w:color="auto"/>
        <w:left w:val="none" w:sz="0" w:space="0" w:color="auto"/>
        <w:bottom w:val="none" w:sz="0" w:space="0" w:color="auto"/>
        <w:right w:val="none" w:sz="0" w:space="0" w:color="auto"/>
      </w:divBdr>
    </w:div>
    <w:div w:id="719935108">
      <w:bodyDiv w:val="1"/>
      <w:marLeft w:val="0"/>
      <w:marRight w:val="0"/>
      <w:marTop w:val="0"/>
      <w:marBottom w:val="0"/>
      <w:divBdr>
        <w:top w:val="none" w:sz="0" w:space="0" w:color="auto"/>
        <w:left w:val="none" w:sz="0" w:space="0" w:color="auto"/>
        <w:bottom w:val="none" w:sz="0" w:space="0" w:color="auto"/>
        <w:right w:val="none" w:sz="0" w:space="0" w:color="auto"/>
      </w:divBdr>
    </w:div>
    <w:div w:id="733892384">
      <w:bodyDiv w:val="1"/>
      <w:marLeft w:val="0"/>
      <w:marRight w:val="0"/>
      <w:marTop w:val="0"/>
      <w:marBottom w:val="0"/>
      <w:divBdr>
        <w:top w:val="none" w:sz="0" w:space="0" w:color="auto"/>
        <w:left w:val="none" w:sz="0" w:space="0" w:color="auto"/>
        <w:bottom w:val="none" w:sz="0" w:space="0" w:color="auto"/>
        <w:right w:val="none" w:sz="0" w:space="0" w:color="auto"/>
      </w:divBdr>
    </w:div>
    <w:div w:id="754593860">
      <w:bodyDiv w:val="1"/>
      <w:marLeft w:val="0"/>
      <w:marRight w:val="0"/>
      <w:marTop w:val="0"/>
      <w:marBottom w:val="0"/>
      <w:divBdr>
        <w:top w:val="none" w:sz="0" w:space="0" w:color="auto"/>
        <w:left w:val="none" w:sz="0" w:space="0" w:color="auto"/>
        <w:bottom w:val="none" w:sz="0" w:space="0" w:color="auto"/>
        <w:right w:val="none" w:sz="0" w:space="0" w:color="auto"/>
      </w:divBdr>
    </w:div>
    <w:div w:id="771974971">
      <w:bodyDiv w:val="1"/>
      <w:marLeft w:val="0"/>
      <w:marRight w:val="0"/>
      <w:marTop w:val="0"/>
      <w:marBottom w:val="0"/>
      <w:divBdr>
        <w:top w:val="none" w:sz="0" w:space="0" w:color="auto"/>
        <w:left w:val="none" w:sz="0" w:space="0" w:color="auto"/>
        <w:bottom w:val="none" w:sz="0" w:space="0" w:color="auto"/>
        <w:right w:val="none" w:sz="0" w:space="0" w:color="auto"/>
      </w:divBdr>
    </w:div>
    <w:div w:id="785009330">
      <w:bodyDiv w:val="1"/>
      <w:marLeft w:val="0"/>
      <w:marRight w:val="0"/>
      <w:marTop w:val="0"/>
      <w:marBottom w:val="0"/>
      <w:divBdr>
        <w:top w:val="none" w:sz="0" w:space="0" w:color="auto"/>
        <w:left w:val="none" w:sz="0" w:space="0" w:color="auto"/>
        <w:bottom w:val="none" w:sz="0" w:space="0" w:color="auto"/>
        <w:right w:val="none" w:sz="0" w:space="0" w:color="auto"/>
      </w:divBdr>
    </w:div>
    <w:div w:id="908417858">
      <w:bodyDiv w:val="1"/>
      <w:marLeft w:val="0"/>
      <w:marRight w:val="0"/>
      <w:marTop w:val="0"/>
      <w:marBottom w:val="0"/>
      <w:divBdr>
        <w:top w:val="none" w:sz="0" w:space="0" w:color="auto"/>
        <w:left w:val="none" w:sz="0" w:space="0" w:color="auto"/>
        <w:bottom w:val="none" w:sz="0" w:space="0" w:color="auto"/>
        <w:right w:val="none" w:sz="0" w:space="0" w:color="auto"/>
      </w:divBdr>
    </w:div>
    <w:div w:id="957101002">
      <w:bodyDiv w:val="1"/>
      <w:marLeft w:val="0"/>
      <w:marRight w:val="0"/>
      <w:marTop w:val="0"/>
      <w:marBottom w:val="0"/>
      <w:divBdr>
        <w:top w:val="none" w:sz="0" w:space="0" w:color="auto"/>
        <w:left w:val="none" w:sz="0" w:space="0" w:color="auto"/>
        <w:bottom w:val="none" w:sz="0" w:space="0" w:color="auto"/>
        <w:right w:val="none" w:sz="0" w:space="0" w:color="auto"/>
      </w:divBdr>
    </w:div>
    <w:div w:id="982810368">
      <w:bodyDiv w:val="1"/>
      <w:marLeft w:val="0"/>
      <w:marRight w:val="0"/>
      <w:marTop w:val="0"/>
      <w:marBottom w:val="0"/>
      <w:divBdr>
        <w:top w:val="none" w:sz="0" w:space="0" w:color="auto"/>
        <w:left w:val="none" w:sz="0" w:space="0" w:color="auto"/>
        <w:bottom w:val="none" w:sz="0" w:space="0" w:color="auto"/>
        <w:right w:val="none" w:sz="0" w:space="0" w:color="auto"/>
      </w:divBdr>
    </w:div>
    <w:div w:id="1095975976">
      <w:bodyDiv w:val="1"/>
      <w:marLeft w:val="0"/>
      <w:marRight w:val="0"/>
      <w:marTop w:val="0"/>
      <w:marBottom w:val="0"/>
      <w:divBdr>
        <w:top w:val="none" w:sz="0" w:space="0" w:color="auto"/>
        <w:left w:val="none" w:sz="0" w:space="0" w:color="auto"/>
        <w:bottom w:val="none" w:sz="0" w:space="0" w:color="auto"/>
        <w:right w:val="none" w:sz="0" w:space="0" w:color="auto"/>
      </w:divBdr>
    </w:div>
    <w:div w:id="1125461362">
      <w:bodyDiv w:val="1"/>
      <w:marLeft w:val="0"/>
      <w:marRight w:val="0"/>
      <w:marTop w:val="0"/>
      <w:marBottom w:val="0"/>
      <w:divBdr>
        <w:top w:val="none" w:sz="0" w:space="0" w:color="auto"/>
        <w:left w:val="none" w:sz="0" w:space="0" w:color="auto"/>
        <w:bottom w:val="none" w:sz="0" w:space="0" w:color="auto"/>
        <w:right w:val="none" w:sz="0" w:space="0" w:color="auto"/>
      </w:divBdr>
    </w:div>
    <w:div w:id="1130322892">
      <w:bodyDiv w:val="1"/>
      <w:marLeft w:val="0"/>
      <w:marRight w:val="0"/>
      <w:marTop w:val="0"/>
      <w:marBottom w:val="0"/>
      <w:divBdr>
        <w:top w:val="none" w:sz="0" w:space="0" w:color="auto"/>
        <w:left w:val="none" w:sz="0" w:space="0" w:color="auto"/>
        <w:bottom w:val="none" w:sz="0" w:space="0" w:color="auto"/>
        <w:right w:val="none" w:sz="0" w:space="0" w:color="auto"/>
      </w:divBdr>
    </w:div>
    <w:div w:id="1141073720">
      <w:bodyDiv w:val="1"/>
      <w:marLeft w:val="0"/>
      <w:marRight w:val="0"/>
      <w:marTop w:val="0"/>
      <w:marBottom w:val="0"/>
      <w:divBdr>
        <w:top w:val="none" w:sz="0" w:space="0" w:color="auto"/>
        <w:left w:val="none" w:sz="0" w:space="0" w:color="auto"/>
        <w:bottom w:val="none" w:sz="0" w:space="0" w:color="auto"/>
        <w:right w:val="none" w:sz="0" w:space="0" w:color="auto"/>
      </w:divBdr>
    </w:div>
    <w:div w:id="1167287753">
      <w:bodyDiv w:val="1"/>
      <w:marLeft w:val="0"/>
      <w:marRight w:val="0"/>
      <w:marTop w:val="0"/>
      <w:marBottom w:val="0"/>
      <w:divBdr>
        <w:top w:val="none" w:sz="0" w:space="0" w:color="auto"/>
        <w:left w:val="none" w:sz="0" w:space="0" w:color="auto"/>
        <w:bottom w:val="none" w:sz="0" w:space="0" w:color="auto"/>
        <w:right w:val="none" w:sz="0" w:space="0" w:color="auto"/>
      </w:divBdr>
    </w:div>
    <w:div w:id="1209685654">
      <w:bodyDiv w:val="1"/>
      <w:marLeft w:val="0"/>
      <w:marRight w:val="0"/>
      <w:marTop w:val="0"/>
      <w:marBottom w:val="0"/>
      <w:divBdr>
        <w:top w:val="none" w:sz="0" w:space="0" w:color="auto"/>
        <w:left w:val="none" w:sz="0" w:space="0" w:color="auto"/>
        <w:bottom w:val="none" w:sz="0" w:space="0" w:color="auto"/>
        <w:right w:val="none" w:sz="0" w:space="0" w:color="auto"/>
      </w:divBdr>
    </w:div>
    <w:div w:id="1263802526">
      <w:bodyDiv w:val="1"/>
      <w:marLeft w:val="0"/>
      <w:marRight w:val="0"/>
      <w:marTop w:val="0"/>
      <w:marBottom w:val="0"/>
      <w:divBdr>
        <w:top w:val="none" w:sz="0" w:space="0" w:color="auto"/>
        <w:left w:val="none" w:sz="0" w:space="0" w:color="auto"/>
        <w:bottom w:val="none" w:sz="0" w:space="0" w:color="auto"/>
        <w:right w:val="none" w:sz="0" w:space="0" w:color="auto"/>
      </w:divBdr>
    </w:div>
    <w:div w:id="1293174960">
      <w:bodyDiv w:val="1"/>
      <w:marLeft w:val="0"/>
      <w:marRight w:val="0"/>
      <w:marTop w:val="0"/>
      <w:marBottom w:val="0"/>
      <w:divBdr>
        <w:top w:val="none" w:sz="0" w:space="0" w:color="auto"/>
        <w:left w:val="none" w:sz="0" w:space="0" w:color="auto"/>
        <w:bottom w:val="none" w:sz="0" w:space="0" w:color="auto"/>
        <w:right w:val="none" w:sz="0" w:space="0" w:color="auto"/>
      </w:divBdr>
    </w:div>
    <w:div w:id="1342702274">
      <w:bodyDiv w:val="1"/>
      <w:marLeft w:val="0"/>
      <w:marRight w:val="0"/>
      <w:marTop w:val="0"/>
      <w:marBottom w:val="0"/>
      <w:divBdr>
        <w:top w:val="none" w:sz="0" w:space="0" w:color="auto"/>
        <w:left w:val="none" w:sz="0" w:space="0" w:color="auto"/>
        <w:bottom w:val="none" w:sz="0" w:space="0" w:color="auto"/>
        <w:right w:val="none" w:sz="0" w:space="0" w:color="auto"/>
      </w:divBdr>
    </w:div>
    <w:div w:id="1401950030">
      <w:bodyDiv w:val="1"/>
      <w:marLeft w:val="0"/>
      <w:marRight w:val="0"/>
      <w:marTop w:val="0"/>
      <w:marBottom w:val="0"/>
      <w:divBdr>
        <w:top w:val="none" w:sz="0" w:space="0" w:color="auto"/>
        <w:left w:val="none" w:sz="0" w:space="0" w:color="auto"/>
        <w:bottom w:val="none" w:sz="0" w:space="0" w:color="auto"/>
        <w:right w:val="none" w:sz="0" w:space="0" w:color="auto"/>
      </w:divBdr>
    </w:div>
    <w:div w:id="1491872531">
      <w:bodyDiv w:val="1"/>
      <w:marLeft w:val="0"/>
      <w:marRight w:val="0"/>
      <w:marTop w:val="0"/>
      <w:marBottom w:val="0"/>
      <w:divBdr>
        <w:top w:val="none" w:sz="0" w:space="0" w:color="auto"/>
        <w:left w:val="none" w:sz="0" w:space="0" w:color="auto"/>
        <w:bottom w:val="none" w:sz="0" w:space="0" w:color="auto"/>
        <w:right w:val="none" w:sz="0" w:space="0" w:color="auto"/>
      </w:divBdr>
    </w:div>
    <w:div w:id="1501505906">
      <w:bodyDiv w:val="1"/>
      <w:marLeft w:val="0"/>
      <w:marRight w:val="0"/>
      <w:marTop w:val="0"/>
      <w:marBottom w:val="0"/>
      <w:divBdr>
        <w:top w:val="none" w:sz="0" w:space="0" w:color="auto"/>
        <w:left w:val="none" w:sz="0" w:space="0" w:color="auto"/>
        <w:bottom w:val="none" w:sz="0" w:space="0" w:color="auto"/>
        <w:right w:val="none" w:sz="0" w:space="0" w:color="auto"/>
      </w:divBdr>
    </w:div>
    <w:div w:id="1543055914">
      <w:bodyDiv w:val="1"/>
      <w:marLeft w:val="0"/>
      <w:marRight w:val="0"/>
      <w:marTop w:val="0"/>
      <w:marBottom w:val="0"/>
      <w:divBdr>
        <w:top w:val="none" w:sz="0" w:space="0" w:color="auto"/>
        <w:left w:val="none" w:sz="0" w:space="0" w:color="auto"/>
        <w:bottom w:val="none" w:sz="0" w:space="0" w:color="auto"/>
        <w:right w:val="none" w:sz="0" w:space="0" w:color="auto"/>
      </w:divBdr>
    </w:div>
    <w:div w:id="1548644808">
      <w:bodyDiv w:val="1"/>
      <w:marLeft w:val="0"/>
      <w:marRight w:val="0"/>
      <w:marTop w:val="0"/>
      <w:marBottom w:val="0"/>
      <w:divBdr>
        <w:top w:val="none" w:sz="0" w:space="0" w:color="auto"/>
        <w:left w:val="none" w:sz="0" w:space="0" w:color="auto"/>
        <w:bottom w:val="none" w:sz="0" w:space="0" w:color="auto"/>
        <w:right w:val="none" w:sz="0" w:space="0" w:color="auto"/>
      </w:divBdr>
    </w:div>
    <w:div w:id="1551528103">
      <w:bodyDiv w:val="1"/>
      <w:marLeft w:val="0"/>
      <w:marRight w:val="0"/>
      <w:marTop w:val="0"/>
      <w:marBottom w:val="0"/>
      <w:divBdr>
        <w:top w:val="none" w:sz="0" w:space="0" w:color="auto"/>
        <w:left w:val="none" w:sz="0" w:space="0" w:color="auto"/>
        <w:bottom w:val="none" w:sz="0" w:space="0" w:color="auto"/>
        <w:right w:val="none" w:sz="0" w:space="0" w:color="auto"/>
      </w:divBdr>
    </w:div>
    <w:div w:id="1638606019">
      <w:bodyDiv w:val="1"/>
      <w:marLeft w:val="0"/>
      <w:marRight w:val="0"/>
      <w:marTop w:val="0"/>
      <w:marBottom w:val="0"/>
      <w:divBdr>
        <w:top w:val="none" w:sz="0" w:space="0" w:color="auto"/>
        <w:left w:val="none" w:sz="0" w:space="0" w:color="auto"/>
        <w:bottom w:val="none" w:sz="0" w:space="0" w:color="auto"/>
        <w:right w:val="none" w:sz="0" w:space="0" w:color="auto"/>
      </w:divBdr>
    </w:div>
    <w:div w:id="1638753350">
      <w:bodyDiv w:val="1"/>
      <w:marLeft w:val="0"/>
      <w:marRight w:val="0"/>
      <w:marTop w:val="0"/>
      <w:marBottom w:val="0"/>
      <w:divBdr>
        <w:top w:val="none" w:sz="0" w:space="0" w:color="auto"/>
        <w:left w:val="none" w:sz="0" w:space="0" w:color="auto"/>
        <w:bottom w:val="none" w:sz="0" w:space="0" w:color="auto"/>
        <w:right w:val="none" w:sz="0" w:space="0" w:color="auto"/>
      </w:divBdr>
    </w:div>
    <w:div w:id="1648438222">
      <w:bodyDiv w:val="1"/>
      <w:marLeft w:val="0"/>
      <w:marRight w:val="0"/>
      <w:marTop w:val="0"/>
      <w:marBottom w:val="0"/>
      <w:divBdr>
        <w:top w:val="none" w:sz="0" w:space="0" w:color="auto"/>
        <w:left w:val="none" w:sz="0" w:space="0" w:color="auto"/>
        <w:bottom w:val="none" w:sz="0" w:space="0" w:color="auto"/>
        <w:right w:val="none" w:sz="0" w:space="0" w:color="auto"/>
      </w:divBdr>
    </w:div>
    <w:div w:id="1650818279">
      <w:bodyDiv w:val="1"/>
      <w:marLeft w:val="0"/>
      <w:marRight w:val="0"/>
      <w:marTop w:val="0"/>
      <w:marBottom w:val="0"/>
      <w:divBdr>
        <w:top w:val="none" w:sz="0" w:space="0" w:color="auto"/>
        <w:left w:val="none" w:sz="0" w:space="0" w:color="auto"/>
        <w:bottom w:val="none" w:sz="0" w:space="0" w:color="auto"/>
        <w:right w:val="none" w:sz="0" w:space="0" w:color="auto"/>
      </w:divBdr>
    </w:div>
    <w:div w:id="1655598311">
      <w:bodyDiv w:val="1"/>
      <w:marLeft w:val="0"/>
      <w:marRight w:val="0"/>
      <w:marTop w:val="0"/>
      <w:marBottom w:val="0"/>
      <w:divBdr>
        <w:top w:val="none" w:sz="0" w:space="0" w:color="auto"/>
        <w:left w:val="none" w:sz="0" w:space="0" w:color="auto"/>
        <w:bottom w:val="none" w:sz="0" w:space="0" w:color="auto"/>
        <w:right w:val="none" w:sz="0" w:space="0" w:color="auto"/>
      </w:divBdr>
    </w:div>
    <w:div w:id="1669016150">
      <w:bodyDiv w:val="1"/>
      <w:marLeft w:val="0"/>
      <w:marRight w:val="0"/>
      <w:marTop w:val="0"/>
      <w:marBottom w:val="0"/>
      <w:divBdr>
        <w:top w:val="none" w:sz="0" w:space="0" w:color="auto"/>
        <w:left w:val="none" w:sz="0" w:space="0" w:color="auto"/>
        <w:bottom w:val="none" w:sz="0" w:space="0" w:color="auto"/>
        <w:right w:val="none" w:sz="0" w:space="0" w:color="auto"/>
      </w:divBdr>
    </w:div>
    <w:div w:id="1686714879">
      <w:bodyDiv w:val="1"/>
      <w:marLeft w:val="0"/>
      <w:marRight w:val="0"/>
      <w:marTop w:val="0"/>
      <w:marBottom w:val="0"/>
      <w:divBdr>
        <w:top w:val="none" w:sz="0" w:space="0" w:color="auto"/>
        <w:left w:val="none" w:sz="0" w:space="0" w:color="auto"/>
        <w:bottom w:val="none" w:sz="0" w:space="0" w:color="auto"/>
        <w:right w:val="none" w:sz="0" w:space="0" w:color="auto"/>
      </w:divBdr>
    </w:div>
    <w:div w:id="1766420690">
      <w:bodyDiv w:val="1"/>
      <w:marLeft w:val="0"/>
      <w:marRight w:val="0"/>
      <w:marTop w:val="0"/>
      <w:marBottom w:val="0"/>
      <w:divBdr>
        <w:top w:val="none" w:sz="0" w:space="0" w:color="auto"/>
        <w:left w:val="none" w:sz="0" w:space="0" w:color="auto"/>
        <w:bottom w:val="none" w:sz="0" w:space="0" w:color="auto"/>
        <w:right w:val="none" w:sz="0" w:space="0" w:color="auto"/>
      </w:divBdr>
    </w:div>
    <w:div w:id="1792624036">
      <w:bodyDiv w:val="1"/>
      <w:marLeft w:val="0"/>
      <w:marRight w:val="0"/>
      <w:marTop w:val="0"/>
      <w:marBottom w:val="0"/>
      <w:divBdr>
        <w:top w:val="none" w:sz="0" w:space="0" w:color="auto"/>
        <w:left w:val="none" w:sz="0" w:space="0" w:color="auto"/>
        <w:bottom w:val="none" w:sz="0" w:space="0" w:color="auto"/>
        <w:right w:val="none" w:sz="0" w:space="0" w:color="auto"/>
      </w:divBdr>
    </w:div>
    <w:div w:id="1819958752">
      <w:bodyDiv w:val="1"/>
      <w:marLeft w:val="0"/>
      <w:marRight w:val="0"/>
      <w:marTop w:val="0"/>
      <w:marBottom w:val="0"/>
      <w:divBdr>
        <w:top w:val="none" w:sz="0" w:space="0" w:color="auto"/>
        <w:left w:val="none" w:sz="0" w:space="0" w:color="auto"/>
        <w:bottom w:val="none" w:sz="0" w:space="0" w:color="auto"/>
        <w:right w:val="none" w:sz="0" w:space="0" w:color="auto"/>
      </w:divBdr>
    </w:div>
    <w:div w:id="1847280460">
      <w:bodyDiv w:val="1"/>
      <w:marLeft w:val="0"/>
      <w:marRight w:val="0"/>
      <w:marTop w:val="0"/>
      <w:marBottom w:val="0"/>
      <w:divBdr>
        <w:top w:val="none" w:sz="0" w:space="0" w:color="auto"/>
        <w:left w:val="none" w:sz="0" w:space="0" w:color="auto"/>
        <w:bottom w:val="none" w:sz="0" w:space="0" w:color="auto"/>
        <w:right w:val="none" w:sz="0" w:space="0" w:color="auto"/>
      </w:divBdr>
    </w:div>
    <w:div w:id="1851598649">
      <w:bodyDiv w:val="1"/>
      <w:marLeft w:val="0"/>
      <w:marRight w:val="0"/>
      <w:marTop w:val="0"/>
      <w:marBottom w:val="0"/>
      <w:divBdr>
        <w:top w:val="none" w:sz="0" w:space="0" w:color="auto"/>
        <w:left w:val="none" w:sz="0" w:space="0" w:color="auto"/>
        <w:bottom w:val="none" w:sz="0" w:space="0" w:color="auto"/>
        <w:right w:val="none" w:sz="0" w:space="0" w:color="auto"/>
      </w:divBdr>
    </w:div>
    <w:div w:id="1920626714">
      <w:bodyDiv w:val="1"/>
      <w:marLeft w:val="0"/>
      <w:marRight w:val="0"/>
      <w:marTop w:val="0"/>
      <w:marBottom w:val="0"/>
      <w:divBdr>
        <w:top w:val="none" w:sz="0" w:space="0" w:color="auto"/>
        <w:left w:val="none" w:sz="0" w:space="0" w:color="auto"/>
        <w:bottom w:val="none" w:sz="0" w:space="0" w:color="auto"/>
        <w:right w:val="none" w:sz="0" w:space="0" w:color="auto"/>
      </w:divBdr>
    </w:div>
    <w:div w:id="1924871486">
      <w:bodyDiv w:val="1"/>
      <w:marLeft w:val="0"/>
      <w:marRight w:val="0"/>
      <w:marTop w:val="0"/>
      <w:marBottom w:val="0"/>
      <w:divBdr>
        <w:top w:val="none" w:sz="0" w:space="0" w:color="auto"/>
        <w:left w:val="none" w:sz="0" w:space="0" w:color="auto"/>
        <w:bottom w:val="none" w:sz="0" w:space="0" w:color="auto"/>
        <w:right w:val="none" w:sz="0" w:space="0" w:color="auto"/>
      </w:divBdr>
    </w:div>
    <w:div w:id="2022580271">
      <w:bodyDiv w:val="1"/>
      <w:marLeft w:val="0"/>
      <w:marRight w:val="0"/>
      <w:marTop w:val="0"/>
      <w:marBottom w:val="0"/>
      <w:divBdr>
        <w:top w:val="none" w:sz="0" w:space="0" w:color="auto"/>
        <w:left w:val="none" w:sz="0" w:space="0" w:color="auto"/>
        <w:bottom w:val="none" w:sz="0" w:space="0" w:color="auto"/>
        <w:right w:val="none" w:sz="0" w:space="0" w:color="auto"/>
      </w:divBdr>
    </w:div>
    <w:div w:id="2069841145">
      <w:bodyDiv w:val="1"/>
      <w:marLeft w:val="0"/>
      <w:marRight w:val="0"/>
      <w:marTop w:val="0"/>
      <w:marBottom w:val="0"/>
      <w:divBdr>
        <w:top w:val="none" w:sz="0" w:space="0" w:color="auto"/>
        <w:left w:val="none" w:sz="0" w:space="0" w:color="auto"/>
        <w:bottom w:val="none" w:sz="0" w:space="0" w:color="auto"/>
        <w:right w:val="none" w:sz="0" w:space="0" w:color="auto"/>
      </w:divBdr>
    </w:div>
    <w:div w:id="2108379426">
      <w:bodyDiv w:val="1"/>
      <w:marLeft w:val="0"/>
      <w:marRight w:val="0"/>
      <w:marTop w:val="0"/>
      <w:marBottom w:val="0"/>
      <w:divBdr>
        <w:top w:val="none" w:sz="0" w:space="0" w:color="auto"/>
        <w:left w:val="none" w:sz="0" w:space="0" w:color="auto"/>
        <w:bottom w:val="none" w:sz="0" w:space="0" w:color="auto"/>
        <w:right w:val="none" w:sz="0" w:space="0" w:color="auto"/>
      </w:divBdr>
    </w:div>
    <w:div w:id="2137679592">
      <w:bodyDiv w:val="1"/>
      <w:marLeft w:val="0"/>
      <w:marRight w:val="0"/>
      <w:marTop w:val="0"/>
      <w:marBottom w:val="0"/>
      <w:divBdr>
        <w:top w:val="none" w:sz="0" w:space="0" w:color="auto"/>
        <w:left w:val="none" w:sz="0" w:space="0" w:color="auto"/>
        <w:bottom w:val="none" w:sz="0" w:space="0" w:color="auto"/>
        <w:right w:val="none" w:sz="0" w:space="0" w:color="auto"/>
      </w:divBdr>
    </w:div>
    <w:div w:id="214087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product-information-pi"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emf"/><Relationship Id="rId42" Type="http://schemas.microsoft.com/office/2007/relationships/hdphoto" Target="media/hdphoto8.wdp"/><Relationship Id="rId47" Type="http://schemas.openxmlformats.org/officeDocument/2006/relationships/footer" Target="footer2.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www.ema.europa.eu/docs/en_GB/document_library/EPAR_-_Product_Information/human/003820/WC500190990.pdf" TargetMode="External"/><Relationship Id="rId25" Type="http://schemas.microsoft.com/office/2007/relationships/hdphoto" Target="media/hdphoto2.wdp"/><Relationship Id="rId33" Type="http://schemas.microsoft.com/office/2007/relationships/hdphoto" Target="media/hdphoto4.wdp"/><Relationship Id="rId38" Type="http://schemas.microsoft.com/office/2007/relationships/hdphoto" Target="media/hdphoto6.wdp"/><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emf"/><Relationship Id="rId41" Type="http://schemas.openxmlformats.org/officeDocument/2006/relationships/image" Target="media/image19.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microsoft.com/office/2007/relationships/hdphoto" Target="media/hdphoto7.wdp"/><Relationship Id="rId45" Type="http://schemas.openxmlformats.org/officeDocument/2006/relationships/header" Target="header4.xml"/><Relationship Id="rId53" Type="http://schemas.openxmlformats.org/officeDocument/2006/relationships/header" Target="header8.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trim://D17-209228?db=A7&amp;view" TargetMode="External"/><Relationship Id="rId36" Type="http://schemas.microsoft.com/office/2007/relationships/hdphoto" Target="media/hdphoto5.wdp"/><Relationship Id="rId49" Type="http://schemas.openxmlformats.org/officeDocument/2006/relationships/hyperlink" Target="https://www.tga.gov.au" TargetMode="External"/><Relationship Id="rId10" Type="http://schemas.openxmlformats.org/officeDocument/2006/relationships/hyperlink" Target="https://www.tga.gov.au" TargetMode="External"/><Relationship Id="rId19" Type="http://schemas.openxmlformats.org/officeDocument/2006/relationships/image" Target="media/image5.png"/><Relationship Id="rId31" Type="http://schemas.openxmlformats.org/officeDocument/2006/relationships/image" Target="media/image13.emf"/><Relationship Id="rId44" Type="http://schemas.openxmlformats.org/officeDocument/2006/relationships/header" Target="header3.xml"/><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image" Target="media/image12.emf"/><Relationship Id="rId35" Type="http://schemas.openxmlformats.org/officeDocument/2006/relationships/image" Target="media/image16.png"/><Relationship Id="rId43" Type="http://schemas.openxmlformats.org/officeDocument/2006/relationships/hyperlink" Target="https://www.tga.gov.au/product-information-pi" TargetMode="External"/><Relationship Id="rId48" Type="http://schemas.openxmlformats.org/officeDocument/2006/relationships/hyperlink" Target="mailto:info@tga.gov.au"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7.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08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B1B25-1365-4925-A843-84A9F90E639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242FB89-4E94-46CD-AC20-EC96DBB8B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68</TotalTime>
  <Pages>54</Pages>
  <Words>18580</Words>
  <Characters>102748</Characters>
  <Application>Microsoft Office Word</Application>
  <DocSecurity>0</DocSecurity>
  <Lines>2935</Lines>
  <Paragraphs>2022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119306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Pembrolizumab [Keytruda]</dc:title>
  <dc:subject>prescription medicine regulation</dc:subject>
  <dc:creator>Therapeutic Goods Administration</dc:creator>
  <cp:keywords>ausPAR</cp:keywords>
  <cp:lastModifiedBy>Therapeutic Goods Administration</cp:lastModifiedBy>
  <cp:revision>11</cp:revision>
  <cp:lastPrinted>2018-03-23T19:21:00Z</cp:lastPrinted>
  <dcterms:created xsi:type="dcterms:W3CDTF">2018-05-30T00:04:00Z</dcterms:created>
  <dcterms:modified xsi:type="dcterms:W3CDTF">2018-06-26T04:37:00Z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Saver">
    <vt:lpwstr>uLPDBiJ8TtYhwr5h5oGMet9XjjOOnG1D</vt:lpwstr>
  </property>
  <property fmtid="{D5CDD505-2E9C-101B-9397-08002B2CF9AE}" pid="3" name="_NewReviewCycle">
    <vt:lpwstr/>
  </property>
  <property fmtid="{D5CDD505-2E9C-101B-9397-08002B2CF9AE}" pid="4" name="docIndexRef">
    <vt:lpwstr>433d6a14-8723-4c4d-93a4-3a73da669e5c</vt:lpwstr>
  </property>
  <property fmtid="{D5CDD505-2E9C-101B-9397-08002B2CF9AE}" pid="5"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6" name="bjDocumentLabelXML-0">
    <vt:lpwstr>nternal/label"&gt;&lt;element uid="9920fcc9-9f43-4d43-9e3e-b98a219cfd55" value="" /&gt;&lt;/sisl&gt;</vt:lpwstr>
  </property>
  <property fmtid="{D5CDD505-2E9C-101B-9397-08002B2CF9AE}" pid="7" name="bjDocumentSecurityLabel">
    <vt:lpwstr>Not Classified</vt:lpwstr>
  </property>
</Properties>
</file>