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6D497E" w:rsidP="00096AA7">
            <w:pPr>
              <w:rPr>
                <w:rFonts w:ascii="Arial" w:hAnsi="Arial" w:cs="Arial"/>
                <w:b/>
                <w:color w:val="002C47"/>
                <w:sz w:val="36"/>
                <w:szCs w:val="36"/>
              </w:rPr>
            </w:pPr>
            <w:r>
              <w:rPr>
                <w:rFonts w:ascii="Arial" w:hAnsi="Arial" w:cs="Arial"/>
                <w:b/>
                <w:color w:val="002C47"/>
                <w:sz w:val="36"/>
                <w:szCs w:val="36"/>
              </w:rPr>
              <w:t>October</w:t>
            </w:r>
            <w:r w:rsidR="004A44F8">
              <w:rPr>
                <w:rFonts w:ascii="Arial" w:hAnsi="Arial" w:cs="Arial"/>
                <w:b/>
                <w:color w:val="002C47"/>
                <w:sz w:val="36"/>
                <w:szCs w:val="36"/>
              </w:rPr>
              <w:t xml:space="preserve">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0472BC">
            <w:pPr>
              <w:pStyle w:val="Title"/>
              <w:framePr w:hSpace="0" w:wrap="auto" w:vAnchor="margin" w:yAlign="inline"/>
            </w:pPr>
            <w:r w:rsidRPr="00A964D1">
              <w:t>Australian Pu</w:t>
            </w:r>
            <w:r w:rsidR="004A44F8">
              <w:t xml:space="preserve">blic Assessment Report for </w:t>
            </w:r>
            <w:proofErr w:type="spellStart"/>
            <w:r w:rsidR="00483BCA">
              <w:t>led</w:t>
            </w:r>
            <w:r w:rsidR="007B3AED" w:rsidRPr="007B3AED">
              <w:t>ipasvir</w:t>
            </w:r>
            <w:proofErr w:type="spellEnd"/>
            <w:r w:rsidR="008E3477">
              <w:t xml:space="preserve"> / </w:t>
            </w:r>
            <w:proofErr w:type="spellStart"/>
            <w:r w:rsidR="004A44F8">
              <w:t>s</w:t>
            </w:r>
            <w:r w:rsidR="008E3477">
              <w:t>ofosbuvir</w:t>
            </w:r>
            <w:proofErr w:type="spellEnd"/>
          </w:p>
        </w:tc>
      </w:tr>
      <w:tr w:rsidR="0032583B" w:rsidRPr="00B64760" w:rsidTr="0032583B">
        <w:tc>
          <w:tcPr>
            <w:tcW w:w="9079" w:type="dxa"/>
          </w:tcPr>
          <w:p w:rsidR="0032583B" w:rsidRPr="008E7846" w:rsidRDefault="004A44F8" w:rsidP="000472BC">
            <w:pPr>
              <w:pStyle w:val="Subtitle"/>
              <w:framePr w:hSpace="0" w:wrap="auto" w:vAnchor="margin" w:yAlign="inline"/>
            </w:pPr>
            <w:r>
              <w:t xml:space="preserve">Proprietary Product Name: </w:t>
            </w:r>
            <w:proofErr w:type="spellStart"/>
            <w:r>
              <w:t>Harvoni</w:t>
            </w:r>
            <w:proofErr w:type="spellEnd"/>
          </w:p>
        </w:tc>
      </w:tr>
      <w:tr w:rsidR="0032583B" w:rsidRPr="00B64760" w:rsidTr="0032583B">
        <w:trPr>
          <w:trHeight w:val="486"/>
        </w:trPr>
        <w:tc>
          <w:tcPr>
            <w:tcW w:w="9079" w:type="dxa"/>
          </w:tcPr>
          <w:p w:rsidR="0032583B" w:rsidRPr="008E7846" w:rsidRDefault="0032583B" w:rsidP="000472BC">
            <w:pPr>
              <w:pStyle w:val="Subtitle"/>
              <w:framePr w:hSpace="0" w:wrap="auto" w:vAnchor="margin" w:yAlign="inline"/>
            </w:pPr>
            <w:r w:rsidRPr="008E7846">
              <w:t xml:space="preserve">Sponsor: </w:t>
            </w:r>
            <w:r w:rsidR="004A44F8">
              <w:t>Gilead Sciences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491921">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491921">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applying a risk management approach designed to ensure therapeutic goods supplied in Australia meet acceptable standards of quality, sa</w:t>
      </w:r>
      <w:r w:rsidR="008E3477">
        <w:t>fety and efficacy (performance)</w:t>
      </w:r>
      <w:r w:rsidR="008E7846">
        <w:t xml:space="preserve"> when necessary.</w:t>
      </w:r>
    </w:p>
    <w:p w:rsidR="008E7846" w:rsidRDefault="008E7846" w:rsidP="00491921">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491921">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491921">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451699">
          <w:rPr>
            <w:rStyle w:val="Hyperlink"/>
          </w:rPr>
          <w:t>https://www.tga.gov.au</w:t>
        </w:r>
      </w:hyperlink>
      <w:r w:rsidR="00112F56">
        <w:t>&gt;</w:t>
      </w:r>
      <w:r>
        <w:t>.</w:t>
      </w:r>
    </w:p>
    <w:p w:rsidR="008E7846" w:rsidRDefault="008E7846" w:rsidP="008E7846">
      <w:pPr>
        <w:pStyle w:val="NonTOCHeading2"/>
      </w:pPr>
      <w:r>
        <w:t xml:space="preserve">About </w:t>
      </w:r>
      <w:proofErr w:type="spellStart"/>
      <w:r>
        <w:t>AusPARs</w:t>
      </w:r>
      <w:proofErr w:type="spellEnd"/>
    </w:p>
    <w:p w:rsidR="008E7846" w:rsidRDefault="008E7846" w:rsidP="00491921">
      <w:pPr>
        <w:pStyle w:val="ListBullet"/>
        <w:numPr>
          <w:ilvl w:val="0"/>
          <w:numId w:val="1"/>
        </w:numPr>
        <w:ind w:left="357" w:hanging="357"/>
      </w:pPr>
      <w:r>
        <w:t>An Australian Public Assessment Re</w:t>
      </w:r>
      <w:r w:rsidR="00314167">
        <w:t>port</w:t>
      </w:r>
      <w:r>
        <w:t xml:space="preserve"> (</w:t>
      </w:r>
      <w:proofErr w:type="spellStart"/>
      <w:r>
        <w:t>AusPAR</w:t>
      </w:r>
      <w:proofErr w:type="spellEnd"/>
      <w:r>
        <w:t>) provides information about the evaluation of a prescription medicine and the considerations that led the TGA to approve or not approve a pr</w:t>
      </w:r>
      <w:r w:rsidR="009203E1">
        <w:t>escription medicine submission.</w:t>
      </w:r>
    </w:p>
    <w:p w:rsidR="008E7846" w:rsidRDefault="008E7846" w:rsidP="00491921">
      <w:pPr>
        <w:pStyle w:val="ListBullet"/>
        <w:numPr>
          <w:ilvl w:val="0"/>
          <w:numId w:val="1"/>
        </w:numPr>
        <w:ind w:left="357" w:hanging="357"/>
      </w:pPr>
      <w:proofErr w:type="spellStart"/>
      <w:r>
        <w:t>AusPARs</w:t>
      </w:r>
      <w:proofErr w:type="spellEnd"/>
      <w:r>
        <w:t xml:space="preserve"> are prepared and published by the TGA.</w:t>
      </w:r>
    </w:p>
    <w:p w:rsidR="008E7846" w:rsidRDefault="008E7846" w:rsidP="00491921">
      <w:pPr>
        <w:pStyle w:val="ListBullet"/>
        <w:numPr>
          <w:ilvl w:val="0"/>
          <w:numId w:val="1"/>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8E7846" w:rsidRDefault="008E7846" w:rsidP="00491921">
      <w:pPr>
        <w:pStyle w:val="ListBullet"/>
        <w:numPr>
          <w:ilvl w:val="0"/>
          <w:numId w:val="1"/>
        </w:numPr>
        <w:ind w:left="357" w:hanging="357"/>
      </w:pPr>
      <w:r>
        <w:t xml:space="preserve">An </w:t>
      </w:r>
      <w:proofErr w:type="spellStart"/>
      <w:r>
        <w:t>AusPAR</w:t>
      </w:r>
      <w:proofErr w:type="spellEnd"/>
      <w:r>
        <w:t xml:space="preserve"> is a static document, in that it will provide information that relates to a submission at a particular point in time.</w:t>
      </w:r>
    </w:p>
    <w:p w:rsidR="00B452CE" w:rsidRDefault="008E7846" w:rsidP="00491921">
      <w:pPr>
        <w:pStyle w:val="ListBullet"/>
        <w:numPr>
          <w:ilvl w:val="0"/>
          <w:numId w:val="1"/>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3E0B99">
        <w:rPr>
          <w:rFonts w:cs="Arial"/>
          <w:lang w:val="en-GB"/>
        </w:rPr>
        <w:t>5</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707315"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32073709" w:history="1">
            <w:r w:rsidR="00707315" w:rsidRPr="000B490F">
              <w:rPr>
                <w:rStyle w:val="Hyperlink"/>
                <w:noProof/>
              </w:rPr>
              <w:t>Common abbreviations</w:t>
            </w:r>
            <w:r w:rsidR="00707315">
              <w:rPr>
                <w:noProof/>
                <w:webHidden/>
              </w:rPr>
              <w:tab/>
            </w:r>
            <w:r w:rsidR="00707315">
              <w:rPr>
                <w:noProof/>
                <w:webHidden/>
              </w:rPr>
              <w:fldChar w:fldCharType="begin"/>
            </w:r>
            <w:r w:rsidR="00707315">
              <w:rPr>
                <w:noProof/>
                <w:webHidden/>
              </w:rPr>
              <w:instrText xml:space="preserve"> PAGEREF _Toc432073709 \h </w:instrText>
            </w:r>
            <w:r w:rsidR="00707315">
              <w:rPr>
                <w:noProof/>
                <w:webHidden/>
              </w:rPr>
            </w:r>
            <w:r w:rsidR="00707315">
              <w:rPr>
                <w:noProof/>
                <w:webHidden/>
              </w:rPr>
              <w:fldChar w:fldCharType="separate"/>
            </w:r>
            <w:r w:rsidR="00707315">
              <w:rPr>
                <w:noProof/>
                <w:webHidden/>
              </w:rPr>
              <w:t>5</w:t>
            </w:r>
            <w:r w:rsidR="00707315">
              <w:rPr>
                <w:noProof/>
                <w:webHidden/>
              </w:rPr>
              <w:fldChar w:fldCharType="end"/>
            </w:r>
          </w:hyperlink>
        </w:p>
        <w:p w:rsidR="00707315" w:rsidRDefault="000472BC">
          <w:pPr>
            <w:pStyle w:val="TOC2"/>
            <w:rPr>
              <w:rFonts w:asciiTheme="minorHAnsi" w:eastAsiaTheme="minorEastAsia" w:hAnsiTheme="minorHAnsi" w:cstheme="minorBidi"/>
              <w:b w:val="0"/>
              <w:noProof/>
              <w:sz w:val="22"/>
              <w:lang w:eastAsia="en-AU"/>
            </w:rPr>
          </w:pPr>
          <w:hyperlink w:anchor="_Toc432073710" w:history="1">
            <w:r w:rsidR="00707315" w:rsidRPr="000B490F">
              <w:rPr>
                <w:rStyle w:val="Hyperlink"/>
                <w:noProof/>
              </w:rPr>
              <w:t>I. Introduction to product submission</w:t>
            </w:r>
            <w:r w:rsidR="00707315">
              <w:rPr>
                <w:noProof/>
                <w:webHidden/>
              </w:rPr>
              <w:tab/>
            </w:r>
            <w:r w:rsidR="00707315">
              <w:rPr>
                <w:noProof/>
                <w:webHidden/>
              </w:rPr>
              <w:fldChar w:fldCharType="begin"/>
            </w:r>
            <w:r w:rsidR="00707315">
              <w:rPr>
                <w:noProof/>
                <w:webHidden/>
              </w:rPr>
              <w:instrText xml:space="preserve"> PAGEREF _Toc432073710 \h </w:instrText>
            </w:r>
            <w:r w:rsidR="00707315">
              <w:rPr>
                <w:noProof/>
                <w:webHidden/>
              </w:rPr>
            </w:r>
            <w:r w:rsidR="00707315">
              <w:rPr>
                <w:noProof/>
                <w:webHidden/>
              </w:rPr>
              <w:fldChar w:fldCharType="separate"/>
            </w:r>
            <w:r w:rsidR="00707315">
              <w:rPr>
                <w:noProof/>
                <w:webHidden/>
              </w:rPr>
              <w:t>7</w:t>
            </w:r>
            <w:r w:rsidR="00707315">
              <w:rPr>
                <w:noProof/>
                <w:webHidden/>
              </w:rPr>
              <w:fldChar w:fldCharType="end"/>
            </w:r>
          </w:hyperlink>
        </w:p>
        <w:p w:rsidR="00707315" w:rsidRDefault="000472BC">
          <w:pPr>
            <w:pStyle w:val="TOC3"/>
            <w:rPr>
              <w:rFonts w:asciiTheme="minorHAnsi" w:eastAsiaTheme="minorEastAsia" w:hAnsiTheme="minorHAnsi" w:cstheme="minorBidi"/>
              <w:noProof/>
              <w:lang w:eastAsia="en-AU"/>
            </w:rPr>
          </w:pPr>
          <w:hyperlink w:anchor="_Toc432073711" w:history="1">
            <w:r w:rsidR="00707315" w:rsidRPr="000B490F">
              <w:rPr>
                <w:rStyle w:val="Hyperlink"/>
                <w:noProof/>
                <w:lang w:eastAsia="en-AU"/>
              </w:rPr>
              <w:t>Submission details</w:t>
            </w:r>
            <w:r w:rsidR="00707315">
              <w:rPr>
                <w:noProof/>
                <w:webHidden/>
              </w:rPr>
              <w:tab/>
            </w:r>
            <w:r w:rsidR="00707315">
              <w:rPr>
                <w:noProof/>
                <w:webHidden/>
              </w:rPr>
              <w:fldChar w:fldCharType="begin"/>
            </w:r>
            <w:r w:rsidR="00707315">
              <w:rPr>
                <w:noProof/>
                <w:webHidden/>
              </w:rPr>
              <w:instrText xml:space="preserve"> PAGEREF _Toc432073711 \h </w:instrText>
            </w:r>
            <w:r w:rsidR="00707315">
              <w:rPr>
                <w:noProof/>
                <w:webHidden/>
              </w:rPr>
            </w:r>
            <w:r w:rsidR="00707315">
              <w:rPr>
                <w:noProof/>
                <w:webHidden/>
              </w:rPr>
              <w:fldChar w:fldCharType="separate"/>
            </w:r>
            <w:r w:rsidR="00707315">
              <w:rPr>
                <w:noProof/>
                <w:webHidden/>
              </w:rPr>
              <w:t>7</w:t>
            </w:r>
            <w:r w:rsidR="00707315">
              <w:rPr>
                <w:noProof/>
                <w:webHidden/>
              </w:rPr>
              <w:fldChar w:fldCharType="end"/>
            </w:r>
          </w:hyperlink>
        </w:p>
        <w:p w:rsidR="00707315" w:rsidRDefault="000472BC">
          <w:pPr>
            <w:pStyle w:val="TOC3"/>
            <w:rPr>
              <w:rFonts w:asciiTheme="minorHAnsi" w:eastAsiaTheme="minorEastAsia" w:hAnsiTheme="minorHAnsi" w:cstheme="minorBidi"/>
              <w:noProof/>
              <w:lang w:eastAsia="en-AU"/>
            </w:rPr>
          </w:pPr>
          <w:hyperlink w:anchor="_Toc432073712" w:history="1">
            <w:r w:rsidR="00707315" w:rsidRPr="000B490F">
              <w:rPr>
                <w:rStyle w:val="Hyperlink"/>
                <w:noProof/>
              </w:rPr>
              <w:t>Product background</w:t>
            </w:r>
            <w:r w:rsidR="00707315">
              <w:rPr>
                <w:noProof/>
                <w:webHidden/>
              </w:rPr>
              <w:tab/>
            </w:r>
            <w:r w:rsidR="00707315">
              <w:rPr>
                <w:noProof/>
                <w:webHidden/>
              </w:rPr>
              <w:fldChar w:fldCharType="begin"/>
            </w:r>
            <w:r w:rsidR="00707315">
              <w:rPr>
                <w:noProof/>
                <w:webHidden/>
              </w:rPr>
              <w:instrText xml:space="preserve"> PAGEREF _Toc432073712 \h </w:instrText>
            </w:r>
            <w:r w:rsidR="00707315">
              <w:rPr>
                <w:noProof/>
                <w:webHidden/>
              </w:rPr>
            </w:r>
            <w:r w:rsidR="00707315">
              <w:rPr>
                <w:noProof/>
                <w:webHidden/>
              </w:rPr>
              <w:fldChar w:fldCharType="separate"/>
            </w:r>
            <w:r w:rsidR="00707315">
              <w:rPr>
                <w:noProof/>
                <w:webHidden/>
              </w:rPr>
              <w:t>7</w:t>
            </w:r>
            <w:r w:rsidR="00707315">
              <w:rPr>
                <w:noProof/>
                <w:webHidden/>
              </w:rPr>
              <w:fldChar w:fldCharType="end"/>
            </w:r>
          </w:hyperlink>
        </w:p>
        <w:p w:rsidR="00707315" w:rsidRDefault="000472BC">
          <w:pPr>
            <w:pStyle w:val="TOC3"/>
            <w:rPr>
              <w:rFonts w:asciiTheme="minorHAnsi" w:eastAsiaTheme="minorEastAsia" w:hAnsiTheme="minorHAnsi" w:cstheme="minorBidi"/>
              <w:noProof/>
              <w:lang w:eastAsia="en-AU"/>
            </w:rPr>
          </w:pPr>
          <w:hyperlink w:anchor="_Toc432073713" w:history="1">
            <w:r w:rsidR="00707315" w:rsidRPr="000B490F">
              <w:rPr>
                <w:rStyle w:val="Hyperlink"/>
                <w:noProof/>
              </w:rPr>
              <w:t>Regulatory status</w:t>
            </w:r>
            <w:r w:rsidR="00707315">
              <w:rPr>
                <w:noProof/>
                <w:webHidden/>
              </w:rPr>
              <w:tab/>
            </w:r>
            <w:r w:rsidR="00707315">
              <w:rPr>
                <w:noProof/>
                <w:webHidden/>
              </w:rPr>
              <w:fldChar w:fldCharType="begin"/>
            </w:r>
            <w:r w:rsidR="00707315">
              <w:rPr>
                <w:noProof/>
                <w:webHidden/>
              </w:rPr>
              <w:instrText xml:space="preserve"> PAGEREF _Toc432073713 \h </w:instrText>
            </w:r>
            <w:r w:rsidR="00707315">
              <w:rPr>
                <w:noProof/>
                <w:webHidden/>
              </w:rPr>
            </w:r>
            <w:r w:rsidR="00707315">
              <w:rPr>
                <w:noProof/>
                <w:webHidden/>
              </w:rPr>
              <w:fldChar w:fldCharType="separate"/>
            </w:r>
            <w:r w:rsidR="00707315">
              <w:rPr>
                <w:noProof/>
                <w:webHidden/>
              </w:rPr>
              <w:t>8</w:t>
            </w:r>
            <w:r w:rsidR="00707315">
              <w:rPr>
                <w:noProof/>
                <w:webHidden/>
              </w:rPr>
              <w:fldChar w:fldCharType="end"/>
            </w:r>
          </w:hyperlink>
        </w:p>
        <w:p w:rsidR="00707315" w:rsidRDefault="000472BC">
          <w:pPr>
            <w:pStyle w:val="TOC3"/>
            <w:rPr>
              <w:rFonts w:asciiTheme="minorHAnsi" w:eastAsiaTheme="minorEastAsia" w:hAnsiTheme="minorHAnsi" w:cstheme="minorBidi"/>
              <w:noProof/>
              <w:lang w:eastAsia="en-AU"/>
            </w:rPr>
          </w:pPr>
          <w:hyperlink w:anchor="_Toc432073714" w:history="1">
            <w:r w:rsidR="00707315" w:rsidRPr="000B490F">
              <w:rPr>
                <w:rStyle w:val="Hyperlink"/>
                <w:noProof/>
              </w:rPr>
              <w:t>Product Information</w:t>
            </w:r>
            <w:r w:rsidR="00707315">
              <w:rPr>
                <w:noProof/>
                <w:webHidden/>
              </w:rPr>
              <w:tab/>
            </w:r>
            <w:r w:rsidR="00707315">
              <w:rPr>
                <w:noProof/>
                <w:webHidden/>
              </w:rPr>
              <w:fldChar w:fldCharType="begin"/>
            </w:r>
            <w:r w:rsidR="00707315">
              <w:rPr>
                <w:noProof/>
                <w:webHidden/>
              </w:rPr>
              <w:instrText xml:space="preserve"> PAGEREF _Toc432073714 \h </w:instrText>
            </w:r>
            <w:r w:rsidR="00707315">
              <w:rPr>
                <w:noProof/>
                <w:webHidden/>
              </w:rPr>
            </w:r>
            <w:r w:rsidR="00707315">
              <w:rPr>
                <w:noProof/>
                <w:webHidden/>
              </w:rPr>
              <w:fldChar w:fldCharType="separate"/>
            </w:r>
            <w:r w:rsidR="00707315">
              <w:rPr>
                <w:noProof/>
                <w:webHidden/>
              </w:rPr>
              <w:t>9</w:t>
            </w:r>
            <w:r w:rsidR="00707315">
              <w:rPr>
                <w:noProof/>
                <w:webHidden/>
              </w:rPr>
              <w:fldChar w:fldCharType="end"/>
            </w:r>
          </w:hyperlink>
        </w:p>
        <w:p w:rsidR="00707315" w:rsidRDefault="000472BC">
          <w:pPr>
            <w:pStyle w:val="TOC2"/>
            <w:rPr>
              <w:rFonts w:asciiTheme="minorHAnsi" w:eastAsiaTheme="minorEastAsia" w:hAnsiTheme="minorHAnsi" w:cstheme="minorBidi"/>
              <w:b w:val="0"/>
              <w:noProof/>
              <w:sz w:val="22"/>
              <w:lang w:eastAsia="en-AU"/>
            </w:rPr>
          </w:pPr>
          <w:hyperlink w:anchor="_Toc432073715" w:history="1">
            <w:r w:rsidR="00707315" w:rsidRPr="000B490F">
              <w:rPr>
                <w:rStyle w:val="Hyperlink"/>
                <w:noProof/>
              </w:rPr>
              <w:t>II. Quality findings</w:t>
            </w:r>
            <w:r w:rsidR="00707315">
              <w:rPr>
                <w:noProof/>
                <w:webHidden/>
              </w:rPr>
              <w:tab/>
            </w:r>
            <w:r w:rsidR="00707315">
              <w:rPr>
                <w:noProof/>
                <w:webHidden/>
              </w:rPr>
              <w:fldChar w:fldCharType="begin"/>
            </w:r>
            <w:r w:rsidR="00707315">
              <w:rPr>
                <w:noProof/>
                <w:webHidden/>
              </w:rPr>
              <w:instrText xml:space="preserve"> PAGEREF _Toc432073715 \h </w:instrText>
            </w:r>
            <w:r w:rsidR="00707315">
              <w:rPr>
                <w:noProof/>
                <w:webHidden/>
              </w:rPr>
            </w:r>
            <w:r w:rsidR="00707315">
              <w:rPr>
                <w:noProof/>
                <w:webHidden/>
              </w:rPr>
              <w:fldChar w:fldCharType="separate"/>
            </w:r>
            <w:r w:rsidR="00707315">
              <w:rPr>
                <w:noProof/>
                <w:webHidden/>
              </w:rPr>
              <w:t>9</w:t>
            </w:r>
            <w:r w:rsidR="00707315">
              <w:rPr>
                <w:noProof/>
                <w:webHidden/>
              </w:rPr>
              <w:fldChar w:fldCharType="end"/>
            </w:r>
          </w:hyperlink>
        </w:p>
        <w:p w:rsidR="00707315" w:rsidRDefault="000472BC">
          <w:pPr>
            <w:pStyle w:val="TOC3"/>
            <w:rPr>
              <w:rFonts w:asciiTheme="minorHAnsi" w:eastAsiaTheme="minorEastAsia" w:hAnsiTheme="minorHAnsi" w:cstheme="minorBidi"/>
              <w:noProof/>
              <w:lang w:eastAsia="en-AU"/>
            </w:rPr>
          </w:pPr>
          <w:hyperlink w:anchor="_Toc432073716" w:history="1">
            <w:r w:rsidR="00707315" w:rsidRPr="000B490F">
              <w:rPr>
                <w:rStyle w:val="Hyperlink"/>
                <w:noProof/>
              </w:rPr>
              <w:t>Drug substance (active ingredient)</w:t>
            </w:r>
            <w:r w:rsidR="00707315">
              <w:rPr>
                <w:noProof/>
                <w:webHidden/>
              </w:rPr>
              <w:tab/>
            </w:r>
            <w:r w:rsidR="00707315">
              <w:rPr>
                <w:noProof/>
                <w:webHidden/>
              </w:rPr>
              <w:fldChar w:fldCharType="begin"/>
            </w:r>
            <w:r w:rsidR="00707315">
              <w:rPr>
                <w:noProof/>
                <w:webHidden/>
              </w:rPr>
              <w:instrText xml:space="preserve"> PAGEREF _Toc432073716 \h </w:instrText>
            </w:r>
            <w:r w:rsidR="00707315">
              <w:rPr>
                <w:noProof/>
                <w:webHidden/>
              </w:rPr>
            </w:r>
            <w:r w:rsidR="00707315">
              <w:rPr>
                <w:noProof/>
                <w:webHidden/>
              </w:rPr>
              <w:fldChar w:fldCharType="separate"/>
            </w:r>
            <w:r w:rsidR="00707315">
              <w:rPr>
                <w:noProof/>
                <w:webHidden/>
              </w:rPr>
              <w:t>9</w:t>
            </w:r>
            <w:r w:rsidR="00707315">
              <w:rPr>
                <w:noProof/>
                <w:webHidden/>
              </w:rPr>
              <w:fldChar w:fldCharType="end"/>
            </w:r>
          </w:hyperlink>
        </w:p>
        <w:p w:rsidR="00707315" w:rsidRDefault="000472BC">
          <w:pPr>
            <w:pStyle w:val="TOC3"/>
            <w:rPr>
              <w:rFonts w:asciiTheme="minorHAnsi" w:eastAsiaTheme="minorEastAsia" w:hAnsiTheme="minorHAnsi" w:cstheme="minorBidi"/>
              <w:noProof/>
              <w:lang w:eastAsia="en-AU"/>
            </w:rPr>
          </w:pPr>
          <w:hyperlink w:anchor="_Toc432073717" w:history="1">
            <w:r w:rsidR="00707315" w:rsidRPr="000B490F">
              <w:rPr>
                <w:rStyle w:val="Hyperlink"/>
                <w:noProof/>
              </w:rPr>
              <w:t>Drug product</w:t>
            </w:r>
            <w:r w:rsidR="00707315">
              <w:rPr>
                <w:noProof/>
                <w:webHidden/>
              </w:rPr>
              <w:tab/>
            </w:r>
            <w:r w:rsidR="00707315">
              <w:rPr>
                <w:noProof/>
                <w:webHidden/>
              </w:rPr>
              <w:fldChar w:fldCharType="begin"/>
            </w:r>
            <w:r w:rsidR="00707315">
              <w:rPr>
                <w:noProof/>
                <w:webHidden/>
              </w:rPr>
              <w:instrText xml:space="preserve"> PAGEREF _Toc432073717 \h </w:instrText>
            </w:r>
            <w:r w:rsidR="00707315">
              <w:rPr>
                <w:noProof/>
                <w:webHidden/>
              </w:rPr>
            </w:r>
            <w:r w:rsidR="00707315">
              <w:rPr>
                <w:noProof/>
                <w:webHidden/>
              </w:rPr>
              <w:fldChar w:fldCharType="separate"/>
            </w:r>
            <w:r w:rsidR="00707315">
              <w:rPr>
                <w:noProof/>
                <w:webHidden/>
              </w:rPr>
              <w:t>10</w:t>
            </w:r>
            <w:r w:rsidR="00707315">
              <w:rPr>
                <w:noProof/>
                <w:webHidden/>
              </w:rPr>
              <w:fldChar w:fldCharType="end"/>
            </w:r>
          </w:hyperlink>
        </w:p>
        <w:p w:rsidR="00707315" w:rsidRDefault="000472BC">
          <w:pPr>
            <w:pStyle w:val="TOC3"/>
            <w:rPr>
              <w:rFonts w:asciiTheme="minorHAnsi" w:eastAsiaTheme="minorEastAsia" w:hAnsiTheme="minorHAnsi" w:cstheme="minorBidi"/>
              <w:noProof/>
              <w:lang w:eastAsia="en-AU"/>
            </w:rPr>
          </w:pPr>
          <w:hyperlink w:anchor="_Toc432073718" w:history="1">
            <w:r w:rsidR="00707315" w:rsidRPr="000B490F">
              <w:rPr>
                <w:rStyle w:val="Hyperlink"/>
                <w:noProof/>
              </w:rPr>
              <w:t>Biopharmaceutics</w:t>
            </w:r>
            <w:r w:rsidR="00707315">
              <w:rPr>
                <w:noProof/>
                <w:webHidden/>
              </w:rPr>
              <w:tab/>
            </w:r>
            <w:r w:rsidR="00707315">
              <w:rPr>
                <w:noProof/>
                <w:webHidden/>
              </w:rPr>
              <w:fldChar w:fldCharType="begin"/>
            </w:r>
            <w:r w:rsidR="00707315">
              <w:rPr>
                <w:noProof/>
                <w:webHidden/>
              </w:rPr>
              <w:instrText xml:space="preserve"> PAGEREF _Toc432073718 \h </w:instrText>
            </w:r>
            <w:r w:rsidR="00707315">
              <w:rPr>
                <w:noProof/>
                <w:webHidden/>
              </w:rPr>
            </w:r>
            <w:r w:rsidR="00707315">
              <w:rPr>
                <w:noProof/>
                <w:webHidden/>
              </w:rPr>
              <w:fldChar w:fldCharType="separate"/>
            </w:r>
            <w:r w:rsidR="00707315">
              <w:rPr>
                <w:noProof/>
                <w:webHidden/>
              </w:rPr>
              <w:t>11</w:t>
            </w:r>
            <w:r w:rsidR="00707315">
              <w:rPr>
                <w:noProof/>
                <w:webHidden/>
              </w:rPr>
              <w:fldChar w:fldCharType="end"/>
            </w:r>
          </w:hyperlink>
        </w:p>
        <w:p w:rsidR="00707315" w:rsidRDefault="000472BC">
          <w:pPr>
            <w:pStyle w:val="TOC3"/>
            <w:rPr>
              <w:rFonts w:asciiTheme="minorHAnsi" w:eastAsiaTheme="minorEastAsia" w:hAnsiTheme="minorHAnsi" w:cstheme="minorBidi"/>
              <w:noProof/>
              <w:lang w:eastAsia="en-AU"/>
            </w:rPr>
          </w:pPr>
          <w:hyperlink w:anchor="_Toc432073719" w:history="1">
            <w:r w:rsidR="00707315" w:rsidRPr="000B490F">
              <w:rPr>
                <w:rStyle w:val="Hyperlink"/>
                <w:noProof/>
              </w:rPr>
              <w:t>Quality summary and conclusions</w:t>
            </w:r>
            <w:r w:rsidR="00707315">
              <w:rPr>
                <w:noProof/>
                <w:webHidden/>
              </w:rPr>
              <w:tab/>
            </w:r>
            <w:r w:rsidR="00707315">
              <w:rPr>
                <w:noProof/>
                <w:webHidden/>
              </w:rPr>
              <w:fldChar w:fldCharType="begin"/>
            </w:r>
            <w:r w:rsidR="00707315">
              <w:rPr>
                <w:noProof/>
                <w:webHidden/>
              </w:rPr>
              <w:instrText xml:space="preserve"> PAGEREF _Toc432073719 \h </w:instrText>
            </w:r>
            <w:r w:rsidR="00707315">
              <w:rPr>
                <w:noProof/>
                <w:webHidden/>
              </w:rPr>
            </w:r>
            <w:r w:rsidR="00707315">
              <w:rPr>
                <w:noProof/>
                <w:webHidden/>
              </w:rPr>
              <w:fldChar w:fldCharType="separate"/>
            </w:r>
            <w:r w:rsidR="00707315">
              <w:rPr>
                <w:noProof/>
                <w:webHidden/>
              </w:rPr>
              <w:t>12</w:t>
            </w:r>
            <w:r w:rsidR="00707315">
              <w:rPr>
                <w:noProof/>
                <w:webHidden/>
              </w:rPr>
              <w:fldChar w:fldCharType="end"/>
            </w:r>
          </w:hyperlink>
        </w:p>
        <w:p w:rsidR="00707315" w:rsidRDefault="000472BC">
          <w:pPr>
            <w:pStyle w:val="TOC2"/>
            <w:rPr>
              <w:rFonts w:asciiTheme="minorHAnsi" w:eastAsiaTheme="minorEastAsia" w:hAnsiTheme="minorHAnsi" w:cstheme="minorBidi"/>
              <w:b w:val="0"/>
              <w:noProof/>
              <w:sz w:val="22"/>
              <w:lang w:eastAsia="en-AU"/>
            </w:rPr>
          </w:pPr>
          <w:hyperlink w:anchor="_Toc432073720" w:history="1">
            <w:r w:rsidR="00707315" w:rsidRPr="000B490F">
              <w:rPr>
                <w:rStyle w:val="Hyperlink"/>
                <w:noProof/>
              </w:rPr>
              <w:t>III. Nonclinical findings</w:t>
            </w:r>
            <w:r w:rsidR="00707315">
              <w:rPr>
                <w:noProof/>
                <w:webHidden/>
              </w:rPr>
              <w:tab/>
            </w:r>
            <w:r w:rsidR="00707315">
              <w:rPr>
                <w:noProof/>
                <w:webHidden/>
              </w:rPr>
              <w:fldChar w:fldCharType="begin"/>
            </w:r>
            <w:r w:rsidR="00707315">
              <w:rPr>
                <w:noProof/>
                <w:webHidden/>
              </w:rPr>
              <w:instrText xml:space="preserve"> PAGEREF _Toc432073720 \h </w:instrText>
            </w:r>
            <w:r w:rsidR="00707315">
              <w:rPr>
                <w:noProof/>
                <w:webHidden/>
              </w:rPr>
            </w:r>
            <w:r w:rsidR="00707315">
              <w:rPr>
                <w:noProof/>
                <w:webHidden/>
              </w:rPr>
              <w:fldChar w:fldCharType="separate"/>
            </w:r>
            <w:r w:rsidR="00707315">
              <w:rPr>
                <w:noProof/>
                <w:webHidden/>
              </w:rPr>
              <w:t>12</w:t>
            </w:r>
            <w:r w:rsidR="00707315">
              <w:rPr>
                <w:noProof/>
                <w:webHidden/>
              </w:rPr>
              <w:fldChar w:fldCharType="end"/>
            </w:r>
          </w:hyperlink>
        </w:p>
        <w:p w:rsidR="00707315" w:rsidRDefault="000472BC">
          <w:pPr>
            <w:pStyle w:val="TOC3"/>
            <w:rPr>
              <w:rFonts w:asciiTheme="minorHAnsi" w:eastAsiaTheme="minorEastAsia" w:hAnsiTheme="minorHAnsi" w:cstheme="minorBidi"/>
              <w:noProof/>
              <w:lang w:eastAsia="en-AU"/>
            </w:rPr>
          </w:pPr>
          <w:hyperlink w:anchor="_Toc432073721" w:history="1">
            <w:r w:rsidR="00707315" w:rsidRPr="000B490F">
              <w:rPr>
                <w:rStyle w:val="Hyperlink"/>
                <w:noProof/>
              </w:rPr>
              <w:t>Introduction</w:t>
            </w:r>
            <w:r w:rsidR="00707315">
              <w:rPr>
                <w:noProof/>
                <w:webHidden/>
              </w:rPr>
              <w:tab/>
            </w:r>
            <w:r w:rsidR="00707315">
              <w:rPr>
                <w:noProof/>
                <w:webHidden/>
              </w:rPr>
              <w:fldChar w:fldCharType="begin"/>
            </w:r>
            <w:r w:rsidR="00707315">
              <w:rPr>
                <w:noProof/>
                <w:webHidden/>
              </w:rPr>
              <w:instrText xml:space="preserve"> PAGEREF _Toc432073721 \h </w:instrText>
            </w:r>
            <w:r w:rsidR="00707315">
              <w:rPr>
                <w:noProof/>
                <w:webHidden/>
              </w:rPr>
            </w:r>
            <w:r w:rsidR="00707315">
              <w:rPr>
                <w:noProof/>
                <w:webHidden/>
              </w:rPr>
              <w:fldChar w:fldCharType="separate"/>
            </w:r>
            <w:r w:rsidR="00707315">
              <w:rPr>
                <w:noProof/>
                <w:webHidden/>
              </w:rPr>
              <w:t>12</w:t>
            </w:r>
            <w:r w:rsidR="00707315">
              <w:rPr>
                <w:noProof/>
                <w:webHidden/>
              </w:rPr>
              <w:fldChar w:fldCharType="end"/>
            </w:r>
          </w:hyperlink>
        </w:p>
        <w:p w:rsidR="00707315" w:rsidRDefault="000472BC">
          <w:pPr>
            <w:pStyle w:val="TOC3"/>
            <w:rPr>
              <w:rFonts w:asciiTheme="minorHAnsi" w:eastAsiaTheme="minorEastAsia" w:hAnsiTheme="minorHAnsi" w:cstheme="minorBidi"/>
              <w:noProof/>
              <w:lang w:eastAsia="en-AU"/>
            </w:rPr>
          </w:pPr>
          <w:hyperlink w:anchor="_Toc432073722" w:history="1">
            <w:r w:rsidR="00707315" w:rsidRPr="000B490F">
              <w:rPr>
                <w:rStyle w:val="Hyperlink"/>
                <w:noProof/>
              </w:rPr>
              <w:t>Pharmacology</w:t>
            </w:r>
            <w:r w:rsidR="00707315">
              <w:rPr>
                <w:noProof/>
                <w:webHidden/>
              </w:rPr>
              <w:tab/>
            </w:r>
            <w:r w:rsidR="00707315">
              <w:rPr>
                <w:noProof/>
                <w:webHidden/>
              </w:rPr>
              <w:fldChar w:fldCharType="begin"/>
            </w:r>
            <w:r w:rsidR="00707315">
              <w:rPr>
                <w:noProof/>
                <w:webHidden/>
              </w:rPr>
              <w:instrText xml:space="preserve"> PAGEREF _Toc432073722 \h </w:instrText>
            </w:r>
            <w:r w:rsidR="00707315">
              <w:rPr>
                <w:noProof/>
                <w:webHidden/>
              </w:rPr>
            </w:r>
            <w:r w:rsidR="00707315">
              <w:rPr>
                <w:noProof/>
                <w:webHidden/>
              </w:rPr>
              <w:fldChar w:fldCharType="separate"/>
            </w:r>
            <w:r w:rsidR="00707315">
              <w:rPr>
                <w:noProof/>
                <w:webHidden/>
              </w:rPr>
              <w:t>13</w:t>
            </w:r>
            <w:r w:rsidR="00707315">
              <w:rPr>
                <w:noProof/>
                <w:webHidden/>
              </w:rPr>
              <w:fldChar w:fldCharType="end"/>
            </w:r>
          </w:hyperlink>
        </w:p>
        <w:p w:rsidR="00707315" w:rsidRDefault="000472BC">
          <w:pPr>
            <w:pStyle w:val="TOC3"/>
            <w:rPr>
              <w:rFonts w:asciiTheme="minorHAnsi" w:eastAsiaTheme="minorEastAsia" w:hAnsiTheme="minorHAnsi" w:cstheme="minorBidi"/>
              <w:noProof/>
              <w:lang w:eastAsia="en-AU"/>
            </w:rPr>
          </w:pPr>
          <w:hyperlink w:anchor="_Toc432073723" w:history="1">
            <w:r w:rsidR="00707315" w:rsidRPr="000B490F">
              <w:rPr>
                <w:rStyle w:val="Hyperlink"/>
                <w:noProof/>
              </w:rPr>
              <w:t>Pharmacokinetics</w:t>
            </w:r>
            <w:r w:rsidR="00707315">
              <w:rPr>
                <w:noProof/>
                <w:webHidden/>
              </w:rPr>
              <w:tab/>
            </w:r>
            <w:r w:rsidR="00707315">
              <w:rPr>
                <w:noProof/>
                <w:webHidden/>
              </w:rPr>
              <w:fldChar w:fldCharType="begin"/>
            </w:r>
            <w:r w:rsidR="00707315">
              <w:rPr>
                <w:noProof/>
                <w:webHidden/>
              </w:rPr>
              <w:instrText xml:space="preserve"> PAGEREF _Toc432073723 \h </w:instrText>
            </w:r>
            <w:r w:rsidR="00707315">
              <w:rPr>
                <w:noProof/>
                <w:webHidden/>
              </w:rPr>
            </w:r>
            <w:r w:rsidR="00707315">
              <w:rPr>
                <w:noProof/>
                <w:webHidden/>
              </w:rPr>
              <w:fldChar w:fldCharType="separate"/>
            </w:r>
            <w:r w:rsidR="00707315">
              <w:rPr>
                <w:noProof/>
                <w:webHidden/>
              </w:rPr>
              <w:t>14</w:t>
            </w:r>
            <w:r w:rsidR="00707315">
              <w:rPr>
                <w:noProof/>
                <w:webHidden/>
              </w:rPr>
              <w:fldChar w:fldCharType="end"/>
            </w:r>
          </w:hyperlink>
        </w:p>
        <w:p w:rsidR="00707315" w:rsidRDefault="000472BC">
          <w:pPr>
            <w:pStyle w:val="TOC3"/>
            <w:rPr>
              <w:rFonts w:asciiTheme="minorHAnsi" w:eastAsiaTheme="minorEastAsia" w:hAnsiTheme="minorHAnsi" w:cstheme="minorBidi"/>
              <w:noProof/>
              <w:lang w:eastAsia="en-AU"/>
            </w:rPr>
          </w:pPr>
          <w:hyperlink w:anchor="_Toc432073724" w:history="1">
            <w:r w:rsidR="00707315" w:rsidRPr="000B490F">
              <w:rPr>
                <w:rStyle w:val="Hyperlink"/>
                <w:noProof/>
              </w:rPr>
              <w:t>Toxicology</w:t>
            </w:r>
            <w:r w:rsidR="00707315">
              <w:rPr>
                <w:noProof/>
                <w:webHidden/>
              </w:rPr>
              <w:tab/>
            </w:r>
            <w:r w:rsidR="00707315">
              <w:rPr>
                <w:noProof/>
                <w:webHidden/>
              </w:rPr>
              <w:fldChar w:fldCharType="begin"/>
            </w:r>
            <w:r w:rsidR="00707315">
              <w:rPr>
                <w:noProof/>
                <w:webHidden/>
              </w:rPr>
              <w:instrText xml:space="preserve"> PAGEREF _Toc432073724 \h </w:instrText>
            </w:r>
            <w:r w:rsidR="00707315">
              <w:rPr>
                <w:noProof/>
                <w:webHidden/>
              </w:rPr>
            </w:r>
            <w:r w:rsidR="00707315">
              <w:rPr>
                <w:noProof/>
                <w:webHidden/>
              </w:rPr>
              <w:fldChar w:fldCharType="separate"/>
            </w:r>
            <w:r w:rsidR="00707315">
              <w:rPr>
                <w:noProof/>
                <w:webHidden/>
              </w:rPr>
              <w:t>15</w:t>
            </w:r>
            <w:r w:rsidR="00707315">
              <w:rPr>
                <w:noProof/>
                <w:webHidden/>
              </w:rPr>
              <w:fldChar w:fldCharType="end"/>
            </w:r>
          </w:hyperlink>
        </w:p>
        <w:p w:rsidR="00707315" w:rsidRDefault="000472BC">
          <w:pPr>
            <w:pStyle w:val="TOC3"/>
            <w:rPr>
              <w:rFonts w:asciiTheme="minorHAnsi" w:eastAsiaTheme="minorEastAsia" w:hAnsiTheme="minorHAnsi" w:cstheme="minorBidi"/>
              <w:noProof/>
              <w:lang w:eastAsia="en-AU"/>
            </w:rPr>
          </w:pPr>
          <w:hyperlink w:anchor="_Toc432073725" w:history="1">
            <w:r w:rsidR="00707315" w:rsidRPr="000B490F">
              <w:rPr>
                <w:rStyle w:val="Hyperlink"/>
                <w:noProof/>
                <w:kern w:val="2"/>
              </w:rPr>
              <w:t>Phototoxicity</w:t>
            </w:r>
            <w:r w:rsidR="00707315">
              <w:rPr>
                <w:noProof/>
                <w:webHidden/>
              </w:rPr>
              <w:tab/>
            </w:r>
            <w:r w:rsidR="00707315">
              <w:rPr>
                <w:noProof/>
                <w:webHidden/>
              </w:rPr>
              <w:fldChar w:fldCharType="begin"/>
            </w:r>
            <w:r w:rsidR="00707315">
              <w:rPr>
                <w:noProof/>
                <w:webHidden/>
              </w:rPr>
              <w:instrText xml:space="preserve"> PAGEREF _Toc432073725 \h </w:instrText>
            </w:r>
            <w:r w:rsidR="00707315">
              <w:rPr>
                <w:noProof/>
                <w:webHidden/>
              </w:rPr>
            </w:r>
            <w:r w:rsidR="00707315">
              <w:rPr>
                <w:noProof/>
                <w:webHidden/>
              </w:rPr>
              <w:fldChar w:fldCharType="separate"/>
            </w:r>
            <w:r w:rsidR="00707315">
              <w:rPr>
                <w:noProof/>
                <w:webHidden/>
              </w:rPr>
              <w:t>19</w:t>
            </w:r>
            <w:r w:rsidR="00707315">
              <w:rPr>
                <w:noProof/>
                <w:webHidden/>
              </w:rPr>
              <w:fldChar w:fldCharType="end"/>
            </w:r>
          </w:hyperlink>
        </w:p>
        <w:p w:rsidR="00707315" w:rsidRDefault="000472BC">
          <w:pPr>
            <w:pStyle w:val="TOC3"/>
            <w:rPr>
              <w:rFonts w:asciiTheme="minorHAnsi" w:eastAsiaTheme="minorEastAsia" w:hAnsiTheme="minorHAnsi" w:cstheme="minorBidi"/>
              <w:noProof/>
              <w:lang w:eastAsia="en-AU"/>
            </w:rPr>
          </w:pPr>
          <w:hyperlink w:anchor="_Toc432073726" w:history="1">
            <w:r w:rsidR="00707315" w:rsidRPr="000B490F">
              <w:rPr>
                <w:rStyle w:val="Hyperlink"/>
                <w:noProof/>
              </w:rPr>
              <w:t>Nonclinical summary and conclusions</w:t>
            </w:r>
            <w:r w:rsidR="00707315">
              <w:rPr>
                <w:noProof/>
                <w:webHidden/>
              </w:rPr>
              <w:tab/>
            </w:r>
            <w:r w:rsidR="00707315">
              <w:rPr>
                <w:noProof/>
                <w:webHidden/>
              </w:rPr>
              <w:fldChar w:fldCharType="begin"/>
            </w:r>
            <w:r w:rsidR="00707315">
              <w:rPr>
                <w:noProof/>
                <w:webHidden/>
              </w:rPr>
              <w:instrText xml:space="preserve"> PAGEREF _Toc432073726 \h </w:instrText>
            </w:r>
            <w:r w:rsidR="00707315">
              <w:rPr>
                <w:noProof/>
                <w:webHidden/>
              </w:rPr>
            </w:r>
            <w:r w:rsidR="00707315">
              <w:rPr>
                <w:noProof/>
                <w:webHidden/>
              </w:rPr>
              <w:fldChar w:fldCharType="separate"/>
            </w:r>
            <w:r w:rsidR="00707315">
              <w:rPr>
                <w:noProof/>
                <w:webHidden/>
              </w:rPr>
              <w:t>19</w:t>
            </w:r>
            <w:r w:rsidR="00707315">
              <w:rPr>
                <w:noProof/>
                <w:webHidden/>
              </w:rPr>
              <w:fldChar w:fldCharType="end"/>
            </w:r>
          </w:hyperlink>
        </w:p>
        <w:p w:rsidR="00707315" w:rsidRDefault="000472BC">
          <w:pPr>
            <w:pStyle w:val="TOC2"/>
            <w:rPr>
              <w:rFonts w:asciiTheme="minorHAnsi" w:eastAsiaTheme="minorEastAsia" w:hAnsiTheme="minorHAnsi" w:cstheme="minorBidi"/>
              <w:b w:val="0"/>
              <w:noProof/>
              <w:sz w:val="22"/>
              <w:lang w:eastAsia="en-AU"/>
            </w:rPr>
          </w:pPr>
          <w:hyperlink w:anchor="_Toc432073727" w:history="1">
            <w:r w:rsidR="00707315" w:rsidRPr="000B490F">
              <w:rPr>
                <w:rStyle w:val="Hyperlink"/>
                <w:noProof/>
              </w:rPr>
              <w:t>IV. Clinical findings</w:t>
            </w:r>
            <w:r w:rsidR="00707315">
              <w:rPr>
                <w:noProof/>
                <w:webHidden/>
              </w:rPr>
              <w:tab/>
            </w:r>
            <w:r w:rsidR="00707315">
              <w:rPr>
                <w:noProof/>
                <w:webHidden/>
              </w:rPr>
              <w:fldChar w:fldCharType="begin"/>
            </w:r>
            <w:r w:rsidR="00707315">
              <w:rPr>
                <w:noProof/>
                <w:webHidden/>
              </w:rPr>
              <w:instrText xml:space="preserve"> PAGEREF _Toc432073727 \h </w:instrText>
            </w:r>
            <w:r w:rsidR="00707315">
              <w:rPr>
                <w:noProof/>
                <w:webHidden/>
              </w:rPr>
            </w:r>
            <w:r w:rsidR="00707315">
              <w:rPr>
                <w:noProof/>
                <w:webHidden/>
              </w:rPr>
              <w:fldChar w:fldCharType="separate"/>
            </w:r>
            <w:r w:rsidR="00707315">
              <w:rPr>
                <w:noProof/>
                <w:webHidden/>
              </w:rPr>
              <w:t>21</w:t>
            </w:r>
            <w:r w:rsidR="00707315">
              <w:rPr>
                <w:noProof/>
                <w:webHidden/>
              </w:rPr>
              <w:fldChar w:fldCharType="end"/>
            </w:r>
          </w:hyperlink>
        </w:p>
        <w:p w:rsidR="00707315" w:rsidRDefault="000472BC">
          <w:pPr>
            <w:pStyle w:val="TOC3"/>
            <w:rPr>
              <w:rFonts w:asciiTheme="minorHAnsi" w:eastAsiaTheme="minorEastAsia" w:hAnsiTheme="minorHAnsi" w:cstheme="minorBidi"/>
              <w:noProof/>
              <w:lang w:eastAsia="en-AU"/>
            </w:rPr>
          </w:pPr>
          <w:hyperlink w:anchor="_Toc432073728" w:history="1">
            <w:r w:rsidR="00707315" w:rsidRPr="000B490F">
              <w:rPr>
                <w:rStyle w:val="Hyperlink"/>
                <w:noProof/>
              </w:rPr>
              <w:t>Introduction</w:t>
            </w:r>
            <w:r w:rsidR="00707315">
              <w:rPr>
                <w:noProof/>
                <w:webHidden/>
              </w:rPr>
              <w:tab/>
            </w:r>
            <w:r w:rsidR="00707315">
              <w:rPr>
                <w:noProof/>
                <w:webHidden/>
              </w:rPr>
              <w:fldChar w:fldCharType="begin"/>
            </w:r>
            <w:r w:rsidR="00707315">
              <w:rPr>
                <w:noProof/>
                <w:webHidden/>
              </w:rPr>
              <w:instrText xml:space="preserve"> PAGEREF _Toc432073728 \h </w:instrText>
            </w:r>
            <w:r w:rsidR="00707315">
              <w:rPr>
                <w:noProof/>
                <w:webHidden/>
              </w:rPr>
            </w:r>
            <w:r w:rsidR="00707315">
              <w:rPr>
                <w:noProof/>
                <w:webHidden/>
              </w:rPr>
              <w:fldChar w:fldCharType="separate"/>
            </w:r>
            <w:r w:rsidR="00707315">
              <w:rPr>
                <w:noProof/>
                <w:webHidden/>
              </w:rPr>
              <w:t>21</w:t>
            </w:r>
            <w:r w:rsidR="00707315">
              <w:rPr>
                <w:noProof/>
                <w:webHidden/>
              </w:rPr>
              <w:fldChar w:fldCharType="end"/>
            </w:r>
          </w:hyperlink>
        </w:p>
        <w:p w:rsidR="00707315" w:rsidRDefault="000472BC">
          <w:pPr>
            <w:pStyle w:val="TOC3"/>
            <w:rPr>
              <w:rFonts w:asciiTheme="minorHAnsi" w:eastAsiaTheme="minorEastAsia" w:hAnsiTheme="minorHAnsi" w:cstheme="minorBidi"/>
              <w:noProof/>
              <w:lang w:eastAsia="en-AU"/>
            </w:rPr>
          </w:pPr>
          <w:hyperlink w:anchor="_Toc432073729" w:history="1">
            <w:r w:rsidR="00707315" w:rsidRPr="000B490F">
              <w:rPr>
                <w:rStyle w:val="Hyperlink"/>
                <w:noProof/>
              </w:rPr>
              <w:t>Pharmacokinetics</w:t>
            </w:r>
            <w:r w:rsidR="00707315">
              <w:rPr>
                <w:noProof/>
                <w:webHidden/>
              </w:rPr>
              <w:tab/>
            </w:r>
            <w:r w:rsidR="00707315">
              <w:rPr>
                <w:noProof/>
                <w:webHidden/>
              </w:rPr>
              <w:fldChar w:fldCharType="begin"/>
            </w:r>
            <w:r w:rsidR="00707315">
              <w:rPr>
                <w:noProof/>
                <w:webHidden/>
              </w:rPr>
              <w:instrText xml:space="preserve"> PAGEREF _Toc432073729 \h </w:instrText>
            </w:r>
            <w:r w:rsidR="00707315">
              <w:rPr>
                <w:noProof/>
                <w:webHidden/>
              </w:rPr>
            </w:r>
            <w:r w:rsidR="00707315">
              <w:rPr>
                <w:noProof/>
                <w:webHidden/>
              </w:rPr>
              <w:fldChar w:fldCharType="separate"/>
            </w:r>
            <w:r w:rsidR="00707315">
              <w:rPr>
                <w:noProof/>
                <w:webHidden/>
              </w:rPr>
              <w:t>23</w:t>
            </w:r>
            <w:r w:rsidR="00707315">
              <w:rPr>
                <w:noProof/>
                <w:webHidden/>
              </w:rPr>
              <w:fldChar w:fldCharType="end"/>
            </w:r>
          </w:hyperlink>
        </w:p>
        <w:p w:rsidR="00707315" w:rsidRDefault="000472BC">
          <w:pPr>
            <w:pStyle w:val="TOC3"/>
            <w:rPr>
              <w:rFonts w:asciiTheme="minorHAnsi" w:eastAsiaTheme="minorEastAsia" w:hAnsiTheme="minorHAnsi" w:cstheme="minorBidi"/>
              <w:noProof/>
              <w:lang w:eastAsia="en-AU"/>
            </w:rPr>
          </w:pPr>
          <w:hyperlink w:anchor="_Toc432073730" w:history="1">
            <w:r w:rsidR="00707315" w:rsidRPr="000B490F">
              <w:rPr>
                <w:rStyle w:val="Hyperlink"/>
                <w:noProof/>
              </w:rPr>
              <w:t>Pharmacodynamics</w:t>
            </w:r>
            <w:r w:rsidR="00707315">
              <w:rPr>
                <w:noProof/>
                <w:webHidden/>
              </w:rPr>
              <w:tab/>
            </w:r>
            <w:r w:rsidR="00707315">
              <w:rPr>
                <w:noProof/>
                <w:webHidden/>
              </w:rPr>
              <w:fldChar w:fldCharType="begin"/>
            </w:r>
            <w:r w:rsidR="00707315">
              <w:rPr>
                <w:noProof/>
                <w:webHidden/>
              </w:rPr>
              <w:instrText xml:space="preserve"> PAGEREF _Toc432073730 \h </w:instrText>
            </w:r>
            <w:r w:rsidR="00707315">
              <w:rPr>
                <w:noProof/>
                <w:webHidden/>
              </w:rPr>
            </w:r>
            <w:r w:rsidR="00707315">
              <w:rPr>
                <w:noProof/>
                <w:webHidden/>
              </w:rPr>
              <w:fldChar w:fldCharType="separate"/>
            </w:r>
            <w:r w:rsidR="00707315">
              <w:rPr>
                <w:noProof/>
                <w:webHidden/>
              </w:rPr>
              <w:t>24</w:t>
            </w:r>
            <w:r w:rsidR="00707315">
              <w:rPr>
                <w:noProof/>
                <w:webHidden/>
              </w:rPr>
              <w:fldChar w:fldCharType="end"/>
            </w:r>
          </w:hyperlink>
        </w:p>
        <w:p w:rsidR="00707315" w:rsidRDefault="000472BC">
          <w:pPr>
            <w:pStyle w:val="TOC3"/>
            <w:rPr>
              <w:rFonts w:asciiTheme="minorHAnsi" w:eastAsiaTheme="minorEastAsia" w:hAnsiTheme="minorHAnsi" w:cstheme="minorBidi"/>
              <w:noProof/>
              <w:lang w:eastAsia="en-AU"/>
            </w:rPr>
          </w:pPr>
          <w:hyperlink w:anchor="_Toc432073731" w:history="1">
            <w:r w:rsidR="00707315" w:rsidRPr="000B490F">
              <w:rPr>
                <w:rStyle w:val="Hyperlink"/>
                <w:noProof/>
              </w:rPr>
              <w:t>Dosage selection for the pivotal studies</w:t>
            </w:r>
            <w:r w:rsidR="00707315">
              <w:rPr>
                <w:noProof/>
                <w:webHidden/>
              </w:rPr>
              <w:tab/>
            </w:r>
            <w:r w:rsidR="00707315">
              <w:rPr>
                <w:noProof/>
                <w:webHidden/>
              </w:rPr>
              <w:fldChar w:fldCharType="begin"/>
            </w:r>
            <w:r w:rsidR="00707315">
              <w:rPr>
                <w:noProof/>
                <w:webHidden/>
              </w:rPr>
              <w:instrText xml:space="preserve"> PAGEREF _Toc432073731 \h </w:instrText>
            </w:r>
            <w:r w:rsidR="00707315">
              <w:rPr>
                <w:noProof/>
                <w:webHidden/>
              </w:rPr>
            </w:r>
            <w:r w:rsidR="00707315">
              <w:rPr>
                <w:noProof/>
                <w:webHidden/>
              </w:rPr>
              <w:fldChar w:fldCharType="separate"/>
            </w:r>
            <w:r w:rsidR="00707315">
              <w:rPr>
                <w:noProof/>
                <w:webHidden/>
              </w:rPr>
              <w:t>25</w:t>
            </w:r>
            <w:r w:rsidR="00707315">
              <w:rPr>
                <w:noProof/>
                <w:webHidden/>
              </w:rPr>
              <w:fldChar w:fldCharType="end"/>
            </w:r>
          </w:hyperlink>
        </w:p>
        <w:p w:rsidR="00707315" w:rsidRDefault="000472BC">
          <w:pPr>
            <w:pStyle w:val="TOC3"/>
            <w:rPr>
              <w:rFonts w:asciiTheme="minorHAnsi" w:eastAsiaTheme="minorEastAsia" w:hAnsiTheme="minorHAnsi" w:cstheme="minorBidi"/>
              <w:noProof/>
              <w:lang w:eastAsia="en-AU"/>
            </w:rPr>
          </w:pPr>
          <w:hyperlink w:anchor="_Toc432073732" w:history="1">
            <w:r w:rsidR="00707315" w:rsidRPr="000B490F">
              <w:rPr>
                <w:rStyle w:val="Hyperlink"/>
                <w:noProof/>
              </w:rPr>
              <w:t>Efficacy</w:t>
            </w:r>
            <w:r w:rsidR="00707315">
              <w:rPr>
                <w:noProof/>
                <w:webHidden/>
              </w:rPr>
              <w:tab/>
            </w:r>
            <w:r w:rsidR="00707315">
              <w:rPr>
                <w:noProof/>
                <w:webHidden/>
              </w:rPr>
              <w:fldChar w:fldCharType="begin"/>
            </w:r>
            <w:r w:rsidR="00707315">
              <w:rPr>
                <w:noProof/>
                <w:webHidden/>
              </w:rPr>
              <w:instrText xml:space="preserve"> PAGEREF _Toc432073732 \h </w:instrText>
            </w:r>
            <w:r w:rsidR="00707315">
              <w:rPr>
                <w:noProof/>
                <w:webHidden/>
              </w:rPr>
            </w:r>
            <w:r w:rsidR="00707315">
              <w:rPr>
                <w:noProof/>
                <w:webHidden/>
              </w:rPr>
              <w:fldChar w:fldCharType="separate"/>
            </w:r>
            <w:r w:rsidR="00707315">
              <w:rPr>
                <w:noProof/>
                <w:webHidden/>
              </w:rPr>
              <w:t>25</w:t>
            </w:r>
            <w:r w:rsidR="00707315">
              <w:rPr>
                <w:noProof/>
                <w:webHidden/>
              </w:rPr>
              <w:fldChar w:fldCharType="end"/>
            </w:r>
          </w:hyperlink>
        </w:p>
        <w:p w:rsidR="00707315" w:rsidRDefault="000472BC">
          <w:pPr>
            <w:pStyle w:val="TOC3"/>
            <w:rPr>
              <w:rFonts w:asciiTheme="minorHAnsi" w:eastAsiaTheme="minorEastAsia" w:hAnsiTheme="minorHAnsi" w:cstheme="minorBidi"/>
              <w:noProof/>
              <w:lang w:eastAsia="en-AU"/>
            </w:rPr>
          </w:pPr>
          <w:hyperlink w:anchor="_Toc432073733" w:history="1">
            <w:r w:rsidR="00707315" w:rsidRPr="000B490F">
              <w:rPr>
                <w:rStyle w:val="Hyperlink"/>
                <w:noProof/>
              </w:rPr>
              <w:t>Safety</w:t>
            </w:r>
            <w:r w:rsidR="00707315">
              <w:rPr>
                <w:noProof/>
                <w:webHidden/>
              </w:rPr>
              <w:tab/>
            </w:r>
            <w:r w:rsidR="00707315">
              <w:rPr>
                <w:noProof/>
                <w:webHidden/>
              </w:rPr>
              <w:fldChar w:fldCharType="begin"/>
            </w:r>
            <w:r w:rsidR="00707315">
              <w:rPr>
                <w:noProof/>
                <w:webHidden/>
              </w:rPr>
              <w:instrText xml:space="preserve"> PAGEREF _Toc432073733 \h </w:instrText>
            </w:r>
            <w:r w:rsidR="00707315">
              <w:rPr>
                <w:noProof/>
                <w:webHidden/>
              </w:rPr>
            </w:r>
            <w:r w:rsidR="00707315">
              <w:rPr>
                <w:noProof/>
                <w:webHidden/>
              </w:rPr>
              <w:fldChar w:fldCharType="separate"/>
            </w:r>
            <w:r w:rsidR="00707315">
              <w:rPr>
                <w:noProof/>
                <w:webHidden/>
              </w:rPr>
              <w:t>27</w:t>
            </w:r>
            <w:r w:rsidR="00707315">
              <w:rPr>
                <w:noProof/>
                <w:webHidden/>
              </w:rPr>
              <w:fldChar w:fldCharType="end"/>
            </w:r>
          </w:hyperlink>
        </w:p>
        <w:p w:rsidR="00707315" w:rsidRDefault="000472BC">
          <w:pPr>
            <w:pStyle w:val="TOC3"/>
            <w:rPr>
              <w:rFonts w:asciiTheme="minorHAnsi" w:eastAsiaTheme="minorEastAsia" w:hAnsiTheme="minorHAnsi" w:cstheme="minorBidi"/>
              <w:noProof/>
              <w:lang w:eastAsia="en-AU"/>
            </w:rPr>
          </w:pPr>
          <w:hyperlink w:anchor="_Toc432073734" w:history="1">
            <w:r w:rsidR="00707315" w:rsidRPr="000B490F">
              <w:rPr>
                <w:rStyle w:val="Hyperlink"/>
                <w:noProof/>
              </w:rPr>
              <w:t>First Round Benefit-Risk Assessment</w:t>
            </w:r>
            <w:r w:rsidR="00707315">
              <w:rPr>
                <w:noProof/>
                <w:webHidden/>
              </w:rPr>
              <w:tab/>
            </w:r>
            <w:r w:rsidR="00707315">
              <w:rPr>
                <w:noProof/>
                <w:webHidden/>
              </w:rPr>
              <w:fldChar w:fldCharType="begin"/>
            </w:r>
            <w:r w:rsidR="00707315">
              <w:rPr>
                <w:noProof/>
                <w:webHidden/>
              </w:rPr>
              <w:instrText xml:space="preserve"> PAGEREF _Toc432073734 \h </w:instrText>
            </w:r>
            <w:r w:rsidR="00707315">
              <w:rPr>
                <w:noProof/>
                <w:webHidden/>
              </w:rPr>
            </w:r>
            <w:r w:rsidR="00707315">
              <w:rPr>
                <w:noProof/>
                <w:webHidden/>
              </w:rPr>
              <w:fldChar w:fldCharType="separate"/>
            </w:r>
            <w:r w:rsidR="00707315">
              <w:rPr>
                <w:noProof/>
                <w:webHidden/>
              </w:rPr>
              <w:t>29</w:t>
            </w:r>
            <w:r w:rsidR="00707315">
              <w:rPr>
                <w:noProof/>
                <w:webHidden/>
              </w:rPr>
              <w:fldChar w:fldCharType="end"/>
            </w:r>
          </w:hyperlink>
        </w:p>
        <w:p w:rsidR="00707315" w:rsidRDefault="000472BC">
          <w:pPr>
            <w:pStyle w:val="TOC3"/>
            <w:rPr>
              <w:rFonts w:asciiTheme="minorHAnsi" w:eastAsiaTheme="minorEastAsia" w:hAnsiTheme="minorHAnsi" w:cstheme="minorBidi"/>
              <w:noProof/>
              <w:lang w:eastAsia="en-AU"/>
            </w:rPr>
          </w:pPr>
          <w:hyperlink w:anchor="_Toc432073735" w:history="1">
            <w:r w:rsidR="00707315" w:rsidRPr="000B490F">
              <w:rPr>
                <w:rStyle w:val="Hyperlink"/>
                <w:noProof/>
              </w:rPr>
              <w:t>First Round Recommendation Regarding Authorisation</w:t>
            </w:r>
            <w:r w:rsidR="00707315">
              <w:rPr>
                <w:noProof/>
                <w:webHidden/>
              </w:rPr>
              <w:tab/>
            </w:r>
            <w:r w:rsidR="00707315">
              <w:rPr>
                <w:noProof/>
                <w:webHidden/>
              </w:rPr>
              <w:fldChar w:fldCharType="begin"/>
            </w:r>
            <w:r w:rsidR="00707315">
              <w:rPr>
                <w:noProof/>
                <w:webHidden/>
              </w:rPr>
              <w:instrText xml:space="preserve"> PAGEREF _Toc432073735 \h </w:instrText>
            </w:r>
            <w:r w:rsidR="00707315">
              <w:rPr>
                <w:noProof/>
                <w:webHidden/>
              </w:rPr>
            </w:r>
            <w:r w:rsidR="00707315">
              <w:rPr>
                <w:noProof/>
                <w:webHidden/>
              </w:rPr>
              <w:fldChar w:fldCharType="separate"/>
            </w:r>
            <w:r w:rsidR="00707315">
              <w:rPr>
                <w:noProof/>
                <w:webHidden/>
              </w:rPr>
              <w:t>32</w:t>
            </w:r>
            <w:r w:rsidR="00707315">
              <w:rPr>
                <w:noProof/>
                <w:webHidden/>
              </w:rPr>
              <w:fldChar w:fldCharType="end"/>
            </w:r>
          </w:hyperlink>
        </w:p>
        <w:p w:rsidR="00707315" w:rsidRDefault="000472BC">
          <w:pPr>
            <w:pStyle w:val="TOC3"/>
            <w:rPr>
              <w:rFonts w:asciiTheme="minorHAnsi" w:eastAsiaTheme="minorEastAsia" w:hAnsiTheme="minorHAnsi" w:cstheme="minorBidi"/>
              <w:noProof/>
              <w:lang w:eastAsia="en-AU"/>
            </w:rPr>
          </w:pPr>
          <w:hyperlink w:anchor="_Toc432073736" w:history="1">
            <w:r w:rsidR="00707315" w:rsidRPr="000B490F">
              <w:rPr>
                <w:rStyle w:val="Hyperlink"/>
                <w:noProof/>
              </w:rPr>
              <w:t>Clinical Questions</w:t>
            </w:r>
            <w:r w:rsidR="00707315">
              <w:rPr>
                <w:noProof/>
                <w:webHidden/>
              </w:rPr>
              <w:tab/>
            </w:r>
            <w:r w:rsidR="00707315">
              <w:rPr>
                <w:noProof/>
                <w:webHidden/>
              </w:rPr>
              <w:fldChar w:fldCharType="begin"/>
            </w:r>
            <w:r w:rsidR="00707315">
              <w:rPr>
                <w:noProof/>
                <w:webHidden/>
              </w:rPr>
              <w:instrText xml:space="preserve"> PAGEREF _Toc432073736 \h </w:instrText>
            </w:r>
            <w:r w:rsidR="00707315">
              <w:rPr>
                <w:noProof/>
                <w:webHidden/>
              </w:rPr>
            </w:r>
            <w:r w:rsidR="00707315">
              <w:rPr>
                <w:noProof/>
                <w:webHidden/>
              </w:rPr>
              <w:fldChar w:fldCharType="separate"/>
            </w:r>
            <w:r w:rsidR="00707315">
              <w:rPr>
                <w:noProof/>
                <w:webHidden/>
              </w:rPr>
              <w:t>32</w:t>
            </w:r>
            <w:r w:rsidR="00707315">
              <w:rPr>
                <w:noProof/>
                <w:webHidden/>
              </w:rPr>
              <w:fldChar w:fldCharType="end"/>
            </w:r>
          </w:hyperlink>
        </w:p>
        <w:p w:rsidR="00707315" w:rsidRDefault="000472BC">
          <w:pPr>
            <w:pStyle w:val="TOC3"/>
            <w:rPr>
              <w:rFonts w:asciiTheme="minorHAnsi" w:eastAsiaTheme="minorEastAsia" w:hAnsiTheme="minorHAnsi" w:cstheme="minorBidi"/>
              <w:noProof/>
              <w:lang w:eastAsia="en-AU"/>
            </w:rPr>
          </w:pPr>
          <w:hyperlink w:anchor="_Toc432073737" w:history="1">
            <w:r w:rsidR="00707315" w:rsidRPr="000B490F">
              <w:rPr>
                <w:rStyle w:val="Hyperlink"/>
                <w:noProof/>
              </w:rPr>
              <w:t>Second Round Evaluation of clinical data</w:t>
            </w:r>
            <w:r w:rsidR="00707315">
              <w:rPr>
                <w:noProof/>
                <w:webHidden/>
              </w:rPr>
              <w:tab/>
            </w:r>
            <w:r w:rsidR="00707315">
              <w:rPr>
                <w:noProof/>
                <w:webHidden/>
              </w:rPr>
              <w:fldChar w:fldCharType="begin"/>
            </w:r>
            <w:r w:rsidR="00707315">
              <w:rPr>
                <w:noProof/>
                <w:webHidden/>
              </w:rPr>
              <w:instrText xml:space="preserve"> PAGEREF _Toc432073737 \h </w:instrText>
            </w:r>
            <w:r w:rsidR="00707315">
              <w:rPr>
                <w:noProof/>
                <w:webHidden/>
              </w:rPr>
            </w:r>
            <w:r w:rsidR="00707315">
              <w:rPr>
                <w:noProof/>
                <w:webHidden/>
              </w:rPr>
              <w:fldChar w:fldCharType="separate"/>
            </w:r>
            <w:r w:rsidR="00707315">
              <w:rPr>
                <w:noProof/>
                <w:webHidden/>
              </w:rPr>
              <w:t>32</w:t>
            </w:r>
            <w:r w:rsidR="00707315">
              <w:rPr>
                <w:noProof/>
                <w:webHidden/>
              </w:rPr>
              <w:fldChar w:fldCharType="end"/>
            </w:r>
          </w:hyperlink>
        </w:p>
        <w:p w:rsidR="00707315" w:rsidRDefault="000472BC">
          <w:pPr>
            <w:pStyle w:val="TOC3"/>
            <w:rPr>
              <w:rFonts w:asciiTheme="minorHAnsi" w:eastAsiaTheme="minorEastAsia" w:hAnsiTheme="minorHAnsi" w:cstheme="minorBidi"/>
              <w:noProof/>
              <w:lang w:eastAsia="en-AU"/>
            </w:rPr>
          </w:pPr>
          <w:hyperlink w:anchor="_Toc432073738" w:history="1">
            <w:r w:rsidR="00707315" w:rsidRPr="000B490F">
              <w:rPr>
                <w:rStyle w:val="Hyperlink"/>
                <w:noProof/>
              </w:rPr>
              <w:t>Second Round Benefit-Risk Assessment</w:t>
            </w:r>
            <w:r w:rsidR="00707315">
              <w:rPr>
                <w:noProof/>
                <w:webHidden/>
              </w:rPr>
              <w:tab/>
            </w:r>
            <w:r w:rsidR="00707315">
              <w:rPr>
                <w:noProof/>
                <w:webHidden/>
              </w:rPr>
              <w:fldChar w:fldCharType="begin"/>
            </w:r>
            <w:r w:rsidR="00707315">
              <w:rPr>
                <w:noProof/>
                <w:webHidden/>
              </w:rPr>
              <w:instrText xml:space="preserve"> PAGEREF _Toc432073738 \h </w:instrText>
            </w:r>
            <w:r w:rsidR="00707315">
              <w:rPr>
                <w:noProof/>
                <w:webHidden/>
              </w:rPr>
            </w:r>
            <w:r w:rsidR="00707315">
              <w:rPr>
                <w:noProof/>
                <w:webHidden/>
              </w:rPr>
              <w:fldChar w:fldCharType="separate"/>
            </w:r>
            <w:r w:rsidR="00707315">
              <w:rPr>
                <w:noProof/>
                <w:webHidden/>
              </w:rPr>
              <w:t>36</w:t>
            </w:r>
            <w:r w:rsidR="00707315">
              <w:rPr>
                <w:noProof/>
                <w:webHidden/>
              </w:rPr>
              <w:fldChar w:fldCharType="end"/>
            </w:r>
          </w:hyperlink>
        </w:p>
        <w:p w:rsidR="00707315" w:rsidRDefault="000472BC">
          <w:pPr>
            <w:pStyle w:val="TOC3"/>
            <w:rPr>
              <w:rFonts w:asciiTheme="minorHAnsi" w:eastAsiaTheme="minorEastAsia" w:hAnsiTheme="minorHAnsi" w:cstheme="minorBidi"/>
              <w:noProof/>
              <w:lang w:eastAsia="en-AU"/>
            </w:rPr>
          </w:pPr>
          <w:hyperlink w:anchor="_Toc432073739" w:history="1">
            <w:r w:rsidR="00707315" w:rsidRPr="000B490F">
              <w:rPr>
                <w:rStyle w:val="Hyperlink"/>
                <w:noProof/>
              </w:rPr>
              <w:t>Second Round Recommendation Regarding Authorisation</w:t>
            </w:r>
            <w:r w:rsidR="00707315">
              <w:rPr>
                <w:noProof/>
                <w:webHidden/>
              </w:rPr>
              <w:tab/>
            </w:r>
            <w:r w:rsidR="00707315">
              <w:rPr>
                <w:noProof/>
                <w:webHidden/>
              </w:rPr>
              <w:fldChar w:fldCharType="begin"/>
            </w:r>
            <w:r w:rsidR="00707315">
              <w:rPr>
                <w:noProof/>
                <w:webHidden/>
              </w:rPr>
              <w:instrText xml:space="preserve"> PAGEREF _Toc432073739 \h </w:instrText>
            </w:r>
            <w:r w:rsidR="00707315">
              <w:rPr>
                <w:noProof/>
                <w:webHidden/>
              </w:rPr>
            </w:r>
            <w:r w:rsidR="00707315">
              <w:rPr>
                <w:noProof/>
                <w:webHidden/>
              </w:rPr>
              <w:fldChar w:fldCharType="separate"/>
            </w:r>
            <w:r w:rsidR="00707315">
              <w:rPr>
                <w:noProof/>
                <w:webHidden/>
              </w:rPr>
              <w:t>36</w:t>
            </w:r>
            <w:r w:rsidR="00707315">
              <w:rPr>
                <w:noProof/>
                <w:webHidden/>
              </w:rPr>
              <w:fldChar w:fldCharType="end"/>
            </w:r>
          </w:hyperlink>
        </w:p>
        <w:p w:rsidR="00707315" w:rsidRDefault="000472BC">
          <w:pPr>
            <w:pStyle w:val="TOC2"/>
            <w:rPr>
              <w:rFonts w:asciiTheme="minorHAnsi" w:eastAsiaTheme="minorEastAsia" w:hAnsiTheme="minorHAnsi" w:cstheme="minorBidi"/>
              <w:b w:val="0"/>
              <w:noProof/>
              <w:sz w:val="22"/>
              <w:lang w:eastAsia="en-AU"/>
            </w:rPr>
          </w:pPr>
          <w:hyperlink w:anchor="_Toc432073740" w:history="1">
            <w:r w:rsidR="00707315" w:rsidRPr="000B490F">
              <w:rPr>
                <w:rStyle w:val="Hyperlink"/>
                <w:noProof/>
              </w:rPr>
              <w:t>V. Pharmacovigilance findings</w:t>
            </w:r>
            <w:r w:rsidR="00707315">
              <w:rPr>
                <w:noProof/>
                <w:webHidden/>
              </w:rPr>
              <w:tab/>
            </w:r>
            <w:r w:rsidR="00707315">
              <w:rPr>
                <w:noProof/>
                <w:webHidden/>
              </w:rPr>
              <w:fldChar w:fldCharType="begin"/>
            </w:r>
            <w:r w:rsidR="00707315">
              <w:rPr>
                <w:noProof/>
                <w:webHidden/>
              </w:rPr>
              <w:instrText xml:space="preserve"> PAGEREF _Toc432073740 \h </w:instrText>
            </w:r>
            <w:r w:rsidR="00707315">
              <w:rPr>
                <w:noProof/>
                <w:webHidden/>
              </w:rPr>
            </w:r>
            <w:r w:rsidR="00707315">
              <w:rPr>
                <w:noProof/>
                <w:webHidden/>
              </w:rPr>
              <w:fldChar w:fldCharType="separate"/>
            </w:r>
            <w:r w:rsidR="00707315">
              <w:rPr>
                <w:noProof/>
                <w:webHidden/>
              </w:rPr>
              <w:t>37</w:t>
            </w:r>
            <w:r w:rsidR="00707315">
              <w:rPr>
                <w:noProof/>
                <w:webHidden/>
              </w:rPr>
              <w:fldChar w:fldCharType="end"/>
            </w:r>
          </w:hyperlink>
        </w:p>
        <w:p w:rsidR="00707315" w:rsidRDefault="000472BC">
          <w:pPr>
            <w:pStyle w:val="TOC3"/>
            <w:rPr>
              <w:rFonts w:asciiTheme="minorHAnsi" w:eastAsiaTheme="minorEastAsia" w:hAnsiTheme="minorHAnsi" w:cstheme="minorBidi"/>
              <w:noProof/>
              <w:lang w:eastAsia="en-AU"/>
            </w:rPr>
          </w:pPr>
          <w:hyperlink w:anchor="_Toc432073741" w:history="1">
            <w:r w:rsidR="00707315" w:rsidRPr="000B490F">
              <w:rPr>
                <w:rStyle w:val="Hyperlink"/>
                <w:noProof/>
                <w:lang w:eastAsia="en-AU"/>
              </w:rPr>
              <w:t>Risk management plan</w:t>
            </w:r>
            <w:r w:rsidR="00707315">
              <w:rPr>
                <w:noProof/>
                <w:webHidden/>
              </w:rPr>
              <w:tab/>
            </w:r>
            <w:r w:rsidR="00707315">
              <w:rPr>
                <w:noProof/>
                <w:webHidden/>
              </w:rPr>
              <w:fldChar w:fldCharType="begin"/>
            </w:r>
            <w:r w:rsidR="00707315">
              <w:rPr>
                <w:noProof/>
                <w:webHidden/>
              </w:rPr>
              <w:instrText xml:space="preserve"> PAGEREF _Toc432073741 \h </w:instrText>
            </w:r>
            <w:r w:rsidR="00707315">
              <w:rPr>
                <w:noProof/>
                <w:webHidden/>
              </w:rPr>
            </w:r>
            <w:r w:rsidR="00707315">
              <w:rPr>
                <w:noProof/>
                <w:webHidden/>
              </w:rPr>
              <w:fldChar w:fldCharType="separate"/>
            </w:r>
            <w:r w:rsidR="00707315">
              <w:rPr>
                <w:noProof/>
                <w:webHidden/>
              </w:rPr>
              <w:t>37</w:t>
            </w:r>
            <w:r w:rsidR="00707315">
              <w:rPr>
                <w:noProof/>
                <w:webHidden/>
              </w:rPr>
              <w:fldChar w:fldCharType="end"/>
            </w:r>
          </w:hyperlink>
        </w:p>
        <w:p w:rsidR="00707315" w:rsidRDefault="000472BC">
          <w:pPr>
            <w:pStyle w:val="TOC2"/>
            <w:rPr>
              <w:rFonts w:asciiTheme="minorHAnsi" w:eastAsiaTheme="minorEastAsia" w:hAnsiTheme="minorHAnsi" w:cstheme="minorBidi"/>
              <w:b w:val="0"/>
              <w:noProof/>
              <w:sz w:val="22"/>
              <w:lang w:eastAsia="en-AU"/>
            </w:rPr>
          </w:pPr>
          <w:hyperlink w:anchor="_Toc432073742" w:history="1">
            <w:r w:rsidR="00707315" w:rsidRPr="000B490F">
              <w:rPr>
                <w:rStyle w:val="Hyperlink"/>
                <w:noProof/>
              </w:rPr>
              <w:t>VI. Overall conclusion and risk/benefit assessment</w:t>
            </w:r>
            <w:r w:rsidR="00707315">
              <w:rPr>
                <w:noProof/>
                <w:webHidden/>
              </w:rPr>
              <w:tab/>
            </w:r>
            <w:r w:rsidR="00707315">
              <w:rPr>
                <w:noProof/>
                <w:webHidden/>
              </w:rPr>
              <w:fldChar w:fldCharType="begin"/>
            </w:r>
            <w:r w:rsidR="00707315">
              <w:rPr>
                <w:noProof/>
                <w:webHidden/>
              </w:rPr>
              <w:instrText xml:space="preserve"> PAGEREF _Toc432073742 \h </w:instrText>
            </w:r>
            <w:r w:rsidR="00707315">
              <w:rPr>
                <w:noProof/>
                <w:webHidden/>
              </w:rPr>
            </w:r>
            <w:r w:rsidR="00707315">
              <w:rPr>
                <w:noProof/>
                <w:webHidden/>
              </w:rPr>
              <w:fldChar w:fldCharType="separate"/>
            </w:r>
            <w:r w:rsidR="00707315">
              <w:rPr>
                <w:noProof/>
                <w:webHidden/>
              </w:rPr>
              <w:t>45</w:t>
            </w:r>
            <w:r w:rsidR="00707315">
              <w:rPr>
                <w:noProof/>
                <w:webHidden/>
              </w:rPr>
              <w:fldChar w:fldCharType="end"/>
            </w:r>
          </w:hyperlink>
        </w:p>
        <w:p w:rsidR="00707315" w:rsidRDefault="000472BC">
          <w:pPr>
            <w:pStyle w:val="TOC3"/>
            <w:rPr>
              <w:rFonts w:asciiTheme="minorHAnsi" w:eastAsiaTheme="minorEastAsia" w:hAnsiTheme="minorHAnsi" w:cstheme="minorBidi"/>
              <w:noProof/>
              <w:lang w:eastAsia="en-AU"/>
            </w:rPr>
          </w:pPr>
          <w:hyperlink w:anchor="_Toc432073743" w:history="1">
            <w:r w:rsidR="00707315" w:rsidRPr="000B490F">
              <w:rPr>
                <w:rStyle w:val="Hyperlink"/>
                <w:noProof/>
              </w:rPr>
              <w:t>Quality</w:t>
            </w:r>
            <w:r w:rsidR="00707315">
              <w:rPr>
                <w:noProof/>
                <w:webHidden/>
              </w:rPr>
              <w:tab/>
            </w:r>
            <w:r w:rsidR="00707315">
              <w:rPr>
                <w:noProof/>
                <w:webHidden/>
              </w:rPr>
              <w:fldChar w:fldCharType="begin"/>
            </w:r>
            <w:r w:rsidR="00707315">
              <w:rPr>
                <w:noProof/>
                <w:webHidden/>
              </w:rPr>
              <w:instrText xml:space="preserve"> PAGEREF _Toc432073743 \h </w:instrText>
            </w:r>
            <w:r w:rsidR="00707315">
              <w:rPr>
                <w:noProof/>
                <w:webHidden/>
              </w:rPr>
            </w:r>
            <w:r w:rsidR="00707315">
              <w:rPr>
                <w:noProof/>
                <w:webHidden/>
              </w:rPr>
              <w:fldChar w:fldCharType="separate"/>
            </w:r>
            <w:r w:rsidR="00707315">
              <w:rPr>
                <w:noProof/>
                <w:webHidden/>
              </w:rPr>
              <w:t>46</w:t>
            </w:r>
            <w:r w:rsidR="00707315">
              <w:rPr>
                <w:noProof/>
                <w:webHidden/>
              </w:rPr>
              <w:fldChar w:fldCharType="end"/>
            </w:r>
          </w:hyperlink>
        </w:p>
        <w:p w:rsidR="00707315" w:rsidRDefault="000472BC">
          <w:pPr>
            <w:pStyle w:val="TOC3"/>
            <w:rPr>
              <w:rFonts w:asciiTheme="minorHAnsi" w:eastAsiaTheme="minorEastAsia" w:hAnsiTheme="minorHAnsi" w:cstheme="minorBidi"/>
              <w:noProof/>
              <w:lang w:eastAsia="en-AU"/>
            </w:rPr>
          </w:pPr>
          <w:hyperlink w:anchor="_Toc432073744" w:history="1">
            <w:r w:rsidR="00707315" w:rsidRPr="000B490F">
              <w:rPr>
                <w:rStyle w:val="Hyperlink"/>
                <w:noProof/>
              </w:rPr>
              <w:t>Nonclinical</w:t>
            </w:r>
            <w:r w:rsidR="00707315">
              <w:rPr>
                <w:noProof/>
                <w:webHidden/>
              </w:rPr>
              <w:tab/>
            </w:r>
            <w:r w:rsidR="00707315">
              <w:rPr>
                <w:noProof/>
                <w:webHidden/>
              </w:rPr>
              <w:fldChar w:fldCharType="begin"/>
            </w:r>
            <w:r w:rsidR="00707315">
              <w:rPr>
                <w:noProof/>
                <w:webHidden/>
              </w:rPr>
              <w:instrText xml:space="preserve"> PAGEREF _Toc432073744 \h </w:instrText>
            </w:r>
            <w:r w:rsidR="00707315">
              <w:rPr>
                <w:noProof/>
                <w:webHidden/>
              </w:rPr>
            </w:r>
            <w:r w:rsidR="00707315">
              <w:rPr>
                <w:noProof/>
                <w:webHidden/>
              </w:rPr>
              <w:fldChar w:fldCharType="separate"/>
            </w:r>
            <w:r w:rsidR="00707315">
              <w:rPr>
                <w:noProof/>
                <w:webHidden/>
              </w:rPr>
              <w:t>46</w:t>
            </w:r>
            <w:r w:rsidR="00707315">
              <w:rPr>
                <w:noProof/>
                <w:webHidden/>
              </w:rPr>
              <w:fldChar w:fldCharType="end"/>
            </w:r>
          </w:hyperlink>
        </w:p>
        <w:p w:rsidR="00707315" w:rsidRDefault="000472BC">
          <w:pPr>
            <w:pStyle w:val="TOC3"/>
            <w:rPr>
              <w:rFonts w:asciiTheme="minorHAnsi" w:eastAsiaTheme="minorEastAsia" w:hAnsiTheme="minorHAnsi" w:cstheme="minorBidi"/>
              <w:noProof/>
              <w:lang w:eastAsia="en-AU"/>
            </w:rPr>
          </w:pPr>
          <w:hyperlink w:anchor="_Toc432073745" w:history="1">
            <w:r w:rsidR="00707315" w:rsidRPr="000B490F">
              <w:rPr>
                <w:rStyle w:val="Hyperlink"/>
                <w:noProof/>
              </w:rPr>
              <w:t>Clinical</w:t>
            </w:r>
            <w:r w:rsidR="00707315">
              <w:rPr>
                <w:noProof/>
                <w:webHidden/>
              </w:rPr>
              <w:tab/>
            </w:r>
            <w:r w:rsidR="00707315">
              <w:rPr>
                <w:noProof/>
                <w:webHidden/>
              </w:rPr>
              <w:fldChar w:fldCharType="begin"/>
            </w:r>
            <w:r w:rsidR="00707315">
              <w:rPr>
                <w:noProof/>
                <w:webHidden/>
              </w:rPr>
              <w:instrText xml:space="preserve"> PAGEREF _Toc432073745 \h </w:instrText>
            </w:r>
            <w:r w:rsidR="00707315">
              <w:rPr>
                <w:noProof/>
                <w:webHidden/>
              </w:rPr>
            </w:r>
            <w:r w:rsidR="00707315">
              <w:rPr>
                <w:noProof/>
                <w:webHidden/>
              </w:rPr>
              <w:fldChar w:fldCharType="separate"/>
            </w:r>
            <w:r w:rsidR="00707315">
              <w:rPr>
                <w:noProof/>
                <w:webHidden/>
              </w:rPr>
              <w:t>46</w:t>
            </w:r>
            <w:r w:rsidR="00707315">
              <w:rPr>
                <w:noProof/>
                <w:webHidden/>
              </w:rPr>
              <w:fldChar w:fldCharType="end"/>
            </w:r>
          </w:hyperlink>
        </w:p>
        <w:p w:rsidR="00707315" w:rsidRDefault="000472BC">
          <w:pPr>
            <w:pStyle w:val="TOC3"/>
            <w:rPr>
              <w:rFonts w:asciiTheme="minorHAnsi" w:eastAsiaTheme="minorEastAsia" w:hAnsiTheme="minorHAnsi" w:cstheme="minorBidi"/>
              <w:noProof/>
              <w:lang w:eastAsia="en-AU"/>
            </w:rPr>
          </w:pPr>
          <w:hyperlink w:anchor="_Toc432073746" w:history="1">
            <w:r w:rsidR="00707315" w:rsidRPr="000B490F">
              <w:rPr>
                <w:rStyle w:val="Hyperlink"/>
                <w:noProof/>
                <w:lang w:eastAsia="en-AU"/>
              </w:rPr>
              <w:t>Risk management plan</w:t>
            </w:r>
            <w:r w:rsidR="00707315">
              <w:rPr>
                <w:noProof/>
                <w:webHidden/>
              </w:rPr>
              <w:tab/>
            </w:r>
            <w:r w:rsidR="00707315">
              <w:rPr>
                <w:noProof/>
                <w:webHidden/>
              </w:rPr>
              <w:fldChar w:fldCharType="begin"/>
            </w:r>
            <w:r w:rsidR="00707315">
              <w:rPr>
                <w:noProof/>
                <w:webHidden/>
              </w:rPr>
              <w:instrText xml:space="preserve"> PAGEREF _Toc432073746 \h </w:instrText>
            </w:r>
            <w:r w:rsidR="00707315">
              <w:rPr>
                <w:noProof/>
                <w:webHidden/>
              </w:rPr>
            </w:r>
            <w:r w:rsidR="00707315">
              <w:rPr>
                <w:noProof/>
                <w:webHidden/>
              </w:rPr>
              <w:fldChar w:fldCharType="separate"/>
            </w:r>
            <w:r w:rsidR="00707315">
              <w:rPr>
                <w:noProof/>
                <w:webHidden/>
              </w:rPr>
              <w:t>54</w:t>
            </w:r>
            <w:r w:rsidR="00707315">
              <w:rPr>
                <w:noProof/>
                <w:webHidden/>
              </w:rPr>
              <w:fldChar w:fldCharType="end"/>
            </w:r>
          </w:hyperlink>
        </w:p>
        <w:p w:rsidR="00707315" w:rsidRDefault="000472BC">
          <w:pPr>
            <w:pStyle w:val="TOC3"/>
            <w:rPr>
              <w:rFonts w:asciiTheme="minorHAnsi" w:eastAsiaTheme="minorEastAsia" w:hAnsiTheme="minorHAnsi" w:cstheme="minorBidi"/>
              <w:noProof/>
              <w:lang w:eastAsia="en-AU"/>
            </w:rPr>
          </w:pPr>
          <w:hyperlink w:anchor="_Toc432073747" w:history="1">
            <w:r w:rsidR="00707315" w:rsidRPr="000B490F">
              <w:rPr>
                <w:rStyle w:val="Hyperlink"/>
                <w:noProof/>
              </w:rPr>
              <w:t>Risk-benefit analysis</w:t>
            </w:r>
            <w:r w:rsidR="00707315">
              <w:rPr>
                <w:noProof/>
                <w:webHidden/>
              </w:rPr>
              <w:tab/>
            </w:r>
            <w:r w:rsidR="00707315">
              <w:rPr>
                <w:noProof/>
                <w:webHidden/>
              </w:rPr>
              <w:fldChar w:fldCharType="begin"/>
            </w:r>
            <w:r w:rsidR="00707315">
              <w:rPr>
                <w:noProof/>
                <w:webHidden/>
              </w:rPr>
              <w:instrText xml:space="preserve"> PAGEREF _Toc432073747 \h </w:instrText>
            </w:r>
            <w:r w:rsidR="00707315">
              <w:rPr>
                <w:noProof/>
                <w:webHidden/>
              </w:rPr>
            </w:r>
            <w:r w:rsidR="00707315">
              <w:rPr>
                <w:noProof/>
                <w:webHidden/>
              </w:rPr>
              <w:fldChar w:fldCharType="separate"/>
            </w:r>
            <w:r w:rsidR="00707315">
              <w:rPr>
                <w:noProof/>
                <w:webHidden/>
              </w:rPr>
              <w:t>55</w:t>
            </w:r>
            <w:r w:rsidR="00707315">
              <w:rPr>
                <w:noProof/>
                <w:webHidden/>
              </w:rPr>
              <w:fldChar w:fldCharType="end"/>
            </w:r>
          </w:hyperlink>
        </w:p>
        <w:p w:rsidR="00707315" w:rsidRDefault="000472BC">
          <w:pPr>
            <w:pStyle w:val="TOC3"/>
            <w:rPr>
              <w:rFonts w:asciiTheme="minorHAnsi" w:eastAsiaTheme="minorEastAsia" w:hAnsiTheme="minorHAnsi" w:cstheme="minorBidi"/>
              <w:noProof/>
              <w:lang w:eastAsia="en-AU"/>
            </w:rPr>
          </w:pPr>
          <w:hyperlink w:anchor="_Toc432073748" w:history="1">
            <w:r w:rsidR="00707315" w:rsidRPr="000B490F">
              <w:rPr>
                <w:rStyle w:val="Hyperlink"/>
                <w:noProof/>
              </w:rPr>
              <w:t>Outcome</w:t>
            </w:r>
            <w:r w:rsidR="00707315">
              <w:rPr>
                <w:noProof/>
                <w:webHidden/>
              </w:rPr>
              <w:tab/>
            </w:r>
            <w:r w:rsidR="00707315">
              <w:rPr>
                <w:noProof/>
                <w:webHidden/>
              </w:rPr>
              <w:fldChar w:fldCharType="begin"/>
            </w:r>
            <w:r w:rsidR="00707315">
              <w:rPr>
                <w:noProof/>
                <w:webHidden/>
              </w:rPr>
              <w:instrText xml:space="preserve"> PAGEREF _Toc432073748 \h </w:instrText>
            </w:r>
            <w:r w:rsidR="00707315">
              <w:rPr>
                <w:noProof/>
                <w:webHidden/>
              </w:rPr>
            </w:r>
            <w:r w:rsidR="00707315">
              <w:rPr>
                <w:noProof/>
                <w:webHidden/>
              </w:rPr>
              <w:fldChar w:fldCharType="separate"/>
            </w:r>
            <w:r w:rsidR="00707315">
              <w:rPr>
                <w:noProof/>
                <w:webHidden/>
              </w:rPr>
              <w:t>63</w:t>
            </w:r>
            <w:r w:rsidR="00707315">
              <w:rPr>
                <w:noProof/>
                <w:webHidden/>
              </w:rPr>
              <w:fldChar w:fldCharType="end"/>
            </w:r>
          </w:hyperlink>
        </w:p>
        <w:p w:rsidR="00707315" w:rsidRDefault="000472BC">
          <w:pPr>
            <w:pStyle w:val="TOC2"/>
            <w:rPr>
              <w:rFonts w:asciiTheme="minorHAnsi" w:eastAsiaTheme="minorEastAsia" w:hAnsiTheme="minorHAnsi" w:cstheme="minorBidi"/>
              <w:b w:val="0"/>
              <w:noProof/>
              <w:sz w:val="22"/>
              <w:lang w:eastAsia="en-AU"/>
            </w:rPr>
          </w:pPr>
          <w:hyperlink w:anchor="_Toc432073749" w:history="1">
            <w:r w:rsidR="00707315" w:rsidRPr="000B490F">
              <w:rPr>
                <w:rStyle w:val="Hyperlink"/>
                <w:noProof/>
              </w:rPr>
              <w:t>Attachment 1. Product Information</w:t>
            </w:r>
            <w:r w:rsidR="00707315">
              <w:rPr>
                <w:noProof/>
                <w:webHidden/>
              </w:rPr>
              <w:tab/>
            </w:r>
            <w:r w:rsidR="00707315">
              <w:rPr>
                <w:noProof/>
                <w:webHidden/>
              </w:rPr>
              <w:fldChar w:fldCharType="begin"/>
            </w:r>
            <w:r w:rsidR="00707315">
              <w:rPr>
                <w:noProof/>
                <w:webHidden/>
              </w:rPr>
              <w:instrText xml:space="preserve"> PAGEREF _Toc432073749 \h </w:instrText>
            </w:r>
            <w:r w:rsidR="00707315">
              <w:rPr>
                <w:noProof/>
                <w:webHidden/>
              </w:rPr>
            </w:r>
            <w:r w:rsidR="00707315">
              <w:rPr>
                <w:noProof/>
                <w:webHidden/>
              </w:rPr>
              <w:fldChar w:fldCharType="separate"/>
            </w:r>
            <w:r w:rsidR="00707315">
              <w:rPr>
                <w:noProof/>
                <w:webHidden/>
              </w:rPr>
              <w:t>63</w:t>
            </w:r>
            <w:r w:rsidR="00707315">
              <w:rPr>
                <w:noProof/>
                <w:webHidden/>
              </w:rPr>
              <w:fldChar w:fldCharType="end"/>
            </w:r>
          </w:hyperlink>
        </w:p>
        <w:p w:rsidR="00707315" w:rsidRDefault="000472BC">
          <w:pPr>
            <w:pStyle w:val="TOC2"/>
            <w:rPr>
              <w:rFonts w:asciiTheme="minorHAnsi" w:eastAsiaTheme="minorEastAsia" w:hAnsiTheme="minorHAnsi" w:cstheme="minorBidi"/>
              <w:b w:val="0"/>
              <w:noProof/>
              <w:sz w:val="22"/>
              <w:lang w:eastAsia="en-AU"/>
            </w:rPr>
          </w:pPr>
          <w:hyperlink w:anchor="_Toc432073750" w:history="1">
            <w:r w:rsidR="00707315" w:rsidRPr="000B490F">
              <w:rPr>
                <w:rStyle w:val="Hyperlink"/>
                <w:noProof/>
                <w:lang w:eastAsia="en-AU"/>
              </w:rPr>
              <w:t>Attachment 2. Extract from the Clinical Evaluation Report</w:t>
            </w:r>
            <w:r w:rsidR="00707315">
              <w:rPr>
                <w:noProof/>
                <w:webHidden/>
              </w:rPr>
              <w:tab/>
            </w:r>
            <w:r w:rsidR="00707315">
              <w:rPr>
                <w:noProof/>
                <w:webHidden/>
              </w:rPr>
              <w:fldChar w:fldCharType="begin"/>
            </w:r>
            <w:r w:rsidR="00707315">
              <w:rPr>
                <w:noProof/>
                <w:webHidden/>
              </w:rPr>
              <w:instrText xml:space="preserve"> PAGEREF _Toc432073750 \h </w:instrText>
            </w:r>
            <w:r w:rsidR="00707315">
              <w:rPr>
                <w:noProof/>
                <w:webHidden/>
              </w:rPr>
            </w:r>
            <w:r w:rsidR="00707315">
              <w:rPr>
                <w:noProof/>
                <w:webHidden/>
              </w:rPr>
              <w:fldChar w:fldCharType="separate"/>
            </w:r>
            <w:r w:rsidR="00707315">
              <w:rPr>
                <w:noProof/>
                <w:webHidden/>
              </w:rPr>
              <w:t>63</w:t>
            </w:r>
            <w:r w:rsidR="00707315">
              <w:rPr>
                <w:noProof/>
                <w:webHidden/>
              </w:rPr>
              <w:fldChar w:fldCharType="end"/>
            </w:r>
          </w:hyperlink>
        </w:p>
        <w:p w:rsidR="003A7F6C" w:rsidRPr="00B811C6" w:rsidRDefault="00DB6124" w:rsidP="00B811C6">
          <w:pPr>
            <w:pStyle w:val="TOC2"/>
          </w:pPr>
          <w:r>
            <w:fldChar w:fldCharType="end"/>
          </w:r>
        </w:p>
      </w:sdtContent>
    </w:sdt>
    <w:bookmarkStart w:id="2" w:name="_Toc314842482" w:displacedByCustomXml="prev"/>
    <w:p w:rsidR="00FD119B" w:rsidRDefault="00FD119B">
      <w:pPr>
        <w:spacing w:before="0" w:after="200" w:line="0" w:lineRule="auto"/>
      </w:pPr>
      <w:r>
        <w:br w:type="page"/>
      </w:r>
    </w:p>
    <w:p w:rsidR="00FD119B" w:rsidRPr="00FD119B" w:rsidRDefault="00AA60C6" w:rsidP="004F0C4A">
      <w:pPr>
        <w:pStyle w:val="Heading2"/>
      </w:pPr>
      <w:bookmarkStart w:id="3" w:name="_Toc351716269"/>
      <w:bookmarkStart w:id="4" w:name="_Toc351718881"/>
      <w:bookmarkStart w:id="5" w:name="_Toc355338616"/>
      <w:bookmarkStart w:id="6" w:name="_Toc356306144"/>
      <w:bookmarkStart w:id="7" w:name="_Toc432073709"/>
      <w:r>
        <w:lastRenderedPageBreak/>
        <w:t>Common</w:t>
      </w:r>
      <w:r w:rsidR="00FD119B"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09"/>
        <w:gridCol w:w="6911"/>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rsidR="00FD119B" w:rsidRPr="00FD119B" w:rsidRDefault="00FD119B" w:rsidP="00FD119B">
            <w:pPr>
              <w:keepNext w:val="0"/>
              <w:ind w:left="0" w:right="0"/>
              <w:rPr>
                <w:szCs w:val="22"/>
                <w:lang w:eastAsia="en-US"/>
              </w:rPr>
            </w:pPr>
            <w:r w:rsidRPr="00FD119B">
              <w:rPr>
                <w:szCs w:val="22"/>
                <w:lang w:eastAsia="en-US"/>
              </w:rPr>
              <w:t>Meaning</w:t>
            </w:r>
          </w:p>
        </w:tc>
      </w:tr>
      <w:tr w:rsidR="00064D25" w:rsidRPr="00FD119B" w:rsidTr="009F09F9">
        <w:tc>
          <w:tcPr>
            <w:tcW w:w="1809" w:type="dxa"/>
          </w:tcPr>
          <w:p w:rsidR="00064D25" w:rsidRPr="00FD119B" w:rsidRDefault="00064D25" w:rsidP="009F09F9">
            <w:pPr>
              <w:ind w:left="142" w:right="0"/>
              <w:rPr>
                <w:color w:val="auto"/>
                <w:szCs w:val="22"/>
                <w:lang w:eastAsia="en-US"/>
              </w:rPr>
            </w:pPr>
            <w:r>
              <w:rPr>
                <w:color w:val="auto"/>
                <w:szCs w:val="22"/>
                <w:lang w:eastAsia="en-US"/>
              </w:rPr>
              <w:t>ACPM</w:t>
            </w:r>
          </w:p>
        </w:tc>
        <w:tc>
          <w:tcPr>
            <w:tcW w:w="6911" w:type="dxa"/>
          </w:tcPr>
          <w:p w:rsidR="00064D25" w:rsidRPr="00FD119B" w:rsidRDefault="00064D25" w:rsidP="009F09F9">
            <w:pPr>
              <w:ind w:left="176" w:right="0"/>
              <w:rPr>
                <w:color w:val="auto"/>
                <w:szCs w:val="22"/>
                <w:lang w:eastAsia="en-US"/>
              </w:rPr>
            </w:pPr>
            <w:r w:rsidRPr="00C3506F">
              <w:rPr>
                <w:color w:val="auto"/>
                <w:szCs w:val="22"/>
                <w:lang w:eastAsia="en-US"/>
              </w:rPr>
              <w:t>Advisory Committee on Prescription Medicines</w:t>
            </w:r>
          </w:p>
        </w:tc>
      </w:tr>
      <w:tr w:rsidR="00756B60" w:rsidRPr="00FD119B" w:rsidTr="009F09F9">
        <w:tc>
          <w:tcPr>
            <w:tcW w:w="1809" w:type="dxa"/>
          </w:tcPr>
          <w:p w:rsidR="00756B60" w:rsidRPr="00FD119B" w:rsidRDefault="00756B60" w:rsidP="009F09F9">
            <w:pPr>
              <w:ind w:left="142" w:right="0"/>
              <w:rPr>
                <w:color w:val="auto"/>
                <w:szCs w:val="22"/>
                <w:lang w:eastAsia="en-US"/>
              </w:rPr>
            </w:pPr>
            <w:r>
              <w:rPr>
                <w:color w:val="auto"/>
                <w:szCs w:val="22"/>
                <w:lang w:eastAsia="en-US"/>
              </w:rPr>
              <w:t>AE</w:t>
            </w:r>
          </w:p>
        </w:tc>
        <w:tc>
          <w:tcPr>
            <w:tcW w:w="6911" w:type="dxa"/>
          </w:tcPr>
          <w:p w:rsidR="00756B60" w:rsidRPr="00FD119B" w:rsidRDefault="00756B60" w:rsidP="009F09F9">
            <w:pPr>
              <w:ind w:left="176" w:right="0"/>
              <w:rPr>
                <w:color w:val="auto"/>
                <w:szCs w:val="22"/>
                <w:lang w:eastAsia="en-US"/>
              </w:rPr>
            </w:pPr>
            <w:r w:rsidRPr="00617C4F">
              <w:t>adverse event</w:t>
            </w:r>
          </w:p>
        </w:tc>
      </w:tr>
      <w:tr w:rsidR="00756B60" w:rsidRPr="00FD119B" w:rsidTr="009F09F9">
        <w:tc>
          <w:tcPr>
            <w:tcW w:w="1809" w:type="dxa"/>
          </w:tcPr>
          <w:p w:rsidR="00756B60" w:rsidRPr="00FD119B" w:rsidRDefault="00756B60" w:rsidP="009F09F9">
            <w:pPr>
              <w:ind w:left="142" w:right="0"/>
              <w:rPr>
                <w:color w:val="auto"/>
                <w:szCs w:val="22"/>
                <w:lang w:eastAsia="en-US"/>
              </w:rPr>
            </w:pPr>
            <w:r>
              <w:rPr>
                <w:color w:val="auto"/>
                <w:szCs w:val="22"/>
                <w:lang w:eastAsia="en-US"/>
              </w:rPr>
              <w:t>ASA</w:t>
            </w:r>
          </w:p>
        </w:tc>
        <w:tc>
          <w:tcPr>
            <w:tcW w:w="6911" w:type="dxa"/>
          </w:tcPr>
          <w:p w:rsidR="00756B60" w:rsidRPr="00FD119B" w:rsidRDefault="00756B60" w:rsidP="009F09F9">
            <w:pPr>
              <w:ind w:left="176" w:right="0"/>
              <w:rPr>
                <w:color w:val="auto"/>
                <w:szCs w:val="22"/>
                <w:lang w:eastAsia="en-US"/>
              </w:rPr>
            </w:pPr>
            <w:r>
              <w:rPr>
                <w:color w:val="auto"/>
                <w:szCs w:val="22"/>
                <w:lang w:eastAsia="en-US"/>
              </w:rPr>
              <w:t>Australian Specific Annex</w:t>
            </w:r>
          </w:p>
        </w:tc>
      </w:tr>
      <w:tr w:rsidR="00064D25" w:rsidRPr="00FD119B" w:rsidTr="009F09F9">
        <w:tc>
          <w:tcPr>
            <w:tcW w:w="1809" w:type="dxa"/>
          </w:tcPr>
          <w:p w:rsidR="00064D25" w:rsidRPr="00FD119B" w:rsidRDefault="00064D25" w:rsidP="009F09F9">
            <w:pPr>
              <w:ind w:left="142" w:right="0"/>
              <w:rPr>
                <w:color w:val="auto"/>
                <w:szCs w:val="22"/>
                <w:lang w:eastAsia="en-US"/>
              </w:rPr>
            </w:pPr>
            <w:r>
              <w:rPr>
                <w:color w:val="auto"/>
                <w:szCs w:val="22"/>
                <w:lang w:eastAsia="en-US"/>
              </w:rPr>
              <w:t>AUC</w:t>
            </w:r>
          </w:p>
        </w:tc>
        <w:tc>
          <w:tcPr>
            <w:tcW w:w="6911" w:type="dxa"/>
          </w:tcPr>
          <w:p w:rsidR="00064D25" w:rsidRPr="00FD119B" w:rsidRDefault="00064D25" w:rsidP="009F09F9">
            <w:pPr>
              <w:ind w:left="176" w:right="0"/>
              <w:rPr>
                <w:color w:val="auto"/>
                <w:szCs w:val="22"/>
                <w:lang w:eastAsia="en-US"/>
              </w:rPr>
            </w:pPr>
            <w:r>
              <w:t xml:space="preserve">area under the plasma </w:t>
            </w:r>
            <w:r w:rsidRPr="00F95A9E">
              <w:t>concentration-time curve</w:t>
            </w:r>
          </w:p>
        </w:tc>
      </w:tr>
      <w:tr w:rsidR="00064D25" w:rsidRPr="00FD119B" w:rsidTr="009F09F9">
        <w:tc>
          <w:tcPr>
            <w:tcW w:w="1809" w:type="dxa"/>
          </w:tcPr>
          <w:p w:rsidR="00064D25" w:rsidRPr="00FD119B" w:rsidRDefault="00064D25" w:rsidP="009F09F9">
            <w:pPr>
              <w:ind w:left="142" w:right="0"/>
              <w:rPr>
                <w:color w:val="auto"/>
                <w:szCs w:val="22"/>
                <w:lang w:eastAsia="en-US"/>
              </w:rPr>
            </w:pPr>
            <w:r>
              <w:rPr>
                <w:color w:val="auto"/>
                <w:szCs w:val="22"/>
                <w:lang w:eastAsia="en-US"/>
              </w:rPr>
              <w:t>AUC(t1)-(t2)</w:t>
            </w:r>
          </w:p>
        </w:tc>
        <w:tc>
          <w:tcPr>
            <w:tcW w:w="6911" w:type="dxa"/>
          </w:tcPr>
          <w:p w:rsidR="00064D25" w:rsidRPr="00FD119B" w:rsidRDefault="00064D25" w:rsidP="009F09F9">
            <w:pPr>
              <w:ind w:left="176" w:right="0"/>
              <w:rPr>
                <w:color w:val="auto"/>
                <w:szCs w:val="22"/>
                <w:lang w:eastAsia="en-US"/>
              </w:rPr>
            </w:pPr>
            <w:r w:rsidRPr="00D23484">
              <w:rPr>
                <w:color w:val="auto"/>
                <w:szCs w:val="22"/>
                <w:lang w:eastAsia="en-US"/>
              </w:rPr>
              <w:t xml:space="preserve">area under the plasma concentration-time curve from </w:t>
            </w:r>
            <w:r>
              <w:rPr>
                <w:color w:val="auto"/>
                <w:szCs w:val="22"/>
                <w:lang w:eastAsia="en-US"/>
              </w:rPr>
              <w:t>(t1)</w:t>
            </w:r>
            <w:r w:rsidRPr="00D23484">
              <w:rPr>
                <w:color w:val="auto"/>
                <w:szCs w:val="22"/>
                <w:lang w:eastAsia="en-US"/>
              </w:rPr>
              <w:t xml:space="preserve"> to </w:t>
            </w:r>
            <w:r>
              <w:rPr>
                <w:color w:val="auto"/>
                <w:szCs w:val="22"/>
                <w:lang w:eastAsia="en-US"/>
              </w:rPr>
              <w:t>(t2)</w:t>
            </w:r>
          </w:p>
        </w:tc>
      </w:tr>
      <w:tr w:rsidR="00064D25" w:rsidRPr="00FD119B" w:rsidTr="009F09F9">
        <w:tc>
          <w:tcPr>
            <w:tcW w:w="1809" w:type="dxa"/>
          </w:tcPr>
          <w:p w:rsidR="00064D25" w:rsidRPr="00FD119B" w:rsidRDefault="00064D25" w:rsidP="009F09F9">
            <w:pPr>
              <w:ind w:left="142" w:right="0"/>
              <w:rPr>
                <w:color w:val="auto"/>
                <w:szCs w:val="22"/>
                <w:lang w:eastAsia="en-US"/>
              </w:rPr>
            </w:pPr>
            <w:r>
              <w:rPr>
                <w:color w:val="auto"/>
                <w:szCs w:val="22"/>
                <w:lang w:eastAsia="en-US"/>
              </w:rPr>
              <w:t>CC50</w:t>
            </w:r>
          </w:p>
        </w:tc>
        <w:tc>
          <w:tcPr>
            <w:tcW w:w="6911" w:type="dxa"/>
          </w:tcPr>
          <w:p w:rsidR="00064D25" w:rsidRPr="00FD119B" w:rsidRDefault="00064D25" w:rsidP="009F09F9">
            <w:pPr>
              <w:ind w:left="176" w:right="0"/>
              <w:rPr>
                <w:color w:val="auto"/>
                <w:szCs w:val="22"/>
                <w:lang w:eastAsia="en-US"/>
              </w:rPr>
            </w:pPr>
            <w:r>
              <w:t>half maximal cytotoxic concentration</w:t>
            </w:r>
          </w:p>
        </w:tc>
      </w:tr>
      <w:tr w:rsidR="00064D25" w:rsidRPr="00FD119B" w:rsidTr="009F09F9">
        <w:tc>
          <w:tcPr>
            <w:tcW w:w="1809" w:type="dxa"/>
          </w:tcPr>
          <w:p w:rsidR="00064D25" w:rsidRPr="00FD119B" w:rsidRDefault="00064D25" w:rsidP="009F09F9">
            <w:pPr>
              <w:ind w:left="142" w:right="0"/>
              <w:rPr>
                <w:color w:val="auto"/>
                <w:szCs w:val="22"/>
                <w:lang w:eastAsia="en-US"/>
              </w:rPr>
            </w:pPr>
            <w:r>
              <w:rPr>
                <w:color w:val="auto"/>
                <w:szCs w:val="22"/>
                <w:lang w:eastAsia="en-US"/>
              </w:rPr>
              <w:t>CHC</w:t>
            </w:r>
          </w:p>
        </w:tc>
        <w:tc>
          <w:tcPr>
            <w:tcW w:w="6911" w:type="dxa"/>
          </w:tcPr>
          <w:p w:rsidR="00064D25" w:rsidRPr="00FD119B" w:rsidRDefault="00064D25" w:rsidP="009F09F9">
            <w:pPr>
              <w:ind w:left="176" w:right="0"/>
              <w:rPr>
                <w:color w:val="auto"/>
                <w:szCs w:val="22"/>
                <w:lang w:eastAsia="en-US"/>
              </w:rPr>
            </w:pPr>
            <w:r w:rsidRPr="00981D2B">
              <w:t>chronic hepatitis C</w:t>
            </w:r>
          </w:p>
        </w:tc>
      </w:tr>
      <w:tr w:rsidR="00064D25" w:rsidRPr="00FD119B" w:rsidTr="009F09F9">
        <w:tc>
          <w:tcPr>
            <w:tcW w:w="1809" w:type="dxa"/>
          </w:tcPr>
          <w:p w:rsidR="00064D25" w:rsidRPr="00FD119B" w:rsidRDefault="00064D25" w:rsidP="009F09F9">
            <w:pPr>
              <w:ind w:left="142" w:right="0"/>
              <w:rPr>
                <w:color w:val="auto"/>
                <w:szCs w:val="22"/>
                <w:lang w:eastAsia="en-US"/>
              </w:rPr>
            </w:pPr>
            <w:proofErr w:type="spellStart"/>
            <w:r>
              <w:rPr>
                <w:color w:val="auto"/>
                <w:szCs w:val="22"/>
                <w:lang w:eastAsia="en-US"/>
              </w:rPr>
              <w:t>Cmax</w:t>
            </w:r>
            <w:proofErr w:type="spellEnd"/>
          </w:p>
        </w:tc>
        <w:tc>
          <w:tcPr>
            <w:tcW w:w="6911" w:type="dxa"/>
          </w:tcPr>
          <w:p w:rsidR="00064D25" w:rsidRPr="00FD119B" w:rsidRDefault="00064D25" w:rsidP="009F09F9">
            <w:pPr>
              <w:ind w:left="176" w:right="0"/>
              <w:rPr>
                <w:color w:val="auto"/>
                <w:szCs w:val="22"/>
                <w:lang w:eastAsia="en-US"/>
              </w:rPr>
            </w:pPr>
            <w:r w:rsidRPr="008B7BEF">
              <w:rPr>
                <w:color w:val="auto"/>
                <w:szCs w:val="22"/>
                <w:lang w:eastAsia="en-US"/>
              </w:rPr>
              <w:t>maximum plasma drug concentration</w:t>
            </w:r>
          </w:p>
        </w:tc>
      </w:tr>
      <w:tr w:rsidR="00756B60" w:rsidRPr="00FD119B" w:rsidTr="009F09F9">
        <w:tc>
          <w:tcPr>
            <w:tcW w:w="1809" w:type="dxa"/>
          </w:tcPr>
          <w:p w:rsidR="00756B60" w:rsidRPr="00FD119B" w:rsidRDefault="00756B60" w:rsidP="009F09F9">
            <w:pPr>
              <w:ind w:left="142" w:right="0"/>
              <w:rPr>
                <w:color w:val="auto"/>
                <w:szCs w:val="22"/>
                <w:lang w:eastAsia="en-US"/>
              </w:rPr>
            </w:pPr>
            <w:r>
              <w:rPr>
                <w:color w:val="auto"/>
                <w:szCs w:val="22"/>
                <w:lang w:eastAsia="en-US"/>
              </w:rPr>
              <w:t>DAE</w:t>
            </w:r>
          </w:p>
        </w:tc>
        <w:tc>
          <w:tcPr>
            <w:tcW w:w="6911" w:type="dxa"/>
          </w:tcPr>
          <w:p w:rsidR="00756B60" w:rsidRPr="00FD119B" w:rsidRDefault="00756B60" w:rsidP="009F09F9">
            <w:pPr>
              <w:ind w:left="176" w:right="0"/>
              <w:rPr>
                <w:color w:val="auto"/>
                <w:szCs w:val="22"/>
                <w:lang w:eastAsia="en-US"/>
              </w:rPr>
            </w:pPr>
            <w:r>
              <w:rPr>
                <w:color w:val="auto"/>
                <w:szCs w:val="22"/>
                <w:lang w:eastAsia="en-US"/>
              </w:rPr>
              <w:t>diagnostic adverse event</w:t>
            </w:r>
          </w:p>
        </w:tc>
      </w:tr>
      <w:tr w:rsidR="00064D25" w:rsidRPr="00FD119B" w:rsidTr="009F09F9">
        <w:tc>
          <w:tcPr>
            <w:tcW w:w="1809" w:type="dxa"/>
          </w:tcPr>
          <w:p w:rsidR="00064D25" w:rsidRPr="00FD119B" w:rsidRDefault="00064D25" w:rsidP="009F09F9">
            <w:pPr>
              <w:ind w:left="142" w:right="0"/>
              <w:rPr>
                <w:color w:val="auto"/>
                <w:szCs w:val="22"/>
                <w:lang w:eastAsia="en-US"/>
              </w:rPr>
            </w:pPr>
            <w:r>
              <w:rPr>
                <w:color w:val="auto"/>
                <w:szCs w:val="22"/>
                <w:lang w:eastAsia="en-US"/>
              </w:rPr>
              <w:t>EC50</w:t>
            </w:r>
          </w:p>
        </w:tc>
        <w:tc>
          <w:tcPr>
            <w:tcW w:w="6911" w:type="dxa"/>
          </w:tcPr>
          <w:p w:rsidR="00064D25" w:rsidRPr="00FD119B" w:rsidRDefault="00064D25" w:rsidP="009F09F9">
            <w:pPr>
              <w:ind w:left="176" w:right="0"/>
              <w:rPr>
                <w:color w:val="auto"/>
                <w:szCs w:val="22"/>
                <w:lang w:eastAsia="en-US"/>
              </w:rPr>
            </w:pPr>
            <w:r>
              <w:t>half maximal effective concentration</w:t>
            </w:r>
          </w:p>
        </w:tc>
      </w:tr>
      <w:tr w:rsidR="00064D25" w:rsidRPr="00FD119B" w:rsidTr="009F09F9">
        <w:tc>
          <w:tcPr>
            <w:tcW w:w="1809" w:type="dxa"/>
          </w:tcPr>
          <w:p w:rsidR="00064D25" w:rsidRPr="00FD119B" w:rsidRDefault="00064D25" w:rsidP="009F09F9">
            <w:pPr>
              <w:ind w:left="142" w:right="0"/>
              <w:rPr>
                <w:color w:val="auto"/>
                <w:szCs w:val="22"/>
                <w:lang w:eastAsia="en-US"/>
              </w:rPr>
            </w:pPr>
            <w:r>
              <w:rPr>
                <w:color w:val="auto"/>
                <w:szCs w:val="22"/>
                <w:lang w:eastAsia="en-US"/>
              </w:rPr>
              <w:t>EMA</w:t>
            </w:r>
          </w:p>
        </w:tc>
        <w:tc>
          <w:tcPr>
            <w:tcW w:w="6911" w:type="dxa"/>
          </w:tcPr>
          <w:p w:rsidR="00064D25" w:rsidRPr="00FD119B" w:rsidRDefault="00064D25" w:rsidP="009F09F9">
            <w:pPr>
              <w:ind w:left="176" w:right="0"/>
              <w:rPr>
                <w:color w:val="auto"/>
                <w:szCs w:val="22"/>
                <w:lang w:eastAsia="en-US"/>
              </w:rPr>
            </w:pPr>
            <w:r>
              <w:t>European Medicine Agency</w:t>
            </w:r>
          </w:p>
        </w:tc>
      </w:tr>
      <w:tr w:rsidR="00756B60" w:rsidRPr="00FD119B" w:rsidTr="009F09F9">
        <w:tc>
          <w:tcPr>
            <w:tcW w:w="1809" w:type="dxa"/>
          </w:tcPr>
          <w:p w:rsidR="00756B60" w:rsidRPr="00FD119B" w:rsidRDefault="00756B60" w:rsidP="009F09F9">
            <w:pPr>
              <w:ind w:left="142" w:right="0"/>
              <w:rPr>
                <w:color w:val="auto"/>
                <w:szCs w:val="22"/>
                <w:lang w:eastAsia="en-US"/>
              </w:rPr>
            </w:pPr>
            <w:r>
              <w:rPr>
                <w:color w:val="auto"/>
                <w:szCs w:val="22"/>
                <w:lang w:eastAsia="en-US"/>
              </w:rPr>
              <w:t>FDA</w:t>
            </w:r>
          </w:p>
        </w:tc>
        <w:tc>
          <w:tcPr>
            <w:tcW w:w="6911" w:type="dxa"/>
          </w:tcPr>
          <w:p w:rsidR="00756B60" w:rsidRPr="00FD119B" w:rsidRDefault="00756B60" w:rsidP="009F09F9">
            <w:pPr>
              <w:ind w:left="176" w:right="0"/>
              <w:rPr>
                <w:color w:val="auto"/>
                <w:szCs w:val="22"/>
                <w:lang w:eastAsia="en-US"/>
              </w:rPr>
            </w:pPr>
            <w:r>
              <w:rPr>
                <w:color w:val="auto"/>
                <w:szCs w:val="22"/>
                <w:lang w:eastAsia="en-US"/>
              </w:rPr>
              <w:t>US Food and Drug Administration</w:t>
            </w:r>
          </w:p>
        </w:tc>
      </w:tr>
      <w:tr w:rsidR="003D13F1" w:rsidRPr="00FD119B" w:rsidTr="009F09F9">
        <w:tc>
          <w:tcPr>
            <w:tcW w:w="1809" w:type="dxa"/>
          </w:tcPr>
          <w:p w:rsidR="003D13F1" w:rsidRPr="00FD119B" w:rsidRDefault="00244E26" w:rsidP="00D23C46">
            <w:pPr>
              <w:ind w:left="142" w:right="0"/>
              <w:rPr>
                <w:color w:val="auto"/>
                <w:szCs w:val="22"/>
                <w:lang w:eastAsia="en-US"/>
              </w:rPr>
            </w:pPr>
            <w:r>
              <w:rPr>
                <w:color w:val="auto"/>
                <w:szCs w:val="22"/>
                <w:lang w:eastAsia="en-US"/>
              </w:rPr>
              <w:t>FDC</w:t>
            </w:r>
          </w:p>
        </w:tc>
        <w:tc>
          <w:tcPr>
            <w:tcW w:w="6911" w:type="dxa"/>
          </w:tcPr>
          <w:p w:rsidR="003D13F1" w:rsidRPr="00FD119B" w:rsidRDefault="00244E26" w:rsidP="00D23C46">
            <w:pPr>
              <w:ind w:left="176" w:right="0"/>
              <w:rPr>
                <w:color w:val="auto"/>
                <w:szCs w:val="22"/>
                <w:lang w:eastAsia="en-US"/>
              </w:rPr>
            </w:pPr>
            <w:r w:rsidRPr="00981D2B">
              <w:t>fixed dose combination</w:t>
            </w:r>
          </w:p>
        </w:tc>
      </w:tr>
      <w:tr w:rsidR="00064D25" w:rsidRPr="00FD119B" w:rsidTr="009F09F9">
        <w:tc>
          <w:tcPr>
            <w:tcW w:w="1809" w:type="dxa"/>
          </w:tcPr>
          <w:p w:rsidR="00064D25" w:rsidRPr="00FD119B" w:rsidRDefault="00064D25" w:rsidP="009F09F9">
            <w:pPr>
              <w:ind w:left="142" w:right="0"/>
              <w:rPr>
                <w:color w:val="auto"/>
                <w:szCs w:val="22"/>
                <w:lang w:eastAsia="en-US"/>
              </w:rPr>
            </w:pPr>
            <w:r>
              <w:rPr>
                <w:color w:val="auto"/>
                <w:szCs w:val="22"/>
                <w:lang w:eastAsia="en-US"/>
              </w:rPr>
              <w:t>HCV</w:t>
            </w:r>
          </w:p>
        </w:tc>
        <w:tc>
          <w:tcPr>
            <w:tcW w:w="6911" w:type="dxa"/>
          </w:tcPr>
          <w:p w:rsidR="00064D25" w:rsidRPr="00FD119B" w:rsidRDefault="00064D25" w:rsidP="009F09F9">
            <w:pPr>
              <w:ind w:left="176" w:right="0"/>
              <w:rPr>
                <w:color w:val="auto"/>
                <w:szCs w:val="22"/>
                <w:lang w:eastAsia="en-US"/>
              </w:rPr>
            </w:pPr>
            <w:r w:rsidRPr="00814599">
              <w:rPr>
                <w:color w:val="auto"/>
                <w:szCs w:val="22"/>
                <w:lang w:eastAsia="en-US"/>
              </w:rPr>
              <w:t>hepatitis C virus</w:t>
            </w:r>
          </w:p>
        </w:tc>
      </w:tr>
      <w:tr w:rsidR="00064D25" w:rsidRPr="00FD119B" w:rsidTr="009F09F9">
        <w:tc>
          <w:tcPr>
            <w:tcW w:w="1809" w:type="dxa"/>
          </w:tcPr>
          <w:p w:rsidR="00064D25" w:rsidRPr="00FD119B" w:rsidRDefault="00064D25" w:rsidP="009F09F9">
            <w:pPr>
              <w:ind w:left="142" w:right="0"/>
              <w:rPr>
                <w:color w:val="auto"/>
                <w:szCs w:val="22"/>
                <w:lang w:eastAsia="en-US"/>
              </w:rPr>
            </w:pPr>
            <w:r>
              <w:rPr>
                <w:color w:val="auto"/>
                <w:szCs w:val="22"/>
                <w:lang w:eastAsia="en-US"/>
              </w:rPr>
              <w:t>IC50</w:t>
            </w:r>
          </w:p>
        </w:tc>
        <w:tc>
          <w:tcPr>
            <w:tcW w:w="6911" w:type="dxa"/>
          </w:tcPr>
          <w:p w:rsidR="00064D25" w:rsidRPr="00FD119B" w:rsidRDefault="00064D25" w:rsidP="009F09F9">
            <w:pPr>
              <w:ind w:left="176" w:right="0"/>
              <w:rPr>
                <w:color w:val="auto"/>
                <w:szCs w:val="22"/>
                <w:lang w:eastAsia="en-US"/>
              </w:rPr>
            </w:pPr>
            <w:r>
              <w:t>half maximal inhibitory concentration</w:t>
            </w:r>
          </w:p>
        </w:tc>
      </w:tr>
      <w:tr w:rsidR="00756B60" w:rsidRPr="00FD119B" w:rsidTr="009F09F9">
        <w:tc>
          <w:tcPr>
            <w:tcW w:w="1809" w:type="dxa"/>
          </w:tcPr>
          <w:p w:rsidR="00756B60" w:rsidRPr="00FD119B" w:rsidRDefault="00756B60" w:rsidP="009F09F9">
            <w:pPr>
              <w:ind w:left="142" w:right="0"/>
              <w:rPr>
                <w:color w:val="auto"/>
                <w:szCs w:val="22"/>
                <w:lang w:eastAsia="en-US"/>
              </w:rPr>
            </w:pPr>
            <w:r>
              <w:rPr>
                <w:color w:val="auto"/>
                <w:szCs w:val="22"/>
                <w:lang w:eastAsia="en-US"/>
              </w:rPr>
              <w:t>IFN</w:t>
            </w:r>
          </w:p>
        </w:tc>
        <w:tc>
          <w:tcPr>
            <w:tcW w:w="6911" w:type="dxa"/>
          </w:tcPr>
          <w:p w:rsidR="00756B60" w:rsidRPr="00FD119B" w:rsidRDefault="00756B60" w:rsidP="009F09F9">
            <w:pPr>
              <w:ind w:left="176" w:right="0"/>
              <w:rPr>
                <w:color w:val="auto"/>
                <w:szCs w:val="22"/>
                <w:lang w:eastAsia="en-US"/>
              </w:rPr>
            </w:pPr>
            <w:r>
              <w:t>interferon</w:t>
            </w:r>
          </w:p>
        </w:tc>
      </w:tr>
      <w:tr w:rsidR="00756B60" w:rsidRPr="00FD119B" w:rsidTr="009F09F9">
        <w:tc>
          <w:tcPr>
            <w:tcW w:w="1809" w:type="dxa"/>
          </w:tcPr>
          <w:p w:rsidR="00756B60" w:rsidRPr="00FD119B" w:rsidRDefault="00756B60" w:rsidP="009F09F9">
            <w:pPr>
              <w:ind w:left="142" w:right="0"/>
              <w:rPr>
                <w:color w:val="auto"/>
                <w:szCs w:val="22"/>
                <w:lang w:eastAsia="en-US"/>
              </w:rPr>
            </w:pPr>
            <w:r>
              <w:rPr>
                <w:color w:val="auto"/>
                <w:szCs w:val="22"/>
                <w:lang w:eastAsia="en-US"/>
              </w:rPr>
              <w:t>IV</w:t>
            </w:r>
          </w:p>
        </w:tc>
        <w:tc>
          <w:tcPr>
            <w:tcW w:w="6911" w:type="dxa"/>
          </w:tcPr>
          <w:p w:rsidR="00756B60" w:rsidRPr="00FD119B" w:rsidRDefault="00756B60" w:rsidP="009F09F9">
            <w:pPr>
              <w:ind w:left="176" w:right="0"/>
              <w:rPr>
                <w:color w:val="auto"/>
                <w:szCs w:val="22"/>
                <w:lang w:eastAsia="en-US"/>
              </w:rPr>
            </w:pPr>
            <w:r>
              <w:t>intravenous</w:t>
            </w:r>
          </w:p>
        </w:tc>
      </w:tr>
      <w:tr w:rsidR="00064D25" w:rsidRPr="00FD119B" w:rsidTr="009F09F9">
        <w:tc>
          <w:tcPr>
            <w:tcW w:w="1809" w:type="dxa"/>
          </w:tcPr>
          <w:p w:rsidR="00064D25" w:rsidRPr="00FD119B" w:rsidRDefault="00064D25" w:rsidP="009F09F9">
            <w:pPr>
              <w:ind w:left="142" w:right="0"/>
              <w:rPr>
                <w:color w:val="auto"/>
                <w:szCs w:val="22"/>
                <w:lang w:eastAsia="en-US"/>
              </w:rPr>
            </w:pPr>
            <w:r>
              <w:rPr>
                <w:color w:val="auto"/>
                <w:szCs w:val="22"/>
                <w:lang w:eastAsia="en-US"/>
              </w:rPr>
              <w:t>LDV</w:t>
            </w:r>
          </w:p>
        </w:tc>
        <w:tc>
          <w:tcPr>
            <w:tcW w:w="6911" w:type="dxa"/>
          </w:tcPr>
          <w:p w:rsidR="00064D25" w:rsidRPr="00FD119B" w:rsidRDefault="00064D25" w:rsidP="009F09F9">
            <w:pPr>
              <w:ind w:left="176" w:right="0"/>
              <w:rPr>
                <w:color w:val="auto"/>
                <w:szCs w:val="22"/>
                <w:lang w:eastAsia="en-US"/>
              </w:rPr>
            </w:pPr>
            <w:proofErr w:type="spellStart"/>
            <w:r>
              <w:t>l</w:t>
            </w:r>
            <w:r w:rsidRPr="00D56770">
              <w:t>edipasvir</w:t>
            </w:r>
            <w:proofErr w:type="spellEnd"/>
          </w:p>
        </w:tc>
      </w:tr>
      <w:tr w:rsidR="00064D25" w:rsidRPr="00FD119B" w:rsidTr="009F09F9">
        <w:tc>
          <w:tcPr>
            <w:tcW w:w="1809" w:type="dxa"/>
          </w:tcPr>
          <w:p w:rsidR="00064D25" w:rsidRPr="00FD119B" w:rsidRDefault="00064D25" w:rsidP="009F09F9">
            <w:pPr>
              <w:ind w:left="142" w:right="0"/>
              <w:rPr>
                <w:color w:val="auto"/>
                <w:szCs w:val="22"/>
                <w:lang w:eastAsia="en-US"/>
              </w:rPr>
            </w:pPr>
            <w:r>
              <w:rPr>
                <w:color w:val="auto"/>
                <w:szCs w:val="22"/>
                <w:lang w:eastAsia="en-US"/>
              </w:rPr>
              <w:t>PI</w:t>
            </w:r>
          </w:p>
        </w:tc>
        <w:tc>
          <w:tcPr>
            <w:tcW w:w="6911" w:type="dxa"/>
          </w:tcPr>
          <w:p w:rsidR="00064D25" w:rsidRPr="00FD119B" w:rsidRDefault="00064D25" w:rsidP="009F09F9">
            <w:pPr>
              <w:ind w:left="176" w:right="0"/>
              <w:rPr>
                <w:color w:val="auto"/>
                <w:szCs w:val="22"/>
                <w:lang w:eastAsia="en-US"/>
              </w:rPr>
            </w:pPr>
            <w:r w:rsidRPr="00940A89">
              <w:t>Product Information</w:t>
            </w:r>
          </w:p>
        </w:tc>
      </w:tr>
      <w:tr w:rsidR="00756B60" w:rsidRPr="00FD119B" w:rsidTr="009F09F9">
        <w:tc>
          <w:tcPr>
            <w:tcW w:w="1809" w:type="dxa"/>
          </w:tcPr>
          <w:p w:rsidR="00756B60" w:rsidRPr="00FD119B" w:rsidRDefault="00756B60" w:rsidP="009F09F9">
            <w:pPr>
              <w:ind w:left="142" w:right="0"/>
              <w:rPr>
                <w:color w:val="auto"/>
                <w:szCs w:val="22"/>
                <w:lang w:eastAsia="en-US"/>
              </w:rPr>
            </w:pPr>
            <w:r>
              <w:rPr>
                <w:color w:val="auto"/>
                <w:szCs w:val="22"/>
                <w:lang w:eastAsia="en-US"/>
              </w:rPr>
              <w:t>PO</w:t>
            </w:r>
          </w:p>
        </w:tc>
        <w:tc>
          <w:tcPr>
            <w:tcW w:w="6911" w:type="dxa"/>
          </w:tcPr>
          <w:p w:rsidR="00756B60" w:rsidRPr="00FD119B" w:rsidRDefault="00756B60" w:rsidP="009F09F9">
            <w:pPr>
              <w:ind w:left="176" w:right="0"/>
              <w:rPr>
                <w:color w:val="auto"/>
                <w:szCs w:val="22"/>
                <w:lang w:eastAsia="en-US"/>
              </w:rPr>
            </w:pPr>
            <w:r>
              <w:rPr>
                <w:color w:val="auto"/>
                <w:szCs w:val="22"/>
                <w:lang w:eastAsia="en-US"/>
              </w:rPr>
              <w:t xml:space="preserve">per </w:t>
            </w:r>
            <w:proofErr w:type="spellStart"/>
            <w:r>
              <w:rPr>
                <w:color w:val="auto"/>
                <w:szCs w:val="22"/>
                <w:lang w:eastAsia="en-US"/>
              </w:rPr>
              <w:t>os</w:t>
            </w:r>
            <w:proofErr w:type="spellEnd"/>
            <w:r>
              <w:rPr>
                <w:color w:val="auto"/>
                <w:szCs w:val="22"/>
                <w:lang w:eastAsia="en-US"/>
              </w:rPr>
              <w:t xml:space="preserve"> (oral)</w:t>
            </w:r>
          </w:p>
        </w:tc>
      </w:tr>
      <w:tr w:rsidR="00756B60" w:rsidRPr="00FD119B" w:rsidTr="009F09F9">
        <w:tc>
          <w:tcPr>
            <w:tcW w:w="1809" w:type="dxa"/>
          </w:tcPr>
          <w:p w:rsidR="00756B60" w:rsidRPr="00FD119B" w:rsidRDefault="00756B60" w:rsidP="009F09F9">
            <w:pPr>
              <w:ind w:left="142" w:right="0"/>
              <w:rPr>
                <w:color w:val="auto"/>
                <w:szCs w:val="22"/>
                <w:lang w:eastAsia="en-US"/>
              </w:rPr>
            </w:pPr>
            <w:r>
              <w:rPr>
                <w:color w:val="auto"/>
                <w:szCs w:val="22"/>
                <w:lang w:eastAsia="en-US"/>
              </w:rPr>
              <w:t>RAV</w:t>
            </w:r>
          </w:p>
        </w:tc>
        <w:tc>
          <w:tcPr>
            <w:tcW w:w="6911" w:type="dxa"/>
          </w:tcPr>
          <w:p w:rsidR="00756B60" w:rsidRPr="00FD119B" w:rsidRDefault="00756B60" w:rsidP="009F09F9">
            <w:pPr>
              <w:ind w:left="176" w:right="0"/>
              <w:rPr>
                <w:color w:val="auto"/>
                <w:szCs w:val="22"/>
                <w:lang w:eastAsia="en-US"/>
              </w:rPr>
            </w:pPr>
            <w:r>
              <w:rPr>
                <w:color w:val="auto"/>
                <w:szCs w:val="22"/>
                <w:lang w:eastAsia="en-US"/>
              </w:rPr>
              <w:t xml:space="preserve">resistance </w:t>
            </w:r>
            <w:r w:rsidRPr="00914CBF">
              <w:rPr>
                <w:color w:val="auto"/>
                <w:szCs w:val="22"/>
                <w:lang w:eastAsia="en-US"/>
              </w:rPr>
              <w:t>associated variant</w:t>
            </w:r>
          </w:p>
        </w:tc>
      </w:tr>
      <w:tr w:rsidR="00756B60" w:rsidRPr="00FD119B" w:rsidTr="009F09F9">
        <w:tc>
          <w:tcPr>
            <w:tcW w:w="1809" w:type="dxa"/>
          </w:tcPr>
          <w:p w:rsidR="00756B60" w:rsidRPr="00FD119B" w:rsidRDefault="00756B60" w:rsidP="009F09F9">
            <w:pPr>
              <w:ind w:left="142" w:right="0"/>
              <w:rPr>
                <w:color w:val="auto"/>
                <w:szCs w:val="22"/>
                <w:lang w:eastAsia="en-US"/>
              </w:rPr>
            </w:pPr>
            <w:r>
              <w:rPr>
                <w:color w:val="auto"/>
                <w:szCs w:val="22"/>
                <w:lang w:eastAsia="en-US"/>
              </w:rPr>
              <w:t>RBV</w:t>
            </w:r>
          </w:p>
        </w:tc>
        <w:tc>
          <w:tcPr>
            <w:tcW w:w="6911" w:type="dxa"/>
          </w:tcPr>
          <w:p w:rsidR="00756B60" w:rsidRPr="00FD119B" w:rsidRDefault="00756B60" w:rsidP="009F09F9">
            <w:pPr>
              <w:ind w:left="176" w:right="0"/>
              <w:rPr>
                <w:color w:val="auto"/>
                <w:szCs w:val="22"/>
                <w:lang w:eastAsia="en-US"/>
              </w:rPr>
            </w:pPr>
            <w:r w:rsidRPr="00AB6FB3">
              <w:rPr>
                <w:color w:val="auto"/>
                <w:szCs w:val="22"/>
                <w:lang w:eastAsia="en-US"/>
              </w:rPr>
              <w:t>ribavirin</w:t>
            </w:r>
          </w:p>
        </w:tc>
      </w:tr>
      <w:tr w:rsidR="00756B60" w:rsidRPr="00FD119B" w:rsidTr="009F09F9">
        <w:tc>
          <w:tcPr>
            <w:tcW w:w="1809" w:type="dxa"/>
          </w:tcPr>
          <w:p w:rsidR="00756B60" w:rsidRPr="00FD119B" w:rsidRDefault="00756B60" w:rsidP="009F09F9">
            <w:pPr>
              <w:ind w:left="142" w:right="0"/>
              <w:rPr>
                <w:color w:val="auto"/>
                <w:szCs w:val="22"/>
                <w:lang w:eastAsia="en-US"/>
              </w:rPr>
            </w:pPr>
            <w:r>
              <w:rPr>
                <w:color w:val="auto"/>
                <w:szCs w:val="22"/>
                <w:lang w:eastAsia="en-US"/>
              </w:rPr>
              <w:t>RMP</w:t>
            </w:r>
          </w:p>
        </w:tc>
        <w:tc>
          <w:tcPr>
            <w:tcW w:w="6911" w:type="dxa"/>
          </w:tcPr>
          <w:p w:rsidR="00756B60" w:rsidRPr="00FD119B" w:rsidRDefault="00756B60" w:rsidP="009F09F9">
            <w:pPr>
              <w:ind w:left="176" w:right="0"/>
              <w:rPr>
                <w:color w:val="auto"/>
                <w:szCs w:val="22"/>
                <w:lang w:eastAsia="en-US"/>
              </w:rPr>
            </w:pPr>
            <w:r w:rsidRPr="00E158CC">
              <w:t>Risk Management Plan</w:t>
            </w:r>
          </w:p>
        </w:tc>
      </w:tr>
      <w:tr w:rsidR="00756B60" w:rsidRPr="00FD119B" w:rsidTr="009F09F9">
        <w:tc>
          <w:tcPr>
            <w:tcW w:w="1809" w:type="dxa"/>
          </w:tcPr>
          <w:p w:rsidR="00756B60" w:rsidRPr="00FD119B" w:rsidRDefault="00756B60" w:rsidP="009F09F9">
            <w:pPr>
              <w:ind w:left="142" w:right="0"/>
              <w:rPr>
                <w:color w:val="auto"/>
                <w:szCs w:val="22"/>
                <w:lang w:eastAsia="en-US"/>
              </w:rPr>
            </w:pPr>
            <w:r>
              <w:rPr>
                <w:color w:val="auto"/>
                <w:szCs w:val="22"/>
                <w:lang w:eastAsia="en-US"/>
              </w:rPr>
              <w:t>SAE</w:t>
            </w:r>
          </w:p>
        </w:tc>
        <w:tc>
          <w:tcPr>
            <w:tcW w:w="6911" w:type="dxa"/>
          </w:tcPr>
          <w:p w:rsidR="00756B60" w:rsidRPr="00FD119B" w:rsidRDefault="00756B60" w:rsidP="009F09F9">
            <w:pPr>
              <w:ind w:left="176" w:right="0"/>
              <w:rPr>
                <w:color w:val="auto"/>
                <w:szCs w:val="22"/>
                <w:lang w:eastAsia="en-US"/>
              </w:rPr>
            </w:pPr>
            <w:r>
              <w:t xml:space="preserve">serious </w:t>
            </w:r>
            <w:r w:rsidRPr="00617C4F">
              <w:t>adverse event</w:t>
            </w:r>
          </w:p>
        </w:tc>
      </w:tr>
      <w:tr w:rsidR="003D13F1" w:rsidRPr="00FD119B" w:rsidTr="009F09F9">
        <w:tc>
          <w:tcPr>
            <w:tcW w:w="1809" w:type="dxa"/>
          </w:tcPr>
          <w:p w:rsidR="003D13F1" w:rsidRPr="00FD119B" w:rsidRDefault="00244E26" w:rsidP="00D23C46">
            <w:pPr>
              <w:ind w:left="142" w:right="0"/>
              <w:rPr>
                <w:color w:val="auto"/>
                <w:szCs w:val="22"/>
                <w:lang w:eastAsia="en-US"/>
              </w:rPr>
            </w:pPr>
            <w:r>
              <w:rPr>
                <w:color w:val="auto"/>
                <w:szCs w:val="22"/>
                <w:lang w:eastAsia="en-US"/>
              </w:rPr>
              <w:t>SOF</w:t>
            </w:r>
          </w:p>
        </w:tc>
        <w:tc>
          <w:tcPr>
            <w:tcW w:w="6911" w:type="dxa"/>
          </w:tcPr>
          <w:p w:rsidR="003D13F1" w:rsidRPr="00FD119B" w:rsidRDefault="00244E26" w:rsidP="00D23C46">
            <w:pPr>
              <w:ind w:left="176" w:right="0"/>
              <w:rPr>
                <w:color w:val="auto"/>
                <w:szCs w:val="22"/>
                <w:lang w:eastAsia="en-US"/>
              </w:rPr>
            </w:pPr>
            <w:proofErr w:type="spellStart"/>
            <w:r>
              <w:t>s</w:t>
            </w:r>
            <w:r w:rsidRPr="00981D2B">
              <w:t>ofosbuvir</w:t>
            </w:r>
            <w:proofErr w:type="spellEnd"/>
          </w:p>
        </w:tc>
      </w:tr>
      <w:tr w:rsidR="00756B60" w:rsidRPr="00FD119B" w:rsidTr="009F09F9">
        <w:tc>
          <w:tcPr>
            <w:tcW w:w="1809" w:type="dxa"/>
          </w:tcPr>
          <w:p w:rsidR="00756B60" w:rsidRPr="00FD119B" w:rsidRDefault="00756B60" w:rsidP="009F09F9">
            <w:pPr>
              <w:ind w:left="142" w:right="0"/>
              <w:rPr>
                <w:color w:val="auto"/>
                <w:szCs w:val="22"/>
                <w:lang w:eastAsia="en-US"/>
              </w:rPr>
            </w:pPr>
            <w:r>
              <w:rPr>
                <w:color w:val="auto"/>
                <w:szCs w:val="22"/>
                <w:lang w:eastAsia="en-US"/>
              </w:rPr>
              <w:lastRenderedPageBreak/>
              <w:t>SVR</w:t>
            </w:r>
          </w:p>
        </w:tc>
        <w:tc>
          <w:tcPr>
            <w:tcW w:w="6911" w:type="dxa"/>
          </w:tcPr>
          <w:p w:rsidR="00756B60" w:rsidRPr="00FD119B" w:rsidRDefault="00756B60" w:rsidP="009F09F9">
            <w:pPr>
              <w:ind w:left="176" w:right="0"/>
              <w:rPr>
                <w:color w:val="auto"/>
                <w:szCs w:val="22"/>
                <w:lang w:eastAsia="en-US"/>
              </w:rPr>
            </w:pPr>
            <w:r w:rsidRPr="001F2D9D">
              <w:rPr>
                <w:color w:val="auto"/>
                <w:szCs w:val="22"/>
                <w:lang w:eastAsia="en-US"/>
              </w:rPr>
              <w:t>Sustained Virological Response</w:t>
            </w:r>
          </w:p>
        </w:tc>
      </w:tr>
      <w:tr w:rsidR="00064D25" w:rsidRPr="00FD119B" w:rsidTr="009F09F9">
        <w:tc>
          <w:tcPr>
            <w:tcW w:w="1809" w:type="dxa"/>
          </w:tcPr>
          <w:p w:rsidR="00064D25" w:rsidRPr="00FD119B" w:rsidRDefault="00064D25" w:rsidP="009F09F9">
            <w:pPr>
              <w:ind w:left="142" w:right="0"/>
              <w:rPr>
                <w:color w:val="auto"/>
                <w:szCs w:val="22"/>
                <w:lang w:eastAsia="en-US"/>
              </w:rPr>
            </w:pPr>
            <w:r>
              <w:rPr>
                <w:color w:val="auto"/>
                <w:szCs w:val="22"/>
                <w:lang w:eastAsia="en-US"/>
              </w:rPr>
              <w:t>t1/2</w:t>
            </w:r>
          </w:p>
        </w:tc>
        <w:tc>
          <w:tcPr>
            <w:tcW w:w="6911" w:type="dxa"/>
          </w:tcPr>
          <w:p w:rsidR="00064D25" w:rsidRPr="00FD119B" w:rsidRDefault="00064D25" w:rsidP="00941DB5">
            <w:pPr>
              <w:ind w:left="176" w:right="0"/>
              <w:rPr>
                <w:color w:val="auto"/>
                <w:szCs w:val="22"/>
                <w:lang w:eastAsia="en-US"/>
              </w:rPr>
            </w:pPr>
            <w:r>
              <w:rPr>
                <w:color w:val="auto"/>
                <w:szCs w:val="22"/>
                <w:lang w:eastAsia="en-US"/>
              </w:rPr>
              <w:t>elimination half life</w:t>
            </w:r>
            <w:r w:rsidR="00941DB5">
              <w:rPr>
                <w:szCs w:val="24"/>
              </w:rPr>
              <w:t xml:space="preserve"> </w:t>
            </w:r>
          </w:p>
        </w:tc>
      </w:tr>
      <w:tr w:rsidR="00756B60" w:rsidRPr="00FD119B" w:rsidTr="009F09F9">
        <w:tc>
          <w:tcPr>
            <w:tcW w:w="1809" w:type="dxa"/>
          </w:tcPr>
          <w:p w:rsidR="00756B60" w:rsidRPr="00FD119B" w:rsidRDefault="00756B60" w:rsidP="009F09F9">
            <w:pPr>
              <w:ind w:left="142" w:right="0"/>
              <w:rPr>
                <w:color w:val="auto"/>
                <w:szCs w:val="22"/>
                <w:lang w:eastAsia="en-US"/>
              </w:rPr>
            </w:pPr>
            <w:r w:rsidRPr="00BF6D9E">
              <w:t>TEAE</w:t>
            </w:r>
          </w:p>
        </w:tc>
        <w:tc>
          <w:tcPr>
            <w:tcW w:w="6911" w:type="dxa"/>
          </w:tcPr>
          <w:p w:rsidR="00756B60" w:rsidRPr="00FD119B" w:rsidRDefault="00756B60" w:rsidP="009F09F9">
            <w:pPr>
              <w:ind w:left="176" w:right="0"/>
              <w:rPr>
                <w:color w:val="auto"/>
                <w:szCs w:val="22"/>
                <w:lang w:eastAsia="en-US"/>
              </w:rPr>
            </w:pPr>
            <w:r>
              <w:rPr>
                <w:color w:val="auto"/>
                <w:szCs w:val="22"/>
                <w:lang w:eastAsia="en-US"/>
              </w:rPr>
              <w:t>treatment emergent adverse event</w:t>
            </w:r>
          </w:p>
        </w:tc>
      </w:tr>
      <w:tr w:rsidR="00BC1171" w:rsidRPr="00FD119B" w:rsidTr="009F09F9">
        <w:tc>
          <w:tcPr>
            <w:tcW w:w="1809" w:type="dxa"/>
          </w:tcPr>
          <w:p w:rsidR="00BC1171" w:rsidRPr="00FD119B" w:rsidRDefault="00BC1171" w:rsidP="009F09F9">
            <w:pPr>
              <w:ind w:left="142" w:right="0"/>
              <w:rPr>
                <w:color w:val="auto"/>
                <w:szCs w:val="22"/>
                <w:lang w:eastAsia="en-US"/>
              </w:rPr>
            </w:pPr>
            <w:proofErr w:type="spellStart"/>
            <w:r>
              <w:rPr>
                <w:color w:val="auto"/>
                <w:szCs w:val="22"/>
                <w:lang w:eastAsia="en-US"/>
              </w:rPr>
              <w:t>Tmax</w:t>
            </w:r>
            <w:proofErr w:type="spellEnd"/>
          </w:p>
        </w:tc>
        <w:tc>
          <w:tcPr>
            <w:tcW w:w="6911" w:type="dxa"/>
          </w:tcPr>
          <w:p w:rsidR="00BC1171" w:rsidRPr="00FD119B" w:rsidRDefault="00CC3DE6" w:rsidP="009F09F9">
            <w:pPr>
              <w:ind w:left="176" w:right="0"/>
              <w:rPr>
                <w:color w:val="auto"/>
                <w:szCs w:val="22"/>
                <w:lang w:eastAsia="en-US"/>
              </w:rPr>
            </w:pPr>
            <w:r w:rsidRPr="008B7BEF">
              <w:rPr>
                <w:color w:val="auto"/>
                <w:szCs w:val="22"/>
                <w:lang w:eastAsia="en-US"/>
              </w:rPr>
              <w:t>time taken to reach the maximum plasma drug concentration</w:t>
            </w:r>
          </w:p>
        </w:tc>
      </w:tr>
    </w:tbl>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8" w:name="_Toc432073710"/>
      <w:r>
        <w:lastRenderedPageBreak/>
        <w:t>I.</w:t>
      </w:r>
      <w:r w:rsidR="008E7846">
        <w:t xml:space="preserve"> Introduction to product submission</w:t>
      </w:r>
      <w:bookmarkEnd w:id="8"/>
      <w:bookmarkEnd w:id="0"/>
      <w:bookmarkEnd w:id="2"/>
    </w:p>
    <w:p w:rsidR="008E7846" w:rsidRDefault="008E7846" w:rsidP="008E7846">
      <w:pPr>
        <w:pStyle w:val="Heading3"/>
        <w:rPr>
          <w:lang w:eastAsia="en-AU"/>
        </w:rPr>
      </w:pPr>
      <w:bookmarkStart w:id="9" w:name="_Toc247691502"/>
      <w:bookmarkStart w:id="10" w:name="_Toc314842483"/>
      <w:bookmarkStart w:id="11" w:name="_Toc432073711"/>
      <w:r>
        <w:rPr>
          <w:lang w:eastAsia="en-AU"/>
        </w:rPr>
        <w:t>Submission details</w:t>
      </w:r>
      <w:bookmarkEnd w:id="9"/>
      <w:bookmarkEnd w:id="10"/>
      <w:bookmarkEnd w:id="11"/>
    </w:p>
    <w:tbl>
      <w:tblPr>
        <w:tblW w:w="9497" w:type="dxa"/>
        <w:tblInd w:w="108" w:type="dxa"/>
        <w:tblLook w:val="01E0" w:firstRow="1" w:lastRow="1" w:firstColumn="1" w:lastColumn="1" w:noHBand="0" w:noVBand="0"/>
      </w:tblPr>
      <w:tblGrid>
        <w:gridCol w:w="2907"/>
        <w:gridCol w:w="6590"/>
      </w:tblGrid>
      <w:tr w:rsidR="008E7846" w:rsidRPr="003D1E62" w:rsidTr="0089635C">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tcPr>
          <w:p w:rsidR="008E7846" w:rsidRPr="003D1E62" w:rsidRDefault="008E7846" w:rsidP="00A866F1">
            <w:r w:rsidRPr="003D1E62">
              <w:t xml:space="preserve">New </w:t>
            </w:r>
            <w:r w:rsidR="001B5C90">
              <w:t>c</w:t>
            </w:r>
            <w:r w:rsidRPr="003D1E62">
              <w:t xml:space="preserve">hemical </w:t>
            </w:r>
            <w:r w:rsidR="001B5C90">
              <w:t>e</w:t>
            </w:r>
            <w:r w:rsidR="00A866F1">
              <w:t>ntity</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BE1E88" w:rsidP="00BE1E88">
            <w:r>
              <w:t>Approved</w:t>
            </w:r>
          </w:p>
        </w:tc>
      </w:tr>
      <w:tr w:rsidR="008E7846" w:rsidRPr="003D1E62" w:rsidTr="0089635C">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tcPr>
          <w:p w:rsidR="008E7846" w:rsidRPr="003D1E62" w:rsidRDefault="00BE1E88" w:rsidP="001B5C90">
            <w:r>
              <w:t>8 May 2015</w:t>
            </w:r>
          </w:p>
        </w:tc>
      </w:tr>
      <w:tr w:rsidR="00C042FB" w:rsidRPr="003D1E62" w:rsidTr="00C042FB">
        <w:trPr>
          <w:trHeight w:hRule="exact" w:val="454"/>
        </w:trPr>
        <w:tc>
          <w:tcPr>
            <w:tcW w:w="2907" w:type="dxa"/>
          </w:tcPr>
          <w:p w:rsidR="00C042FB" w:rsidRPr="003D1E62" w:rsidRDefault="00C042FB" w:rsidP="00C042FB">
            <w:pPr>
              <w:rPr>
                <w:i/>
              </w:rPr>
            </w:pPr>
            <w:r w:rsidRPr="003D1E62">
              <w:rPr>
                <w:i/>
              </w:rPr>
              <w:t xml:space="preserve">Date of </w:t>
            </w:r>
            <w:r>
              <w:rPr>
                <w:i/>
              </w:rPr>
              <w:t>entry onto ARTG</w:t>
            </w:r>
            <w:r w:rsidRPr="003D1E62">
              <w:rPr>
                <w:i/>
              </w:rPr>
              <w:t>:</w:t>
            </w:r>
          </w:p>
        </w:tc>
        <w:tc>
          <w:tcPr>
            <w:tcW w:w="6590" w:type="dxa"/>
          </w:tcPr>
          <w:p w:rsidR="00C042FB" w:rsidRPr="003D1E62" w:rsidRDefault="009152F6" w:rsidP="009F09F9">
            <w:r>
              <w:t>13 May 2015</w:t>
            </w:r>
          </w:p>
        </w:tc>
      </w:tr>
    </w:tbl>
    <w:p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rsidTr="00BF1190">
        <w:tc>
          <w:tcPr>
            <w:tcW w:w="2907" w:type="dxa"/>
          </w:tcPr>
          <w:p w:rsidR="008E7846" w:rsidRPr="00487162" w:rsidRDefault="001B5C90" w:rsidP="00E45619">
            <w:pPr>
              <w:rPr>
                <w:i/>
              </w:rPr>
            </w:pPr>
            <w:r>
              <w:rPr>
                <w:i/>
              </w:rPr>
              <w:t>Active ingredient(s):</w:t>
            </w:r>
          </w:p>
        </w:tc>
        <w:tc>
          <w:tcPr>
            <w:tcW w:w="6307" w:type="dxa"/>
          </w:tcPr>
          <w:p w:rsidR="008E7846" w:rsidRPr="00487162" w:rsidRDefault="00D56770" w:rsidP="00E45619">
            <w:proofErr w:type="spellStart"/>
            <w:r w:rsidRPr="00D56770">
              <w:t>Ledipasvir</w:t>
            </w:r>
            <w:proofErr w:type="spellEnd"/>
            <w:r w:rsidR="00557891">
              <w:rPr>
                <w:lang w:eastAsia="ja-JP"/>
              </w:rPr>
              <w:t xml:space="preserve"> </w:t>
            </w:r>
            <w:r w:rsidR="00557891" w:rsidRPr="00A31C74">
              <w:rPr>
                <w:lang w:eastAsia="ja-JP"/>
              </w:rPr>
              <w:t>/</w:t>
            </w:r>
            <w:r w:rsidR="00557891">
              <w:rPr>
                <w:lang w:eastAsia="ja-JP"/>
              </w:rPr>
              <w:t xml:space="preserve"> </w:t>
            </w:r>
            <w:proofErr w:type="spellStart"/>
            <w:r w:rsidR="00557891" w:rsidRPr="00A31C74">
              <w:rPr>
                <w:lang w:eastAsia="ja-JP"/>
              </w:rPr>
              <w:t>sofosbuvir</w:t>
            </w:r>
            <w:proofErr w:type="spellEnd"/>
          </w:p>
        </w:tc>
      </w:tr>
      <w:tr w:rsidR="008E7846" w:rsidRPr="00487162" w:rsidTr="00BF1190">
        <w:tc>
          <w:tcPr>
            <w:tcW w:w="2907" w:type="dxa"/>
          </w:tcPr>
          <w:p w:rsidR="008E7846" w:rsidRPr="00487162" w:rsidRDefault="008E7846" w:rsidP="001B5C90">
            <w:pPr>
              <w:rPr>
                <w:i/>
              </w:rPr>
            </w:pPr>
            <w:r w:rsidRPr="00487162">
              <w:rPr>
                <w:i/>
              </w:rPr>
              <w:t>Product</w:t>
            </w:r>
            <w:r w:rsidR="001B5C90">
              <w:rPr>
                <w:i/>
              </w:rPr>
              <w:t xml:space="preserve"> name(s):</w:t>
            </w:r>
          </w:p>
        </w:tc>
        <w:tc>
          <w:tcPr>
            <w:tcW w:w="6307" w:type="dxa"/>
          </w:tcPr>
          <w:p w:rsidR="008E7846" w:rsidRPr="00487162" w:rsidRDefault="00927017" w:rsidP="00E45619">
            <w:proofErr w:type="spellStart"/>
            <w:r>
              <w:t>Harvoni</w:t>
            </w:r>
            <w:proofErr w:type="spellEnd"/>
          </w:p>
        </w:tc>
      </w:tr>
      <w:tr w:rsidR="008E7846" w:rsidRPr="00487162" w:rsidTr="00BF1190">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Default="00A80876" w:rsidP="00E45619">
            <w:r w:rsidRPr="00A80876">
              <w:t>Gilead Sciences Pty Ltd</w:t>
            </w:r>
          </w:p>
          <w:p w:rsidR="00606563" w:rsidRDefault="00606563" w:rsidP="00E45619">
            <w:r>
              <w:t>Level 6, 417 St Kilda Road</w:t>
            </w:r>
          </w:p>
          <w:p w:rsidR="005938AD" w:rsidRPr="00487162" w:rsidRDefault="00606563" w:rsidP="00606563">
            <w:r>
              <w:t xml:space="preserve">Melbourne </w:t>
            </w:r>
            <w:r w:rsidR="005938AD" w:rsidRPr="005938AD">
              <w:t>V</w:t>
            </w:r>
            <w:r>
              <w:t>IC</w:t>
            </w:r>
            <w:r w:rsidR="005938AD" w:rsidRPr="005938AD">
              <w:t xml:space="preserve"> 3004</w:t>
            </w:r>
          </w:p>
        </w:tc>
      </w:tr>
      <w:tr w:rsidR="008E7846" w:rsidRPr="00487162" w:rsidTr="00BF1190">
        <w:tc>
          <w:tcPr>
            <w:tcW w:w="2907" w:type="dxa"/>
          </w:tcPr>
          <w:p w:rsidR="008E7846" w:rsidRPr="00487162" w:rsidRDefault="001B5C90" w:rsidP="00E45619">
            <w:pPr>
              <w:rPr>
                <w:i/>
              </w:rPr>
            </w:pPr>
            <w:r>
              <w:rPr>
                <w:i/>
              </w:rPr>
              <w:t>Dose form(s):</w:t>
            </w:r>
          </w:p>
        </w:tc>
        <w:tc>
          <w:tcPr>
            <w:tcW w:w="6307" w:type="dxa"/>
          </w:tcPr>
          <w:p w:rsidR="008E7846" w:rsidRPr="00487162" w:rsidRDefault="00D50616" w:rsidP="009F09F9">
            <w:r w:rsidRPr="00D50616">
              <w:t>Fixed dose combination, film</w:t>
            </w:r>
            <w:r w:rsidR="009F09F9">
              <w:t xml:space="preserve"> </w:t>
            </w:r>
            <w:r w:rsidRPr="00D50616">
              <w:t>coated tablet</w:t>
            </w:r>
          </w:p>
        </w:tc>
      </w:tr>
      <w:tr w:rsidR="008E7846" w:rsidRPr="00487162" w:rsidTr="00BF1190">
        <w:tc>
          <w:tcPr>
            <w:tcW w:w="2907" w:type="dxa"/>
          </w:tcPr>
          <w:p w:rsidR="008E7846" w:rsidRPr="00487162" w:rsidRDefault="008E7846" w:rsidP="00E45619">
            <w:pPr>
              <w:rPr>
                <w:i/>
              </w:rPr>
            </w:pPr>
            <w:r w:rsidRPr="00487162">
              <w:rPr>
                <w:i/>
              </w:rPr>
              <w:t xml:space="preserve">Strength(s): </w:t>
            </w:r>
          </w:p>
        </w:tc>
        <w:tc>
          <w:tcPr>
            <w:tcW w:w="6307" w:type="dxa"/>
          </w:tcPr>
          <w:p w:rsidR="008E7846" w:rsidRPr="00487162" w:rsidRDefault="00D56770" w:rsidP="00713F25">
            <w:proofErr w:type="spellStart"/>
            <w:r w:rsidRPr="00D56770">
              <w:t>Ledipasvir</w:t>
            </w:r>
            <w:proofErr w:type="spellEnd"/>
            <w:r w:rsidR="00713F25">
              <w:t xml:space="preserve"> 90 mg / </w:t>
            </w:r>
            <w:proofErr w:type="spellStart"/>
            <w:r w:rsidR="00713F25">
              <w:t>s</w:t>
            </w:r>
            <w:r w:rsidR="00A043AE" w:rsidRPr="00A043AE">
              <w:t>ofosbuvir</w:t>
            </w:r>
            <w:proofErr w:type="spellEnd"/>
            <w:r w:rsidR="00A043AE" w:rsidRPr="00A043AE">
              <w:t xml:space="preserve"> 400 mg</w:t>
            </w:r>
          </w:p>
        </w:tc>
      </w:tr>
      <w:tr w:rsidR="008E7846" w:rsidRPr="00487162" w:rsidTr="00BF1190">
        <w:tc>
          <w:tcPr>
            <w:tcW w:w="2907" w:type="dxa"/>
          </w:tcPr>
          <w:p w:rsidR="008E7846" w:rsidRPr="00487162" w:rsidRDefault="008E7846" w:rsidP="00E45619">
            <w:pPr>
              <w:rPr>
                <w:i/>
              </w:rPr>
            </w:pPr>
            <w:r w:rsidRPr="00487162">
              <w:rPr>
                <w:i/>
              </w:rPr>
              <w:t>Container(s):</w:t>
            </w:r>
          </w:p>
        </w:tc>
        <w:tc>
          <w:tcPr>
            <w:tcW w:w="6307" w:type="dxa"/>
          </w:tcPr>
          <w:p w:rsidR="008E7846" w:rsidRPr="00487162" w:rsidRDefault="00DB2C17" w:rsidP="003D5F5B">
            <w:r w:rsidRPr="00DB2C17">
              <w:t xml:space="preserve">High </w:t>
            </w:r>
            <w:r w:rsidR="00452EFF">
              <w:t>d</w:t>
            </w:r>
            <w:r w:rsidRPr="00DB2C17">
              <w:t xml:space="preserve">ensity </w:t>
            </w:r>
            <w:r w:rsidR="00452EFF">
              <w:t>p</w:t>
            </w:r>
            <w:r w:rsidRPr="00DB2C17">
              <w:t xml:space="preserve">olyethylene </w:t>
            </w:r>
            <w:r>
              <w:t>(</w:t>
            </w:r>
            <w:r w:rsidR="00253A87" w:rsidRPr="00253A87">
              <w:t>HDPE</w:t>
            </w:r>
            <w:r>
              <w:t>)</w:t>
            </w:r>
            <w:r w:rsidR="00253A87" w:rsidRPr="00253A87">
              <w:t xml:space="preserve"> bottles with child</w:t>
            </w:r>
            <w:r w:rsidR="003D5F5B">
              <w:t xml:space="preserve"> </w:t>
            </w:r>
            <w:r w:rsidR="00253A87" w:rsidRPr="00253A87">
              <w:t xml:space="preserve">resistant </w:t>
            </w:r>
            <w:r w:rsidR="00D230DC">
              <w:t>p</w:t>
            </w:r>
            <w:r w:rsidR="00D230DC" w:rsidRPr="00D230DC">
              <w:t xml:space="preserve">olypropylene </w:t>
            </w:r>
            <w:r w:rsidR="00D230DC">
              <w:t>(</w:t>
            </w:r>
            <w:r w:rsidR="00253A87" w:rsidRPr="00253A87">
              <w:t>PP</w:t>
            </w:r>
            <w:r w:rsidR="00D230DC">
              <w:t>)</w:t>
            </w:r>
            <w:r w:rsidR="00253A87" w:rsidRPr="00253A87">
              <w:t xml:space="preserve"> caps</w:t>
            </w:r>
          </w:p>
        </w:tc>
      </w:tr>
      <w:tr w:rsidR="008E7846" w:rsidRPr="00487162" w:rsidTr="00BF1190">
        <w:tc>
          <w:tcPr>
            <w:tcW w:w="2907" w:type="dxa"/>
          </w:tcPr>
          <w:p w:rsidR="008E7846" w:rsidRPr="00487162" w:rsidRDefault="008E7846" w:rsidP="00E45619">
            <w:pPr>
              <w:rPr>
                <w:i/>
              </w:rPr>
            </w:pPr>
            <w:r w:rsidRPr="00487162">
              <w:rPr>
                <w:i/>
              </w:rPr>
              <w:t>Pack size(s):</w:t>
            </w:r>
          </w:p>
        </w:tc>
        <w:tc>
          <w:tcPr>
            <w:tcW w:w="6307" w:type="dxa"/>
          </w:tcPr>
          <w:p w:rsidR="008E7846" w:rsidRPr="00487162" w:rsidRDefault="00253A87" w:rsidP="00E45619">
            <w:r w:rsidRPr="00253A87">
              <w:t>28 tablets</w:t>
            </w:r>
          </w:p>
        </w:tc>
      </w:tr>
      <w:tr w:rsidR="008E7846" w:rsidRPr="00487162" w:rsidTr="00BF1190">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487162" w:rsidRDefault="00A31C74" w:rsidP="00C078AA">
            <w:pPr>
              <w:rPr>
                <w:rFonts w:eastAsia="MS Mincho"/>
                <w:lang w:eastAsia="ja-JP"/>
              </w:rPr>
            </w:pPr>
            <w:proofErr w:type="spellStart"/>
            <w:r>
              <w:t>Harvoni</w:t>
            </w:r>
            <w:proofErr w:type="spellEnd"/>
            <w:r w:rsidRPr="00A31C74">
              <w:rPr>
                <w:lang w:eastAsia="ja-JP"/>
              </w:rPr>
              <w:t xml:space="preserve"> (</w:t>
            </w:r>
            <w:proofErr w:type="spellStart"/>
            <w:r w:rsidR="00EF5D41">
              <w:rPr>
                <w:lang w:eastAsia="ja-JP"/>
              </w:rPr>
              <w:t>l</w:t>
            </w:r>
            <w:r w:rsidR="00EF5D41" w:rsidRPr="00EF5D41">
              <w:rPr>
                <w:lang w:eastAsia="ja-JP"/>
              </w:rPr>
              <w:t>edipasvir</w:t>
            </w:r>
            <w:proofErr w:type="spellEnd"/>
            <w:r w:rsidRPr="00A31C74">
              <w:rPr>
                <w:lang w:eastAsia="ja-JP"/>
              </w:rPr>
              <w:t>/</w:t>
            </w:r>
            <w:proofErr w:type="spellStart"/>
            <w:r w:rsidRPr="00A31C74">
              <w:rPr>
                <w:lang w:eastAsia="ja-JP"/>
              </w:rPr>
              <w:t>sofosbuvir</w:t>
            </w:r>
            <w:proofErr w:type="spellEnd"/>
            <w:r w:rsidRPr="00A31C74">
              <w:rPr>
                <w:lang w:eastAsia="ja-JP"/>
              </w:rPr>
              <w:t xml:space="preserve"> fixed</w:t>
            </w:r>
            <w:r w:rsidR="00C078AA">
              <w:rPr>
                <w:lang w:eastAsia="ja-JP"/>
              </w:rPr>
              <w:t xml:space="preserve"> </w:t>
            </w:r>
            <w:r w:rsidR="00A93827">
              <w:rPr>
                <w:lang w:eastAsia="ja-JP"/>
              </w:rPr>
              <w:t>dose combination</w:t>
            </w:r>
            <w:r w:rsidRPr="00A31C74">
              <w:rPr>
                <w:lang w:eastAsia="ja-JP"/>
              </w:rPr>
              <w:t>) is indicated for the treatment of chronic hepatitis C (CHC) genotype 1 infection in adults.</w:t>
            </w:r>
          </w:p>
        </w:tc>
      </w:tr>
      <w:tr w:rsidR="008E7846" w:rsidRPr="00487162" w:rsidTr="00BF1190">
        <w:tc>
          <w:tcPr>
            <w:tcW w:w="2907" w:type="dxa"/>
          </w:tcPr>
          <w:p w:rsidR="008E7846" w:rsidRPr="00487162" w:rsidRDefault="008E7846" w:rsidP="00E45619">
            <w:pPr>
              <w:rPr>
                <w:i/>
              </w:rPr>
            </w:pPr>
            <w:r w:rsidRPr="00487162">
              <w:rPr>
                <w:i/>
              </w:rPr>
              <w:t>Route(s) of administration:</w:t>
            </w:r>
          </w:p>
        </w:tc>
        <w:tc>
          <w:tcPr>
            <w:tcW w:w="6307" w:type="dxa"/>
          </w:tcPr>
          <w:p w:rsidR="008E7846" w:rsidRPr="00487162" w:rsidRDefault="00253A87" w:rsidP="00E45619">
            <w:r>
              <w:t>Oral</w:t>
            </w:r>
          </w:p>
        </w:tc>
      </w:tr>
      <w:tr w:rsidR="008E7846" w:rsidRPr="00487162" w:rsidTr="00BF1190">
        <w:tc>
          <w:tcPr>
            <w:tcW w:w="2907" w:type="dxa"/>
          </w:tcPr>
          <w:p w:rsidR="008E7846" w:rsidRPr="00487162" w:rsidRDefault="008E7846" w:rsidP="00E45619">
            <w:pPr>
              <w:rPr>
                <w:i/>
              </w:rPr>
            </w:pPr>
            <w:r w:rsidRPr="00487162">
              <w:rPr>
                <w:i/>
              </w:rPr>
              <w:t>Dosage:</w:t>
            </w:r>
          </w:p>
        </w:tc>
        <w:tc>
          <w:tcPr>
            <w:tcW w:w="6307" w:type="dxa"/>
          </w:tcPr>
          <w:p w:rsidR="008E7846" w:rsidRPr="00487162" w:rsidRDefault="000F3737" w:rsidP="00C078AA">
            <w:r>
              <w:t>R</w:t>
            </w:r>
            <w:r w:rsidRPr="000F3737">
              <w:t xml:space="preserve">ecommended dose is one </w:t>
            </w:r>
            <w:r w:rsidR="00A93827" w:rsidRPr="00A31C74">
              <w:rPr>
                <w:lang w:eastAsia="ja-JP"/>
              </w:rPr>
              <w:t>fixed</w:t>
            </w:r>
            <w:r w:rsidR="00C078AA">
              <w:rPr>
                <w:lang w:eastAsia="ja-JP"/>
              </w:rPr>
              <w:t xml:space="preserve"> </w:t>
            </w:r>
            <w:r w:rsidR="00A93827">
              <w:rPr>
                <w:lang w:eastAsia="ja-JP"/>
              </w:rPr>
              <w:t>dose combination</w:t>
            </w:r>
            <w:r w:rsidRPr="000F3737">
              <w:t xml:space="preserve"> tablet (90 mg </w:t>
            </w:r>
            <w:proofErr w:type="spellStart"/>
            <w:r w:rsidR="0015088D">
              <w:t>l</w:t>
            </w:r>
            <w:r w:rsidR="0015088D" w:rsidRPr="00EF5D41">
              <w:rPr>
                <w:lang w:eastAsia="ja-JP"/>
              </w:rPr>
              <w:t>edipasvir</w:t>
            </w:r>
            <w:proofErr w:type="spellEnd"/>
            <w:r w:rsidR="00B673BA">
              <w:t xml:space="preserve"> and 400 mg </w:t>
            </w:r>
            <w:proofErr w:type="spellStart"/>
            <w:r w:rsidR="00B673BA">
              <w:t>s</w:t>
            </w:r>
            <w:r w:rsidRPr="000F3737">
              <w:t>ofosbuvir</w:t>
            </w:r>
            <w:proofErr w:type="spellEnd"/>
            <w:r w:rsidRPr="000F3737">
              <w:t>) once daily with or without food</w:t>
            </w:r>
            <w:r w:rsidR="00E4118E">
              <w:t>.</w:t>
            </w:r>
          </w:p>
        </w:tc>
      </w:tr>
      <w:tr w:rsidR="008E7846" w:rsidRPr="00487162" w:rsidTr="00BF1190">
        <w:tc>
          <w:tcPr>
            <w:tcW w:w="2907" w:type="dxa"/>
          </w:tcPr>
          <w:p w:rsidR="008E7846" w:rsidRPr="00487162" w:rsidRDefault="008E7846" w:rsidP="001B5C90">
            <w:pPr>
              <w:rPr>
                <w:i/>
              </w:rPr>
            </w:pPr>
            <w:r w:rsidRPr="00487162">
              <w:rPr>
                <w:i/>
              </w:rPr>
              <w:t xml:space="preserve">ARTG </w:t>
            </w:r>
            <w:r w:rsidR="001B5C90">
              <w:rPr>
                <w:i/>
              </w:rPr>
              <w:t>n</w:t>
            </w:r>
            <w:r w:rsidRPr="00487162">
              <w:rPr>
                <w:i/>
              </w:rPr>
              <w:t>umber (s)</w:t>
            </w:r>
            <w:r w:rsidR="001B5C90">
              <w:rPr>
                <w:i/>
              </w:rPr>
              <w:t>:</w:t>
            </w:r>
          </w:p>
        </w:tc>
        <w:tc>
          <w:tcPr>
            <w:tcW w:w="6307" w:type="dxa"/>
          </w:tcPr>
          <w:p w:rsidR="008E7846" w:rsidRPr="00487162" w:rsidRDefault="00241AFE" w:rsidP="00E45619">
            <w:r w:rsidRPr="00241AFE">
              <w:t>222848</w:t>
            </w:r>
          </w:p>
        </w:tc>
      </w:tr>
    </w:tbl>
    <w:p w:rsidR="008E7846" w:rsidRDefault="008E7846" w:rsidP="009203E1">
      <w:pPr>
        <w:pStyle w:val="Heading3"/>
      </w:pPr>
      <w:bookmarkStart w:id="12" w:name="_Toc247691503"/>
      <w:bookmarkStart w:id="13" w:name="_Toc314842484"/>
      <w:bookmarkStart w:id="14" w:name="_Toc432073712"/>
      <w:r>
        <w:t>Product background</w:t>
      </w:r>
      <w:bookmarkEnd w:id="12"/>
      <w:bookmarkEnd w:id="13"/>
      <w:bookmarkEnd w:id="14"/>
    </w:p>
    <w:p w:rsidR="004E3A02" w:rsidRDefault="00981D2B" w:rsidP="009203E1">
      <w:r w:rsidRPr="0034149E">
        <w:t xml:space="preserve">This </w:t>
      </w:r>
      <w:proofErr w:type="spellStart"/>
      <w:r w:rsidRPr="0034149E">
        <w:t>AusPAR</w:t>
      </w:r>
      <w:proofErr w:type="spellEnd"/>
      <w:r w:rsidRPr="0034149E">
        <w:t xml:space="preserve"> describes the application by </w:t>
      </w:r>
      <w:r w:rsidRPr="00A80876">
        <w:t>Gilead Sciences Pty Ltd</w:t>
      </w:r>
      <w:r>
        <w:t xml:space="preserve"> to </w:t>
      </w:r>
      <w:r w:rsidR="003D28CD">
        <w:t>register ‘</w:t>
      </w:r>
      <w:proofErr w:type="spellStart"/>
      <w:r w:rsidR="003D28CD">
        <w:t>Harvoni</w:t>
      </w:r>
      <w:proofErr w:type="spellEnd"/>
      <w:r w:rsidRPr="00981D2B">
        <w:t>’ fixed dose combination (FDC) film</w:t>
      </w:r>
      <w:r w:rsidR="009F7300">
        <w:t xml:space="preserve"> </w:t>
      </w:r>
      <w:r w:rsidRPr="00981D2B">
        <w:t>coated immediate</w:t>
      </w:r>
      <w:r w:rsidR="009F7300">
        <w:t xml:space="preserve"> </w:t>
      </w:r>
      <w:r w:rsidRPr="00981D2B">
        <w:t xml:space="preserve">release tablets containing 90 mg </w:t>
      </w:r>
      <w:proofErr w:type="spellStart"/>
      <w:r w:rsidR="00D56770">
        <w:t>l</w:t>
      </w:r>
      <w:r w:rsidR="00D56770" w:rsidRPr="00D56770">
        <w:t>edipasvir</w:t>
      </w:r>
      <w:proofErr w:type="spellEnd"/>
      <w:r w:rsidRPr="00981D2B">
        <w:t xml:space="preserve"> </w:t>
      </w:r>
      <w:r w:rsidR="0040608D">
        <w:t xml:space="preserve">(LDV) </w:t>
      </w:r>
      <w:r w:rsidRPr="00981D2B">
        <w:t xml:space="preserve">and 400 mg </w:t>
      </w:r>
      <w:proofErr w:type="spellStart"/>
      <w:r w:rsidR="008148EC">
        <w:t>s</w:t>
      </w:r>
      <w:r w:rsidRPr="00981D2B">
        <w:t>ofosbuvir</w:t>
      </w:r>
      <w:proofErr w:type="spellEnd"/>
      <w:r w:rsidRPr="00981D2B">
        <w:t xml:space="preserve"> </w:t>
      </w:r>
      <w:r w:rsidR="0063513E">
        <w:t xml:space="preserve">(SOF) </w:t>
      </w:r>
      <w:r w:rsidRPr="00981D2B">
        <w:t xml:space="preserve">for the treatment of chronic hepatitis C </w:t>
      </w:r>
      <w:r w:rsidR="00305C95">
        <w:t xml:space="preserve">(CHC) </w:t>
      </w:r>
      <w:r w:rsidRPr="00981D2B">
        <w:t>genotype 1 infection in adults. L</w:t>
      </w:r>
      <w:r w:rsidR="003016A5">
        <w:t>DV</w:t>
      </w:r>
      <w:r w:rsidRPr="00981D2B">
        <w:t xml:space="preserve"> is a new chemical entity whereas </w:t>
      </w:r>
      <w:proofErr w:type="spellStart"/>
      <w:r w:rsidRPr="00981D2B">
        <w:t>sofosbuvir</w:t>
      </w:r>
      <w:proofErr w:type="spellEnd"/>
      <w:r w:rsidRPr="00981D2B">
        <w:t xml:space="preserve"> has been recently registered by Gilead as a 400</w:t>
      </w:r>
      <w:r w:rsidR="00D51D7D">
        <w:t xml:space="preserve"> </w:t>
      </w:r>
      <w:r w:rsidRPr="00981D2B">
        <w:t>mg tablet (</w:t>
      </w:r>
      <w:proofErr w:type="spellStart"/>
      <w:r w:rsidRPr="00981D2B">
        <w:t>S</w:t>
      </w:r>
      <w:r w:rsidR="00176386">
        <w:t>ovaldi</w:t>
      </w:r>
      <w:proofErr w:type="spellEnd"/>
      <w:r w:rsidRPr="00981D2B">
        <w:t xml:space="preserve"> </w:t>
      </w:r>
      <w:r w:rsidR="0027374A">
        <w:t>[</w:t>
      </w:r>
      <w:proofErr w:type="spellStart"/>
      <w:r w:rsidR="0027374A">
        <w:t>s</w:t>
      </w:r>
      <w:r w:rsidRPr="00981D2B">
        <w:t>ofosbuvir</w:t>
      </w:r>
      <w:proofErr w:type="spellEnd"/>
      <w:r w:rsidR="0027374A">
        <w:t>]</w:t>
      </w:r>
      <w:r w:rsidR="00C80C76">
        <w:t xml:space="preserve"> 400 mg tablet, ARTG 211019).</w:t>
      </w:r>
      <w:r w:rsidR="004E3A02">
        <w:t xml:space="preserve"> </w:t>
      </w:r>
      <w:r w:rsidR="003016A5">
        <w:t>LDV</w:t>
      </w:r>
      <w:r w:rsidR="004E3A02" w:rsidRPr="004E3A02">
        <w:t xml:space="preserve"> inhibits </w:t>
      </w:r>
      <w:r w:rsidR="00814599" w:rsidRPr="00814599">
        <w:t xml:space="preserve">hepatitis C virus </w:t>
      </w:r>
      <w:r w:rsidR="00814599">
        <w:t>(</w:t>
      </w:r>
      <w:r w:rsidR="004E3A02" w:rsidRPr="004E3A02">
        <w:t>HCV</w:t>
      </w:r>
      <w:r w:rsidR="00814599">
        <w:t>)</w:t>
      </w:r>
      <w:r w:rsidR="004E3A02" w:rsidRPr="004E3A02">
        <w:t xml:space="preserve"> replication through NS5A. In cell</w:t>
      </w:r>
      <w:r w:rsidR="007B3AED">
        <w:t xml:space="preserve"> </w:t>
      </w:r>
      <w:r w:rsidR="004E3A02" w:rsidRPr="004E3A02">
        <w:t xml:space="preserve">based replicon assays it has high potency, selectivity and specificity for HCV. </w:t>
      </w:r>
      <w:r w:rsidR="00DB6546">
        <w:t>SOF</w:t>
      </w:r>
      <w:r w:rsidR="004E3A02" w:rsidRPr="004E3A02">
        <w:t xml:space="preserve"> is a pro-drug of 2ʹ-deoxy-2ʹ-fluoro-2ʹ-C-</w:t>
      </w:r>
      <w:proofErr w:type="spellStart"/>
      <w:r w:rsidR="004E3A02" w:rsidRPr="004E3A02">
        <w:t>methyluridine</w:t>
      </w:r>
      <w:proofErr w:type="spellEnd"/>
      <w:r w:rsidR="004E3A02" w:rsidRPr="004E3A02">
        <w:t xml:space="preserve"> monophosphate. It is converted to the active </w:t>
      </w:r>
      <w:r w:rsidR="004E3A02" w:rsidRPr="004E3A02">
        <w:lastRenderedPageBreak/>
        <w:t>form in the hepatocyte. It inhibits HCV replication by inhibiting RNA replication through inhibition of NS5B.</w:t>
      </w:r>
    </w:p>
    <w:p w:rsidR="009203E1" w:rsidRDefault="008B7E99" w:rsidP="008B7E99">
      <w:r w:rsidRPr="008B7E99">
        <w:t xml:space="preserve">The recommended dose of </w:t>
      </w:r>
      <w:proofErr w:type="spellStart"/>
      <w:r w:rsidRPr="008B7E99">
        <w:t>H</w:t>
      </w:r>
      <w:r>
        <w:t>arvoni</w:t>
      </w:r>
      <w:proofErr w:type="spellEnd"/>
      <w:r w:rsidRPr="008B7E99">
        <w:t xml:space="preserve"> tablets is one tablet, taken orally, once daily with or without food. Duration of </w:t>
      </w:r>
      <w:r w:rsidR="002A7091">
        <w:t>t</w:t>
      </w:r>
      <w:r w:rsidRPr="008B7E99">
        <w:t>reatment</w:t>
      </w:r>
      <w:r w:rsidR="009203E1">
        <w:t>:</w:t>
      </w:r>
    </w:p>
    <w:p w:rsidR="009203E1" w:rsidRDefault="0039213C" w:rsidP="009203E1">
      <w:pPr>
        <w:pStyle w:val="ListBullet"/>
      </w:pPr>
      <w:r w:rsidRPr="008B7E99">
        <w:t>For treatment</w:t>
      </w:r>
      <w:r>
        <w:t xml:space="preserve"> </w:t>
      </w:r>
      <w:r w:rsidRPr="008B7E99">
        <w:t>naïve patients without cirrhosis</w:t>
      </w:r>
      <w:r w:rsidR="009D18D1">
        <w:t>,</w:t>
      </w:r>
      <w:r w:rsidRPr="008B7E99">
        <w:t xml:space="preserve"> the recommended duration of treatment with </w:t>
      </w:r>
      <w:proofErr w:type="spellStart"/>
      <w:r w:rsidRPr="008B7E99">
        <w:t>H</w:t>
      </w:r>
      <w:r>
        <w:t>arvoni</w:t>
      </w:r>
      <w:proofErr w:type="spellEnd"/>
      <w:r w:rsidRPr="008B7E99">
        <w:t xml:space="preserve"> is 8 </w:t>
      </w:r>
      <w:r>
        <w:t xml:space="preserve">or 12 </w:t>
      </w:r>
      <w:r w:rsidRPr="008B7E99">
        <w:t>weeks</w:t>
      </w:r>
      <w:r w:rsidR="009203E1">
        <w:t>.</w:t>
      </w:r>
    </w:p>
    <w:p w:rsidR="009203E1" w:rsidRDefault="0039213C" w:rsidP="009203E1">
      <w:pPr>
        <w:pStyle w:val="ListBullet"/>
      </w:pPr>
      <w:r w:rsidRPr="008B7E99">
        <w:t>For treatment</w:t>
      </w:r>
      <w:r w:rsidR="009D18D1">
        <w:t xml:space="preserve"> </w:t>
      </w:r>
      <w:r w:rsidRPr="008B7E99">
        <w:t>naïve patients with cirrhosis and treatment</w:t>
      </w:r>
      <w:r>
        <w:t xml:space="preserve"> </w:t>
      </w:r>
      <w:r w:rsidRPr="008B7E99">
        <w:t xml:space="preserve">experienced patients </w:t>
      </w:r>
      <w:r>
        <w:t>without cirrhosis</w:t>
      </w:r>
      <w:r w:rsidR="009D18D1">
        <w:t>,</w:t>
      </w:r>
      <w:r>
        <w:t xml:space="preserve"> </w:t>
      </w:r>
      <w:r w:rsidRPr="008B7E99">
        <w:t xml:space="preserve">the recommended duration of treatment with </w:t>
      </w:r>
      <w:proofErr w:type="spellStart"/>
      <w:r w:rsidRPr="008B7E99">
        <w:t>H</w:t>
      </w:r>
      <w:r>
        <w:t>arvoni</w:t>
      </w:r>
      <w:proofErr w:type="spellEnd"/>
      <w:r w:rsidRPr="008B7E99">
        <w:t xml:space="preserve"> is 12 weeks</w:t>
      </w:r>
      <w:r w:rsidR="009203E1">
        <w:t>.</w:t>
      </w:r>
    </w:p>
    <w:p w:rsidR="0039213C" w:rsidRPr="008B7E99" w:rsidRDefault="0039213C" w:rsidP="009203E1">
      <w:pPr>
        <w:pStyle w:val="ListBullet"/>
      </w:pPr>
      <w:r w:rsidRPr="008B7E99">
        <w:t>For treatment</w:t>
      </w:r>
      <w:r>
        <w:t xml:space="preserve"> </w:t>
      </w:r>
      <w:r w:rsidRPr="008B7E99">
        <w:t xml:space="preserve">experienced patients </w:t>
      </w:r>
      <w:r>
        <w:t>with cirrhosis</w:t>
      </w:r>
      <w:r w:rsidR="009D18D1">
        <w:t>,</w:t>
      </w:r>
      <w:r>
        <w:t xml:space="preserve"> </w:t>
      </w:r>
      <w:r w:rsidRPr="008B7E99">
        <w:t xml:space="preserve">the recommended duration of treatment with </w:t>
      </w:r>
      <w:proofErr w:type="spellStart"/>
      <w:r w:rsidRPr="008B7E99">
        <w:t>H</w:t>
      </w:r>
      <w:r>
        <w:t>arvoni</w:t>
      </w:r>
      <w:proofErr w:type="spellEnd"/>
      <w:r w:rsidRPr="008B7E99">
        <w:t xml:space="preserve"> is </w:t>
      </w:r>
      <w:r>
        <w:t>24</w:t>
      </w:r>
      <w:r w:rsidRPr="008B7E99">
        <w:t xml:space="preserve"> weeks</w:t>
      </w:r>
      <w:r>
        <w:t>.</w:t>
      </w:r>
    </w:p>
    <w:p w:rsidR="008B7E99" w:rsidRPr="008B7E99" w:rsidRDefault="00264D8C" w:rsidP="008B7E99">
      <w:r>
        <w:t>N</w:t>
      </w:r>
      <w:r w:rsidR="008B7E99" w:rsidRPr="008B7E99">
        <w:t>o dose adjustment is</w:t>
      </w:r>
      <w:r w:rsidR="0039213C">
        <w:t xml:space="preserve"> warranted for elderly patients.</w:t>
      </w:r>
    </w:p>
    <w:p w:rsidR="009203E1" w:rsidRDefault="005E77EE" w:rsidP="008B7E99">
      <w:r>
        <w:t>N</w:t>
      </w:r>
      <w:r w:rsidR="008B7E99" w:rsidRPr="008B7E99">
        <w:t xml:space="preserve">o dose adjustment of </w:t>
      </w:r>
      <w:proofErr w:type="spellStart"/>
      <w:r w:rsidR="00B11F1D" w:rsidRPr="008B7E99">
        <w:t>H</w:t>
      </w:r>
      <w:r w:rsidR="00B11F1D">
        <w:t>arvoni</w:t>
      </w:r>
      <w:proofErr w:type="spellEnd"/>
      <w:r w:rsidR="008B7E99" w:rsidRPr="008B7E99">
        <w:t xml:space="preserve"> is required for patients with mild or moderate </w:t>
      </w:r>
      <w:r w:rsidR="00AA1954">
        <w:t xml:space="preserve">renal impairment. </w:t>
      </w:r>
      <w:r w:rsidR="008B7E99" w:rsidRPr="008B7E99">
        <w:t xml:space="preserve">The safety of </w:t>
      </w:r>
      <w:proofErr w:type="spellStart"/>
      <w:r w:rsidR="00B11F1D" w:rsidRPr="008B7E99">
        <w:t>H</w:t>
      </w:r>
      <w:r w:rsidR="00B11F1D">
        <w:t>arvoni</w:t>
      </w:r>
      <w:proofErr w:type="spellEnd"/>
      <w:r w:rsidR="008B7E99" w:rsidRPr="008B7E99">
        <w:t xml:space="preserve"> has not been assessed in patients with severe renal impairment (</w:t>
      </w:r>
      <w:proofErr w:type="spellStart"/>
      <w:r w:rsidR="008B7E99" w:rsidRPr="008B7E99">
        <w:t>eGFR</w:t>
      </w:r>
      <w:proofErr w:type="spellEnd"/>
      <w:r w:rsidR="008B7E99" w:rsidRPr="008B7E99">
        <w:t xml:space="preserve"> &lt;30 mL/min) or end stage renal disease (ESRD) requiring haemodialysis</w:t>
      </w:r>
      <w:r w:rsidR="009203E1">
        <w:t>.</w:t>
      </w:r>
    </w:p>
    <w:p w:rsidR="008B7E99" w:rsidRPr="008B7E99" w:rsidRDefault="00C924D3" w:rsidP="008B7E99">
      <w:r>
        <w:t>N</w:t>
      </w:r>
      <w:r w:rsidR="008B7E99" w:rsidRPr="008B7E99">
        <w:t xml:space="preserve">o dose adjustment of </w:t>
      </w:r>
      <w:proofErr w:type="spellStart"/>
      <w:r w:rsidR="00B11F1D" w:rsidRPr="008B7E99">
        <w:t>H</w:t>
      </w:r>
      <w:r w:rsidR="00B11F1D">
        <w:t>arvoni</w:t>
      </w:r>
      <w:proofErr w:type="spellEnd"/>
      <w:r w:rsidR="008B7E99" w:rsidRPr="008B7E99">
        <w:t xml:space="preserve"> is required for patients with mild, moderate or severe hepatic impairment (Child-Pugh Class A, B or C)</w:t>
      </w:r>
      <w:r w:rsidR="009952F4">
        <w:t>.</w:t>
      </w:r>
    </w:p>
    <w:p w:rsidR="008E7846" w:rsidRPr="003F31A2" w:rsidRDefault="00386150" w:rsidP="009203E1">
      <w:pPr>
        <w:pStyle w:val="Heading3"/>
      </w:pPr>
      <w:bookmarkStart w:id="15" w:name="_Toc314842485"/>
      <w:bookmarkStart w:id="16" w:name="_Toc432073713"/>
      <w:bookmarkStart w:id="17" w:name="_Toc247691504"/>
      <w:r>
        <w:t>Regulatory s</w:t>
      </w:r>
      <w:r w:rsidR="008E7846">
        <w:t>tatus</w:t>
      </w:r>
      <w:bookmarkEnd w:id="15"/>
      <w:bookmarkEnd w:id="16"/>
      <w:bookmarkEnd w:id="17"/>
    </w:p>
    <w:p w:rsidR="003055B1" w:rsidRDefault="0046749A" w:rsidP="00940A89">
      <w:bookmarkStart w:id="18" w:name="_Toc247691505"/>
      <w:bookmarkStart w:id="19" w:name="_Toc314842486"/>
      <w:r>
        <w:t xml:space="preserve">The regulatory status of </w:t>
      </w:r>
      <w:proofErr w:type="spellStart"/>
      <w:r>
        <w:t>Harvoni</w:t>
      </w:r>
      <w:proofErr w:type="spellEnd"/>
      <w:r>
        <w:t xml:space="preserve"> a</w:t>
      </w:r>
      <w:r w:rsidR="003055B1">
        <w:t>t the</w:t>
      </w:r>
      <w:r>
        <w:t xml:space="preserve"> time of this submission to TGA is shown in Table 1</w:t>
      </w:r>
      <w:r w:rsidR="003055B1">
        <w:t>.</w:t>
      </w:r>
    </w:p>
    <w:p w:rsidR="00BA26D5" w:rsidRDefault="00BA26D5" w:rsidP="009203E1">
      <w:pPr>
        <w:pStyle w:val="TableTitle"/>
      </w:pPr>
      <w:proofErr w:type="gramStart"/>
      <w:r>
        <w:t>Table 1:</w:t>
      </w:r>
      <w:r w:rsidRPr="004C5C28">
        <w:t xml:space="preserve"> </w:t>
      </w:r>
      <w:r w:rsidR="002D4BBB">
        <w:t xml:space="preserve">Regulatory status of </w:t>
      </w:r>
      <w:proofErr w:type="spellStart"/>
      <w:r w:rsidR="002D4BBB">
        <w:t>Harvoni</w:t>
      </w:r>
      <w:proofErr w:type="spellEnd"/>
      <w:r w:rsidR="002D4BBB">
        <w:t xml:space="preserve"> at time of submission</w:t>
      </w:r>
      <w:r>
        <w:t>.</w:t>
      </w:r>
      <w:proofErr w:type="gramEnd"/>
    </w:p>
    <w:p w:rsidR="00BA26D5" w:rsidRDefault="00807F37" w:rsidP="009203E1">
      <w:r>
        <w:rPr>
          <w:noProof/>
          <w:lang w:eastAsia="en-AU"/>
        </w:rPr>
        <w:drawing>
          <wp:inline distT="0" distB="0" distL="0" distR="0" wp14:anchorId="1292618C" wp14:editId="14B505B6">
            <wp:extent cx="4549561" cy="988169"/>
            <wp:effectExtent l="0" t="0" r="3810" b="2540"/>
            <wp:docPr id="1" name="Picture 1" descr="Table 1: Regulatory status of Harvoni at time of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47698" cy="987764"/>
                    </a:xfrm>
                    <a:prstGeom prst="rect">
                      <a:avLst/>
                    </a:prstGeom>
                  </pic:spPr>
                </pic:pic>
              </a:graphicData>
            </a:graphic>
          </wp:inline>
        </w:drawing>
      </w:r>
    </w:p>
    <w:p w:rsidR="00807F37" w:rsidRDefault="00BE34E5" w:rsidP="00940A89">
      <w:r w:rsidRPr="00BE34E5">
        <w:t xml:space="preserve">Approved indications in the major markets for </w:t>
      </w:r>
      <w:proofErr w:type="spellStart"/>
      <w:r w:rsidR="00085917" w:rsidRPr="008B7E99">
        <w:t>H</w:t>
      </w:r>
      <w:r w:rsidR="00085917">
        <w:t>arvoni</w:t>
      </w:r>
      <w:proofErr w:type="spellEnd"/>
      <w:r w:rsidR="00085917">
        <w:t xml:space="preserve"> tablets are shown in Table 2.</w:t>
      </w:r>
    </w:p>
    <w:p w:rsidR="009120A5" w:rsidRDefault="009120A5" w:rsidP="00084458">
      <w:pPr>
        <w:pStyle w:val="TableTitle"/>
      </w:pPr>
      <w:r>
        <w:t xml:space="preserve">Table </w:t>
      </w:r>
      <w:r w:rsidR="00E73E6F">
        <w:t>2</w:t>
      </w:r>
      <w:r>
        <w:t>:</w:t>
      </w:r>
      <w:r w:rsidRPr="004C5C28">
        <w:t xml:space="preserve"> </w:t>
      </w:r>
      <w:r w:rsidRPr="00BE34E5">
        <w:t xml:space="preserve">Approved indications for </w:t>
      </w:r>
      <w:proofErr w:type="spellStart"/>
      <w:r w:rsidRPr="008B7E99">
        <w:t>H</w:t>
      </w:r>
      <w:r>
        <w:t>arvoni</w:t>
      </w:r>
      <w:proofErr w:type="spellEnd"/>
      <w:r>
        <w:t xml:space="preserve"> tablets.</w:t>
      </w:r>
    </w:p>
    <w:p w:rsidR="00085917" w:rsidRDefault="00197746" w:rsidP="00084458">
      <w:r>
        <w:rPr>
          <w:noProof/>
          <w:lang w:eastAsia="en-AU"/>
        </w:rPr>
        <w:drawing>
          <wp:inline distT="0" distB="0" distL="0" distR="0" wp14:anchorId="7FA8E663" wp14:editId="0D9B6AEA">
            <wp:extent cx="4403706" cy="2108227"/>
            <wp:effectExtent l="0" t="0" r="0" b="6350"/>
            <wp:docPr id="2" name="Picture 2" descr="Table 2: Approved indications for Harvoni tab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405153" cy="2108920"/>
                    </a:xfrm>
                    <a:prstGeom prst="rect">
                      <a:avLst/>
                    </a:prstGeom>
                  </pic:spPr>
                </pic:pic>
              </a:graphicData>
            </a:graphic>
          </wp:inline>
        </w:drawing>
      </w:r>
    </w:p>
    <w:p w:rsidR="008E7846" w:rsidRDefault="008E7846" w:rsidP="00940A89">
      <w:pPr>
        <w:pStyle w:val="Heading3"/>
      </w:pPr>
      <w:bookmarkStart w:id="20" w:name="_Toc432073714"/>
      <w:r>
        <w:lastRenderedPageBreak/>
        <w:t xml:space="preserve">Product </w:t>
      </w:r>
      <w:r w:rsidR="00084458">
        <w:t>i</w:t>
      </w:r>
      <w:r>
        <w:t>nformation</w:t>
      </w:r>
      <w:bookmarkEnd w:id="18"/>
      <w:bookmarkEnd w:id="19"/>
      <w:bookmarkEnd w:id="20"/>
    </w:p>
    <w:p w:rsidR="00940A89" w:rsidRDefault="00940A89" w:rsidP="00940A89">
      <w:pPr>
        <w:rPr>
          <w:b/>
          <w:bCs/>
        </w:rPr>
      </w:pPr>
      <w:bookmarkStart w:id="21" w:name="_Toc247691506"/>
      <w:bookmarkStart w:id="22" w:name="_Toc314842487"/>
      <w:r w:rsidRPr="00940A89">
        <w:t xml:space="preserve">The approved Product Information (PI) current at the time this </w:t>
      </w:r>
      <w:proofErr w:type="spellStart"/>
      <w:r w:rsidRPr="00940A89">
        <w:t>AusPAR</w:t>
      </w:r>
      <w:proofErr w:type="spellEnd"/>
      <w:r w:rsidRPr="00940A89">
        <w:t xml:space="preserve"> was prepared can be found as Attachment 1. For the most recent </w:t>
      </w:r>
      <w:r w:rsidR="00FC6616">
        <w:t>PI,</w:t>
      </w:r>
      <w:r w:rsidRPr="00940A89">
        <w:t xml:space="preserve"> please refer to the TGA website at &lt;</w:t>
      </w:r>
      <w:hyperlink r:id="rId16" w:history="1">
        <w:r w:rsidR="00084458">
          <w:rPr>
            <w:rStyle w:val="Hyperlink"/>
          </w:rPr>
          <w:t>https://www.tga.gov.au/product-information-pi</w:t>
        </w:r>
      </w:hyperlink>
      <w:r w:rsidRPr="00940A89">
        <w:t>&gt;.</w:t>
      </w:r>
    </w:p>
    <w:p w:rsidR="008E7846" w:rsidRPr="003602A9" w:rsidRDefault="008E7846" w:rsidP="00084458">
      <w:pPr>
        <w:pStyle w:val="Heading2"/>
      </w:pPr>
      <w:bookmarkStart w:id="23" w:name="_Toc432073715"/>
      <w:r>
        <w:t>II. Quality</w:t>
      </w:r>
      <w:bookmarkEnd w:id="1"/>
      <w:r>
        <w:t xml:space="preserve"> findings</w:t>
      </w:r>
      <w:bookmarkEnd w:id="21"/>
      <w:bookmarkEnd w:id="22"/>
      <w:bookmarkEnd w:id="23"/>
    </w:p>
    <w:p w:rsidR="008E7846" w:rsidRDefault="008E7846" w:rsidP="00084458">
      <w:pPr>
        <w:pStyle w:val="Heading3"/>
      </w:pPr>
      <w:bookmarkStart w:id="24" w:name="_Toc247691507"/>
      <w:bookmarkStart w:id="25" w:name="_Toc314842488"/>
      <w:bookmarkStart w:id="26" w:name="_Toc432073716"/>
      <w:r w:rsidRPr="008751DC">
        <w:t xml:space="preserve">Drug </w:t>
      </w:r>
      <w:r>
        <w:t>s</w:t>
      </w:r>
      <w:r w:rsidRPr="008751DC">
        <w:t>ubstance</w:t>
      </w:r>
      <w:r>
        <w:t xml:space="preserve"> (active ingredient)</w:t>
      </w:r>
      <w:bookmarkEnd w:id="24"/>
      <w:bookmarkEnd w:id="25"/>
      <w:bookmarkEnd w:id="26"/>
    </w:p>
    <w:p w:rsidR="008E7846" w:rsidRDefault="007B3AED" w:rsidP="00084458">
      <w:r>
        <w:t>LDV</w:t>
      </w:r>
      <w:r w:rsidR="00244451" w:rsidRPr="00244451">
        <w:t xml:space="preserve"> </w:t>
      </w:r>
      <w:r w:rsidR="00244451">
        <w:t xml:space="preserve">(Figure 1) </w:t>
      </w:r>
      <w:r w:rsidR="00244451" w:rsidRPr="00244451">
        <w:t xml:space="preserve">is a HCV inhibitor targeting the HCV NS5A protein, which is essential for both RNA replication and the assembly of HCV </w:t>
      </w:r>
      <w:proofErr w:type="spellStart"/>
      <w:r w:rsidR="00244451" w:rsidRPr="00244451">
        <w:t>virions</w:t>
      </w:r>
      <w:proofErr w:type="spellEnd"/>
      <w:r w:rsidR="00244451" w:rsidRPr="00244451">
        <w:t>.</w:t>
      </w:r>
    </w:p>
    <w:p w:rsidR="00001F3F" w:rsidRDefault="00001F3F" w:rsidP="00084458">
      <w:pPr>
        <w:pStyle w:val="FigureTitle"/>
      </w:pPr>
      <w:r>
        <w:t>Figure 1:</w:t>
      </w:r>
      <w:r w:rsidRPr="004C5C28">
        <w:t xml:space="preserve"> </w:t>
      </w:r>
      <w:r w:rsidR="00616936">
        <w:t xml:space="preserve">Chemical structure of </w:t>
      </w:r>
      <w:r w:rsidR="007B3AED">
        <w:t>LDV</w:t>
      </w:r>
      <w:r>
        <w:t>.</w:t>
      </w:r>
    </w:p>
    <w:p w:rsidR="00001F3F" w:rsidRDefault="009B7A5F" w:rsidP="00084458">
      <w:r>
        <w:rPr>
          <w:noProof/>
          <w:lang w:eastAsia="en-AU"/>
        </w:rPr>
        <w:drawing>
          <wp:inline distT="0" distB="0" distL="0" distR="0" wp14:anchorId="0BCD8A6B" wp14:editId="6743E7A3">
            <wp:extent cx="4156874" cy="1150246"/>
            <wp:effectExtent l="0" t="0" r="0" b="0"/>
            <wp:docPr id="3" name="Picture 3" descr="Figure 1: Chemical structure of LDV." title="Figure 1: Chemical structure of L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62532" cy="1151812"/>
                    </a:xfrm>
                    <a:prstGeom prst="rect">
                      <a:avLst/>
                    </a:prstGeom>
                  </pic:spPr>
                </pic:pic>
              </a:graphicData>
            </a:graphic>
          </wp:inline>
        </w:drawing>
      </w:r>
    </w:p>
    <w:p w:rsidR="009D18D1" w:rsidRPr="008A21C1" w:rsidRDefault="009D18D1" w:rsidP="009D18D1">
      <w:r>
        <w:t>LDV</w:t>
      </w:r>
      <w:r w:rsidRPr="008A21C1">
        <w:t xml:space="preserve"> has six chiral centres and is produced as a single isomer. It is slightly soluble at low pH (pH 2.3; 1.1 mg/mL) but practically insoluble at pH 4-7 (&lt;0.01 mg/mL). It is highly soluble in ethanol (≥ 500 mg/mL).</w:t>
      </w:r>
    </w:p>
    <w:p w:rsidR="009203E1" w:rsidRDefault="009D18D1" w:rsidP="009D18D1">
      <w:r w:rsidRPr="008A21C1">
        <w:t xml:space="preserve">Particle size and polymorphic form are not considered critical </w:t>
      </w:r>
      <w:r>
        <w:t xml:space="preserve">as </w:t>
      </w:r>
      <w:r w:rsidRPr="008A21C1">
        <w:t xml:space="preserve">the drug substance is </w:t>
      </w:r>
      <w:r>
        <w:t>isolated as a stabilised amorphous solid</w:t>
      </w:r>
      <w:r w:rsidR="009203E1">
        <w:t>.</w:t>
      </w:r>
    </w:p>
    <w:p w:rsidR="009D18D1" w:rsidRPr="008A21C1" w:rsidRDefault="009D18D1" w:rsidP="009D18D1">
      <w:r w:rsidRPr="008A21C1">
        <w:t xml:space="preserve">Based on its high apparent permeability and low solubility, </w:t>
      </w:r>
      <w:r>
        <w:t>LDV</w:t>
      </w:r>
      <w:r w:rsidRPr="008A21C1">
        <w:t xml:space="preserve"> is a Class 2 drug with respect to the </w:t>
      </w:r>
      <w:proofErr w:type="spellStart"/>
      <w:r w:rsidRPr="008A21C1">
        <w:t>Biopharmaceutics</w:t>
      </w:r>
      <w:proofErr w:type="spellEnd"/>
      <w:r w:rsidRPr="008A21C1">
        <w:t xml:space="preserve"> Classification System (BCS).</w:t>
      </w:r>
    </w:p>
    <w:p w:rsidR="009D18D1" w:rsidRPr="008A21C1" w:rsidRDefault="009D18D1" w:rsidP="009D18D1">
      <w:r w:rsidRPr="008A21C1">
        <w:t>The drug substance has consistently low impurity levels and shows very good solid state stability. Stability data have been provided to support a retest period for the drug substance of 24 months stored below 25°C.</w:t>
      </w:r>
    </w:p>
    <w:p w:rsidR="009D18D1" w:rsidRPr="008A21C1" w:rsidRDefault="009D18D1" w:rsidP="009D18D1">
      <w:r w:rsidRPr="008A21C1">
        <w:t>The proposed drug substance specifications comply with TGA requirements and are considered adequate to ensure the quality and consistency of manufacture of the finished product.</w:t>
      </w:r>
    </w:p>
    <w:p w:rsidR="009D18D1" w:rsidRPr="008A21C1" w:rsidRDefault="009D18D1" w:rsidP="009D18D1">
      <w:r>
        <w:t>SOF (Figure 2) is a</w:t>
      </w:r>
      <w:r w:rsidRPr="008A21C1">
        <w:t xml:space="preserve"> </w:t>
      </w:r>
      <w:proofErr w:type="spellStart"/>
      <w:r w:rsidRPr="008A21C1">
        <w:t>prodrug</w:t>
      </w:r>
      <w:proofErr w:type="spellEnd"/>
      <w:r w:rsidRPr="008A21C1">
        <w:t xml:space="preserve"> of nucleotide monophosphate, which is ultimately converted within the hepatocyte </w:t>
      </w:r>
      <w:r>
        <w:t>to the active triphosphate form</w:t>
      </w:r>
      <w:r w:rsidRPr="008A21C1">
        <w:t>. This is an HCV NS</w:t>
      </w:r>
      <w:r>
        <w:t>5</w:t>
      </w:r>
      <w:r w:rsidRPr="008A21C1">
        <w:t>B</w:t>
      </w:r>
      <w:r>
        <w:t xml:space="preserve"> </w:t>
      </w:r>
      <w:r w:rsidRPr="008A21C1">
        <w:t xml:space="preserve">directed inhibitor that has displayed potent </w:t>
      </w:r>
      <w:r w:rsidRPr="00B550A6">
        <w:rPr>
          <w:i/>
        </w:rPr>
        <w:t>in vitro</w:t>
      </w:r>
      <w:r w:rsidRPr="008A21C1">
        <w:t xml:space="preserve"> inhibition of HCV replicon RNA replication.</w:t>
      </w:r>
    </w:p>
    <w:p w:rsidR="003B5709" w:rsidRDefault="003B5709" w:rsidP="00084458">
      <w:pPr>
        <w:pStyle w:val="FigureTitle"/>
      </w:pPr>
      <w:r>
        <w:t xml:space="preserve">Figure </w:t>
      </w:r>
      <w:r w:rsidR="000C3D6A">
        <w:t>2</w:t>
      </w:r>
      <w:r>
        <w:t>:</w:t>
      </w:r>
      <w:r w:rsidRPr="004C5C28">
        <w:t xml:space="preserve"> </w:t>
      </w:r>
      <w:r>
        <w:t xml:space="preserve">Chemical structure of </w:t>
      </w:r>
      <w:r w:rsidR="0063513E">
        <w:t>SOF</w:t>
      </w:r>
      <w:r>
        <w:t>.</w:t>
      </w:r>
    </w:p>
    <w:p w:rsidR="008A21C1" w:rsidRDefault="009B7A5F" w:rsidP="008A21C1">
      <w:r>
        <w:rPr>
          <w:noProof/>
          <w:lang w:eastAsia="en-AU"/>
        </w:rPr>
        <w:drawing>
          <wp:inline distT="0" distB="0" distL="0" distR="0" wp14:anchorId="0431CAB5" wp14:editId="053A226D">
            <wp:extent cx="5400040" cy="1122124"/>
            <wp:effectExtent l="0" t="0" r="0" b="1905"/>
            <wp:docPr id="4" name="Picture 4" descr="Figure 2: Chemical structure of S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1122124"/>
                    </a:xfrm>
                    <a:prstGeom prst="rect">
                      <a:avLst/>
                    </a:prstGeom>
                  </pic:spPr>
                </pic:pic>
              </a:graphicData>
            </a:graphic>
          </wp:inline>
        </w:drawing>
      </w:r>
    </w:p>
    <w:p w:rsidR="00C56421" w:rsidRPr="00C56421" w:rsidRDefault="0063513E" w:rsidP="00C56421">
      <w:r>
        <w:t>SOF</w:t>
      </w:r>
      <w:r w:rsidR="00C56421" w:rsidRPr="00C56421">
        <w:t xml:space="preserve"> is slightly soluble across the physiological pH range (pH 2-7.7; ~2 mg/mL). </w:t>
      </w:r>
      <w:r>
        <w:t>SOF</w:t>
      </w:r>
      <w:r w:rsidR="00C56421" w:rsidRPr="00C56421">
        <w:t xml:space="preserve"> has six </w:t>
      </w:r>
      <w:proofErr w:type="spellStart"/>
      <w:r w:rsidR="00C56421" w:rsidRPr="00C56421">
        <w:t>stereocenters</w:t>
      </w:r>
      <w:proofErr w:type="spellEnd"/>
      <w:r w:rsidR="00C56421" w:rsidRPr="00C56421">
        <w:t xml:space="preserve"> and is </w:t>
      </w:r>
      <w:proofErr w:type="spellStart"/>
      <w:r w:rsidR="00C56421" w:rsidRPr="00C56421">
        <w:t>chirally</w:t>
      </w:r>
      <w:proofErr w:type="spellEnd"/>
      <w:r w:rsidR="00C56421" w:rsidRPr="00C56421">
        <w:t xml:space="preserve"> pure. Based on the low apparent permeability and high solubility, </w:t>
      </w:r>
      <w:r>
        <w:t>SOF</w:t>
      </w:r>
      <w:r w:rsidR="00C56421" w:rsidRPr="00C56421">
        <w:t xml:space="preserve"> is a Class 3 drug with respect to the </w:t>
      </w:r>
      <w:proofErr w:type="spellStart"/>
      <w:r w:rsidR="00C56421" w:rsidRPr="00C56421">
        <w:t>Biopharmaceutics</w:t>
      </w:r>
      <w:proofErr w:type="spellEnd"/>
      <w:r w:rsidR="00C56421" w:rsidRPr="00C56421">
        <w:t xml:space="preserve"> Classification System (BCS).</w:t>
      </w:r>
    </w:p>
    <w:p w:rsidR="009203E1" w:rsidRDefault="00C56421" w:rsidP="00C56421">
      <w:r w:rsidRPr="00C56421">
        <w:lastRenderedPageBreak/>
        <w:t xml:space="preserve">Data relating to </w:t>
      </w:r>
      <w:r w:rsidR="0063513E">
        <w:t>SOF</w:t>
      </w:r>
      <w:r w:rsidRPr="00C56421">
        <w:t xml:space="preserve"> is identical to that previously submitted for registration of the </w:t>
      </w:r>
      <w:r w:rsidR="0063513E">
        <w:t>SOF</w:t>
      </w:r>
      <w:r w:rsidRPr="00C56421">
        <w:t xml:space="preserve"> </w:t>
      </w:r>
      <w:proofErr w:type="spellStart"/>
      <w:r w:rsidRPr="00C56421">
        <w:t>monotherapy</w:t>
      </w:r>
      <w:proofErr w:type="spellEnd"/>
      <w:r w:rsidRPr="00C56421">
        <w:t xml:space="preserve"> table</w:t>
      </w:r>
      <w:r w:rsidR="0072723A">
        <w:t>t</w:t>
      </w:r>
      <w:r w:rsidR="009203E1">
        <w:t>.</w:t>
      </w:r>
    </w:p>
    <w:p w:rsidR="00C56421" w:rsidRPr="00C56421" w:rsidRDefault="00C56421" w:rsidP="00C56421">
      <w:r w:rsidRPr="00C56421">
        <w:t>The previously agreed drug substance specifications comply with TGA requirements and are considered adequate to ensure the quality and consistency of manufacture of the combination tablets.</w:t>
      </w:r>
    </w:p>
    <w:p w:rsidR="008E7846" w:rsidRDefault="008E7846" w:rsidP="008E7846">
      <w:pPr>
        <w:pStyle w:val="Heading3"/>
      </w:pPr>
      <w:bookmarkStart w:id="27" w:name="_Toc247691508"/>
      <w:bookmarkStart w:id="28" w:name="_Toc314842490"/>
      <w:bookmarkStart w:id="29" w:name="_Toc432073717"/>
      <w:r w:rsidRPr="008751DC">
        <w:t xml:space="preserve">Drug </w:t>
      </w:r>
      <w:r>
        <w:t>p</w:t>
      </w:r>
      <w:r w:rsidRPr="008751DC">
        <w:t>roduct</w:t>
      </w:r>
      <w:bookmarkEnd w:id="27"/>
      <w:bookmarkEnd w:id="28"/>
      <w:bookmarkEnd w:id="29"/>
    </w:p>
    <w:p w:rsidR="009203E1" w:rsidRDefault="00C95D4C" w:rsidP="00C95D4C">
      <w:r w:rsidRPr="00B30D36">
        <w:rPr>
          <w:szCs w:val="24"/>
        </w:rPr>
        <w:t xml:space="preserve">The proposed products are </w:t>
      </w:r>
      <w:r w:rsidRPr="00B30D36">
        <w:t>immediate release,</w:t>
      </w:r>
      <w:r w:rsidRPr="00B30D36">
        <w:rPr>
          <w:szCs w:val="24"/>
        </w:rPr>
        <w:t xml:space="preserve"> unscored, </w:t>
      </w:r>
      <w:r w:rsidR="0040587F">
        <w:t>FDC</w:t>
      </w:r>
      <w:r w:rsidRPr="00B30D36">
        <w:t xml:space="preserve"> </w:t>
      </w:r>
      <w:r w:rsidRPr="00B30D36">
        <w:rPr>
          <w:szCs w:val="24"/>
        </w:rPr>
        <w:t>f</w:t>
      </w:r>
      <w:r w:rsidR="0040587F">
        <w:t xml:space="preserve">ilm </w:t>
      </w:r>
      <w:r w:rsidRPr="00B30D36">
        <w:t xml:space="preserve">coated tablets containing 90 mg </w:t>
      </w:r>
      <w:r w:rsidR="007B3AED">
        <w:t>LDV</w:t>
      </w:r>
      <w:r w:rsidRPr="00B30D36">
        <w:t xml:space="preserve"> and 400 mg </w:t>
      </w:r>
      <w:r w:rsidR="0063513E">
        <w:t>SOF</w:t>
      </w:r>
      <w:r w:rsidR="009203E1">
        <w:t>.</w:t>
      </w:r>
    </w:p>
    <w:p w:rsidR="00386062" w:rsidRDefault="00C95D4C" w:rsidP="00C95D4C">
      <w:pPr>
        <w:rPr>
          <w:szCs w:val="24"/>
        </w:rPr>
      </w:pPr>
      <w:r w:rsidRPr="00B30D36">
        <w:rPr>
          <w:szCs w:val="24"/>
        </w:rPr>
        <w:t xml:space="preserve">The proposed tablets are described </w:t>
      </w:r>
      <w:r w:rsidR="00386062">
        <w:rPr>
          <w:szCs w:val="24"/>
        </w:rPr>
        <w:t>as:</w:t>
      </w:r>
    </w:p>
    <w:p w:rsidR="00C95D4C" w:rsidRPr="00B30D36" w:rsidRDefault="00C95D4C" w:rsidP="00386062">
      <w:pPr>
        <w:ind w:left="720"/>
        <w:rPr>
          <w:szCs w:val="24"/>
        </w:rPr>
      </w:pPr>
      <w:r w:rsidRPr="00B30D36">
        <w:rPr>
          <w:i/>
          <w:szCs w:val="24"/>
        </w:rPr>
        <w:t xml:space="preserve">Orange, diamond-shaped, biconvex, film-coated tablets with “GSI” </w:t>
      </w:r>
      <w:proofErr w:type="spellStart"/>
      <w:r w:rsidRPr="00B30D36">
        <w:rPr>
          <w:i/>
          <w:szCs w:val="24"/>
        </w:rPr>
        <w:t>debossed</w:t>
      </w:r>
      <w:proofErr w:type="spellEnd"/>
      <w:r w:rsidRPr="00B30D36">
        <w:rPr>
          <w:i/>
          <w:szCs w:val="24"/>
        </w:rPr>
        <w:t xml:space="preserve"> on one si</w:t>
      </w:r>
      <w:r w:rsidR="00386062">
        <w:rPr>
          <w:i/>
          <w:szCs w:val="24"/>
        </w:rPr>
        <w:t>de and “7985” on the other side.</w:t>
      </w:r>
    </w:p>
    <w:p w:rsidR="00AC4A62" w:rsidRDefault="00AC4A62" w:rsidP="00AC4A62">
      <w:pPr>
        <w:rPr>
          <w:szCs w:val="24"/>
        </w:rPr>
      </w:pPr>
      <w:r>
        <w:rPr>
          <w:szCs w:val="24"/>
        </w:rPr>
        <w:t xml:space="preserve">For use in manufacture of the combination tablet, LDV acetone solvate is converted to a stabilised amorphous solid. This amorphous solid has </w:t>
      </w:r>
      <w:r w:rsidRPr="00FB0CC2">
        <w:rPr>
          <w:szCs w:val="24"/>
        </w:rPr>
        <w:t>no known ability to crystallise</w:t>
      </w:r>
      <w:r>
        <w:rPr>
          <w:szCs w:val="24"/>
        </w:rPr>
        <w:t xml:space="preserve"> on storage. Use of this stabilised amorphous solid was found to improve the </w:t>
      </w:r>
      <w:r w:rsidRPr="00FB0CC2">
        <w:rPr>
          <w:szCs w:val="24"/>
        </w:rPr>
        <w:t xml:space="preserve">biopharmaceutical performance of </w:t>
      </w:r>
      <w:r>
        <w:rPr>
          <w:szCs w:val="24"/>
        </w:rPr>
        <w:t xml:space="preserve">LDV, as discussed below. Appropriate specifications are applied to this intermediate LDV, including control of particle size. Acceptable stability data has been provided to support a separate shelf life for the intermediate of </w:t>
      </w:r>
      <w:r w:rsidRPr="00FB0CC2">
        <w:rPr>
          <w:szCs w:val="24"/>
        </w:rPr>
        <w:t>24 months stored below 25°C</w:t>
      </w:r>
      <w:r>
        <w:rPr>
          <w:szCs w:val="24"/>
        </w:rPr>
        <w:t>.</w:t>
      </w:r>
    </w:p>
    <w:p w:rsidR="009203E1" w:rsidRDefault="00AC4A62" w:rsidP="00AC4A62">
      <w:pPr>
        <w:rPr>
          <w:szCs w:val="24"/>
        </w:rPr>
      </w:pPr>
      <w:r w:rsidRPr="00B30D36">
        <w:rPr>
          <w:szCs w:val="24"/>
        </w:rPr>
        <w:t xml:space="preserve">The excipients used in the </w:t>
      </w:r>
      <w:r>
        <w:rPr>
          <w:szCs w:val="24"/>
        </w:rPr>
        <w:t xml:space="preserve">tablet cores </w:t>
      </w:r>
      <w:r w:rsidRPr="00B30D36">
        <w:rPr>
          <w:szCs w:val="24"/>
        </w:rPr>
        <w:t>are all substances with well</w:t>
      </w:r>
      <w:r>
        <w:rPr>
          <w:szCs w:val="24"/>
        </w:rPr>
        <w:t>-</w:t>
      </w:r>
      <w:r w:rsidRPr="00B30D36">
        <w:rPr>
          <w:szCs w:val="24"/>
        </w:rPr>
        <w:t>known properties and functions and which are used in many registered tablet formulation</w:t>
      </w:r>
      <w:r w:rsidR="009203E1">
        <w:rPr>
          <w:szCs w:val="24"/>
        </w:rPr>
        <w:t>.</w:t>
      </w:r>
    </w:p>
    <w:p w:rsidR="00AC4A62" w:rsidRPr="00762DA5" w:rsidRDefault="00AC4A62" w:rsidP="00AC4A62">
      <w:r w:rsidRPr="00762DA5">
        <w:rPr>
          <w:szCs w:val="24"/>
        </w:rPr>
        <w:t xml:space="preserve">The manufacturing method of the combination tablet is a conventional </w:t>
      </w:r>
      <w:r w:rsidRPr="00762DA5">
        <w:t>process</w:t>
      </w:r>
      <w:r w:rsidRPr="00762DA5">
        <w:rPr>
          <w:szCs w:val="24"/>
        </w:rPr>
        <w:t xml:space="preserve"> </w:t>
      </w:r>
      <w:r>
        <w:rPr>
          <w:szCs w:val="24"/>
        </w:rPr>
        <w:t xml:space="preserve">in which the intermediate LDV </w:t>
      </w:r>
      <w:r w:rsidRPr="00762DA5">
        <w:rPr>
          <w:szCs w:val="24"/>
        </w:rPr>
        <w:t xml:space="preserve">and </w:t>
      </w:r>
      <w:r>
        <w:rPr>
          <w:szCs w:val="24"/>
        </w:rPr>
        <w:t>SOF</w:t>
      </w:r>
      <w:r w:rsidRPr="00762DA5">
        <w:rPr>
          <w:szCs w:val="24"/>
        </w:rPr>
        <w:t xml:space="preserve"> </w:t>
      </w:r>
      <w:r>
        <w:rPr>
          <w:szCs w:val="24"/>
        </w:rPr>
        <w:t>drug substance</w:t>
      </w:r>
      <w:r w:rsidRPr="00762DA5">
        <w:rPr>
          <w:szCs w:val="24"/>
        </w:rPr>
        <w:t xml:space="preserve"> are blended </w:t>
      </w:r>
      <w:r>
        <w:rPr>
          <w:szCs w:val="24"/>
        </w:rPr>
        <w:t xml:space="preserve">together </w:t>
      </w:r>
      <w:r w:rsidRPr="00762DA5">
        <w:rPr>
          <w:szCs w:val="24"/>
        </w:rPr>
        <w:t>with the intra</w:t>
      </w:r>
      <w:r>
        <w:rPr>
          <w:szCs w:val="24"/>
        </w:rPr>
        <w:t>-</w:t>
      </w:r>
      <w:r w:rsidRPr="00762DA5">
        <w:rPr>
          <w:szCs w:val="24"/>
        </w:rPr>
        <w:t xml:space="preserve">granular </w:t>
      </w:r>
      <w:r>
        <w:rPr>
          <w:szCs w:val="24"/>
        </w:rPr>
        <w:t>excipients</w:t>
      </w:r>
      <w:r w:rsidRPr="00762DA5">
        <w:rPr>
          <w:szCs w:val="24"/>
        </w:rPr>
        <w:t>.</w:t>
      </w:r>
    </w:p>
    <w:p w:rsidR="009203E1" w:rsidRDefault="00AC4A62" w:rsidP="00AC4A62">
      <w:r w:rsidRPr="00EA08A2">
        <w:t>Product performance was tested durin</w:t>
      </w:r>
      <w:r>
        <w:t>g development and for routine Quality Control</w:t>
      </w:r>
      <w:r w:rsidRPr="00EA08A2">
        <w:t xml:space="preserve"> t</w:t>
      </w:r>
      <w:r>
        <w:t>esting using a dissolution test</w:t>
      </w:r>
      <w:r w:rsidRPr="00EA08A2">
        <w:t xml:space="preserve"> whose parameters have been adequately justified and </w:t>
      </w:r>
      <w:r>
        <w:t xml:space="preserve">which had been </w:t>
      </w:r>
      <w:r w:rsidRPr="00EA08A2">
        <w:t>shown to be acceptably discriminating</w:t>
      </w:r>
      <w:r w:rsidR="009203E1">
        <w:t>.</w:t>
      </w:r>
    </w:p>
    <w:p w:rsidR="00AC4A62" w:rsidRPr="00CE447F" w:rsidRDefault="00AC4A62" w:rsidP="00AC4A62">
      <w:r w:rsidRPr="00CE447F">
        <w:t>The proposed finished product specifications have been adequately justified and comply with TGA requirements. They are considered adequate to ensure the quality of the finished product at release and throughout the shelf</w:t>
      </w:r>
      <w:r>
        <w:t xml:space="preserve"> </w:t>
      </w:r>
      <w:r w:rsidRPr="00CE447F">
        <w:t>life.</w:t>
      </w:r>
    </w:p>
    <w:p w:rsidR="009203E1" w:rsidRDefault="00AC4A62" w:rsidP="00AC4A62">
      <w:r w:rsidRPr="00CE447F">
        <w:t>The tablets show good stability and a shelf life of 24 months when s</w:t>
      </w:r>
      <w:r>
        <w:t>tored below 30</w:t>
      </w:r>
      <w:r w:rsidRPr="00CE447F">
        <w:t>C, has been established</w:t>
      </w:r>
      <w:r w:rsidR="009203E1">
        <w:t>.</w:t>
      </w:r>
    </w:p>
    <w:p w:rsidR="00C95D4C" w:rsidRPr="00CE447F" w:rsidRDefault="00C95D4C" w:rsidP="00C95D4C">
      <w:pPr>
        <w:pStyle w:val="Heading4"/>
      </w:pPr>
      <w:r w:rsidRPr="00CE447F">
        <w:t xml:space="preserve">Formulation </w:t>
      </w:r>
      <w:r>
        <w:t>d</w:t>
      </w:r>
      <w:r w:rsidRPr="00CE447F">
        <w:t>evelopment</w:t>
      </w:r>
    </w:p>
    <w:p w:rsidR="00F64BEA" w:rsidRDefault="00F64BEA" w:rsidP="00F64BEA">
      <w:pPr>
        <w:rPr>
          <w:color w:val="0070C0"/>
        </w:rPr>
      </w:pPr>
      <w:r>
        <w:rPr>
          <w:szCs w:val="24"/>
        </w:rPr>
        <w:t>LDV</w:t>
      </w:r>
      <w:r w:rsidRPr="00FB0CC2">
        <w:rPr>
          <w:szCs w:val="24"/>
        </w:rPr>
        <w:t xml:space="preserve"> was initially formulated in single</w:t>
      </w:r>
      <w:r>
        <w:rPr>
          <w:szCs w:val="24"/>
        </w:rPr>
        <w:t xml:space="preserve"> </w:t>
      </w:r>
      <w:r w:rsidRPr="00FB0CC2">
        <w:rPr>
          <w:szCs w:val="24"/>
        </w:rPr>
        <w:t xml:space="preserve">agent tablets of 1 mg and 10 mg strength using amorphous </w:t>
      </w:r>
      <w:r>
        <w:rPr>
          <w:szCs w:val="24"/>
        </w:rPr>
        <w:t>LDV</w:t>
      </w:r>
      <w:r w:rsidRPr="00FB0CC2">
        <w:rPr>
          <w:szCs w:val="24"/>
        </w:rPr>
        <w:t xml:space="preserve"> free base drug su</w:t>
      </w:r>
      <w:r w:rsidR="0062560C">
        <w:rPr>
          <w:szCs w:val="24"/>
        </w:rPr>
        <w:t>bstance and evaluated in Phase I</w:t>
      </w:r>
      <w:r w:rsidRPr="00FB0CC2">
        <w:rPr>
          <w:szCs w:val="24"/>
        </w:rPr>
        <w:t xml:space="preserve"> clinical trials.</w:t>
      </w:r>
      <w:r w:rsidRPr="00FB0CC2">
        <w:t xml:space="preserve"> </w:t>
      </w:r>
      <w:r w:rsidRPr="00FB0CC2">
        <w:rPr>
          <w:szCs w:val="24"/>
        </w:rPr>
        <w:t xml:space="preserve">The drug substance was subsequently changed to crystalline </w:t>
      </w:r>
      <w:r>
        <w:rPr>
          <w:szCs w:val="24"/>
        </w:rPr>
        <w:t>LDV</w:t>
      </w:r>
      <w:r w:rsidRPr="00FB0CC2">
        <w:rPr>
          <w:szCs w:val="24"/>
        </w:rPr>
        <w:t xml:space="preserve"> </w:t>
      </w:r>
      <w:r>
        <w:rPr>
          <w:szCs w:val="24"/>
        </w:rPr>
        <w:t>acid salt</w:t>
      </w:r>
      <w:r w:rsidRPr="00FB0CC2">
        <w:rPr>
          <w:szCs w:val="24"/>
        </w:rPr>
        <w:t xml:space="preserve"> and formulated as 10 mg and 30 mg (free base equivalent) strengths in </w:t>
      </w:r>
      <w:r>
        <w:rPr>
          <w:szCs w:val="24"/>
        </w:rPr>
        <w:t>LDV</w:t>
      </w:r>
      <w:r w:rsidRPr="00FB0CC2">
        <w:rPr>
          <w:szCs w:val="24"/>
        </w:rPr>
        <w:t xml:space="preserve"> single</w:t>
      </w:r>
      <w:r>
        <w:rPr>
          <w:szCs w:val="24"/>
        </w:rPr>
        <w:t xml:space="preserve"> </w:t>
      </w:r>
      <w:r w:rsidR="00DE7FED">
        <w:rPr>
          <w:szCs w:val="24"/>
        </w:rPr>
        <w:t>agent tablets for early Phase II</w:t>
      </w:r>
      <w:r w:rsidRPr="00FB0CC2">
        <w:rPr>
          <w:szCs w:val="24"/>
        </w:rPr>
        <w:t xml:space="preserve"> clinical trials.</w:t>
      </w:r>
      <w:r>
        <w:rPr>
          <w:szCs w:val="24"/>
        </w:rPr>
        <w:t xml:space="preserve"> </w:t>
      </w:r>
      <w:r w:rsidRPr="00FB0CC2">
        <w:rPr>
          <w:szCs w:val="24"/>
        </w:rPr>
        <w:t xml:space="preserve">The approach </w:t>
      </w:r>
      <w:r>
        <w:rPr>
          <w:szCs w:val="24"/>
        </w:rPr>
        <w:t xml:space="preserve">of using LDV as </w:t>
      </w:r>
      <w:r w:rsidRPr="00FB0CC2">
        <w:rPr>
          <w:szCs w:val="24"/>
        </w:rPr>
        <w:t xml:space="preserve">LDV </w:t>
      </w:r>
      <w:r>
        <w:rPr>
          <w:szCs w:val="24"/>
        </w:rPr>
        <w:t>intermediate</w:t>
      </w:r>
      <w:r w:rsidRPr="00FB0CC2">
        <w:rPr>
          <w:szCs w:val="24"/>
        </w:rPr>
        <w:t xml:space="preserve"> was introduced to mitigate food effects observed with </w:t>
      </w:r>
      <w:r>
        <w:rPr>
          <w:szCs w:val="24"/>
        </w:rPr>
        <w:t>LDV</w:t>
      </w:r>
      <w:r w:rsidRPr="00FB0CC2">
        <w:rPr>
          <w:szCs w:val="24"/>
        </w:rPr>
        <w:t xml:space="preserve"> single</w:t>
      </w:r>
      <w:r>
        <w:rPr>
          <w:szCs w:val="24"/>
        </w:rPr>
        <w:t xml:space="preserve"> </w:t>
      </w:r>
      <w:r w:rsidRPr="00FB0CC2">
        <w:rPr>
          <w:szCs w:val="24"/>
        </w:rPr>
        <w:t xml:space="preserve">agent tablets containing crystalline </w:t>
      </w:r>
      <w:r>
        <w:rPr>
          <w:szCs w:val="24"/>
        </w:rPr>
        <w:t>LDV</w:t>
      </w:r>
      <w:r w:rsidRPr="00FB0CC2">
        <w:rPr>
          <w:szCs w:val="24"/>
        </w:rPr>
        <w:t xml:space="preserve"> </w:t>
      </w:r>
      <w:r>
        <w:rPr>
          <w:szCs w:val="24"/>
        </w:rPr>
        <w:t>salt</w:t>
      </w:r>
      <w:r w:rsidRPr="00FB0CC2">
        <w:rPr>
          <w:szCs w:val="24"/>
        </w:rPr>
        <w:t>.</w:t>
      </w:r>
      <w:r>
        <w:rPr>
          <w:szCs w:val="24"/>
        </w:rPr>
        <w:t xml:space="preserve"> LDV</w:t>
      </w:r>
      <w:r w:rsidRPr="00FB0CC2">
        <w:rPr>
          <w:szCs w:val="24"/>
        </w:rPr>
        <w:t xml:space="preserve"> single</w:t>
      </w:r>
      <w:r>
        <w:rPr>
          <w:szCs w:val="24"/>
        </w:rPr>
        <w:t xml:space="preserve"> </w:t>
      </w:r>
      <w:r w:rsidRPr="00FB0CC2">
        <w:rPr>
          <w:szCs w:val="24"/>
        </w:rPr>
        <w:t xml:space="preserve">agent 30 mg tablets, </w:t>
      </w:r>
      <w:r>
        <w:rPr>
          <w:szCs w:val="24"/>
        </w:rPr>
        <w:t>(free base equivalent)</w:t>
      </w:r>
      <w:r w:rsidRPr="00FB0CC2">
        <w:rPr>
          <w:szCs w:val="24"/>
        </w:rPr>
        <w:t xml:space="preserve"> were demonstrated to have superior </w:t>
      </w:r>
      <w:r w:rsidRPr="00FB0CC2">
        <w:rPr>
          <w:i/>
          <w:szCs w:val="24"/>
        </w:rPr>
        <w:t>in vivo</w:t>
      </w:r>
      <w:r w:rsidRPr="00FB0CC2">
        <w:rPr>
          <w:szCs w:val="24"/>
        </w:rPr>
        <w:t xml:space="preserve"> performance relative to crystalline </w:t>
      </w:r>
      <w:r>
        <w:rPr>
          <w:szCs w:val="24"/>
        </w:rPr>
        <w:t>LDV</w:t>
      </w:r>
      <w:r w:rsidRPr="00FB0CC2">
        <w:rPr>
          <w:szCs w:val="24"/>
        </w:rPr>
        <w:t xml:space="preserve"> </w:t>
      </w:r>
      <w:r>
        <w:rPr>
          <w:szCs w:val="24"/>
        </w:rPr>
        <w:t>salt</w:t>
      </w:r>
      <w:r w:rsidRPr="00FB0CC2">
        <w:rPr>
          <w:szCs w:val="24"/>
        </w:rPr>
        <w:t xml:space="preserve"> 30 mg tablets, in </w:t>
      </w:r>
      <w:r>
        <w:rPr>
          <w:szCs w:val="24"/>
        </w:rPr>
        <w:t>the human</w:t>
      </w:r>
      <w:r w:rsidRPr="00FB0CC2">
        <w:rPr>
          <w:szCs w:val="24"/>
        </w:rPr>
        <w:t xml:space="preserve"> pharmacokinetic </w:t>
      </w:r>
      <w:r>
        <w:rPr>
          <w:szCs w:val="24"/>
        </w:rPr>
        <w:t>S</w:t>
      </w:r>
      <w:r w:rsidRPr="00FB0CC2">
        <w:rPr>
          <w:szCs w:val="24"/>
        </w:rPr>
        <w:t>tudy GS-US-256-0110</w:t>
      </w:r>
      <w:r>
        <w:rPr>
          <w:szCs w:val="24"/>
        </w:rPr>
        <w:t xml:space="preserve">. Accordingly, </w:t>
      </w:r>
      <w:r w:rsidRPr="00FB0CC2">
        <w:rPr>
          <w:szCs w:val="24"/>
        </w:rPr>
        <w:t xml:space="preserve">LDV </w:t>
      </w:r>
      <w:r>
        <w:rPr>
          <w:szCs w:val="24"/>
        </w:rPr>
        <w:t>drug product intermediate</w:t>
      </w:r>
      <w:r w:rsidRPr="00FB0CC2">
        <w:rPr>
          <w:szCs w:val="24"/>
        </w:rPr>
        <w:t xml:space="preserve"> single</w:t>
      </w:r>
      <w:r>
        <w:rPr>
          <w:szCs w:val="24"/>
        </w:rPr>
        <w:t xml:space="preserve"> </w:t>
      </w:r>
      <w:r w:rsidRPr="00FB0CC2">
        <w:rPr>
          <w:szCs w:val="24"/>
        </w:rPr>
        <w:t xml:space="preserve">agent tablets of 30 mg and 90 mg </w:t>
      </w:r>
      <w:r>
        <w:rPr>
          <w:szCs w:val="24"/>
        </w:rPr>
        <w:t>LDV</w:t>
      </w:r>
      <w:r w:rsidRPr="00FB0CC2">
        <w:rPr>
          <w:szCs w:val="24"/>
        </w:rPr>
        <w:t xml:space="preserve"> strengths were adopted for the remainder of</w:t>
      </w:r>
      <w:r w:rsidR="00B8777C">
        <w:rPr>
          <w:szCs w:val="24"/>
        </w:rPr>
        <w:t xml:space="preserve"> Phase II</w:t>
      </w:r>
      <w:r w:rsidRPr="00FB0CC2">
        <w:rPr>
          <w:szCs w:val="24"/>
        </w:rPr>
        <w:t xml:space="preserve"> clinical trials.</w:t>
      </w:r>
    </w:p>
    <w:p w:rsidR="00F64BEA" w:rsidRDefault="00F64BEA" w:rsidP="00F64BEA">
      <w:pPr>
        <w:rPr>
          <w:color w:val="0070C0"/>
        </w:rPr>
      </w:pPr>
      <w:r w:rsidRPr="00FB0CC2">
        <w:rPr>
          <w:szCs w:val="24"/>
        </w:rPr>
        <w:t xml:space="preserve">The 90 mg strength LDV </w:t>
      </w:r>
      <w:r>
        <w:rPr>
          <w:szCs w:val="24"/>
        </w:rPr>
        <w:t>drug product</w:t>
      </w:r>
      <w:r w:rsidRPr="00FB0CC2">
        <w:rPr>
          <w:szCs w:val="24"/>
        </w:rPr>
        <w:t xml:space="preserve"> </w:t>
      </w:r>
      <w:r>
        <w:rPr>
          <w:szCs w:val="24"/>
        </w:rPr>
        <w:t xml:space="preserve">intermediate </w:t>
      </w:r>
      <w:r w:rsidRPr="00FB0CC2">
        <w:rPr>
          <w:szCs w:val="24"/>
        </w:rPr>
        <w:t>single</w:t>
      </w:r>
      <w:r>
        <w:rPr>
          <w:szCs w:val="24"/>
        </w:rPr>
        <w:t xml:space="preserve"> </w:t>
      </w:r>
      <w:r w:rsidRPr="00FB0CC2">
        <w:rPr>
          <w:szCs w:val="24"/>
        </w:rPr>
        <w:t xml:space="preserve">agent tablet formulation </w:t>
      </w:r>
      <w:r>
        <w:rPr>
          <w:szCs w:val="24"/>
        </w:rPr>
        <w:t>and the</w:t>
      </w:r>
      <w:r w:rsidRPr="00FB0CC2">
        <w:rPr>
          <w:szCs w:val="24"/>
        </w:rPr>
        <w:t xml:space="preserve"> 400 mg </w:t>
      </w:r>
      <w:r>
        <w:rPr>
          <w:szCs w:val="24"/>
        </w:rPr>
        <w:t>strength SOF</w:t>
      </w:r>
      <w:r w:rsidRPr="00FB0CC2">
        <w:rPr>
          <w:szCs w:val="24"/>
        </w:rPr>
        <w:t xml:space="preserve"> drug substance, equivalent to that used in the </w:t>
      </w:r>
      <w:r>
        <w:rPr>
          <w:szCs w:val="24"/>
        </w:rPr>
        <w:t xml:space="preserve">registered SOF </w:t>
      </w:r>
      <w:r>
        <w:rPr>
          <w:szCs w:val="24"/>
        </w:rPr>
        <w:lastRenderedPageBreak/>
        <w:t>tablet,</w:t>
      </w:r>
      <w:r w:rsidRPr="00FB0CC2">
        <w:rPr>
          <w:szCs w:val="24"/>
        </w:rPr>
        <w:t xml:space="preserve"> demonstrated equivalent pharmacokinetic performance to the two co-administered single agent</w:t>
      </w:r>
      <w:r>
        <w:rPr>
          <w:szCs w:val="24"/>
        </w:rPr>
        <w:t xml:space="preserve">s </w:t>
      </w:r>
      <w:r w:rsidRPr="00FB0CC2">
        <w:rPr>
          <w:szCs w:val="24"/>
        </w:rPr>
        <w:t>in human pharmacokinetic Study GS-US-337-0101.</w:t>
      </w:r>
    </w:p>
    <w:p w:rsidR="009203E1" w:rsidRDefault="00F64BEA" w:rsidP="00F64BEA">
      <w:r w:rsidRPr="00AE53A2">
        <w:t>The LDV/SOF FDC tablet formulation (SOF/LDV) was subsequently evaluated in pivotal Phase III clinical trials. This is the tablet core formulation proposed for the commercial drug product, albeit with a different coating</w:t>
      </w:r>
      <w:r w:rsidR="009203E1">
        <w:t>.</w:t>
      </w:r>
    </w:p>
    <w:p w:rsidR="008E7846" w:rsidRDefault="008E7846" w:rsidP="00084458">
      <w:pPr>
        <w:pStyle w:val="Heading3"/>
      </w:pPr>
      <w:bookmarkStart w:id="30" w:name="_Toc314842491"/>
      <w:bookmarkStart w:id="31" w:name="_Toc432073718"/>
      <w:proofErr w:type="spellStart"/>
      <w:r>
        <w:t>Biopharmaceutics</w:t>
      </w:r>
      <w:bookmarkEnd w:id="30"/>
      <w:bookmarkEnd w:id="31"/>
      <w:proofErr w:type="spellEnd"/>
    </w:p>
    <w:p w:rsidR="009203E1" w:rsidRDefault="00386062" w:rsidP="00386062">
      <w:pPr>
        <w:autoSpaceDE w:val="0"/>
        <w:autoSpaceDN w:val="0"/>
        <w:adjustRightInd w:val="0"/>
        <w:rPr>
          <w:szCs w:val="24"/>
        </w:rPr>
      </w:pPr>
      <w:r w:rsidRPr="00FB0CC2">
        <w:rPr>
          <w:szCs w:val="24"/>
        </w:rPr>
        <w:t xml:space="preserve">Following oral administration, </w:t>
      </w:r>
      <w:r w:rsidR="007B3AED">
        <w:rPr>
          <w:szCs w:val="24"/>
        </w:rPr>
        <w:t>LDV</w:t>
      </w:r>
      <w:r w:rsidRPr="00FB0CC2">
        <w:rPr>
          <w:szCs w:val="24"/>
        </w:rPr>
        <w:t xml:space="preserve"> median peak concentrations were observed 4.0 to 4.5 hours post</w:t>
      </w:r>
      <w:r w:rsidR="00AE53A2">
        <w:rPr>
          <w:szCs w:val="24"/>
        </w:rPr>
        <w:t xml:space="preserve"> </w:t>
      </w:r>
      <w:r w:rsidRPr="00FB0CC2">
        <w:rPr>
          <w:szCs w:val="24"/>
        </w:rPr>
        <w:t>dose</w:t>
      </w:r>
      <w:r w:rsidR="009203E1">
        <w:rPr>
          <w:szCs w:val="24"/>
        </w:rPr>
        <w:t>.</w:t>
      </w:r>
    </w:p>
    <w:p w:rsidR="00386062" w:rsidRDefault="0063513E" w:rsidP="00386062">
      <w:pPr>
        <w:autoSpaceDE w:val="0"/>
        <w:autoSpaceDN w:val="0"/>
        <w:adjustRightInd w:val="0"/>
        <w:rPr>
          <w:color w:val="0070C0"/>
        </w:rPr>
      </w:pPr>
      <w:r>
        <w:rPr>
          <w:szCs w:val="24"/>
        </w:rPr>
        <w:t>SOF</w:t>
      </w:r>
      <w:r w:rsidR="00386062" w:rsidRPr="00FB0CC2">
        <w:rPr>
          <w:szCs w:val="24"/>
        </w:rPr>
        <w:t xml:space="preserve"> was absorbed quickly and the peak median plas</w:t>
      </w:r>
      <w:r w:rsidR="00386062">
        <w:rPr>
          <w:szCs w:val="24"/>
        </w:rPr>
        <w:t>ma concentration was observed ~</w:t>
      </w:r>
      <w:r w:rsidR="00386062" w:rsidRPr="00FB0CC2">
        <w:rPr>
          <w:szCs w:val="24"/>
        </w:rPr>
        <w:t>0.8 to 1 hour post</w:t>
      </w:r>
      <w:r w:rsidR="00AE53A2">
        <w:rPr>
          <w:szCs w:val="24"/>
        </w:rPr>
        <w:t xml:space="preserve"> </w:t>
      </w:r>
      <w:r w:rsidR="00386062" w:rsidRPr="00FB0CC2">
        <w:rPr>
          <w:szCs w:val="24"/>
        </w:rPr>
        <w:t xml:space="preserve">dose. Median peak plasma concentration of </w:t>
      </w:r>
      <w:r w:rsidR="00386062">
        <w:rPr>
          <w:szCs w:val="24"/>
        </w:rPr>
        <w:t xml:space="preserve">the active metabolite of </w:t>
      </w:r>
      <w:r>
        <w:rPr>
          <w:szCs w:val="24"/>
        </w:rPr>
        <w:t>SOF</w:t>
      </w:r>
      <w:r w:rsidR="00386062" w:rsidRPr="00FB0CC2">
        <w:rPr>
          <w:szCs w:val="24"/>
        </w:rPr>
        <w:t xml:space="preserve"> was observed between 3.5 to </w:t>
      </w:r>
      <w:r w:rsidR="00AE53A2">
        <w:rPr>
          <w:szCs w:val="24"/>
        </w:rPr>
        <w:t>4 h</w:t>
      </w:r>
      <w:r w:rsidR="00386062" w:rsidRPr="00FB0CC2">
        <w:rPr>
          <w:szCs w:val="24"/>
        </w:rPr>
        <w:t xml:space="preserve"> post</w:t>
      </w:r>
      <w:r w:rsidR="00AE53A2">
        <w:rPr>
          <w:szCs w:val="24"/>
        </w:rPr>
        <w:t xml:space="preserve"> </w:t>
      </w:r>
      <w:proofErr w:type="gramStart"/>
      <w:r w:rsidR="00386062" w:rsidRPr="00FB0CC2">
        <w:rPr>
          <w:szCs w:val="24"/>
        </w:rPr>
        <w:t>dose</w:t>
      </w:r>
      <w:proofErr w:type="gramEnd"/>
      <w:r w:rsidR="00386062" w:rsidRPr="00FB0CC2">
        <w:rPr>
          <w:szCs w:val="24"/>
        </w:rPr>
        <w:t>.</w:t>
      </w:r>
    </w:p>
    <w:p w:rsidR="009203E1" w:rsidRDefault="007B3AED" w:rsidP="00386062">
      <w:pPr>
        <w:autoSpaceDE w:val="0"/>
        <w:autoSpaceDN w:val="0"/>
        <w:adjustRightInd w:val="0"/>
        <w:rPr>
          <w:szCs w:val="24"/>
        </w:rPr>
      </w:pPr>
      <w:r>
        <w:rPr>
          <w:szCs w:val="24"/>
        </w:rPr>
        <w:t>LDV</w:t>
      </w:r>
      <w:r w:rsidR="00386062">
        <w:rPr>
          <w:szCs w:val="24"/>
        </w:rPr>
        <w:t xml:space="preserve"> is not significantly metabolised. </w:t>
      </w:r>
      <w:r w:rsidR="00386062" w:rsidRPr="00FB0CC2">
        <w:rPr>
          <w:szCs w:val="24"/>
        </w:rPr>
        <w:t>Following a single dose of 90 mg [</w:t>
      </w:r>
      <w:r w:rsidR="00386062" w:rsidRPr="00FB0CC2">
        <w:rPr>
          <w:szCs w:val="24"/>
          <w:vertAlign w:val="superscript"/>
        </w:rPr>
        <w:t>14</w:t>
      </w:r>
      <w:r>
        <w:rPr>
          <w:szCs w:val="24"/>
        </w:rPr>
        <w:t>C]-LDV</w:t>
      </w:r>
      <w:r w:rsidR="00386062" w:rsidRPr="00FB0CC2">
        <w:rPr>
          <w:szCs w:val="24"/>
        </w:rPr>
        <w:t xml:space="preserve">, systemic exposure was almost exclusively to the parent drug (&gt;98%). Unchanged </w:t>
      </w:r>
      <w:r>
        <w:rPr>
          <w:szCs w:val="24"/>
        </w:rPr>
        <w:t>LDV</w:t>
      </w:r>
      <w:r w:rsidR="00386062" w:rsidRPr="00FB0CC2">
        <w:rPr>
          <w:szCs w:val="24"/>
        </w:rPr>
        <w:t xml:space="preserve"> is the major species present in faeces</w:t>
      </w:r>
      <w:r w:rsidR="009203E1">
        <w:rPr>
          <w:szCs w:val="24"/>
        </w:rPr>
        <w:t>.</w:t>
      </w:r>
    </w:p>
    <w:p w:rsidR="00386062" w:rsidRDefault="0063513E" w:rsidP="00386062">
      <w:pPr>
        <w:autoSpaceDE w:val="0"/>
        <w:autoSpaceDN w:val="0"/>
        <w:adjustRightInd w:val="0"/>
        <w:rPr>
          <w:szCs w:val="24"/>
        </w:rPr>
      </w:pPr>
      <w:r>
        <w:rPr>
          <w:szCs w:val="24"/>
        </w:rPr>
        <w:t>SOF</w:t>
      </w:r>
      <w:r w:rsidR="00386062" w:rsidRPr="00FB0CC2">
        <w:rPr>
          <w:szCs w:val="24"/>
        </w:rPr>
        <w:t xml:space="preserve"> is extensively metabolised in the liver to form the pharmacologically active nucleoside triphosphate</w:t>
      </w:r>
      <w:r w:rsidR="00386062" w:rsidRPr="00EC282A">
        <w:rPr>
          <w:szCs w:val="24"/>
        </w:rPr>
        <w:t xml:space="preserve"> </w:t>
      </w:r>
      <w:r w:rsidR="00AE53A2">
        <w:rPr>
          <w:szCs w:val="24"/>
        </w:rPr>
        <w:t xml:space="preserve">analogue </w:t>
      </w:r>
      <w:r w:rsidR="00386062">
        <w:rPr>
          <w:szCs w:val="24"/>
        </w:rPr>
        <w:t xml:space="preserve">which is dephosphorylated to the inactive </w:t>
      </w:r>
      <w:r w:rsidR="00386062" w:rsidRPr="00FB0CC2">
        <w:rPr>
          <w:szCs w:val="24"/>
        </w:rPr>
        <w:t>nucleoside metabolite</w:t>
      </w:r>
      <w:r w:rsidR="00386062">
        <w:rPr>
          <w:szCs w:val="24"/>
        </w:rPr>
        <w:t xml:space="preserve">. </w:t>
      </w:r>
      <w:r w:rsidR="00386062" w:rsidRPr="00FB0CC2">
        <w:rPr>
          <w:szCs w:val="24"/>
        </w:rPr>
        <w:t>After a single 400 mg oral dose of [</w:t>
      </w:r>
      <w:r w:rsidR="00386062" w:rsidRPr="00FB0CC2">
        <w:rPr>
          <w:szCs w:val="24"/>
          <w:vertAlign w:val="superscript"/>
        </w:rPr>
        <w:t>14</w:t>
      </w:r>
      <w:r w:rsidR="00386062" w:rsidRPr="00FB0CC2">
        <w:rPr>
          <w:szCs w:val="24"/>
        </w:rPr>
        <w:t>C]-</w:t>
      </w:r>
      <w:r>
        <w:rPr>
          <w:szCs w:val="24"/>
        </w:rPr>
        <w:t>SOF</w:t>
      </w:r>
      <w:r w:rsidR="00386062" w:rsidRPr="00FB0CC2">
        <w:rPr>
          <w:szCs w:val="24"/>
        </w:rPr>
        <w:t xml:space="preserve">, </w:t>
      </w:r>
      <w:r w:rsidR="00386062">
        <w:rPr>
          <w:szCs w:val="24"/>
        </w:rPr>
        <w:t xml:space="preserve">the </w:t>
      </w:r>
      <w:r w:rsidR="00386062" w:rsidRPr="00FB0CC2">
        <w:rPr>
          <w:szCs w:val="24"/>
        </w:rPr>
        <w:t>nucleoside triphosphate</w:t>
      </w:r>
      <w:r w:rsidR="00386062">
        <w:rPr>
          <w:szCs w:val="24"/>
        </w:rPr>
        <w:t xml:space="preserve"> active metabolite</w:t>
      </w:r>
      <w:r w:rsidR="00386062" w:rsidRPr="00FB0CC2">
        <w:rPr>
          <w:szCs w:val="24"/>
        </w:rPr>
        <w:t xml:space="preserve"> accounted for approximately &gt;90% of total systemic exposure.</w:t>
      </w:r>
    </w:p>
    <w:p w:rsidR="00386062" w:rsidRDefault="00386062" w:rsidP="00386062">
      <w:pPr>
        <w:autoSpaceDE w:val="0"/>
        <w:autoSpaceDN w:val="0"/>
        <w:adjustRightInd w:val="0"/>
        <w:rPr>
          <w:szCs w:val="24"/>
        </w:rPr>
      </w:pPr>
      <w:r w:rsidRPr="00EC282A">
        <w:t xml:space="preserve">For </w:t>
      </w:r>
      <w:r w:rsidR="007B3AED">
        <w:t>LDV</w:t>
      </w:r>
      <w:r>
        <w:t>,</w:t>
      </w:r>
      <w:r w:rsidRPr="00EC282A">
        <w:t xml:space="preserve"> </w:t>
      </w:r>
      <w:r w:rsidRPr="00EC282A">
        <w:rPr>
          <w:szCs w:val="24"/>
        </w:rPr>
        <w:t>bi</w:t>
      </w:r>
      <w:r w:rsidRPr="00FB0CC2">
        <w:rPr>
          <w:szCs w:val="24"/>
        </w:rPr>
        <w:t xml:space="preserve">liary excretion of unchanged </w:t>
      </w:r>
      <w:r>
        <w:rPr>
          <w:szCs w:val="24"/>
        </w:rPr>
        <w:t>drug</w:t>
      </w:r>
      <w:r w:rsidRPr="00FB0CC2">
        <w:rPr>
          <w:szCs w:val="24"/>
        </w:rPr>
        <w:t xml:space="preserve"> is a major route of elimination with renal excretion being a minor pathway (approximately 1%). The median terminal half-life of </w:t>
      </w:r>
      <w:r w:rsidR="007B3AED">
        <w:rPr>
          <w:szCs w:val="24"/>
        </w:rPr>
        <w:t>LDV</w:t>
      </w:r>
      <w:r w:rsidRPr="00FB0CC2">
        <w:rPr>
          <w:szCs w:val="24"/>
        </w:rPr>
        <w:t xml:space="preserve"> was 47 hours.</w:t>
      </w:r>
    </w:p>
    <w:p w:rsidR="00386062" w:rsidRDefault="00386062" w:rsidP="00386062">
      <w:pPr>
        <w:autoSpaceDE w:val="0"/>
        <w:autoSpaceDN w:val="0"/>
        <w:adjustRightInd w:val="0"/>
        <w:rPr>
          <w:szCs w:val="24"/>
        </w:rPr>
      </w:pPr>
      <w:r>
        <w:rPr>
          <w:szCs w:val="24"/>
        </w:rPr>
        <w:t xml:space="preserve">For </w:t>
      </w:r>
      <w:r w:rsidR="0063513E">
        <w:rPr>
          <w:szCs w:val="24"/>
        </w:rPr>
        <w:t>SOF</w:t>
      </w:r>
      <w:r>
        <w:rPr>
          <w:szCs w:val="24"/>
        </w:rPr>
        <w:t xml:space="preserve"> </w:t>
      </w:r>
      <w:r w:rsidRPr="00FB0CC2">
        <w:rPr>
          <w:szCs w:val="24"/>
        </w:rPr>
        <w:t xml:space="preserve">renal clearance is the major elimination pathway </w:t>
      </w:r>
      <w:r>
        <w:rPr>
          <w:szCs w:val="24"/>
        </w:rPr>
        <w:t xml:space="preserve">of the active </w:t>
      </w:r>
      <w:r w:rsidRPr="00FB0CC2">
        <w:rPr>
          <w:szCs w:val="24"/>
        </w:rPr>
        <w:t>nucleoside triphosphate</w:t>
      </w:r>
      <w:r>
        <w:rPr>
          <w:szCs w:val="24"/>
        </w:rPr>
        <w:t xml:space="preserve"> metabolite</w:t>
      </w:r>
      <w:r w:rsidRPr="00FB0CC2">
        <w:rPr>
          <w:szCs w:val="24"/>
        </w:rPr>
        <w:t xml:space="preserve">. The median terminal half-lives of </w:t>
      </w:r>
      <w:r w:rsidR="0063513E">
        <w:rPr>
          <w:szCs w:val="24"/>
        </w:rPr>
        <w:t>SOF</w:t>
      </w:r>
      <w:r w:rsidRPr="00FB0CC2">
        <w:rPr>
          <w:szCs w:val="24"/>
        </w:rPr>
        <w:t xml:space="preserve"> and </w:t>
      </w:r>
      <w:r>
        <w:rPr>
          <w:szCs w:val="24"/>
        </w:rPr>
        <w:t xml:space="preserve">the </w:t>
      </w:r>
      <w:r w:rsidRPr="00FB0CC2">
        <w:rPr>
          <w:szCs w:val="24"/>
        </w:rPr>
        <w:t>triphosphate</w:t>
      </w:r>
      <w:r>
        <w:rPr>
          <w:szCs w:val="24"/>
        </w:rPr>
        <w:t xml:space="preserve"> metabolite</w:t>
      </w:r>
      <w:r w:rsidR="00915295">
        <w:rPr>
          <w:szCs w:val="24"/>
        </w:rPr>
        <w:t xml:space="preserve"> were 0.4 and 27 h</w:t>
      </w:r>
      <w:r w:rsidRPr="00FB0CC2">
        <w:rPr>
          <w:szCs w:val="24"/>
        </w:rPr>
        <w:t>, respectively.</w:t>
      </w:r>
    </w:p>
    <w:p w:rsidR="00386062" w:rsidRDefault="007B3AED" w:rsidP="00386062">
      <w:pPr>
        <w:autoSpaceDE w:val="0"/>
        <w:autoSpaceDN w:val="0"/>
        <w:adjustRightInd w:val="0"/>
        <w:rPr>
          <w:color w:val="0070C0"/>
        </w:rPr>
      </w:pPr>
      <w:r>
        <w:rPr>
          <w:szCs w:val="24"/>
        </w:rPr>
        <w:t>LDV</w:t>
      </w:r>
      <w:r w:rsidR="00386062" w:rsidRPr="00FB0CC2">
        <w:rPr>
          <w:szCs w:val="24"/>
        </w:rPr>
        <w:t xml:space="preserve"> AUC is dose proportional over the dose range of 3 to 100 mg. </w:t>
      </w:r>
      <w:r w:rsidR="0063513E">
        <w:rPr>
          <w:szCs w:val="24"/>
        </w:rPr>
        <w:t>SOF</w:t>
      </w:r>
      <w:r w:rsidR="00386062" w:rsidRPr="00FB0CC2">
        <w:rPr>
          <w:szCs w:val="24"/>
        </w:rPr>
        <w:t xml:space="preserve"> and </w:t>
      </w:r>
      <w:r w:rsidR="00386062">
        <w:rPr>
          <w:szCs w:val="24"/>
        </w:rPr>
        <w:t xml:space="preserve">he active </w:t>
      </w:r>
      <w:r w:rsidR="00386062" w:rsidRPr="00FB0CC2">
        <w:rPr>
          <w:szCs w:val="24"/>
        </w:rPr>
        <w:t>nucleoside triphosphate</w:t>
      </w:r>
      <w:r w:rsidR="00386062">
        <w:rPr>
          <w:szCs w:val="24"/>
        </w:rPr>
        <w:t xml:space="preserve"> metabolite</w:t>
      </w:r>
      <w:r w:rsidR="00386062" w:rsidRPr="00FB0CC2">
        <w:rPr>
          <w:szCs w:val="24"/>
        </w:rPr>
        <w:t xml:space="preserve"> AUCs are near dose proportional ove</w:t>
      </w:r>
      <w:r w:rsidR="00915295">
        <w:rPr>
          <w:szCs w:val="24"/>
        </w:rPr>
        <w:t>r the dose range of 200 mg to 1</w:t>
      </w:r>
      <w:r w:rsidR="00386062" w:rsidRPr="00FB0CC2">
        <w:rPr>
          <w:szCs w:val="24"/>
        </w:rPr>
        <w:t>200 mg.</w:t>
      </w:r>
    </w:p>
    <w:p w:rsidR="00386062" w:rsidRDefault="00386062" w:rsidP="00386062">
      <w:pPr>
        <w:autoSpaceDE w:val="0"/>
        <w:autoSpaceDN w:val="0"/>
        <w:adjustRightInd w:val="0"/>
        <w:spacing w:after="0"/>
        <w:rPr>
          <w:color w:val="0070C0"/>
        </w:rPr>
      </w:pPr>
      <w:r>
        <w:rPr>
          <w:szCs w:val="24"/>
        </w:rPr>
        <w:t>The proposed combination tablet</w:t>
      </w:r>
      <w:r w:rsidRPr="00FB0CC2">
        <w:rPr>
          <w:szCs w:val="24"/>
        </w:rPr>
        <w:t xml:space="preserve"> can be administered without regard to food</w:t>
      </w:r>
      <w:r>
        <w:rPr>
          <w:szCs w:val="24"/>
        </w:rPr>
        <w:t>.</w:t>
      </w:r>
    </w:p>
    <w:p w:rsidR="00386062" w:rsidRPr="00F93758" w:rsidRDefault="00386062" w:rsidP="00084458">
      <w:pPr>
        <w:pStyle w:val="Heading4"/>
      </w:pPr>
      <w:r w:rsidRPr="00F93758">
        <w:t>Bioequivalence and Food Effect</w:t>
      </w:r>
    </w:p>
    <w:p w:rsidR="00386062" w:rsidRPr="00F62250" w:rsidRDefault="00386062" w:rsidP="00F62250">
      <w:r w:rsidRPr="00F62250">
        <w:t>Study GS-US-337-0101 was an open</w:t>
      </w:r>
      <w:r w:rsidR="00915295">
        <w:t xml:space="preserve"> </w:t>
      </w:r>
      <w:r w:rsidRPr="00F62250">
        <w:t xml:space="preserve">label, randomised, single-dose, four cohort, single centre, crossover study to evaluate the relative bioavailability of concurrent administration of single doses of </w:t>
      </w:r>
      <w:r w:rsidR="007B3AED">
        <w:t>LDV</w:t>
      </w:r>
      <w:r w:rsidRPr="00F62250">
        <w:t xml:space="preserve"> 90 mg (1 x 90</w:t>
      </w:r>
      <w:r w:rsidR="00915295">
        <w:t xml:space="preserve"> </w:t>
      </w:r>
      <w:r w:rsidRPr="00F62250">
        <w:t xml:space="preserve">mg tablet) and </w:t>
      </w:r>
      <w:r w:rsidR="0063513E">
        <w:t>SOF</w:t>
      </w:r>
      <w:r w:rsidR="00915295">
        <w:t xml:space="preserve"> 400 mg (1 x 400 </w:t>
      </w:r>
      <w:r w:rsidRPr="00F62250">
        <w:t xml:space="preserve">mg tablet) administered orally, under fasted conditions, against a single dose of the proposed </w:t>
      </w:r>
      <w:r w:rsidR="007B3AED">
        <w:t>LDV</w:t>
      </w:r>
      <w:r w:rsidR="00915295">
        <w:t>/</w:t>
      </w:r>
      <w:r w:rsidR="0063513E">
        <w:t>SOF</w:t>
      </w:r>
      <w:r w:rsidRPr="00F62250">
        <w:t xml:space="preserve"> 90/400 mg a </w:t>
      </w:r>
      <w:r w:rsidR="0040587F">
        <w:t>FDC</w:t>
      </w:r>
      <w:r w:rsidRPr="00F62250">
        <w:t xml:space="preserve"> tablet. In addition, the effect of food (fasted/low fat meal/high fat meal) on the bioavailability of a single dose of the proposed </w:t>
      </w:r>
      <w:r w:rsidR="007B3AED">
        <w:t>LDV</w:t>
      </w:r>
      <w:r w:rsidR="00915295">
        <w:t>/</w:t>
      </w:r>
      <w:r w:rsidR="0063513E">
        <w:t>SOF</w:t>
      </w:r>
      <w:r w:rsidRPr="00F62250">
        <w:t xml:space="preserve"> 90/400 mg a </w:t>
      </w:r>
      <w:r w:rsidR="0040587F">
        <w:t>FDC</w:t>
      </w:r>
      <w:r w:rsidRPr="00F62250">
        <w:t xml:space="preserve"> tablet was investigated.</w:t>
      </w:r>
      <w:r w:rsidR="00B90AF7">
        <w:t xml:space="preserve"> </w:t>
      </w:r>
      <w:r w:rsidRPr="00F62250">
        <w:t>The following was concluded from the study:</w:t>
      </w:r>
    </w:p>
    <w:p w:rsidR="009203E1" w:rsidRDefault="007B3AED" w:rsidP="00F62250">
      <w:pPr>
        <w:pStyle w:val="ListBullet"/>
      </w:pPr>
      <w:r>
        <w:t>LDV</w:t>
      </w:r>
      <w:r w:rsidR="00386062" w:rsidRPr="00F62250">
        <w:t xml:space="preserve"> mean plasma exposure (</w:t>
      </w:r>
      <w:proofErr w:type="spellStart"/>
      <w:r w:rsidR="00386062" w:rsidRPr="00F62250">
        <w:t>Cmax</w:t>
      </w:r>
      <w:proofErr w:type="spellEnd"/>
      <w:r w:rsidR="00386062" w:rsidRPr="00F62250">
        <w:t xml:space="preserve">, and AUC0-t), and median </w:t>
      </w:r>
      <w:proofErr w:type="spellStart"/>
      <w:r w:rsidR="00386062" w:rsidRPr="00F62250">
        <w:t>Tmax</w:t>
      </w:r>
      <w:proofErr w:type="spellEnd"/>
      <w:r w:rsidR="00386062" w:rsidRPr="00F62250">
        <w:t xml:space="preserve"> and t1/2 were similar in both treatments (estimates FDC/</w:t>
      </w:r>
      <w:r w:rsidR="00915295">
        <w:t>s</w:t>
      </w:r>
      <w:r w:rsidR="00386062" w:rsidRPr="00F62250">
        <w:t>ingle tablets were 98 and 96%, respectively)</w:t>
      </w:r>
      <w:r w:rsidR="009203E1">
        <w:t>.</w:t>
      </w:r>
    </w:p>
    <w:p w:rsidR="00386062" w:rsidRPr="00F62250" w:rsidRDefault="0063513E" w:rsidP="00F62250">
      <w:pPr>
        <w:pStyle w:val="ListBullet"/>
      </w:pPr>
      <w:r>
        <w:t>SOF</w:t>
      </w:r>
      <w:r w:rsidR="00386062" w:rsidRPr="00F62250">
        <w:t xml:space="preserve"> mean plasma exposures parameters (</w:t>
      </w:r>
      <w:proofErr w:type="spellStart"/>
      <w:r w:rsidR="00386062" w:rsidRPr="00F62250">
        <w:t>Cmax</w:t>
      </w:r>
      <w:proofErr w:type="spellEnd"/>
      <w:r w:rsidR="00386062" w:rsidRPr="00F62250">
        <w:t xml:space="preserve">, and AUC0-t) were slightly lower (18% and 13% respectively) upon administration of the </w:t>
      </w:r>
      <w:r w:rsidR="0040587F">
        <w:t>FDC</w:t>
      </w:r>
      <w:r w:rsidR="00386062" w:rsidRPr="00F62250">
        <w:t xml:space="preserve"> treatment relative to </w:t>
      </w:r>
      <w:r>
        <w:t>SOF</w:t>
      </w:r>
      <w:r w:rsidR="00386062" w:rsidRPr="00F62250">
        <w:t xml:space="preserve"> and </w:t>
      </w:r>
      <w:r w:rsidR="007B3AED">
        <w:t>LDV</w:t>
      </w:r>
      <w:r w:rsidR="00386062" w:rsidRPr="00F62250">
        <w:t xml:space="preserve"> treatment as single agents. Median </w:t>
      </w:r>
      <w:proofErr w:type="spellStart"/>
      <w:r w:rsidR="00386062" w:rsidRPr="00F62250">
        <w:t>Tmax</w:t>
      </w:r>
      <w:proofErr w:type="spellEnd"/>
      <w:r w:rsidR="00386062" w:rsidRPr="00F62250">
        <w:t xml:space="preserve"> and t1/2 remained comparable in both treatments. The slightly lower mean plasma exposures of </w:t>
      </w:r>
      <w:r>
        <w:t>SOF</w:t>
      </w:r>
      <w:r w:rsidR="00386062" w:rsidRPr="00F62250">
        <w:t xml:space="preserve"> as a component of the </w:t>
      </w:r>
      <w:r w:rsidR="0040587F">
        <w:t>FDC</w:t>
      </w:r>
      <w:r w:rsidR="00386062" w:rsidRPr="00F62250">
        <w:t xml:space="preserve"> treatment were not considered clinically significant.</w:t>
      </w:r>
    </w:p>
    <w:p w:rsidR="00386062" w:rsidRPr="00F62250" w:rsidRDefault="007B3AED" w:rsidP="00F62250">
      <w:pPr>
        <w:pStyle w:val="ListBullet"/>
      </w:pPr>
      <w:r>
        <w:lastRenderedPageBreak/>
        <w:t>LDV</w:t>
      </w:r>
      <w:r w:rsidR="00386062" w:rsidRPr="00F62250">
        <w:t xml:space="preserve"> plasma exposure parameters (</w:t>
      </w:r>
      <w:proofErr w:type="spellStart"/>
      <w:r w:rsidR="00386062" w:rsidRPr="00F62250">
        <w:t>Cmax</w:t>
      </w:r>
      <w:proofErr w:type="spellEnd"/>
      <w:r w:rsidR="00386062" w:rsidRPr="00F62250">
        <w:t xml:space="preserve"> and AUC0-t) were similar upon dosing of the proposed SOF/LDV FDC tablet with a moderate-fat meal (9% and 14% higher, respectively) or a high-cal</w:t>
      </w:r>
      <w:r w:rsidR="00957BF6">
        <w:t>orie/high-fat meal (estimates versus</w:t>
      </w:r>
      <w:r w:rsidR="00386062" w:rsidRPr="00F62250">
        <w:t xml:space="preserve"> fasting were 12% lower and 4% higher, respectively). </w:t>
      </w:r>
      <w:r>
        <w:t>LDV</w:t>
      </w:r>
      <w:r w:rsidR="00386062" w:rsidRPr="00F62250">
        <w:t xml:space="preserve"> median </w:t>
      </w:r>
      <w:proofErr w:type="spellStart"/>
      <w:r w:rsidR="00386062" w:rsidRPr="00F62250">
        <w:t>Tmax</w:t>
      </w:r>
      <w:proofErr w:type="spellEnd"/>
      <w:r w:rsidR="00386062" w:rsidRPr="00F62250">
        <w:t xml:space="preserve"> was slightly prolonged following administration of the FDC with food compared with fasted administration while median t1/2 remained comparable in all treatments. This supports administration without regard for food.</w:t>
      </w:r>
    </w:p>
    <w:p w:rsidR="009203E1" w:rsidRDefault="0063513E" w:rsidP="00F62250">
      <w:pPr>
        <w:pStyle w:val="ListBullet"/>
      </w:pPr>
      <w:r>
        <w:t>SOF</w:t>
      </w:r>
      <w:r w:rsidR="00386062" w:rsidRPr="00F62250">
        <w:t xml:space="preserve"> plasma exposure parameters (</w:t>
      </w:r>
      <w:proofErr w:type="spellStart"/>
      <w:r w:rsidR="00386062" w:rsidRPr="00F62250">
        <w:t>Cmax</w:t>
      </w:r>
      <w:proofErr w:type="spellEnd"/>
      <w:r w:rsidR="00386062" w:rsidRPr="00F62250">
        <w:t xml:space="preserve"> and AUC0-t) were somewhat greater upon dosing of the proposed SOF/LDV FDC tablet with a moderate-fat meal (26% and 95% higher, respectively) or a high-calorie/high-fat meal (15% and 78% higher, respectively). Median </w:t>
      </w:r>
      <w:proofErr w:type="spellStart"/>
      <w:r w:rsidR="00386062" w:rsidRPr="00F62250">
        <w:t>Tmax</w:t>
      </w:r>
      <w:proofErr w:type="spellEnd"/>
      <w:r w:rsidR="00386062" w:rsidRPr="00F62250">
        <w:t xml:space="preserve"> was prolonged in the fed state as compared with fasted administration, indicative of an effect of food slowing the rate of absorption. Median t1/2 remained similar in all treatments. Considering t</w:t>
      </w:r>
      <w:r w:rsidR="0022071F">
        <w:t xml:space="preserve">he fed exposure increase was &lt;2 </w:t>
      </w:r>
      <w:r w:rsidR="00386062" w:rsidRPr="00F62250">
        <w:t xml:space="preserve">fold and </w:t>
      </w:r>
      <w:r>
        <w:t>SOF</w:t>
      </w:r>
      <w:r w:rsidR="00386062" w:rsidRPr="00F62250">
        <w:t>’s transient systemic exposure and favourable safety profile, the company considers that the proposed combination tablet may be administered without regard to food</w:t>
      </w:r>
      <w:r w:rsidR="009203E1">
        <w:t>.</w:t>
      </w:r>
    </w:p>
    <w:p w:rsidR="00386062" w:rsidRPr="00153490" w:rsidRDefault="00386062" w:rsidP="00084458">
      <w:pPr>
        <w:pStyle w:val="Heading4"/>
      </w:pPr>
      <w:r w:rsidRPr="00153490">
        <w:t xml:space="preserve">Absolute </w:t>
      </w:r>
      <w:r w:rsidR="00620CED">
        <w:t>b</w:t>
      </w:r>
      <w:r w:rsidRPr="00153490">
        <w:t>ioavailability</w:t>
      </w:r>
    </w:p>
    <w:p w:rsidR="005D3424" w:rsidRDefault="00386062" w:rsidP="005D3424">
      <w:r w:rsidRPr="005D3424">
        <w:t>No study specifically designed to determine absolute bioavailability of the drug substances was submitted. The company submitted a justification for not pro</w:t>
      </w:r>
      <w:r w:rsidR="00C75794">
        <w:t>viding such data.</w:t>
      </w:r>
      <w:r w:rsidR="005D3424">
        <w:t xml:space="preserve"> The justification concludes:</w:t>
      </w:r>
    </w:p>
    <w:p w:rsidR="00386062" w:rsidRPr="005D3424" w:rsidRDefault="00386062" w:rsidP="005D3424">
      <w:pPr>
        <w:ind w:left="720"/>
        <w:rPr>
          <w:i/>
        </w:rPr>
      </w:pPr>
      <w:r w:rsidRPr="005D3424">
        <w:rPr>
          <w:i/>
        </w:rPr>
        <w:t>Therefore, based on Gilead’s thorough understanding of the formulation challenges, clinical development program and the estimation of bioavailability from available data, an absolute bioavailability study for SOF/LDV was not deemed necessary and therefore not performed</w:t>
      </w:r>
      <w:r w:rsidR="005D3424" w:rsidRPr="005D3424">
        <w:rPr>
          <w:i/>
        </w:rPr>
        <w:t>.</w:t>
      </w:r>
    </w:p>
    <w:p w:rsidR="008E7846" w:rsidRPr="008751DC" w:rsidRDefault="008E7846" w:rsidP="008E7846">
      <w:pPr>
        <w:pStyle w:val="Heading3"/>
      </w:pPr>
      <w:bookmarkStart w:id="32" w:name="_Toc247691509"/>
      <w:bookmarkStart w:id="33" w:name="_Toc314842493"/>
      <w:bookmarkStart w:id="34" w:name="_Toc432073719"/>
      <w:r>
        <w:t>Quality s</w:t>
      </w:r>
      <w:r w:rsidRPr="008751DC">
        <w:t>ummary</w:t>
      </w:r>
      <w:r>
        <w:t xml:space="preserve"> and conclusions</w:t>
      </w:r>
      <w:bookmarkEnd w:id="32"/>
      <w:bookmarkEnd w:id="33"/>
      <w:bookmarkEnd w:id="34"/>
    </w:p>
    <w:p w:rsidR="009203E1" w:rsidRDefault="00386062" w:rsidP="00386062">
      <w:r w:rsidRPr="00386062">
        <w:t xml:space="preserve">Registration </w:t>
      </w:r>
      <w:r w:rsidR="007D422C">
        <w:t xml:space="preserve">of the proposed </w:t>
      </w:r>
      <w:proofErr w:type="spellStart"/>
      <w:r w:rsidR="007D422C">
        <w:t>Harvoni</w:t>
      </w:r>
      <w:proofErr w:type="spellEnd"/>
      <w:r w:rsidRPr="00386062">
        <w:t xml:space="preserve"> </w:t>
      </w:r>
      <w:r w:rsidR="0007771D">
        <w:t>FDC</w:t>
      </w:r>
      <w:r w:rsidRPr="00386062">
        <w:t xml:space="preserve"> film</w:t>
      </w:r>
      <w:r w:rsidR="00620CED">
        <w:t xml:space="preserve"> </w:t>
      </w:r>
      <w:r w:rsidRPr="00386062">
        <w:t xml:space="preserve">coated tablets containing 90 mg </w:t>
      </w:r>
      <w:r w:rsidR="007B3AED">
        <w:t>LDV</w:t>
      </w:r>
      <w:r w:rsidRPr="00386062">
        <w:t xml:space="preserve"> and 400 mg </w:t>
      </w:r>
      <w:r w:rsidR="0063513E">
        <w:t>SOF</w:t>
      </w:r>
      <w:r w:rsidRPr="00386062">
        <w:t xml:space="preserve"> pack</w:t>
      </w:r>
      <w:r w:rsidR="0007771D">
        <w:t xml:space="preserve">ed into HDPE bottles with child </w:t>
      </w:r>
      <w:r w:rsidRPr="00386062">
        <w:t xml:space="preserve">resistant PP caps containing 28 tablets, is recommended with respect to quality and </w:t>
      </w:r>
      <w:proofErr w:type="spellStart"/>
      <w:r w:rsidRPr="00386062">
        <w:t>biopharmaceutic</w:t>
      </w:r>
      <w:proofErr w:type="spellEnd"/>
      <w:r w:rsidRPr="00386062">
        <w:t xml:space="preserve"> aspects. All issues raised during the initial evaluation of this application have been satisfactorily resolved</w:t>
      </w:r>
      <w:r w:rsidR="009203E1">
        <w:t>.</w:t>
      </w:r>
    </w:p>
    <w:p w:rsidR="00386062" w:rsidRPr="00386062" w:rsidRDefault="00386062" w:rsidP="00386062">
      <w:r w:rsidRPr="00386062">
        <w:t>As no significant pharmaceutical chemistry issues were identified, the submission was not referred to the Pharmac</w:t>
      </w:r>
      <w:r w:rsidR="00923D00">
        <w:t xml:space="preserve">eutical Subcommittee of the </w:t>
      </w:r>
      <w:r w:rsidR="00923D00" w:rsidRPr="00923D00">
        <w:t>Advisory Committee on Prescription Medicines</w:t>
      </w:r>
      <w:r w:rsidR="00923D00">
        <w:t xml:space="preserve"> (ACPM)</w:t>
      </w:r>
      <w:r w:rsidRPr="00386062">
        <w:t>.</w:t>
      </w:r>
    </w:p>
    <w:p w:rsidR="008E7846" w:rsidRDefault="008E7846" w:rsidP="008E7846">
      <w:pPr>
        <w:pStyle w:val="Heading2"/>
      </w:pPr>
      <w:bookmarkStart w:id="35" w:name="_Toc196046439"/>
      <w:bookmarkStart w:id="36" w:name="_Toc247691510"/>
      <w:bookmarkStart w:id="37" w:name="_Toc314842494"/>
      <w:bookmarkStart w:id="38" w:name="_Toc432073720"/>
      <w:r>
        <w:t>III. Nonclinical</w:t>
      </w:r>
      <w:bookmarkEnd w:id="35"/>
      <w:r>
        <w:t xml:space="preserve"> findings</w:t>
      </w:r>
      <w:bookmarkEnd w:id="36"/>
      <w:bookmarkEnd w:id="37"/>
      <w:bookmarkEnd w:id="38"/>
    </w:p>
    <w:p w:rsidR="008E7846" w:rsidRDefault="008E7846" w:rsidP="00940A89">
      <w:pPr>
        <w:pStyle w:val="Heading3"/>
      </w:pPr>
      <w:bookmarkStart w:id="39" w:name="_Toc247691511"/>
      <w:bookmarkStart w:id="40" w:name="_Toc314842495"/>
      <w:bookmarkStart w:id="41" w:name="_Toc432073721"/>
      <w:r>
        <w:t>Introduction</w:t>
      </w:r>
      <w:bookmarkEnd w:id="39"/>
      <w:bookmarkEnd w:id="40"/>
      <w:bookmarkEnd w:id="41"/>
    </w:p>
    <w:p w:rsidR="00E13E10" w:rsidRPr="00E13E10" w:rsidRDefault="00E13E10" w:rsidP="00084458">
      <w:r w:rsidRPr="00E13E10">
        <w:t>Gilead Sciences Pty Ltd has applied to register (</w:t>
      </w:r>
      <w:proofErr w:type="spellStart"/>
      <w:r w:rsidRPr="00E13E10">
        <w:t>Harvoni</w:t>
      </w:r>
      <w:proofErr w:type="spellEnd"/>
      <w:r w:rsidRPr="00E13E10">
        <w:t>).</w:t>
      </w:r>
      <w:r w:rsidR="00B90AF7">
        <w:t xml:space="preserve"> </w:t>
      </w:r>
      <w:proofErr w:type="spellStart"/>
      <w:r w:rsidRPr="00E13E10">
        <w:t>Harvoni</w:t>
      </w:r>
      <w:proofErr w:type="spellEnd"/>
      <w:r w:rsidRPr="00E13E10">
        <w:t xml:space="preserve"> is a </w:t>
      </w:r>
      <w:r w:rsidR="0040587F">
        <w:t>FDC</w:t>
      </w:r>
      <w:r w:rsidRPr="00E13E10">
        <w:t xml:space="preserve"> of a new c</w:t>
      </w:r>
      <w:r w:rsidR="0063513E">
        <w:t xml:space="preserve">hemical entity LDV </w:t>
      </w:r>
      <w:r w:rsidRPr="00E13E10">
        <w:t xml:space="preserve">with </w:t>
      </w:r>
      <w:r w:rsidR="0063513E">
        <w:t xml:space="preserve">SOF </w:t>
      </w:r>
      <w:r w:rsidRPr="00E13E10">
        <w:t>an agent already approved for the treatment of HCV infection.</w:t>
      </w:r>
      <w:r w:rsidR="00B90AF7">
        <w:t xml:space="preserve"> </w:t>
      </w:r>
      <w:proofErr w:type="spellStart"/>
      <w:r w:rsidRPr="00E13E10">
        <w:t>Harvoni</w:t>
      </w:r>
      <w:proofErr w:type="spellEnd"/>
      <w:r w:rsidRPr="00E13E10">
        <w:t xml:space="preserve"> is proposed to be used for the treatment of </w:t>
      </w:r>
      <w:r w:rsidR="003B7641">
        <w:t>CHC</w:t>
      </w:r>
      <w:r w:rsidRPr="00E13E10">
        <w:t xml:space="preserve"> genotype 1 infection in adults. The recommended dose is one tablet, containing 90 mg </w:t>
      </w:r>
      <w:r w:rsidR="007B3AED">
        <w:t>LDV</w:t>
      </w:r>
      <w:r w:rsidRPr="00E13E10">
        <w:t xml:space="preserve"> and 400 mg </w:t>
      </w:r>
      <w:r w:rsidR="0063513E">
        <w:t>SOF</w:t>
      </w:r>
      <w:r w:rsidRPr="00E13E10">
        <w:t>, taken orally, once daily with or without food.</w:t>
      </w:r>
      <w:r w:rsidR="00B90AF7">
        <w:t xml:space="preserve"> </w:t>
      </w:r>
      <w:r w:rsidRPr="00E13E10">
        <w:t>For treatment</w:t>
      </w:r>
      <w:r w:rsidR="00980B75">
        <w:t xml:space="preserve"> </w:t>
      </w:r>
      <w:r w:rsidRPr="00E13E10">
        <w:t>naïve patients without cirrhosis the recommended duration of treatment is 8 weeks. For treatment</w:t>
      </w:r>
      <w:r w:rsidR="00980B75">
        <w:t xml:space="preserve"> </w:t>
      </w:r>
      <w:r w:rsidRPr="00E13E10">
        <w:t>naïve patients with cirrhosis and all treatment</w:t>
      </w:r>
      <w:r w:rsidR="00980B75">
        <w:t xml:space="preserve"> </w:t>
      </w:r>
      <w:r w:rsidRPr="00E13E10">
        <w:t>experienced patients the recommended duration of treatment is 12 weeks.</w:t>
      </w:r>
    </w:p>
    <w:p w:rsidR="009203E1" w:rsidRDefault="007A58EE" w:rsidP="00E13E10">
      <w:r>
        <w:lastRenderedPageBreak/>
        <w:t>The overall quality of the non</w:t>
      </w:r>
      <w:r w:rsidR="00E13E10" w:rsidRPr="00E13E10">
        <w:t>clinical dossier was good with all pivotal studies conducted according to GLP.</w:t>
      </w:r>
      <w:r w:rsidR="00B90AF7">
        <w:t xml:space="preserve"> </w:t>
      </w:r>
      <w:r w:rsidR="00E13E10" w:rsidRPr="00E13E10">
        <w:t>The submission also contai</w:t>
      </w:r>
      <w:r w:rsidR="00980B75">
        <w:t>ned sponsor responses to the European Medicine Agency (EM</w:t>
      </w:r>
      <w:r w:rsidR="00E13E10" w:rsidRPr="00E13E10">
        <w:t>A</w:t>
      </w:r>
      <w:r w:rsidR="00980B75">
        <w:t>)</w:t>
      </w:r>
      <w:r w:rsidR="00E13E10" w:rsidRPr="00E13E10">
        <w:t xml:space="preserve"> 120 day list of questions</w:t>
      </w:r>
      <w:r w:rsidR="009203E1">
        <w:t>.</w:t>
      </w:r>
    </w:p>
    <w:p w:rsidR="00E13E10" w:rsidRPr="00E13E10" w:rsidRDefault="00E13E10" w:rsidP="00E13E10">
      <w:r w:rsidRPr="00E13E10">
        <w:t xml:space="preserve">This submission included the previous application on </w:t>
      </w:r>
      <w:r w:rsidR="0063513E">
        <w:t>SOF</w:t>
      </w:r>
      <w:r w:rsidRPr="00E13E10">
        <w:t>.</w:t>
      </w:r>
      <w:r w:rsidR="00B90AF7">
        <w:t xml:space="preserve"> </w:t>
      </w:r>
      <w:r w:rsidRPr="00E13E10">
        <w:t>With the exception of carcinogenicity studies which were not complete at the time of the earlier submission these were all previously assessed.</w:t>
      </w:r>
      <w:r w:rsidR="00B90AF7">
        <w:t xml:space="preserve"> </w:t>
      </w:r>
      <w:r w:rsidRPr="00E13E10">
        <w:t xml:space="preserve">This assessment covers reports relating to </w:t>
      </w:r>
      <w:r w:rsidR="007B3AED">
        <w:t>LDV</w:t>
      </w:r>
      <w:r w:rsidRPr="00E13E10">
        <w:t xml:space="preserve">, combination studies of </w:t>
      </w:r>
      <w:r w:rsidR="007B3AED">
        <w:t>LDV</w:t>
      </w:r>
      <w:r w:rsidRPr="00E13E10">
        <w:t xml:space="preserve"> with </w:t>
      </w:r>
      <w:r w:rsidR="0063513E">
        <w:t>SOF</w:t>
      </w:r>
      <w:r w:rsidRPr="00E13E10">
        <w:t xml:space="preserve"> and </w:t>
      </w:r>
      <w:r w:rsidR="0063513E">
        <w:t>SOF</w:t>
      </w:r>
      <w:r w:rsidRPr="00E13E10">
        <w:t xml:space="preserve"> carcinogenicity studies.</w:t>
      </w:r>
    </w:p>
    <w:p w:rsidR="00E13E10" w:rsidRPr="00E13E10" w:rsidRDefault="00E13E10" w:rsidP="00E13E10">
      <w:r w:rsidRPr="00E13E10">
        <w:t xml:space="preserve">A possible deficiency is the absence of any combination toxicity studies with </w:t>
      </w:r>
      <w:r w:rsidR="007B3AED">
        <w:t>LDV</w:t>
      </w:r>
      <w:r w:rsidRPr="00E13E10">
        <w:t xml:space="preserve"> and </w:t>
      </w:r>
      <w:r w:rsidR="0063513E">
        <w:t>SOF</w:t>
      </w:r>
      <w:r w:rsidRPr="00E13E10">
        <w:t>.</w:t>
      </w:r>
      <w:r w:rsidR="00B90AF7">
        <w:t xml:space="preserve"> </w:t>
      </w:r>
      <w:r w:rsidRPr="00E13E10">
        <w:t xml:space="preserve">There were no combination toxicity studies with the </w:t>
      </w:r>
      <w:r w:rsidR="0063513E">
        <w:t>SOF</w:t>
      </w:r>
      <w:r w:rsidRPr="00E13E10">
        <w:t>/</w:t>
      </w:r>
      <w:r w:rsidR="007B3AED">
        <w:t>LDV</w:t>
      </w:r>
      <w:r w:rsidRPr="00E13E10">
        <w:t xml:space="preserve"> combination, this issue is addressed below.</w:t>
      </w:r>
    </w:p>
    <w:p w:rsidR="008E7846" w:rsidRDefault="008E7846" w:rsidP="008E7846">
      <w:pPr>
        <w:pStyle w:val="Heading3"/>
      </w:pPr>
      <w:bookmarkStart w:id="42" w:name="_Toc247691512"/>
      <w:bookmarkStart w:id="43" w:name="_Toc314842496"/>
      <w:bookmarkStart w:id="44" w:name="_Toc432073722"/>
      <w:r w:rsidRPr="00020030">
        <w:t>Pharmacology</w:t>
      </w:r>
      <w:bookmarkEnd w:id="42"/>
      <w:bookmarkEnd w:id="43"/>
      <w:bookmarkEnd w:id="44"/>
    </w:p>
    <w:p w:rsidR="00E13E10" w:rsidRDefault="00E13E10" w:rsidP="00E13E10">
      <w:pPr>
        <w:pStyle w:val="Heading4"/>
      </w:pPr>
      <w:r>
        <w:t>Primary pharmacology</w:t>
      </w:r>
    </w:p>
    <w:p w:rsidR="009203E1" w:rsidRDefault="00E13E10" w:rsidP="00E13E10">
      <w:r w:rsidRPr="00E13E10">
        <w:t xml:space="preserve">All </w:t>
      </w:r>
      <w:proofErr w:type="spellStart"/>
      <w:r w:rsidRPr="00E13E10">
        <w:t>pharmacodynamic</w:t>
      </w:r>
      <w:proofErr w:type="spellEnd"/>
      <w:r w:rsidRPr="00E13E10">
        <w:t xml:space="preserve"> studies (primary, secondary and interaction) submitted were </w:t>
      </w:r>
      <w:r w:rsidRPr="00611C8C">
        <w:rPr>
          <w:i/>
        </w:rPr>
        <w:t xml:space="preserve">in vitro </w:t>
      </w:r>
      <w:r w:rsidRPr="00E13E10">
        <w:t>studies.</w:t>
      </w:r>
      <w:r w:rsidR="00B90AF7">
        <w:t xml:space="preserve"> </w:t>
      </w:r>
      <w:r w:rsidRPr="00E13E10">
        <w:t xml:space="preserve">Most of the </w:t>
      </w:r>
      <w:proofErr w:type="spellStart"/>
      <w:r w:rsidRPr="00E13E10">
        <w:t>pharmacodynamic</w:t>
      </w:r>
      <w:proofErr w:type="spellEnd"/>
      <w:r w:rsidRPr="00E13E10">
        <w:t xml:space="preserve"> studies submitted were conducted using HCV </w:t>
      </w:r>
      <w:proofErr w:type="spellStart"/>
      <w:r w:rsidRPr="00E13E10">
        <w:t>subgenomic</w:t>
      </w:r>
      <w:proofErr w:type="spellEnd"/>
      <w:r w:rsidRPr="00E13E10">
        <w:t xml:space="preserve"> replicons. One study was conducted on the action of </w:t>
      </w:r>
      <w:r w:rsidR="007B3AED">
        <w:t>LDV</w:t>
      </w:r>
      <w:r w:rsidRPr="00E13E10">
        <w:t xml:space="preserve"> against infectious HCV genotype 2a (J6/JFH-1) in Lunet-CD81 cells</w:t>
      </w:r>
      <w:r w:rsidR="009203E1">
        <w:t>.</w:t>
      </w:r>
    </w:p>
    <w:p w:rsidR="009203E1" w:rsidRDefault="007B3AED" w:rsidP="00E13E10">
      <w:r>
        <w:t>LDV</w:t>
      </w:r>
      <w:r w:rsidR="00E13E10" w:rsidRPr="00E13E10">
        <w:t xml:space="preserve"> and </w:t>
      </w:r>
      <w:r w:rsidR="0063513E">
        <w:t>SOF</w:t>
      </w:r>
      <w:r w:rsidR="00E13E10" w:rsidRPr="00E13E10">
        <w:t xml:space="preserve"> are both inhibitors of HCV replication.</w:t>
      </w:r>
      <w:r w:rsidR="00B90AF7">
        <w:t xml:space="preserve"> </w:t>
      </w:r>
      <w:r>
        <w:t>LDV</w:t>
      </w:r>
      <w:r w:rsidR="00E13E10" w:rsidRPr="00E13E10">
        <w:t xml:space="preserve"> inhibits non-structural protein 5A (NS5A), a zinc</w:t>
      </w:r>
      <w:r w:rsidR="00AA60C6">
        <w:t xml:space="preserve"> </w:t>
      </w:r>
      <w:r w:rsidR="00E13E10" w:rsidRPr="00E13E10">
        <w:t xml:space="preserve">binding and </w:t>
      </w:r>
      <w:proofErr w:type="spellStart"/>
      <w:r w:rsidR="00E13E10" w:rsidRPr="00E13E10">
        <w:t>proline</w:t>
      </w:r>
      <w:proofErr w:type="spellEnd"/>
      <w:r w:rsidR="00AA60C6">
        <w:t xml:space="preserve"> </w:t>
      </w:r>
      <w:r w:rsidR="00E13E10" w:rsidRPr="00E13E10">
        <w:t xml:space="preserve">rich hydrophilic </w:t>
      </w:r>
      <w:proofErr w:type="spellStart"/>
      <w:r w:rsidR="00E13E10" w:rsidRPr="00E13E10">
        <w:t>phosphoprotein</w:t>
      </w:r>
      <w:proofErr w:type="spellEnd"/>
      <w:r w:rsidR="00E13E10" w:rsidRPr="00E13E10">
        <w:t xml:space="preserve"> which interacts with other viral and cellular proteins, probably functioning as a transcriptional activator.</w:t>
      </w:r>
      <w:r w:rsidR="00B90AF7">
        <w:t xml:space="preserve"> </w:t>
      </w:r>
      <w:r w:rsidR="00E13E10" w:rsidRPr="00E13E10">
        <w:t xml:space="preserve">The action of </w:t>
      </w:r>
      <w:r>
        <w:t>LDV</w:t>
      </w:r>
      <w:r w:rsidR="00E13E10" w:rsidRPr="00E13E10">
        <w:t xml:space="preserve"> is quite specific and it showed no activity against other HCV targets NS3, NS5b or the HCV internal ribosome entry site.</w:t>
      </w:r>
      <w:r w:rsidR="00B90AF7">
        <w:t xml:space="preserve"> </w:t>
      </w:r>
      <w:r>
        <w:t>LDV</w:t>
      </w:r>
      <w:r w:rsidR="00E13E10" w:rsidRPr="00E13E10">
        <w:t xml:space="preserve"> was most potent against HCV genotypes 1a and 1b (EC50 0.031nmol/L and 0.004 </w:t>
      </w:r>
      <w:proofErr w:type="spellStart"/>
      <w:r w:rsidR="00E13E10" w:rsidRPr="00E13E10">
        <w:t>nmol</w:t>
      </w:r>
      <w:proofErr w:type="spellEnd"/>
      <w:r w:rsidR="00E13E10" w:rsidRPr="00E13E10">
        <w:t>/L</w:t>
      </w:r>
      <w:r w:rsidR="00AA60C6">
        <w:t>,</w:t>
      </w:r>
      <w:r w:rsidR="00E13E10" w:rsidRPr="00E13E10">
        <w:t xml:space="preserve"> respectively).</w:t>
      </w:r>
      <w:r w:rsidR="00B90AF7">
        <w:t xml:space="preserve"> </w:t>
      </w:r>
      <w:r>
        <w:t>LDV</w:t>
      </w:r>
      <w:r w:rsidR="00E13E10" w:rsidRPr="00E13E10">
        <w:t xml:space="preserve"> was comparatively less active against HCV genotypes 2a-6a and 2b, with EC50 values ranging </w:t>
      </w:r>
      <w:proofErr w:type="gramStart"/>
      <w:r w:rsidR="00E13E10" w:rsidRPr="00E13E10">
        <w:t xml:space="preserve">from 0.15 </w:t>
      </w:r>
      <w:proofErr w:type="spellStart"/>
      <w:r w:rsidR="00E13E10" w:rsidRPr="00E13E10">
        <w:t>nmol</w:t>
      </w:r>
      <w:proofErr w:type="spellEnd"/>
      <w:r w:rsidR="00E13E10" w:rsidRPr="00E13E10">
        <w:t>/L (GT 5a)</w:t>
      </w:r>
      <w:proofErr w:type="gramEnd"/>
      <w:r w:rsidR="00E13E10" w:rsidRPr="00E13E10">
        <w:t xml:space="preserve"> to 530 </w:t>
      </w:r>
      <w:proofErr w:type="spellStart"/>
      <w:r w:rsidR="00E13E10" w:rsidRPr="00E13E10">
        <w:t>nmol</w:t>
      </w:r>
      <w:proofErr w:type="spellEnd"/>
      <w:r w:rsidR="00E13E10" w:rsidRPr="00E13E10">
        <w:t>/L (GT 2b).</w:t>
      </w:r>
      <w:r w:rsidR="00B90AF7">
        <w:t xml:space="preserve"> </w:t>
      </w:r>
      <w:r>
        <w:t>LDV</w:t>
      </w:r>
      <w:r w:rsidR="00E13E10" w:rsidRPr="00E13E10">
        <w:t xml:space="preserve"> was active against infectious HCV genotype 2a (J6/JFH-1) in Lunet-CD81 cells with EC50 3.2 </w:t>
      </w:r>
      <w:proofErr w:type="spellStart"/>
      <w:r w:rsidR="00E13E10" w:rsidRPr="00E13E10">
        <w:t>nmol</w:t>
      </w:r>
      <w:proofErr w:type="spellEnd"/>
      <w:r w:rsidR="00E13E10" w:rsidRPr="00E13E10">
        <w:t>/L.</w:t>
      </w:r>
      <w:r w:rsidR="00B90AF7">
        <w:t xml:space="preserve"> </w:t>
      </w:r>
      <w:r>
        <w:t>LDV</w:t>
      </w:r>
      <w:r w:rsidR="00E13E10" w:rsidRPr="00E13E10">
        <w:t xml:space="preserve"> was active against treatment</w:t>
      </w:r>
      <w:r w:rsidR="00667318">
        <w:t xml:space="preserve"> </w:t>
      </w:r>
      <w:r w:rsidR="00E13E10" w:rsidRPr="00E13E10">
        <w:t xml:space="preserve">naïve HCV GT1a and GT 1b clinical isolates with EC50 values of 0.022 </w:t>
      </w:r>
      <w:proofErr w:type="spellStart"/>
      <w:r w:rsidR="00E13E10" w:rsidRPr="00E13E10">
        <w:t>nmol</w:t>
      </w:r>
      <w:proofErr w:type="spellEnd"/>
      <w:r w:rsidR="00E13E10" w:rsidRPr="00E13E10">
        <w:t xml:space="preserve">/L and 0.006 </w:t>
      </w:r>
      <w:proofErr w:type="spellStart"/>
      <w:r w:rsidR="00E13E10" w:rsidRPr="00E13E10">
        <w:t>nmol</w:t>
      </w:r>
      <w:proofErr w:type="spellEnd"/>
      <w:r w:rsidR="00E13E10" w:rsidRPr="00E13E10">
        <w:t>/L</w:t>
      </w:r>
      <w:r w:rsidR="00667318">
        <w:t>,</w:t>
      </w:r>
      <w:r w:rsidR="00E13E10" w:rsidRPr="00E13E10">
        <w:t xml:space="preserve"> respectively.</w:t>
      </w:r>
      <w:r w:rsidR="00B90AF7">
        <w:t xml:space="preserve"> </w:t>
      </w:r>
      <w:r w:rsidR="00E13E10" w:rsidRPr="00E13E10">
        <w:t>The EC50 for activity against GT 1a was reduced 13.3-fold in the presence of 40% human serum</w:t>
      </w:r>
      <w:r w:rsidR="009203E1">
        <w:t>.</w:t>
      </w:r>
    </w:p>
    <w:p w:rsidR="009203E1" w:rsidRDefault="00E13E10" w:rsidP="00E13E10">
      <w:r w:rsidRPr="00E13E10">
        <w:t xml:space="preserve">HCV replicons with reduced susceptibility to </w:t>
      </w:r>
      <w:r w:rsidR="007B3AED">
        <w:t>LDV</w:t>
      </w:r>
      <w:r w:rsidRPr="00E13E10">
        <w:t xml:space="preserve"> were selected in culture for genotypes 1a and 1b, associated with the NS5A amino acid substitution Y93H in both genotypes. A high level of resistance was also conferred by site</w:t>
      </w:r>
      <w:r w:rsidR="00667318">
        <w:t xml:space="preserve"> </w:t>
      </w:r>
      <w:r w:rsidRPr="00E13E10">
        <w:t>directed mutagenesis of Y93H in both genotypes. There was no evidence of cross</w:t>
      </w:r>
      <w:r w:rsidR="00667318">
        <w:t xml:space="preserve"> </w:t>
      </w:r>
      <w:r w:rsidRPr="00E13E10">
        <w:t xml:space="preserve">resistance between </w:t>
      </w:r>
      <w:r w:rsidR="007B3AED">
        <w:t>LDV</w:t>
      </w:r>
      <w:r w:rsidRPr="00E13E10">
        <w:t xml:space="preserve"> and </w:t>
      </w:r>
      <w:r w:rsidR="0063513E">
        <w:t>SOF</w:t>
      </w:r>
      <w:r w:rsidRPr="00E13E10">
        <w:t xml:space="preserve"> </w:t>
      </w:r>
      <w:r w:rsidRPr="00667318">
        <w:rPr>
          <w:i/>
        </w:rPr>
        <w:t>in vitro</w:t>
      </w:r>
      <w:r w:rsidRPr="00E13E10">
        <w:t xml:space="preserve">, but NS5A substitutions conferring resistance to </w:t>
      </w:r>
      <w:r w:rsidR="007B3AED">
        <w:t>LDV</w:t>
      </w:r>
      <w:r w:rsidRPr="00E13E10">
        <w:t xml:space="preserve"> may reduce the antiviral activity of other NS5A inhibitors</w:t>
      </w:r>
      <w:r w:rsidR="009203E1">
        <w:t>.</w:t>
      </w:r>
    </w:p>
    <w:p w:rsidR="00E13E10" w:rsidRPr="00A51F7C" w:rsidRDefault="00E13E10" w:rsidP="00084458">
      <w:pPr>
        <w:pStyle w:val="Heading4"/>
      </w:pPr>
      <w:proofErr w:type="spellStart"/>
      <w:r w:rsidRPr="00A51F7C">
        <w:t>Pharmacodynamic</w:t>
      </w:r>
      <w:proofErr w:type="spellEnd"/>
      <w:r w:rsidRPr="00A51F7C">
        <w:t xml:space="preserve"> drug interactions</w:t>
      </w:r>
    </w:p>
    <w:p w:rsidR="00E13E10" w:rsidRPr="00E13E10" w:rsidRDefault="007B3AED" w:rsidP="00E13E10">
      <w:r>
        <w:t>LDV</w:t>
      </w:r>
      <w:r w:rsidR="00E13E10" w:rsidRPr="00E13E10">
        <w:t xml:space="preserve"> in combination with the anti-viral </w:t>
      </w:r>
      <w:proofErr w:type="gramStart"/>
      <w:r w:rsidR="00E13E10" w:rsidRPr="00E13E10">
        <w:t>agents</w:t>
      </w:r>
      <w:proofErr w:type="gramEnd"/>
      <w:r w:rsidR="00E13E10" w:rsidRPr="00E13E10">
        <w:t xml:space="preserve"> </w:t>
      </w:r>
      <w:proofErr w:type="spellStart"/>
      <w:r w:rsidR="00E13E10" w:rsidRPr="00E13E10">
        <w:t>boceprevir</w:t>
      </w:r>
      <w:proofErr w:type="spellEnd"/>
      <w:r w:rsidR="00E13E10" w:rsidRPr="00E13E10">
        <w:t xml:space="preserve">, </w:t>
      </w:r>
      <w:proofErr w:type="spellStart"/>
      <w:r w:rsidR="00E13E10" w:rsidRPr="00E13E10">
        <w:t>simeprevir</w:t>
      </w:r>
      <w:proofErr w:type="spellEnd"/>
      <w:r w:rsidR="00E13E10" w:rsidRPr="00E13E10">
        <w:t xml:space="preserve">, </w:t>
      </w:r>
      <w:proofErr w:type="spellStart"/>
      <w:r w:rsidR="00E13E10" w:rsidRPr="00E13E10">
        <w:t>telaprevir</w:t>
      </w:r>
      <w:proofErr w:type="spellEnd"/>
      <w:r w:rsidR="00E13E10" w:rsidRPr="00E13E10">
        <w:t xml:space="preserve"> and </w:t>
      </w:r>
      <w:proofErr w:type="spellStart"/>
      <w:r w:rsidR="00E13E10" w:rsidRPr="00E13E10">
        <w:t>daclatasvir</w:t>
      </w:r>
      <w:proofErr w:type="spellEnd"/>
      <w:r w:rsidR="00E13E10" w:rsidRPr="00E13E10">
        <w:t xml:space="preserve"> showed additive activity against HCV genotype 1a. </w:t>
      </w:r>
      <w:r>
        <w:t>LDV</w:t>
      </w:r>
      <w:r w:rsidR="00E13E10" w:rsidRPr="00E13E10">
        <w:t xml:space="preserve"> showed synergistic interactions in combination with IFN-α, ribavirin, GS-9190, GS-9256, GS-9451 and R7128 against genotype 1b.</w:t>
      </w:r>
    </w:p>
    <w:p w:rsidR="009203E1" w:rsidRDefault="007B3AED" w:rsidP="00E13E10">
      <w:r>
        <w:t>LDV</w:t>
      </w:r>
      <w:r w:rsidR="00E13E10" w:rsidRPr="00E13E10">
        <w:t xml:space="preserve"> was tested in combination with anti-HIV drugs.</w:t>
      </w:r>
      <w:r w:rsidR="00B90AF7">
        <w:t xml:space="preserve"> </w:t>
      </w:r>
      <w:r w:rsidR="00E13E10" w:rsidRPr="00E13E10">
        <w:t xml:space="preserve">Combination with </w:t>
      </w:r>
      <w:proofErr w:type="spellStart"/>
      <w:r w:rsidR="00895788" w:rsidRPr="00895788">
        <w:t>efavirenz</w:t>
      </w:r>
      <w:proofErr w:type="spellEnd"/>
      <w:r w:rsidR="00895788" w:rsidRPr="00895788">
        <w:t xml:space="preserve"> </w:t>
      </w:r>
      <w:r w:rsidR="00895788">
        <w:t>(</w:t>
      </w:r>
      <w:r w:rsidR="00E13E10" w:rsidRPr="00E13E10">
        <w:t>EFV</w:t>
      </w:r>
      <w:r w:rsidR="00895788">
        <w:t>)</w:t>
      </w:r>
      <w:r w:rsidR="00E13E10" w:rsidRPr="00E13E10">
        <w:t xml:space="preserve">, </w:t>
      </w:r>
      <w:proofErr w:type="spellStart"/>
      <w:r w:rsidR="00E157CC" w:rsidRPr="00E157CC">
        <w:t>elvitegravir</w:t>
      </w:r>
      <w:proofErr w:type="spellEnd"/>
      <w:r w:rsidR="00E157CC" w:rsidRPr="00E157CC">
        <w:t xml:space="preserve"> </w:t>
      </w:r>
      <w:r w:rsidR="00E157CC">
        <w:t>(</w:t>
      </w:r>
      <w:r w:rsidR="00E13E10" w:rsidRPr="00E13E10">
        <w:t>EVG</w:t>
      </w:r>
      <w:r w:rsidR="00E157CC">
        <w:t>)</w:t>
      </w:r>
      <w:r w:rsidR="00E13E10" w:rsidRPr="00E13E10">
        <w:t xml:space="preserve">, </w:t>
      </w:r>
      <w:proofErr w:type="spellStart"/>
      <w:r w:rsidR="00865900" w:rsidRPr="00865900">
        <w:t>tenofovir</w:t>
      </w:r>
      <w:proofErr w:type="spellEnd"/>
      <w:r w:rsidR="00865900" w:rsidRPr="00865900">
        <w:t xml:space="preserve"> </w:t>
      </w:r>
      <w:r w:rsidR="00865900">
        <w:t>(</w:t>
      </w:r>
      <w:r w:rsidR="00E13E10" w:rsidRPr="00E13E10">
        <w:t>TFV</w:t>
      </w:r>
      <w:r w:rsidR="00865900">
        <w:t>)</w:t>
      </w:r>
      <w:r w:rsidR="00E13E10" w:rsidRPr="00E13E10">
        <w:t xml:space="preserve">, </w:t>
      </w:r>
      <w:proofErr w:type="spellStart"/>
      <w:r w:rsidR="005402AA" w:rsidRPr="005402AA">
        <w:t>darunavir</w:t>
      </w:r>
      <w:proofErr w:type="spellEnd"/>
      <w:r w:rsidR="005402AA" w:rsidRPr="005402AA">
        <w:t xml:space="preserve"> </w:t>
      </w:r>
      <w:r w:rsidR="005402AA">
        <w:t>(</w:t>
      </w:r>
      <w:r w:rsidR="00E13E10" w:rsidRPr="00E13E10">
        <w:t>DRV</w:t>
      </w:r>
      <w:r w:rsidR="005402AA">
        <w:t>)</w:t>
      </w:r>
      <w:r w:rsidR="00E13E10" w:rsidRPr="00E13E10">
        <w:t xml:space="preserve">, </w:t>
      </w:r>
      <w:proofErr w:type="spellStart"/>
      <w:r w:rsidR="00E242E2">
        <w:t>e</w:t>
      </w:r>
      <w:r w:rsidR="00E242E2" w:rsidRPr="00E242E2">
        <w:t>mtricitabine</w:t>
      </w:r>
      <w:proofErr w:type="spellEnd"/>
      <w:r w:rsidR="00E242E2" w:rsidRPr="00E242E2">
        <w:t xml:space="preserve"> </w:t>
      </w:r>
      <w:r w:rsidR="00E242E2">
        <w:t>(</w:t>
      </w:r>
      <w:r w:rsidR="00E13E10" w:rsidRPr="00E13E10">
        <w:t>FTC</w:t>
      </w:r>
      <w:r w:rsidR="00E242E2">
        <w:t>)</w:t>
      </w:r>
      <w:r w:rsidR="00E13E10" w:rsidRPr="00E13E10">
        <w:t xml:space="preserve">, </w:t>
      </w:r>
      <w:proofErr w:type="spellStart"/>
      <w:r w:rsidR="006A29BE" w:rsidRPr="006A29BE">
        <w:t>atazanavir</w:t>
      </w:r>
      <w:proofErr w:type="spellEnd"/>
      <w:r w:rsidR="006A29BE" w:rsidRPr="006A29BE">
        <w:t xml:space="preserve"> </w:t>
      </w:r>
      <w:r w:rsidR="006A29BE">
        <w:t>(</w:t>
      </w:r>
      <w:r w:rsidR="00E13E10" w:rsidRPr="00E13E10">
        <w:t>ATV</w:t>
      </w:r>
      <w:r w:rsidR="006A29BE">
        <w:t>)</w:t>
      </w:r>
      <w:r w:rsidR="00E13E10" w:rsidRPr="00E13E10">
        <w:t xml:space="preserve">, </w:t>
      </w:r>
      <w:proofErr w:type="spellStart"/>
      <w:r w:rsidR="00667318" w:rsidRPr="00667318">
        <w:t>rilpivirine</w:t>
      </w:r>
      <w:proofErr w:type="spellEnd"/>
      <w:r w:rsidR="00667318" w:rsidRPr="00667318">
        <w:t xml:space="preserve"> </w:t>
      </w:r>
      <w:r w:rsidR="00667318">
        <w:t>(</w:t>
      </w:r>
      <w:r w:rsidR="00E13E10" w:rsidRPr="00E13E10">
        <w:t>RPV</w:t>
      </w:r>
      <w:r w:rsidR="00667318">
        <w:t>)</w:t>
      </w:r>
      <w:r w:rsidR="00E13E10" w:rsidRPr="00E13E10">
        <w:t xml:space="preserve">, and </w:t>
      </w:r>
      <w:proofErr w:type="spellStart"/>
      <w:r w:rsidR="00BF7E40">
        <w:t>r</w:t>
      </w:r>
      <w:r w:rsidR="00BF7E40" w:rsidRPr="00BF7E40">
        <w:t>altegravir</w:t>
      </w:r>
      <w:proofErr w:type="spellEnd"/>
      <w:r w:rsidR="00BF7E40" w:rsidRPr="00BF7E40">
        <w:t xml:space="preserve"> </w:t>
      </w:r>
      <w:r w:rsidR="00BF7E40">
        <w:t>(</w:t>
      </w:r>
      <w:r w:rsidR="00E13E10" w:rsidRPr="00E13E10">
        <w:t>RAL</w:t>
      </w:r>
      <w:r w:rsidR="00BF7E40">
        <w:t>)</w:t>
      </w:r>
      <w:r w:rsidR="00E13E10" w:rsidRPr="00E13E10">
        <w:t xml:space="preserve"> had no effect on the anti-HIV activity of these drugs or on the anti-HCV activity of </w:t>
      </w:r>
      <w:r>
        <w:t>LDV</w:t>
      </w:r>
      <w:r w:rsidR="00E13E10" w:rsidRPr="00E13E10">
        <w:t xml:space="preserve"> against genotype 1a</w:t>
      </w:r>
      <w:r w:rsidR="009203E1">
        <w:t>.</w:t>
      </w:r>
    </w:p>
    <w:p w:rsidR="00E13E10" w:rsidRDefault="00E13E10" w:rsidP="00084458">
      <w:pPr>
        <w:pStyle w:val="Heading4"/>
      </w:pPr>
      <w:r>
        <w:lastRenderedPageBreak/>
        <w:t>Secondary pharmacodynamics and safety pharmacology</w:t>
      </w:r>
    </w:p>
    <w:p w:rsidR="00E13E10" w:rsidRPr="00E13E10" w:rsidRDefault="00E13E10" w:rsidP="00084458">
      <w:r w:rsidRPr="00E13E10">
        <w:t>Potential off</w:t>
      </w:r>
      <w:r w:rsidR="00DA2F19">
        <w:t xml:space="preserve"> t</w:t>
      </w:r>
      <w:r w:rsidRPr="00E13E10">
        <w:t>arget activity was screened in 68 mammalian ion channels and receptors.</w:t>
      </w:r>
      <w:r w:rsidR="00B90AF7">
        <w:t xml:space="preserve"> </w:t>
      </w:r>
      <w:r w:rsidRPr="00E13E10">
        <w:t>Significant interactions were detected with 3 ion channel sites and one receptor.</w:t>
      </w:r>
      <w:r w:rsidR="00B90AF7">
        <w:t xml:space="preserve"> </w:t>
      </w:r>
      <w:r w:rsidRPr="00E13E10">
        <w:t xml:space="preserve">IC50 values were determined for the L-type </w:t>
      </w:r>
      <w:proofErr w:type="spellStart"/>
      <w:r w:rsidRPr="00E13E10">
        <w:t>Ca</w:t>
      </w:r>
      <w:proofErr w:type="spellEnd"/>
      <w:r w:rsidRPr="00E13E10">
        <w:t xml:space="preserve"> channel </w:t>
      </w:r>
      <w:proofErr w:type="spellStart"/>
      <w:r w:rsidRPr="00E13E10">
        <w:t>dihydropyridine</w:t>
      </w:r>
      <w:proofErr w:type="spellEnd"/>
      <w:r w:rsidRPr="00E13E10">
        <w:t xml:space="preserve"> site </w:t>
      </w:r>
      <w:proofErr w:type="gramStart"/>
      <w:r w:rsidRPr="00E13E10">
        <w:t>(3.47 µ</w:t>
      </w:r>
      <w:proofErr w:type="spellStart"/>
      <w:r w:rsidRPr="00E13E10">
        <w:t>mol</w:t>
      </w:r>
      <w:proofErr w:type="spellEnd"/>
      <w:r w:rsidRPr="00E13E10">
        <w:t>/L)</w:t>
      </w:r>
      <w:proofErr w:type="gramEnd"/>
      <w:r w:rsidRPr="00E13E10">
        <w:t xml:space="preserve"> and the Na channel site 2 (0.210 µ</w:t>
      </w:r>
      <w:proofErr w:type="spellStart"/>
      <w:r w:rsidRPr="00E13E10">
        <w:t>mol</w:t>
      </w:r>
      <w:proofErr w:type="spellEnd"/>
      <w:r w:rsidRPr="00E13E10">
        <w:t>/L).</w:t>
      </w:r>
      <w:r w:rsidR="00B90AF7">
        <w:t xml:space="preserve"> </w:t>
      </w:r>
      <w:r w:rsidRPr="00E13E10">
        <w:t xml:space="preserve">50% inhibition of binding to the L-type </w:t>
      </w:r>
      <w:proofErr w:type="spellStart"/>
      <w:r w:rsidRPr="00E13E10">
        <w:t>Ca</w:t>
      </w:r>
      <w:proofErr w:type="spellEnd"/>
      <w:r w:rsidRPr="00E13E10">
        <w:t xml:space="preserve"> channel </w:t>
      </w:r>
      <w:proofErr w:type="spellStart"/>
      <w:r w:rsidRPr="00E13E10">
        <w:t>benzothiazepine</w:t>
      </w:r>
      <w:proofErr w:type="spellEnd"/>
      <w:r w:rsidRPr="00E13E10">
        <w:t xml:space="preserve"> site and the androgen receptor occurred </w:t>
      </w:r>
      <w:proofErr w:type="gramStart"/>
      <w:r w:rsidRPr="00E13E10">
        <w:t>at 10 µ</w:t>
      </w:r>
      <w:proofErr w:type="spellStart"/>
      <w:r w:rsidRPr="00E13E10">
        <w:t>mol</w:t>
      </w:r>
      <w:proofErr w:type="spellEnd"/>
      <w:r w:rsidRPr="00E13E10">
        <w:t>/L.</w:t>
      </w:r>
      <w:r w:rsidR="00B90AF7">
        <w:t xml:space="preserve"> </w:t>
      </w:r>
      <w:r w:rsidR="007B3AED">
        <w:t>LDV</w:t>
      </w:r>
      <w:r w:rsidRPr="00E13E10">
        <w:t xml:space="preserve"> </w:t>
      </w:r>
      <w:r w:rsidR="006862EF">
        <w:t>were</w:t>
      </w:r>
      <w:r w:rsidRPr="00E13E10">
        <w:t xml:space="preserve"> screened against a panel of human kinases</w:t>
      </w:r>
      <w:proofErr w:type="gramEnd"/>
      <w:r w:rsidRPr="00E13E10">
        <w:t>.</w:t>
      </w:r>
      <w:r w:rsidR="00B90AF7">
        <w:t xml:space="preserve"> </w:t>
      </w:r>
      <w:r w:rsidRPr="00E13E10">
        <w:t xml:space="preserve">Weak competition for binding was detected for </w:t>
      </w:r>
      <w:proofErr w:type="spellStart"/>
      <w:r w:rsidRPr="00E13E10">
        <w:t>Bruton’s</w:t>
      </w:r>
      <w:proofErr w:type="spellEnd"/>
      <w:r w:rsidRPr="00E13E10">
        <w:t xml:space="preserve"> tyrosine kinase (BTK) at 0.1 µ</w:t>
      </w:r>
      <w:proofErr w:type="spellStart"/>
      <w:r w:rsidRPr="00E13E10">
        <w:t>mol</w:t>
      </w:r>
      <w:proofErr w:type="spellEnd"/>
      <w:r w:rsidRPr="00E13E10">
        <w:t xml:space="preserve">/L and </w:t>
      </w:r>
      <w:proofErr w:type="spellStart"/>
      <w:r w:rsidRPr="00E13E10">
        <w:t>homeodomain</w:t>
      </w:r>
      <w:proofErr w:type="spellEnd"/>
      <w:r w:rsidRPr="00E13E10">
        <w:t xml:space="preserve"> interacting protein kinase</w:t>
      </w:r>
      <w:r w:rsidR="003E288D">
        <w:t xml:space="preserve"> </w:t>
      </w:r>
      <w:r w:rsidRPr="00E13E10">
        <w:t>1 (HIPK1) at 1 µ</w:t>
      </w:r>
      <w:proofErr w:type="spellStart"/>
      <w:r w:rsidRPr="00E13E10">
        <w:t>mol</w:t>
      </w:r>
      <w:proofErr w:type="spellEnd"/>
      <w:r w:rsidRPr="00E13E10">
        <w:t>/L.</w:t>
      </w:r>
      <w:r w:rsidR="00B90AF7">
        <w:t xml:space="preserve"> </w:t>
      </w:r>
      <w:r w:rsidRPr="00E13E10">
        <w:t xml:space="preserve">The anticipated clinical </w:t>
      </w:r>
      <w:proofErr w:type="spellStart"/>
      <w:r w:rsidRPr="00E13E10">
        <w:t>Cmax</w:t>
      </w:r>
      <w:proofErr w:type="spellEnd"/>
      <w:r w:rsidRPr="00E13E10">
        <w:t xml:space="preserve"> is 409 </w:t>
      </w:r>
      <w:proofErr w:type="spellStart"/>
      <w:r w:rsidRPr="00E13E10">
        <w:t>nmol</w:t>
      </w:r>
      <w:proofErr w:type="spellEnd"/>
      <w:r w:rsidRPr="00E13E10">
        <w:t xml:space="preserve">/L with an unbound concentration </w:t>
      </w:r>
      <w:proofErr w:type="gramStart"/>
      <w:r w:rsidRPr="00E13E10">
        <w:t>of a</w:t>
      </w:r>
      <w:r w:rsidR="006862EF">
        <w:t xml:space="preserve">pproximately 0.2 </w:t>
      </w:r>
      <w:proofErr w:type="spellStart"/>
      <w:r w:rsidR="006862EF">
        <w:t>nmol</w:t>
      </w:r>
      <w:proofErr w:type="spellEnd"/>
      <w:r w:rsidR="006862EF">
        <w:t>/L</w:t>
      </w:r>
      <w:proofErr w:type="gramEnd"/>
      <w:r w:rsidR="006862EF">
        <w:t xml:space="preserve"> so the</w:t>
      </w:r>
      <w:r w:rsidRPr="00E13E10">
        <w:t xml:space="preserve"> interactions are unlikely to have any clinical relevance.</w:t>
      </w:r>
    </w:p>
    <w:p w:rsidR="00E13E10" w:rsidRPr="004B17E0" w:rsidRDefault="00E13E10" w:rsidP="00084458">
      <w:pPr>
        <w:pStyle w:val="Heading5"/>
      </w:pPr>
      <w:r w:rsidRPr="004B17E0">
        <w:t>Activity against other viruses</w:t>
      </w:r>
    </w:p>
    <w:p w:rsidR="00E13E10" w:rsidRPr="00E13E10" w:rsidRDefault="007B3AED" w:rsidP="00084458">
      <w:r>
        <w:t>LDV</w:t>
      </w:r>
      <w:r w:rsidR="00E13E10" w:rsidRPr="00E13E10">
        <w:t xml:space="preserve"> was tested for antiviral activity against RSV, HBV, HIV-1, HRV, influenza A and B, and a panel of </w:t>
      </w:r>
      <w:proofErr w:type="spellStart"/>
      <w:r w:rsidR="00E13E10" w:rsidRPr="00E13E10">
        <w:t>flaviviruses</w:t>
      </w:r>
      <w:proofErr w:type="spellEnd"/>
      <w:r w:rsidR="00E13E10" w:rsidRPr="00E13E10">
        <w:t xml:space="preserve"> (bovine viral diarrhoea virus, West Nile virus, yellow fever virus, dengue virus, and banzai virus).</w:t>
      </w:r>
      <w:r w:rsidR="00B90AF7">
        <w:t xml:space="preserve"> </w:t>
      </w:r>
      <w:r>
        <w:t>LDV</w:t>
      </w:r>
      <w:r w:rsidR="00E13E10" w:rsidRPr="00E13E10">
        <w:t xml:space="preserve"> showed no significant antiviral activity against any of the other viruses at the highest concentration tested or the highest concentration without cytotoxicity</w:t>
      </w:r>
    </w:p>
    <w:p w:rsidR="00E13E10" w:rsidRPr="003F7BAD" w:rsidRDefault="00E13E10" w:rsidP="00E13E10">
      <w:pPr>
        <w:pStyle w:val="Heading5"/>
      </w:pPr>
      <w:r w:rsidRPr="003F7BAD">
        <w:t>In vitro cytotoxicity</w:t>
      </w:r>
    </w:p>
    <w:p w:rsidR="00E13E10" w:rsidRPr="00E13E10" w:rsidRDefault="00E13E10" w:rsidP="00E13E10">
      <w:r w:rsidRPr="00E13E10">
        <w:t xml:space="preserve">The cytotoxicity of </w:t>
      </w:r>
      <w:r w:rsidR="007B3AED">
        <w:t>LDV</w:t>
      </w:r>
      <w:r w:rsidRPr="00E13E10">
        <w:t xml:space="preserve"> was evaluated in a number of cell lines.</w:t>
      </w:r>
      <w:r w:rsidR="00B90AF7">
        <w:t xml:space="preserve"> </w:t>
      </w:r>
      <w:r w:rsidRPr="00E13E10">
        <w:t>In some cell lines no cytotoxicity was observed at the highest concentrations tested but measurable cytotoxicity occurred in some lines.</w:t>
      </w:r>
      <w:r w:rsidR="00B90AF7">
        <w:t xml:space="preserve"> </w:t>
      </w:r>
      <w:r w:rsidRPr="00E13E10">
        <w:t>CC50 values ranged from &gt;50 µ</w:t>
      </w:r>
      <w:proofErr w:type="spellStart"/>
      <w:r w:rsidRPr="00E13E10">
        <w:t>mol</w:t>
      </w:r>
      <w:proofErr w:type="spellEnd"/>
      <w:r w:rsidRPr="00E13E10">
        <w:t>/L (Huh-7 cells) to ~3 µ</w:t>
      </w:r>
      <w:proofErr w:type="spellStart"/>
      <w:r w:rsidRPr="00E13E10">
        <w:t>mol</w:t>
      </w:r>
      <w:proofErr w:type="spellEnd"/>
      <w:r w:rsidRPr="00E13E10">
        <w:t>/L (MT-4 cells).</w:t>
      </w:r>
      <w:r w:rsidR="00B90AF7">
        <w:t xml:space="preserve"> </w:t>
      </w:r>
      <w:r w:rsidRPr="00E13E10">
        <w:t xml:space="preserve">The Selectivity Index (CC50 divided by EC50) of </w:t>
      </w:r>
      <w:r w:rsidR="007B3AED">
        <w:t>LDV</w:t>
      </w:r>
      <w:r w:rsidRPr="00E13E10">
        <w:t xml:space="preserve"> in GT 1a replicon assays was &gt; 837,000 and in GT 1b assays &gt; 10,829,000 in Huh cells.</w:t>
      </w:r>
    </w:p>
    <w:p w:rsidR="00E13E10" w:rsidRPr="00F91067" w:rsidRDefault="00E13E10" w:rsidP="00E13E10">
      <w:pPr>
        <w:pStyle w:val="Heading5"/>
      </w:pPr>
      <w:r w:rsidRPr="00F91067">
        <w:t>Safety pharmacology</w:t>
      </w:r>
    </w:p>
    <w:p w:rsidR="00E13E10" w:rsidRPr="00E13E10" w:rsidRDefault="00E13E10" w:rsidP="00E13E10">
      <w:r w:rsidRPr="00E13E10">
        <w:t xml:space="preserve">Safety studies covered </w:t>
      </w:r>
      <w:proofErr w:type="spellStart"/>
      <w:r w:rsidRPr="00E13E10">
        <w:t>hERG</w:t>
      </w:r>
      <w:proofErr w:type="spellEnd"/>
      <w:r w:rsidRPr="00E13E10">
        <w:t xml:space="preserve"> channel inhibition </w:t>
      </w:r>
      <w:r w:rsidRPr="006262BD">
        <w:rPr>
          <w:i/>
        </w:rPr>
        <w:t>in vitro</w:t>
      </w:r>
      <w:r w:rsidRPr="00E13E10">
        <w:t xml:space="preserve"> and cardiovascular, respiratory and CNS studies </w:t>
      </w:r>
      <w:r w:rsidRPr="006262BD">
        <w:rPr>
          <w:i/>
        </w:rPr>
        <w:t>in vivo</w:t>
      </w:r>
      <w:r w:rsidRPr="00E13E10">
        <w:t>.</w:t>
      </w:r>
      <w:r w:rsidR="00B90AF7">
        <w:t xml:space="preserve"> </w:t>
      </w:r>
      <w:r w:rsidR="007B3AED">
        <w:t>LDV</w:t>
      </w:r>
      <w:r w:rsidRPr="00E13E10">
        <w:t xml:space="preserve"> had no effect of </w:t>
      </w:r>
      <w:proofErr w:type="spellStart"/>
      <w:r w:rsidRPr="00E13E10">
        <w:t>hERG</w:t>
      </w:r>
      <w:proofErr w:type="spellEnd"/>
      <w:r w:rsidRPr="00E13E10">
        <w:t xml:space="preserve"> currents at the highest concentration tested (0.5 µ</w:t>
      </w:r>
      <w:proofErr w:type="spellStart"/>
      <w:r w:rsidRPr="00E13E10">
        <w:t>mol</w:t>
      </w:r>
      <w:proofErr w:type="spellEnd"/>
      <w:r w:rsidRPr="00E13E10">
        <w:t>/L).</w:t>
      </w:r>
      <w:r w:rsidR="00B90AF7">
        <w:t xml:space="preserve"> </w:t>
      </w:r>
      <w:r w:rsidRPr="00E13E10">
        <w:t xml:space="preserve">Single doses of </w:t>
      </w:r>
      <w:r w:rsidR="007B3AED">
        <w:t>LDV</w:t>
      </w:r>
      <w:r w:rsidRPr="00E13E10">
        <w:t xml:space="preserve"> up to 30 mg/kg had no effect on any cardiovascular parameters in dogs. Single doses of </w:t>
      </w:r>
      <w:r w:rsidR="007B3AED">
        <w:t>LDV</w:t>
      </w:r>
      <w:r w:rsidRPr="00E13E10">
        <w:t xml:space="preserve"> up to 100 mg/kg had no effect on any CNS or respiratory parameters in rats.</w:t>
      </w:r>
    </w:p>
    <w:p w:rsidR="008E7846" w:rsidRDefault="008E7846" w:rsidP="008E7846">
      <w:pPr>
        <w:pStyle w:val="Heading3"/>
      </w:pPr>
      <w:bookmarkStart w:id="45" w:name="_Toc247691513"/>
      <w:bookmarkStart w:id="46" w:name="_Toc314842497"/>
      <w:bookmarkStart w:id="47" w:name="_Toc432073723"/>
      <w:r>
        <w:t>Pharmacokinetics</w:t>
      </w:r>
      <w:bookmarkEnd w:id="45"/>
      <w:bookmarkEnd w:id="46"/>
      <w:bookmarkEnd w:id="47"/>
    </w:p>
    <w:p w:rsidR="00614BB8" w:rsidRDefault="00614BB8" w:rsidP="00614BB8">
      <w:pPr>
        <w:pStyle w:val="Heading4"/>
      </w:pPr>
      <w:bookmarkStart w:id="48" w:name="_Toc247691514"/>
      <w:bookmarkStart w:id="49" w:name="_Toc314842498"/>
      <w:r>
        <w:t>Absorption</w:t>
      </w:r>
    </w:p>
    <w:p w:rsidR="00614BB8" w:rsidRDefault="00614BB8" w:rsidP="00614BB8">
      <w:r w:rsidRPr="00614BB8">
        <w:t>Rates of oral absorption were similar across rats, dogs and monkeys (</w:t>
      </w:r>
      <w:proofErr w:type="spellStart"/>
      <w:r w:rsidRPr="00614BB8">
        <w:t>Tmax</w:t>
      </w:r>
      <w:proofErr w:type="spellEnd"/>
      <w:r>
        <w:t xml:space="preserve"> 4-</w:t>
      </w:r>
      <w:r w:rsidRPr="00614BB8">
        <w:t>4.7 h). Systemic clearance was low in these species and less than 12% of hepatic blood flow indicative of low metabolic conversion. Volumes of distribution in these species were greater than total body water indicting wide tissue distribution. Bioavailability was moderate in rats (32.5 %) and somewhat higher in dogs (53%) and monkeys (42 %).</w:t>
      </w:r>
      <w:r w:rsidR="00B90AF7">
        <w:t xml:space="preserve"> </w:t>
      </w:r>
      <w:r w:rsidRPr="00614BB8">
        <w:t>Increases in exposure were mostly less than dose</w:t>
      </w:r>
      <w:r w:rsidR="00E623C8">
        <w:t xml:space="preserve"> </w:t>
      </w:r>
      <w:r w:rsidRPr="00614BB8">
        <w:t>proporti</w:t>
      </w:r>
      <w:r w:rsidR="00E623C8">
        <w:t xml:space="preserve">onal in rats and generally dose </w:t>
      </w:r>
      <w:r w:rsidRPr="00614BB8">
        <w:t>proportional in mice and dogs. No significant sex differences in exposure were seen in non-clinical species and the propensity to accumulate with repeat</w:t>
      </w:r>
      <w:r w:rsidR="00E623C8">
        <w:t xml:space="preserve"> </w:t>
      </w:r>
      <w:r w:rsidRPr="00614BB8">
        <w:t>dosing was low. Plasma half-li</w:t>
      </w:r>
      <w:r w:rsidR="00E623C8">
        <w:t>fe ranged from 4.7 to 10.3 h</w:t>
      </w:r>
      <w:r w:rsidRPr="00614BB8">
        <w:t xml:space="preserve"> in rats, dogs, and monkeys in single dose studies.</w:t>
      </w:r>
      <w:r w:rsidRPr="00614BB8">
        <w:br/>
        <w:t xml:space="preserve">Distribution: Plasma protein binding by </w:t>
      </w:r>
      <w:r w:rsidR="007B3AED">
        <w:t>LDV</w:t>
      </w:r>
      <w:r w:rsidRPr="00614BB8">
        <w:t xml:space="preserve"> was high in humans and laboratory animal species with less than 1% free in all species tested. The free fraction was estimated to be around 0.05% in humans.</w:t>
      </w:r>
      <w:r w:rsidR="00B90AF7">
        <w:t xml:space="preserve"> </w:t>
      </w:r>
      <w:r w:rsidRPr="00614BB8">
        <w:t xml:space="preserve">Tissue distribution in mice and rats after PO administration of radiolabelled </w:t>
      </w:r>
      <w:r w:rsidR="007B3AED">
        <w:t>LDV</w:t>
      </w:r>
      <w:r w:rsidRPr="00614BB8">
        <w:t xml:space="preserve"> was rapid and wide and the liver was among the organs with the highest levels of radioactivity following oral 14C-</w:t>
      </w:r>
      <w:r w:rsidR="007B3AED">
        <w:t>LDV</w:t>
      </w:r>
      <w:r w:rsidRPr="00614BB8">
        <w:t xml:space="preserve"> in tissue distribution studies in male mice and rats. CNS penetration was low in mice and rats indicating little ability to cross the blood-brain barrier. Both brain and testes were among the organs with lowest </w:t>
      </w:r>
      <w:r w:rsidRPr="00614BB8">
        <w:lastRenderedPageBreak/>
        <w:t>radioactivity levels in these studies. No affinity for melanin was detected in Long Evans rats.</w:t>
      </w:r>
    </w:p>
    <w:p w:rsidR="00614BB8" w:rsidRDefault="00614BB8" w:rsidP="00614BB8">
      <w:pPr>
        <w:pStyle w:val="Heading4"/>
      </w:pPr>
      <w:r>
        <w:t>Metabolism</w:t>
      </w:r>
    </w:p>
    <w:p w:rsidR="00614BB8" w:rsidRDefault="007B3AED" w:rsidP="00614BB8">
      <w:r>
        <w:t>LDV</w:t>
      </w:r>
      <w:r w:rsidR="00614BB8" w:rsidRPr="00614BB8">
        <w:t xml:space="preserve"> displayed minimal metabolism in isolated hepatocytes and in whole animal studies. There were no majo</w:t>
      </w:r>
      <w:r w:rsidR="00B80643">
        <w:t>r metabolites identified in non</w:t>
      </w:r>
      <w:r w:rsidR="00614BB8" w:rsidRPr="00614BB8">
        <w:t>clinical species or in humans. Unchanged drug was the domi</w:t>
      </w:r>
      <w:r w:rsidR="00817667">
        <w:t>nant circulating species in non</w:t>
      </w:r>
      <w:r w:rsidR="00614BB8" w:rsidRPr="00614BB8">
        <w:t xml:space="preserve">clinical species and humans and accounted for 70 % of </w:t>
      </w:r>
      <w:proofErr w:type="spellStart"/>
      <w:r w:rsidR="00614BB8" w:rsidRPr="00614BB8">
        <w:t>faecally</w:t>
      </w:r>
      <w:proofErr w:type="spellEnd"/>
      <w:r w:rsidR="00614BB8" w:rsidRPr="00614BB8">
        <w:t xml:space="preserve"> excreted radioactivity in humans. Based on </w:t>
      </w:r>
      <w:r w:rsidR="00614BB8" w:rsidRPr="00817667">
        <w:rPr>
          <w:i/>
        </w:rPr>
        <w:t>in vitro</w:t>
      </w:r>
      <w:r w:rsidR="00614BB8" w:rsidRPr="00614BB8">
        <w:t xml:space="preserve"> studies with human liver </w:t>
      </w:r>
      <w:proofErr w:type="spellStart"/>
      <w:r w:rsidR="00614BB8" w:rsidRPr="00614BB8">
        <w:t>microsomes</w:t>
      </w:r>
      <w:proofErr w:type="spellEnd"/>
      <w:r w:rsidR="00614BB8" w:rsidRPr="00614BB8">
        <w:t xml:space="preserve"> </w:t>
      </w:r>
      <w:r>
        <w:t>LDV</w:t>
      </w:r>
      <w:r w:rsidR="00614BB8" w:rsidRPr="00614BB8">
        <w:t xml:space="preserve"> is unlikely to be metabolised by cytochrome P450 enzymes. The enzymes tested were CYP1A2, 2B6, 2C8, 2C9, 2C19, 2D6, and 3A4. Results showed IC50 values greater than 25 µ</w:t>
      </w:r>
      <w:proofErr w:type="spellStart"/>
      <w:r w:rsidR="00614BB8" w:rsidRPr="00614BB8">
        <w:t>mol</w:t>
      </w:r>
      <w:proofErr w:type="spellEnd"/>
      <w:r w:rsidR="00614BB8" w:rsidRPr="00614BB8">
        <w:t xml:space="preserve">/L with all CYPs except 3A4 with testosterone (IC50 = 9.9 </w:t>
      </w:r>
      <w:proofErr w:type="spellStart"/>
      <w:r w:rsidR="00614BB8" w:rsidRPr="00614BB8">
        <w:t>μmol</w:t>
      </w:r>
      <w:proofErr w:type="spellEnd"/>
      <w:r w:rsidR="00614BB8" w:rsidRPr="00614BB8">
        <w:t xml:space="preserve">/L) but the metabolism of midazolam was again very low (IC50 &gt; 25 </w:t>
      </w:r>
      <w:proofErr w:type="spellStart"/>
      <w:r w:rsidR="00614BB8" w:rsidRPr="00614BB8">
        <w:t>μmol</w:t>
      </w:r>
      <w:proofErr w:type="spellEnd"/>
      <w:r w:rsidR="00614BB8" w:rsidRPr="00614BB8">
        <w:t xml:space="preserve">/L) indicating that CYP3A4 is unlikely to be significantly involved in </w:t>
      </w:r>
      <w:r>
        <w:t>LDV</w:t>
      </w:r>
      <w:r w:rsidR="00614BB8" w:rsidRPr="00614BB8">
        <w:t xml:space="preserve"> metabolism.</w:t>
      </w:r>
    </w:p>
    <w:p w:rsidR="00614BB8" w:rsidRDefault="00614BB8" w:rsidP="00614BB8">
      <w:pPr>
        <w:pStyle w:val="Heading4"/>
      </w:pPr>
      <w:r>
        <w:t>Excretion</w:t>
      </w:r>
    </w:p>
    <w:p w:rsidR="00614BB8" w:rsidRDefault="00614BB8" w:rsidP="00614BB8">
      <w:r w:rsidRPr="00614BB8">
        <w:t xml:space="preserve">Excretion of </w:t>
      </w:r>
      <w:r w:rsidR="007B3AED">
        <w:t>LDV</w:t>
      </w:r>
      <w:r w:rsidRPr="00614BB8">
        <w:t xml:space="preserve"> was almost exclusively via the faecal route in humans and laboratory species (less than 0.9 % renal excretion in laboratory species). Biliary excretion was confirmed following IV </w:t>
      </w:r>
      <w:r w:rsidR="007B3AED">
        <w:t>LDV</w:t>
      </w:r>
      <w:r w:rsidRPr="00614BB8">
        <w:t xml:space="preserve"> in bile duct-</w:t>
      </w:r>
      <w:proofErr w:type="spellStart"/>
      <w:r w:rsidRPr="00614BB8">
        <w:t>cannulated</w:t>
      </w:r>
      <w:proofErr w:type="spellEnd"/>
      <w:r w:rsidRPr="00614BB8">
        <w:t xml:space="preserve"> dogs.</w:t>
      </w:r>
    </w:p>
    <w:p w:rsidR="00614BB8" w:rsidRPr="00614BB8" w:rsidRDefault="00614BB8" w:rsidP="00614BB8">
      <w:pPr>
        <w:pStyle w:val="Heading4"/>
      </w:pPr>
      <w:r w:rsidRPr="00614BB8">
        <w:t>Conclusion</w:t>
      </w:r>
    </w:p>
    <w:p w:rsidR="00614BB8" w:rsidRPr="00614BB8" w:rsidRDefault="00614BB8" w:rsidP="00614BB8">
      <w:r w:rsidRPr="00614BB8">
        <w:t>The pharmacokinetic profiles in the laboratory animal species (particularly those used in the pivotal repeat-dose toxicity studies) were sufficiently similar to allow them to serve as appropriate models for the assessment of drug toxicity in humans.</w:t>
      </w:r>
    </w:p>
    <w:p w:rsidR="00614BB8" w:rsidRPr="001258AE" w:rsidRDefault="00614BB8" w:rsidP="000B7AD2">
      <w:pPr>
        <w:pStyle w:val="Heading4"/>
      </w:pPr>
      <w:bookmarkStart w:id="50" w:name="_Toc294861725"/>
      <w:r w:rsidRPr="001258AE">
        <w:t>Pharmacokinetic drug interactions</w:t>
      </w:r>
      <w:bookmarkEnd w:id="50"/>
    </w:p>
    <w:p w:rsidR="00614BB8" w:rsidRPr="00614BB8" w:rsidRDefault="00614BB8" w:rsidP="00614BB8">
      <w:r w:rsidRPr="00614BB8">
        <w:t xml:space="preserve">These results were consistent with the investigation of the potential for </w:t>
      </w:r>
      <w:r w:rsidR="007B3AED">
        <w:t>LDV</w:t>
      </w:r>
      <w:r w:rsidRPr="00614BB8">
        <w:t xml:space="preserve"> to activate </w:t>
      </w:r>
      <w:proofErr w:type="spellStart"/>
      <w:r w:rsidRPr="00614BB8">
        <w:t>AhR</w:t>
      </w:r>
      <w:proofErr w:type="spellEnd"/>
      <w:r w:rsidRPr="00614BB8">
        <w:t xml:space="preserve"> and PXR which showed no activation of </w:t>
      </w:r>
      <w:proofErr w:type="spellStart"/>
      <w:r w:rsidRPr="00614BB8">
        <w:t>AhR</w:t>
      </w:r>
      <w:proofErr w:type="spellEnd"/>
      <w:r w:rsidRPr="00614BB8">
        <w:t xml:space="preserve"> and activation lower than the weakest inducer tested against PXR at high </w:t>
      </w:r>
      <w:r w:rsidR="007B3AED">
        <w:t>LDV</w:t>
      </w:r>
      <w:r w:rsidRPr="00614BB8">
        <w:t xml:space="preserve"> concentrations. Similarly</w:t>
      </w:r>
      <w:r w:rsidR="00B80643">
        <w:t>,</w:t>
      </w:r>
      <w:r w:rsidRPr="00614BB8">
        <w:t xml:space="preserve"> UGT1A1 had an IC50 value </w:t>
      </w:r>
      <w:proofErr w:type="gramStart"/>
      <w:r w:rsidRPr="00614BB8">
        <w:t xml:space="preserve">of 7.95 </w:t>
      </w:r>
      <w:proofErr w:type="spellStart"/>
      <w:r w:rsidRPr="00614BB8">
        <w:t>μmol</w:t>
      </w:r>
      <w:proofErr w:type="spellEnd"/>
      <w:r w:rsidRPr="00614BB8">
        <w:t>/L</w:t>
      </w:r>
      <w:proofErr w:type="gramEnd"/>
      <w:r w:rsidRPr="00614BB8">
        <w:t xml:space="preserve"> and is therefore not expected to be inhibited by </w:t>
      </w:r>
      <w:r w:rsidR="007B3AED">
        <w:t>LDV</w:t>
      </w:r>
      <w:r w:rsidRPr="00614BB8">
        <w:t xml:space="preserve"> clinically. </w:t>
      </w:r>
      <w:r w:rsidR="007B3AED">
        <w:t>LDV</w:t>
      </w:r>
      <w:r w:rsidRPr="00614BB8">
        <w:t xml:space="preserve"> showed no potential to induce CYPs 1A2 and 2C9 or UGT1A1 or </w:t>
      </w:r>
      <w:proofErr w:type="spellStart"/>
      <w:r w:rsidRPr="00614BB8">
        <w:t>Pgp</w:t>
      </w:r>
      <w:proofErr w:type="spellEnd"/>
      <w:r w:rsidRPr="00614BB8">
        <w:t xml:space="preserve">. There were small increases in activity of CYP2B6 and CYP3A4 (&lt;2-fold) and increases in CYP2B6 and CYP3A4 mRNA were ≤10 % of positive control but these effects were at concentrations between 1 and 10 </w:t>
      </w:r>
      <w:proofErr w:type="spellStart"/>
      <w:r w:rsidRPr="00614BB8">
        <w:t>μmol</w:t>
      </w:r>
      <w:proofErr w:type="spellEnd"/>
      <w:r w:rsidRPr="00614BB8">
        <w:t xml:space="preserve">/L and are not expected to be clinically relevant. </w:t>
      </w:r>
      <w:r w:rsidR="007B3AED">
        <w:t>LDV</w:t>
      </w:r>
      <w:r w:rsidRPr="00614BB8">
        <w:t xml:space="preserve"> has the potential to inhibit efflux transport of </w:t>
      </w:r>
      <w:proofErr w:type="spellStart"/>
      <w:r w:rsidRPr="00614BB8">
        <w:t>Pgp</w:t>
      </w:r>
      <w:proofErr w:type="spellEnd"/>
      <w:r w:rsidRPr="00614BB8">
        <w:t xml:space="preserve"> and BCRP substrates during intestinal absorption with dose-dependent inhibition approaching 50% inhibition at 1 </w:t>
      </w:r>
      <w:proofErr w:type="spellStart"/>
      <w:r w:rsidRPr="00614BB8">
        <w:t>μmol</w:t>
      </w:r>
      <w:proofErr w:type="spellEnd"/>
      <w:r w:rsidRPr="00614BB8">
        <w:t xml:space="preserve">/L. Since </w:t>
      </w:r>
      <w:r w:rsidR="0063513E">
        <w:t>SOF</w:t>
      </w:r>
      <w:r w:rsidRPr="00614BB8">
        <w:t xml:space="preserve"> is transported by P-</w:t>
      </w:r>
      <w:proofErr w:type="spellStart"/>
      <w:r w:rsidRPr="00614BB8">
        <w:t>gp</w:t>
      </w:r>
      <w:proofErr w:type="spellEnd"/>
      <w:r w:rsidRPr="00614BB8">
        <w:t xml:space="preserve"> the combination with </w:t>
      </w:r>
      <w:r w:rsidR="007B3AED">
        <w:t>LDV</w:t>
      </w:r>
      <w:r w:rsidRPr="00614BB8">
        <w:t xml:space="preserve"> may lead to increases in </w:t>
      </w:r>
      <w:r w:rsidR="0063513E">
        <w:t>SOF</w:t>
      </w:r>
      <w:r w:rsidRPr="00614BB8">
        <w:t xml:space="preserve"> intestinal absorption compared to </w:t>
      </w:r>
      <w:proofErr w:type="spellStart"/>
      <w:r w:rsidRPr="00614BB8">
        <w:t>monotherapy</w:t>
      </w:r>
      <w:proofErr w:type="spellEnd"/>
      <w:r w:rsidRPr="00614BB8">
        <w:t xml:space="preserve"> with </w:t>
      </w:r>
      <w:r w:rsidR="0063513E">
        <w:t>SOF</w:t>
      </w:r>
      <w:r w:rsidRPr="00614BB8">
        <w:t xml:space="preserve">. Since both drugs are substrates for intestinal efflux transporters the absorption of both </w:t>
      </w:r>
      <w:r w:rsidR="0063513E">
        <w:t>SOF</w:t>
      </w:r>
      <w:r w:rsidRPr="00614BB8">
        <w:t xml:space="preserve"> and </w:t>
      </w:r>
      <w:r w:rsidR="007B3AED">
        <w:t>LDV</w:t>
      </w:r>
      <w:r w:rsidRPr="00614BB8">
        <w:t xml:space="preserve"> may be increased by concomitant administration of inhibitor drugs or decreased by administration of inducer drugs. </w:t>
      </w:r>
      <w:r w:rsidR="007B3AED">
        <w:t>LDV</w:t>
      </w:r>
      <w:r w:rsidRPr="00614BB8">
        <w:t xml:space="preserve"> is an inhibitor of transporters OATP1B1, OATP1B3 and BSEP only at concentrations exceeding those achieved in plasma in the cli</w:t>
      </w:r>
      <w:r w:rsidR="00B80643">
        <w:t xml:space="preserve">nic (IC50 values 3.5, 6.5 and </w:t>
      </w:r>
      <w:proofErr w:type="gramStart"/>
      <w:r w:rsidR="00B80643">
        <w:t xml:space="preserve">6 </w:t>
      </w:r>
      <w:proofErr w:type="spellStart"/>
      <w:r w:rsidRPr="00614BB8">
        <w:t>μmol</w:t>
      </w:r>
      <w:proofErr w:type="spellEnd"/>
      <w:r w:rsidRPr="00614BB8">
        <w:t>/L, respectively</w:t>
      </w:r>
      <w:proofErr w:type="gramEnd"/>
      <w:r w:rsidRPr="00614BB8">
        <w:t xml:space="preserve">) therefore no clinically relevant inhibition of transporters in systemic circulation in anticipated at anticipated clinical </w:t>
      </w:r>
      <w:r w:rsidR="007B3AED">
        <w:t>LDV</w:t>
      </w:r>
      <w:r w:rsidRPr="00614BB8">
        <w:t xml:space="preserve"> concentrations.</w:t>
      </w:r>
    </w:p>
    <w:p w:rsidR="001B5C90" w:rsidRDefault="008E7846" w:rsidP="001B5C90">
      <w:pPr>
        <w:pStyle w:val="Heading3"/>
      </w:pPr>
      <w:bookmarkStart w:id="51" w:name="_Toc432073724"/>
      <w:r>
        <w:t>Toxicology</w:t>
      </w:r>
      <w:bookmarkEnd w:id="48"/>
      <w:bookmarkEnd w:id="49"/>
      <w:bookmarkEnd w:id="51"/>
    </w:p>
    <w:p w:rsidR="000B7AD2" w:rsidRDefault="000B7AD2" w:rsidP="000B7AD2">
      <w:pPr>
        <w:pStyle w:val="Heading4"/>
      </w:pPr>
      <w:bookmarkStart w:id="52" w:name="_Toc294861727"/>
      <w:r w:rsidRPr="001258AE">
        <w:t>Acute toxicity</w:t>
      </w:r>
      <w:bookmarkEnd w:id="52"/>
    </w:p>
    <w:p w:rsidR="009203E1" w:rsidRDefault="000B7AD2" w:rsidP="000B7AD2">
      <w:r w:rsidRPr="000B7AD2">
        <w:t>No single</w:t>
      </w:r>
      <w:r w:rsidR="009331EB">
        <w:t xml:space="preserve"> </w:t>
      </w:r>
      <w:r w:rsidRPr="000B7AD2">
        <w:t xml:space="preserve">dose toxicity studies with </w:t>
      </w:r>
      <w:r w:rsidR="007B3AED">
        <w:t>LDV</w:t>
      </w:r>
      <w:r w:rsidRPr="000B7AD2">
        <w:t xml:space="preserve"> or </w:t>
      </w:r>
      <w:r w:rsidR="007B3AED">
        <w:t>LDV</w:t>
      </w:r>
      <w:r w:rsidRPr="000B7AD2">
        <w:t xml:space="preserve"> and </w:t>
      </w:r>
      <w:r w:rsidR="0063513E">
        <w:t>SOF</w:t>
      </w:r>
      <w:r w:rsidRPr="000B7AD2">
        <w:t xml:space="preserve"> in combination were submitted</w:t>
      </w:r>
      <w:r w:rsidR="009203E1">
        <w:t>.</w:t>
      </w:r>
    </w:p>
    <w:p w:rsidR="000B7AD2" w:rsidRDefault="000B7AD2" w:rsidP="000B7AD2">
      <w:pPr>
        <w:pStyle w:val="Heading4"/>
      </w:pPr>
      <w:bookmarkStart w:id="53" w:name="_Toc294861728"/>
      <w:r w:rsidRPr="001258AE">
        <w:lastRenderedPageBreak/>
        <w:t>Repeat</w:t>
      </w:r>
      <w:r w:rsidR="009331EB">
        <w:t xml:space="preserve"> </w:t>
      </w:r>
      <w:r w:rsidRPr="001258AE">
        <w:t>dose toxicity</w:t>
      </w:r>
      <w:bookmarkEnd w:id="53"/>
    </w:p>
    <w:p w:rsidR="009203E1" w:rsidRDefault="000B7AD2" w:rsidP="000B7AD2">
      <w:r w:rsidRPr="000B7AD2">
        <w:t>Repeat</w:t>
      </w:r>
      <w:r w:rsidR="009331EB">
        <w:t xml:space="preserve"> </w:t>
      </w:r>
      <w:r w:rsidRPr="000B7AD2">
        <w:t xml:space="preserve">dose toxicity studies with </w:t>
      </w:r>
      <w:r w:rsidR="007B3AED">
        <w:t>LDV</w:t>
      </w:r>
      <w:r w:rsidRPr="000B7AD2">
        <w:t xml:space="preserve"> alone were conducted in three species: mouse, rat and dog. All studies were conducted using the clinical (oral) route.</w:t>
      </w:r>
      <w:r w:rsidR="00B90AF7">
        <w:t xml:space="preserve"> </w:t>
      </w:r>
      <w:r w:rsidRPr="000B7AD2">
        <w:t xml:space="preserve">The mouse study employed </w:t>
      </w:r>
      <w:r w:rsidR="007B3AED">
        <w:t>LDV</w:t>
      </w:r>
      <w:r w:rsidRPr="000B7AD2">
        <w:t xml:space="preserve"> acetone solvate, all other studies employed </w:t>
      </w:r>
      <w:r w:rsidR="007B3AED">
        <w:t>LDV</w:t>
      </w:r>
      <w:r w:rsidRPr="000B7AD2">
        <w:t xml:space="preserve"> free base.</w:t>
      </w:r>
      <w:r w:rsidR="00B90AF7">
        <w:t xml:space="preserve"> </w:t>
      </w:r>
      <w:r w:rsidRPr="000B7AD2">
        <w:t>The durations of the pivotal studies, the species used and the group sizes were consistent with ICH guidelines</w:t>
      </w:r>
      <w:r w:rsidR="009203E1">
        <w:t>.</w:t>
      </w:r>
    </w:p>
    <w:p w:rsidR="000B7AD2" w:rsidRPr="000B7AD2" w:rsidRDefault="000B7AD2" w:rsidP="000B7AD2">
      <w:pPr>
        <w:pStyle w:val="Heading5"/>
      </w:pPr>
      <w:r w:rsidRPr="000B7AD2">
        <w:t>Relative exposure</w:t>
      </w:r>
    </w:p>
    <w:p w:rsidR="000B7AD2" w:rsidRPr="000B7AD2" w:rsidRDefault="000B7AD2" w:rsidP="000B7AD2">
      <w:r w:rsidRPr="000B7AD2">
        <w:t xml:space="preserve">Exposure ratios have been calculated based on </w:t>
      </w:r>
      <w:proofErr w:type="spellStart"/>
      <w:r w:rsidRPr="000B7AD2">
        <w:t>animal</w:t>
      </w:r>
      <w:proofErr w:type="gramStart"/>
      <w:r w:rsidRPr="000B7AD2">
        <w:t>:human</w:t>
      </w:r>
      <w:proofErr w:type="spellEnd"/>
      <w:proofErr w:type="gramEnd"/>
      <w:r w:rsidRPr="000B7AD2">
        <w:t xml:space="preserve"> plasma AUC0–24 h</w:t>
      </w:r>
      <w:r w:rsidR="000C73CB">
        <w:t xml:space="preserve"> </w:t>
      </w:r>
      <w:r w:rsidR="009331EB">
        <w:t xml:space="preserve">and </w:t>
      </w:r>
      <w:proofErr w:type="spellStart"/>
      <w:r w:rsidR="009331EB">
        <w:t>Cmax</w:t>
      </w:r>
      <w:proofErr w:type="spellEnd"/>
      <w:r w:rsidR="009331EB">
        <w:t xml:space="preserve"> </w:t>
      </w:r>
      <w:r w:rsidR="000C73CB">
        <w:t>(Table 3)</w:t>
      </w:r>
      <w:r w:rsidRPr="000B7AD2">
        <w:t xml:space="preserve">. Human reference values are from clinical studies: P7977-0523, GS-US-337-0118, GS-US-337-0102, GS-US-337-0108, and GS-US-337-0109. Exposure ratios calculated based on AUC are considered low but adequate. The levels of the relative exposure are higher when considered in terms of </w:t>
      </w:r>
      <w:proofErr w:type="spellStart"/>
      <w:r w:rsidRPr="000B7AD2">
        <w:t>Cmax</w:t>
      </w:r>
      <w:proofErr w:type="spellEnd"/>
      <w:r w:rsidRPr="000B7AD2">
        <w:t>.</w:t>
      </w:r>
    </w:p>
    <w:p w:rsidR="00D515F4" w:rsidRDefault="00D515F4" w:rsidP="00084458">
      <w:pPr>
        <w:pStyle w:val="TableTitle"/>
      </w:pPr>
      <w:proofErr w:type="gramStart"/>
      <w:r>
        <w:t>Table 3:</w:t>
      </w:r>
      <w:r w:rsidRPr="004C5C28">
        <w:t xml:space="preserve"> </w:t>
      </w:r>
      <w:r w:rsidRPr="00D515F4">
        <w:t>Relative exposure in repeat-dose toxicity studies</w:t>
      </w:r>
      <w:r>
        <w:t>.</w:t>
      </w:r>
      <w:proofErr w:type="gramEnd"/>
    </w:p>
    <w:p w:rsidR="00C9747E" w:rsidRDefault="00E7629C" w:rsidP="000B7AD2">
      <w:r>
        <w:rPr>
          <w:noProof/>
          <w:lang w:eastAsia="en-AU"/>
        </w:rPr>
        <w:drawing>
          <wp:inline distT="0" distB="0" distL="0" distR="0" wp14:anchorId="6BD2FF2D" wp14:editId="189445C1">
            <wp:extent cx="4487853" cy="3133346"/>
            <wp:effectExtent l="0" t="0" r="8255" b="0"/>
            <wp:docPr id="6" name="Picture 6" descr="Table 3: Relative exposure in repeat-dose toxici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88357" cy="3133698"/>
                    </a:xfrm>
                    <a:prstGeom prst="rect">
                      <a:avLst/>
                    </a:prstGeom>
                  </pic:spPr>
                </pic:pic>
              </a:graphicData>
            </a:graphic>
          </wp:inline>
        </w:drawing>
      </w:r>
    </w:p>
    <w:p w:rsidR="002D0558" w:rsidRPr="0048573D" w:rsidRDefault="002D0558" w:rsidP="00084458">
      <w:pPr>
        <w:pStyle w:val="TableDescription"/>
      </w:pPr>
      <w:r w:rsidRPr="00D7327D">
        <w:rPr>
          <w:position w:val="-2"/>
          <w:vertAlign w:val="superscript"/>
        </w:rPr>
        <w:t>#</w:t>
      </w:r>
      <w:r>
        <w:t xml:space="preserve"> = </w:t>
      </w:r>
      <w:proofErr w:type="spellStart"/>
      <w:r>
        <w:t>animal</w:t>
      </w:r>
      <w:proofErr w:type="gramStart"/>
      <w:r>
        <w:t>:human</w:t>
      </w:r>
      <w:proofErr w:type="spellEnd"/>
      <w:proofErr w:type="gramEnd"/>
      <w:r>
        <w:t xml:space="preserve"> plasma AUC</w:t>
      </w:r>
      <w:r w:rsidRPr="00D7327D">
        <w:rPr>
          <w:vertAlign w:val="subscript"/>
        </w:rPr>
        <w:t>0–24</w:t>
      </w:r>
      <w:r w:rsidRPr="00D7327D">
        <w:rPr>
          <w:w w:val="50"/>
          <w:vertAlign w:val="subscript"/>
        </w:rPr>
        <w:t> </w:t>
      </w:r>
      <w:r w:rsidRPr="00D7327D">
        <w:rPr>
          <w:vertAlign w:val="subscript"/>
        </w:rPr>
        <w:t>h</w:t>
      </w:r>
      <w:r>
        <w:t xml:space="preserve"> or </w:t>
      </w:r>
      <w:proofErr w:type="spellStart"/>
      <w:r>
        <w:t>animal:human</w:t>
      </w:r>
      <w:proofErr w:type="spellEnd"/>
      <w:r>
        <w:t xml:space="preserve"> </w:t>
      </w:r>
      <w:proofErr w:type="spellStart"/>
      <w:r>
        <w:t>C</w:t>
      </w:r>
      <w:r w:rsidRPr="00555FDA">
        <w:rPr>
          <w:vertAlign w:val="subscript"/>
        </w:rPr>
        <w:t>max</w:t>
      </w:r>
      <w:proofErr w:type="spellEnd"/>
      <w:r>
        <w:t xml:space="preserve">; </w:t>
      </w:r>
      <w:r w:rsidRPr="006F322E">
        <w:rPr>
          <w:vertAlign w:val="superscript"/>
        </w:rPr>
        <w:t>†</w:t>
      </w:r>
      <w:r w:rsidR="004D34BD">
        <w:rPr>
          <w:vertAlign w:val="superscript"/>
        </w:rPr>
        <w:t xml:space="preserve"> </w:t>
      </w:r>
      <w:r w:rsidR="0040587F">
        <w:t>FDC</w:t>
      </w:r>
      <w:r>
        <w:t xml:space="preserve"> 400/90 mg </w:t>
      </w:r>
      <w:r w:rsidR="0063513E">
        <w:t>SOF</w:t>
      </w:r>
      <w:r>
        <w:t>/</w:t>
      </w:r>
      <w:r w:rsidR="007B3AED">
        <w:t>LDV</w:t>
      </w:r>
    </w:p>
    <w:p w:rsidR="000B7AD2" w:rsidRPr="0068453C" w:rsidRDefault="000B7AD2" w:rsidP="00D515F4">
      <w:pPr>
        <w:pStyle w:val="Heading5"/>
      </w:pPr>
      <w:r>
        <w:t>Major toxicities</w:t>
      </w:r>
    </w:p>
    <w:p w:rsidR="000B7AD2" w:rsidRPr="00C44C1C" w:rsidRDefault="000B7AD2" w:rsidP="00C44C1C">
      <w:r w:rsidRPr="00C44C1C">
        <w:t>The repeat</w:t>
      </w:r>
      <w:r w:rsidR="001313AC">
        <w:t xml:space="preserve"> </w:t>
      </w:r>
      <w:r w:rsidRPr="00C44C1C">
        <w:t xml:space="preserve">dose toxicity of </w:t>
      </w:r>
      <w:r w:rsidR="007B3AED">
        <w:t>LDV</w:t>
      </w:r>
      <w:r w:rsidRPr="00C44C1C">
        <w:t xml:space="preserve"> was low and no potentially serious organ toxicities were seen in any of the pivotal long</w:t>
      </w:r>
      <w:r w:rsidR="001313AC">
        <w:t xml:space="preserve"> </w:t>
      </w:r>
      <w:r w:rsidRPr="00C44C1C">
        <w:t xml:space="preserve">term toxicity studies. Sporadic elevations in ALT and ALP and in serum cholesterol and triglycerides were seen in rodents but no </w:t>
      </w:r>
      <w:proofErr w:type="spellStart"/>
      <w:r w:rsidRPr="00C44C1C">
        <w:t>histopathological</w:t>
      </w:r>
      <w:proofErr w:type="spellEnd"/>
      <w:r w:rsidRPr="00C44C1C">
        <w:t xml:space="preserve"> changes accompanied these observations. Elevated cholesterol was reported in a 2</w:t>
      </w:r>
      <w:r w:rsidR="004875D8">
        <w:t xml:space="preserve"> </w:t>
      </w:r>
      <w:r w:rsidRPr="00C44C1C">
        <w:t>week study in dogs (30 mg/kg/day) but not in the 39</w:t>
      </w:r>
      <w:r w:rsidR="001313AC">
        <w:t xml:space="preserve"> </w:t>
      </w:r>
      <w:r w:rsidRPr="00C44C1C">
        <w:t>week study at the same dose.</w:t>
      </w:r>
    </w:p>
    <w:p w:rsidR="000B7AD2" w:rsidRPr="00C44C1C" w:rsidRDefault="000B7AD2" w:rsidP="00C44C1C">
      <w:r w:rsidRPr="00C44C1C">
        <w:t>Increased adrenal gland weights were observed in rats (100 mg/kg/day) in several studies and increased liver weights were seen in females at the same dose in the 26</w:t>
      </w:r>
      <w:r w:rsidR="001313AC">
        <w:t xml:space="preserve"> </w:t>
      </w:r>
      <w:r w:rsidRPr="00C44C1C">
        <w:t>week study.</w:t>
      </w:r>
      <w:r w:rsidR="00B90AF7">
        <w:t xml:space="preserve"> </w:t>
      </w:r>
      <w:r w:rsidRPr="00C44C1C">
        <w:t xml:space="preserve">As there were no </w:t>
      </w:r>
      <w:proofErr w:type="spellStart"/>
      <w:r w:rsidRPr="00C44C1C">
        <w:t>histopathological</w:t>
      </w:r>
      <w:proofErr w:type="spellEnd"/>
      <w:r w:rsidRPr="00C44C1C">
        <w:t xml:space="preserve"> correlates it is not clear that these effects were adverse.</w:t>
      </w:r>
    </w:p>
    <w:p w:rsidR="009203E1" w:rsidRDefault="000B7AD2" w:rsidP="00C44C1C">
      <w:r w:rsidRPr="00C44C1C">
        <w:t>The lack of identified target organs for toxicity might be regarded as a shortcoming of the toxicity studies. In reply to the EMA Day 120 List of Questions on this point, the sponsor noted that 3 different form</w:t>
      </w:r>
      <w:r w:rsidR="00DB433D">
        <w:t>ul</w:t>
      </w:r>
      <w:r w:rsidRPr="00C44C1C">
        <w:t>ations were examined in mice, rats and rabbits, and the maximum feasible dose was tested in each species.</w:t>
      </w:r>
      <w:r w:rsidR="00B90AF7">
        <w:t xml:space="preserve"> </w:t>
      </w:r>
      <w:r w:rsidRPr="00C44C1C">
        <w:t>In dogs, bodyweights were adversely affected in the 2</w:t>
      </w:r>
      <w:r w:rsidR="001313AC">
        <w:t xml:space="preserve"> </w:t>
      </w:r>
      <w:r w:rsidRPr="00C44C1C">
        <w:t xml:space="preserve">week study, and additional </w:t>
      </w:r>
      <w:r w:rsidR="00C1767B" w:rsidRPr="00C44C1C">
        <w:t>form</w:t>
      </w:r>
      <w:r w:rsidR="00C1767B">
        <w:t>ul</w:t>
      </w:r>
      <w:r w:rsidR="00C1767B" w:rsidRPr="00C44C1C">
        <w:t>ations</w:t>
      </w:r>
      <w:r w:rsidRPr="00C44C1C">
        <w:t xml:space="preserve"> were not examined. The low </w:t>
      </w:r>
      <w:r w:rsidRPr="00C44C1C">
        <w:lastRenderedPageBreak/>
        <w:t xml:space="preserve">solubility of </w:t>
      </w:r>
      <w:r w:rsidR="007B3AED">
        <w:t>LDV</w:t>
      </w:r>
      <w:r w:rsidRPr="00C44C1C">
        <w:t xml:space="preserve"> precluded large increases in drug exposure by twice daily oral dosing, or </w:t>
      </w:r>
      <w:r w:rsidR="006B034F">
        <w:t>intravenous (</w:t>
      </w:r>
      <w:r w:rsidRPr="00C44C1C">
        <w:t>IV</w:t>
      </w:r>
      <w:r w:rsidR="006B034F">
        <w:t>)</w:t>
      </w:r>
      <w:r w:rsidRPr="00C44C1C">
        <w:t xml:space="preserve"> dosing</w:t>
      </w:r>
      <w:r w:rsidR="009203E1">
        <w:t>.</w:t>
      </w:r>
    </w:p>
    <w:p w:rsidR="000B7AD2" w:rsidRPr="0009429E" w:rsidRDefault="000B7AD2" w:rsidP="00D515F4">
      <w:pPr>
        <w:pStyle w:val="Heading5"/>
      </w:pPr>
      <w:r w:rsidRPr="0009429E">
        <w:t xml:space="preserve">Lack of toxicity studies with the </w:t>
      </w:r>
      <w:r w:rsidR="0063513E">
        <w:t>SOF</w:t>
      </w:r>
      <w:r w:rsidRPr="0009429E">
        <w:t>/</w:t>
      </w:r>
      <w:r w:rsidR="007B3AED">
        <w:t>LDV</w:t>
      </w:r>
      <w:r w:rsidRPr="0009429E">
        <w:t xml:space="preserve"> combination</w:t>
      </w:r>
    </w:p>
    <w:p w:rsidR="00D515F4" w:rsidRDefault="000B7AD2" w:rsidP="00D515F4">
      <w:r w:rsidRPr="00D515F4">
        <w:t xml:space="preserve">No toxicity studies with </w:t>
      </w:r>
      <w:r w:rsidR="007B3AED">
        <w:t>LDV</w:t>
      </w:r>
      <w:r w:rsidRPr="00D515F4">
        <w:t xml:space="preserve"> and </w:t>
      </w:r>
      <w:r w:rsidR="0063513E">
        <w:t>SOF</w:t>
      </w:r>
      <w:r w:rsidRPr="00D515F4">
        <w:t xml:space="preserve"> in combination were performed. The drugs target different non-structural HCV proteins, and the proposed </w:t>
      </w:r>
      <w:r w:rsidR="0063513E">
        <w:t>SOF</w:t>
      </w:r>
      <w:r w:rsidRPr="00D515F4">
        <w:t xml:space="preserve"> dose in the combination is the same as the currently approved dose. The sponsor provided the following justification for the absence of combination studies</w:t>
      </w:r>
      <w:r w:rsidR="00D515F4">
        <w:t>:</w:t>
      </w:r>
    </w:p>
    <w:p w:rsidR="00D515F4" w:rsidRPr="00D515F4" w:rsidRDefault="000B7AD2" w:rsidP="00D515F4">
      <w:pPr>
        <w:ind w:left="720"/>
        <w:rPr>
          <w:i/>
        </w:rPr>
      </w:pPr>
      <w:r w:rsidRPr="00D515F4">
        <w:rPr>
          <w:i/>
        </w:rPr>
        <w:t xml:space="preserve">Based on the well-defined toxicity profiles of the single agents, the combination of SOF and LDV is not anticipated to exacerbate known toxicities or </w:t>
      </w:r>
      <w:r w:rsidR="00D515F4" w:rsidRPr="00D515F4">
        <w:rPr>
          <w:i/>
        </w:rPr>
        <w:t>lead to new toxicities.</w:t>
      </w:r>
    </w:p>
    <w:p w:rsidR="004875D8" w:rsidRDefault="000B7AD2" w:rsidP="00D515F4">
      <w:r w:rsidRPr="00D515F4">
        <w:t xml:space="preserve">The ICH </w:t>
      </w:r>
      <w:proofErr w:type="gramStart"/>
      <w:r w:rsidRPr="00D515F4">
        <w:t>M3(</w:t>
      </w:r>
      <w:proofErr w:type="gramEnd"/>
      <w:r w:rsidRPr="00D515F4">
        <w:t>R2) Guidance for marketing authorization</w:t>
      </w:r>
      <w:r w:rsidR="00805EAD">
        <w:rPr>
          <w:rStyle w:val="FootnoteReference"/>
        </w:rPr>
        <w:footnoteReference w:id="1"/>
      </w:r>
      <w:r w:rsidRPr="00D515F4">
        <w:t xml:space="preserve"> states</w:t>
      </w:r>
      <w:r w:rsidR="004875D8">
        <w:t>:</w:t>
      </w:r>
    </w:p>
    <w:p w:rsidR="004875D8" w:rsidRPr="004875D8" w:rsidRDefault="000B7AD2" w:rsidP="004875D8">
      <w:pPr>
        <w:ind w:left="720"/>
        <w:rPr>
          <w:i/>
        </w:rPr>
      </w:pPr>
      <w:r w:rsidRPr="004875D8">
        <w:rPr>
          <w:i/>
        </w:rPr>
        <w:t>For most combinations which involve two late stage entities and for which there is adequate clinical experience with co-administration, combination studies would generally not be recommended to support clinical studies or marketing unless there is suf</w:t>
      </w:r>
      <w:r w:rsidR="004875D8" w:rsidRPr="004875D8">
        <w:rPr>
          <w:i/>
        </w:rPr>
        <w:t>ficient toxicological concern.</w:t>
      </w:r>
    </w:p>
    <w:p w:rsidR="00015F24" w:rsidRDefault="000B7AD2" w:rsidP="00D515F4">
      <w:r w:rsidRPr="00D515F4">
        <w:t xml:space="preserve">The associated ICH </w:t>
      </w:r>
      <w:proofErr w:type="gramStart"/>
      <w:r w:rsidRPr="00D515F4">
        <w:t>M3(</w:t>
      </w:r>
      <w:proofErr w:type="gramEnd"/>
      <w:r w:rsidRPr="00D515F4">
        <w:t>R2) Q&amp;As (R2) guideline</w:t>
      </w:r>
      <w:r w:rsidR="00F71E8C">
        <w:rPr>
          <w:rStyle w:val="FootnoteReference"/>
        </w:rPr>
        <w:footnoteReference w:id="2"/>
      </w:r>
      <w:r w:rsidRPr="00D515F4">
        <w:t xml:space="preserve"> notes that co-administration of two or more late stage entities is common practice with HCV drugs. The draft FDA guidance</w:t>
      </w:r>
      <w:r w:rsidR="00F71E8C">
        <w:rPr>
          <w:rStyle w:val="FootnoteReference"/>
        </w:rPr>
        <w:footnoteReference w:id="3"/>
      </w:r>
      <w:r w:rsidR="00015F24">
        <w:t xml:space="preserve"> for HCV drugs states:</w:t>
      </w:r>
    </w:p>
    <w:p w:rsidR="00015F24" w:rsidRPr="00015F24" w:rsidRDefault="000B7AD2" w:rsidP="00015F24">
      <w:pPr>
        <w:ind w:left="720"/>
        <w:rPr>
          <w:i/>
        </w:rPr>
      </w:pPr>
      <w:r w:rsidRPr="00015F24">
        <w:rPr>
          <w:i/>
        </w:rPr>
        <w:t>Nonclinical combination studies of an investigational DAA plus an approved DAA or IFN and RBV generally are not needed. Therefore, unless data from nonclinical studies of an approved investigational DAA suggest a potential for serious synergistic toxicity with an approved therapeutic drug, combination toxicology studies are not anticipated.</w:t>
      </w:r>
    </w:p>
    <w:p w:rsidR="000B7AD2" w:rsidRPr="00D515F4" w:rsidRDefault="000B7AD2" w:rsidP="00D515F4">
      <w:r w:rsidRPr="00D515F4">
        <w:t>The lack of combination studies is therefore consistent with relevant guidelines.</w:t>
      </w:r>
    </w:p>
    <w:p w:rsidR="000B7AD2" w:rsidRPr="001258AE" w:rsidRDefault="000B7AD2" w:rsidP="000C73CB">
      <w:pPr>
        <w:pStyle w:val="Heading4"/>
      </w:pPr>
      <w:bookmarkStart w:id="54" w:name="_Toc294861729"/>
      <w:proofErr w:type="spellStart"/>
      <w:r w:rsidRPr="001258AE">
        <w:t>Genotoxicity</w:t>
      </w:r>
      <w:bookmarkEnd w:id="54"/>
      <w:proofErr w:type="spellEnd"/>
    </w:p>
    <w:p w:rsidR="000B7AD2" w:rsidRPr="000C73CB" w:rsidRDefault="007B3AED" w:rsidP="000C73CB">
      <w:r>
        <w:t>LDV</w:t>
      </w:r>
      <w:r w:rsidR="000B7AD2" w:rsidRPr="000C73CB">
        <w:t xml:space="preserve"> was evaluated for its potential to induce reverse mutations in </w:t>
      </w:r>
      <w:r w:rsidR="000B7AD2" w:rsidRPr="000B03C5">
        <w:rPr>
          <w:i/>
        </w:rPr>
        <w:t xml:space="preserve">S. </w:t>
      </w:r>
      <w:proofErr w:type="spellStart"/>
      <w:r w:rsidR="000B7AD2" w:rsidRPr="000B03C5">
        <w:rPr>
          <w:i/>
        </w:rPr>
        <w:t>typhimurium</w:t>
      </w:r>
      <w:proofErr w:type="spellEnd"/>
      <w:r w:rsidR="000B7AD2" w:rsidRPr="000C73CB">
        <w:t xml:space="preserve"> and </w:t>
      </w:r>
      <w:r w:rsidR="000B7AD2" w:rsidRPr="002A53B8">
        <w:rPr>
          <w:i/>
        </w:rPr>
        <w:t>E. coli</w:t>
      </w:r>
      <w:r w:rsidR="000B7AD2" w:rsidRPr="000C73CB">
        <w:t xml:space="preserve">, its mutagenic potential </w:t>
      </w:r>
      <w:r w:rsidR="000B7AD2" w:rsidRPr="00542F7F">
        <w:rPr>
          <w:i/>
        </w:rPr>
        <w:t>in vitro</w:t>
      </w:r>
      <w:r w:rsidR="000B7AD2" w:rsidRPr="000C73CB">
        <w:t xml:space="preserve"> in primary human lymphocytes, and its mutagenic potential </w:t>
      </w:r>
      <w:r w:rsidR="000B7AD2" w:rsidRPr="00C94D55">
        <w:rPr>
          <w:i/>
        </w:rPr>
        <w:t>in vivo</w:t>
      </w:r>
      <w:r w:rsidR="000B7AD2" w:rsidRPr="000C73CB">
        <w:t xml:space="preserve"> in a rat bone marrow micronucleus study (Option 1 in ICH </w:t>
      </w:r>
      <w:proofErr w:type="gramStart"/>
      <w:r w:rsidR="000B7AD2" w:rsidRPr="000C73CB">
        <w:t>S2(</w:t>
      </w:r>
      <w:proofErr w:type="gramEnd"/>
      <w:r w:rsidR="000B7AD2" w:rsidRPr="000C73CB">
        <w:t>R1)).</w:t>
      </w:r>
      <w:r w:rsidR="00B90AF7">
        <w:t xml:space="preserve"> </w:t>
      </w:r>
      <w:r>
        <w:t>LDV</w:t>
      </w:r>
      <w:r w:rsidR="000B7AD2" w:rsidRPr="000C73CB">
        <w:t xml:space="preserve"> was negative in all the tests and is unlikely to pose a mutagenic or </w:t>
      </w:r>
      <w:proofErr w:type="spellStart"/>
      <w:r w:rsidR="000B7AD2" w:rsidRPr="000C73CB">
        <w:t>clastogenic</w:t>
      </w:r>
      <w:proofErr w:type="spellEnd"/>
      <w:r w:rsidR="000B7AD2" w:rsidRPr="000C73CB">
        <w:t xml:space="preserve"> risk to humans. </w:t>
      </w:r>
      <w:proofErr w:type="spellStart"/>
      <w:r w:rsidR="000B7AD2" w:rsidRPr="000C73CB">
        <w:t>Genotoxicity</w:t>
      </w:r>
      <w:proofErr w:type="spellEnd"/>
      <w:r w:rsidR="000B7AD2" w:rsidRPr="000C73CB">
        <w:t xml:space="preserve"> studies with the </w:t>
      </w:r>
      <w:r w:rsidR="0063513E">
        <w:t>SOF</w:t>
      </w:r>
      <w:r w:rsidR="000B7AD2" w:rsidRPr="000C73CB">
        <w:t>/</w:t>
      </w:r>
      <w:r>
        <w:t>LDV</w:t>
      </w:r>
      <w:r w:rsidR="000B7AD2" w:rsidRPr="000C73CB">
        <w:t xml:space="preserve"> combination were not required.</w:t>
      </w:r>
    </w:p>
    <w:p w:rsidR="000B7AD2" w:rsidRPr="001258AE" w:rsidRDefault="000B7AD2" w:rsidP="000C73CB">
      <w:pPr>
        <w:pStyle w:val="Heading4"/>
      </w:pPr>
      <w:bookmarkStart w:id="55" w:name="_Toc294861730"/>
      <w:r w:rsidRPr="001258AE">
        <w:t>Carcinogenicity</w:t>
      </w:r>
      <w:bookmarkEnd w:id="55"/>
    </w:p>
    <w:p w:rsidR="000B7AD2" w:rsidRPr="000C73CB" w:rsidRDefault="000B7AD2" w:rsidP="000C73CB">
      <w:r w:rsidRPr="000C73CB">
        <w:t xml:space="preserve">No carcinogenicity studies with </w:t>
      </w:r>
      <w:r w:rsidR="007B3AED">
        <w:t>LDV</w:t>
      </w:r>
      <w:r w:rsidRPr="000C73CB">
        <w:t xml:space="preserve"> were submitted but the sponsor indicated that a 6-month RasH2 transgenic mouse study mice and a rat 2</w:t>
      </w:r>
      <w:r w:rsidR="00A42EF7">
        <w:t xml:space="preserve"> </w:t>
      </w:r>
      <w:r w:rsidRPr="000C73CB">
        <w:t>year study are due for completion in December 2015.</w:t>
      </w:r>
      <w:r w:rsidR="00B90AF7">
        <w:t xml:space="preserve"> </w:t>
      </w:r>
      <w:r w:rsidRPr="000C73CB">
        <w:t>Two</w:t>
      </w:r>
      <w:r w:rsidR="00A42EF7">
        <w:t xml:space="preserve"> </w:t>
      </w:r>
      <w:r w:rsidRPr="000C73CB">
        <w:t xml:space="preserve">year carcinogenicity studies in mice and rats with </w:t>
      </w:r>
      <w:r w:rsidR="0063513E">
        <w:t>SOF</w:t>
      </w:r>
      <w:r w:rsidRPr="000C73CB">
        <w:t xml:space="preserve"> were included in this submission.</w:t>
      </w:r>
    </w:p>
    <w:p w:rsidR="009203E1" w:rsidRDefault="000B7AD2" w:rsidP="000C73CB">
      <w:r w:rsidRPr="000C73CB">
        <w:t>The 2</w:t>
      </w:r>
      <w:r w:rsidR="00A42EF7">
        <w:t xml:space="preserve"> </w:t>
      </w:r>
      <w:r w:rsidRPr="000C73CB">
        <w:t xml:space="preserve">year study with </w:t>
      </w:r>
      <w:r w:rsidR="0063513E">
        <w:t>SOF</w:t>
      </w:r>
      <w:r w:rsidRPr="000C73CB">
        <w:t xml:space="preserve"> in mice used daily oral dosing up to 200 mg/kg/day (ER</w:t>
      </w:r>
      <w:r w:rsidRPr="00A42EF7">
        <w:rPr>
          <w:vertAlign w:val="subscript"/>
        </w:rPr>
        <w:t>AUC</w:t>
      </w:r>
      <w:r w:rsidRPr="000C73CB">
        <w:t xml:space="preserve"> =7) in males and 600 mg/kg/day (ER</w:t>
      </w:r>
      <w:r w:rsidRPr="008366BB">
        <w:rPr>
          <w:vertAlign w:val="subscript"/>
        </w:rPr>
        <w:t>AUC</w:t>
      </w:r>
      <w:r w:rsidRPr="000C73CB">
        <w:t xml:space="preserve"> = 24) in females. The dosages were selected by the </w:t>
      </w:r>
      <w:r w:rsidR="00A42EF7">
        <w:t>s</w:t>
      </w:r>
      <w:r w:rsidRPr="000C73CB">
        <w:t>ponsor in consultation with the USFDA Carcinogenicity Assessment Committee (CAC) and were based on a 3</w:t>
      </w:r>
      <w:r w:rsidR="00A42EF7">
        <w:t xml:space="preserve"> </w:t>
      </w:r>
      <w:r w:rsidRPr="000C73CB">
        <w:t xml:space="preserve">month oral toxicity study conducted in mice (SA-PSI-7977-09-0008, evaluated previously) in which mice were given daily oral doses of </w:t>
      </w:r>
      <w:r w:rsidR="0063513E">
        <w:t>SOF</w:t>
      </w:r>
      <w:r w:rsidRPr="000C73CB">
        <w:t xml:space="preserve"> at dosages of 100, 300, and 1000 mg/kg/day.</w:t>
      </w:r>
      <w:r w:rsidR="00B90AF7">
        <w:t xml:space="preserve"> </w:t>
      </w:r>
      <w:r w:rsidRPr="000C73CB">
        <w:t>The two</w:t>
      </w:r>
      <w:r w:rsidR="001B0C0D">
        <w:t xml:space="preserve"> </w:t>
      </w:r>
      <w:r w:rsidRPr="000C73CB">
        <w:t xml:space="preserve">year study in rats used daily oral dosing up to 750 </w:t>
      </w:r>
      <w:r w:rsidRPr="000C73CB">
        <w:lastRenderedPageBreak/>
        <w:t>mg/kg/day (ER</w:t>
      </w:r>
      <w:r w:rsidRPr="001B0C0D">
        <w:rPr>
          <w:vertAlign w:val="subscript"/>
        </w:rPr>
        <w:t>AUC</w:t>
      </w:r>
      <w:r w:rsidRPr="000C73CB">
        <w:t xml:space="preserve"> =11) in males and (ER</w:t>
      </w:r>
      <w:r w:rsidRPr="001B0C0D">
        <w:rPr>
          <w:vertAlign w:val="subscript"/>
        </w:rPr>
        <w:t>AUC</w:t>
      </w:r>
      <w:r w:rsidRPr="000C73CB">
        <w:t xml:space="preserve"> = 15) in females, based on the main metabolite, GS-331007.</w:t>
      </w:r>
      <w:r w:rsidR="00B90AF7">
        <w:t xml:space="preserve"> </w:t>
      </w:r>
      <w:r w:rsidRPr="000C73CB">
        <w:t xml:space="preserve">The dosages were selected by the </w:t>
      </w:r>
      <w:r w:rsidR="001B0C0D">
        <w:t>s</w:t>
      </w:r>
      <w:r w:rsidRPr="000C73CB">
        <w:t>ponsor in consultation with the US</w:t>
      </w:r>
      <w:r w:rsidR="007D413C">
        <w:t xml:space="preserve"> </w:t>
      </w:r>
      <w:r w:rsidRPr="000C73CB">
        <w:t>FDA Carcinogenicity Assessment Committee (CAC) and were based on a 90</w:t>
      </w:r>
      <w:r w:rsidR="007D413C">
        <w:t xml:space="preserve"> </w:t>
      </w:r>
      <w:r w:rsidRPr="000C73CB">
        <w:t xml:space="preserve">day oral toxicity study conducted in rats (SA-PSI-7977-09-0007) in which rats were given daily oral doses of </w:t>
      </w:r>
      <w:r w:rsidR="0063513E">
        <w:t>SOF</w:t>
      </w:r>
      <w:r w:rsidRPr="000C73CB">
        <w:t xml:space="preserve"> at dosages of 20, 100, and 500 mg/kg/day</w:t>
      </w:r>
      <w:r w:rsidR="009203E1">
        <w:t>.</w:t>
      </w:r>
    </w:p>
    <w:p w:rsidR="000B7AD2" w:rsidRPr="000C73CB" w:rsidRDefault="000B7AD2" w:rsidP="000C73CB">
      <w:r w:rsidRPr="000C73CB">
        <w:t xml:space="preserve">There were no statistically significant tumour findings in males or female mice or rats following treatment with </w:t>
      </w:r>
      <w:r w:rsidR="0063513E">
        <w:t>SOF</w:t>
      </w:r>
      <w:r w:rsidRPr="000C73CB">
        <w:t>.</w:t>
      </w:r>
    </w:p>
    <w:p w:rsidR="000B7AD2" w:rsidRPr="001258AE" w:rsidRDefault="000B7AD2" w:rsidP="000C73CB">
      <w:pPr>
        <w:pStyle w:val="Heading4"/>
      </w:pPr>
      <w:r>
        <w:t>Reproductive toxicity</w:t>
      </w:r>
    </w:p>
    <w:p w:rsidR="000B7AD2" w:rsidRPr="000C73CB" w:rsidRDefault="000B7AD2" w:rsidP="000C73CB">
      <w:r w:rsidRPr="000C73CB">
        <w:t xml:space="preserve">Reproductive toxicity was assessed in rats and rabbits in GLP compliant studies. The studies investigated potential effects on male and female fertility in rats, </w:t>
      </w:r>
      <w:proofErr w:type="spellStart"/>
      <w:r w:rsidRPr="000C73CB">
        <w:t>embryof</w:t>
      </w:r>
      <w:r w:rsidR="00452B2C">
        <w:t>o</w:t>
      </w:r>
      <w:r w:rsidRPr="000C73CB">
        <w:t>etal</w:t>
      </w:r>
      <w:proofErr w:type="spellEnd"/>
      <w:r w:rsidRPr="000C73CB">
        <w:t xml:space="preserve"> toxi</w:t>
      </w:r>
      <w:r w:rsidR="007D413C">
        <w:t>city (rats and rabbits) and pre</w:t>
      </w:r>
      <w:r w:rsidRPr="000C73CB">
        <w:t>/postnatal development (rats). Adequate animal numbers were used in the pivotal studies and treatment periods were appropriate. The fertility an</w:t>
      </w:r>
      <w:r w:rsidR="007D413C">
        <w:t>d pre and post</w:t>
      </w:r>
      <w:r w:rsidRPr="000C73CB">
        <w:t xml:space="preserve">natal development studies were conducted using </w:t>
      </w:r>
      <w:r w:rsidR="007B3AED">
        <w:t>LDV</w:t>
      </w:r>
      <w:r w:rsidRPr="000C73CB">
        <w:t xml:space="preserve"> acetone solvate, the </w:t>
      </w:r>
      <w:proofErr w:type="spellStart"/>
      <w:r w:rsidRPr="000C73CB">
        <w:t>embryof</w:t>
      </w:r>
      <w:r w:rsidR="00D933C7">
        <w:t>o</w:t>
      </w:r>
      <w:r w:rsidRPr="000C73CB">
        <w:t>etal</w:t>
      </w:r>
      <w:proofErr w:type="spellEnd"/>
      <w:r w:rsidRPr="000C73CB">
        <w:t xml:space="preserve"> studies in rats and rabbits employed </w:t>
      </w:r>
      <w:r w:rsidR="007B3AED">
        <w:t>LDV</w:t>
      </w:r>
      <w:r w:rsidRPr="000C73CB">
        <w:t xml:space="preserve"> free base. </w:t>
      </w:r>
      <w:proofErr w:type="spellStart"/>
      <w:r w:rsidRPr="000C73CB">
        <w:t>Toxicokinetic</w:t>
      </w:r>
      <w:proofErr w:type="spellEnd"/>
      <w:r w:rsidRPr="000C73CB">
        <w:t xml:space="preserve"> data were obtained either from animals i</w:t>
      </w:r>
      <w:r w:rsidR="00452B2C">
        <w:t xml:space="preserve">n the studies or from similarly </w:t>
      </w:r>
      <w:r w:rsidRPr="000C73CB">
        <w:t xml:space="preserve">treated animals in accompanying studies. Reproductive toxicity studies with the </w:t>
      </w:r>
      <w:r w:rsidR="0063513E">
        <w:t>SOF</w:t>
      </w:r>
      <w:r w:rsidRPr="000C73CB">
        <w:t>/</w:t>
      </w:r>
      <w:r w:rsidR="007B3AED">
        <w:t>LDV</w:t>
      </w:r>
      <w:r w:rsidRPr="000C73CB">
        <w:t xml:space="preserve"> combination were not required.</w:t>
      </w:r>
    </w:p>
    <w:p w:rsidR="000B7AD2" w:rsidRPr="00DE7CDB" w:rsidRDefault="000B7AD2" w:rsidP="000C73CB">
      <w:pPr>
        <w:pStyle w:val="Heading5"/>
      </w:pPr>
      <w:r w:rsidRPr="00DE7CDB">
        <w:t>Relative exposure</w:t>
      </w:r>
    </w:p>
    <w:p w:rsidR="0011266C" w:rsidRPr="0011266C" w:rsidRDefault="0011266C" w:rsidP="0011266C">
      <w:r w:rsidRPr="0011266C">
        <w:t xml:space="preserve">The </w:t>
      </w:r>
      <w:proofErr w:type="spellStart"/>
      <w:r w:rsidRPr="0011266C">
        <w:t>animal</w:t>
      </w:r>
      <w:proofErr w:type="gramStart"/>
      <w:r w:rsidRPr="0011266C">
        <w:t>:human</w:t>
      </w:r>
      <w:proofErr w:type="spellEnd"/>
      <w:proofErr w:type="gramEnd"/>
      <w:r w:rsidRPr="0011266C">
        <w:t xml:space="preserve"> </w:t>
      </w:r>
      <w:proofErr w:type="spellStart"/>
      <w:r w:rsidRPr="0011266C">
        <w:t>Cmax</w:t>
      </w:r>
      <w:proofErr w:type="spellEnd"/>
      <w:r w:rsidRPr="0011266C">
        <w:t xml:space="preserve"> and AUC exposure ratios achieved in these studies are adequate (up to 8 times). Placental transfer and excretion in milk were inferred by concentrations in rat pups.</w:t>
      </w:r>
    </w:p>
    <w:p w:rsidR="0011266C" w:rsidRDefault="007B3AED" w:rsidP="0011266C">
      <w:r>
        <w:t>LDV</w:t>
      </w:r>
      <w:r w:rsidR="0011266C" w:rsidRPr="0011266C">
        <w:t xml:space="preserve"> had no effects on fertility in rats.</w:t>
      </w:r>
      <w:r w:rsidR="00B90AF7">
        <w:t xml:space="preserve"> </w:t>
      </w:r>
      <w:r w:rsidR="0011266C" w:rsidRPr="0011266C">
        <w:t xml:space="preserve">There was, however, a small but statistically significant reduction in the number of corpora </w:t>
      </w:r>
      <w:proofErr w:type="spellStart"/>
      <w:r w:rsidR="0011266C" w:rsidRPr="0011266C">
        <w:t>lutea</w:t>
      </w:r>
      <w:proofErr w:type="spellEnd"/>
      <w:r w:rsidR="0011266C" w:rsidRPr="0011266C">
        <w:t xml:space="preserve"> and implantations at the highest dose tested (100 mg/kg/day, exposure ratio 6x). There was no such effect at 30 mg/kg/day. Exposure ratios based on AUC at the NOAEL were approximately </w:t>
      </w:r>
      <w:proofErr w:type="gramStart"/>
      <w:r w:rsidR="0011266C" w:rsidRPr="0011266C">
        <w:t>7x</w:t>
      </w:r>
      <w:proofErr w:type="gramEnd"/>
      <w:r w:rsidR="0011266C" w:rsidRPr="0011266C">
        <w:t xml:space="preserve"> and 3x in males and females respectively (</w:t>
      </w:r>
      <w:r w:rsidR="009E35BD">
        <w:t>Table 4</w:t>
      </w:r>
      <w:r w:rsidR="0011266C" w:rsidRPr="0011266C">
        <w:t>).</w:t>
      </w:r>
    </w:p>
    <w:p w:rsidR="009E35BD" w:rsidRDefault="009E35BD" w:rsidP="00084458">
      <w:pPr>
        <w:pStyle w:val="TableTitle"/>
      </w:pPr>
      <w:proofErr w:type="gramStart"/>
      <w:r>
        <w:t>Table 4:</w:t>
      </w:r>
      <w:r w:rsidRPr="004C5C28">
        <w:t xml:space="preserve"> </w:t>
      </w:r>
      <w:r w:rsidR="00FC336A">
        <w:t>Exposure ratios</w:t>
      </w:r>
      <w:r>
        <w:t>.</w:t>
      </w:r>
      <w:proofErr w:type="gramEnd"/>
    </w:p>
    <w:p w:rsidR="009E35BD" w:rsidRDefault="009E35BD" w:rsidP="00084458">
      <w:r>
        <w:rPr>
          <w:noProof/>
          <w:lang w:eastAsia="en-AU"/>
        </w:rPr>
        <w:drawing>
          <wp:inline distT="0" distB="0" distL="0" distR="0" wp14:anchorId="40BCCA13" wp14:editId="25A112CC">
            <wp:extent cx="4959078" cy="3633479"/>
            <wp:effectExtent l="0" t="0" r="0" b="5080"/>
            <wp:docPr id="8" name="Picture 8" descr="Table 4: Exposure rat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961145" cy="3634993"/>
                    </a:xfrm>
                    <a:prstGeom prst="rect">
                      <a:avLst/>
                    </a:prstGeom>
                  </pic:spPr>
                </pic:pic>
              </a:graphicData>
            </a:graphic>
          </wp:inline>
        </w:drawing>
      </w:r>
    </w:p>
    <w:p w:rsidR="009E35BD" w:rsidRPr="002C0695" w:rsidRDefault="009E35BD" w:rsidP="00084458">
      <w:pPr>
        <w:pStyle w:val="TableDescription"/>
      </w:pPr>
      <w:r w:rsidRPr="00D7327D">
        <w:rPr>
          <w:position w:val="-2"/>
          <w:vertAlign w:val="superscript"/>
        </w:rPr>
        <w:lastRenderedPageBreak/>
        <w:t>#</w:t>
      </w:r>
      <w:r>
        <w:t xml:space="preserve"> = </w:t>
      </w:r>
      <w:proofErr w:type="spellStart"/>
      <w:r>
        <w:t>animal</w:t>
      </w:r>
      <w:proofErr w:type="gramStart"/>
      <w:r>
        <w:t>:human</w:t>
      </w:r>
      <w:proofErr w:type="spellEnd"/>
      <w:proofErr w:type="gramEnd"/>
      <w:r>
        <w:t xml:space="preserve"> plasma </w:t>
      </w:r>
      <w:proofErr w:type="spellStart"/>
      <w:r>
        <w:t>C</w:t>
      </w:r>
      <w:r w:rsidRPr="00DE3D7E">
        <w:rPr>
          <w:vertAlign w:val="subscript"/>
        </w:rPr>
        <w:t>max</w:t>
      </w:r>
      <w:proofErr w:type="spellEnd"/>
      <w:r>
        <w:t xml:space="preserve"> and AUC</w:t>
      </w:r>
      <w:r w:rsidRPr="00D7327D">
        <w:rPr>
          <w:vertAlign w:val="subscript"/>
        </w:rPr>
        <w:t>0–24</w:t>
      </w:r>
      <w:r w:rsidRPr="00D7327D">
        <w:rPr>
          <w:w w:val="50"/>
          <w:vertAlign w:val="subscript"/>
        </w:rPr>
        <w:t> </w:t>
      </w:r>
      <w:r w:rsidRPr="00D7327D">
        <w:rPr>
          <w:vertAlign w:val="subscript"/>
        </w:rPr>
        <w:t>h</w:t>
      </w:r>
      <w:r>
        <w:t xml:space="preserve"> ; </w:t>
      </w:r>
      <w:r w:rsidRPr="006F322E">
        <w:rPr>
          <w:vertAlign w:val="superscript"/>
        </w:rPr>
        <w:t>†</w:t>
      </w:r>
      <w:r>
        <w:rPr>
          <w:vertAlign w:val="superscript"/>
        </w:rPr>
        <w:t xml:space="preserve"> </w:t>
      </w:r>
      <w:r w:rsidR="0040587F">
        <w:t>FDC</w:t>
      </w:r>
      <w:r>
        <w:t xml:space="preserve"> 400/90 mg </w:t>
      </w:r>
      <w:r w:rsidR="0063513E">
        <w:t>SOF</w:t>
      </w:r>
      <w:r>
        <w:t>/</w:t>
      </w:r>
      <w:r w:rsidR="007B3AED">
        <w:t>LDV</w:t>
      </w:r>
      <w:r>
        <w:t xml:space="preserve">; * maternal NOAEL, ** </w:t>
      </w:r>
      <w:proofErr w:type="spellStart"/>
      <w:r>
        <w:t>embryofetal</w:t>
      </w:r>
      <w:proofErr w:type="spellEnd"/>
      <w:r>
        <w:t xml:space="preserve"> NOAEL</w:t>
      </w:r>
    </w:p>
    <w:p w:rsidR="009203E1" w:rsidRDefault="007B3AED" w:rsidP="0011266C">
      <w:r>
        <w:t>LDV</w:t>
      </w:r>
      <w:r w:rsidR="0011266C" w:rsidRPr="0011266C">
        <w:t xml:space="preserve"> had no effects on </w:t>
      </w:r>
      <w:proofErr w:type="spellStart"/>
      <w:r w:rsidR="0011266C" w:rsidRPr="0011266C">
        <w:t>embryofetal</w:t>
      </w:r>
      <w:proofErr w:type="spellEnd"/>
      <w:r w:rsidR="0011266C" w:rsidRPr="0011266C">
        <w:t xml:space="preserve"> development in rats up to the highest dose of 100 mg/kg/day (exposure ratio 4.6x), but there was some reduction in weight gain in the high dose dams and the maternal NOAEL was 30 mg/kg/day (exposure ratio 2.1x).</w:t>
      </w:r>
      <w:r w:rsidR="00B90AF7">
        <w:t xml:space="preserve"> </w:t>
      </w:r>
      <w:r>
        <w:t>LDV</w:t>
      </w:r>
      <w:r w:rsidR="0011266C" w:rsidRPr="0011266C">
        <w:t xml:space="preserve"> was also without effect on </w:t>
      </w:r>
      <w:proofErr w:type="spellStart"/>
      <w:r w:rsidR="0011266C" w:rsidRPr="0011266C">
        <w:t>embryofetal</w:t>
      </w:r>
      <w:proofErr w:type="spellEnd"/>
      <w:r w:rsidR="0011266C" w:rsidRPr="0011266C">
        <w:t xml:space="preserve"> development in rabbits (maternal and </w:t>
      </w:r>
      <w:proofErr w:type="spellStart"/>
      <w:r w:rsidR="0011266C" w:rsidRPr="0011266C">
        <w:t>fetal</w:t>
      </w:r>
      <w:proofErr w:type="spellEnd"/>
      <w:r w:rsidR="0011266C" w:rsidRPr="0011266C">
        <w:t xml:space="preserve"> NOAEL 180 mg/kg/day, exposure ratio </w:t>
      </w:r>
      <w:proofErr w:type="gramStart"/>
      <w:r w:rsidR="0011266C" w:rsidRPr="0011266C">
        <w:t>2.4x</w:t>
      </w:r>
      <w:proofErr w:type="gramEnd"/>
      <w:r w:rsidR="0011266C" w:rsidRPr="0011266C">
        <w:t>)</w:t>
      </w:r>
      <w:r w:rsidR="009203E1">
        <w:t>.</w:t>
      </w:r>
    </w:p>
    <w:p w:rsidR="009203E1" w:rsidRDefault="007B3AED" w:rsidP="0011266C">
      <w:r>
        <w:t>LDV</w:t>
      </w:r>
      <w:r w:rsidR="0011266C" w:rsidRPr="0011266C">
        <w:t xml:space="preserve"> at the highest dose tested (100 mg/kg/day, exposure ratio 4.4x) caused reduced weig</w:t>
      </w:r>
      <w:r w:rsidR="00452B2C">
        <w:t>ht gain in pups during the post</w:t>
      </w:r>
      <w:r w:rsidR="0011266C" w:rsidRPr="0011266C">
        <w:t>natal period b</w:t>
      </w:r>
      <w:r w:rsidR="00452B2C">
        <w:t>ut had no other effects on post</w:t>
      </w:r>
      <w:r w:rsidR="0011266C" w:rsidRPr="0011266C">
        <w:t>natal development in rats including reproductive function and there were no effects in F2</w:t>
      </w:r>
      <w:r w:rsidR="00D933C7">
        <w:t xml:space="preserve"> pups. </w:t>
      </w:r>
      <w:r w:rsidR="00452B2C">
        <w:t>The NOAEL for effects on post</w:t>
      </w:r>
      <w:r w:rsidR="0011266C" w:rsidRPr="0011266C">
        <w:t xml:space="preserve">natal development was 30 mg/kg/day (exposure ratio </w:t>
      </w:r>
      <w:proofErr w:type="gramStart"/>
      <w:r w:rsidR="0011266C" w:rsidRPr="0011266C">
        <w:t>1.3x</w:t>
      </w:r>
      <w:proofErr w:type="gramEnd"/>
      <w:r w:rsidR="0011266C" w:rsidRPr="0011266C">
        <w:t>)</w:t>
      </w:r>
      <w:r w:rsidR="009203E1">
        <w:t>.</w:t>
      </w:r>
    </w:p>
    <w:p w:rsidR="0011266C" w:rsidRPr="0011266C" w:rsidRDefault="0011266C" w:rsidP="0011266C">
      <w:pPr>
        <w:pStyle w:val="Heading5"/>
      </w:pPr>
      <w:r w:rsidRPr="0011266C">
        <w:t>Pregnancy classification</w:t>
      </w:r>
    </w:p>
    <w:p w:rsidR="0011266C" w:rsidRPr="0011266C" w:rsidRDefault="0011266C" w:rsidP="0011266C">
      <w:r w:rsidRPr="0011266C">
        <w:t xml:space="preserve">The sponsor has proposed Pregnancy Category B2. Since </w:t>
      </w:r>
      <w:r w:rsidR="007B3AED">
        <w:t>LDV</w:t>
      </w:r>
      <w:r w:rsidRPr="0011266C">
        <w:t xml:space="preserve"> had no effects on </w:t>
      </w:r>
      <w:proofErr w:type="spellStart"/>
      <w:r w:rsidRPr="0011266C">
        <w:t>embryof</w:t>
      </w:r>
      <w:r w:rsidR="00452B2C">
        <w:t>o</w:t>
      </w:r>
      <w:r w:rsidRPr="0011266C">
        <w:t>etal</w:t>
      </w:r>
      <w:proofErr w:type="spellEnd"/>
      <w:r w:rsidRPr="0011266C">
        <w:t xml:space="preserve"> development in rats and rabbits</w:t>
      </w:r>
      <w:r w:rsidR="00452B2C">
        <w:t>,</w:t>
      </w:r>
      <w:r w:rsidRPr="0011266C">
        <w:t xml:space="preserve"> a pregnancy category of B1 would be appropriate.</w:t>
      </w:r>
      <w:r w:rsidR="00901B8A">
        <w:rPr>
          <w:rStyle w:val="FootnoteReference"/>
        </w:rPr>
        <w:footnoteReference w:id="4"/>
      </w:r>
      <w:r w:rsidRPr="0011266C">
        <w:t xml:space="preserve"> </w:t>
      </w:r>
      <w:r w:rsidR="007B3AED">
        <w:t>LDV</w:t>
      </w:r>
      <w:r w:rsidRPr="0011266C">
        <w:t xml:space="preserve"> was assigned a USA pregnancy category of B (“Animal reproduction studies have failed to </w:t>
      </w:r>
      <w:r w:rsidR="00D933C7">
        <w:t xml:space="preserve">demonstrate a risk to the </w:t>
      </w:r>
      <w:proofErr w:type="spellStart"/>
      <w:r w:rsidR="00D933C7">
        <w:t>fetus</w:t>
      </w:r>
      <w:proofErr w:type="spellEnd"/>
      <w:r w:rsidRPr="0011266C">
        <w:t>…”).</w:t>
      </w:r>
    </w:p>
    <w:p w:rsidR="0011266C" w:rsidRDefault="00084458" w:rsidP="0011266C">
      <w:pPr>
        <w:pStyle w:val="Heading4"/>
      </w:pPr>
      <w:r>
        <w:t>Local tolerance</w:t>
      </w:r>
    </w:p>
    <w:p w:rsidR="0011266C" w:rsidRPr="0011266C" w:rsidRDefault="007B3AED" w:rsidP="0011266C">
      <w:r>
        <w:t>LDV</w:t>
      </w:r>
      <w:r w:rsidR="0011266C" w:rsidRPr="0011266C">
        <w:t xml:space="preserve"> showed no evidence of skin irritation following topical application to the skin of rabbits and no evidence of ocular irritation in the </w:t>
      </w:r>
      <w:r w:rsidR="0011266C" w:rsidRPr="00452B2C">
        <w:rPr>
          <w:i/>
        </w:rPr>
        <w:t>in vitro</w:t>
      </w:r>
      <w:r w:rsidR="0011266C" w:rsidRPr="0011266C">
        <w:t xml:space="preserve"> bovine corneal opacity and permeability assay.</w:t>
      </w:r>
      <w:r w:rsidR="00B90AF7">
        <w:t xml:space="preserve"> </w:t>
      </w:r>
      <w:r w:rsidR="0011266C" w:rsidRPr="0011266C">
        <w:t>There was no evidence of skin sensiti</w:t>
      </w:r>
      <w:r w:rsidR="0011266C">
        <w:t>s</w:t>
      </w:r>
      <w:r w:rsidR="0011266C" w:rsidRPr="0011266C">
        <w:t xml:space="preserve">ation by </w:t>
      </w:r>
      <w:r>
        <w:t>LDV</w:t>
      </w:r>
      <w:r w:rsidR="0011266C" w:rsidRPr="0011266C">
        <w:t xml:space="preserve"> following topical application to the ears of mice.</w:t>
      </w:r>
      <w:r w:rsidR="00B90AF7">
        <w:t xml:space="preserve"> </w:t>
      </w:r>
      <w:r w:rsidR="0011266C" w:rsidRPr="0011266C">
        <w:t xml:space="preserve">All local tolerance studies were conducted using </w:t>
      </w:r>
      <w:r>
        <w:t>LDV</w:t>
      </w:r>
      <w:r w:rsidR="0011266C" w:rsidRPr="0011266C">
        <w:t xml:space="preserve"> acetone solvate.</w:t>
      </w:r>
    </w:p>
    <w:p w:rsidR="0011266C" w:rsidRPr="00DF5189" w:rsidRDefault="0011266C" w:rsidP="00084458">
      <w:pPr>
        <w:pStyle w:val="Heading5"/>
      </w:pPr>
      <w:bookmarkStart w:id="56" w:name="_Toc432073725"/>
      <w:proofErr w:type="spellStart"/>
      <w:r w:rsidRPr="00DF5189">
        <w:t>Phototoxicity</w:t>
      </w:r>
      <w:bookmarkEnd w:id="56"/>
      <w:proofErr w:type="spellEnd"/>
    </w:p>
    <w:p w:rsidR="0011266C" w:rsidRPr="00E158CC" w:rsidRDefault="0011266C" w:rsidP="00E158CC">
      <w:proofErr w:type="spellStart"/>
      <w:r w:rsidRPr="00E158CC">
        <w:t>Phototoxicity</w:t>
      </w:r>
      <w:proofErr w:type="spellEnd"/>
      <w:r w:rsidRPr="00E158CC">
        <w:t xml:space="preserve"> was assessed in Crl</w:t>
      </w:r>
      <w:proofErr w:type="gramStart"/>
      <w:r w:rsidRPr="00E158CC">
        <w:t>:SKH1</w:t>
      </w:r>
      <w:proofErr w:type="gramEnd"/>
      <w:r w:rsidRPr="00E158CC">
        <w:t xml:space="preserve">-hr mice following 30 minutes UV exposure and </w:t>
      </w:r>
      <w:r w:rsidR="007B3AED">
        <w:t>LDV</w:t>
      </w:r>
      <w:r w:rsidRPr="00E158CC">
        <w:t xml:space="preserve"> at doses up to 300 mg/kg.</w:t>
      </w:r>
      <w:r w:rsidR="00B90AF7">
        <w:t xml:space="preserve"> </w:t>
      </w:r>
      <w:r w:rsidRPr="00E158CC">
        <w:t xml:space="preserve">The salt of </w:t>
      </w:r>
      <w:r w:rsidR="007B3AED">
        <w:t>LDV</w:t>
      </w:r>
      <w:r w:rsidRPr="00E158CC">
        <w:t xml:space="preserve"> was used in these experiments and exposure is likely to have been lower than it would have been if the free base had been used.</w:t>
      </w:r>
      <w:r w:rsidR="00B90AF7">
        <w:t xml:space="preserve"> </w:t>
      </w:r>
      <w:r w:rsidRPr="00E158CC">
        <w:t xml:space="preserve">There were no skin reactions at any dose and no indication of </w:t>
      </w:r>
      <w:proofErr w:type="spellStart"/>
      <w:r w:rsidRPr="00E158CC">
        <w:t>phototoxicity</w:t>
      </w:r>
      <w:proofErr w:type="spellEnd"/>
      <w:r w:rsidRPr="00E158CC">
        <w:t>.</w:t>
      </w:r>
    </w:p>
    <w:p w:rsidR="0011266C" w:rsidRPr="00455B46" w:rsidRDefault="0011266C" w:rsidP="00455B46">
      <w:pPr>
        <w:pStyle w:val="Heading5"/>
      </w:pPr>
      <w:r w:rsidRPr="00455B46">
        <w:t>Paediatric use</w:t>
      </w:r>
    </w:p>
    <w:p w:rsidR="0011266C" w:rsidRPr="00455B46" w:rsidRDefault="007B3AED" w:rsidP="00455B46">
      <w:r>
        <w:t>LDV</w:t>
      </w:r>
      <w:r w:rsidR="0011266C" w:rsidRPr="00455B46">
        <w:t xml:space="preserve"> is not proposed for paediatric use and no specific studies in juvenile animals were submitted.</w:t>
      </w:r>
    </w:p>
    <w:p w:rsidR="0011266C" w:rsidRDefault="0011266C" w:rsidP="00073BEE">
      <w:pPr>
        <w:pStyle w:val="Heading4"/>
      </w:pPr>
      <w:bookmarkStart w:id="57" w:name="_Toc295290868"/>
      <w:bookmarkStart w:id="58" w:name="_Toc404066163"/>
      <w:r>
        <w:t xml:space="preserve">Comments on the </w:t>
      </w:r>
      <w:r w:rsidR="007A3CB3">
        <w:t>s</w:t>
      </w:r>
      <w:r>
        <w:t xml:space="preserve">afety </w:t>
      </w:r>
      <w:r w:rsidR="007A3CB3">
        <w:t>s</w:t>
      </w:r>
      <w:r>
        <w:t xml:space="preserve">pecification of the </w:t>
      </w:r>
      <w:r w:rsidR="007A3CB3">
        <w:t>r</w:t>
      </w:r>
      <w:r>
        <w:t xml:space="preserve">isk </w:t>
      </w:r>
      <w:r w:rsidR="007A3CB3">
        <w:t>m</w:t>
      </w:r>
      <w:r>
        <w:t xml:space="preserve">anagement </w:t>
      </w:r>
      <w:r w:rsidR="007A3CB3">
        <w:t>p</w:t>
      </w:r>
      <w:r>
        <w:t>lan</w:t>
      </w:r>
      <w:bookmarkEnd w:id="57"/>
      <w:bookmarkEnd w:id="58"/>
    </w:p>
    <w:p w:rsidR="0011266C" w:rsidRPr="00E158CC" w:rsidRDefault="0011266C" w:rsidP="00E158CC">
      <w:r w:rsidRPr="00E158CC">
        <w:t xml:space="preserve">Results and conclusions drawn from the nonclinical program for </w:t>
      </w:r>
      <w:r w:rsidR="007B3AED">
        <w:t>LDV</w:t>
      </w:r>
      <w:r w:rsidRPr="00E158CC">
        <w:t xml:space="preserve"> detailed in the sponsor’s draft Risk Management Plan </w:t>
      </w:r>
      <w:r w:rsidR="00BC728A">
        <w:t xml:space="preserve">(RMP) </w:t>
      </w:r>
      <w:r w:rsidRPr="00E158CC">
        <w:t xml:space="preserve">for Australia (Version 0.1) are in general concordance with those of the </w:t>
      </w:r>
      <w:r w:rsidR="00B31706">
        <w:t>n</w:t>
      </w:r>
      <w:r w:rsidRPr="00E158CC">
        <w:t xml:space="preserve">onclinical </w:t>
      </w:r>
      <w:r w:rsidR="00B31706">
        <w:t>e</w:t>
      </w:r>
      <w:r w:rsidRPr="00E158CC">
        <w:t xml:space="preserve">valuator. </w:t>
      </w:r>
      <w:r w:rsidR="0056580A" w:rsidRPr="00E158CC">
        <w:t>T</w:t>
      </w:r>
      <w:r w:rsidRPr="00E158CC">
        <w:t xml:space="preserve">he statement in relation to carcinogenicity of </w:t>
      </w:r>
      <w:r w:rsidR="0063513E">
        <w:t>SOF</w:t>
      </w:r>
      <w:r w:rsidR="0056580A" w:rsidRPr="00E158CC">
        <w:t xml:space="preserve"> in mice is not accurate. </w:t>
      </w:r>
      <w:r w:rsidRPr="00E158CC">
        <w:t>Doses up to 600 mg/kg/day were tested in females</w:t>
      </w:r>
      <w:r w:rsidR="009D5B1E" w:rsidRPr="00E158CC">
        <w:t xml:space="preserve">; </w:t>
      </w:r>
      <w:r w:rsidRPr="00E158CC">
        <w:t>males were only tested up to 200 mg/kg/day.</w:t>
      </w:r>
    </w:p>
    <w:p w:rsidR="008E7846" w:rsidRDefault="008E7846" w:rsidP="008E7846">
      <w:pPr>
        <w:pStyle w:val="Heading3"/>
      </w:pPr>
      <w:bookmarkStart w:id="59" w:name="_Toc247691515"/>
      <w:bookmarkStart w:id="60" w:name="_Toc314842499"/>
      <w:bookmarkStart w:id="61" w:name="_Toc432073726"/>
      <w:r>
        <w:lastRenderedPageBreak/>
        <w:t>Nonclinical summary and conclusions</w:t>
      </w:r>
      <w:bookmarkEnd w:id="59"/>
      <w:bookmarkEnd w:id="60"/>
      <w:bookmarkEnd w:id="61"/>
    </w:p>
    <w:p w:rsidR="0095771E" w:rsidRDefault="0095771E" w:rsidP="0095771E">
      <w:pPr>
        <w:pStyle w:val="Heading4"/>
      </w:pPr>
      <w:r>
        <w:t>Summary</w:t>
      </w:r>
    </w:p>
    <w:p w:rsidR="009203E1" w:rsidRDefault="00C140DE" w:rsidP="0095771E">
      <w:pPr>
        <w:pStyle w:val="ListBullet"/>
      </w:pPr>
      <w:r>
        <w:t>The overall quality of the non</w:t>
      </w:r>
      <w:r w:rsidR="0095771E" w:rsidRPr="0095771E">
        <w:t>clinical dossier was good with all pivotal studies conducted according to GLP.</w:t>
      </w:r>
      <w:r w:rsidR="00B90AF7">
        <w:t xml:space="preserve"> </w:t>
      </w:r>
      <w:r w:rsidR="0095771E" w:rsidRPr="0095771E">
        <w:t xml:space="preserve">However, there were no combination toxicity studies with </w:t>
      </w:r>
      <w:r w:rsidR="007B3AED">
        <w:t>LDV</w:t>
      </w:r>
      <w:r w:rsidR="0095771E" w:rsidRPr="0095771E">
        <w:t xml:space="preserve"> and </w:t>
      </w:r>
      <w:r w:rsidR="0063513E">
        <w:t>SOF</w:t>
      </w:r>
      <w:r w:rsidR="009203E1">
        <w:t>.</w:t>
      </w:r>
    </w:p>
    <w:p w:rsidR="0095771E" w:rsidRPr="0095771E" w:rsidRDefault="0095771E" w:rsidP="0095771E">
      <w:pPr>
        <w:pStyle w:val="ListBullet"/>
      </w:pPr>
      <w:r w:rsidRPr="0095771E">
        <w:t>Primary pharmacology studies were conducted entirely in vitro.</w:t>
      </w:r>
      <w:r w:rsidR="00B90AF7">
        <w:t xml:space="preserve"> </w:t>
      </w:r>
      <w:r w:rsidRPr="0095771E">
        <w:t>Most studies were co</w:t>
      </w:r>
      <w:r w:rsidR="006178BB">
        <w:t xml:space="preserve">nducted using </w:t>
      </w:r>
      <w:r w:rsidRPr="0095771E">
        <w:t xml:space="preserve">HCV </w:t>
      </w:r>
      <w:proofErr w:type="spellStart"/>
      <w:r w:rsidRPr="0095771E">
        <w:t>subgenomic</w:t>
      </w:r>
      <w:proofErr w:type="spellEnd"/>
      <w:r w:rsidRPr="0095771E">
        <w:t xml:space="preserve"> replicons.</w:t>
      </w:r>
      <w:r w:rsidR="00B90AF7">
        <w:t xml:space="preserve"> </w:t>
      </w:r>
      <w:r w:rsidRPr="0095771E">
        <w:t xml:space="preserve">Primary pharmacology studies established inhibition of GT 1a, 1b, 2a, 2b, 3a, 4a, 5a and 6a replicons by </w:t>
      </w:r>
      <w:r w:rsidR="007B3AED">
        <w:t>LDV</w:t>
      </w:r>
      <w:r w:rsidRPr="0095771E">
        <w:t>, with the greatest potency against GT1 a and b.</w:t>
      </w:r>
      <w:r w:rsidR="00B90AF7">
        <w:t xml:space="preserve"> </w:t>
      </w:r>
      <w:r w:rsidR="007B3AED">
        <w:t>LDV</w:t>
      </w:r>
      <w:r w:rsidRPr="0095771E">
        <w:t xml:space="preserve"> was also active against infectious HCV genotype 2a (J6/JFH-1) in Lunet-CD81 cells.</w:t>
      </w:r>
    </w:p>
    <w:p w:rsidR="009203E1" w:rsidRDefault="007B3AED" w:rsidP="0095771E">
      <w:pPr>
        <w:pStyle w:val="ListBullet"/>
      </w:pPr>
      <w:r>
        <w:t>LDV</w:t>
      </w:r>
      <w:r w:rsidR="0095771E" w:rsidRPr="0095771E">
        <w:t xml:space="preserve"> had no off</w:t>
      </w:r>
      <w:r w:rsidR="00406C02">
        <w:t xml:space="preserve"> </w:t>
      </w:r>
      <w:r w:rsidR="0095771E" w:rsidRPr="0095771E">
        <w:t xml:space="preserve">target actions </w:t>
      </w:r>
      <w:r w:rsidR="0095771E" w:rsidRPr="00406C02">
        <w:rPr>
          <w:i/>
        </w:rPr>
        <w:t>in vitro</w:t>
      </w:r>
      <w:r w:rsidR="0095771E" w:rsidRPr="0095771E">
        <w:t xml:space="preserve"> that were considered potentially clinically significant</w:t>
      </w:r>
      <w:r w:rsidR="009203E1">
        <w:t>.</w:t>
      </w:r>
    </w:p>
    <w:p w:rsidR="0095771E" w:rsidRPr="0095771E" w:rsidRDefault="007B3AED" w:rsidP="0095771E">
      <w:pPr>
        <w:pStyle w:val="ListBullet"/>
      </w:pPr>
      <w:r>
        <w:t>LDV</w:t>
      </w:r>
      <w:r w:rsidR="0095771E" w:rsidRPr="0095771E">
        <w:t xml:space="preserve"> did not have any notable effects on CNS, cardiovascular or respiratory function following oral administration and had no effects on </w:t>
      </w:r>
      <w:proofErr w:type="spellStart"/>
      <w:r w:rsidR="0095771E" w:rsidRPr="0095771E">
        <w:t>hERG</w:t>
      </w:r>
      <w:proofErr w:type="spellEnd"/>
      <w:r w:rsidR="0095771E" w:rsidRPr="0095771E">
        <w:t xml:space="preserve"> channels in vitro.</w:t>
      </w:r>
    </w:p>
    <w:p w:rsidR="0095771E" w:rsidRPr="0095771E" w:rsidRDefault="007B3AED" w:rsidP="0095771E">
      <w:pPr>
        <w:pStyle w:val="ListBullet"/>
      </w:pPr>
      <w:r>
        <w:t>LDV</w:t>
      </w:r>
      <w:r w:rsidR="0095771E" w:rsidRPr="0095771E">
        <w:t xml:space="preserve"> was absorbed relatively quickly (more slowly than </w:t>
      </w:r>
      <w:r w:rsidR="0063513E">
        <w:t>SOF</w:t>
      </w:r>
      <w:r w:rsidR="0095771E" w:rsidRPr="0095771E">
        <w:t xml:space="preserve">) and widely in humans and nonclinical species. Systemic clearance was low in these species and less than 12% of hepatic blood flow indicative of low hepatic metabolism. Volumes of distribution in these species were greater than total body water indicting wide tissue distribution. Bioavailability was moderate in rats, dogs, and monkeys. Plasma half-life ranged from 4.7 to 10.3 hours in rats, dogs, and monkeys in single dose studies. </w:t>
      </w:r>
      <w:r>
        <w:t>LDV</w:t>
      </w:r>
      <w:r w:rsidR="0095771E" w:rsidRPr="0095771E">
        <w:t xml:space="preserve"> does not readily cross blood-brain or blood-tested barriers. Excretion of </w:t>
      </w:r>
      <w:r>
        <w:t>LDV</w:t>
      </w:r>
      <w:r w:rsidR="0095771E" w:rsidRPr="0095771E">
        <w:t xml:space="preserve"> was almost exclusively via the faecal route in humans and laboratory species. </w:t>
      </w:r>
      <w:r>
        <w:t>LDV</w:t>
      </w:r>
      <w:r w:rsidR="0095771E" w:rsidRPr="0095771E">
        <w:t xml:space="preserve"> is an inhibitor of drug transporter P-</w:t>
      </w:r>
      <w:proofErr w:type="spellStart"/>
      <w:r w:rsidR="0095771E" w:rsidRPr="0095771E">
        <w:t>gp</w:t>
      </w:r>
      <w:proofErr w:type="spellEnd"/>
      <w:r w:rsidR="0095771E" w:rsidRPr="0095771E">
        <w:t xml:space="preserve"> and BCRP and may increase intestinal absorption of co-administered drug substrates for these transporters. The absorption of both </w:t>
      </w:r>
      <w:r w:rsidR="0063513E">
        <w:t>SOF</w:t>
      </w:r>
      <w:r w:rsidR="0095771E" w:rsidRPr="0095771E">
        <w:t xml:space="preserve"> and </w:t>
      </w:r>
      <w:r>
        <w:t>LDV</w:t>
      </w:r>
      <w:r w:rsidR="0095771E" w:rsidRPr="0095771E">
        <w:t xml:space="preserve"> may be increased by administration of inhibitors or decreased by administration of inducers of intestinal efflux transporters.</w:t>
      </w:r>
    </w:p>
    <w:p w:rsidR="0095771E" w:rsidRPr="0095771E" w:rsidRDefault="0095771E" w:rsidP="0095771E">
      <w:pPr>
        <w:pStyle w:val="ListBullet"/>
      </w:pPr>
      <w:r w:rsidRPr="0095771E">
        <w:t>No acute toxicity studies were conducted.</w:t>
      </w:r>
      <w:r w:rsidR="00B90AF7">
        <w:t xml:space="preserve"> </w:t>
      </w:r>
      <w:r w:rsidRPr="0095771E">
        <w:t xml:space="preserve">There was no evidence of acute toxicity of </w:t>
      </w:r>
      <w:r w:rsidR="007B3AED">
        <w:t>LDV</w:t>
      </w:r>
      <w:r w:rsidRPr="0095771E">
        <w:t xml:space="preserve"> in any repeat</w:t>
      </w:r>
      <w:r w:rsidR="00B07DAA">
        <w:t xml:space="preserve"> </w:t>
      </w:r>
      <w:r w:rsidRPr="0095771E">
        <w:t>dose toxicity studies.</w:t>
      </w:r>
    </w:p>
    <w:p w:rsidR="0095771E" w:rsidRPr="0095771E" w:rsidRDefault="0095771E" w:rsidP="0095771E">
      <w:pPr>
        <w:pStyle w:val="ListBullet"/>
      </w:pPr>
      <w:r w:rsidRPr="0095771E">
        <w:t>No major toxicities were apparent in repeat</w:t>
      </w:r>
      <w:r w:rsidR="00B07DAA">
        <w:t xml:space="preserve"> </w:t>
      </w:r>
      <w:r w:rsidRPr="0095771E">
        <w:t>dose studies at doses up to ER</w:t>
      </w:r>
      <w:r w:rsidRPr="00B07DAA">
        <w:rPr>
          <w:vertAlign w:val="subscript"/>
        </w:rPr>
        <w:t>AUC</w:t>
      </w:r>
      <w:r w:rsidRPr="0095771E">
        <w:t xml:space="preserve"> 25.5 (mouse), 6.6 (rat), and 11.5 (dog). No combination toxicity studies were conducted with </w:t>
      </w:r>
      <w:r w:rsidR="007B3AED">
        <w:t>LDV</w:t>
      </w:r>
      <w:r w:rsidRPr="0095771E">
        <w:t xml:space="preserve"> and </w:t>
      </w:r>
      <w:r w:rsidR="0063513E">
        <w:t>SOF</w:t>
      </w:r>
      <w:r w:rsidRPr="0095771E">
        <w:t>.</w:t>
      </w:r>
    </w:p>
    <w:p w:rsidR="0095771E" w:rsidRPr="0095771E" w:rsidRDefault="0095771E" w:rsidP="0095771E">
      <w:pPr>
        <w:pStyle w:val="ListBullet"/>
      </w:pPr>
      <w:r w:rsidRPr="0095771E">
        <w:t xml:space="preserve">The potential </w:t>
      </w:r>
      <w:proofErr w:type="spellStart"/>
      <w:r w:rsidRPr="0095771E">
        <w:t>genotoxicity</w:t>
      </w:r>
      <w:proofErr w:type="spellEnd"/>
      <w:r w:rsidRPr="0095771E">
        <w:t xml:space="preserve"> of </w:t>
      </w:r>
      <w:r w:rsidR="007B3AED">
        <w:t>LDV</w:t>
      </w:r>
      <w:r w:rsidRPr="0095771E">
        <w:t xml:space="preserve"> was investigated in a standard battery of tests.</w:t>
      </w:r>
      <w:r w:rsidR="00B90AF7">
        <w:t xml:space="preserve"> </w:t>
      </w:r>
      <w:r w:rsidRPr="0095771E">
        <w:t xml:space="preserve">The results were negative in all tests and </w:t>
      </w:r>
      <w:r w:rsidR="007B3AED">
        <w:t>LDV</w:t>
      </w:r>
      <w:r w:rsidRPr="0095771E">
        <w:t xml:space="preserve"> is unlikely to pose a mutagenic or </w:t>
      </w:r>
      <w:proofErr w:type="spellStart"/>
      <w:r w:rsidRPr="0095771E">
        <w:t>clastogenic</w:t>
      </w:r>
      <w:proofErr w:type="spellEnd"/>
      <w:r w:rsidRPr="0095771E">
        <w:t xml:space="preserve"> risk to humans.</w:t>
      </w:r>
      <w:r w:rsidR="00B90AF7">
        <w:t xml:space="preserve"> </w:t>
      </w:r>
      <w:r w:rsidRPr="0095771E">
        <w:t xml:space="preserve">No carcinogenicity studies with </w:t>
      </w:r>
      <w:r w:rsidR="007B3AED">
        <w:t>LDV</w:t>
      </w:r>
      <w:r w:rsidRPr="0095771E">
        <w:t xml:space="preserve"> were submitted but the sponsor indicated that long-term </w:t>
      </w:r>
      <w:r w:rsidR="00B07DAA">
        <w:t>studies on mice and rats are on</w:t>
      </w:r>
      <w:r w:rsidRPr="0095771E">
        <w:t>going.</w:t>
      </w:r>
    </w:p>
    <w:p w:rsidR="009203E1" w:rsidRDefault="000D39E8" w:rsidP="0095771E">
      <w:pPr>
        <w:pStyle w:val="ListBullet"/>
      </w:pPr>
      <w:r w:rsidRPr="0095771E">
        <w:t xml:space="preserve">The sponsor included 2 previously unfinished carcinogenicity studies with </w:t>
      </w:r>
      <w:r>
        <w:t>SOF</w:t>
      </w:r>
      <w:r w:rsidRPr="0095771E">
        <w:t xml:space="preserve">. No treatment related increase in tumour incidence was observed with </w:t>
      </w:r>
      <w:r>
        <w:t>SOF</w:t>
      </w:r>
      <w:r w:rsidRPr="0095771E">
        <w:t xml:space="preserve"> in mice or rats in 2</w:t>
      </w:r>
      <w:r w:rsidR="0013713F">
        <w:t xml:space="preserve"> </w:t>
      </w:r>
      <w:r w:rsidRPr="0095771E">
        <w:t>year oral carcinogenicity studies not evaluated previously.</w:t>
      </w:r>
      <w:r>
        <w:t xml:space="preserve"> </w:t>
      </w:r>
      <w:r w:rsidRPr="0095771E">
        <w:t>The high doses achieved an ER</w:t>
      </w:r>
      <w:r w:rsidRPr="000D1690">
        <w:rPr>
          <w:vertAlign w:val="subscript"/>
        </w:rPr>
        <w:t>AUC</w:t>
      </w:r>
      <w:r w:rsidRPr="0095771E">
        <w:t xml:space="preserve"> of </w:t>
      </w:r>
      <w:r>
        <w:t>7</w:t>
      </w:r>
      <w:r w:rsidRPr="0095771E">
        <w:t xml:space="preserve"> (males) and 24 (females) in mice and 11 (males) and 1</w:t>
      </w:r>
      <w:r>
        <w:t>5</w:t>
      </w:r>
      <w:r w:rsidRPr="0095771E">
        <w:t xml:space="preserve"> (females) in rats</w:t>
      </w:r>
      <w:r w:rsidR="009203E1">
        <w:t>.</w:t>
      </w:r>
    </w:p>
    <w:p w:rsidR="0095771E" w:rsidRPr="0095771E" w:rsidRDefault="007B3AED" w:rsidP="0095771E">
      <w:pPr>
        <w:pStyle w:val="ListBullet"/>
      </w:pPr>
      <w:r>
        <w:t>LDV</w:t>
      </w:r>
      <w:r w:rsidR="0095771E" w:rsidRPr="0095771E">
        <w:t xml:space="preserve"> had no effects on fertility, </w:t>
      </w:r>
      <w:proofErr w:type="spellStart"/>
      <w:r w:rsidR="0095771E" w:rsidRPr="0095771E">
        <w:t>embryof</w:t>
      </w:r>
      <w:r w:rsidR="009E42BE">
        <w:t>o</w:t>
      </w:r>
      <w:r w:rsidR="0095771E" w:rsidRPr="0095771E">
        <w:t>etal</w:t>
      </w:r>
      <w:proofErr w:type="spellEnd"/>
      <w:r w:rsidR="0095771E" w:rsidRPr="0095771E">
        <w:t xml:space="preserve"> or post-natal development in rats or on </w:t>
      </w:r>
      <w:proofErr w:type="spellStart"/>
      <w:r w:rsidR="0095771E" w:rsidRPr="0095771E">
        <w:t>embryof</w:t>
      </w:r>
      <w:r w:rsidR="009E42BE">
        <w:t>o</w:t>
      </w:r>
      <w:r w:rsidR="0095771E" w:rsidRPr="0095771E">
        <w:t>etal</w:t>
      </w:r>
      <w:proofErr w:type="spellEnd"/>
      <w:r w:rsidR="0095771E" w:rsidRPr="0095771E">
        <w:t xml:space="preserve"> development in rabbits.</w:t>
      </w:r>
    </w:p>
    <w:p w:rsidR="0095771E" w:rsidRPr="0095771E" w:rsidRDefault="007B3AED" w:rsidP="0095771E">
      <w:pPr>
        <w:pStyle w:val="ListBullet"/>
      </w:pPr>
      <w:r>
        <w:t>LDV</w:t>
      </w:r>
      <w:r w:rsidR="0095771E" w:rsidRPr="0095771E">
        <w:t xml:space="preserve"> did not produce skin or ocular irritation and did not cause skin sensitisation.</w:t>
      </w:r>
    </w:p>
    <w:p w:rsidR="0095771E" w:rsidRDefault="0095771E" w:rsidP="0095771E">
      <w:pPr>
        <w:pStyle w:val="Heading4"/>
      </w:pPr>
      <w:r>
        <w:t>Conclusions and recommendation</w:t>
      </w:r>
    </w:p>
    <w:p w:rsidR="00750161" w:rsidRPr="00750161" w:rsidRDefault="00750161" w:rsidP="00750161">
      <w:pPr>
        <w:pStyle w:val="ListBullet"/>
      </w:pPr>
      <w:r w:rsidRPr="00750161">
        <w:t>There are no major deficiencies</w:t>
      </w:r>
      <w:r>
        <w:t xml:space="preserve"> in the nonclinical dossier</w:t>
      </w:r>
      <w:r w:rsidRPr="00750161">
        <w:t>.</w:t>
      </w:r>
    </w:p>
    <w:p w:rsidR="00750161" w:rsidRPr="00750161" w:rsidRDefault="00750161" w:rsidP="00750161">
      <w:pPr>
        <w:pStyle w:val="ListBullet"/>
      </w:pPr>
      <w:r w:rsidRPr="00750161">
        <w:lastRenderedPageBreak/>
        <w:t xml:space="preserve">Primary pharmacology studies established anti-HCV activity against HCV genotype 1 and other genotypes, and the efficacy of </w:t>
      </w:r>
      <w:r w:rsidR="007B3AED">
        <w:t>LDV</w:t>
      </w:r>
      <w:r w:rsidRPr="00750161">
        <w:t xml:space="preserve"> against an infectious HCV genotype </w:t>
      </w:r>
      <w:r w:rsidRPr="009E42BE">
        <w:rPr>
          <w:i/>
        </w:rPr>
        <w:t>in vitro</w:t>
      </w:r>
      <w:r w:rsidRPr="00750161">
        <w:t>.</w:t>
      </w:r>
    </w:p>
    <w:p w:rsidR="00750161" w:rsidRPr="00750161" w:rsidRDefault="00750161" w:rsidP="00750161">
      <w:pPr>
        <w:pStyle w:val="ListBullet"/>
      </w:pPr>
      <w:r w:rsidRPr="00750161">
        <w:t xml:space="preserve">No clinically relevant hazards were identified in </w:t>
      </w:r>
      <w:r w:rsidR="007B3AED">
        <w:t>LDV</w:t>
      </w:r>
      <w:r w:rsidRPr="00750161">
        <w:t xml:space="preserve"> safety studies.</w:t>
      </w:r>
    </w:p>
    <w:p w:rsidR="00750161" w:rsidRPr="00750161" w:rsidRDefault="007B3AED" w:rsidP="00750161">
      <w:pPr>
        <w:pStyle w:val="ListBullet"/>
      </w:pPr>
      <w:r>
        <w:t>LDV</w:t>
      </w:r>
      <w:r w:rsidR="00750161" w:rsidRPr="00750161">
        <w:t xml:space="preserve"> is an inhibitor of drug transporter P-</w:t>
      </w:r>
      <w:proofErr w:type="spellStart"/>
      <w:r w:rsidR="00750161" w:rsidRPr="00750161">
        <w:t>gp</w:t>
      </w:r>
      <w:proofErr w:type="spellEnd"/>
      <w:r w:rsidR="00750161" w:rsidRPr="00750161">
        <w:t xml:space="preserve"> and BCRP and may increase intestinal absorption of co-administered drug substrates for these transporters. The absorption of both </w:t>
      </w:r>
      <w:r w:rsidR="0063513E">
        <w:t>SOF</w:t>
      </w:r>
      <w:r w:rsidR="00750161" w:rsidRPr="00750161">
        <w:t xml:space="preserve"> and </w:t>
      </w:r>
      <w:r>
        <w:t>LDV</w:t>
      </w:r>
      <w:r w:rsidR="00750161" w:rsidRPr="00750161">
        <w:t xml:space="preserve"> may be increased by administration of inhibitors or decreased by administration of inducers of intestinal efflux transporters.</w:t>
      </w:r>
    </w:p>
    <w:p w:rsidR="00750161" w:rsidRPr="00750161" w:rsidRDefault="00750161" w:rsidP="00750161">
      <w:pPr>
        <w:pStyle w:val="ListBullet"/>
      </w:pPr>
      <w:r w:rsidRPr="00750161">
        <w:t xml:space="preserve">No major organ toxicities were observed with </w:t>
      </w:r>
      <w:r w:rsidR="007B3AED">
        <w:t>LDV</w:t>
      </w:r>
      <w:r w:rsidRPr="00750161">
        <w:t xml:space="preserve"> in repeat-dose studies in any species. Drug exposures were limited by the low solubility of </w:t>
      </w:r>
      <w:r w:rsidR="007B3AED">
        <w:t>LDV</w:t>
      </w:r>
      <w:r w:rsidRPr="00750161">
        <w:t xml:space="preserve">, but were adequate. There were no toxicity studies with the </w:t>
      </w:r>
      <w:r w:rsidR="007B3AED">
        <w:t>LDV</w:t>
      </w:r>
      <w:r w:rsidRPr="00750161">
        <w:t>/</w:t>
      </w:r>
      <w:r w:rsidR="0063513E">
        <w:t>SOF</w:t>
      </w:r>
      <w:r w:rsidRPr="00750161">
        <w:t xml:space="preserve"> combination.</w:t>
      </w:r>
    </w:p>
    <w:p w:rsidR="009203E1" w:rsidRDefault="007B3AED" w:rsidP="00750161">
      <w:pPr>
        <w:pStyle w:val="ListBullet"/>
      </w:pPr>
      <w:r>
        <w:t>LDV</w:t>
      </w:r>
      <w:r w:rsidR="00750161" w:rsidRPr="00750161">
        <w:t xml:space="preserve"> was negative in standard </w:t>
      </w:r>
      <w:proofErr w:type="spellStart"/>
      <w:r w:rsidR="00750161" w:rsidRPr="00750161">
        <w:t>genotoxicity</w:t>
      </w:r>
      <w:proofErr w:type="spellEnd"/>
      <w:r w:rsidR="00750161" w:rsidRPr="00750161">
        <w:t xml:space="preserve"> assays.</w:t>
      </w:r>
      <w:r w:rsidR="00B90AF7">
        <w:t xml:space="preserve"> </w:t>
      </w:r>
      <w:r w:rsidR="00750161" w:rsidRPr="00750161">
        <w:t xml:space="preserve">Carcinogenicity studies in mice and rats with </w:t>
      </w:r>
      <w:r w:rsidR="0063513E">
        <w:t>SOF</w:t>
      </w:r>
      <w:r w:rsidR="00750161" w:rsidRPr="00750161">
        <w:t xml:space="preserve"> were negative. </w:t>
      </w:r>
      <w:r>
        <w:t>LDV</w:t>
      </w:r>
      <w:r w:rsidR="00750161" w:rsidRPr="00750161">
        <w:t xml:space="preserve"> carcinogenicity studies are in progress in mice and rats and should be submitted upon completion (December 2015)</w:t>
      </w:r>
      <w:r w:rsidR="009203E1">
        <w:t>.</w:t>
      </w:r>
    </w:p>
    <w:p w:rsidR="009203E1" w:rsidRDefault="00750161" w:rsidP="00750161">
      <w:pPr>
        <w:pStyle w:val="ListBullet"/>
      </w:pPr>
      <w:r w:rsidRPr="00750161">
        <w:t xml:space="preserve">There was no evidence of developmental toxicity with </w:t>
      </w:r>
      <w:r w:rsidR="007B3AED">
        <w:t>LDV</w:t>
      </w:r>
      <w:r w:rsidRPr="00750161">
        <w:t xml:space="preserve"> and Australian Pregnancy category B1 is appropriate</w:t>
      </w:r>
      <w:r w:rsidR="009203E1">
        <w:t>.</w:t>
      </w:r>
    </w:p>
    <w:p w:rsidR="00750161" w:rsidRPr="00750161" w:rsidRDefault="00750161" w:rsidP="00750161">
      <w:pPr>
        <w:pStyle w:val="ListBullet"/>
      </w:pPr>
      <w:r w:rsidRPr="00750161">
        <w:t xml:space="preserve">There are no nonclinical objections to the registration of </w:t>
      </w:r>
      <w:r w:rsidR="007B3AED">
        <w:t>LDV</w:t>
      </w:r>
      <w:r w:rsidRPr="00750161">
        <w:t>.</w:t>
      </w:r>
    </w:p>
    <w:p w:rsidR="00750161" w:rsidRPr="00750161" w:rsidRDefault="00750161" w:rsidP="00750161">
      <w:pPr>
        <w:pStyle w:val="ListBullet"/>
      </w:pPr>
      <w:r w:rsidRPr="00750161">
        <w:t xml:space="preserve">Based on the nonclinical data provided in this submission for </w:t>
      </w:r>
      <w:r w:rsidR="007B3AED">
        <w:t>LDV</w:t>
      </w:r>
      <w:r w:rsidRPr="00750161">
        <w:t xml:space="preserve"> and evaluated in the previous submission for </w:t>
      </w:r>
      <w:r w:rsidR="0063513E">
        <w:t>SOF</w:t>
      </w:r>
      <w:r w:rsidRPr="00750161">
        <w:t xml:space="preserve">, there are no nonclinical objections to the registration of </w:t>
      </w:r>
      <w:proofErr w:type="spellStart"/>
      <w:r w:rsidRPr="00750161">
        <w:t>Harvoni</w:t>
      </w:r>
      <w:proofErr w:type="spellEnd"/>
      <w:r w:rsidRPr="00750161">
        <w:t xml:space="preserve"> for treatment of genotype 1 infection.</w:t>
      </w:r>
    </w:p>
    <w:p w:rsidR="008E7846" w:rsidRPr="00254787" w:rsidRDefault="008E7846" w:rsidP="008E7846">
      <w:pPr>
        <w:pStyle w:val="Heading2"/>
      </w:pPr>
      <w:bookmarkStart w:id="62" w:name="_Toc196046462"/>
      <w:bookmarkStart w:id="63" w:name="_Toc247691516"/>
      <w:bookmarkStart w:id="64" w:name="_Toc314842500"/>
      <w:bookmarkStart w:id="65" w:name="_Toc432073727"/>
      <w:bookmarkStart w:id="66" w:name="_Toc163441353"/>
      <w:bookmarkStart w:id="67" w:name="_Toc163441348"/>
      <w:r>
        <w:t xml:space="preserve">IV. </w:t>
      </w:r>
      <w:r w:rsidRPr="00254787">
        <w:t>Clinical</w:t>
      </w:r>
      <w:bookmarkEnd w:id="62"/>
      <w:r>
        <w:t xml:space="preserve"> </w:t>
      </w:r>
      <w:r w:rsidR="003A7F6C">
        <w:t>f</w:t>
      </w:r>
      <w:r>
        <w:t>indings</w:t>
      </w:r>
      <w:bookmarkEnd w:id="63"/>
      <w:bookmarkEnd w:id="64"/>
      <w:bookmarkEnd w:id="65"/>
    </w:p>
    <w:p w:rsidR="008E7846" w:rsidRDefault="008E7846" w:rsidP="008E7846">
      <w:pPr>
        <w:pStyle w:val="Heading3"/>
      </w:pPr>
      <w:bookmarkStart w:id="68" w:name="_Toc196046463"/>
      <w:bookmarkStart w:id="69" w:name="_Toc247691517"/>
      <w:bookmarkStart w:id="70" w:name="_Toc314842501"/>
      <w:bookmarkStart w:id="71" w:name="_Toc432073728"/>
      <w:r w:rsidRPr="00254787">
        <w:t>Introduction</w:t>
      </w:r>
      <w:bookmarkEnd w:id="68"/>
      <w:bookmarkEnd w:id="69"/>
      <w:bookmarkEnd w:id="70"/>
      <w:bookmarkEnd w:id="71"/>
    </w:p>
    <w:p w:rsidR="003D13F1" w:rsidRPr="00453666" w:rsidRDefault="00290F71" w:rsidP="003D13F1">
      <w:bookmarkStart w:id="72" w:name="_Toc196046464"/>
      <w:bookmarkStart w:id="73" w:name="_Toc247691518"/>
      <w:bookmarkStart w:id="74" w:name="_Toc314842502"/>
      <w:r w:rsidRPr="00290F71">
        <w:t xml:space="preserve">This is a Category 1, Type </w:t>
      </w:r>
      <w:proofErr w:type="gramStart"/>
      <w:r w:rsidRPr="00290F71">
        <w:t>A</w:t>
      </w:r>
      <w:proofErr w:type="gramEnd"/>
      <w:r w:rsidRPr="00290F71">
        <w:t xml:space="preserve"> application to register </w:t>
      </w:r>
      <w:proofErr w:type="spellStart"/>
      <w:r>
        <w:t>Harvoni</w:t>
      </w:r>
      <w:proofErr w:type="spellEnd"/>
      <w:r>
        <w:t xml:space="preserve"> </w:t>
      </w:r>
      <w:r w:rsidR="00DE5E5A">
        <w:t xml:space="preserve">(90 mg </w:t>
      </w:r>
      <w:r w:rsidR="007B3AED">
        <w:t>LDV</w:t>
      </w:r>
      <w:r w:rsidR="00DE5E5A">
        <w:t>/</w:t>
      </w:r>
      <w:r w:rsidRPr="00290F71">
        <w:t xml:space="preserve">400 mg </w:t>
      </w:r>
      <w:r w:rsidR="0063513E">
        <w:t>SOF</w:t>
      </w:r>
      <w:r w:rsidRPr="00290F71">
        <w:t xml:space="preserve">) </w:t>
      </w:r>
      <w:r w:rsidR="0087498F">
        <w:t>FDC</w:t>
      </w:r>
      <w:r w:rsidRPr="00290F71">
        <w:t xml:space="preserve"> tablets</w:t>
      </w:r>
      <w:r>
        <w:t>.</w:t>
      </w:r>
    </w:p>
    <w:p w:rsidR="00605AD4" w:rsidRPr="00605AD4" w:rsidRDefault="00605AD4" w:rsidP="00605AD4">
      <w:pPr>
        <w:pStyle w:val="Heading4"/>
      </w:pPr>
      <w:r w:rsidRPr="00605AD4">
        <w:t xml:space="preserve">Clinical </w:t>
      </w:r>
      <w:r w:rsidR="003D13F1">
        <w:t>r</w:t>
      </w:r>
      <w:r w:rsidRPr="00605AD4">
        <w:t>ationale</w:t>
      </w:r>
    </w:p>
    <w:p w:rsidR="00DE5E5A" w:rsidRPr="004A58A6" w:rsidRDefault="00DE5E5A" w:rsidP="004A58A6">
      <w:r w:rsidRPr="004A58A6">
        <w:t>As stated in the Clinical Summary:</w:t>
      </w:r>
    </w:p>
    <w:p w:rsidR="00DE5E5A" w:rsidRPr="004A58A6" w:rsidRDefault="00DE5E5A" w:rsidP="004A58A6">
      <w:pPr>
        <w:ind w:left="720"/>
        <w:rPr>
          <w:i/>
        </w:rPr>
      </w:pPr>
      <w:r w:rsidRPr="004A58A6">
        <w:rPr>
          <w:i/>
        </w:rPr>
        <w:t>Chronic HCV infection is a global health problem with an estimated 170 million individuals infected worldwide.</w:t>
      </w:r>
      <w:r w:rsidR="00B90AF7">
        <w:rPr>
          <w:i/>
        </w:rPr>
        <w:t xml:space="preserve"> </w:t>
      </w:r>
      <w:r w:rsidRPr="004A58A6">
        <w:rPr>
          <w:i/>
        </w:rPr>
        <w:t>In the US, an estimated 3.2 million people have chronic HCV infection.</w:t>
      </w:r>
      <w:r w:rsidR="00B90AF7">
        <w:rPr>
          <w:i/>
        </w:rPr>
        <w:t xml:space="preserve"> </w:t>
      </w:r>
      <w:r w:rsidRPr="004A58A6">
        <w:rPr>
          <w:i/>
        </w:rPr>
        <w:t>Chronic HCV infection leads to approximately 16,000 deaths each year in the US.</w:t>
      </w:r>
      <w:r w:rsidR="00B90AF7">
        <w:rPr>
          <w:i/>
        </w:rPr>
        <w:t xml:space="preserve"> </w:t>
      </w:r>
      <w:r w:rsidRPr="004A58A6">
        <w:rPr>
          <w:i/>
        </w:rPr>
        <w:t>In Europe, an estimated 7.3 to 8.8 million people have chronic HCV infection leading to approximately 86,000 deaths each year.</w:t>
      </w:r>
      <w:r w:rsidR="00B90AF7">
        <w:rPr>
          <w:i/>
        </w:rPr>
        <w:t xml:space="preserve"> </w:t>
      </w:r>
      <w:r w:rsidRPr="004A58A6">
        <w:rPr>
          <w:i/>
        </w:rPr>
        <w:t>Up to 85% of individuals infected with HCV fail to clear the virus and progress to chronic infection: over the ensuing 20 years, as many as 20% of patients with chronic HCV infection are estimated to develop complications, including cirrhosis, end-stage liver disease, and hepatocellular carcinoma (HCC).</w:t>
      </w:r>
      <w:r w:rsidR="00B90AF7">
        <w:rPr>
          <w:i/>
        </w:rPr>
        <w:t xml:space="preserve"> </w:t>
      </w:r>
      <w:r w:rsidRPr="004A58A6">
        <w:rPr>
          <w:i/>
        </w:rPr>
        <w:t xml:space="preserve">Complications from chronic HCV infection are responsible for approximately half of all liver transplants; HCV is therefore the most frequent indication for </w:t>
      </w:r>
      <w:proofErr w:type="spellStart"/>
      <w:r w:rsidRPr="004A58A6">
        <w:rPr>
          <w:i/>
        </w:rPr>
        <w:t>or</w:t>
      </w:r>
      <w:r w:rsidR="004A58A6" w:rsidRPr="004A58A6">
        <w:rPr>
          <w:i/>
        </w:rPr>
        <w:t>thotopic</w:t>
      </w:r>
      <w:proofErr w:type="spellEnd"/>
      <w:r w:rsidR="004A58A6" w:rsidRPr="004A58A6">
        <w:rPr>
          <w:i/>
        </w:rPr>
        <w:t xml:space="preserve"> liver transplantation.</w:t>
      </w:r>
    </w:p>
    <w:p w:rsidR="007141A0" w:rsidRDefault="00DE5E5A" w:rsidP="004A58A6">
      <w:pPr>
        <w:ind w:left="720"/>
        <w:rPr>
          <w:i/>
        </w:rPr>
      </w:pPr>
      <w:r w:rsidRPr="004A58A6">
        <w:rPr>
          <w:i/>
        </w:rPr>
        <w:t>For genotype 1 HCV infection (subtypes 1a or 1b), which represents the majority of all cases of chronic HCV infection in the US (70% to 75%, predominantly subtype 1a) and Europe (69%, predominantly subtype 1b), the current standard treatment for treatment-naive patients is 12 to 24 weeks of an oral protease inhibitor (PI) combined with 24 to 48 weeks of Peg-IFN+RBV, with duration of therapy gui</w:t>
      </w:r>
      <w:r w:rsidR="007141A0">
        <w:rPr>
          <w:i/>
        </w:rPr>
        <w:t>ded by on-treatment response.</w:t>
      </w:r>
    </w:p>
    <w:p w:rsidR="00DE5E5A" w:rsidRPr="007141A0" w:rsidRDefault="00DE5E5A" w:rsidP="007141A0">
      <w:r w:rsidRPr="007141A0">
        <w:lastRenderedPageBreak/>
        <w:t>However, up to 50% of patients are not eligible for these treatments, and there are also serious disadvantages to these treatments, including poor tolerability, frequent adverse effects and high pill burdens.</w:t>
      </w:r>
    </w:p>
    <w:p w:rsidR="00DE5E5A" w:rsidRPr="004A58A6" w:rsidRDefault="00DE5E5A" w:rsidP="004A58A6">
      <w:r w:rsidRPr="004A58A6">
        <w:t>Hence:</w:t>
      </w:r>
    </w:p>
    <w:p w:rsidR="00DE5E5A" w:rsidRPr="004A58A6" w:rsidRDefault="004A58A6" w:rsidP="004A58A6">
      <w:pPr>
        <w:ind w:left="720"/>
        <w:rPr>
          <w:i/>
        </w:rPr>
      </w:pPr>
      <w:r w:rsidRPr="004A58A6">
        <w:rPr>
          <w:i/>
        </w:rPr>
        <w:t>T</w:t>
      </w:r>
      <w:r w:rsidR="00DE5E5A" w:rsidRPr="004A58A6">
        <w:rPr>
          <w:i/>
        </w:rPr>
        <w:t>here remains a significant unmet medical need for simplified treatment regimens that are more effective than the current standard of care, with better safety/tolerability profiles.</w:t>
      </w:r>
    </w:p>
    <w:p w:rsidR="00605AD4" w:rsidRPr="00605AD4" w:rsidRDefault="00605AD4" w:rsidP="00605AD4">
      <w:pPr>
        <w:pStyle w:val="Heading4"/>
      </w:pPr>
      <w:r w:rsidRPr="00605AD4">
        <w:t>Guidance</w:t>
      </w:r>
    </w:p>
    <w:p w:rsidR="0018475F" w:rsidRPr="0018475F" w:rsidRDefault="00D22D77" w:rsidP="0018475F">
      <w:r>
        <w:t>Two EMA guidelines</w:t>
      </w:r>
      <w:r w:rsidR="0018475F" w:rsidRPr="0018475F">
        <w:t xml:space="preserve"> re</w:t>
      </w:r>
      <w:r>
        <w:t>late to the present application.</w:t>
      </w:r>
      <w:r>
        <w:rPr>
          <w:rStyle w:val="FootnoteReference"/>
        </w:rPr>
        <w:footnoteReference w:id="5"/>
      </w:r>
      <w:r w:rsidR="001F2D9D">
        <w:t xml:space="preserve"> </w:t>
      </w:r>
      <w:r w:rsidR="0018475F" w:rsidRPr="0018475F">
        <w:t xml:space="preserve">The </w:t>
      </w:r>
      <w:r w:rsidR="00E378D6">
        <w:t>s</w:t>
      </w:r>
      <w:r w:rsidR="0018475F" w:rsidRPr="0018475F">
        <w:t>ponsor states:</w:t>
      </w:r>
    </w:p>
    <w:p w:rsidR="0018475F" w:rsidRPr="0018475F" w:rsidRDefault="0018475F" w:rsidP="0018475F">
      <w:pPr>
        <w:ind w:left="720"/>
        <w:rPr>
          <w:i/>
        </w:rPr>
      </w:pPr>
      <w:r w:rsidRPr="0018475F">
        <w:rPr>
          <w:i/>
        </w:rPr>
        <w:t xml:space="preserve">As outlined during the initial </w:t>
      </w:r>
      <w:r w:rsidR="0063513E">
        <w:rPr>
          <w:i/>
        </w:rPr>
        <w:t>SOF</w:t>
      </w:r>
      <w:r w:rsidRPr="0018475F">
        <w:rPr>
          <w:i/>
        </w:rPr>
        <w:t xml:space="preserve"> pre-submission meeting on 21 January 2013</w:t>
      </w:r>
      <w:r w:rsidR="001F2D9D">
        <w:rPr>
          <w:i/>
        </w:rPr>
        <w:t>,</w:t>
      </w:r>
      <w:r w:rsidRPr="0018475F">
        <w:rPr>
          <w:i/>
        </w:rPr>
        <w:t xml:space="preserve"> Gile</w:t>
      </w:r>
      <w:r w:rsidR="001F2D9D">
        <w:rPr>
          <w:i/>
        </w:rPr>
        <w:t>ad does not meet TGA adopted EM</w:t>
      </w:r>
      <w:r w:rsidRPr="0018475F">
        <w:rPr>
          <w:i/>
        </w:rPr>
        <w:t>A guideline "Guideline on the Clinical Evaluation of Direct Acting Antiviral Agents Intended for Treatment of Chronic Hepatitis C" as the duration for determining Sustained Virological Response (SVR) is shorter than noted in this guideline. During the pre-submission meeting this was discussed and considered acceptable, based on shorter SVR duration being validated and pre-agreed with US FD</w:t>
      </w:r>
      <w:r>
        <w:rPr>
          <w:i/>
        </w:rPr>
        <w:t>A and EMA.</w:t>
      </w:r>
    </w:p>
    <w:p w:rsidR="0018475F" w:rsidRPr="0018475F" w:rsidRDefault="0018475F" w:rsidP="0018475F">
      <w:r w:rsidRPr="0018475F">
        <w:t xml:space="preserve">The Guideline recommends the primary efficacy outcome measure should be </w:t>
      </w:r>
      <w:r w:rsidR="00C9158D">
        <w:t>SVR</w:t>
      </w:r>
      <w:r w:rsidRPr="0018475F">
        <w:t xml:space="preserve"> at 6 months.</w:t>
      </w:r>
    </w:p>
    <w:p w:rsidR="00E378D6" w:rsidRDefault="0018475F" w:rsidP="0018475F">
      <w:r w:rsidRPr="0018475F">
        <w:t xml:space="preserve">The </w:t>
      </w:r>
      <w:r w:rsidR="0065020F">
        <w:t>s</w:t>
      </w:r>
      <w:r w:rsidRPr="0018475F">
        <w:t>ponsor later states in the study re</w:t>
      </w:r>
      <w:r w:rsidR="00E378D6">
        <w:t>port for Study GS-US-337-0102:</w:t>
      </w:r>
    </w:p>
    <w:p w:rsidR="0018475F" w:rsidRPr="00E378D6" w:rsidRDefault="0018475F" w:rsidP="00E378D6">
      <w:pPr>
        <w:ind w:left="720"/>
        <w:rPr>
          <w:i/>
        </w:rPr>
      </w:pPr>
      <w:r w:rsidRPr="00E378D6">
        <w:rPr>
          <w:i/>
        </w:rPr>
        <w:t>During a Type C meeting with the US Food an</w:t>
      </w:r>
      <w:r w:rsidR="0051007B">
        <w:rPr>
          <w:i/>
        </w:rPr>
        <w:t xml:space="preserve">d Drug Administration (FDA) on </w:t>
      </w:r>
      <w:r w:rsidRPr="00E378D6">
        <w:rPr>
          <w:i/>
        </w:rPr>
        <w:t>3 June 2013, it was agreed that if 12</w:t>
      </w:r>
      <w:r w:rsidR="0051007B">
        <w:rPr>
          <w:i/>
        </w:rPr>
        <w:t xml:space="preserve"> </w:t>
      </w:r>
      <w:r w:rsidRPr="00E378D6">
        <w:rPr>
          <w:i/>
        </w:rPr>
        <w:t xml:space="preserve">weeks of </w:t>
      </w:r>
      <w:r w:rsidR="001853CD">
        <w:rPr>
          <w:i/>
        </w:rPr>
        <w:t>SOF/LDV</w:t>
      </w:r>
      <w:r w:rsidRPr="00E378D6">
        <w:rPr>
          <w:i/>
        </w:rPr>
        <w:t xml:space="preserve"> ± RBV was able to achieve an SVR12 ≥ 90% in subjects with and without cirrhosis separately, efficacy data from the 24-week treatment groups would not be n</w:t>
      </w:r>
      <w:r w:rsidR="00723262">
        <w:rPr>
          <w:i/>
        </w:rPr>
        <w:t>ecessary for the initial SOF</w:t>
      </w:r>
      <w:r w:rsidRPr="00E378D6">
        <w:rPr>
          <w:i/>
        </w:rPr>
        <w:t>/LDV new</w:t>
      </w:r>
      <w:r w:rsidR="00E378D6" w:rsidRPr="00E378D6">
        <w:rPr>
          <w:i/>
        </w:rPr>
        <w:t xml:space="preserve"> drug application (NDA) filing.</w:t>
      </w:r>
    </w:p>
    <w:p w:rsidR="00605AD4" w:rsidRPr="00605AD4" w:rsidRDefault="00605AD4" w:rsidP="00605AD4">
      <w:pPr>
        <w:pStyle w:val="Heading4"/>
      </w:pPr>
      <w:r w:rsidRPr="00605AD4">
        <w:t>Contents of the clinical dossier</w:t>
      </w:r>
    </w:p>
    <w:p w:rsidR="00116C98" w:rsidRDefault="00116C98" w:rsidP="00116C98">
      <w:r>
        <w:t>The submission contained the following clinical information:</w:t>
      </w:r>
    </w:p>
    <w:p w:rsidR="00116C98" w:rsidRPr="0016088A" w:rsidRDefault="00116C98" w:rsidP="007A3CB3">
      <w:pPr>
        <w:pStyle w:val="ListBullet"/>
      </w:pPr>
      <w:r w:rsidRPr="0016088A">
        <w:t xml:space="preserve">25 clinical pharmacology studies, including 24 that provided pharmacokinetic data and one that provided </w:t>
      </w:r>
      <w:proofErr w:type="spellStart"/>
      <w:r w:rsidRPr="0016088A">
        <w:t>pharmacodynamic</w:t>
      </w:r>
      <w:proofErr w:type="spellEnd"/>
      <w:r w:rsidRPr="0016088A">
        <w:t xml:space="preserve"> data.</w:t>
      </w:r>
      <w:r w:rsidR="00D564C1">
        <w:t xml:space="preserve"> </w:t>
      </w:r>
      <w:r w:rsidRPr="0016088A">
        <w:t>The pharmacokinetic studies were: Study GS-US-256-0110, Study GS-US-337-0101, Study GS-US-256-0101, Study GS-US-0108, Study GS-US-334-0111, Study GS-US-256-0102, Study GS-US-248-0117, Study GS-US-344-0101, Study GS-US-344-0108, Study GS-US-119-0113, GS-US-169-0105, Study GS-US-248-0102, Study GS-US-248-0104, Study GS-US-248-0107, Study GS-US-248-0125, Study GS-US-248-0127, Study GS-US-256-0129, Study GS-US-334-0101, Study GS-US-334-0146, Study GS-US-334-0148, GS-US-337-0127, Study GS-US-337-0128, Study GS-US-344-0102, and Study MK-5172-pn023.</w:t>
      </w:r>
      <w:r w:rsidR="00B90AF7">
        <w:t xml:space="preserve"> </w:t>
      </w:r>
      <w:r w:rsidRPr="0016088A">
        <w:t xml:space="preserve">The </w:t>
      </w:r>
      <w:proofErr w:type="spellStart"/>
      <w:r w:rsidRPr="0016088A">
        <w:t>pharmacodynamic</w:t>
      </w:r>
      <w:proofErr w:type="spellEnd"/>
      <w:r w:rsidRPr="0016088A">
        <w:t xml:space="preserve"> study was: Study GS-US-344-0109</w:t>
      </w:r>
    </w:p>
    <w:p w:rsidR="00116C98" w:rsidRPr="0016088A" w:rsidRDefault="00116C98" w:rsidP="007A3CB3">
      <w:pPr>
        <w:pStyle w:val="ListBullet"/>
      </w:pPr>
      <w:r w:rsidRPr="0016088A">
        <w:t xml:space="preserve">The pharmacokinetic studies were supplemented by 16 reports of </w:t>
      </w:r>
      <w:r w:rsidRPr="006C1336">
        <w:rPr>
          <w:i/>
        </w:rPr>
        <w:t>in</w:t>
      </w:r>
      <w:r w:rsidR="006C1336" w:rsidRPr="006C1336">
        <w:rPr>
          <w:i/>
        </w:rPr>
        <w:t xml:space="preserve"> </w:t>
      </w:r>
      <w:r w:rsidRPr="006C1336">
        <w:rPr>
          <w:i/>
        </w:rPr>
        <w:t>vitro</w:t>
      </w:r>
      <w:r w:rsidRPr="0016088A">
        <w:t xml:space="preserve"> studies: Study AD-256-2094, Study AD-256-2095, Study AD-256-2096, Study AD256-2097, Study AD-256-2098, Study AD-256-2109, Study AD-256-2132, Study AD-256-2133, Study AD-256-2134, Study AD-256-2139, Study AD-256-2140, Study AD-256-2143, Study AD-256-2144, Study AD-256-2146, Study AD-256-2150, and Study AD-256-2108</w:t>
      </w:r>
    </w:p>
    <w:p w:rsidR="00116C98" w:rsidRPr="0016088A" w:rsidRDefault="00116C98" w:rsidP="0016088A">
      <w:pPr>
        <w:pStyle w:val="ListBullet"/>
      </w:pPr>
      <w:r w:rsidRPr="0016088A">
        <w:lastRenderedPageBreak/>
        <w:t>Three population pharmacokinetic analyses: Pop-PK of GS331007, Pop-PK of SOF and Pop-PK of LV</w:t>
      </w:r>
    </w:p>
    <w:p w:rsidR="00116C98" w:rsidRPr="0016088A" w:rsidRDefault="00116C98" w:rsidP="0016088A">
      <w:pPr>
        <w:pStyle w:val="ListBullet"/>
      </w:pPr>
      <w:r w:rsidRPr="0016088A">
        <w:t>Three pivotal efficacy/safety studies: Study GS-US-337-0102, Study GS-US-337-0108 and Study GS-US-337-0109</w:t>
      </w:r>
    </w:p>
    <w:p w:rsidR="00116C98" w:rsidRPr="0016088A" w:rsidRDefault="00116C98" w:rsidP="0016088A">
      <w:pPr>
        <w:pStyle w:val="ListBullet"/>
      </w:pPr>
      <w:r w:rsidRPr="0016088A">
        <w:t>Three other efficacy/safety studies: GS-US-337-0118, GS-US-337-0122 and Study P7977-0523</w:t>
      </w:r>
    </w:p>
    <w:p w:rsidR="00116C98" w:rsidRPr="0016088A" w:rsidRDefault="00116C98" w:rsidP="0016088A">
      <w:pPr>
        <w:pStyle w:val="ListBullet"/>
      </w:pPr>
      <w:r w:rsidRPr="0016088A">
        <w:t>An Integrated Summary of Efficacy and an Integrated Summary of Safety</w:t>
      </w:r>
      <w:r w:rsidR="00FC42DF">
        <w:t>.</w:t>
      </w:r>
    </w:p>
    <w:p w:rsidR="00605AD4" w:rsidRPr="00605AD4" w:rsidRDefault="00605AD4" w:rsidP="00605AD4">
      <w:pPr>
        <w:pStyle w:val="Heading4"/>
      </w:pPr>
      <w:r w:rsidRPr="00605AD4">
        <w:t>Paediatric data</w:t>
      </w:r>
    </w:p>
    <w:p w:rsidR="003D13F1" w:rsidRPr="00453666" w:rsidRDefault="00BB2690" w:rsidP="003D13F1">
      <w:r w:rsidRPr="00BB2690">
        <w:t>The submission did not include paediatric data.</w:t>
      </w:r>
    </w:p>
    <w:p w:rsidR="00605AD4" w:rsidRDefault="00605AD4" w:rsidP="00605AD4">
      <w:pPr>
        <w:pStyle w:val="Heading4"/>
      </w:pPr>
      <w:r w:rsidRPr="00605AD4">
        <w:t>Good clinical practice</w:t>
      </w:r>
    </w:p>
    <w:p w:rsidR="00BB2690" w:rsidRPr="00BB2690" w:rsidRDefault="00BB2690" w:rsidP="00BB2690">
      <w:bookmarkStart w:id="75" w:name="_Toc241374282"/>
      <w:r w:rsidRPr="00BB2690">
        <w:t xml:space="preserve">The studies submitted in the present application all appeared to have been conducted according to </w:t>
      </w:r>
      <w:r w:rsidR="00FC42DF">
        <w:t>GCP</w:t>
      </w:r>
      <w:r w:rsidRPr="00BB2690">
        <w:t>.</w:t>
      </w:r>
    </w:p>
    <w:p w:rsidR="008E7846" w:rsidRPr="00254787" w:rsidRDefault="008E7846" w:rsidP="00605AD4">
      <w:pPr>
        <w:pStyle w:val="Heading3"/>
      </w:pPr>
      <w:bookmarkStart w:id="76" w:name="_Toc432073729"/>
      <w:bookmarkEnd w:id="75"/>
      <w:r w:rsidRPr="00254787">
        <w:t>Pharmacokinetics</w:t>
      </w:r>
      <w:bookmarkEnd w:id="66"/>
      <w:bookmarkEnd w:id="72"/>
      <w:bookmarkEnd w:id="73"/>
      <w:bookmarkEnd w:id="74"/>
      <w:bookmarkEnd w:id="76"/>
    </w:p>
    <w:p w:rsidR="00605AD4" w:rsidRDefault="00605AD4" w:rsidP="00605AD4">
      <w:pPr>
        <w:pStyle w:val="Heading4"/>
      </w:pPr>
      <w:r>
        <w:t xml:space="preserve">Studies providing pharmacokinetic data </w:t>
      </w:r>
    </w:p>
    <w:p w:rsidR="003D13F1" w:rsidRDefault="00D564C1" w:rsidP="003D13F1">
      <w:r w:rsidRPr="00D564C1">
        <w:t xml:space="preserve">Table </w:t>
      </w:r>
      <w:r w:rsidR="00D40417">
        <w:t>5</w:t>
      </w:r>
      <w:r w:rsidRPr="00D564C1">
        <w:t xml:space="preserve"> shows the studies relating to each pharmacokinetic topic and the location of each study summary.</w:t>
      </w:r>
    </w:p>
    <w:p w:rsidR="00D564C1" w:rsidRDefault="00D564C1" w:rsidP="007A3CB3">
      <w:pPr>
        <w:pStyle w:val="TableTitle"/>
      </w:pPr>
      <w:proofErr w:type="gramStart"/>
      <w:r>
        <w:lastRenderedPageBreak/>
        <w:t>Table 5:</w:t>
      </w:r>
      <w:r w:rsidRPr="004C5C28">
        <w:t xml:space="preserve"> </w:t>
      </w:r>
      <w:r w:rsidRPr="00D564C1">
        <w:t>Submitted pharmacokinetic studies.</w:t>
      </w:r>
      <w:proofErr w:type="gramEnd"/>
    </w:p>
    <w:p w:rsidR="00D564C1" w:rsidRPr="00D40417" w:rsidRDefault="00A261A9" w:rsidP="007A3CB3">
      <w:r>
        <w:rPr>
          <w:noProof/>
          <w:lang w:eastAsia="en-AU"/>
        </w:rPr>
        <w:drawing>
          <wp:inline distT="0" distB="0" distL="0" distR="0" wp14:anchorId="322635D9" wp14:editId="7EEC99AC">
            <wp:extent cx="4375657" cy="4917940"/>
            <wp:effectExtent l="0" t="0" r="6350" b="0"/>
            <wp:docPr id="11" name="Picture 11" descr="Table 5: Submitted pharmacokinet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381105" cy="4924063"/>
                    </a:xfrm>
                    <a:prstGeom prst="rect">
                      <a:avLst/>
                    </a:prstGeom>
                  </pic:spPr>
                </pic:pic>
              </a:graphicData>
            </a:graphic>
          </wp:inline>
        </w:drawing>
      </w:r>
    </w:p>
    <w:p w:rsidR="00D40417" w:rsidRPr="00D40417" w:rsidRDefault="00D40417" w:rsidP="00D40417">
      <w:r w:rsidRPr="00D40417">
        <w:t>None of the pharmacokinetic studies had deficiencies that excluded their results from consideration.</w:t>
      </w:r>
    </w:p>
    <w:p w:rsidR="00605AD4" w:rsidRPr="00FB2770" w:rsidRDefault="00605AD4" w:rsidP="00605AD4">
      <w:pPr>
        <w:pStyle w:val="Heading4"/>
      </w:pPr>
      <w:r>
        <w:t>Evaluator’s conclusions on pharmacokinetics</w:t>
      </w:r>
    </w:p>
    <w:p w:rsidR="009203E1" w:rsidRDefault="00384502" w:rsidP="00384502">
      <w:bookmarkStart w:id="77" w:name="_Toc196046481"/>
      <w:bookmarkStart w:id="78" w:name="_Toc247691520"/>
      <w:bookmarkStart w:id="79" w:name="_Toc314842503"/>
      <w:r w:rsidRPr="00384502">
        <w:t>SOF is a pro-drug that undergoes extensive metabolism.</w:t>
      </w:r>
      <w:r w:rsidR="00B90AF7">
        <w:t xml:space="preserve"> </w:t>
      </w:r>
      <w:r w:rsidRPr="00384502">
        <w:t>Its active form is GS-461203 and it appears in the serum as (and is excreted as) GS-331007.</w:t>
      </w:r>
      <w:r w:rsidR="00B90AF7">
        <w:t xml:space="preserve"> </w:t>
      </w:r>
      <w:r w:rsidRPr="00384502">
        <w:t>Clearance of GS-331007 is primarily renal and is correlated with CLCR.</w:t>
      </w:r>
      <w:r w:rsidR="00B90AF7">
        <w:t xml:space="preserve"> </w:t>
      </w:r>
      <w:r w:rsidRPr="00384502">
        <w:t>Hence</w:t>
      </w:r>
      <w:r w:rsidR="00FC42DF">
        <w:t>,</w:t>
      </w:r>
      <w:r w:rsidRPr="00384502">
        <w:t xml:space="preserve"> in ESRF there could be accumulation.</w:t>
      </w:r>
      <w:r w:rsidR="00B90AF7">
        <w:t xml:space="preserve"> </w:t>
      </w:r>
      <w:r w:rsidRPr="00384502">
        <w:t>The only clinically sig</w:t>
      </w:r>
      <w:r w:rsidR="00FC42DF">
        <w:t>nificant demonstrated drug-drug/food/</w:t>
      </w:r>
      <w:r w:rsidRPr="00384502">
        <w:t>herbal interaction was with potent P-</w:t>
      </w:r>
      <w:proofErr w:type="spellStart"/>
      <w:r w:rsidRPr="00384502">
        <w:t>gp</w:t>
      </w:r>
      <w:proofErr w:type="spellEnd"/>
      <w:r w:rsidRPr="00384502">
        <w:t xml:space="preserve"> inducers</w:t>
      </w:r>
      <w:r w:rsidR="009203E1">
        <w:t>.</w:t>
      </w:r>
    </w:p>
    <w:p w:rsidR="00384502" w:rsidRDefault="00384502" w:rsidP="00384502">
      <w:r w:rsidRPr="00384502">
        <w:t>LDV has solubility limited absorption at doses greater than 100 mg.</w:t>
      </w:r>
      <w:r w:rsidR="00B90AF7">
        <w:t xml:space="preserve"> </w:t>
      </w:r>
      <w:r w:rsidRPr="00384502">
        <w:t>Bioavailability is decreased 50% with food.</w:t>
      </w:r>
      <w:r w:rsidR="00B90AF7">
        <w:t xml:space="preserve"> </w:t>
      </w:r>
      <w:r w:rsidRPr="00384502">
        <w:t>It has low protein binding and a high volume of distribution.</w:t>
      </w:r>
      <w:r w:rsidR="00B90AF7">
        <w:t xml:space="preserve"> </w:t>
      </w:r>
      <w:r w:rsidRPr="00384502">
        <w:t>It is primarily excreted unchanged in the faeces, with minimal metabolism and minimal excretion unchanged in the urine.</w:t>
      </w:r>
      <w:r w:rsidR="00B90AF7">
        <w:t xml:space="preserve"> </w:t>
      </w:r>
      <w:r w:rsidRPr="00384502">
        <w:t>Dose adjustment is not necessary in subjects with mild, moderate or severe hepatic impairment.</w:t>
      </w:r>
      <w:r w:rsidR="00B90AF7">
        <w:t xml:space="preserve"> </w:t>
      </w:r>
      <w:r w:rsidRPr="00384502">
        <w:t>Dose adjustment is not necessary in renal failure.</w:t>
      </w:r>
      <w:r w:rsidR="00B90AF7">
        <w:t xml:space="preserve"> </w:t>
      </w:r>
      <w:r w:rsidRPr="00384502">
        <w:t>LDV is a substrate of P-</w:t>
      </w:r>
      <w:proofErr w:type="spellStart"/>
      <w:r w:rsidRPr="00384502">
        <w:t>gp</w:t>
      </w:r>
      <w:proofErr w:type="spellEnd"/>
      <w:r w:rsidRPr="00384502">
        <w:t xml:space="preserve"> and BCRP.</w:t>
      </w:r>
      <w:r w:rsidR="00B90AF7">
        <w:t xml:space="preserve"> </w:t>
      </w:r>
      <w:r w:rsidRPr="00384502">
        <w:t>There is evidence of interactions with drugs that induce or inhibit transporters, but the clinically significant interactions were w</w:t>
      </w:r>
      <w:r w:rsidR="00FC42DF">
        <w:t xml:space="preserve">ith drugs such as </w:t>
      </w:r>
      <w:proofErr w:type="spellStart"/>
      <w:r w:rsidR="00FC42DF">
        <w:t>rifampin</w:t>
      </w:r>
      <w:proofErr w:type="spellEnd"/>
      <w:r w:rsidR="00FC42DF">
        <w:t>, EFV/FTC/TDF, and DRV/</w:t>
      </w:r>
      <w:r w:rsidRPr="00384502">
        <w:t>RTV (inducers of transporters) which resulted in decreased exposure to LDV.</w:t>
      </w:r>
      <w:r w:rsidR="00B90AF7">
        <w:t xml:space="preserve"> </w:t>
      </w:r>
      <w:r w:rsidRPr="00384502">
        <w:t>LDV was a moderate to weak inhibitor of BCRP and P-</w:t>
      </w:r>
      <w:proofErr w:type="spellStart"/>
      <w:r w:rsidRPr="00384502">
        <w:t>gp</w:t>
      </w:r>
      <w:proofErr w:type="spellEnd"/>
      <w:r w:rsidRPr="00384502">
        <w:t>, and also inhibits OATP1B1 and OATP1B3.</w:t>
      </w:r>
      <w:r w:rsidR="00B90AF7">
        <w:t xml:space="preserve"> </w:t>
      </w:r>
      <w:r w:rsidRPr="00384502">
        <w:t>Hence</w:t>
      </w:r>
      <w:r w:rsidR="003E0E10">
        <w:t>,</w:t>
      </w:r>
      <w:r w:rsidRPr="00384502">
        <w:t xml:space="preserve"> there was some evidence of interactions with digoxin and with pravastatin.</w:t>
      </w:r>
    </w:p>
    <w:p w:rsidR="00384502" w:rsidRPr="00384502" w:rsidRDefault="00FC42DF" w:rsidP="00384502">
      <w:r>
        <w:lastRenderedPageBreak/>
        <w:t>The pharmacokinetic</w:t>
      </w:r>
      <w:r w:rsidR="00384502" w:rsidRPr="00384502">
        <w:t xml:space="preserve"> interactions between SOF and LDV in combination are favourable.</w:t>
      </w:r>
      <w:r w:rsidR="00B90AF7">
        <w:t xml:space="preserve"> </w:t>
      </w:r>
      <w:r w:rsidR="00384502" w:rsidRPr="00384502">
        <w:t>LDV significantly increased the exposure to SOF, GS-566500 and GS-331007.</w:t>
      </w:r>
      <w:r w:rsidR="00B90AF7">
        <w:t xml:space="preserve"> </w:t>
      </w:r>
      <w:r w:rsidR="00384502" w:rsidRPr="00384502">
        <w:t>SOF did not have any significant effect on exposure to LDV.</w:t>
      </w:r>
    </w:p>
    <w:p w:rsidR="009203E1" w:rsidRDefault="003E0E10" w:rsidP="00384502">
      <w:r>
        <w:t>Combining treatments with SOF/</w:t>
      </w:r>
      <w:r w:rsidR="00384502" w:rsidRPr="00384502">
        <w:t>LDV FDC will be complex because of the potential for drug-drug interactions.</w:t>
      </w:r>
      <w:r w:rsidR="00B90AF7">
        <w:t xml:space="preserve"> </w:t>
      </w:r>
      <w:r w:rsidR="00384502" w:rsidRPr="00384502">
        <w:t>The interactions table in the PI is useful but would be of more practical value if the clinically significant drug interactions were highlighted in some way</w:t>
      </w:r>
      <w:r w:rsidR="009203E1">
        <w:t>.</w:t>
      </w:r>
    </w:p>
    <w:p w:rsidR="008E7846" w:rsidRDefault="008E7846" w:rsidP="008E7846">
      <w:pPr>
        <w:pStyle w:val="Heading3"/>
      </w:pPr>
      <w:bookmarkStart w:id="80" w:name="_Toc432073730"/>
      <w:r w:rsidRPr="00254787">
        <w:t>Pharmacodynamics</w:t>
      </w:r>
      <w:bookmarkEnd w:id="67"/>
      <w:bookmarkEnd w:id="77"/>
      <w:bookmarkEnd w:id="78"/>
      <w:bookmarkEnd w:id="79"/>
      <w:bookmarkEnd w:id="80"/>
    </w:p>
    <w:p w:rsidR="00605AD4" w:rsidRDefault="00605AD4" w:rsidP="00605AD4">
      <w:pPr>
        <w:pStyle w:val="Heading4"/>
      </w:pPr>
      <w:r>
        <w:t xml:space="preserve">Studies providing </w:t>
      </w:r>
      <w:proofErr w:type="spellStart"/>
      <w:r>
        <w:t>pharmacodynamic</w:t>
      </w:r>
      <w:proofErr w:type="spellEnd"/>
      <w:r>
        <w:t xml:space="preserve"> data</w:t>
      </w:r>
    </w:p>
    <w:p w:rsidR="003D13F1" w:rsidRDefault="001207CB" w:rsidP="003D13F1">
      <w:r>
        <w:t>Table 6</w:t>
      </w:r>
      <w:r w:rsidRPr="001207CB">
        <w:t xml:space="preserve"> shows the studies relating to each </w:t>
      </w:r>
      <w:proofErr w:type="spellStart"/>
      <w:r w:rsidRPr="001207CB">
        <w:t>pharmacodynamic</w:t>
      </w:r>
      <w:proofErr w:type="spellEnd"/>
      <w:r w:rsidRPr="001207CB">
        <w:t xml:space="preserve"> topic and the location of each study summary.</w:t>
      </w:r>
    </w:p>
    <w:p w:rsidR="001207CB" w:rsidRDefault="001207CB" w:rsidP="001207CB">
      <w:pPr>
        <w:pStyle w:val="TableTitle"/>
      </w:pPr>
      <w:proofErr w:type="gramStart"/>
      <w:r>
        <w:t>Table 6:</w:t>
      </w:r>
      <w:r w:rsidRPr="004C5C28">
        <w:t xml:space="preserve"> </w:t>
      </w:r>
      <w:r w:rsidRPr="00D564C1">
        <w:t xml:space="preserve">Submitted </w:t>
      </w:r>
      <w:proofErr w:type="spellStart"/>
      <w:r w:rsidRPr="00D564C1">
        <w:t>pharmaco</w:t>
      </w:r>
      <w:r w:rsidR="00262C7F">
        <w:t>dynamic</w:t>
      </w:r>
      <w:proofErr w:type="spellEnd"/>
      <w:r w:rsidRPr="00D564C1">
        <w:t xml:space="preserve"> studies.</w:t>
      </w:r>
      <w:proofErr w:type="gramEnd"/>
    </w:p>
    <w:p w:rsidR="001207CB" w:rsidRDefault="00262C7F" w:rsidP="003D13F1">
      <w:r>
        <w:rPr>
          <w:noProof/>
          <w:lang w:eastAsia="en-AU"/>
        </w:rPr>
        <w:drawing>
          <wp:inline distT="0" distB="0" distL="0" distR="0" wp14:anchorId="77DF020D" wp14:editId="415EB76A">
            <wp:extent cx="4140045" cy="772278"/>
            <wp:effectExtent l="0" t="0" r="0" b="8890"/>
            <wp:docPr id="10" name="Picture 10" descr="Table 6: Submitted pharmacodynam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159244" cy="775859"/>
                    </a:xfrm>
                    <a:prstGeom prst="rect">
                      <a:avLst/>
                    </a:prstGeom>
                  </pic:spPr>
                </pic:pic>
              </a:graphicData>
            </a:graphic>
          </wp:inline>
        </w:drawing>
      </w:r>
    </w:p>
    <w:p w:rsidR="00866026" w:rsidRPr="00262C7F" w:rsidRDefault="00866026" w:rsidP="00262C7F">
      <w:r w:rsidRPr="00262C7F">
        <w:t xml:space="preserve">None of the </w:t>
      </w:r>
      <w:proofErr w:type="spellStart"/>
      <w:r w:rsidRPr="00262C7F">
        <w:t>pharmacodynamic</w:t>
      </w:r>
      <w:proofErr w:type="spellEnd"/>
      <w:r w:rsidRPr="00262C7F">
        <w:t xml:space="preserve"> studies had deficiencies that excluded their results from consideration.</w:t>
      </w:r>
    </w:p>
    <w:p w:rsidR="00605AD4" w:rsidRDefault="00605AD4" w:rsidP="00605AD4">
      <w:pPr>
        <w:pStyle w:val="Heading4"/>
      </w:pPr>
      <w:r>
        <w:t>Evaluator’s conclusions on pharmacodynamics</w:t>
      </w:r>
    </w:p>
    <w:p w:rsidR="00025855" w:rsidRPr="00025855" w:rsidRDefault="00025855" w:rsidP="00025855">
      <w:r w:rsidRPr="00025855">
        <w:t xml:space="preserve">The </w:t>
      </w:r>
      <w:proofErr w:type="spellStart"/>
      <w:r w:rsidRPr="00025855">
        <w:t>pharmacodynamic</w:t>
      </w:r>
      <w:proofErr w:type="spellEnd"/>
      <w:r w:rsidRPr="00025855">
        <w:t xml:space="preserve"> data were used to select the dose to be taken into the efficacy trials.</w:t>
      </w:r>
      <w:r w:rsidR="00B90AF7">
        <w:t xml:space="preserve"> </w:t>
      </w:r>
      <w:r w:rsidRPr="00025855">
        <w:t>Study GS-US-</w:t>
      </w:r>
      <w:r w:rsidR="00B96CF0">
        <w:t>256-</w:t>
      </w:r>
      <w:r w:rsidRPr="00025855">
        <w:t>0102 indicated a dose of 30 mg or more would be sufficient to obtain near maximal effect.</w:t>
      </w:r>
    </w:p>
    <w:p w:rsidR="00025855" w:rsidRPr="00025855" w:rsidRDefault="00025855" w:rsidP="00025855">
      <w:r w:rsidRPr="00025855">
        <w:t>There was no indication of QTC prolongation of regulatory interest with LDV at a dose of 120 mg.</w:t>
      </w:r>
      <w:r w:rsidR="00B90AF7">
        <w:t xml:space="preserve"> </w:t>
      </w:r>
      <w:r w:rsidRPr="00025855">
        <w:t>However, 120 mg is only 33% higher than the proposed dosing regimen.</w:t>
      </w:r>
      <w:r w:rsidR="00B90AF7">
        <w:t xml:space="preserve"> </w:t>
      </w:r>
      <w:r w:rsidRPr="00025855">
        <w:t>A study conducted at higher dose levels would be more reassuring.</w:t>
      </w:r>
    </w:p>
    <w:p w:rsidR="008E7846" w:rsidRPr="00630FB7" w:rsidRDefault="00605AD4" w:rsidP="00605AD4">
      <w:pPr>
        <w:pStyle w:val="Heading3"/>
      </w:pPr>
      <w:bookmarkStart w:id="81" w:name="_Toc432073731"/>
      <w:r>
        <w:t>Dosage selection for the pivotal studies</w:t>
      </w:r>
      <w:bookmarkEnd w:id="81"/>
    </w:p>
    <w:p w:rsidR="00025855" w:rsidRDefault="00025855" w:rsidP="003D13F1">
      <w:bookmarkStart w:id="82" w:name="_Toc163441372"/>
      <w:bookmarkStart w:id="83" w:name="_Toc196046485"/>
      <w:bookmarkStart w:id="84" w:name="_Toc247691521"/>
      <w:bookmarkStart w:id="85" w:name="_Toc314842504"/>
      <w:r>
        <w:t>Study GS-US-</w:t>
      </w:r>
      <w:r w:rsidR="00B96CF0">
        <w:t>256-</w:t>
      </w:r>
      <w:r>
        <w:t xml:space="preserve">0102 </w:t>
      </w:r>
      <w:r w:rsidRPr="00025855">
        <w:t>demonstrated that exposures of LDV at doses of ≥30 mg/day would result in &gt;95% maximal response in subjects with GT 1a HCV infection. Consequently, the 30 mg and 90 mg dose levels of LDV were se</w:t>
      </w:r>
      <w:r>
        <w:t>lected for further development.</w:t>
      </w:r>
    </w:p>
    <w:p w:rsidR="003D13F1" w:rsidRPr="00453666" w:rsidRDefault="00025855" w:rsidP="003D13F1">
      <w:r w:rsidRPr="00025855">
        <w:t>The 400 mg dose level for SOF appears to have been carried through from the devel</w:t>
      </w:r>
      <w:r w:rsidR="003D6C3F">
        <w:t>opment of S</w:t>
      </w:r>
      <w:r w:rsidR="0063513E">
        <w:t>OF</w:t>
      </w:r>
      <w:r w:rsidRPr="00025855">
        <w:t>.</w:t>
      </w:r>
    </w:p>
    <w:p w:rsidR="008E7846" w:rsidRPr="00254787" w:rsidRDefault="008E7846" w:rsidP="008E7846">
      <w:pPr>
        <w:pStyle w:val="Heading3"/>
      </w:pPr>
      <w:bookmarkStart w:id="86" w:name="_Toc432073732"/>
      <w:r w:rsidRPr="00254787">
        <w:t>Efficacy</w:t>
      </w:r>
      <w:bookmarkEnd w:id="82"/>
      <w:bookmarkEnd w:id="83"/>
      <w:bookmarkEnd w:id="84"/>
      <w:bookmarkEnd w:id="85"/>
      <w:bookmarkEnd w:id="86"/>
    </w:p>
    <w:p w:rsidR="00605AD4" w:rsidRDefault="00605AD4" w:rsidP="00605AD4">
      <w:pPr>
        <w:pStyle w:val="Heading4"/>
      </w:pPr>
      <w:bookmarkStart w:id="87" w:name="_Toc184439992"/>
      <w:bookmarkStart w:id="88" w:name="_Toc184440279"/>
      <w:bookmarkStart w:id="89" w:name="_Toc184444657"/>
      <w:bookmarkStart w:id="90" w:name="_Toc196046487"/>
      <w:r>
        <w:t>Studies providing efficacy data</w:t>
      </w:r>
    </w:p>
    <w:p w:rsidR="007F2FE1" w:rsidRDefault="007F2FE1" w:rsidP="005E1C92">
      <w:pPr>
        <w:pStyle w:val="ListBullet"/>
      </w:pPr>
      <w:r w:rsidRPr="007F2FE1">
        <w:t>Study GS-US-</w:t>
      </w:r>
      <w:r w:rsidR="000B1646">
        <w:t>337-0102 (was a Phase III</w:t>
      </w:r>
      <w:r w:rsidRPr="007F2FE1">
        <w:t>, multicentre, randomi</w:t>
      </w:r>
      <w:r w:rsidR="00AD156A">
        <w:t>s</w:t>
      </w:r>
      <w:r w:rsidRPr="007F2FE1">
        <w:t>ed, open label study to investigate t</w:t>
      </w:r>
      <w:r w:rsidR="000B1646">
        <w:t>he efficacy and safety of SOF/</w:t>
      </w:r>
      <w:r w:rsidRPr="007F2FE1">
        <w:t>LDV FDC with</w:t>
      </w:r>
      <w:r>
        <w:t xml:space="preserve"> and without RBV.</w:t>
      </w:r>
    </w:p>
    <w:p w:rsidR="00AD156A" w:rsidRDefault="00AD156A" w:rsidP="005E1C92">
      <w:pPr>
        <w:pStyle w:val="ListBullet"/>
      </w:pPr>
      <w:r>
        <w:t xml:space="preserve">Study GS-US-337-0108 </w:t>
      </w:r>
      <w:r w:rsidR="000B1646">
        <w:t>was a Phase III</w:t>
      </w:r>
      <w:r w:rsidRPr="00AD156A">
        <w:t xml:space="preserve">, multicentre, randomized, open label study to investigate the efficacy and </w:t>
      </w:r>
      <w:r w:rsidR="000B1646">
        <w:t>safety of SOF/</w:t>
      </w:r>
      <w:r w:rsidRPr="00AD156A">
        <w:t xml:space="preserve">LDV FDC ± RBV for 8 weeks and </w:t>
      </w:r>
      <w:r w:rsidR="001853CD">
        <w:t>SOF/LDV</w:t>
      </w:r>
      <w:r w:rsidRPr="00AD156A">
        <w:t xml:space="preserve"> FDC for 12 weeks in treatment naïve subjects wit</w:t>
      </w:r>
      <w:r>
        <w:t>h chronic GT1-HCV.</w:t>
      </w:r>
    </w:p>
    <w:p w:rsidR="00D90152" w:rsidRDefault="00D90152" w:rsidP="005E1C92">
      <w:pPr>
        <w:pStyle w:val="ListBullet"/>
      </w:pPr>
      <w:r>
        <w:lastRenderedPageBreak/>
        <w:t xml:space="preserve">Study GS-US-337-0109 </w:t>
      </w:r>
      <w:r w:rsidR="000B1646">
        <w:t>was a Phase III</w:t>
      </w:r>
      <w:r w:rsidRPr="00D90152">
        <w:t>, multicentre, randomised, open label study to investigate t</w:t>
      </w:r>
      <w:r w:rsidR="000B1646">
        <w:t>he efficacy and safety of SOF/</w:t>
      </w:r>
      <w:r w:rsidRPr="00D90152">
        <w:t>LDV FDC ± RBV for 12 and 24 weeks in treatment experienced subjects wi</w:t>
      </w:r>
      <w:r>
        <w:t>th chronic GT1-HCV.</w:t>
      </w:r>
    </w:p>
    <w:p w:rsidR="00D90152" w:rsidRDefault="00D90152" w:rsidP="005E1C92">
      <w:pPr>
        <w:pStyle w:val="ListBullet"/>
      </w:pPr>
      <w:r>
        <w:t xml:space="preserve">Study GS-US-337-0118 </w:t>
      </w:r>
      <w:r w:rsidR="000B1646">
        <w:t>was a Phase II</w:t>
      </w:r>
      <w:r w:rsidRPr="00D90152">
        <w:t>, randomi</w:t>
      </w:r>
      <w:r w:rsidR="000B1646">
        <w:t>s</w:t>
      </w:r>
      <w:r w:rsidR="00F41E00">
        <w:t>ed, open label study of SOF/</w:t>
      </w:r>
      <w:r w:rsidRPr="00D90152">
        <w:t>LDV FDC ± RBV in subjects wi</w:t>
      </w:r>
      <w:r>
        <w:t>th chronic GT1-HCV.</w:t>
      </w:r>
    </w:p>
    <w:p w:rsidR="00D90152" w:rsidRDefault="00D90152" w:rsidP="005E1C92">
      <w:pPr>
        <w:pStyle w:val="ListBullet"/>
      </w:pPr>
      <w:r>
        <w:t xml:space="preserve">Study GS-US-337-0122 </w:t>
      </w:r>
      <w:r w:rsidRPr="00D90152">
        <w:t xml:space="preserve">was a Phase </w:t>
      </w:r>
      <w:r w:rsidR="00F41E00">
        <w:t>II</w:t>
      </w:r>
      <w:r w:rsidRPr="00D90152">
        <w:t>, multicentre, op</w:t>
      </w:r>
      <w:r w:rsidR="00F41E00">
        <w:t xml:space="preserve">en </w:t>
      </w:r>
      <w:r w:rsidRPr="00D90152">
        <w:t>label study to evaluate safety and efficacy of SOF containing regimens administered for up to 12 weeks in subjects with chro</w:t>
      </w:r>
      <w:r>
        <w:t>nic GT3-HCV HCV infection.</w:t>
      </w:r>
    </w:p>
    <w:p w:rsidR="00D90152" w:rsidRPr="00453666" w:rsidRDefault="00E468E1" w:rsidP="005E1C92">
      <w:pPr>
        <w:pStyle w:val="ListBullet"/>
      </w:pPr>
      <w:r>
        <w:t xml:space="preserve">Study P7977-0523 </w:t>
      </w:r>
      <w:r w:rsidR="00F41E00">
        <w:t xml:space="preserve">was a Phase </w:t>
      </w:r>
      <w:proofErr w:type="spellStart"/>
      <w:r w:rsidR="00F41E00">
        <w:t>II</w:t>
      </w:r>
      <w:r w:rsidRPr="00E468E1">
        <w:t>a</w:t>
      </w:r>
      <w:proofErr w:type="spellEnd"/>
      <w:r w:rsidRPr="00E468E1">
        <w:t>, multiple</w:t>
      </w:r>
      <w:r w:rsidR="00F41E00">
        <w:t xml:space="preserve"> </w:t>
      </w:r>
      <w:r w:rsidRPr="00E468E1">
        <w:t>dose, open</w:t>
      </w:r>
      <w:r w:rsidR="00F41E00">
        <w:t xml:space="preserve"> </w:t>
      </w:r>
      <w:r w:rsidRPr="00E468E1">
        <w:t>label study to evaluate different treatment regimens of SOF 400 mg alone or SOF/LDV for 6, 8, or 12 weeks administered with and without RBV and/or PEG-IFN in subjects with GT 1, 2, or 3 HCV infection and with and without LDV or GS-9669 in subjects wit</w:t>
      </w:r>
      <w:r>
        <w:t>h GT 1 HCV infection.</w:t>
      </w:r>
    </w:p>
    <w:p w:rsidR="008E7846" w:rsidRDefault="00605AD4" w:rsidP="00605AD4">
      <w:pPr>
        <w:pStyle w:val="Heading4"/>
      </w:pPr>
      <w:r>
        <w:t>Evaluator’s conclusions on efficacy</w:t>
      </w:r>
    </w:p>
    <w:p w:rsidR="005E1C92" w:rsidRPr="005E1C92" w:rsidRDefault="005E1C92" w:rsidP="005E1C92">
      <w:bookmarkStart w:id="91" w:name="_Toc163441378"/>
      <w:bookmarkStart w:id="92" w:name="_Toc196046495"/>
      <w:bookmarkStart w:id="93" w:name="_Toc247691522"/>
      <w:bookmarkStart w:id="94" w:name="_Toc314842505"/>
      <w:bookmarkEnd w:id="87"/>
      <w:bookmarkEnd w:id="88"/>
      <w:bookmarkEnd w:id="89"/>
      <w:bookmarkEnd w:id="90"/>
      <w:r w:rsidRPr="005E1C92">
        <w:t>The efficacy data are supportive of efficacy in the proposed indica</w:t>
      </w:r>
      <w:r w:rsidR="00593C70">
        <w:t>tion</w:t>
      </w:r>
      <w:r w:rsidR="009C2D7B">
        <w:t>; however,</w:t>
      </w:r>
      <w:r w:rsidR="00593C70">
        <w:t xml:space="preserve"> in the opinion of the e</w:t>
      </w:r>
      <w:r w:rsidRPr="005E1C92">
        <w:t>valuator</w:t>
      </w:r>
      <w:r w:rsidR="009C2D7B">
        <w:t>,</w:t>
      </w:r>
      <w:r w:rsidRPr="005E1C92">
        <w:t xml:space="preserve"> the proposed treatment regimen may require modification.</w:t>
      </w:r>
    </w:p>
    <w:p w:rsidR="005E1C92" w:rsidRPr="005E1C92" w:rsidRDefault="005E1C92" w:rsidP="005E1C92">
      <w:r w:rsidRPr="005E1C92">
        <w:t>In HCV treatment naïve subjects, with or without cirrhosis (Study GS-US-337-0102) SVR12 was achieved by 20</w:t>
      </w:r>
      <w:r w:rsidR="009C2D7B">
        <w:t>9 (97.7%) subjects in the SOF/</w:t>
      </w:r>
      <w:r w:rsidRPr="005E1C92">
        <w:t>LDV 12 week group, 95% CI 94.6% to 99.1%, p &lt;0.001.</w:t>
      </w:r>
      <w:r w:rsidR="00B90AF7">
        <w:t xml:space="preserve"> </w:t>
      </w:r>
      <w:r w:rsidRPr="005E1C92">
        <w:t>There was no additional benefit by also including RBV: SVR12 was achieved by 21</w:t>
      </w:r>
      <w:r w:rsidR="009C2D7B">
        <w:t>1 (97.2%) subjects in the SOF/</w:t>
      </w:r>
      <w:r w:rsidRPr="005E1C92">
        <w:t>LDV + RBV 12 week group, 95% CI 94.1% to 99.0%, p &lt;0.001.</w:t>
      </w:r>
    </w:p>
    <w:p w:rsidR="005E1C92" w:rsidRPr="005E1C92" w:rsidRDefault="005E1C92" w:rsidP="005E1C92">
      <w:r w:rsidRPr="005E1C92">
        <w:t>In treatment naïve subjects with chronic GT1-HCV without cirrhosis (Study GS-US-337-0108) SVR12 was achieved by 20</w:t>
      </w:r>
      <w:r w:rsidR="009C2D7B">
        <w:t>2 (94.0%) subjects in the SOF/</w:t>
      </w:r>
      <w:r w:rsidRPr="005E1C92">
        <w:t>LDV FDC 8 week group, 95% CI 89.9% to 96.7%, p &lt;0.001.</w:t>
      </w:r>
      <w:r w:rsidR="00B90AF7">
        <w:t xml:space="preserve"> </w:t>
      </w:r>
      <w:r w:rsidRPr="005E1C92">
        <w:t>There was no additional benefit by also including RBV: SVR12 was achieved by 20</w:t>
      </w:r>
      <w:r w:rsidR="009C2D7B">
        <w:t>1 (93.1%) subjects in the SOF/</w:t>
      </w:r>
      <w:r w:rsidRPr="005E1C92">
        <w:t>LDV FDC + RBV 8 week group, 95% CI 88.8% to 96.1%, p &lt;0.001.</w:t>
      </w:r>
      <w:r w:rsidR="00B90AF7">
        <w:t xml:space="preserve"> </w:t>
      </w:r>
      <w:r w:rsidRPr="005E1C92">
        <w:t>There was no significant additional benefit with a longer, 12 week, treatment period: SVR12 was achieved by 206 (95.4%) sub</w:t>
      </w:r>
      <w:r w:rsidR="009C2D7B">
        <w:t>jects in the SOF/</w:t>
      </w:r>
      <w:r w:rsidRPr="005E1C92">
        <w:t>LDV FDC 12 week group, 95% CI 91.7% to 97.8%, p &lt;0.001.</w:t>
      </w:r>
    </w:p>
    <w:p w:rsidR="005E1C92" w:rsidRPr="005E1C92" w:rsidRDefault="005E1C92" w:rsidP="005E1C92">
      <w:r w:rsidRPr="005E1C92">
        <w:t>In treatment experienced subj</w:t>
      </w:r>
      <w:r w:rsidR="001B2CD0">
        <w:t xml:space="preserve">ects with chronic GT1-HCV, that is, </w:t>
      </w:r>
      <w:r w:rsidRPr="005E1C92">
        <w:t>with prior treatment failure with a Peg-</w:t>
      </w:r>
      <w:r w:rsidR="00DC0F0A">
        <w:t>IFN + RBV, (Study GS-US-337-0109</w:t>
      </w:r>
      <w:r w:rsidRPr="005E1C92">
        <w:t xml:space="preserve">) SVR12 was achieved by 102 (93.6%) subjects in </w:t>
      </w:r>
      <w:r w:rsidR="001B2CD0">
        <w:t>the SOF/</w:t>
      </w:r>
      <w:r w:rsidRPr="005E1C92">
        <w:t>LDV FDC 12 week group, 95% CI 87.2% to 97.4%, p &lt;0.001 (compared to the historical 25% response rate).</w:t>
      </w:r>
      <w:r w:rsidR="00B90AF7">
        <w:t xml:space="preserve"> </w:t>
      </w:r>
      <w:r w:rsidRPr="005E1C92">
        <w:t>There was better efficacy in those subjects treated with RBV and for longer treatment duration:</w:t>
      </w:r>
    </w:p>
    <w:p w:rsidR="005E1C92" w:rsidRPr="005A2944" w:rsidRDefault="005E1C92" w:rsidP="005E1C92">
      <w:pPr>
        <w:pStyle w:val="ListBullet"/>
      </w:pPr>
      <w:r w:rsidRPr="005A2944">
        <w:t>SVR12 was achieved by 107 (96.4%) subjects in t</w:t>
      </w:r>
      <w:r w:rsidR="001B2CD0">
        <w:t>he SOF/</w:t>
      </w:r>
      <w:r w:rsidRPr="005A2944">
        <w:t>LDV FDC + RBV 12 week group, 95% CI 91.0% to 99.0%, p &lt;0.001</w:t>
      </w:r>
    </w:p>
    <w:p w:rsidR="005E1C92" w:rsidRPr="005A2944" w:rsidRDefault="005E1C92" w:rsidP="005E1C92">
      <w:pPr>
        <w:pStyle w:val="ListBullet"/>
      </w:pPr>
      <w:r w:rsidRPr="005A2944">
        <w:t>SVR12 was achieved by 10</w:t>
      </w:r>
      <w:r w:rsidR="001B2CD0">
        <w:t>8 (99.1%) subjects in the SOF/</w:t>
      </w:r>
      <w:r w:rsidRPr="005A2944">
        <w:t>LDV FDC 24 week group, 95% CI 95.0% to 100.0%, p &lt;0.001</w:t>
      </w:r>
    </w:p>
    <w:p w:rsidR="005E1C92" w:rsidRPr="005A2944" w:rsidRDefault="005E1C92" w:rsidP="005E1C92">
      <w:pPr>
        <w:pStyle w:val="ListBullet"/>
      </w:pPr>
      <w:r w:rsidRPr="005A2944">
        <w:t>SVR12 was achieved by 11</w:t>
      </w:r>
      <w:r w:rsidR="001B2CD0">
        <w:t>0 (99.1%) subjects in the SOF/</w:t>
      </w:r>
      <w:r w:rsidRPr="005A2944">
        <w:t>LDV FDC + RBV 24 week group, 95% CI 95.1% to 100.0%, p &lt;0.001</w:t>
      </w:r>
    </w:p>
    <w:p w:rsidR="005E1C92" w:rsidRPr="005E1C92" w:rsidRDefault="005E1C92" w:rsidP="005E1C92">
      <w:r w:rsidRPr="005E1C92">
        <w:t>Study GS-US-337-0118 was supportive of the pivotal studies but of too small a sample size to be pivotal.</w:t>
      </w:r>
    </w:p>
    <w:p w:rsidR="005E1C92" w:rsidRPr="005E1C92" w:rsidRDefault="005E1C92" w:rsidP="005E1C92">
      <w:r w:rsidRPr="005E1C92">
        <w:t xml:space="preserve">Relapse is more likely in subjects with higher viral burden, male gender, </w:t>
      </w:r>
      <w:proofErr w:type="gramStart"/>
      <w:r w:rsidRPr="005E1C92">
        <w:t>cirrhosis</w:t>
      </w:r>
      <w:proofErr w:type="gramEnd"/>
      <w:r w:rsidRPr="005E1C92">
        <w:t xml:space="preserve"> and baseline thrombocytopenia.</w:t>
      </w:r>
      <w:r w:rsidR="00B90AF7">
        <w:t xml:space="preserve"> </w:t>
      </w:r>
      <w:r w:rsidRPr="005E1C92">
        <w:t>In Study GS-US-337-0108</w:t>
      </w:r>
      <w:r w:rsidR="001B2CD0">
        <w:t>,</w:t>
      </w:r>
      <w:r w:rsidRPr="005E1C92">
        <w:t xml:space="preserve"> there was a higher relapse rate in the 8 week groups compared with the 12 week: </w:t>
      </w:r>
      <w:r w:rsidR="001B2CD0">
        <w:t>11 (5.1%) subjects in the SOF/</w:t>
      </w:r>
      <w:r w:rsidRPr="005E1C92">
        <w:t>LDV FDC 8 we</w:t>
      </w:r>
      <w:r w:rsidR="001B2CD0">
        <w:t>ek group, 9 (4.2%) in the SOF/</w:t>
      </w:r>
      <w:r w:rsidRPr="005E1C92">
        <w:t xml:space="preserve">LDV + RBV 8 </w:t>
      </w:r>
      <w:r w:rsidR="001B2CD0">
        <w:t>week, and 3 (1.4%) in the SOF/</w:t>
      </w:r>
      <w:r w:rsidRPr="005E1C92">
        <w:t>LDV 12 week group; and relapse was more likely if subjects were male and/or baseline HCV RNA was ≥800,000 (IU/mL).</w:t>
      </w:r>
      <w:r w:rsidR="00B90AF7">
        <w:t xml:space="preserve"> </w:t>
      </w:r>
      <w:r w:rsidRPr="005E1C92">
        <w:t>In Study GS-US-337-0109</w:t>
      </w:r>
      <w:r w:rsidR="001B2CD0">
        <w:t>,</w:t>
      </w:r>
      <w:r w:rsidRPr="005E1C92">
        <w:t xml:space="preserve"> relapse risk was increased</w:t>
      </w:r>
      <w:r w:rsidR="001B2CD0">
        <w:t xml:space="preserve"> in subjects with cirrhosis and</w:t>
      </w:r>
      <w:r w:rsidRPr="005E1C92">
        <w:t>/or baseline thrombocytopenia.</w:t>
      </w:r>
    </w:p>
    <w:p w:rsidR="009203E1" w:rsidRDefault="005E1C92" w:rsidP="005E1C92">
      <w:r w:rsidRPr="005E1C92">
        <w:lastRenderedPageBreak/>
        <w:t>In all three pivotal studies</w:t>
      </w:r>
      <w:r w:rsidR="001B2CD0">
        <w:t>,</w:t>
      </w:r>
      <w:r w:rsidRPr="005E1C92">
        <w:t xml:space="preserve"> subjects with &lt;80% adherence to study treatment had reduced efficacy.</w:t>
      </w:r>
      <w:r w:rsidR="00B90AF7">
        <w:t xml:space="preserve"> </w:t>
      </w:r>
      <w:r w:rsidRPr="005E1C92">
        <w:t>However, in all three pivotal studies there was no effect on response for demogr</w:t>
      </w:r>
      <w:r w:rsidR="00914CBF">
        <w:t>aphic characteristics and SOF/</w:t>
      </w:r>
      <w:r w:rsidRPr="005E1C92">
        <w:t>LDV FDC was equally effective for GT1a-HCV and GT1b-HCV.</w:t>
      </w:r>
      <w:r w:rsidR="00B90AF7">
        <w:t xml:space="preserve"> </w:t>
      </w:r>
      <w:r w:rsidRPr="005E1C92">
        <w:t>Baseline disease characteristics did not influence efficacy</w:t>
      </w:r>
      <w:r w:rsidR="009203E1">
        <w:t>.</w:t>
      </w:r>
    </w:p>
    <w:p w:rsidR="005E1C92" w:rsidRPr="005E1C92" w:rsidRDefault="005E1C92" w:rsidP="005E1C92">
      <w:r w:rsidRPr="005E1C92">
        <w:t>Baseline RAVs should no</w:t>
      </w:r>
      <w:r w:rsidR="00914CBF">
        <w:t>t preclude treatment with SOF/</w:t>
      </w:r>
      <w:r w:rsidRPr="005E1C92">
        <w:t>LDV FDC.</w:t>
      </w:r>
      <w:r w:rsidR="00B90AF7">
        <w:t xml:space="preserve"> </w:t>
      </w:r>
      <w:r w:rsidRPr="005E1C92">
        <w:t>However, baseline NS5A RAVs appear to be more common in subjects that relapse and treatment emergent NS5A RAVs are more common than NS5B RAVs.</w:t>
      </w:r>
      <w:r w:rsidR="00B90AF7">
        <w:t xml:space="preserve"> </w:t>
      </w:r>
      <w:r w:rsidRPr="005E1C92">
        <w:t>In Study GS-US-337-0102</w:t>
      </w:r>
      <w:r w:rsidR="00EE30A9">
        <w:t>,</w:t>
      </w:r>
      <w:r w:rsidRPr="005E1C92">
        <w:t xml:space="preserve"> RAVs were reported in </w:t>
      </w:r>
      <w:r w:rsidR="00EE30A9">
        <w:t>32 (15.0% subjects in the SOF/</w:t>
      </w:r>
      <w:r w:rsidRPr="005E1C92">
        <w:t>LDV 12 week gro</w:t>
      </w:r>
      <w:r w:rsidR="00EE30A9">
        <w:t>up, and 36 (16.7%) in the SOF/</w:t>
      </w:r>
      <w:r w:rsidRPr="005E1C92">
        <w:t>LDV + RBV 12 week group; and the one subject in the 12 week group who relapsed did not develop a RAV.</w:t>
      </w:r>
      <w:r w:rsidR="00B90AF7">
        <w:t xml:space="preserve"> </w:t>
      </w:r>
      <w:r w:rsidRPr="005E1C92">
        <w:t>In Study GS-US-337-0108</w:t>
      </w:r>
      <w:r w:rsidR="00EE30A9">
        <w:t>,</w:t>
      </w:r>
      <w:r w:rsidRPr="005E1C92">
        <w:t xml:space="preserve"> of the 23 subjects that relapsed, ten had NS5A RAVs at baseline; of the 13 that did not, six had emergent NS5A RAVs at relapse.</w:t>
      </w:r>
      <w:r w:rsidR="00B90AF7">
        <w:t xml:space="preserve"> </w:t>
      </w:r>
      <w:r w:rsidRPr="005E1C92">
        <w:t>In Study GS-US-337-0109</w:t>
      </w:r>
      <w:r w:rsidR="00EE30A9">
        <w:t>,</w:t>
      </w:r>
      <w:r w:rsidRPr="005E1C92">
        <w:t xml:space="preserve"> of the 12 subjects that relapsed, 5 of 11 had no baseline RAVs, and the other 7 subjects had baseline NS5A RAVs.</w:t>
      </w:r>
      <w:r w:rsidR="00B90AF7">
        <w:t xml:space="preserve"> </w:t>
      </w:r>
      <w:r w:rsidRPr="005E1C92">
        <w:t xml:space="preserve">All 12 subjects had detectable NS5A RAVs at </w:t>
      </w:r>
      <w:proofErr w:type="spellStart"/>
      <w:r w:rsidRPr="005E1C92">
        <w:t>virologic</w:t>
      </w:r>
      <w:proofErr w:type="spellEnd"/>
      <w:r w:rsidRPr="005E1C92">
        <w:t xml:space="preserve"> failure, but no NS5B NI RAVs were detected.</w:t>
      </w:r>
      <w:r w:rsidR="00B90AF7">
        <w:t xml:space="preserve"> </w:t>
      </w:r>
      <w:r w:rsidRPr="005E1C92">
        <w:t>Phenotypic analysis showed a reduced susceptibility to LDV, but no change in susceptibility to SOF or RBV.</w:t>
      </w:r>
    </w:p>
    <w:p w:rsidR="005E1C92" w:rsidRPr="005E1C92" w:rsidRDefault="005E1C92" w:rsidP="005E1C92">
      <w:r w:rsidRPr="005E1C92">
        <w:t>In all three pivotal studies</w:t>
      </w:r>
      <w:r w:rsidR="00EE30A9">
        <w:t>,</w:t>
      </w:r>
      <w:r w:rsidRPr="005E1C92">
        <w:t xml:space="preserve"> Quality of Life decreased during treatment for those subjects treated with RBV.</w:t>
      </w:r>
      <w:r w:rsidR="00B90AF7">
        <w:t xml:space="preserve"> </w:t>
      </w:r>
      <w:r w:rsidRPr="005E1C92">
        <w:t>Hence, the place of RBV as add-on therapy may be in those subjects with prior treatment failure, with or without cirrhosis.</w:t>
      </w:r>
    </w:p>
    <w:p w:rsidR="005E1C92" w:rsidRPr="005E1C92" w:rsidRDefault="005E1C92" w:rsidP="005E1C92">
      <w:r w:rsidRPr="005E1C92">
        <w:t>Study GS-US-337-0122 did not support efficacy in s</w:t>
      </w:r>
      <w:r w:rsidR="00C07AA4">
        <w:t>ubjects with chronic GT3-HCV</w:t>
      </w:r>
      <w:r w:rsidRPr="005E1C92">
        <w:t>.</w:t>
      </w:r>
      <w:r w:rsidR="00B90AF7">
        <w:t xml:space="preserve"> </w:t>
      </w:r>
      <w:r w:rsidRPr="005E1C92">
        <w:t xml:space="preserve">Study P7977-0523 did not support efficacy in subjects with GT2-HCV or GT3-HCV infection or a shorter </w:t>
      </w:r>
      <w:r w:rsidR="007A669E" w:rsidRPr="005E1C92">
        <w:t xml:space="preserve">duration of </w:t>
      </w:r>
      <w:r w:rsidRPr="005E1C92">
        <w:t xml:space="preserve">treatment </w:t>
      </w:r>
      <w:r w:rsidR="006C1A9B">
        <w:t xml:space="preserve">of </w:t>
      </w:r>
      <w:r w:rsidRPr="005E1C92">
        <w:t>6 weeks in subjects with GT1-HCV.</w:t>
      </w:r>
    </w:p>
    <w:p w:rsidR="005E1C92" w:rsidRPr="005E1C92" w:rsidRDefault="005E1C92" w:rsidP="007A3CB3">
      <w:r w:rsidRPr="005E1C92">
        <w:t xml:space="preserve">The studies presented in the submission were mostly in accordance with </w:t>
      </w:r>
      <w:r w:rsidR="009C595B">
        <w:t>published guidelines.</w:t>
      </w:r>
      <w:r w:rsidR="005F5C46">
        <w:rPr>
          <w:rStyle w:val="FootnoteReference"/>
        </w:rPr>
        <w:footnoteReference w:id="6"/>
      </w:r>
      <w:r w:rsidR="009C595B">
        <w:t xml:space="preserve"> </w:t>
      </w:r>
      <w:r w:rsidRPr="005E1C92">
        <w:t>The deficiencies in the submission are:</w:t>
      </w:r>
    </w:p>
    <w:p w:rsidR="005E1C92" w:rsidRDefault="005E1C92" w:rsidP="005E1C92">
      <w:pPr>
        <w:pStyle w:val="ListBullet"/>
        <w:rPr>
          <w:lang w:val="en-NZ" w:eastAsia="en-NZ"/>
        </w:rPr>
      </w:pPr>
      <w:r>
        <w:rPr>
          <w:lang w:val="en-NZ" w:eastAsia="en-NZ"/>
        </w:rPr>
        <w:t>Studies were open</w:t>
      </w:r>
      <w:r w:rsidR="004B6E06">
        <w:rPr>
          <w:lang w:val="en-NZ" w:eastAsia="en-NZ"/>
        </w:rPr>
        <w:t xml:space="preserve"> </w:t>
      </w:r>
      <w:r>
        <w:rPr>
          <w:lang w:val="en-NZ" w:eastAsia="en-NZ"/>
        </w:rPr>
        <w:t>label rather than double blind</w:t>
      </w:r>
    </w:p>
    <w:p w:rsidR="005E1C92" w:rsidRDefault="005E1C92" w:rsidP="005E1C92">
      <w:pPr>
        <w:pStyle w:val="ListBullet"/>
        <w:rPr>
          <w:lang w:val="en-NZ" w:eastAsia="en-NZ"/>
        </w:rPr>
      </w:pPr>
      <w:r>
        <w:rPr>
          <w:lang w:val="en-NZ" w:eastAsia="en-NZ"/>
        </w:rPr>
        <w:t>Long</w:t>
      </w:r>
      <w:r w:rsidR="004B6E06">
        <w:rPr>
          <w:lang w:val="en-NZ" w:eastAsia="en-NZ"/>
        </w:rPr>
        <w:t xml:space="preserve"> </w:t>
      </w:r>
      <w:r>
        <w:rPr>
          <w:lang w:val="en-NZ" w:eastAsia="en-NZ"/>
        </w:rPr>
        <w:t>term follow up data were not presented</w:t>
      </w:r>
    </w:p>
    <w:p w:rsidR="005E1C92" w:rsidRDefault="005E1C92" w:rsidP="005E1C92">
      <w:pPr>
        <w:pStyle w:val="ListBullet"/>
        <w:rPr>
          <w:lang w:val="en-NZ" w:eastAsia="en-NZ"/>
        </w:rPr>
      </w:pPr>
      <w:r>
        <w:rPr>
          <w:lang w:val="en-NZ" w:eastAsia="en-NZ"/>
        </w:rPr>
        <w:t>Data for SVR24 were incomplete</w:t>
      </w:r>
    </w:p>
    <w:p w:rsidR="005E1C92" w:rsidRPr="00BE5F92" w:rsidRDefault="005E1C92" w:rsidP="005E1C92">
      <w:pPr>
        <w:pStyle w:val="ListBullet"/>
      </w:pPr>
      <w:r>
        <w:rPr>
          <w:lang w:val="en-NZ" w:eastAsia="en-NZ"/>
        </w:rPr>
        <w:t xml:space="preserve">Studies in subjects with </w:t>
      </w:r>
      <w:r w:rsidRPr="00BE5F92">
        <w:rPr>
          <w:lang w:val="en-NZ" w:eastAsia="en-NZ"/>
        </w:rPr>
        <w:t>HCV/HIV co-infected patients</w:t>
      </w:r>
      <w:r>
        <w:rPr>
          <w:lang w:val="en-NZ" w:eastAsia="en-NZ"/>
        </w:rPr>
        <w:t xml:space="preserve"> were not included</w:t>
      </w:r>
    </w:p>
    <w:p w:rsidR="005E1C92" w:rsidRPr="005E1C92" w:rsidRDefault="005E1C92" w:rsidP="007A3CB3">
      <w:r w:rsidRPr="005E1C92">
        <w:t xml:space="preserve">However, in the opinion of the </w:t>
      </w:r>
      <w:r w:rsidR="004B6E06">
        <w:t>e</w:t>
      </w:r>
      <w:r w:rsidRPr="005E1C92">
        <w:t>valuator</w:t>
      </w:r>
      <w:r w:rsidR="004B6E06">
        <w:t>,</w:t>
      </w:r>
      <w:r w:rsidRPr="005E1C92">
        <w:t xml:space="preserve"> </w:t>
      </w:r>
      <w:r w:rsidR="004B6E06">
        <w:t>the potential benefits of SOF/</w:t>
      </w:r>
      <w:r w:rsidRPr="005E1C92">
        <w:t>LDV FDC outweigh the deficiencies in the study methodologies.</w:t>
      </w:r>
      <w:r w:rsidR="00B90AF7">
        <w:t xml:space="preserve"> </w:t>
      </w:r>
      <w:r w:rsidRPr="005E1C92">
        <w:t xml:space="preserve">The outcome measures were highly </w:t>
      </w:r>
      <w:r w:rsidR="004B6E06">
        <w:t xml:space="preserve">objective, which makes the open </w:t>
      </w:r>
      <w:r w:rsidRPr="005E1C92">
        <w:t>label design more acceptable.</w:t>
      </w:r>
      <w:r w:rsidR="00B90AF7">
        <w:t xml:space="preserve"> </w:t>
      </w:r>
      <w:r w:rsidRPr="005E1C92">
        <w:t>Also, when available, the SVR24 data were in concordance with the SVR12 data.</w:t>
      </w:r>
    </w:p>
    <w:p w:rsidR="008E7846" w:rsidRPr="002E238E" w:rsidRDefault="008E7846" w:rsidP="008E7846">
      <w:pPr>
        <w:pStyle w:val="Heading3"/>
      </w:pPr>
      <w:bookmarkStart w:id="95" w:name="_Toc432073733"/>
      <w:r w:rsidRPr="002E238E">
        <w:t>Safety</w:t>
      </w:r>
      <w:bookmarkEnd w:id="91"/>
      <w:bookmarkEnd w:id="92"/>
      <w:bookmarkEnd w:id="93"/>
      <w:bookmarkEnd w:id="94"/>
      <w:bookmarkEnd w:id="95"/>
    </w:p>
    <w:p w:rsidR="00605AD4" w:rsidRPr="00605AD4" w:rsidRDefault="00605AD4" w:rsidP="00605AD4">
      <w:pPr>
        <w:pStyle w:val="Heading4"/>
      </w:pPr>
      <w:bookmarkStart w:id="96" w:name="_Toc247691524"/>
      <w:bookmarkStart w:id="97" w:name="_Toc314842508"/>
      <w:bookmarkStart w:id="98" w:name="_Toc196046504"/>
      <w:bookmarkStart w:id="99" w:name="_Toc163441390"/>
      <w:r w:rsidRPr="00605AD4">
        <w:t>Studies providing safety data</w:t>
      </w:r>
    </w:p>
    <w:p w:rsidR="009203E1" w:rsidRDefault="00617C4F" w:rsidP="00617C4F">
      <w:bookmarkStart w:id="100" w:name="_Ref268776745"/>
      <w:r w:rsidRPr="00617C4F">
        <w:t>The following studies provided evaluable safety data</w:t>
      </w:r>
      <w:r w:rsidR="009203E1">
        <w:t>:</w:t>
      </w:r>
    </w:p>
    <w:p w:rsidR="00617C4F" w:rsidRPr="00617C4F" w:rsidRDefault="00617C4F" w:rsidP="007A3CB3">
      <w:pPr>
        <w:pStyle w:val="ListBullet"/>
      </w:pPr>
      <w:r w:rsidRPr="00617C4F">
        <w:t>Three pivotal efficacy/safety studies: Study GS-US-337-0102, Study GS-US-337-0108 and Study GS-US-337-0109</w:t>
      </w:r>
    </w:p>
    <w:p w:rsidR="00617C4F" w:rsidRPr="00617C4F" w:rsidRDefault="00617C4F" w:rsidP="00617C4F">
      <w:pPr>
        <w:pStyle w:val="ListBullet"/>
      </w:pPr>
      <w:r w:rsidRPr="00617C4F">
        <w:t>Three other efficacy/safety studies: GS-US-337-0118, GS-US-337-0122 and Study P7977-0523</w:t>
      </w:r>
    </w:p>
    <w:p w:rsidR="00617C4F" w:rsidRPr="00617C4F" w:rsidRDefault="00617C4F" w:rsidP="00617C4F">
      <w:pPr>
        <w:pStyle w:val="ListBullet"/>
      </w:pPr>
      <w:r w:rsidRPr="00617C4F">
        <w:t xml:space="preserve">25 clinical pharmacology studies: Study GS-US-256-0110, Study GS-US-337-0101, Study GS-US-256-0101, Study GS-US-0108, Study GS-US-334-0111, Study GS-US-256-0102, Study GS-US-248-0117, Study GS-US-344-0101, Study GS-US-344-0108, Study </w:t>
      </w:r>
      <w:r w:rsidRPr="00617C4F">
        <w:lastRenderedPageBreak/>
        <w:t>GS-US-119-0113, GS-US-169-0105, Study GS-US-248-0102, Study GS-US-248-0104, Study GS-US-248-0107, Study GS-US-248-0125, Study GS-US-248-0127, Study GS-US-256-0129, Study GS-US-334-0101, Study GS-US-334-0146, Study GS-US-334-0148, GS-US-337-0127, Study GS-US-337-0128, Study GS-US-344-0102, Study MK-5172-pn023, and Study GS-US-344-0109</w:t>
      </w:r>
    </w:p>
    <w:p w:rsidR="00617C4F" w:rsidRPr="00617C4F" w:rsidRDefault="00617C4F" w:rsidP="00617C4F">
      <w:pPr>
        <w:pStyle w:val="ListBullet"/>
      </w:pPr>
      <w:r w:rsidRPr="00617C4F">
        <w:t>An Integrated Summary of Efficacy and an Integrated Summary of Safety</w:t>
      </w:r>
      <w:r w:rsidR="00D2208C">
        <w:t>.</w:t>
      </w:r>
    </w:p>
    <w:p w:rsidR="00617C4F" w:rsidRPr="00827CF0" w:rsidRDefault="00617C4F" w:rsidP="00617C4F">
      <w:pPr>
        <w:pStyle w:val="Heading5"/>
      </w:pPr>
      <w:r w:rsidRPr="00827CF0">
        <w:t>Pivotal efficacy studies</w:t>
      </w:r>
      <w:bookmarkEnd w:id="100"/>
    </w:p>
    <w:p w:rsidR="00617C4F" w:rsidRPr="00617C4F" w:rsidRDefault="00617C4F" w:rsidP="00617C4F">
      <w:r w:rsidRPr="00617C4F">
        <w:t>In the pivotal efficacy studies, the following safety data were collected:</w:t>
      </w:r>
    </w:p>
    <w:p w:rsidR="00617C4F" w:rsidRPr="00617C4F" w:rsidRDefault="00617C4F" w:rsidP="00617C4F">
      <w:pPr>
        <w:pStyle w:val="ListBullet"/>
      </w:pPr>
      <w:r w:rsidRPr="00617C4F">
        <w:t>General adverse events (AEs) were assessed by report.</w:t>
      </w:r>
    </w:p>
    <w:p w:rsidR="00617C4F" w:rsidRPr="00617C4F" w:rsidRDefault="00617C4F" w:rsidP="00617C4F">
      <w:pPr>
        <w:pStyle w:val="ListBullet"/>
      </w:pPr>
      <w:r w:rsidRPr="00617C4F">
        <w:t>Laboratory tests, including AST, ALT, bilirubin and FBC</w:t>
      </w:r>
    </w:p>
    <w:p w:rsidR="00617C4F" w:rsidRPr="00617C4F" w:rsidRDefault="00617C4F" w:rsidP="007A3CB3">
      <w:pPr>
        <w:pStyle w:val="ListBullet"/>
      </w:pPr>
      <w:r w:rsidRPr="00617C4F">
        <w:t>ECG and vital signs</w:t>
      </w:r>
    </w:p>
    <w:p w:rsidR="00617C4F" w:rsidRPr="00617C4F" w:rsidRDefault="00617C4F" w:rsidP="007A3CB3">
      <w:pPr>
        <w:pStyle w:val="Heading5"/>
      </w:pPr>
      <w:r w:rsidRPr="00617C4F">
        <w:t>Pivotal studies that assessed safety as a primary outcome</w:t>
      </w:r>
    </w:p>
    <w:p w:rsidR="00617C4F" w:rsidRPr="00617C4F" w:rsidRDefault="00617C4F" w:rsidP="00617C4F">
      <w:r w:rsidRPr="00617C4F">
        <w:t>There were no studies that assessed safety as a primary outcome.</w:t>
      </w:r>
    </w:p>
    <w:p w:rsidR="00617C4F" w:rsidRPr="00617C4F" w:rsidRDefault="00617C4F" w:rsidP="00617C4F">
      <w:pPr>
        <w:pStyle w:val="Heading5"/>
      </w:pPr>
      <w:r w:rsidRPr="00617C4F">
        <w:t>Dose-response and non-pivotal efficacy studies</w:t>
      </w:r>
    </w:p>
    <w:p w:rsidR="00617C4F" w:rsidRPr="00617C4F" w:rsidRDefault="00617C4F" w:rsidP="00617C4F">
      <w:r w:rsidRPr="00617C4F">
        <w:t>In the pivotal efficacy studies, the following safety data were collected:</w:t>
      </w:r>
    </w:p>
    <w:p w:rsidR="00617C4F" w:rsidRPr="00617C4F" w:rsidRDefault="00617C4F" w:rsidP="007A3CB3">
      <w:pPr>
        <w:pStyle w:val="ListBullet"/>
      </w:pPr>
      <w:r w:rsidRPr="00617C4F">
        <w:t>General adverse events (AEs) were assessed by report.</w:t>
      </w:r>
    </w:p>
    <w:p w:rsidR="00617C4F" w:rsidRPr="00617C4F" w:rsidRDefault="00617C4F" w:rsidP="00617C4F">
      <w:pPr>
        <w:pStyle w:val="ListBullet"/>
      </w:pPr>
      <w:r w:rsidRPr="00617C4F">
        <w:t>Laboratory tests, including AST, ALT, bilirubin and FBC</w:t>
      </w:r>
    </w:p>
    <w:p w:rsidR="00617C4F" w:rsidRPr="00617C4F" w:rsidRDefault="00617C4F" w:rsidP="00617C4F">
      <w:pPr>
        <w:pStyle w:val="ListBullet"/>
      </w:pPr>
      <w:r w:rsidRPr="00617C4F">
        <w:t>ECG and vital signs</w:t>
      </w:r>
    </w:p>
    <w:p w:rsidR="00617C4F" w:rsidRPr="00617C4F" w:rsidRDefault="00617C4F" w:rsidP="007A3CB3">
      <w:pPr>
        <w:pStyle w:val="Heading5"/>
      </w:pPr>
      <w:bookmarkStart w:id="101" w:name="_Other_studies_evaluable_for_safety_"/>
      <w:bookmarkEnd w:id="101"/>
      <w:r w:rsidRPr="00617C4F">
        <w:t>Other studies evaluable for safety only</w:t>
      </w:r>
    </w:p>
    <w:p w:rsidR="00617C4F" w:rsidRPr="00617C4F" w:rsidRDefault="00617C4F" w:rsidP="007A3CB3">
      <w:r w:rsidRPr="00617C4F">
        <w:t>There were 14 additional studies that contained clinical data.</w:t>
      </w:r>
      <w:r w:rsidR="00B90AF7">
        <w:t xml:space="preserve"> </w:t>
      </w:r>
      <w:r w:rsidRPr="00617C4F">
        <w:t>These studies used different drug combinations and/or different indications than those of the present application.</w:t>
      </w:r>
      <w:r w:rsidR="00B90AF7">
        <w:t xml:space="preserve"> </w:t>
      </w:r>
      <w:r w:rsidRPr="00617C4F">
        <w:t>These studies were: Study GS-US-248-0120, Study GS-US-248-0121, Study GS-US-248-0131, Study GS-US-248-0132, Study GS-US-256-0124, Study GS-US-256-0148, Study GS-US-334-0107, Study GS-US-334-0108, Study GS-US-334-0110, Study GS-US-334-0123, Study GS-US-334-0133, Study p2938-0721, Study p79</w:t>
      </w:r>
      <w:r>
        <w:t xml:space="preserve">77-1231, and Study p7977-2025. </w:t>
      </w:r>
      <w:r w:rsidRPr="00617C4F">
        <w:t xml:space="preserve">No additional </w:t>
      </w:r>
      <w:r w:rsidR="00F120F3">
        <w:t>safety concerns regarding SOF/</w:t>
      </w:r>
      <w:r w:rsidRPr="00617C4F">
        <w:t>LDV FDC were identified from these data.</w:t>
      </w:r>
    </w:p>
    <w:p w:rsidR="00605AD4" w:rsidRPr="00605AD4" w:rsidRDefault="00605AD4" w:rsidP="00605AD4">
      <w:pPr>
        <w:pStyle w:val="Heading4"/>
      </w:pPr>
      <w:r w:rsidRPr="00605AD4">
        <w:t>Patient exposure</w:t>
      </w:r>
    </w:p>
    <w:p w:rsidR="00CA168A" w:rsidRPr="00DF1D59" w:rsidRDefault="00F120F3" w:rsidP="00CA168A">
      <w:pPr>
        <w:pStyle w:val="Heading5"/>
      </w:pPr>
      <w:bookmarkStart w:id="102" w:name="_Toc401420047"/>
      <w:r>
        <w:t>Overall exposure to SOF</w:t>
      </w:r>
      <w:r w:rsidR="00CA168A" w:rsidRPr="00DF1D59">
        <w:t>/LDV FDC:</w:t>
      </w:r>
      <w:bookmarkEnd w:id="102"/>
    </w:p>
    <w:p w:rsidR="00CA168A" w:rsidRPr="00A16B22" w:rsidRDefault="00CA168A" w:rsidP="00A16B22">
      <w:r w:rsidRPr="00A16B22">
        <w:t>In th</w:t>
      </w:r>
      <w:r w:rsidR="002C5D35">
        <w:t>e development program for SOF/</w:t>
      </w:r>
      <w:r w:rsidRPr="00A16B22">
        <w:t>LDV FDC</w:t>
      </w:r>
      <w:r w:rsidR="002C5D35">
        <w:t>,</w:t>
      </w:r>
      <w:r w:rsidRPr="00A16B22">
        <w:t xml:space="preserve"> there were 1952 subjects exposed to </w:t>
      </w:r>
      <w:r w:rsidR="00A16B22">
        <w:t>SOF/</w:t>
      </w:r>
      <w:r w:rsidRPr="00A16B22">
        <w:t>LDV FDC.</w:t>
      </w:r>
      <w:r w:rsidR="00B90AF7">
        <w:t xml:space="preserve"> </w:t>
      </w:r>
      <w:r w:rsidRPr="00A16B22">
        <w:t>This included:</w:t>
      </w:r>
    </w:p>
    <w:p w:rsidR="00CA168A" w:rsidRPr="00DF1D59" w:rsidRDefault="00D90FF3" w:rsidP="00A16B22">
      <w:pPr>
        <w:pStyle w:val="ListBullet"/>
      </w:pPr>
      <w:r>
        <w:t>Subjects exposed to SOF/</w:t>
      </w:r>
      <w:r w:rsidR="00CA168A" w:rsidRPr="00DF1D59">
        <w:t>LDV FDC for treatment durations of 8 weeks: 215</w:t>
      </w:r>
    </w:p>
    <w:p w:rsidR="00CA168A" w:rsidRPr="00DF1D59" w:rsidRDefault="00CA168A" w:rsidP="00A16B22">
      <w:pPr>
        <w:pStyle w:val="ListBullet"/>
      </w:pPr>
      <w:r w:rsidRPr="00DF1D59">
        <w:t xml:space="preserve">Subjects exposed to </w:t>
      </w:r>
      <w:r w:rsidR="00D90FF3">
        <w:t>SOF/</w:t>
      </w:r>
      <w:r w:rsidR="00D90FF3" w:rsidRPr="00DF1D59">
        <w:t xml:space="preserve">LDV FDC </w:t>
      </w:r>
      <w:r w:rsidRPr="00DF1D59">
        <w:t>for treatment durations of 12 weeks: 539</w:t>
      </w:r>
    </w:p>
    <w:p w:rsidR="00CA168A" w:rsidRPr="00827CF0" w:rsidRDefault="00CA168A" w:rsidP="00A16B22">
      <w:pPr>
        <w:pStyle w:val="ListBullet"/>
      </w:pPr>
      <w:r w:rsidRPr="00DF1D59">
        <w:t>Subjects</w:t>
      </w:r>
      <w:r w:rsidRPr="00827CF0">
        <w:t xml:space="preserve"> exposed to </w:t>
      </w:r>
      <w:r w:rsidR="00D90FF3">
        <w:t>SOF/</w:t>
      </w:r>
      <w:r w:rsidR="00D90FF3" w:rsidRPr="00DF1D59">
        <w:t xml:space="preserve">LDV FDC </w:t>
      </w:r>
      <w:r w:rsidRPr="00827CF0">
        <w:t>for treatment durations of 24 weeks: 326</w:t>
      </w:r>
    </w:p>
    <w:p w:rsidR="00CA168A" w:rsidRPr="00827CF0" w:rsidRDefault="00CA168A" w:rsidP="00A16B22">
      <w:pPr>
        <w:pStyle w:val="ListBullet"/>
      </w:pPr>
      <w:r w:rsidRPr="00827CF0">
        <w:t xml:space="preserve">Subjects exposed to </w:t>
      </w:r>
      <w:r w:rsidR="00D90FF3">
        <w:t>SOF/</w:t>
      </w:r>
      <w:r w:rsidR="00D90FF3" w:rsidRPr="00DF1D59">
        <w:t xml:space="preserve">LDV FDC </w:t>
      </w:r>
      <w:r w:rsidRPr="00827CF0">
        <w:t>+ RBV for treatment durations of 8 weeks: 216</w:t>
      </w:r>
    </w:p>
    <w:p w:rsidR="00CA168A" w:rsidRPr="00827CF0" w:rsidRDefault="00CA168A" w:rsidP="00A16B22">
      <w:pPr>
        <w:pStyle w:val="ListBullet"/>
      </w:pPr>
      <w:r w:rsidRPr="00827CF0">
        <w:t xml:space="preserve">Subjects exposed to </w:t>
      </w:r>
      <w:r w:rsidR="00D90FF3">
        <w:t>SOF/</w:t>
      </w:r>
      <w:r w:rsidR="00D90FF3" w:rsidRPr="00DF1D59">
        <w:t xml:space="preserve">LDV FDC </w:t>
      </w:r>
      <w:r w:rsidRPr="00827CF0">
        <w:t>+ RBV for treatment durations of 12 weeks: 328</w:t>
      </w:r>
    </w:p>
    <w:p w:rsidR="00CA168A" w:rsidRPr="00827CF0" w:rsidRDefault="00CA168A" w:rsidP="00A16B22">
      <w:pPr>
        <w:pStyle w:val="ListBullet"/>
      </w:pPr>
      <w:r w:rsidRPr="00827CF0">
        <w:t xml:space="preserve">Subjects exposed to </w:t>
      </w:r>
      <w:r w:rsidR="00D90FF3">
        <w:t>SOF/</w:t>
      </w:r>
      <w:r w:rsidR="00D90FF3" w:rsidRPr="00DF1D59">
        <w:t xml:space="preserve">LDV FDC </w:t>
      </w:r>
      <w:r w:rsidRPr="00827CF0">
        <w:t>+ RBV for treatment durations of 24 weeks: 328</w:t>
      </w:r>
    </w:p>
    <w:p w:rsidR="00CA168A" w:rsidRPr="00A16B22" w:rsidRDefault="00CA168A" w:rsidP="00A16B22">
      <w:r w:rsidRPr="00A16B22">
        <w:t>There were 1175 (60.2%) males and 777 (39.8%) females.</w:t>
      </w:r>
      <w:r w:rsidR="00B90AF7">
        <w:t xml:space="preserve"> </w:t>
      </w:r>
      <w:r w:rsidRPr="00A16B22">
        <w:t>There were 152 (7.8%) subjects aged ≥</w:t>
      </w:r>
      <w:r w:rsidR="00A16B22">
        <w:t xml:space="preserve"> </w:t>
      </w:r>
      <w:r w:rsidRPr="00A16B22">
        <w:t>65 years.</w:t>
      </w:r>
      <w:r w:rsidR="00B90AF7">
        <w:t xml:space="preserve"> </w:t>
      </w:r>
      <w:r w:rsidRPr="00A16B22">
        <w:t>There were 1234 (77.2%) subjects with confirmed GT1a-HCV and 356 (22.3%) with GT1b-HCV.</w:t>
      </w:r>
      <w:r w:rsidR="00B90AF7">
        <w:t xml:space="preserve"> </w:t>
      </w:r>
      <w:r w:rsidRPr="00A16B22">
        <w:t>There were 169 (10.6%) subjects with cirrhosis.</w:t>
      </w:r>
    </w:p>
    <w:p w:rsidR="00CA168A" w:rsidRPr="00827CF0" w:rsidRDefault="00CA168A" w:rsidP="007A3CB3">
      <w:pPr>
        <w:pStyle w:val="Heading5"/>
      </w:pPr>
      <w:bookmarkStart w:id="103" w:name="_Toc401420048"/>
      <w:r w:rsidRPr="00827CF0">
        <w:lastRenderedPageBreak/>
        <w:t>Exposure in efficacy trials</w:t>
      </w:r>
      <w:bookmarkEnd w:id="103"/>
    </w:p>
    <w:p w:rsidR="00CA168A" w:rsidRPr="00A16B22" w:rsidRDefault="00CA168A" w:rsidP="007A3CB3">
      <w:r w:rsidRPr="00A16B22">
        <w:t>In Study GS-US-337-0102</w:t>
      </w:r>
      <w:r w:rsidR="00A70099">
        <w:t>,</w:t>
      </w:r>
      <w:r w:rsidRPr="00A16B22">
        <w:t xml:space="preserve"> in the 12 Week treatment groups there were 214 subjects exposed to </w:t>
      </w:r>
      <w:r w:rsidR="00A70099">
        <w:t>SOF/</w:t>
      </w:r>
      <w:r w:rsidR="00A70099" w:rsidRPr="00DF1D59">
        <w:t>LDV FDC</w:t>
      </w:r>
      <w:r w:rsidRPr="00A16B22">
        <w:t xml:space="preserve"> (192 for 12 weeks) and 217 to </w:t>
      </w:r>
      <w:r w:rsidR="00A70099">
        <w:t>SOF/</w:t>
      </w:r>
      <w:r w:rsidR="00A70099" w:rsidRPr="00DF1D59">
        <w:t xml:space="preserve">LDV FDC </w:t>
      </w:r>
      <w:r w:rsidRPr="00A16B22">
        <w:t>+</w:t>
      </w:r>
      <w:r w:rsidR="00A70099">
        <w:t xml:space="preserve"> </w:t>
      </w:r>
      <w:r w:rsidRPr="00A16B22">
        <w:t>RBV (194 for 12 weeks).</w:t>
      </w:r>
      <w:r w:rsidR="00B90AF7">
        <w:t xml:space="preserve"> </w:t>
      </w:r>
      <w:r w:rsidRPr="00A16B22">
        <w:t xml:space="preserve">In the 24 Week treatment groups there were 217 subjects exposed to </w:t>
      </w:r>
      <w:r w:rsidR="00A70099">
        <w:t>SOF/</w:t>
      </w:r>
      <w:r w:rsidR="00A70099" w:rsidRPr="00DF1D59">
        <w:t>LDV FDC</w:t>
      </w:r>
      <w:r w:rsidRPr="00A16B22">
        <w:t xml:space="preserve"> (213 for 12 weeks, 186 for 24 weeks) and 217 to </w:t>
      </w:r>
      <w:r w:rsidR="00A70099">
        <w:t>SOF/LDV FDC</w:t>
      </w:r>
      <w:r w:rsidR="00C70650">
        <w:t xml:space="preserve"> </w:t>
      </w:r>
      <w:r w:rsidRPr="00A16B22">
        <w:t>+</w:t>
      </w:r>
      <w:r w:rsidR="00C70650">
        <w:t xml:space="preserve"> </w:t>
      </w:r>
      <w:r w:rsidRPr="00A16B22">
        <w:t>RBV (216 for 12 weeks, 178 for 24 weeks)</w:t>
      </w:r>
    </w:p>
    <w:p w:rsidR="00CA168A" w:rsidRPr="00A16B22" w:rsidRDefault="00CA168A" w:rsidP="007A3CB3">
      <w:r w:rsidRPr="00A16B22">
        <w:t xml:space="preserve">In Study GS-US-337-0108, there were 215 subjects exposed to </w:t>
      </w:r>
      <w:r w:rsidR="00C70650">
        <w:t>SOF/</w:t>
      </w:r>
      <w:r w:rsidR="00C70650" w:rsidRPr="00DF1D59">
        <w:t xml:space="preserve">LDV FDC </w:t>
      </w:r>
      <w:r w:rsidRPr="00A16B22">
        <w:t xml:space="preserve">in the 8 week group, with 202 exposed for 8 weeks; 216 exposed to </w:t>
      </w:r>
      <w:r w:rsidR="00C70650">
        <w:t>SOF/</w:t>
      </w:r>
      <w:r w:rsidR="00C70650" w:rsidRPr="00DF1D59">
        <w:t xml:space="preserve">LDV FDC </w:t>
      </w:r>
      <w:r w:rsidRPr="00A16B22">
        <w:t xml:space="preserve">+ RBV with 203 exposed for 8 weeks; and 216 in the </w:t>
      </w:r>
      <w:r w:rsidR="00C70650">
        <w:t>SOF/</w:t>
      </w:r>
      <w:r w:rsidR="00C70650" w:rsidRPr="00DF1D59">
        <w:t xml:space="preserve">LDV FDC </w:t>
      </w:r>
      <w:r w:rsidRPr="00A16B22">
        <w:t>12 week group, with 194 exposed for 12 weeks.</w:t>
      </w:r>
    </w:p>
    <w:p w:rsidR="009203E1" w:rsidRDefault="00CA168A" w:rsidP="007A3CB3">
      <w:r w:rsidRPr="00A16B22">
        <w:t xml:space="preserve">In Study GS-US-337-0109, there were 109 subjects exposed to </w:t>
      </w:r>
      <w:r w:rsidR="00C70650">
        <w:t>SOF/</w:t>
      </w:r>
      <w:r w:rsidR="00C70650" w:rsidRPr="00DF1D59">
        <w:t xml:space="preserve">LDV FDC </w:t>
      </w:r>
      <w:r w:rsidRPr="00A16B22">
        <w:t xml:space="preserve">in the </w:t>
      </w:r>
      <w:r w:rsidR="001853CD">
        <w:t>SOF/LDV</w:t>
      </w:r>
      <w:r w:rsidRPr="00A16B22">
        <w:t xml:space="preserve"> FDC 12 week group (106 for 12 weeks), 111 in the </w:t>
      </w:r>
      <w:r w:rsidR="00C70650">
        <w:t>SOF/</w:t>
      </w:r>
      <w:r w:rsidR="00C70650" w:rsidRPr="00DF1D59">
        <w:t xml:space="preserve">LDV FDC </w:t>
      </w:r>
      <w:r w:rsidRPr="00A16B22">
        <w:t xml:space="preserve">+ RBV 12 week (103 for 12 weeks), 109 in the </w:t>
      </w:r>
      <w:r w:rsidR="00C70650">
        <w:t>SOF/</w:t>
      </w:r>
      <w:r w:rsidR="00C70650" w:rsidRPr="00DF1D59">
        <w:t xml:space="preserve">LDV FDC </w:t>
      </w:r>
      <w:r w:rsidRPr="00A16B22">
        <w:t xml:space="preserve">24 week (94 for 24 weeks) and 111 in the </w:t>
      </w:r>
      <w:r w:rsidR="00C70650">
        <w:t>SOF/</w:t>
      </w:r>
      <w:r w:rsidR="00C70650" w:rsidRPr="00DF1D59">
        <w:t>LDV FDC</w:t>
      </w:r>
      <w:r w:rsidRPr="00A16B22">
        <w:t xml:space="preserve"> + RBV 24 week (99 for 24 weeks)</w:t>
      </w:r>
      <w:r w:rsidR="009203E1">
        <w:t>.</w:t>
      </w:r>
    </w:p>
    <w:p w:rsidR="009203E1" w:rsidRDefault="00CA168A" w:rsidP="007A3CB3">
      <w:r w:rsidRPr="00A16B22">
        <w:t>In Study GS-US-337-0118, there we</w:t>
      </w:r>
      <w:r w:rsidR="001853CD">
        <w:t>re 41 subjects exposed to SOF/</w:t>
      </w:r>
      <w:r w:rsidRPr="00A16B22">
        <w:t xml:space="preserve">LDV FDC ± RBV in the 8 week groups, 40 or </w:t>
      </w:r>
      <w:proofErr w:type="gramStart"/>
      <w:r w:rsidRPr="00A16B22">
        <w:t>whom</w:t>
      </w:r>
      <w:proofErr w:type="gramEnd"/>
      <w:r w:rsidRPr="00A16B22">
        <w:t xml:space="preserve"> completed 8</w:t>
      </w:r>
      <w:r w:rsidR="001853CD">
        <w:t xml:space="preserve"> weeks, and 59 exposed to SOF/</w:t>
      </w:r>
      <w:r w:rsidRPr="00A16B22">
        <w:t>LDV FDC ± RBV in the 12 week groups, all of whom completed 12 weeks</w:t>
      </w:r>
      <w:r w:rsidR="009203E1">
        <w:t>.</w:t>
      </w:r>
    </w:p>
    <w:p w:rsidR="00CA168A" w:rsidRPr="00A16B22" w:rsidRDefault="00CA168A" w:rsidP="007A3CB3">
      <w:r w:rsidRPr="00A16B22">
        <w:t>In Study GS-US-337-0122, 25</w:t>
      </w:r>
      <w:r w:rsidR="001853CD">
        <w:t xml:space="preserve"> subjects were exposed to SOF/</w:t>
      </w:r>
      <w:r w:rsidRPr="00A16B22">
        <w:t xml:space="preserve">LDV FDC for up to 12 weeks and 26 to </w:t>
      </w:r>
      <w:r w:rsidR="001853CD">
        <w:t>SOF/LDV</w:t>
      </w:r>
      <w:r w:rsidRPr="00A16B22">
        <w:t xml:space="preserve"> FDC + RBV for up to 12 weeks.</w:t>
      </w:r>
    </w:p>
    <w:p w:rsidR="00CA168A" w:rsidRPr="00A16B22" w:rsidRDefault="00CA168A" w:rsidP="00A16B22">
      <w:r w:rsidRPr="00A16B22">
        <w:t xml:space="preserve">In Study P7977-0523, there were 10 subjects that were null responder GT1 treated with </w:t>
      </w:r>
      <w:r w:rsidR="001853CD">
        <w:t>SOF/LDV</w:t>
      </w:r>
      <w:r w:rsidRPr="00A16B22">
        <w:t xml:space="preserve"> FDC for 12 weeks; 9 subjects with null responder GT1 treated with </w:t>
      </w:r>
      <w:r w:rsidR="001853CD">
        <w:t>SOF/LDV</w:t>
      </w:r>
      <w:r w:rsidRPr="00A16B22">
        <w:t xml:space="preserve"> FDC + RBV for 12 weeks; 10 subjects with treatment naïve GT2/3 treated with </w:t>
      </w:r>
      <w:r w:rsidR="001853CD">
        <w:t>SOF/LDV</w:t>
      </w:r>
      <w:r w:rsidRPr="00A16B22">
        <w:t xml:space="preserve"> FDC for 12 weeks; 14 subjects with haemophilia and GT1-HCV treated with </w:t>
      </w:r>
      <w:r w:rsidR="001853CD">
        <w:t>SOF/LDV</w:t>
      </w:r>
      <w:r w:rsidRPr="00A16B22">
        <w:t xml:space="preserve"> FDC + RBV for 12 weeks, and 25 of subjects with treatment naïve GT1 treated with </w:t>
      </w:r>
      <w:r w:rsidR="001853CD">
        <w:t>SOF/LDV</w:t>
      </w:r>
      <w:r w:rsidRPr="00A16B22">
        <w:t xml:space="preserve"> for 6 weeks.</w:t>
      </w:r>
    </w:p>
    <w:p w:rsidR="00605AD4" w:rsidRPr="00605AD4" w:rsidRDefault="00605AD4" w:rsidP="007A3CB3">
      <w:pPr>
        <w:pStyle w:val="Heading4"/>
      </w:pPr>
      <w:r w:rsidRPr="00605AD4">
        <w:t>Safety issues with the potential for major regulatory impact</w:t>
      </w:r>
    </w:p>
    <w:p w:rsidR="004C545A" w:rsidRDefault="00085E91" w:rsidP="007A3CB3">
      <w:r w:rsidRPr="00085E91">
        <w:t>There were no safety issues with the potential for major regulatory impact identified in the data.</w:t>
      </w:r>
    </w:p>
    <w:p w:rsidR="00605AD4" w:rsidRPr="00605AD4" w:rsidRDefault="00605AD4" w:rsidP="00605AD4">
      <w:pPr>
        <w:pStyle w:val="Heading4"/>
      </w:pPr>
      <w:r w:rsidRPr="00605AD4">
        <w:t>Post</w:t>
      </w:r>
      <w:r w:rsidR="001853CD">
        <w:t xml:space="preserve"> </w:t>
      </w:r>
      <w:r w:rsidRPr="00605AD4">
        <w:t>marketing data</w:t>
      </w:r>
    </w:p>
    <w:p w:rsidR="004C545A" w:rsidRDefault="00085E91" w:rsidP="004C545A">
      <w:r w:rsidRPr="00085E91">
        <w:t>No pos</w:t>
      </w:r>
      <w:r w:rsidR="001853CD">
        <w:t xml:space="preserve">t </w:t>
      </w:r>
      <w:r w:rsidRPr="00085E91">
        <w:t>marketing data were included in the submission.</w:t>
      </w:r>
    </w:p>
    <w:p w:rsidR="00605AD4" w:rsidRPr="00605AD4" w:rsidRDefault="00605AD4" w:rsidP="00605AD4">
      <w:pPr>
        <w:pStyle w:val="Heading4"/>
      </w:pPr>
      <w:r w:rsidRPr="00605AD4">
        <w:t>Evaluator’s conclusions on safety</w:t>
      </w:r>
    </w:p>
    <w:p w:rsidR="00BF6D9E" w:rsidRPr="00BF6D9E" w:rsidRDefault="003D6306" w:rsidP="00BF6D9E">
      <w:r>
        <w:t>SOF/</w:t>
      </w:r>
      <w:r w:rsidR="00BF6D9E" w:rsidRPr="00BF6D9E">
        <w:t>LDV FDC has a favourable safety profile.</w:t>
      </w:r>
      <w:r w:rsidR="00B90AF7">
        <w:t xml:space="preserve"> </w:t>
      </w:r>
      <w:r w:rsidR="00BF6D9E" w:rsidRPr="00BF6D9E">
        <w:t>The most frequently reported TEAEs were fatigue, headache, insomnia, nausea and arthralgia.</w:t>
      </w:r>
      <w:r w:rsidR="00B90AF7">
        <w:t xml:space="preserve"> </w:t>
      </w:r>
      <w:r w:rsidR="00BF6D9E" w:rsidRPr="00BF6D9E">
        <w:t>These TEAEs were more frequent in the groups treated with RBV.</w:t>
      </w:r>
      <w:r w:rsidR="00B90AF7">
        <w:t xml:space="preserve"> </w:t>
      </w:r>
      <w:r w:rsidR="00BF6D9E" w:rsidRPr="00BF6D9E">
        <w:t xml:space="preserve">Quality of life improved during treatment in those </w:t>
      </w:r>
      <w:r>
        <w:t>patients treated with SOF/</w:t>
      </w:r>
      <w:r w:rsidR="00BF6D9E" w:rsidRPr="00BF6D9E">
        <w:t>LDV FDC by itself, but decreased in those subjects also treated with RBV.</w:t>
      </w:r>
    </w:p>
    <w:p w:rsidR="00BF6D9E" w:rsidRPr="00BF6D9E" w:rsidRDefault="00BF6D9E" w:rsidP="00BF6D9E">
      <w:r w:rsidRPr="00BF6D9E">
        <w:t>There were no deaths in the efficacy studies or in the clinical pharmacology studies.</w:t>
      </w:r>
      <w:r w:rsidR="00B90AF7">
        <w:t xml:space="preserve"> </w:t>
      </w:r>
      <w:r w:rsidRPr="00BF6D9E">
        <w:t xml:space="preserve">SAEs were infrequent and there was no clear pattern attributable to </w:t>
      </w:r>
      <w:r w:rsidR="001853CD">
        <w:t>SOF/LDV</w:t>
      </w:r>
      <w:r w:rsidRPr="00BF6D9E">
        <w:t xml:space="preserve"> FDC.</w:t>
      </w:r>
      <w:r w:rsidR="00B90AF7">
        <w:t xml:space="preserve"> </w:t>
      </w:r>
      <w:r w:rsidRPr="00BF6D9E">
        <w:t>There were few DAEs.</w:t>
      </w:r>
    </w:p>
    <w:p w:rsidR="00BF6D9E" w:rsidRPr="00BF6D9E" w:rsidRDefault="00BF6D9E" w:rsidP="00BF6D9E">
      <w:r w:rsidRPr="00BF6D9E">
        <w:t xml:space="preserve">One subject had AST or ALT &gt;3xULN and bilirubin &gt;2xULN with no signs of liver disease that resolved on treatment (and was not attributed to </w:t>
      </w:r>
      <w:r w:rsidR="001853CD">
        <w:t>SOF/LDV</w:t>
      </w:r>
      <w:r w:rsidRPr="00BF6D9E">
        <w:t>).</w:t>
      </w:r>
    </w:p>
    <w:p w:rsidR="00BF6D9E" w:rsidRPr="00BF6D9E" w:rsidRDefault="00BF6D9E" w:rsidP="00BF6D9E">
      <w:r w:rsidRPr="00BF6D9E">
        <w:t>Anaemia was reported in up to 9.2% of the subjects treated with RBV.</w:t>
      </w:r>
    </w:p>
    <w:p w:rsidR="00BF6D9E" w:rsidRPr="00BF6D9E" w:rsidRDefault="00BF6D9E" w:rsidP="00BF6D9E">
      <w:r w:rsidRPr="00BF6D9E">
        <w:t>In the efficacy studies there was a higher than expected rate of significant elevation in serum lipase, but the frequency was ≤1.8% in any individual study.</w:t>
      </w:r>
      <w:r w:rsidR="00B90AF7">
        <w:t xml:space="preserve"> </w:t>
      </w:r>
      <w:r w:rsidRPr="00BF6D9E">
        <w:t>Although this may be a feature of the underlying condition, it may also be a safety signal.</w:t>
      </w:r>
    </w:p>
    <w:p w:rsidR="00BF6D9E" w:rsidRPr="00BF6D9E" w:rsidRDefault="00BF6D9E" w:rsidP="00BF6D9E">
      <w:r w:rsidRPr="00BF6D9E">
        <w:lastRenderedPageBreak/>
        <w:t xml:space="preserve">The thorough QT study did not indicate any significant </w:t>
      </w:r>
      <w:proofErr w:type="spellStart"/>
      <w:r w:rsidRPr="00BF6D9E">
        <w:t>QTc</w:t>
      </w:r>
      <w:proofErr w:type="spellEnd"/>
      <w:r w:rsidRPr="00BF6D9E">
        <w:t xml:space="preserve"> prolongation however the dose used in that study was only 33% higher than the proposed dosing regimen.</w:t>
      </w:r>
    </w:p>
    <w:p w:rsidR="00BF6D9E" w:rsidRPr="00BF6D9E" w:rsidRDefault="00BF6D9E" w:rsidP="00BF6D9E">
      <w:r w:rsidRPr="00BF6D9E">
        <w:t xml:space="preserve">There </w:t>
      </w:r>
      <w:proofErr w:type="gramStart"/>
      <w:r w:rsidRPr="00BF6D9E">
        <w:t>were</w:t>
      </w:r>
      <w:proofErr w:type="gramEnd"/>
      <w:r w:rsidRPr="00BF6D9E">
        <w:t xml:space="preserve"> no long term safety data included in the submission.</w:t>
      </w:r>
      <w:r w:rsidR="00B90AF7">
        <w:t xml:space="preserve"> </w:t>
      </w:r>
      <w:r w:rsidRPr="00BF6D9E">
        <w:t xml:space="preserve">Hence, it is not possible to comment on the long-term safety effects of </w:t>
      </w:r>
      <w:r w:rsidR="001853CD">
        <w:t>SOF/LDV</w:t>
      </w:r>
      <w:r w:rsidRPr="00BF6D9E">
        <w:t xml:space="preserve"> FDC.</w:t>
      </w:r>
    </w:p>
    <w:p w:rsidR="00605AD4" w:rsidRPr="00605AD4" w:rsidRDefault="00605AD4" w:rsidP="00605AD4">
      <w:pPr>
        <w:pStyle w:val="Heading3"/>
        <w:rPr>
          <w:rFonts w:eastAsia="Cambria"/>
        </w:rPr>
      </w:pPr>
      <w:bookmarkStart w:id="104" w:name="_Toc432073734"/>
      <w:r w:rsidRPr="00605AD4">
        <w:rPr>
          <w:rFonts w:eastAsia="Cambria"/>
        </w:rPr>
        <w:t xml:space="preserve">First </w:t>
      </w:r>
      <w:r w:rsidR="007A3CB3">
        <w:rPr>
          <w:rFonts w:eastAsia="Cambria"/>
        </w:rPr>
        <w:t>r</w:t>
      </w:r>
      <w:r w:rsidRPr="00605AD4">
        <w:rPr>
          <w:rFonts w:eastAsia="Cambria"/>
        </w:rPr>
        <w:t xml:space="preserve">ound </w:t>
      </w:r>
      <w:r w:rsidR="007A3CB3">
        <w:rPr>
          <w:rFonts w:eastAsia="Cambria"/>
        </w:rPr>
        <w:t>b</w:t>
      </w:r>
      <w:r w:rsidRPr="00605AD4">
        <w:rPr>
          <w:rFonts w:eastAsia="Cambria"/>
        </w:rPr>
        <w:t>enefit-</w:t>
      </w:r>
      <w:r w:rsidR="007A3CB3">
        <w:rPr>
          <w:rFonts w:eastAsia="Cambria"/>
        </w:rPr>
        <w:t>r</w:t>
      </w:r>
      <w:r w:rsidRPr="00605AD4">
        <w:rPr>
          <w:rFonts w:eastAsia="Cambria"/>
        </w:rPr>
        <w:t xml:space="preserve">isk </w:t>
      </w:r>
      <w:r w:rsidR="007A3CB3">
        <w:rPr>
          <w:rFonts w:eastAsia="Cambria"/>
        </w:rPr>
        <w:t>a</w:t>
      </w:r>
      <w:r w:rsidRPr="00605AD4">
        <w:rPr>
          <w:rFonts w:eastAsia="Cambria"/>
        </w:rPr>
        <w:t>ssessment</w:t>
      </w:r>
      <w:bookmarkEnd w:id="104"/>
    </w:p>
    <w:p w:rsidR="00605AD4" w:rsidRPr="00605AD4" w:rsidRDefault="00605AD4" w:rsidP="00605AD4">
      <w:pPr>
        <w:pStyle w:val="Heading4"/>
      </w:pPr>
      <w:r w:rsidRPr="00605AD4">
        <w:t>First round assessment of benefits</w:t>
      </w:r>
    </w:p>
    <w:p w:rsidR="003D6306" w:rsidRPr="003D6306" w:rsidRDefault="003D6306" w:rsidP="007A3CB3">
      <w:r w:rsidRPr="003D6306">
        <w:t>The efficacy data are supportive of efficacy in the proposed indication but in the opinion of the Evaluator the proposed treatment regimen may require modification.</w:t>
      </w:r>
    </w:p>
    <w:p w:rsidR="003D6306" w:rsidRPr="003D6306" w:rsidRDefault="003D6306" w:rsidP="003D6306">
      <w:r w:rsidRPr="003D6306">
        <w:t xml:space="preserve">In HCV treatment naïve subjects, with or without cirrhosis (Study GS-US-337-0102) SVR12 was achieved by 209 (97.7%) subjects in the </w:t>
      </w:r>
      <w:r w:rsidR="001853CD">
        <w:t>SOF/LDV</w:t>
      </w:r>
      <w:r w:rsidRPr="003D6306">
        <w:t xml:space="preserve"> 12 week group, 95% CI 94.6% to 99.1%, p &lt;0.001.</w:t>
      </w:r>
      <w:r w:rsidR="00B90AF7">
        <w:t xml:space="preserve"> </w:t>
      </w:r>
      <w:r w:rsidRPr="003D6306">
        <w:t xml:space="preserve">There was no additional benefit by also including RBV: SVR12 was achieved by 211 (97.2%) subjects in the </w:t>
      </w:r>
      <w:r w:rsidR="001853CD">
        <w:t>SOF/LDV</w:t>
      </w:r>
      <w:r w:rsidRPr="003D6306">
        <w:t xml:space="preserve"> + RBV 12 week group, 95% CI 94.1% to 99.0%, p &lt;0.001.</w:t>
      </w:r>
    </w:p>
    <w:p w:rsidR="003D6306" w:rsidRPr="003D6306" w:rsidRDefault="003D6306" w:rsidP="003D6306">
      <w:r w:rsidRPr="003D6306">
        <w:t xml:space="preserve">In treatment naïve subjects with chronic GT1-HCV without cirrhosis (Study GS-US-337-0108) SVR12 was achieved by 202 (94.0%) subjects in the </w:t>
      </w:r>
      <w:r w:rsidR="001853CD">
        <w:t>SOF/LDV</w:t>
      </w:r>
      <w:r w:rsidRPr="003D6306">
        <w:t xml:space="preserve"> FDC 8 week group, 95% CI 89.9% to 96.7%, p &lt;0.001.</w:t>
      </w:r>
      <w:r w:rsidR="00B90AF7">
        <w:t xml:space="preserve"> </w:t>
      </w:r>
      <w:r w:rsidRPr="003D6306">
        <w:t xml:space="preserve">There was no additional benefit by also including RBV: SVR12 was achieved by 201 (93.1%) subjects in the </w:t>
      </w:r>
      <w:r w:rsidR="001853CD">
        <w:t>SOF/LDV</w:t>
      </w:r>
      <w:r w:rsidRPr="003D6306">
        <w:t xml:space="preserve"> FDC + RBV 8 week group, 95% CI 88.8% to 96.1%, p &lt;0.001.</w:t>
      </w:r>
      <w:r w:rsidR="00B90AF7">
        <w:t xml:space="preserve"> </w:t>
      </w:r>
      <w:r w:rsidRPr="003D6306">
        <w:t xml:space="preserve">There was no significant additional benefit with a longer, 12 week, treatment period: SVR12 was achieved by 206 (95.4%) subjects in the </w:t>
      </w:r>
      <w:r w:rsidR="001853CD">
        <w:t>SOF/LDV</w:t>
      </w:r>
      <w:r w:rsidRPr="003D6306">
        <w:t xml:space="preserve"> FDC 12 week group, 95% CI 91.7% to 97.8%, p &lt;0.001.</w:t>
      </w:r>
    </w:p>
    <w:p w:rsidR="003D6306" w:rsidRPr="003D6306" w:rsidRDefault="003D6306" w:rsidP="007A3CB3">
      <w:r w:rsidRPr="003D6306">
        <w:t>In treatment experienced subj</w:t>
      </w:r>
      <w:r w:rsidR="00B55018">
        <w:t xml:space="preserve">ects with chronic GT1-HCV, that is, </w:t>
      </w:r>
      <w:r w:rsidRPr="003D6306">
        <w:t>with prior treatment failure with a Peg-</w:t>
      </w:r>
      <w:r w:rsidR="00B26D21">
        <w:t>IFN + RBV, (Study GS-US-337-0109</w:t>
      </w:r>
      <w:r w:rsidRPr="003D6306">
        <w:t xml:space="preserve">) SVR12 was achieved by 102 (93.6%) subjects in the </w:t>
      </w:r>
      <w:r w:rsidR="001853CD">
        <w:t>SOF/LDV</w:t>
      </w:r>
      <w:r w:rsidRPr="003D6306">
        <w:t xml:space="preserve"> FDC 12 week group, 95% CI 87.2% to 97.4%, p &lt;0.001 (compared to the historical 25% response rate).</w:t>
      </w:r>
      <w:r w:rsidR="00B90AF7">
        <w:t xml:space="preserve"> </w:t>
      </w:r>
      <w:r w:rsidRPr="003D6306">
        <w:t>There was better efficacy in those subjects treated with RBV and for longer treatment duration:</w:t>
      </w:r>
    </w:p>
    <w:p w:rsidR="003D6306" w:rsidRPr="009E6482" w:rsidRDefault="003D6306" w:rsidP="003D6306">
      <w:pPr>
        <w:pStyle w:val="ListBullet"/>
      </w:pPr>
      <w:r w:rsidRPr="009E6482">
        <w:t xml:space="preserve">SVR12 was achieved by 107 (96.4%) subjects in the </w:t>
      </w:r>
      <w:r w:rsidR="001853CD">
        <w:t>SOF/LDV</w:t>
      </w:r>
      <w:r w:rsidRPr="009E6482">
        <w:t xml:space="preserve"> FDC + RBV 12 week group, 95% CI 91.0% to 99.0%, p &lt;0.001</w:t>
      </w:r>
    </w:p>
    <w:p w:rsidR="003D6306" w:rsidRPr="009E6482" w:rsidRDefault="003D6306" w:rsidP="003D6306">
      <w:pPr>
        <w:pStyle w:val="ListBullet"/>
      </w:pPr>
      <w:r w:rsidRPr="009E6482">
        <w:t xml:space="preserve">SVR12 was achieved by 108 (99.1%) subjects in the </w:t>
      </w:r>
      <w:r w:rsidR="001853CD">
        <w:t>SOF/LDV</w:t>
      </w:r>
      <w:r w:rsidRPr="009E6482">
        <w:t xml:space="preserve"> FDC 24 week group, 95% CI 95.0% to 100.0%, p &lt;0.001</w:t>
      </w:r>
    </w:p>
    <w:p w:rsidR="003D6306" w:rsidRPr="009E6482" w:rsidRDefault="003D6306" w:rsidP="003D6306">
      <w:pPr>
        <w:pStyle w:val="ListBullet"/>
      </w:pPr>
      <w:r w:rsidRPr="009E6482">
        <w:t xml:space="preserve">SVR12 was achieved by 110 (99.1%) subjects in the </w:t>
      </w:r>
      <w:r w:rsidR="001853CD">
        <w:t>SOF/LDV</w:t>
      </w:r>
      <w:r w:rsidRPr="009E6482">
        <w:t xml:space="preserve"> FDC + RBV 24 week group, 95% CI 95.1% to 100.0%, p &lt;0.001</w:t>
      </w:r>
    </w:p>
    <w:p w:rsidR="003D6306" w:rsidRPr="003D6306" w:rsidRDefault="003D6306" w:rsidP="003D6306">
      <w:r w:rsidRPr="003D6306">
        <w:t xml:space="preserve">Relapse is more likely in subjects with higher viral burden, male gender, </w:t>
      </w:r>
      <w:proofErr w:type="gramStart"/>
      <w:r w:rsidRPr="003D6306">
        <w:t>cirrhosis</w:t>
      </w:r>
      <w:proofErr w:type="gramEnd"/>
      <w:r w:rsidRPr="003D6306">
        <w:t xml:space="preserve"> and baseline thrombocytopenia.</w:t>
      </w:r>
      <w:r w:rsidR="00B90AF7">
        <w:t xml:space="preserve"> </w:t>
      </w:r>
      <w:r w:rsidRPr="003D6306">
        <w:t xml:space="preserve">In Study GS-US-337-0108 there was a higher relapse rate in the 8 week groups compared with the 12 week: 11 (5.1%) subjects in the </w:t>
      </w:r>
      <w:r w:rsidR="001853CD">
        <w:t>SOF/LDV</w:t>
      </w:r>
      <w:r w:rsidRPr="003D6306">
        <w:t xml:space="preserve"> FDC 8 week group, 9 (4.2%) in the </w:t>
      </w:r>
      <w:r w:rsidR="001853CD">
        <w:t>SOF/LDV</w:t>
      </w:r>
      <w:r w:rsidRPr="003D6306">
        <w:t xml:space="preserve"> + RBV 8 week, and 3 (1.4%) in the </w:t>
      </w:r>
      <w:r w:rsidR="001853CD">
        <w:t>SOF/LDV</w:t>
      </w:r>
      <w:r w:rsidRPr="003D6306">
        <w:t xml:space="preserve"> 12 week group; and relapse was more likely if subjects were male and/or baseline HCV RNA was ≥800,000 (IU/mL).</w:t>
      </w:r>
      <w:r w:rsidR="00B90AF7">
        <w:t xml:space="preserve"> </w:t>
      </w:r>
      <w:r w:rsidRPr="003D6306">
        <w:t>In Study GS-US-337-0109 relapse risk was increased in subjects with cirrhosis and / or baseline thrombocytopenia.</w:t>
      </w:r>
    </w:p>
    <w:p w:rsidR="009203E1" w:rsidRDefault="003D6306" w:rsidP="003D6306">
      <w:r w:rsidRPr="003D6306">
        <w:t>In all three pivotal studies</w:t>
      </w:r>
      <w:r w:rsidR="000C0909">
        <w:t>,</w:t>
      </w:r>
      <w:r w:rsidRPr="003D6306">
        <w:t xml:space="preserve"> subjects with &lt;80% adherence to study treatment had reduced efficacy.</w:t>
      </w:r>
      <w:r w:rsidR="00B90AF7">
        <w:t xml:space="preserve"> </w:t>
      </w:r>
      <w:r w:rsidRPr="003D6306">
        <w:t xml:space="preserve">However, in all three pivotal studies there was no effect on response for demographic characteristics and </w:t>
      </w:r>
      <w:r w:rsidR="001853CD">
        <w:t>SOF/LDV</w:t>
      </w:r>
      <w:r w:rsidRPr="003D6306">
        <w:t xml:space="preserve"> FDC was equally effective for GT1a-HCV and GT1b-HCV.</w:t>
      </w:r>
      <w:r w:rsidR="00B90AF7">
        <w:t xml:space="preserve"> </w:t>
      </w:r>
      <w:r w:rsidRPr="003D6306">
        <w:t>Baseline disease characteristics did not influence efficacy</w:t>
      </w:r>
      <w:r w:rsidR="009203E1">
        <w:t>.</w:t>
      </w:r>
    </w:p>
    <w:p w:rsidR="003D6306" w:rsidRPr="003D6306" w:rsidRDefault="003D6306" w:rsidP="003D6306">
      <w:r w:rsidRPr="003D6306">
        <w:t xml:space="preserve">Baseline RAVs should not preclude treatment with </w:t>
      </w:r>
      <w:r w:rsidR="001853CD">
        <w:t>SOF/LDV</w:t>
      </w:r>
      <w:r w:rsidRPr="003D6306">
        <w:t xml:space="preserve"> FDC.</w:t>
      </w:r>
      <w:r w:rsidR="00B90AF7">
        <w:t xml:space="preserve"> </w:t>
      </w:r>
      <w:r w:rsidRPr="003D6306">
        <w:t>However, baseline NS5A RAVs appear to be more common in subjects that relapse and treatment emergent NS5A RAVs are more common than NS5B RAVs.</w:t>
      </w:r>
      <w:r w:rsidR="00B90AF7">
        <w:t xml:space="preserve"> </w:t>
      </w:r>
      <w:r w:rsidRPr="003D6306">
        <w:t xml:space="preserve">In Study GS-US-337-0102 RAVs were reported in 32 (15.0% subjects in the </w:t>
      </w:r>
      <w:r w:rsidR="001853CD">
        <w:t>SOF/LDV</w:t>
      </w:r>
      <w:r w:rsidRPr="003D6306">
        <w:t xml:space="preserve"> 12 week group, and 36 (16.7%) in the </w:t>
      </w:r>
      <w:r w:rsidR="001853CD">
        <w:t>SOF/LDV</w:t>
      </w:r>
      <w:r w:rsidRPr="003D6306">
        <w:t xml:space="preserve"> + </w:t>
      </w:r>
      <w:r w:rsidRPr="003D6306">
        <w:lastRenderedPageBreak/>
        <w:t>RBV 12 week group; and the one subject in the 12 week group who relapsed did not develop a RAV.</w:t>
      </w:r>
      <w:r w:rsidR="00B90AF7">
        <w:t xml:space="preserve"> </w:t>
      </w:r>
      <w:r w:rsidRPr="003D6306">
        <w:t>In Study GS-US-337-0108 of the 23 subjects that relapsed, ten had NS5A RAVs at baseline; of the 13 that did not, six had emergent NS5A RAVs at relapse.</w:t>
      </w:r>
      <w:r w:rsidR="00B90AF7">
        <w:t xml:space="preserve"> </w:t>
      </w:r>
      <w:r w:rsidRPr="003D6306">
        <w:t>In Study GS-US-337-0109 of the 12 subjects that relapsed, 5 of 11 had no baseline RAVs, and the other 7 subjects had baseline NS5A RAVs.</w:t>
      </w:r>
      <w:r w:rsidR="00B90AF7">
        <w:t xml:space="preserve"> </w:t>
      </w:r>
      <w:r w:rsidRPr="003D6306">
        <w:t xml:space="preserve">All 12 subjects had detectable NS5A RAVs at </w:t>
      </w:r>
      <w:proofErr w:type="spellStart"/>
      <w:r w:rsidRPr="003D6306">
        <w:t>virologic</w:t>
      </w:r>
      <w:proofErr w:type="spellEnd"/>
      <w:r w:rsidRPr="003D6306">
        <w:t xml:space="preserve"> failure, but no NS5B NI RAVs were detected.</w:t>
      </w:r>
      <w:r w:rsidR="00B90AF7">
        <w:t xml:space="preserve"> </w:t>
      </w:r>
      <w:r w:rsidRPr="003D6306">
        <w:t>Phenotypic analysis showed a reduced susceptibility to LDV, but no change in susceptibility to SOF or RBV.</w:t>
      </w:r>
    </w:p>
    <w:p w:rsidR="003D6306" w:rsidRPr="003D6306" w:rsidRDefault="003D6306" w:rsidP="003D6306">
      <w:r w:rsidRPr="003D6306">
        <w:t>In all three pivotal studies</w:t>
      </w:r>
      <w:r w:rsidR="000606EA">
        <w:t>,</w:t>
      </w:r>
      <w:r w:rsidRPr="003D6306">
        <w:t xml:space="preserve"> Quality of Life decreased during treatment for those subjects treated with RBV.</w:t>
      </w:r>
      <w:r w:rsidR="00B90AF7">
        <w:t xml:space="preserve"> </w:t>
      </w:r>
      <w:r w:rsidRPr="003D6306">
        <w:t>Hence, the place of RBV as add-on therapy may be in those subjects with prior treatment failure, with or without cirrhosis.</w:t>
      </w:r>
    </w:p>
    <w:p w:rsidR="003D6306" w:rsidRPr="003D6306" w:rsidRDefault="003D6306" w:rsidP="003D6306">
      <w:r w:rsidRPr="003D6306">
        <w:t>Efficacy has not been demonstrated for HCV genotypes other than GT1-HCV.</w:t>
      </w:r>
      <w:r w:rsidR="00B90AF7">
        <w:t xml:space="preserve"> </w:t>
      </w:r>
      <w:r w:rsidRPr="003D6306">
        <w:t>Study GS-US-337-0122 did not support efficacy in subjects with chronic GT3-HCV HCV.</w:t>
      </w:r>
      <w:r w:rsidR="00B90AF7">
        <w:t xml:space="preserve"> </w:t>
      </w:r>
      <w:r w:rsidRPr="003D6306">
        <w:t>Study P7977-0523 did not support efficacy in subjects with GT2-HCV or GT3-HCV infection or shorter treatment duration of 6 weeks in subjects with GT1-HCV.</w:t>
      </w:r>
    </w:p>
    <w:p w:rsidR="003D6306" w:rsidRPr="003D6306" w:rsidRDefault="003D6306" w:rsidP="003D6306">
      <w:r w:rsidRPr="003D6306">
        <w:t xml:space="preserve">The studies presented in the submission were mostly in accordance with </w:t>
      </w:r>
      <w:r w:rsidR="000606EA">
        <w:t>published guidelines.</w:t>
      </w:r>
      <w:r w:rsidR="00CF72AF">
        <w:rPr>
          <w:rStyle w:val="FootnoteReference"/>
        </w:rPr>
        <w:footnoteReference w:id="7"/>
      </w:r>
      <w:r w:rsidR="000606EA">
        <w:t xml:space="preserve"> </w:t>
      </w:r>
      <w:r w:rsidRPr="003D6306">
        <w:t>The deficiencies in the submission are:</w:t>
      </w:r>
    </w:p>
    <w:p w:rsidR="003D6306" w:rsidRPr="009E6482" w:rsidRDefault="003D6306" w:rsidP="003D6306">
      <w:pPr>
        <w:pStyle w:val="ListBullet"/>
        <w:rPr>
          <w:lang w:val="en-NZ" w:eastAsia="en-NZ"/>
        </w:rPr>
      </w:pPr>
      <w:r w:rsidRPr="009E6482">
        <w:rPr>
          <w:lang w:val="en-NZ" w:eastAsia="en-NZ"/>
        </w:rPr>
        <w:t>Studies were open</w:t>
      </w:r>
      <w:r w:rsidR="00CF72AF">
        <w:rPr>
          <w:lang w:val="en-NZ" w:eastAsia="en-NZ"/>
        </w:rPr>
        <w:t xml:space="preserve"> </w:t>
      </w:r>
      <w:r w:rsidRPr="009E6482">
        <w:rPr>
          <w:lang w:val="en-NZ" w:eastAsia="en-NZ"/>
        </w:rPr>
        <w:t>label rather than double blind</w:t>
      </w:r>
    </w:p>
    <w:p w:rsidR="003D6306" w:rsidRPr="009E6482" w:rsidRDefault="003D6306" w:rsidP="003D6306">
      <w:pPr>
        <w:pStyle w:val="ListBullet"/>
        <w:rPr>
          <w:lang w:val="en-NZ" w:eastAsia="en-NZ"/>
        </w:rPr>
      </w:pPr>
      <w:r w:rsidRPr="009E6482">
        <w:rPr>
          <w:lang w:val="en-NZ" w:eastAsia="en-NZ"/>
        </w:rPr>
        <w:t>Long</w:t>
      </w:r>
      <w:r w:rsidR="00CF72AF">
        <w:rPr>
          <w:lang w:val="en-NZ" w:eastAsia="en-NZ"/>
        </w:rPr>
        <w:t xml:space="preserve"> </w:t>
      </w:r>
      <w:r w:rsidRPr="009E6482">
        <w:rPr>
          <w:lang w:val="en-NZ" w:eastAsia="en-NZ"/>
        </w:rPr>
        <w:t>term follow up data were not presented</w:t>
      </w:r>
    </w:p>
    <w:p w:rsidR="003D6306" w:rsidRPr="009E6482" w:rsidRDefault="003D6306" w:rsidP="003D6306">
      <w:pPr>
        <w:pStyle w:val="ListBullet"/>
        <w:rPr>
          <w:lang w:val="en-NZ" w:eastAsia="en-NZ"/>
        </w:rPr>
      </w:pPr>
      <w:r w:rsidRPr="009E6482">
        <w:rPr>
          <w:lang w:val="en-NZ" w:eastAsia="en-NZ"/>
        </w:rPr>
        <w:t>Data for SVR24 were incomplete</w:t>
      </w:r>
    </w:p>
    <w:p w:rsidR="003D6306" w:rsidRPr="009E6482" w:rsidRDefault="003D6306" w:rsidP="003D6306">
      <w:pPr>
        <w:pStyle w:val="ListBullet"/>
      </w:pPr>
      <w:r w:rsidRPr="009E6482">
        <w:rPr>
          <w:lang w:val="en-NZ" w:eastAsia="en-NZ"/>
        </w:rPr>
        <w:t>Studies in subjects with HCV/HIV co-infected patients were not included</w:t>
      </w:r>
      <w:r w:rsidR="00CF72AF">
        <w:rPr>
          <w:lang w:val="en-NZ" w:eastAsia="en-NZ"/>
        </w:rPr>
        <w:t>.</w:t>
      </w:r>
    </w:p>
    <w:p w:rsidR="003D6306" w:rsidRPr="003D6306" w:rsidRDefault="003D6306" w:rsidP="003D6306">
      <w:r w:rsidRPr="003D6306">
        <w:t xml:space="preserve">However, in the opinion of the </w:t>
      </w:r>
      <w:r w:rsidR="00CF72AF">
        <w:t>e</w:t>
      </w:r>
      <w:r w:rsidRPr="003D6306">
        <w:t>valuator</w:t>
      </w:r>
      <w:r w:rsidR="00CF72AF">
        <w:t>,</w:t>
      </w:r>
      <w:r w:rsidRPr="003D6306">
        <w:t xml:space="preserve"> the potential benefits of </w:t>
      </w:r>
      <w:r w:rsidR="001853CD">
        <w:t>SOF/LDV</w:t>
      </w:r>
      <w:r w:rsidRPr="003D6306">
        <w:t xml:space="preserve"> FDC outweigh the deficiencies in the study methodologies.</w:t>
      </w:r>
      <w:r w:rsidR="00B90AF7">
        <w:t xml:space="preserve"> </w:t>
      </w:r>
      <w:r w:rsidRPr="003D6306">
        <w:t>The outcome measures were highly objective, which makes the open-label design more acceptable.</w:t>
      </w:r>
      <w:r w:rsidR="00B90AF7">
        <w:t xml:space="preserve"> </w:t>
      </w:r>
      <w:r w:rsidRPr="003D6306">
        <w:t>Also, when available, the SVR24 data were in concordance with the SVR12 data.</w:t>
      </w:r>
    </w:p>
    <w:p w:rsidR="003D6306" w:rsidRPr="003D6306" w:rsidRDefault="003D6306" w:rsidP="003D6306">
      <w:r w:rsidRPr="003D6306">
        <w:t>In the opinion of the evaluator:</w:t>
      </w:r>
    </w:p>
    <w:p w:rsidR="003D6306" w:rsidRPr="009E6482" w:rsidRDefault="003D6306" w:rsidP="003D6306">
      <w:pPr>
        <w:pStyle w:val="ListBullet"/>
      </w:pPr>
      <w:r w:rsidRPr="009E6482">
        <w:t xml:space="preserve">An </w:t>
      </w:r>
      <w:r w:rsidR="001853CD">
        <w:t>SOF/LDV</w:t>
      </w:r>
      <w:r w:rsidRPr="009E6482">
        <w:t xml:space="preserve"> FDC 8 week treatment regimen is supported in treatment naïve subjects with ch</w:t>
      </w:r>
      <w:r w:rsidR="004A58DC">
        <w:t>ronic GT1-HCV without cirrhosis;</w:t>
      </w:r>
    </w:p>
    <w:p w:rsidR="003D6306" w:rsidRPr="009E6482" w:rsidRDefault="003D6306" w:rsidP="003D6306">
      <w:pPr>
        <w:pStyle w:val="ListBullet"/>
      </w:pPr>
      <w:r w:rsidRPr="009E6482">
        <w:t xml:space="preserve">An </w:t>
      </w:r>
      <w:r w:rsidR="001853CD">
        <w:t>SOF/LDV</w:t>
      </w:r>
      <w:r w:rsidRPr="009E6482">
        <w:t xml:space="preserve"> FDC 12 week treatment regimen is supported in treatment naïve subjects with chronic GT1-HCV with cirrhosis</w:t>
      </w:r>
      <w:r w:rsidR="004A58DC">
        <w:t>;</w:t>
      </w:r>
    </w:p>
    <w:p w:rsidR="003D6306" w:rsidRPr="009E6482" w:rsidRDefault="003D6306" w:rsidP="003D6306">
      <w:pPr>
        <w:pStyle w:val="ListBullet"/>
      </w:pPr>
      <w:r w:rsidRPr="009E6482">
        <w:t xml:space="preserve">An </w:t>
      </w:r>
      <w:r w:rsidR="001853CD">
        <w:t>SOF/LDV</w:t>
      </w:r>
      <w:r w:rsidRPr="009E6482">
        <w:t xml:space="preserve"> FDC 24 week treatment regimen is supported in treatment experienced subjects with chronic GT1-HCV</w:t>
      </w:r>
      <w:r w:rsidR="004A58DC">
        <w:t>; and</w:t>
      </w:r>
    </w:p>
    <w:p w:rsidR="003D6306" w:rsidRPr="009E6482" w:rsidRDefault="003D6306" w:rsidP="003D6306">
      <w:pPr>
        <w:pStyle w:val="ListBullet"/>
      </w:pPr>
      <w:r w:rsidRPr="009E6482">
        <w:t>In the above treatment regimens, RBV does not offer additional benefit and may decrease Quality of life</w:t>
      </w:r>
      <w:r w:rsidR="004A58DC">
        <w:t>.</w:t>
      </w:r>
    </w:p>
    <w:p w:rsidR="00605AD4" w:rsidRPr="00605AD4" w:rsidRDefault="00605AD4" w:rsidP="00605AD4">
      <w:pPr>
        <w:pStyle w:val="Heading4"/>
      </w:pPr>
      <w:r w:rsidRPr="00605AD4">
        <w:t>First round assessment of risks</w:t>
      </w:r>
    </w:p>
    <w:p w:rsidR="003D6306" w:rsidRPr="003D6306" w:rsidRDefault="001853CD" w:rsidP="003D6306">
      <w:r>
        <w:t>SOF/LDV</w:t>
      </w:r>
      <w:r w:rsidR="003D6306" w:rsidRPr="003D6306">
        <w:t xml:space="preserve"> FDC has a favourable safety profile.</w:t>
      </w:r>
      <w:r w:rsidR="00B90AF7">
        <w:t xml:space="preserve"> </w:t>
      </w:r>
      <w:r w:rsidR="003D6306" w:rsidRPr="003D6306">
        <w:t>The most frequently reported TEAEs were fatigue, headache, insomnia, nausea and arthralgia.</w:t>
      </w:r>
      <w:r w:rsidR="00B90AF7">
        <w:t xml:space="preserve"> </w:t>
      </w:r>
      <w:r w:rsidR="003D6306" w:rsidRPr="003D6306">
        <w:t>These TEAEs were more frequent in the groups treated with RBV.</w:t>
      </w:r>
      <w:r w:rsidR="00B90AF7">
        <w:t xml:space="preserve"> </w:t>
      </w:r>
      <w:r w:rsidR="003D6306" w:rsidRPr="003D6306">
        <w:t xml:space="preserve">Quality of life improved during treatment in those patients treated with </w:t>
      </w:r>
      <w:r>
        <w:t>SOF/LDV</w:t>
      </w:r>
      <w:r w:rsidR="003D6306" w:rsidRPr="003D6306">
        <w:t xml:space="preserve"> FDC by itself, but decreased in those subjects also treated with RBV.</w:t>
      </w:r>
    </w:p>
    <w:p w:rsidR="003D6306" w:rsidRPr="003D6306" w:rsidRDefault="003D6306" w:rsidP="003D6306">
      <w:r w:rsidRPr="003D6306">
        <w:t>There were no deaths in the efficacy studies or in the clinical pharmacology studies.</w:t>
      </w:r>
      <w:r w:rsidR="00B90AF7">
        <w:t xml:space="preserve"> </w:t>
      </w:r>
      <w:r w:rsidRPr="003D6306">
        <w:t xml:space="preserve">SAEs were infrequent and there was no clear pattern attributable to </w:t>
      </w:r>
      <w:r w:rsidR="001853CD">
        <w:t>SOF/LDV</w:t>
      </w:r>
      <w:r w:rsidRPr="003D6306">
        <w:t xml:space="preserve"> FDC.</w:t>
      </w:r>
      <w:r w:rsidR="00B90AF7">
        <w:t xml:space="preserve"> </w:t>
      </w:r>
      <w:r w:rsidRPr="003D6306">
        <w:t>There were few DAEs.</w:t>
      </w:r>
    </w:p>
    <w:p w:rsidR="003D6306" w:rsidRPr="003D6306" w:rsidRDefault="003D6306" w:rsidP="003D6306">
      <w:r w:rsidRPr="003D6306">
        <w:lastRenderedPageBreak/>
        <w:t xml:space="preserve">One subject had AST or ALT &gt;3xULN and bilirubin &gt;2xULN with no signs of liver disease that resolved on treatment (and was not attributed to </w:t>
      </w:r>
      <w:r w:rsidR="001853CD">
        <w:t>SOF/LDV</w:t>
      </w:r>
      <w:r w:rsidRPr="003D6306">
        <w:t>).</w:t>
      </w:r>
    </w:p>
    <w:p w:rsidR="003D6306" w:rsidRPr="003D6306" w:rsidRDefault="003D6306" w:rsidP="003D6306">
      <w:r w:rsidRPr="003D6306">
        <w:t>Anaemia was reported in up to 9.2% of the subjects treated with RBV.</w:t>
      </w:r>
    </w:p>
    <w:p w:rsidR="003D6306" w:rsidRPr="003D6306" w:rsidRDefault="003D6306" w:rsidP="003D6306">
      <w:r w:rsidRPr="003D6306">
        <w:t>In the efficacy studies there was a higher than expected rate of significant elevation in serum lipase, but the frequency was ≤1.8% in any individual study.</w:t>
      </w:r>
      <w:r w:rsidR="00B90AF7">
        <w:t xml:space="preserve"> </w:t>
      </w:r>
      <w:r w:rsidRPr="003D6306">
        <w:t>Although this may be a feature of the underlying condition, it may also be a safety signal.</w:t>
      </w:r>
    </w:p>
    <w:p w:rsidR="003D6306" w:rsidRPr="003D6306" w:rsidRDefault="003D6306" w:rsidP="003D6306">
      <w:r w:rsidRPr="003D6306">
        <w:t xml:space="preserve">The thorough QT study did not indicate any significant </w:t>
      </w:r>
      <w:proofErr w:type="spellStart"/>
      <w:r w:rsidRPr="003D6306">
        <w:t>QTc</w:t>
      </w:r>
      <w:proofErr w:type="spellEnd"/>
      <w:r w:rsidRPr="003D6306">
        <w:t xml:space="preserve"> prolongation however the dose used in that study was only 33% higher than the proposed dosing regimen.</w:t>
      </w:r>
    </w:p>
    <w:p w:rsidR="003D6306" w:rsidRPr="003D6306" w:rsidRDefault="003D6306" w:rsidP="003D6306">
      <w:r w:rsidRPr="003D6306">
        <w:t xml:space="preserve">There </w:t>
      </w:r>
      <w:proofErr w:type="gramStart"/>
      <w:r w:rsidRPr="003D6306">
        <w:t>were</w:t>
      </w:r>
      <w:proofErr w:type="gramEnd"/>
      <w:r w:rsidRPr="003D6306">
        <w:t xml:space="preserve"> no long term safety data included in the submission.</w:t>
      </w:r>
      <w:r w:rsidR="00B90AF7">
        <w:t xml:space="preserve"> </w:t>
      </w:r>
      <w:r w:rsidRPr="003D6306">
        <w:t xml:space="preserve">Hence, it is not possible to comment on the long-term safety effects of </w:t>
      </w:r>
      <w:r w:rsidR="001853CD">
        <w:t>SOF/LDV</w:t>
      </w:r>
      <w:r w:rsidRPr="003D6306">
        <w:t xml:space="preserve"> FDC.</w:t>
      </w:r>
    </w:p>
    <w:p w:rsidR="00605AD4" w:rsidRPr="00605AD4" w:rsidRDefault="00605AD4" w:rsidP="007A3CB3">
      <w:pPr>
        <w:pStyle w:val="Heading4"/>
      </w:pPr>
      <w:r w:rsidRPr="00605AD4">
        <w:t>First round assessment of benefit-risk balance</w:t>
      </w:r>
    </w:p>
    <w:p w:rsidR="003D6306" w:rsidRPr="003D6306" w:rsidRDefault="003D6306" w:rsidP="003D6306">
      <w:r w:rsidRPr="003D6306">
        <w:t xml:space="preserve">The benefit-risk balance of register </w:t>
      </w:r>
      <w:proofErr w:type="spellStart"/>
      <w:r w:rsidR="00B22CB0">
        <w:t>Harvoni</w:t>
      </w:r>
      <w:proofErr w:type="spellEnd"/>
      <w:r w:rsidRPr="003D6306">
        <w:t xml:space="preserve"> (90 mg </w:t>
      </w:r>
      <w:r w:rsidR="007B3AED">
        <w:t>LDV</w:t>
      </w:r>
      <w:r w:rsidR="0082794E">
        <w:t>/</w:t>
      </w:r>
      <w:r w:rsidRPr="003D6306">
        <w:t xml:space="preserve">400 mg </w:t>
      </w:r>
      <w:r w:rsidR="0063513E">
        <w:t>SOF</w:t>
      </w:r>
      <w:r w:rsidRPr="003D6306">
        <w:t>) FDC tablets, given the proposed usage, is favourable.</w:t>
      </w:r>
    </w:p>
    <w:p w:rsidR="003D6306" w:rsidRPr="003D6306" w:rsidRDefault="003D6306" w:rsidP="003D6306">
      <w:r w:rsidRPr="003D6306">
        <w:t>However, consideration needs to be given as to the most appropriate dosing recommendation.</w:t>
      </w:r>
      <w:r w:rsidR="00B90AF7">
        <w:t xml:space="preserve"> </w:t>
      </w:r>
      <w:r w:rsidRPr="003D6306">
        <w:t xml:space="preserve">In the opinion of the </w:t>
      </w:r>
      <w:r w:rsidR="0082794E">
        <w:t xml:space="preserve">evaluator, </w:t>
      </w:r>
      <w:r w:rsidRPr="003D6306">
        <w:t>this should be:</w:t>
      </w:r>
    </w:p>
    <w:p w:rsidR="003D6306" w:rsidRPr="003D6306" w:rsidRDefault="001853CD" w:rsidP="003D6306">
      <w:pPr>
        <w:pStyle w:val="ListBullet"/>
      </w:pPr>
      <w:r>
        <w:t>SOF/LDV</w:t>
      </w:r>
      <w:r w:rsidR="003D6306" w:rsidRPr="003D6306">
        <w:t xml:space="preserve"> FDC once daily for 8 weeks in treatment naïve subjects with chronic GT1-HCV without cirrhosis </w:t>
      </w:r>
    </w:p>
    <w:p w:rsidR="003D6306" w:rsidRPr="003D6306" w:rsidRDefault="001853CD" w:rsidP="003D6306">
      <w:pPr>
        <w:pStyle w:val="ListBullet"/>
      </w:pPr>
      <w:r>
        <w:t>SOF/LDV</w:t>
      </w:r>
      <w:r w:rsidR="003D6306" w:rsidRPr="003D6306">
        <w:t xml:space="preserve"> FDC once daily for 12 weeks in treatment naïve subjects with chronic GT1-HCV with cirrhosis</w:t>
      </w:r>
    </w:p>
    <w:p w:rsidR="003D6306" w:rsidRPr="003D6306" w:rsidRDefault="001853CD" w:rsidP="003D6306">
      <w:pPr>
        <w:pStyle w:val="ListBullet"/>
      </w:pPr>
      <w:r>
        <w:t>SOF/LDV</w:t>
      </w:r>
      <w:r w:rsidR="003D6306" w:rsidRPr="003D6306">
        <w:t xml:space="preserve"> FDC once daily for 24 weeks in treatment experienced subjects with chronic GT1-HCV, with or without cirrhosis</w:t>
      </w:r>
    </w:p>
    <w:p w:rsidR="003D6306" w:rsidRPr="003D6306" w:rsidRDefault="003D6306" w:rsidP="003D6306">
      <w:pPr>
        <w:pStyle w:val="ListBullet"/>
      </w:pPr>
      <w:r w:rsidRPr="003D6306">
        <w:t>RBV does not offer additional benefit as add-on therapy and may decrease Quality of Life</w:t>
      </w:r>
    </w:p>
    <w:p w:rsidR="00605AD4" w:rsidRPr="00605AD4" w:rsidRDefault="00605AD4" w:rsidP="00605AD4">
      <w:pPr>
        <w:pStyle w:val="Heading3"/>
        <w:rPr>
          <w:rFonts w:eastAsia="Cambria"/>
        </w:rPr>
      </w:pPr>
      <w:bookmarkStart w:id="105" w:name="_Toc432073735"/>
      <w:r w:rsidRPr="00605AD4">
        <w:rPr>
          <w:rFonts w:eastAsia="Cambria"/>
        </w:rPr>
        <w:t xml:space="preserve">First </w:t>
      </w:r>
      <w:r w:rsidR="007A3CB3">
        <w:rPr>
          <w:rFonts w:eastAsia="Cambria"/>
        </w:rPr>
        <w:t>r</w:t>
      </w:r>
      <w:r w:rsidRPr="00605AD4">
        <w:rPr>
          <w:rFonts w:eastAsia="Cambria"/>
        </w:rPr>
        <w:t xml:space="preserve">ound </w:t>
      </w:r>
      <w:r w:rsidR="007A3CB3">
        <w:rPr>
          <w:rFonts w:eastAsia="Cambria"/>
        </w:rPr>
        <w:t>r</w:t>
      </w:r>
      <w:r w:rsidRPr="00605AD4">
        <w:rPr>
          <w:rFonts w:eastAsia="Cambria"/>
        </w:rPr>
        <w:t xml:space="preserve">ecommendation </w:t>
      </w:r>
      <w:r w:rsidR="007A3CB3">
        <w:rPr>
          <w:rFonts w:eastAsia="Cambria"/>
        </w:rPr>
        <w:t>r</w:t>
      </w:r>
      <w:r w:rsidRPr="00605AD4">
        <w:rPr>
          <w:rFonts w:eastAsia="Cambria"/>
        </w:rPr>
        <w:t xml:space="preserve">egarding </w:t>
      </w:r>
      <w:r w:rsidR="007A3CB3">
        <w:rPr>
          <w:rFonts w:eastAsia="Cambria"/>
        </w:rPr>
        <w:t>a</w:t>
      </w:r>
      <w:r w:rsidRPr="00605AD4">
        <w:rPr>
          <w:rFonts w:eastAsia="Cambria"/>
        </w:rPr>
        <w:t>uthorisation</w:t>
      </w:r>
      <w:bookmarkEnd w:id="105"/>
    </w:p>
    <w:p w:rsidR="003D6306" w:rsidRPr="003D6306" w:rsidRDefault="003D6306" w:rsidP="003D6306">
      <w:r w:rsidRPr="003D6306">
        <w:t xml:space="preserve">The </w:t>
      </w:r>
      <w:r w:rsidR="00DB34E8">
        <w:t>e</w:t>
      </w:r>
      <w:r w:rsidRPr="003D6306">
        <w:t xml:space="preserve">valuator has no objection to the approval of </w:t>
      </w:r>
      <w:proofErr w:type="spellStart"/>
      <w:r w:rsidRPr="003D6306">
        <w:t>H</w:t>
      </w:r>
      <w:r w:rsidR="00DB34E8">
        <w:t>arvoni</w:t>
      </w:r>
      <w:proofErr w:type="spellEnd"/>
      <w:r w:rsidRPr="003D6306">
        <w:t xml:space="preserve"> (90 mg </w:t>
      </w:r>
      <w:r w:rsidR="007B3AED">
        <w:t>LDV</w:t>
      </w:r>
      <w:r w:rsidR="002202C8">
        <w:t>/</w:t>
      </w:r>
      <w:r w:rsidRPr="003D6306">
        <w:t xml:space="preserve">400 mg </w:t>
      </w:r>
      <w:r w:rsidR="0063513E">
        <w:t>SOF</w:t>
      </w:r>
      <w:r w:rsidRPr="003D6306">
        <w:t>) FDC tablets for the indication of:</w:t>
      </w:r>
    </w:p>
    <w:p w:rsidR="003D6306" w:rsidRPr="003D6306" w:rsidRDefault="003D6306" w:rsidP="003D6306">
      <w:pPr>
        <w:ind w:left="720"/>
        <w:rPr>
          <w:i/>
        </w:rPr>
      </w:pPr>
      <w:proofErr w:type="spellStart"/>
      <w:r w:rsidRPr="003D6306">
        <w:rPr>
          <w:i/>
        </w:rPr>
        <w:t>H</w:t>
      </w:r>
      <w:r w:rsidR="002202C8">
        <w:rPr>
          <w:i/>
        </w:rPr>
        <w:t>arvoni</w:t>
      </w:r>
      <w:proofErr w:type="spellEnd"/>
      <w:r w:rsidRPr="003D6306">
        <w:rPr>
          <w:i/>
        </w:rPr>
        <w:t xml:space="preserve"> is indicated for the treatment of chronic hepatitis C (CHC) genotype 1 infection in adults.</w:t>
      </w:r>
    </w:p>
    <w:p w:rsidR="003D6306" w:rsidRPr="003D6306" w:rsidRDefault="003D6306" w:rsidP="003D6306">
      <w:r w:rsidRPr="003D6306">
        <w:t>Consideration should be given to amending the dosing recommendations.</w:t>
      </w:r>
    </w:p>
    <w:p w:rsidR="00605AD4" w:rsidRPr="00605AD4" w:rsidRDefault="00605AD4" w:rsidP="00605AD4">
      <w:pPr>
        <w:pStyle w:val="Heading3"/>
        <w:rPr>
          <w:rFonts w:eastAsia="Cambria"/>
        </w:rPr>
      </w:pPr>
      <w:bookmarkStart w:id="106" w:name="_Toc432073736"/>
      <w:r w:rsidRPr="00605AD4">
        <w:rPr>
          <w:rFonts w:eastAsia="Cambria"/>
        </w:rPr>
        <w:t xml:space="preserve">Clinical </w:t>
      </w:r>
      <w:r w:rsidR="007A3CB3">
        <w:rPr>
          <w:rFonts w:eastAsia="Cambria"/>
        </w:rPr>
        <w:t>q</w:t>
      </w:r>
      <w:r w:rsidRPr="00605AD4">
        <w:rPr>
          <w:rFonts w:eastAsia="Cambria"/>
        </w:rPr>
        <w:t>uestions</w:t>
      </w:r>
      <w:bookmarkEnd w:id="106"/>
    </w:p>
    <w:p w:rsidR="00D6351A" w:rsidRPr="003B39B4" w:rsidRDefault="00D6351A" w:rsidP="007A3CB3">
      <w:pPr>
        <w:pStyle w:val="Heading4"/>
      </w:pPr>
      <w:bookmarkStart w:id="107" w:name="_Ref272312341"/>
      <w:bookmarkStart w:id="108" w:name="_Toc272414700"/>
      <w:bookmarkStart w:id="109" w:name="_Toc290846340"/>
      <w:bookmarkStart w:id="110" w:name="_Toc401420082"/>
      <w:r w:rsidRPr="003B39B4">
        <w:t>Additional expert input</w:t>
      </w:r>
      <w:bookmarkEnd w:id="107"/>
      <w:bookmarkEnd w:id="108"/>
      <w:bookmarkEnd w:id="109"/>
      <w:bookmarkEnd w:id="110"/>
    </w:p>
    <w:p w:rsidR="00D6351A" w:rsidRPr="00D6351A" w:rsidRDefault="00D6351A" w:rsidP="00D6351A">
      <w:r w:rsidRPr="00D6351A">
        <w:t xml:space="preserve">The </w:t>
      </w:r>
      <w:r w:rsidR="00FA62BA">
        <w:t>e</w:t>
      </w:r>
      <w:r w:rsidRPr="00D6351A">
        <w:t>valuator has no additional recommendation for additional expert input.</w:t>
      </w:r>
    </w:p>
    <w:p w:rsidR="00D6351A" w:rsidRPr="003B39B4" w:rsidRDefault="00D6351A" w:rsidP="00D6351A">
      <w:pPr>
        <w:pStyle w:val="Heading4"/>
      </w:pPr>
      <w:bookmarkStart w:id="111" w:name="_Ref269908779"/>
      <w:bookmarkStart w:id="112" w:name="_Toc272414701"/>
      <w:bookmarkStart w:id="113" w:name="_Toc290846341"/>
      <w:bookmarkStart w:id="114" w:name="_Toc401420083"/>
      <w:r w:rsidRPr="003B39B4">
        <w:t>Clinical questions</w:t>
      </w:r>
      <w:bookmarkEnd w:id="111"/>
      <w:bookmarkEnd w:id="112"/>
      <w:bookmarkEnd w:id="113"/>
      <w:bookmarkEnd w:id="114"/>
    </w:p>
    <w:p w:rsidR="00D6351A" w:rsidRPr="003B39B4" w:rsidRDefault="00D6351A" w:rsidP="00D6351A">
      <w:pPr>
        <w:pStyle w:val="Heading5"/>
      </w:pPr>
      <w:bookmarkStart w:id="115" w:name="_Toc272414702"/>
      <w:bookmarkStart w:id="116" w:name="_Toc290846342"/>
      <w:bookmarkStart w:id="117" w:name="_Toc401420084"/>
      <w:r w:rsidRPr="003B39B4">
        <w:t>Pharmacokinetics</w:t>
      </w:r>
      <w:bookmarkEnd w:id="115"/>
      <w:bookmarkEnd w:id="116"/>
      <w:bookmarkEnd w:id="117"/>
    </w:p>
    <w:p w:rsidR="00D6351A" w:rsidRPr="00D6351A" w:rsidRDefault="00D6351A" w:rsidP="00E12F0A">
      <w:pPr>
        <w:pStyle w:val="ListBullet"/>
      </w:pPr>
      <w:r w:rsidRPr="00D6351A">
        <w:t xml:space="preserve">The </w:t>
      </w:r>
      <w:r w:rsidR="001003ED">
        <w:t>e</w:t>
      </w:r>
      <w:r w:rsidRPr="00D6351A">
        <w:t>valuator has no questions relating to pharmacokinetics.</w:t>
      </w:r>
    </w:p>
    <w:p w:rsidR="00D6351A" w:rsidRPr="003B39B4" w:rsidRDefault="00D6351A" w:rsidP="00D6351A">
      <w:pPr>
        <w:pStyle w:val="Heading5"/>
      </w:pPr>
      <w:bookmarkStart w:id="118" w:name="_Toc272414703"/>
      <w:bookmarkStart w:id="119" w:name="_Toc290846343"/>
      <w:bookmarkStart w:id="120" w:name="_Toc401420085"/>
      <w:r w:rsidRPr="003B39B4">
        <w:t>Pharmacodynamics</w:t>
      </w:r>
      <w:bookmarkEnd w:id="118"/>
      <w:bookmarkEnd w:id="119"/>
      <w:bookmarkEnd w:id="120"/>
    </w:p>
    <w:p w:rsidR="00D6351A" w:rsidRPr="00D6351A" w:rsidRDefault="00D6351A" w:rsidP="00E12F0A">
      <w:pPr>
        <w:pStyle w:val="ListBullet"/>
      </w:pPr>
      <w:r w:rsidRPr="00D6351A">
        <w:t xml:space="preserve">The </w:t>
      </w:r>
      <w:r w:rsidR="00E12F0A">
        <w:t>e</w:t>
      </w:r>
      <w:r w:rsidRPr="00D6351A">
        <w:t>valuator has no questions relating to pharmacodynamics.</w:t>
      </w:r>
    </w:p>
    <w:p w:rsidR="00D6351A" w:rsidRPr="003B39B4" w:rsidRDefault="00D6351A" w:rsidP="00D6351A">
      <w:pPr>
        <w:pStyle w:val="Heading5"/>
      </w:pPr>
      <w:bookmarkStart w:id="121" w:name="_Toc272414704"/>
      <w:bookmarkStart w:id="122" w:name="_Toc290846344"/>
      <w:bookmarkStart w:id="123" w:name="_Toc401420086"/>
      <w:r w:rsidRPr="003B39B4">
        <w:lastRenderedPageBreak/>
        <w:t>Efficacy</w:t>
      </w:r>
      <w:bookmarkEnd w:id="121"/>
      <w:bookmarkEnd w:id="122"/>
      <w:bookmarkEnd w:id="123"/>
    </w:p>
    <w:p w:rsidR="00D6351A" w:rsidRPr="00D6351A" w:rsidRDefault="00D6351A" w:rsidP="00E12F0A">
      <w:pPr>
        <w:pStyle w:val="ListBullet"/>
      </w:pPr>
      <w:r w:rsidRPr="00D6351A">
        <w:t xml:space="preserve">Can the </w:t>
      </w:r>
      <w:r w:rsidR="001003ED">
        <w:t>s</w:t>
      </w:r>
      <w:r w:rsidRPr="00D6351A">
        <w:t>ponsor please provide the SVR24 data for the pivotal studies?</w:t>
      </w:r>
    </w:p>
    <w:p w:rsidR="00D6351A" w:rsidRPr="00D6351A" w:rsidRDefault="00D6351A" w:rsidP="00E12F0A">
      <w:pPr>
        <w:pStyle w:val="ListBullet"/>
      </w:pPr>
      <w:r w:rsidRPr="00D6351A">
        <w:t xml:space="preserve">Does the </w:t>
      </w:r>
      <w:r w:rsidR="001003ED">
        <w:t>s</w:t>
      </w:r>
      <w:r w:rsidRPr="00D6351A">
        <w:t>ponsor have access to any long term follow-up data (1 to</w:t>
      </w:r>
      <w:r w:rsidR="00F931EC">
        <w:t xml:space="preserve"> </w:t>
      </w:r>
      <w:r w:rsidRPr="00D6351A">
        <w:t>2 years) with regard maintenance of efficacy?</w:t>
      </w:r>
    </w:p>
    <w:p w:rsidR="00D6351A" w:rsidRPr="003B39B4" w:rsidRDefault="00D6351A" w:rsidP="00D6351A">
      <w:pPr>
        <w:pStyle w:val="Heading5"/>
      </w:pPr>
      <w:bookmarkStart w:id="124" w:name="_Toc272414705"/>
      <w:bookmarkStart w:id="125" w:name="_Toc290846345"/>
      <w:bookmarkStart w:id="126" w:name="_Toc401420087"/>
      <w:r w:rsidRPr="003B39B4">
        <w:t>Safety</w:t>
      </w:r>
      <w:bookmarkEnd w:id="124"/>
      <w:bookmarkEnd w:id="125"/>
      <w:bookmarkEnd w:id="126"/>
    </w:p>
    <w:p w:rsidR="00D6351A" w:rsidRPr="00D6351A" w:rsidRDefault="00D6351A" w:rsidP="00E12F0A">
      <w:pPr>
        <w:pStyle w:val="ListBullet"/>
      </w:pPr>
      <w:r w:rsidRPr="00D6351A">
        <w:t xml:space="preserve">Does the </w:t>
      </w:r>
      <w:r w:rsidR="001003ED">
        <w:t>s</w:t>
      </w:r>
      <w:r w:rsidRPr="00D6351A">
        <w:t>ponsor have access to any long term follow-up data (1 to</w:t>
      </w:r>
      <w:r w:rsidR="00F931EC">
        <w:t xml:space="preserve"> </w:t>
      </w:r>
      <w:r w:rsidRPr="00D6351A">
        <w:t>2 years) with regard safety?</w:t>
      </w:r>
    </w:p>
    <w:p w:rsidR="00605AD4" w:rsidRPr="005667B7" w:rsidRDefault="00605AD4" w:rsidP="005667B7">
      <w:pPr>
        <w:pStyle w:val="Heading3"/>
        <w:rPr>
          <w:rFonts w:eastAsia="Cambria"/>
        </w:rPr>
      </w:pPr>
      <w:bookmarkStart w:id="127" w:name="_Toc432073737"/>
      <w:r w:rsidRPr="005667B7">
        <w:rPr>
          <w:rFonts w:eastAsia="Cambria"/>
        </w:rPr>
        <w:t xml:space="preserve">Second </w:t>
      </w:r>
      <w:r w:rsidR="007A3CB3">
        <w:rPr>
          <w:rFonts w:eastAsia="Cambria"/>
        </w:rPr>
        <w:t>r</w:t>
      </w:r>
      <w:r w:rsidRPr="005667B7">
        <w:rPr>
          <w:rFonts w:eastAsia="Cambria"/>
        </w:rPr>
        <w:t xml:space="preserve">ound </w:t>
      </w:r>
      <w:r w:rsidR="007A3CB3">
        <w:rPr>
          <w:rFonts w:eastAsia="Cambria"/>
        </w:rPr>
        <w:t>e</w:t>
      </w:r>
      <w:r w:rsidRPr="005667B7">
        <w:rPr>
          <w:rFonts w:eastAsia="Cambria"/>
        </w:rPr>
        <w:t>valuation of clinical data</w:t>
      </w:r>
      <w:bookmarkEnd w:id="127"/>
    </w:p>
    <w:p w:rsidR="000C637D" w:rsidRPr="005667B7" w:rsidRDefault="007C3B2C" w:rsidP="007A3CB3">
      <w:pPr>
        <w:pStyle w:val="Heading4"/>
      </w:pPr>
      <w:r>
        <w:t xml:space="preserve">(Q) </w:t>
      </w:r>
      <w:r w:rsidR="000C637D" w:rsidRPr="005667B7">
        <w:t>Can the sponsor please provide the SVR24 data for the pivotal studies?</w:t>
      </w:r>
    </w:p>
    <w:p w:rsidR="005667B7" w:rsidRDefault="005667B7" w:rsidP="005667B7">
      <w:pPr>
        <w:pStyle w:val="Heading5"/>
      </w:pPr>
      <w:r>
        <w:t>Sponsor’s response</w:t>
      </w:r>
    </w:p>
    <w:p w:rsidR="009203E1" w:rsidRDefault="000C637D" w:rsidP="000C637D">
      <w:r w:rsidRPr="000C637D">
        <w:t xml:space="preserve">The </w:t>
      </w:r>
      <w:r w:rsidR="004D35CA">
        <w:t>s</w:t>
      </w:r>
      <w:r w:rsidRPr="000C637D">
        <w:t>ponsor has provided the final study report for Study GS-US-337-0102, and update reports for Study GS-US-337-0108 and Study GS-US-337-0109</w:t>
      </w:r>
      <w:r w:rsidR="009203E1">
        <w:t>.</w:t>
      </w:r>
    </w:p>
    <w:p w:rsidR="000C637D" w:rsidRPr="000C637D" w:rsidRDefault="000C637D" w:rsidP="000C637D">
      <w:r w:rsidRPr="000C637D">
        <w:t>The final study report contained the data for SVR24 and also for the 24 week treatment regimen.</w:t>
      </w:r>
      <w:r w:rsidR="009E1597">
        <w:t xml:space="preserve"> </w:t>
      </w:r>
      <w:r w:rsidRPr="000C637D">
        <w:t>There were 2</w:t>
      </w:r>
      <w:r w:rsidR="00D21A54">
        <w:t>17 subjects randomised to SOF/</w:t>
      </w:r>
      <w:r w:rsidRPr="000C637D">
        <w:t>LDV FDC, of whom 207 (95.</w:t>
      </w:r>
      <w:r w:rsidR="00D21A54">
        <w:t>4%) completed, and 217 to SOF/</w:t>
      </w:r>
      <w:r w:rsidRPr="000C637D">
        <w:t>LDV + RBV, of whom 204 (94.0%) completed.</w:t>
      </w:r>
      <w:r w:rsidR="009E1597">
        <w:t xml:space="preserve"> </w:t>
      </w:r>
      <w:r w:rsidRPr="000C637D">
        <w:t>For the primary efficacy outcome measure, the results were:</w:t>
      </w:r>
    </w:p>
    <w:p w:rsidR="000C637D" w:rsidRPr="000C637D" w:rsidRDefault="000C637D" w:rsidP="000C637D">
      <w:pPr>
        <w:pStyle w:val="ListBullet"/>
      </w:pPr>
      <w:r w:rsidRPr="000C637D">
        <w:t>SVR12 was achieved by 211 (98.6%) subjects in the S</w:t>
      </w:r>
      <w:r w:rsidR="00D21A54">
        <w:t>OF/</w:t>
      </w:r>
      <w:r w:rsidRPr="000C637D">
        <w:t>LDV 12 week group, 95% CI 96.0% to 99.7%, p &lt;0.001</w:t>
      </w:r>
    </w:p>
    <w:p w:rsidR="000C637D" w:rsidRPr="000C637D" w:rsidRDefault="000C637D" w:rsidP="000C637D">
      <w:pPr>
        <w:pStyle w:val="ListBullet"/>
      </w:pPr>
      <w:r w:rsidRPr="000C637D">
        <w:t>SVR12 was achieved by 21</w:t>
      </w:r>
      <w:r w:rsidR="00D21A54">
        <w:t>1 (97.2%) subjects in the SOF/</w:t>
      </w:r>
      <w:r w:rsidRPr="000C637D">
        <w:t>LDV + RBV 12 week group, 95% CI 94.1% to 99.0%, p &lt;0.001</w:t>
      </w:r>
    </w:p>
    <w:p w:rsidR="000C637D" w:rsidRPr="000C637D" w:rsidRDefault="000C637D" w:rsidP="000C637D">
      <w:pPr>
        <w:pStyle w:val="ListBullet"/>
      </w:pPr>
      <w:r w:rsidRPr="000C637D">
        <w:t>SVR12 was achieved by 21</w:t>
      </w:r>
      <w:r w:rsidR="00D21A54">
        <w:t>3 (97.7%) subjects in the SOF/</w:t>
      </w:r>
      <w:r w:rsidRPr="000C637D">
        <w:t>LDV 24 week group, 95% CI 95.3% to 99.5%, p &lt;0.001</w:t>
      </w:r>
    </w:p>
    <w:p w:rsidR="000C637D" w:rsidRPr="000C637D" w:rsidRDefault="000C637D" w:rsidP="000C637D">
      <w:pPr>
        <w:pStyle w:val="ListBullet"/>
      </w:pPr>
      <w:r w:rsidRPr="000C637D">
        <w:t xml:space="preserve">SVR12 was achieved by </w:t>
      </w:r>
      <w:r w:rsidR="00D21A54">
        <w:t>215 (97.2%) subjects in the SOF</w:t>
      </w:r>
      <w:r w:rsidRPr="000C637D">
        <w:t>/LDV + RBV 24 week group, 95% CI 96.7% to 99.9%, p &lt;0.001</w:t>
      </w:r>
    </w:p>
    <w:p w:rsidR="000C637D" w:rsidRPr="0082481D" w:rsidRDefault="000C637D" w:rsidP="007A3CB3">
      <w:r w:rsidRPr="0082481D">
        <w:t>There was a similar response rate in subjects wi</w:t>
      </w:r>
      <w:r w:rsidR="00D21A54">
        <w:t>th cirrhosis treated with SOF/</w:t>
      </w:r>
      <w:r w:rsidRPr="0082481D">
        <w:t>LDV compa</w:t>
      </w:r>
      <w:r w:rsidR="00D21A54">
        <w:t>red to those treated with SOV/</w:t>
      </w:r>
      <w:r w:rsidRPr="0082481D">
        <w:t>LDV + RBV.</w:t>
      </w:r>
      <w:r w:rsidR="009E1597">
        <w:t xml:space="preserve"> </w:t>
      </w:r>
      <w:r w:rsidRPr="0082481D">
        <w:t xml:space="preserve">In the </w:t>
      </w:r>
      <w:r w:rsidR="00D21A54">
        <w:t>SOF/</w:t>
      </w:r>
      <w:r w:rsidRPr="0082481D">
        <w:t>LDV 24 week group, 181 (98.4%) subjects without cirrhosis responded, compared with 32 (97.0%) subjects with cirrhosis.</w:t>
      </w:r>
      <w:r w:rsidR="009E1597">
        <w:t xml:space="preserve"> </w:t>
      </w:r>
      <w:r w:rsidR="00FB1C6C">
        <w:t>In the SOF/</w:t>
      </w:r>
      <w:r w:rsidRPr="0082481D">
        <w:t>LDV 24 week group one subject had on treatment virological failure and one relapsed.</w:t>
      </w:r>
      <w:r w:rsidR="009E1597">
        <w:t xml:space="preserve"> </w:t>
      </w:r>
      <w:r w:rsidR="00FB1C6C">
        <w:t>In the SOF/</w:t>
      </w:r>
      <w:r w:rsidRPr="0082481D">
        <w:t>LDV + RBV 24 week group there were no virological failures or relapses.</w:t>
      </w:r>
      <w:r w:rsidR="009E1597">
        <w:t xml:space="preserve"> </w:t>
      </w:r>
      <w:r w:rsidRPr="0082481D">
        <w:t>SVR4 was achieved by 21</w:t>
      </w:r>
      <w:r w:rsidR="00D21A54">
        <w:t>5 (99.1%) subjects in the SOF/</w:t>
      </w:r>
      <w:r w:rsidRPr="0082481D">
        <w:t>LDV 24 week group, 95% CI 96.7% to 99.9%; SVR4 was achieved by 215 (99.1%) subje</w:t>
      </w:r>
      <w:r w:rsidR="00D21A54">
        <w:t>cts in the SOF/</w:t>
      </w:r>
      <w:r w:rsidRPr="0082481D">
        <w:t>LDV + RBV 12 week group, 95% CI 96.7% to 99.9%.</w:t>
      </w:r>
      <w:r w:rsidR="009E1597">
        <w:t xml:space="preserve"> </w:t>
      </w:r>
      <w:r w:rsidRPr="0082481D">
        <w:t>All of the subjects with SVR12 response in all the study group</w:t>
      </w:r>
      <w:r w:rsidR="00FB1C6C">
        <w:t xml:space="preserve">s also had SVR24 response (that is, </w:t>
      </w:r>
      <w:r w:rsidRPr="0082481D">
        <w:t>the results are identical to those for SVR12).</w:t>
      </w:r>
    </w:p>
    <w:p w:rsidR="000C637D" w:rsidRPr="0082481D" w:rsidRDefault="000C637D" w:rsidP="0082481D">
      <w:r w:rsidRPr="0082481D">
        <w:t>All of the subjects with SVR12 response also had</w:t>
      </w:r>
      <w:r w:rsidR="00FB1C6C">
        <w:t xml:space="preserve"> SVR24 response (that is,</w:t>
      </w:r>
      <w:r w:rsidRPr="0082481D">
        <w:t xml:space="preserve"> the results were identical to those for SVR12).</w:t>
      </w:r>
    </w:p>
    <w:p w:rsidR="000C637D" w:rsidRPr="00357626" w:rsidRDefault="000C637D" w:rsidP="0082481D">
      <w:pPr>
        <w:pStyle w:val="ListBullet"/>
      </w:pPr>
      <w:r w:rsidRPr="00357626">
        <w:t>SVR24 was achieved by 20</w:t>
      </w:r>
      <w:r w:rsidR="00D21A54">
        <w:t>2 (94.0%) subjects in the SOF/</w:t>
      </w:r>
      <w:r w:rsidRPr="00357626">
        <w:t>LDV FDC 8 week group, 95% CI 89.9% to 96.7%</w:t>
      </w:r>
    </w:p>
    <w:p w:rsidR="000C637D" w:rsidRPr="00357626" w:rsidRDefault="000C637D" w:rsidP="0082481D">
      <w:pPr>
        <w:pStyle w:val="ListBullet"/>
      </w:pPr>
      <w:r w:rsidRPr="00357626">
        <w:t xml:space="preserve">SVR24 was achieved by 201 (93.1%) </w:t>
      </w:r>
      <w:r w:rsidR="00D21A54">
        <w:t>subjects in the SOF/</w:t>
      </w:r>
      <w:r w:rsidRPr="00357626">
        <w:t>LDV FDC + RBV 8 week group, 95% CI 88.8% to 96.1%</w:t>
      </w:r>
    </w:p>
    <w:p w:rsidR="000C637D" w:rsidRPr="00357626" w:rsidRDefault="000C637D" w:rsidP="0082481D">
      <w:pPr>
        <w:pStyle w:val="ListBullet"/>
      </w:pPr>
      <w:r w:rsidRPr="00357626">
        <w:t>SVR24 was achieved by 20</w:t>
      </w:r>
      <w:r w:rsidR="00D21A54">
        <w:t>8 (96.3%) subjects in the SOF/</w:t>
      </w:r>
      <w:r w:rsidRPr="00357626">
        <w:t>LDV FDC 12 week group, 95% CI 92.8% to 98.4%, p &lt;0.001</w:t>
      </w:r>
    </w:p>
    <w:p w:rsidR="000C637D" w:rsidRPr="0082481D" w:rsidRDefault="00D21A54" w:rsidP="0082481D">
      <w:r>
        <w:lastRenderedPageBreak/>
        <w:t>The results for the SOF/</w:t>
      </w:r>
      <w:r w:rsidR="000C637D" w:rsidRPr="0082481D">
        <w:t>LDV FDC 12 week group were updated as these data were incomplete in the interim report initially submitted.</w:t>
      </w:r>
    </w:p>
    <w:p w:rsidR="000C637D" w:rsidRPr="0082481D" w:rsidRDefault="000C637D" w:rsidP="0082481D">
      <w:r w:rsidRPr="0082481D">
        <w:t xml:space="preserve">The </w:t>
      </w:r>
      <w:r w:rsidR="004D35CA">
        <w:t>s</w:t>
      </w:r>
      <w:r w:rsidRPr="0082481D">
        <w:t>ponsor provided the post</w:t>
      </w:r>
      <w:r w:rsidR="004D35CA">
        <w:t xml:space="preserve"> </w:t>
      </w:r>
      <w:r w:rsidRPr="0082481D">
        <w:t>treatme</w:t>
      </w:r>
      <w:r w:rsidR="004D35CA">
        <w:t xml:space="preserve">nt Week 24 HCV RNA data in the Section </w:t>
      </w:r>
      <w:r w:rsidRPr="0082481D">
        <w:t>31 response.</w:t>
      </w:r>
      <w:r w:rsidR="009E1597">
        <w:t xml:space="preserve"> </w:t>
      </w:r>
      <w:r w:rsidRPr="0082481D">
        <w:t>All the subjects that achieved SVR12 response also achieved SVR24 response.</w:t>
      </w:r>
      <w:r w:rsidR="009E1597">
        <w:t xml:space="preserve"> </w:t>
      </w:r>
      <w:r w:rsidRPr="0082481D">
        <w:t>The results by treatment group were:</w:t>
      </w:r>
    </w:p>
    <w:p w:rsidR="000C637D" w:rsidRPr="00357626" w:rsidRDefault="000C637D" w:rsidP="004D35CA">
      <w:pPr>
        <w:pStyle w:val="ListBullet"/>
      </w:pPr>
      <w:r w:rsidRPr="00357626">
        <w:t>SVR24 was achieved by 10</w:t>
      </w:r>
      <w:r w:rsidR="00D21A54">
        <w:t>2 (93.6%) subjects in the SOF/</w:t>
      </w:r>
      <w:r w:rsidRPr="00357626">
        <w:t>LDV FDC 12 week group, 95% CI 87.2% to 97.4%</w:t>
      </w:r>
    </w:p>
    <w:p w:rsidR="000C637D" w:rsidRPr="00357626" w:rsidRDefault="000C637D" w:rsidP="004D35CA">
      <w:pPr>
        <w:pStyle w:val="ListBullet"/>
      </w:pPr>
      <w:r w:rsidRPr="00357626">
        <w:t>SVR24 was achieved by 10</w:t>
      </w:r>
      <w:r w:rsidR="00D21A54">
        <w:t>7 (96.4%) subjects in the SOF/</w:t>
      </w:r>
      <w:r w:rsidRPr="00357626">
        <w:t>LDV FDC + RBV 12 week group, 95% CI 91.0% to 99.0%</w:t>
      </w:r>
    </w:p>
    <w:p w:rsidR="000C637D" w:rsidRPr="00357626" w:rsidRDefault="000C637D" w:rsidP="004D35CA">
      <w:pPr>
        <w:pStyle w:val="ListBullet"/>
      </w:pPr>
      <w:r w:rsidRPr="00357626">
        <w:t>SVR24 was achieved by 10</w:t>
      </w:r>
      <w:r w:rsidR="00D21A54">
        <w:t>8 (99.1%) subjects in the SOF/</w:t>
      </w:r>
      <w:r w:rsidRPr="00357626">
        <w:t>LDV FDC 24 week group, 95% CI 95.0% to 100.0%</w:t>
      </w:r>
    </w:p>
    <w:p w:rsidR="000C637D" w:rsidRPr="00357626" w:rsidRDefault="000C637D" w:rsidP="004D35CA">
      <w:pPr>
        <w:pStyle w:val="ListBullet"/>
      </w:pPr>
      <w:r w:rsidRPr="00357626">
        <w:t>SVR24 was achieved by 110 (99.1%</w:t>
      </w:r>
      <w:r w:rsidR="00D21A54">
        <w:t>) subjects in the SOF</w:t>
      </w:r>
      <w:r w:rsidRPr="00357626">
        <w:t>/LDV FDC + RBV 24 week group, 95% CI 95.1% to 100.0%</w:t>
      </w:r>
    </w:p>
    <w:p w:rsidR="004D35CA" w:rsidRDefault="004D35CA" w:rsidP="005667B7">
      <w:pPr>
        <w:pStyle w:val="Heading5"/>
      </w:pPr>
      <w:r>
        <w:t>Evaluator’s comments</w:t>
      </w:r>
    </w:p>
    <w:p w:rsidR="000C637D" w:rsidRPr="004D35CA" w:rsidRDefault="000C637D" w:rsidP="004D35CA">
      <w:r w:rsidRPr="004D35CA">
        <w:t xml:space="preserve">The </w:t>
      </w:r>
      <w:r w:rsidR="004D35CA">
        <w:t>s</w:t>
      </w:r>
      <w:r w:rsidRPr="004D35CA">
        <w:t>ponsor’s response is acceptable and has resolved the issue.</w:t>
      </w:r>
      <w:r w:rsidR="009E1597">
        <w:t xml:space="preserve"> </w:t>
      </w:r>
      <w:r w:rsidRPr="004D35CA">
        <w:t>All of the subjects that achieved SVR12 response in the pivotal studies also achieved SVR24 response.</w:t>
      </w:r>
    </w:p>
    <w:p w:rsidR="000C637D" w:rsidRPr="005667B7" w:rsidRDefault="007C3B2C" w:rsidP="007A3CB3">
      <w:pPr>
        <w:pStyle w:val="Heading4"/>
      </w:pPr>
      <w:r>
        <w:t xml:space="preserve">(Q) </w:t>
      </w:r>
      <w:r w:rsidR="000C637D" w:rsidRPr="005667B7">
        <w:t xml:space="preserve">Does the sponsor have access to any long term follow-up data (1 to 2 years) with </w:t>
      </w:r>
      <w:r w:rsidR="000C637D" w:rsidRPr="007A3CB3">
        <w:t>regard</w:t>
      </w:r>
      <w:r w:rsidR="000C637D" w:rsidRPr="005667B7">
        <w:t xml:space="preserve"> maintenance of efficacy?</w:t>
      </w:r>
    </w:p>
    <w:p w:rsidR="005667B7" w:rsidRDefault="005667B7" w:rsidP="007A3CB3">
      <w:pPr>
        <w:pStyle w:val="Heading5"/>
      </w:pPr>
      <w:r>
        <w:t>Sponsor’s response</w:t>
      </w:r>
    </w:p>
    <w:p w:rsidR="000C637D" w:rsidRPr="00D21A54" w:rsidRDefault="000C637D" w:rsidP="00D21A54">
      <w:r w:rsidRPr="00D21A54">
        <w:t xml:space="preserve">The </w:t>
      </w:r>
      <w:r w:rsidR="000B3BC5">
        <w:t>s</w:t>
      </w:r>
      <w:r w:rsidRPr="00D21A54">
        <w:t>ponsor did not respond by providing additional long term follow up efficacy data.</w:t>
      </w:r>
      <w:r w:rsidR="009E1597">
        <w:t xml:space="preserve"> </w:t>
      </w:r>
      <w:r w:rsidRPr="00D21A54">
        <w:t xml:space="preserve">The </w:t>
      </w:r>
      <w:r w:rsidR="000B3BC5">
        <w:t>s</w:t>
      </w:r>
      <w:r w:rsidRPr="00D21A54">
        <w:t xml:space="preserve">ponsor provided the protocols for two long </w:t>
      </w:r>
      <w:proofErr w:type="gramStart"/>
      <w:r w:rsidRPr="00D21A54">
        <w:t>term</w:t>
      </w:r>
      <w:proofErr w:type="gramEnd"/>
      <w:r w:rsidRPr="00D21A54">
        <w:t xml:space="preserve"> follow up studies that are currently being conducted:</w:t>
      </w:r>
    </w:p>
    <w:p w:rsidR="000C637D" w:rsidRPr="00357626" w:rsidRDefault="000C637D" w:rsidP="007A3CB3">
      <w:pPr>
        <w:pStyle w:val="ListBullet"/>
        <w:rPr>
          <w:lang w:val="en-US"/>
        </w:rPr>
      </w:pPr>
      <w:r w:rsidRPr="00357626">
        <w:rPr>
          <w:lang w:val="en-US"/>
        </w:rPr>
        <w:t xml:space="preserve">Study GS-US-248-0122: a long term follow-up registry study for subjects who achieve a sustained </w:t>
      </w:r>
      <w:proofErr w:type="spellStart"/>
      <w:r w:rsidRPr="00357626">
        <w:rPr>
          <w:lang w:val="en-US"/>
        </w:rPr>
        <w:t>virologic</w:t>
      </w:r>
      <w:proofErr w:type="spellEnd"/>
      <w:r w:rsidRPr="00357626">
        <w:rPr>
          <w:lang w:val="en-US"/>
        </w:rPr>
        <w:t xml:space="preserve"> response to treatment in Gilead</w:t>
      </w:r>
      <w:r w:rsidR="000B3BC5">
        <w:rPr>
          <w:lang w:val="en-US"/>
        </w:rPr>
        <w:t xml:space="preserve"> </w:t>
      </w:r>
      <w:r w:rsidRPr="00357626">
        <w:rPr>
          <w:lang w:val="en-US"/>
        </w:rPr>
        <w:t xml:space="preserve">sponsored trials in subjects with </w:t>
      </w:r>
      <w:r w:rsidR="000B3BC5">
        <w:rPr>
          <w:lang w:val="en-US"/>
        </w:rPr>
        <w:t>CHC</w:t>
      </w:r>
      <w:r w:rsidRPr="00357626">
        <w:rPr>
          <w:lang w:val="en-US"/>
        </w:rPr>
        <w:t xml:space="preserve"> infection.</w:t>
      </w:r>
      <w:r w:rsidR="009E1597">
        <w:rPr>
          <w:lang w:val="en-US"/>
        </w:rPr>
        <w:t xml:space="preserve"> </w:t>
      </w:r>
      <w:r w:rsidRPr="00357626">
        <w:rPr>
          <w:lang w:val="en-US"/>
        </w:rPr>
        <w:t>Subjects will be followed for up to 3 years.</w:t>
      </w:r>
      <w:r w:rsidR="009E1597">
        <w:rPr>
          <w:lang w:val="en-US"/>
        </w:rPr>
        <w:t xml:space="preserve"> </w:t>
      </w:r>
      <w:r w:rsidRPr="00357626">
        <w:rPr>
          <w:lang w:val="en-US"/>
        </w:rPr>
        <w:t>Visits will occur at Baseline and then at Weeks 24, 48, 72, 96, 120 and 144.</w:t>
      </w:r>
      <w:r w:rsidR="009E1597">
        <w:rPr>
          <w:lang w:val="en-US"/>
        </w:rPr>
        <w:t xml:space="preserve"> </w:t>
      </w:r>
      <w:r w:rsidRPr="00357626">
        <w:rPr>
          <w:lang w:val="en-US"/>
        </w:rPr>
        <w:t>At each visit, subjects will have blood drawn for plasma HCV RNA quantification, liver function tests, platelets, coagulation test, α-fetoprotein, and a quality of life survey will be completed.</w:t>
      </w:r>
    </w:p>
    <w:p w:rsidR="000C637D" w:rsidRPr="00357626" w:rsidRDefault="000C637D" w:rsidP="00D21A54">
      <w:pPr>
        <w:pStyle w:val="ListBullet"/>
        <w:rPr>
          <w:lang w:val="en-US"/>
        </w:rPr>
      </w:pPr>
      <w:r w:rsidRPr="00357626">
        <w:rPr>
          <w:lang w:val="en-US"/>
        </w:rPr>
        <w:t xml:space="preserve">Study GS-US-248-0123: a long term follow-up registry study of subjects who did not achieve sustained </w:t>
      </w:r>
      <w:proofErr w:type="spellStart"/>
      <w:r w:rsidRPr="00357626">
        <w:rPr>
          <w:lang w:val="en-US"/>
        </w:rPr>
        <w:t>virologic</w:t>
      </w:r>
      <w:proofErr w:type="spellEnd"/>
      <w:r w:rsidRPr="00357626">
        <w:rPr>
          <w:lang w:val="en-US"/>
        </w:rPr>
        <w:t xml:space="preserve"> response in Gilead</w:t>
      </w:r>
      <w:r w:rsidR="005030AA">
        <w:rPr>
          <w:lang w:val="en-US"/>
        </w:rPr>
        <w:t xml:space="preserve"> </w:t>
      </w:r>
      <w:r w:rsidRPr="00357626">
        <w:rPr>
          <w:lang w:val="en-US"/>
        </w:rPr>
        <w:t xml:space="preserve">sponsored trials in subjects with </w:t>
      </w:r>
      <w:r w:rsidR="005030AA">
        <w:rPr>
          <w:lang w:val="en-US"/>
        </w:rPr>
        <w:t>CHC</w:t>
      </w:r>
      <w:r w:rsidRPr="00357626">
        <w:rPr>
          <w:lang w:val="en-US"/>
        </w:rPr>
        <w:t xml:space="preserve"> infection.</w:t>
      </w:r>
      <w:r w:rsidR="009E1597">
        <w:rPr>
          <w:lang w:val="en-US"/>
        </w:rPr>
        <w:t xml:space="preserve"> </w:t>
      </w:r>
      <w:r w:rsidRPr="00357626">
        <w:rPr>
          <w:lang w:val="en-US"/>
        </w:rPr>
        <w:t>The study procedures are similar to those for Study GS-US-248-0122.</w:t>
      </w:r>
    </w:p>
    <w:p w:rsidR="000C637D" w:rsidRPr="00FB1C6C" w:rsidRDefault="000C637D" w:rsidP="00FB1C6C">
      <w:r w:rsidRPr="00FB1C6C">
        <w:t xml:space="preserve">The </w:t>
      </w:r>
      <w:r w:rsidR="00D21A54" w:rsidRPr="00FB1C6C">
        <w:t>s</w:t>
      </w:r>
      <w:r w:rsidRPr="00FB1C6C">
        <w:t>ponsor will provide the results of these studies to the TGA once the clinical reports are available.</w:t>
      </w:r>
    </w:p>
    <w:p w:rsidR="00B81C99" w:rsidRDefault="00B81C99" w:rsidP="005667B7">
      <w:pPr>
        <w:pStyle w:val="Heading5"/>
      </w:pPr>
      <w:r>
        <w:t>Evaluator’s comments</w:t>
      </w:r>
    </w:p>
    <w:p w:rsidR="000C637D" w:rsidRPr="00B81C99" w:rsidRDefault="000C637D" w:rsidP="00B81C99">
      <w:r w:rsidRPr="00B81C99">
        <w:t xml:space="preserve">The </w:t>
      </w:r>
      <w:r w:rsidR="00B81C99">
        <w:t>s</w:t>
      </w:r>
      <w:r w:rsidRPr="00B81C99">
        <w:t>ponsor’s response is acceptable and has resolved the issue.</w:t>
      </w:r>
    </w:p>
    <w:p w:rsidR="000C637D" w:rsidRPr="00B81C99" w:rsidRDefault="007C3B2C" w:rsidP="005667B7">
      <w:pPr>
        <w:pStyle w:val="Heading4"/>
      </w:pPr>
      <w:r>
        <w:rPr>
          <w:lang w:val="en-US"/>
        </w:rPr>
        <w:t xml:space="preserve">(Q) </w:t>
      </w:r>
      <w:r w:rsidR="000C637D" w:rsidRPr="00B81C99">
        <w:rPr>
          <w:lang w:val="en-US"/>
        </w:rPr>
        <w:t>Does the sponsor have access to any long term follow-up data (1 to 2 years) with regard maintenance of safety?</w:t>
      </w:r>
    </w:p>
    <w:p w:rsidR="005667B7" w:rsidRDefault="005667B7" w:rsidP="005667B7">
      <w:pPr>
        <w:pStyle w:val="Heading5"/>
      </w:pPr>
      <w:r>
        <w:t>Sponsor’s response</w:t>
      </w:r>
    </w:p>
    <w:p w:rsidR="000C637D" w:rsidRPr="00CB7B4D" w:rsidRDefault="000C637D" w:rsidP="00CB7B4D">
      <w:r w:rsidRPr="00CB7B4D">
        <w:t xml:space="preserve">The </w:t>
      </w:r>
      <w:r w:rsidR="00CB7B4D">
        <w:t>s</w:t>
      </w:r>
      <w:r w:rsidRPr="00CB7B4D">
        <w:t>ponsor did not respond by providing additional long term follow up safety data.</w:t>
      </w:r>
      <w:r w:rsidR="009E1597">
        <w:t xml:space="preserve"> </w:t>
      </w:r>
      <w:r w:rsidRPr="00CB7B4D">
        <w:t xml:space="preserve">The </w:t>
      </w:r>
      <w:r w:rsidR="00CB7B4D">
        <w:t>s</w:t>
      </w:r>
      <w:r w:rsidRPr="00CB7B4D">
        <w:t xml:space="preserve">ponsor provided the protocols for two long </w:t>
      </w:r>
      <w:proofErr w:type="gramStart"/>
      <w:r w:rsidRPr="00CB7B4D">
        <w:t>term</w:t>
      </w:r>
      <w:proofErr w:type="gramEnd"/>
      <w:r w:rsidRPr="00CB7B4D">
        <w:t xml:space="preserve"> follow up studies that are currently being conducted:</w:t>
      </w:r>
    </w:p>
    <w:p w:rsidR="004E56E3" w:rsidRDefault="000C637D" w:rsidP="003D3BD0">
      <w:pPr>
        <w:pStyle w:val="ListBullet"/>
      </w:pPr>
      <w:r w:rsidRPr="003D3BD0">
        <w:t xml:space="preserve">Study GS-US-248-0122: a long term follow-up registry study for subjects who achieve a sustained </w:t>
      </w:r>
      <w:proofErr w:type="spellStart"/>
      <w:r w:rsidRPr="003D3BD0">
        <w:t>virologic</w:t>
      </w:r>
      <w:proofErr w:type="spellEnd"/>
      <w:r w:rsidRPr="003D3BD0">
        <w:t xml:space="preserve"> response to treatment in Gilead</w:t>
      </w:r>
      <w:r w:rsidR="004E56E3">
        <w:t xml:space="preserve"> </w:t>
      </w:r>
      <w:r w:rsidRPr="003D3BD0">
        <w:t xml:space="preserve">sponsored trials in subjects with </w:t>
      </w:r>
      <w:r w:rsidR="004E56E3">
        <w:lastRenderedPageBreak/>
        <w:t>CHC</w:t>
      </w:r>
      <w:r w:rsidRPr="003D3BD0">
        <w:t xml:space="preserve"> infection.</w:t>
      </w:r>
      <w:r w:rsidR="009E1597">
        <w:t xml:space="preserve"> </w:t>
      </w:r>
      <w:r w:rsidRPr="003D3BD0">
        <w:t>The safety data from this study will be limited as the defi</w:t>
      </w:r>
      <w:r w:rsidR="004E56E3">
        <w:t>nition for reporting an AE is:</w:t>
      </w:r>
    </w:p>
    <w:p w:rsidR="004E56E3" w:rsidRPr="004E56E3" w:rsidRDefault="000C637D" w:rsidP="004E56E3">
      <w:pPr>
        <w:pStyle w:val="ListBullet"/>
        <w:numPr>
          <w:ilvl w:val="0"/>
          <w:numId w:val="0"/>
        </w:numPr>
        <w:ind w:left="720"/>
        <w:rPr>
          <w:i/>
        </w:rPr>
      </w:pPr>
      <w:proofErr w:type="gramStart"/>
      <w:r w:rsidRPr="004E56E3">
        <w:rPr>
          <w:i/>
        </w:rPr>
        <w:t>an</w:t>
      </w:r>
      <w:proofErr w:type="gramEnd"/>
      <w:r w:rsidRPr="004E56E3">
        <w:rPr>
          <w:i/>
        </w:rPr>
        <w:t xml:space="preserve"> AE is any untoward medical occurrence in a clinical investigation subject associated with procedures mandated by this Registry protocol.</w:t>
      </w:r>
      <w:r w:rsidR="009E1597">
        <w:rPr>
          <w:i/>
        </w:rPr>
        <w:t xml:space="preserve"> </w:t>
      </w:r>
      <w:r w:rsidRPr="004E56E3">
        <w:rPr>
          <w:i/>
        </w:rPr>
        <w:t xml:space="preserve">An AE can therefore be any </w:t>
      </w:r>
      <w:proofErr w:type="spellStart"/>
      <w:r w:rsidRPr="004E56E3">
        <w:rPr>
          <w:i/>
        </w:rPr>
        <w:t>unfavorable</w:t>
      </w:r>
      <w:proofErr w:type="spellEnd"/>
      <w:r w:rsidRPr="004E56E3">
        <w:rPr>
          <w:i/>
        </w:rPr>
        <w:t xml:space="preserve"> and unintended sign, symptom, or disease temporally associated with procedures m</w:t>
      </w:r>
      <w:r w:rsidR="003D3BD0" w:rsidRPr="004E56E3">
        <w:rPr>
          <w:i/>
        </w:rPr>
        <w:t xml:space="preserve">andated by this Registry (for example, </w:t>
      </w:r>
      <w:r w:rsidRPr="004E56E3">
        <w:rPr>
          <w:i/>
        </w:rPr>
        <w:t>hem</w:t>
      </w:r>
      <w:r w:rsidR="004E56E3" w:rsidRPr="004E56E3">
        <w:rPr>
          <w:i/>
        </w:rPr>
        <w:t xml:space="preserve">atoma following </w:t>
      </w:r>
      <w:proofErr w:type="spellStart"/>
      <w:r w:rsidR="004E56E3" w:rsidRPr="004E56E3">
        <w:rPr>
          <w:i/>
        </w:rPr>
        <w:t>venipuncture</w:t>
      </w:r>
      <w:proofErr w:type="spellEnd"/>
      <w:r w:rsidR="004E56E3" w:rsidRPr="004E56E3">
        <w:rPr>
          <w:i/>
        </w:rPr>
        <w:t>).</w:t>
      </w:r>
    </w:p>
    <w:p w:rsidR="000C637D" w:rsidRPr="003D3BD0" w:rsidRDefault="000C637D" w:rsidP="004E56E3">
      <w:pPr>
        <w:pStyle w:val="ListBullet"/>
        <w:numPr>
          <w:ilvl w:val="0"/>
          <w:numId w:val="0"/>
        </w:numPr>
        <w:ind w:left="360"/>
      </w:pPr>
      <w:r w:rsidRPr="003D3BD0">
        <w:t>The definition of SAE is similarly restrictive.</w:t>
      </w:r>
    </w:p>
    <w:p w:rsidR="000C637D" w:rsidRPr="003D3BD0" w:rsidRDefault="000C637D" w:rsidP="003D3BD0">
      <w:pPr>
        <w:pStyle w:val="ListBullet"/>
      </w:pPr>
      <w:r w:rsidRPr="003D3BD0">
        <w:t xml:space="preserve">Study GS-US-248-0123: a long term follow-up registry study of subjects who did not achieve sustained </w:t>
      </w:r>
      <w:proofErr w:type="spellStart"/>
      <w:r w:rsidRPr="003D3BD0">
        <w:t>virologic</w:t>
      </w:r>
      <w:proofErr w:type="spellEnd"/>
      <w:r w:rsidRPr="003D3BD0">
        <w:t xml:space="preserve"> response in Gilead</w:t>
      </w:r>
      <w:r w:rsidR="004E56E3">
        <w:t xml:space="preserve"> </w:t>
      </w:r>
      <w:r w:rsidRPr="003D3BD0">
        <w:t>sponsored trials in subjects with chronic hepatitis C infection.</w:t>
      </w:r>
      <w:r w:rsidR="009E1597">
        <w:t xml:space="preserve"> </w:t>
      </w:r>
      <w:r w:rsidRPr="003D3BD0">
        <w:t>The definitions for reporting AEs are the same as for Study GS-US-248-0122.</w:t>
      </w:r>
    </w:p>
    <w:p w:rsidR="000C637D" w:rsidRPr="004E56E3" w:rsidRDefault="000C637D" w:rsidP="004E56E3">
      <w:r w:rsidRPr="004E56E3">
        <w:t xml:space="preserve">The </w:t>
      </w:r>
      <w:r w:rsidR="004E56E3">
        <w:t>s</w:t>
      </w:r>
      <w:r w:rsidRPr="004E56E3">
        <w:t>ponsor will provide the results of these studies to the TGA once the clinical reports are available.</w:t>
      </w:r>
    </w:p>
    <w:p w:rsidR="004E56E3" w:rsidRDefault="004E56E3" w:rsidP="005667B7">
      <w:pPr>
        <w:pStyle w:val="Heading5"/>
      </w:pPr>
      <w:r>
        <w:t>Evaluator’s comments</w:t>
      </w:r>
    </w:p>
    <w:p w:rsidR="000C637D" w:rsidRPr="004E56E3" w:rsidRDefault="000C637D" w:rsidP="004E56E3">
      <w:r w:rsidRPr="004E56E3">
        <w:t xml:space="preserve">The </w:t>
      </w:r>
      <w:r w:rsidR="004E56E3">
        <w:t>s</w:t>
      </w:r>
      <w:r w:rsidRPr="004E56E3">
        <w:t>ponsor’s response is not acceptable.</w:t>
      </w:r>
      <w:r w:rsidR="009E1597">
        <w:t xml:space="preserve"> </w:t>
      </w:r>
      <w:r w:rsidRPr="004E56E3">
        <w:t>The proposed studies will not identify safety data due to the restricted definitions of AE and SAE used in the studies.</w:t>
      </w:r>
      <w:r w:rsidR="009E1597">
        <w:t xml:space="preserve"> </w:t>
      </w:r>
      <w:r w:rsidRPr="004E56E3">
        <w:t xml:space="preserve">In the opinion of the </w:t>
      </w:r>
      <w:r w:rsidR="00B46071">
        <w:t>e</w:t>
      </w:r>
      <w:r w:rsidRPr="004E56E3">
        <w:t xml:space="preserve">valuator, the </w:t>
      </w:r>
      <w:r w:rsidR="004E56E3">
        <w:t>s</w:t>
      </w:r>
      <w:r w:rsidRPr="004E56E3">
        <w:t>ponsor should also use these studies to identify potential lon</w:t>
      </w:r>
      <w:r w:rsidR="004E56E3">
        <w:t>g term adverse effects of SOF/</w:t>
      </w:r>
      <w:r w:rsidRPr="004E56E3">
        <w:t>LDV.</w:t>
      </w:r>
    </w:p>
    <w:p w:rsidR="000C637D" w:rsidRPr="007A3CB3" w:rsidRDefault="000C637D" w:rsidP="007A3CB3">
      <w:pPr>
        <w:rPr>
          <w:b/>
        </w:rPr>
      </w:pPr>
      <w:r w:rsidRPr="007A3CB3">
        <w:rPr>
          <w:b/>
        </w:rPr>
        <w:t>However, consideration needs to be given as to the most appropriate dosing recommendation.</w:t>
      </w:r>
      <w:r w:rsidR="009E1597" w:rsidRPr="007A3CB3">
        <w:rPr>
          <w:b/>
        </w:rPr>
        <w:t xml:space="preserve"> </w:t>
      </w:r>
      <w:r w:rsidRPr="007A3CB3">
        <w:rPr>
          <w:b/>
        </w:rPr>
        <w:t xml:space="preserve">In the opinion of the </w:t>
      </w:r>
      <w:r w:rsidR="00FE5DC8" w:rsidRPr="007A3CB3">
        <w:rPr>
          <w:b/>
        </w:rPr>
        <w:t xml:space="preserve">evaluator, </w:t>
      </w:r>
      <w:r w:rsidRPr="007A3CB3">
        <w:rPr>
          <w:b/>
        </w:rPr>
        <w:t>this should be:</w:t>
      </w:r>
    </w:p>
    <w:p w:rsidR="000C637D" w:rsidRPr="00FE5DC8" w:rsidRDefault="00FE5DC8" w:rsidP="00FE5DC8">
      <w:pPr>
        <w:pStyle w:val="ListBullet"/>
        <w:rPr>
          <w:b/>
        </w:rPr>
      </w:pPr>
      <w:r>
        <w:rPr>
          <w:b/>
        </w:rPr>
        <w:t>SOF/</w:t>
      </w:r>
      <w:r w:rsidR="000C637D" w:rsidRPr="00FE5DC8">
        <w:rPr>
          <w:b/>
        </w:rPr>
        <w:t>LDV FDC once daily for 8 weeks in treatment naïve subjects with ch</w:t>
      </w:r>
      <w:r w:rsidR="00B46071">
        <w:rPr>
          <w:b/>
        </w:rPr>
        <w:t>ronic GT1-HCV without cirrhosis</w:t>
      </w:r>
    </w:p>
    <w:p w:rsidR="000C637D" w:rsidRPr="00FE5DC8" w:rsidRDefault="00FE5DC8" w:rsidP="00FE5DC8">
      <w:pPr>
        <w:pStyle w:val="ListBullet"/>
        <w:rPr>
          <w:b/>
        </w:rPr>
      </w:pPr>
      <w:r>
        <w:rPr>
          <w:b/>
        </w:rPr>
        <w:t>SOF/</w:t>
      </w:r>
      <w:r w:rsidR="000C637D" w:rsidRPr="00FE5DC8">
        <w:rPr>
          <w:b/>
        </w:rPr>
        <w:t>LDV FDC once daily for 12 weeks in treatment naïve subjects with chronic GT1-HCV with cirrhosis</w:t>
      </w:r>
    </w:p>
    <w:p w:rsidR="000C637D" w:rsidRPr="00FE5DC8" w:rsidRDefault="00FE5DC8" w:rsidP="00FE5DC8">
      <w:pPr>
        <w:pStyle w:val="ListBullet"/>
        <w:rPr>
          <w:b/>
        </w:rPr>
      </w:pPr>
      <w:r>
        <w:rPr>
          <w:b/>
        </w:rPr>
        <w:t>SOF/</w:t>
      </w:r>
      <w:r w:rsidR="000C637D" w:rsidRPr="00FE5DC8">
        <w:rPr>
          <w:b/>
        </w:rPr>
        <w:t>LDV FDC once daily for 24 weeks in treatment experienced subjects with chronic GT1-HCV, with or without cirrhosis</w:t>
      </w:r>
    </w:p>
    <w:p w:rsidR="000C637D" w:rsidRPr="00FE5DC8" w:rsidRDefault="000C637D" w:rsidP="00FE5DC8">
      <w:pPr>
        <w:pStyle w:val="ListBullet"/>
        <w:rPr>
          <w:b/>
        </w:rPr>
      </w:pPr>
      <w:r w:rsidRPr="00FE5DC8">
        <w:rPr>
          <w:b/>
        </w:rPr>
        <w:t>RBV does not offer additional benefit as add-on therapy and may decrease Quality of Life</w:t>
      </w:r>
    </w:p>
    <w:p w:rsidR="00FE5DC8" w:rsidRDefault="00FE5DC8" w:rsidP="005667B7">
      <w:pPr>
        <w:pStyle w:val="Heading5"/>
      </w:pPr>
      <w:r>
        <w:t>Sponsor’s response</w:t>
      </w:r>
    </w:p>
    <w:p w:rsidR="000C637D" w:rsidRPr="00FE5DC8" w:rsidRDefault="000C637D" w:rsidP="00FE5DC8">
      <w:r w:rsidRPr="00FE5DC8">
        <w:t xml:space="preserve">The </w:t>
      </w:r>
      <w:r w:rsidR="00FE5DC8">
        <w:t>s</w:t>
      </w:r>
      <w:r w:rsidRPr="00FE5DC8">
        <w:t>ponsor intends to retain the originally proposed dosing recommendations which are:</w:t>
      </w:r>
    </w:p>
    <w:p w:rsidR="000C637D" w:rsidRPr="00357626" w:rsidRDefault="000C637D" w:rsidP="006165A6">
      <w:pPr>
        <w:pStyle w:val="ListBullet"/>
        <w:rPr>
          <w:lang w:val="en-US"/>
        </w:rPr>
      </w:pPr>
      <w:r w:rsidRPr="00357626">
        <w:rPr>
          <w:lang w:val="en-US"/>
        </w:rPr>
        <w:t>For treatment</w:t>
      </w:r>
      <w:r w:rsidR="006165A6">
        <w:rPr>
          <w:lang w:val="en-US"/>
        </w:rPr>
        <w:t xml:space="preserve"> </w:t>
      </w:r>
      <w:r w:rsidRPr="00357626">
        <w:rPr>
          <w:lang w:val="en-US"/>
        </w:rPr>
        <w:t xml:space="preserve">naïve patients without cirrhosis the recommended duration of treatment with </w:t>
      </w:r>
      <w:proofErr w:type="spellStart"/>
      <w:r w:rsidRPr="00357626">
        <w:rPr>
          <w:lang w:val="en-US"/>
        </w:rPr>
        <w:t>H</w:t>
      </w:r>
      <w:r w:rsidR="00FE5DC8">
        <w:rPr>
          <w:lang w:val="en-US"/>
        </w:rPr>
        <w:t>arvoni</w:t>
      </w:r>
      <w:proofErr w:type="spellEnd"/>
      <w:r w:rsidRPr="00357626">
        <w:rPr>
          <w:lang w:val="en-US"/>
        </w:rPr>
        <w:t xml:space="preserve"> is 8 weeks.</w:t>
      </w:r>
    </w:p>
    <w:p w:rsidR="000C637D" w:rsidRPr="00357626" w:rsidRDefault="000C637D" w:rsidP="006165A6">
      <w:pPr>
        <w:pStyle w:val="ListBullet"/>
      </w:pPr>
      <w:r w:rsidRPr="00357626">
        <w:rPr>
          <w:lang w:val="en-US"/>
        </w:rPr>
        <w:t>For treatment</w:t>
      </w:r>
      <w:r w:rsidR="006165A6">
        <w:rPr>
          <w:lang w:val="en-US"/>
        </w:rPr>
        <w:t xml:space="preserve"> </w:t>
      </w:r>
      <w:r w:rsidRPr="00357626">
        <w:rPr>
          <w:lang w:val="en-US"/>
        </w:rPr>
        <w:t>naïve patients with cirrhosis and all treatment</w:t>
      </w:r>
      <w:r w:rsidR="006165A6">
        <w:rPr>
          <w:lang w:val="en-US"/>
        </w:rPr>
        <w:t xml:space="preserve"> </w:t>
      </w:r>
      <w:r w:rsidRPr="00357626">
        <w:rPr>
          <w:lang w:val="en-US"/>
        </w:rPr>
        <w:t xml:space="preserve">experienced patients the recommended duration of treatment with </w:t>
      </w:r>
      <w:proofErr w:type="spellStart"/>
      <w:r w:rsidR="006165A6" w:rsidRPr="00357626">
        <w:rPr>
          <w:lang w:val="en-US"/>
        </w:rPr>
        <w:t>H</w:t>
      </w:r>
      <w:r w:rsidR="006165A6">
        <w:rPr>
          <w:lang w:val="en-US"/>
        </w:rPr>
        <w:t>arvoni</w:t>
      </w:r>
      <w:proofErr w:type="spellEnd"/>
      <w:r w:rsidRPr="00357626">
        <w:rPr>
          <w:lang w:val="en-US"/>
        </w:rPr>
        <w:t xml:space="preserve"> is 12 weeks.</w:t>
      </w:r>
    </w:p>
    <w:p w:rsidR="000C637D" w:rsidRPr="003B14F1" w:rsidRDefault="000C637D" w:rsidP="003B14F1">
      <w:r w:rsidRPr="003B14F1">
        <w:t>The reasons for retaini</w:t>
      </w:r>
      <w:r w:rsidR="003B14F1">
        <w:t>ng this dosing recommendation are</w:t>
      </w:r>
      <w:r w:rsidRPr="003B14F1">
        <w:t xml:space="preserve"> to avoid over-treating those patients who respond to this shorter treatment course, and thereby exposing them to more AEs.</w:t>
      </w:r>
      <w:r w:rsidR="009E1597">
        <w:t xml:space="preserve"> </w:t>
      </w:r>
      <w:r w:rsidRPr="003B14F1">
        <w:t xml:space="preserve">The </w:t>
      </w:r>
      <w:r w:rsidR="005B44C8">
        <w:t>s</w:t>
      </w:r>
      <w:r w:rsidRPr="003B14F1">
        <w:t>ponsor quotes 95% of subjects would be over-treated in order to prevent 5% of relapses.</w:t>
      </w:r>
      <w:r w:rsidR="009E1597">
        <w:t xml:space="preserve"> </w:t>
      </w:r>
      <w:r w:rsidRPr="003B14F1">
        <w:t xml:space="preserve">The </w:t>
      </w:r>
      <w:r w:rsidR="005B44C8">
        <w:t>s</w:t>
      </w:r>
      <w:r w:rsidRPr="003B14F1">
        <w:t>ponsor also believes there would be greater cost and healthcare utilisation with the longer treatment course and lesser adherence to the treatment regimen.</w:t>
      </w:r>
    </w:p>
    <w:p w:rsidR="006165A6" w:rsidRDefault="006165A6" w:rsidP="005667B7">
      <w:pPr>
        <w:pStyle w:val="Heading5"/>
      </w:pPr>
      <w:r>
        <w:t>Evaluator’s comments</w:t>
      </w:r>
    </w:p>
    <w:p w:rsidR="000C637D" w:rsidRPr="005B44C8" w:rsidRDefault="000C637D" w:rsidP="005B44C8">
      <w:r w:rsidRPr="005B44C8">
        <w:t xml:space="preserve">The </w:t>
      </w:r>
      <w:r w:rsidR="006165A6" w:rsidRPr="005B44C8">
        <w:t>s</w:t>
      </w:r>
      <w:r w:rsidRPr="005B44C8">
        <w:t>ponsor’s response is not acceptable.</w:t>
      </w:r>
      <w:r w:rsidR="009E1597">
        <w:t xml:space="preserve"> </w:t>
      </w:r>
      <w:r w:rsidRPr="005B44C8">
        <w:t>Based upon the data submitted, there is greater efficacy in treatment experienced subjects with the 24 week treatment course.</w:t>
      </w:r>
      <w:r w:rsidR="009E1597">
        <w:t xml:space="preserve"> </w:t>
      </w:r>
      <w:r w:rsidRPr="005B44C8">
        <w:t>These data are based upon the full analysis set (which included subjects who were randomi</w:t>
      </w:r>
      <w:r w:rsidR="005B44C8">
        <w:t>s</w:t>
      </w:r>
      <w:r w:rsidRPr="005B44C8">
        <w:t xml:space="preserve">ed and received at least one dose of study drug) and therefore non-adherence is taken into </w:t>
      </w:r>
      <w:r w:rsidRPr="005B44C8">
        <w:lastRenderedPageBreak/>
        <w:t>account in the analysis, and the longer treatment course still had greater efficacy.</w:t>
      </w:r>
      <w:r w:rsidR="009E1597">
        <w:t xml:space="preserve"> </w:t>
      </w:r>
      <w:r w:rsidRPr="005B44C8">
        <w:t>The adverse eve</w:t>
      </w:r>
      <w:r w:rsidR="005B44C8">
        <w:t>nt profile of SOF/</w:t>
      </w:r>
      <w:r w:rsidRPr="005B44C8">
        <w:t>LDV is favourable so the argument that the longer treatment course has unacceptable risk is not valid.</w:t>
      </w:r>
      <w:r w:rsidR="009E1597">
        <w:t xml:space="preserve"> </w:t>
      </w:r>
      <w:r w:rsidRPr="005B44C8">
        <w:t xml:space="preserve">In the opinion of the </w:t>
      </w:r>
      <w:r w:rsidR="000D7117">
        <w:t>e</w:t>
      </w:r>
      <w:r w:rsidRPr="005B44C8">
        <w:t>valuator, the 5% of subjects that would relapse with a shorter course represents a greater burden to the healthcare system than does the longer treatment course.</w:t>
      </w:r>
    </w:p>
    <w:p w:rsidR="000C637D" w:rsidRPr="005667B7" w:rsidRDefault="000C637D" w:rsidP="005667B7">
      <w:pPr>
        <w:pStyle w:val="Heading4"/>
      </w:pPr>
      <w:r w:rsidRPr="005667B7">
        <w:t>Additional data included in the S</w:t>
      </w:r>
      <w:r w:rsidR="000D7117" w:rsidRPr="005667B7">
        <w:t xml:space="preserve">ection </w:t>
      </w:r>
      <w:r w:rsidRPr="005667B7">
        <w:t xml:space="preserve">31 </w:t>
      </w:r>
      <w:r w:rsidR="00E156D4" w:rsidRPr="005667B7">
        <w:t>r</w:t>
      </w:r>
      <w:r w:rsidRPr="005667B7">
        <w:t>esponse</w:t>
      </w:r>
    </w:p>
    <w:p w:rsidR="005667B7" w:rsidRDefault="005667B7" w:rsidP="005667B7">
      <w:pPr>
        <w:pStyle w:val="Heading5"/>
      </w:pPr>
      <w:r>
        <w:t>Sponsor’s response</w:t>
      </w:r>
    </w:p>
    <w:p w:rsidR="000C637D" w:rsidRPr="00E156D4" w:rsidRDefault="000C637D" w:rsidP="007A3CB3">
      <w:r w:rsidRPr="00E156D4">
        <w:t xml:space="preserve">The </w:t>
      </w:r>
      <w:r w:rsidR="00A4122E">
        <w:t>s</w:t>
      </w:r>
      <w:r w:rsidRPr="00E156D4">
        <w:t>ponsor has provided preliminary data in the form of an interim report from Study GS-US-337-1306.</w:t>
      </w:r>
      <w:r w:rsidR="009E1597">
        <w:t xml:space="preserve"> </w:t>
      </w:r>
      <w:r w:rsidRPr="00E156D4">
        <w:t>This study is a Phase I drug interaction study.</w:t>
      </w:r>
      <w:r w:rsidR="009E1597">
        <w:t xml:space="preserve"> </w:t>
      </w:r>
      <w:r w:rsidRPr="00E156D4">
        <w:t xml:space="preserve">The key findings reported by the </w:t>
      </w:r>
      <w:r w:rsidR="00A4122E">
        <w:t>s</w:t>
      </w:r>
      <w:r w:rsidRPr="00E156D4">
        <w:t>ponsor with regard SOF and LDV are:</w:t>
      </w:r>
    </w:p>
    <w:p w:rsidR="009203E1" w:rsidRDefault="000C637D" w:rsidP="00E156D4">
      <w:r w:rsidRPr="00E156D4">
        <w:t xml:space="preserve">Simultaneous co-administration of a complete HIV ARV regimen of ATV/r + TVD with LDV/SOF increased systemic exposures of LDV by 96%, 68%, and 118% as assessed </w:t>
      </w:r>
      <w:proofErr w:type="spellStart"/>
      <w:r w:rsidRPr="00E156D4">
        <w:t>AUCtau</w:t>
      </w:r>
      <w:proofErr w:type="spellEnd"/>
      <w:r w:rsidRPr="00E156D4">
        <w:t xml:space="preserve">, </w:t>
      </w:r>
      <w:proofErr w:type="spellStart"/>
      <w:r w:rsidRPr="00E156D4">
        <w:t>Cmax</w:t>
      </w:r>
      <w:proofErr w:type="spellEnd"/>
      <w:r w:rsidRPr="00E156D4">
        <w:t xml:space="preserve">, and </w:t>
      </w:r>
      <w:proofErr w:type="spellStart"/>
      <w:r w:rsidRPr="00E156D4">
        <w:t>Ctau</w:t>
      </w:r>
      <w:proofErr w:type="spellEnd"/>
      <w:r w:rsidRPr="00E156D4">
        <w:t>, respectively.</w:t>
      </w:r>
      <w:r w:rsidR="009E1597">
        <w:t xml:space="preserve"> </w:t>
      </w:r>
      <w:r w:rsidRPr="00E156D4">
        <w:t>A 12</w:t>
      </w:r>
      <w:r w:rsidR="00A4122E">
        <w:t xml:space="preserve"> h</w:t>
      </w:r>
      <w:r w:rsidRPr="00E156D4">
        <w:t xml:space="preserve"> separation of ATV/r + TVD did not minimi</w:t>
      </w:r>
      <w:r w:rsidR="008D1DB3">
        <w:t>s</w:t>
      </w:r>
      <w:r w:rsidRPr="00E156D4">
        <w:t xml:space="preserve">e the interaction, as assessed by similar increases in LDV </w:t>
      </w:r>
      <w:proofErr w:type="spellStart"/>
      <w:r w:rsidRPr="00E156D4">
        <w:t>AUCtau</w:t>
      </w:r>
      <w:proofErr w:type="spellEnd"/>
      <w:r w:rsidRPr="00E156D4">
        <w:t xml:space="preserve">, </w:t>
      </w:r>
      <w:proofErr w:type="spellStart"/>
      <w:r w:rsidRPr="00E156D4">
        <w:t>Cmax</w:t>
      </w:r>
      <w:proofErr w:type="spellEnd"/>
      <w:r w:rsidRPr="00E156D4">
        <w:t xml:space="preserve">, and </w:t>
      </w:r>
      <w:proofErr w:type="spellStart"/>
      <w:r w:rsidRPr="00E156D4">
        <w:t>Ctau</w:t>
      </w:r>
      <w:proofErr w:type="spellEnd"/>
      <w:r w:rsidRPr="00E156D4">
        <w:t xml:space="preserve"> of 131%, 75%, and 164%, respectively.</w:t>
      </w:r>
      <w:r w:rsidR="009E1597">
        <w:t xml:space="preserve"> </w:t>
      </w:r>
      <w:r w:rsidRPr="00E156D4">
        <w:t xml:space="preserve">LDV is known to be a substrate of </w:t>
      </w:r>
      <w:proofErr w:type="spellStart"/>
      <w:r w:rsidRPr="00E156D4">
        <w:t>Pgp</w:t>
      </w:r>
      <w:proofErr w:type="spellEnd"/>
      <w:r w:rsidRPr="00E156D4">
        <w:t xml:space="preserve"> and BCRP drug transporters and is also subject to slow oxidative metabolism.</w:t>
      </w:r>
      <w:r w:rsidR="009E1597">
        <w:t xml:space="preserve"> </w:t>
      </w:r>
      <w:r w:rsidRPr="00E156D4">
        <w:t xml:space="preserve">The putative mechanism for this interaction is persistent ATV and RTV inhibition of </w:t>
      </w:r>
      <w:proofErr w:type="spellStart"/>
      <w:r w:rsidRPr="00E156D4">
        <w:t>Pgp</w:t>
      </w:r>
      <w:proofErr w:type="spellEnd"/>
      <w:r w:rsidRPr="00E156D4">
        <w:t xml:space="preserve"> and BCRP drug transporters</w:t>
      </w:r>
      <w:r w:rsidR="009203E1">
        <w:t>.</w:t>
      </w:r>
    </w:p>
    <w:p w:rsidR="000C637D" w:rsidRPr="00E156D4" w:rsidRDefault="000C637D" w:rsidP="00E156D4">
      <w:r w:rsidRPr="00E156D4">
        <w:t xml:space="preserve">The </w:t>
      </w:r>
      <w:r w:rsidR="00A4122E">
        <w:t>s</w:t>
      </w:r>
      <w:r w:rsidRPr="00E156D4">
        <w:t>ponsor does not intend to make any dose change re</w:t>
      </w:r>
      <w:r w:rsidR="00A4122E">
        <w:t>commendations with regard SOF/</w:t>
      </w:r>
      <w:r w:rsidRPr="00E156D4">
        <w:t>LDV FDC as a result of the interaction, and does not consider the interaction to be clinically relevant.</w:t>
      </w:r>
    </w:p>
    <w:p w:rsidR="000C637D" w:rsidRPr="00E156D4" w:rsidRDefault="00A4122E" w:rsidP="00E156D4">
      <w:r>
        <w:t>However, LDV/</w:t>
      </w:r>
      <w:r w:rsidR="000C637D" w:rsidRPr="00E156D4">
        <w:t>SOF FDC resulted in increased exposure to TFV.</w:t>
      </w:r>
      <w:r w:rsidR="009E1597">
        <w:t xml:space="preserve"> </w:t>
      </w:r>
      <w:proofErr w:type="spellStart"/>
      <w:r w:rsidR="000C637D" w:rsidRPr="00E156D4">
        <w:t>AUCtau</w:t>
      </w:r>
      <w:proofErr w:type="spellEnd"/>
      <w:r w:rsidR="000C637D" w:rsidRPr="00E156D4">
        <w:t xml:space="preserve"> increased by 33 to 35%, </w:t>
      </w:r>
      <w:proofErr w:type="spellStart"/>
      <w:r w:rsidR="000C637D" w:rsidRPr="00E156D4">
        <w:t>Cmax</w:t>
      </w:r>
      <w:proofErr w:type="spellEnd"/>
      <w:r w:rsidR="000C637D" w:rsidRPr="00E156D4">
        <w:t xml:space="preserve"> by 47% to 49%, and </w:t>
      </w:r>
      <w:proofErr w:type="spellStart"/>
      <w:r w:rsidR="000C637D" w:rsidRPr="00E156D4">
        <w:t>Ctau</w:t>
      </w:r>
      <w:proofErr w:type="spellEnd"/>
      <w:r w:rsidR="000C637D" w:rsidRPr="00E156D4">
        <w:t xml:space="preserve"> by 47% to 38% following administration of</w:t>
      </w:r>
      <w:r>
        <w:t xml:space="preserve"> LDV/</w:t>
      </w:r>
      <w:r w:rsidR="000C637D" w:rsidRPr="00E156D4">
        <w:t>SOF and ATV/r + TVD e</w:t>
      </w:r>
      <w:r>
        <w:t>ither simultaneously or 12 h</w:t>
      </w:r>
      <w:r w:rsidR="000C637D" w:rsidRPr="00E156D4">
        <w:t xml:space="preserve"> apart.</w:t>
      </w:r>
      <w:r w:rsidR="009E1597">
        <w:t xml:space="preserve"> </w:t>
      </w:r>
      <w:r w:rsidR="000C637D" w:rsidRPr="00E156D4">
        <w:t xml:space="preserve">The mechanism is likely due to inhibition of intestinal </w:t>
      </w:r>
      <w:proofErr w:type="spellStart"/>
      <w:r w:rsidR="000C637D" w:rsidRPr="00E156D4">
        <w:t>Pgp</w:t>
      </w:r>
      <w:proofErr w:type="spellEnd"/>
      <w:r w:rsidR="000C637D" w:rsidRPr="00E156D4">
        <w:t xml:space="preserve"> and BCRP by LDV.</w:t>
      </w:r>
      <w:r w:rsidR="009E1597">
        <w:t xml:space="preserve"> </w:t>
      </w:r>
      <w:r w:rsidR="000C637D" w:rsidRPr="00E156D4">
        <w:t xml:space="preserve">The </w:t>
      </w:r>
      <w:r>
        <w:t>s</w:t>
      </w:r>
      <w:r w:rsidR="000C637D" w:rsidRPr="00E156D4">
        <w:t>ponsor has included a warning of this interaction in the PI.</w:t>
      </w:r>
    </w:p>
    <w:p w:rsidR="00E156D4" w:rsidRDefault="00E156D4" w:rsidP="005667B7">
      <w:pPr>
        <w:pStyle w:val="Heading5"/>
      </w:pPr>
      <w:r>
        <w:t>Evaluator’s comments</w:t>
      </w:r>
    </w:p>
    <w:p w:rsidR="000C637D" w:rsidRPr="00E156D4" w:rsidRDefault="000C637D" w:rsidP="00E156D4">
      <w:r w:rsidRPr="00E156D4">
        <w:t>The provision of this a</w:t>
      </w:r>
      <w:r w:rsidR="00E156D4">
        <w:t>dditional information, and the s</w:t>
      </w:r>
      <w:r w:rsidRPr="00E156D4">
        <w:t>ponsor</w:t>
      </w:r>
      <w:r w:rsidR="00534C71">
        <w:t>’</w:t>
      </w:r>
      <w:r w:rsidR="00E156D4">
        <w:t xml:space="preserve">s conclusions, are acceptable. </w:t>
      </w:r>
      <w:r w:rsidRPr="00E156D4">
        <w:t xml:space="preserve">The </w:t>
      </w:r>
      <w:r w:rsidR="00E156D4">
        <w:t>s</w:t>
      </w:r>
      <w:r w:rsidRPr="00E156D4">
        <w:t>ponsor intends to lodge the full study report at a later date.</w:t>
      </w:r>
    </w:p>
    <w:p w:rsidR="00605AD4" w:rsidRPr="00605AD4" w:rsidRDefault="00605AD4" w:rsidP="00546154">
      <w:pPr>
        <w:pStyle w:val="Heading3"/>
        <w:rPr>
          <w:rFonts w:eastAsia="Cambria"/>
        </w:rPr>
      </w:pPr>
      <w:bookmarkStart w:id="128" w:name="_Toc432073738"/>
      <w:r w:rsidRPr="00605AD4">
        <w:rPr>
          <w:rFonts w:eastAsia="Cambria"/>
        </w:rPr>
        <w:t xml:space="preserve">Second </w:t>
      </w:r>
      <w:r w:rsidR="007A3CB3">
        <w:rPr>
          <w:rFonts w:eastAsia="Cambria"/>
        </w:rPr>
        <w:t>r</w:t>
      </w:r>
      <w:r w:rsidRPr="00605AD4">
        <w:rPr>
          <w:rFonts w:eastAsia="Cambria"/>
        </w:rPr>
        <w:t xml:space="preserve">ound </w:t>
      </w:r>
      <w:r w:rsidR="007A3CB3">
        <w:rPr>
          <w:rFonts w:eastAsia="Cambria"/>
        </w:rPr>
        <w:t>b</w:t>
      </w:r>
      <w:r w:rsidRPr="00605AD4">
        <w:rPr>
          <w:rFonts w:eastAsia="Cambria"/>
        </w:rPr>
        <w:t>enefit-</w:t>
      </w:r>
      <w:r w:rsidR="007A3CB3">
        <w:rPr>
          <w:rFonts w:eastAsia="Cambria"/>
        </w:rPr>
        <w:t>r</w:t>
      </w:r>
      <w:r w:rsidRPr="00605AD4">
        <w:rPr>
          <w:rFonts w:eastAsia="Cambria"/>
        </w:rPr>
        <w:t xml:space="preserve">isk </w:t>
      </w:r>
      <w:r w:rsidR="007A3CB3">
        <w:rPr>
          <w:rFonts w:eastAsia="Cambria"/>
        </w:rPr>
        <w:t>a</w:t>
      </w:r>
      <w:r w:rsidRPr="00605AD4">
        <w:rPr>
          <w:rFonts w:eastAsia="Cambria"/>
        </w:rPr>
        <w:t>ssessment</w:t>
      </w:r>
      <w:bookmarkEnd w:id="128"/>
    </w:p>
    <w:p w:rsidR="00BB51C4" w:rsidRPr="00DD57B0" w:rsidRDefault="00BB51C4" w:rsidP="007A3CB3">
      <w:pPr>
        <w:pStyle w:val="Heading4"/>
      </w:pPr>
      <w:bookmarkStart w:id="129" w:name="_Toc272414709"/>
      <w:bookmarkStart w:id="130" w:name="_Toc290846349"/>
      <w:bookmarkStart w:id="131" w:name="_Toc408164131"/>
      <w:r w:rsidRPr="00DD57B0">
        <w:t>Second round assessment of benefits</w:t>
      </w:r>
      <w:bookmarkEnd w:id="129"/>
      <w:bookmarkEnd w:id="130"/>
      <w:bookmarkEnd w:id="131"/>
    </w:p>
    <w:p w:rsidR="00BB51C4" w:rsidRPr="00BB51C4" w:rsidRDefault="00BB51C4" w:rsidP="007A3CB3">
      <w:r w:rsidRPr="00BB51C4">
        <w:t xml:space="preserve">After consideration of the responses to clinical questions, the benefits of </w:t>
      </w:r>
      <w:proofErr w:type="spellStart"/>
      <w:r w:rsidRPr="00BB51C4">
        <w:t>H</w:t>
      </w:r>
      <w:r w:rsidR="00EC1BFB">
        <w:t>arvoni</w:t>
      </w:r>
      <w:proofErr w:type="spellEnd"/>
      <w:r w:rsidR="00624028">
        <w:t xml:space="preserve"> (90 mg LDV/</w:t>
      </w:r>
      <w:r w:rsidRPr="00BB51C4">
        <w:t xml:space="preserve">400 mg </w:t>
      </w:r>
      <w:r w:rsidR="00624028">
        <w:t>SOF</w:t>
      </w:r>
      <w:r w:rsidRPr="00BB51C4">
        <w:t xml:space="preserve">) FDC tablets in the proposed usage are unchanged from those identified in </w:t>
      </w:r>
      <w:r>
        <w:t>the first round</w:t>
      </w:r>
      <w:r w:rsidRPr="00BB51C4">
        <w:t>.</w:t>
      </w:r>
    </w:p>
    <w:p w:rsidR="00BB51C4" w:rsidRPr="00DD57B0" w:rsidRDefault="00BB51C4" w:rsidP="007A3CB3">
      <w:pPr>
        <w:pStyle w:val="Heading4"/>
      </w:pPr>
      <w:bookmarkStart w:id="132" w:name="_Toc272414710"/>
      <w:bookmarkStart w:id="133" w:name="_Toc290846350"/>
      <w:bookmarkStart w:id="134" w:name="_Toc408164132"/>
      <w:r w:rsidRPr="00DD57B0">
        <w:t>Second round assessment of risks</w:t>
      </w:r>
      <w:bookmarkEnd w:id="132"/>
      <w:bookmarkEnd w:id="133"/>
      <w:bookmarkEnd w:id="134"/>
    </w:p>
    <w:p w:rsidR="00624028" w:rsidRPr="00BB51C4" w:rsidRDefault="00624028" w:rsidP="007A3CB3">
      <w:bookmarkStart w:id="135" w:name="_Toc272414711"/>
      <w:bookmarkStart w:id="136" w:name="_Toc290846351"/>
      <w:bookmarkStart w:id="137" w:name="_Toc408164133"/>
      <w:r w:rsidRPr="00BB51C4">
        <w:t xml:space="preserve">After consideration of the responses to clinical questions, the </w:t>
      </w:r>
      <w:r>
        <w:t>risks</w:t>
      </w:r>
      <w:r w:rsidRPr="00BB51C4">
        <w:t xml:space="preserve"> of </w:t>
      </w:r>
      <w:proofErr w:type="spellStart"/>
      <w:r w:rsidRPr="00BB51C4">
        <w:t>H</w:t>
      </w:r>
      <w:r>
        <w:t>arvoni</w:t>
      </w:r>
      <w:proofErr w:type="spellEnd"/>
      <w:r>
        <w:t xml:space="preserve"> (90 mg LDV/</w:t>
      </w:r>
      <w:r w:rsidRPr="00BB51C4">
        <w:t xml:space="preserve">400 mg </w:t>
      </w:r>
      <w:r>
        <w:t>SOF</w:t>
      </w:r>
      <w:r w:rsidRPr="00BB51C4">
        <w:t xml:space="preserve">) FDC tablets in the proposed usage are unchanged from those identified in </w:t>
      </w:r>
      <w:r>
        <w:t>the first round</w:t>
      </w:r>
      <w:r w:rsidRPr="00BB51C4">
        <w:t>.</w:t>
      </w:r>
    </w:p>
    <w:p w:rsidR="00BB51C4" w:rsidRPr="00DD57B0" w:rsidRDefault="00BB51C4" w:rsidP="007A3CB3">
      <w:pPr>
        <w:pStyle w:val="Heading4"/>
      </w:pPr>
      <w:r w:rsidRPr="00DD57B0">
        <w:t>Second round assessment of benefit-risk balance</w:t>
      </w:r>
      <w:bookmarkEnd w:id="135"/>
      <w:bookmarkEnd w:id="136"/>
      <w:bookmarkEnd w:id="137"/>
    </w:p>
    <w:p w:rsidR="00BB51C4" w:rsidRPr="00FD1132" w:rsidRDefault="00BB51C4" w:rsidP="007A3CB3">
      <w:r w:rsidRPr="00FD1132">
        <w:t xml:space="preserve">The benefit-risk balance of register </w:t>
      </w:r>
      <w:proofErr w:type="spellStart"/>
      <w:r w:rsidR="00FD1132" w:rsidRPr="00BB51C4">
        <w:t>H</w:t>
      </w:r>
      <w:r w:rsidR="00FD1132">
        <w:t>arvoni</w:t>
      </w:r>
      <w:proofErr w:type="spellEnd"/>
      <w:r w:rsidR="00FD1132">
        <w:t xml:space="preserve"> (90 mg LDV/</w:t>
      </w:r>
      <w:r w:rsidR="00FD1132" w:rsidRPr="00BB51C4">
        <w:t xml:space="preserve">400 mg </w:t>
      </w:r>
      <w:r w:rsidR="00FD1132">
        <w:t>SOF</w:t>
      </w:r>
      <w:r w:rsidR="00FD1132" w:rsidRPr="00BB51C4">
        <w:t xml:space="preserve">) FDC </w:t>
      </w:r>
      <w:r w:rsidRPr="00FD1132">
        <w:t>tablets, given the proposed usage, is favourable.</w:t>
      </w:r>
    </w:p>
    <w:p w:rsidR="00BB51C4" w:rsidRPr="00FD1132" w:rsidRDefault="00BB51C4" w:rsidP="00FD1132">
      <w:r w:rsidRPr="00FD1132">
        <w:t>However, consideration needs to be given as to the most appropriate dosing recommendation.</w:t>
      </w:r>
      <w:r w:rsidR="009E1597">
        <w:t xml:space="preserve"> </w:t>
      </w:r>
      <w:r w:rsidRPr="00FD1132">
        <w:t xml:space="preserve">In the opinion of the </w:t>
      </w:r>
      <w:r w:rsidR="00654651">
        <w:t xml:space="preserve">evaluator, </w:t>
      </w:r>
      <w:r w:rsidRPr="00FD1132">
        <w:t>this should be:</w:t>
      </w:r>
    </w:p>
    <w:p w:rsidR="00BB51C4" w:rsidRPr="00FD1132" w:rsidRDefault="00BB51C4" w:rsidP="00FD1132">
      <w:r w:rsidRPr="00FD1132">
        <w:lastRenderedPageBreak/>
        <w:t>In the opinion of the evaluator:</w:t>
      </w:r>
    </w:p>
    <w:p w:rsidR="00BB51C4" w:rsidRPr="001701E1" w:rsidRDefault="00BB51C4" w:rsidP="001701E1">
      <w:pPr>
        <w:pStyle w:val="ListBullet"/>
      </w:pPr>
      <w:r w:rsidRPr="001701E1">
        <w:t xml:space="preserve">SOF / LDV FDC once daily for 8 weeks in treatment naïve subjects with chronic GT1-HCV without cirrhosis </w:t>
      </w:r>
    </w:p>
    <w:p w:rsidR="00BB51C4" w:rsidRPr="001701E1" w:rsidRDefault="00BB51C4" w:rsidP="001701E1">
      <w:pPr>
        <w:pStyle w:val="ListBullet"/>
      </w:pPr>
      <w:r w:rsidRPr="001701E1">
        <w:t>SOF / LDV FDC once daily for 12 weeks in treatment naïve subjects with chronic GT1-HCV with cirrhosis</w:t>
      </w:r>
    </w:p>
    <w:p w:rsidR="00BB51C4" w:rsidRPr="001701E1" w:rsidRDefault="00BB51C4" w:rsidP="001701E1">
      <w:pPr>
        <w:pStyle w:val="ListBullet"/>
      </w:pPr>
      <w:r w:rsidRPr="001701E1">
        <w:t>SOF / LDV FDC once daily for 24 weeks in treatment experienced subjects with chronic GT1-HCV, with or without cirrhosis</w:t>
      </w:r>
    </w:p>
    <w:p w:rsidR="00BB51C4" w:rsidRDefault="00BB51C4" w:rsidP="001701E1">
      <w:pPr>
        <w:pStyle w:val="ListBullet"/>
      </w:pPr>
      <w:r w:rsidRPr="001701E1">
        <w:t>RBV does not offer additional benefit as add-on therapy and may decrease Quality of Life</w:t>
      </w:r>
    </w:p>
    <w:p w:rsidR="001701E1" w:rsidRDefault="007D2E97" w:rsidP="007A3CB3">
      <w:pPr>
        <w:pStyle w:val="Heading3"/>
      </w:pPr>
      <w:bookmarkStart w:id="138" w:name="_Toc432073739"/>
      <w:r>
        <w:t xml:space="preserve">Second </w:t>
      </w:r>
      <w:r w:rsidR="007A3CB3">
        <w:t>r</w:t>
      </w:r>
      <w:r w:rsidR="000231E4" w:rsidRPr="000231E4">
        <w:t xml:space="preserve">ound </w:t>
      </w:r>
      <w:r w:rsidR="007A3CB3">
        <w:t>r</w:t>
      </w:r>
      <w:r w:rsidR="000231E4" w:rsidRPr="000231E4">
        <w:t xml:space="preserve">ecommendation </w:t>
      </w:r>
      <w:r w:rsidR="007A3CB3">
        <w:t>r</w:t>
      </w:r>
      <w:r w:rsidR="000231E4" w:rsidRPr="000231E4">
        <w:t xml:space="preserve">egarding </w:t>
      </w:r>
      <w:r w:rsidR="007A3CB3">
        <w:t>a</w:t>
      </w:r>
      <w:r w:rsidR="000231E4" w:rsidRPr="000231E4">
        <w:t>uthorisation</w:t>
      </w:r>
      <w:bookmarkEnd w:id="138"/>
    </w:p>
    <w:p w:rsidR="007D2E97" w:rsidRPr="007D2E97" w:rsidRDefault="007D2E97" w:rsidP="007D2E97">
      <w:r w:rsidRPr="007D2E97">
        <w:t xml:space="preserve">The </w:t>
      </w:r>
      <w:r>
        <w:t>e</w:t>
      </w:r>
      <w:r w:rsidRPr="007D2E97">
        <w:t xml:space="preserve">valuator has no objection to the approval of </w:t>
      </w:r>
      <w:proofErr w:type="spellStart"/>
      <w:r w:rsidRPr="00BB51C4">
        <w:t>H</w:t>
      </w:r>
      <w:r>
        <w:t>arvoni</w:t>
      </w:r>
      <w:proofErr w:type="spellEnd"/>
      <w:r>
        <w:t xml:space="preserve"> (90 mg LDV/</w:t>
      </w:r>
      <w:r w:rsidRPr="00BB51C4">
        <w:t xml:space="preserve">400 mg </w:t>
      </w:r>
      <w:r>
        <w:t>SOF</w:t>
      </w:r>
      <w:r w:rsidRPr="00BB51C4">
        <w:t>)</w:t>
      </w:r>
      <w:r w:rsidR="009E1597">
        <w:t xml:space="preserve"> </w:t>
      </w:r>
      <w:r w:rsidRPr="007D2E97">
        <w:t>FDC tablets for the indication of:</w:t>
      </w:r>
    </w:p>
    <w:p w:rsidR="007D2E97" w:rsidRPr="007D2E97" w:rsidRDefault="007D2E97" w:rsidP="007D2E97">
      <w:pPr>
        <w:ind w:left="720"/>
        <w:rPr>
          <w:i/>
        </w:rPr>
      </w:pPr>
      <w:proofErr w:type="spellStart"/>
      <w:r w:rsidRPr="007D2E97">
        <w:rPr>
          <w:i/>
        </w:rPr>
        <w:t>H</w:t>
      </w:r>
      <w:r w:rsidR="009E1597">
        <w:rPr>
          <w:i/>
        </w:rPr>
        <w:t>arvoni</w:t>
      </w:r>
      <w:proofErr w:type="spellEnd"/>
      <w:r w:rsidRPr="007D2E97">
        <w:rPr>
          <w:i/>
        </w:rPr>
        <w:t xml:space="preserve"> is indicated for the treatment of chronic hepatitis C (CHC) genotype 1 infection in adults.</w:t>
      </w:r>
    </w:p>
    <w:p w:rsidR="007D2E97" w:rsidRPr="007D2E97" w:rsidRDefault="007D2E97" w:rsidP="007D2E97">
      <w:r w:rsidRPr="007D2E97">
        <w:t>Consideration should be given to amending the dosing recommendations in line w</w:t>
      </w:r>
      <w:r>
        <w:t>ith the comments.</w:t>
      </w:r>
    </w:p>
    <w:p w:rsidR="008E7846" w:rsidRPr="00E41208" w:rsidRDefault="008E7846" w:rsidP="00546154">
      <w:pPr>
        <w:pStyle w:val="Heading2"/>
      </w:pPr>
      <w:bookmarkStart w:id="139" w:name="_Toc432073740"/>
      <w:r w:rsidRPr="00E41208">
        <w:t xml:space="preserve">V. </w:t>
      </w:r>
      <w:proofErr w:type="spellStart"/>
      <w:r w:rsidRPr="00E41208">
        <w:t>Pharmacovigilance</w:t>
      </w:r>
      <w:proofErr w:type="spellEnd"/>
      <w:r w:rsidRPr="00E41208">
        <w:t xml:space="preserve"> </w:t>
      </w:r>
      <w:r>
        <w:t>f</w:t>
      </w:r>
      <w:r w:rsidRPr="00E41208">
        <w:t>indings</w:t>
      </w:r>
      <w:bookmarkEnd w:id="96"/>
      <w:bookmarkEnd w:id="97"/>
      <w:bookmarkEnd w:id="139"/>
    </w:p>
    <w:p w:rsidR="008E7846" w:rsidRDefault="00386150" w:rsidP="008E7846">
      <w:pPr>
        <w:pStyle w:val="Heading3"/>
        <w:rPr>
          <w:lang w:eastAsia="en-AU"/>
        </w:rPr>
      </w:pPr>
      <w:bookmarkStart w:id="140" w:name="_Toc247691526"/>
      <w:bookmarkStart w:id="141" w:name="_Toc314842509"/>
      <w:bookmarkStart w:id="142" w:name="_Toc432073741"/>
      <w:r>
        <w:rPr>
          <w:lang w:eastAsia="en-AU"/>
        </w:rPr>
        <w:t>Risk m</w:t>
      </w:r>
      <w:r w:rsidR="008E7846">
        <w:rPr>
          <w:lang w:eastAsia="en-AU"/>
        </w:rPr>
        <w:t xml:space="preserve">anagement </w:t>
      </w:r>
      <w:r>
        <w:rPr>
          <w:lang w:eastAsia="en-AU"/>
        </w:rPr>
        <w:t>p</w:t>
      </w:r>
      <w:r w:rsidR="008E7846">
        <w:rPr>
          <w:lang w:eastAsia="en-AU"/>
        </w:rPr>
        <w:t>lan</w:t>
      </w:r>
      <w:bookmarkEnd w:id="140"/>
      <w:bookmarkEnd w:id="141"/>
      <w:bookmarkEnd w:id="142"/>
    </w:p>
    <w:p w:rsidR="008E7846" w:rsidRDefault="008E7846" w:rsidP="008E7846">
      <w:pPr>
        <w:rPr>
          <w:lang w:eastAsia="en-AU"/>
        </w:rPr>
      </w:pPr>
      <w:r>
        <w:rPr>
          <w:lang w:eastAsia="en-AU"/>
        </w:rPr>
        <w:t>The sponsor submitted a</w:t>
      </w:r>
      <w:r w:rsidR="007F7419">
        <w:rPr>
          <w:lang w:eastAsia="en-AU"/>
        </w:rPr>
        <w:t>n</w:t>
      </w:r>
      <w:r>
        <w:rPr>
          <w:lang w:eastAsia="en-AU"/>
        </w:rPr>
        <w:t xml:space="preserve"> </w:t>
      </w:r>
      <w:r w:rsidR="007F7419">
        <w:rPr>
          <w:lang w:eastAsia="en-AU"/>
        </w:rPr>
        <w:t xml:space="preserve">Australian </w:t>
      </w:r>
      <w:r w:rsidR="006B7BE8">
        <w:rPr>
          <w:lang w:eastAsia="en-AU"/>
        </w:rPr>
        <w:t>RMP</w:t>
      </w:r>
      <w:r w:rsidR="006F25B8">
        <w:rPr>
          <w:lang w:eastAsia="en-AU"/>
        </w:rPr>
        <w:t xml:space="preserve"> </w:t>
      </w:r>
      <w:r w:rsidR="006F25B8" w:rsidRPr="006F25B8">
        <w:rPr>
          <w:lang w:eastAsia="en-AU"/>
        </w:rPr>
        <w:t>(</w:t>
      </w:r>
      <w:r w:rsidR="007F7419">
        <w:rPr>
          <w:lang w:eastAsia="en-AU"/>
        </w:rPr>
        <w:t xml:space="preserve">AU-RMP Version 0.1, dated 1 April 2014, </w:t>
      </w:r>
      <w:r w:rsidR="007F7419" w:rsidRPr="007F7419">
        <w:rPr>
          <w:lang w:eastAsia="en-AU"/>
        </w:rPr>
        <w:t>and the EU-RMP Versio</w:t>
      </w:r>
      <w:r w:rsidR="007F7419">
        <w:rPr>
          <w:lang w:eastAsia="en-AU"/>
        </w:rPr>
        <w:t>n 0.2, dated 19 August 2014</w:t>
      </w:r>
      <w:r w:rsidR="006F25B8" w:rsidRPr="006F25B8">
        <w:rPr>
          <w:lang w:eastAsia="en-AU"/>
        </w:rPr>
        <w:t>)</w:t>
      </w:r>
      <w:r w:rsidRPr="006F25B8">
        <w:t xml:space="preserve"> </w:t>
      </w:r>
      <w:r w:rsidR="007F7419">
        <w:rPr>
          <w:lang w:eastAsia="en-AU"/>
        </w:rPr>
        <w:t>which was reviewed.</w:t>
      </w:r>
    </w:p>
    <w:p w:rsidR="008E7846" w:rsidRDefault="003A7F6C" w:rsidP="008E7846">
      <w:pPr>
        <w:pStyle w:val="Heading4"/>
        <w:rPr>
          <w:lang w:eastAsia="en-AU"/>
        </w:rPr>
      </w:pPr>
      <w:r>
        <w:rPr>
          <w:lang w:eastAsia="en-AU"/>
        </w:rPr>
        <w:t>Safety s</w:t>
      </w:r>
      <w:r w:rsidR="008E7846">
        <w:rPr>
          <w:lang w:eastAsia="en-AU"/>
        </w:rPr>
        <w:t>pecification</w:t>
      </w:r>
    </w:p>
    <w:p w:rsidR="0030047E" w:rsidRDefault="0030047E" w:rsidP="0030047E">
      <w:pPr>
        <w:rPr>
          <w:lang w:eastAsia="en-AU"/>
        </w:rPr>
      </w:pPr>
      <w:r>
        <w:rPr>
          <w:lang w:eastAsia="en-AU"/>
        </w:rPr>
        <w:t>The sponsor provided a summary of ongoing safety conce</w:t>
      </w:r>
      <w:r w:rsidR="00FE6EC7">
        <w:rPr>
          <w:lang w:eastAsia="en-AU"/>
        </w:rPr>
        <w:t xml:space="preserve">rns which are shown at Table </w:t>
      </w:r>
      <w:r w:rsidR="00C53FA4">
        <w:rPr>
          <w:lang w:eastAsia="en-AU"/>
        </w:rPr>
        <w:t>7</w:t>
      </w:r>
      <w:r w:rsidR="00FE6EC7">
        <w:rPr>
          <w:lang w:eastAsia="en-AU"/>
        </w:rPr>
        <w:t>.</w:t>
      </w:r>
    </w:p>
    <w:p w:rsidR="0030047E" w:rsidRDefault="0030047E" w:rsidP="0030047E">
      <w:pPr>
        <w:pStyle w:val="TableTitle"/>
      </w:pPr>
      <w:proofErr w:type="gramStart"/>
      <w:r>
        <w:t xml:space="preserve">Table </w:t>
      </w:r>
      <w:r w:rsidR="005549F2">
        <w:t>7</w:t>
      </w:r>
      <w:r>
        <w:t>:</w:t>
      </w:r>
      <w:r w:rsidRPr="004C5C28">
        <w:t xml:space="preserve"> </w:t>
      </w:r>
      <w:r>
        <w:t>Ongoing safety concerns.</w:t>
      </w:r>
      <w:proofErr w:type="gramEnd"/>
    </w:p>
    <w:p w:rsidR="0030047E" w:rsidRDefault="00F07653" w:rsidP="0030047E">
      <w:pPr>
        <w:rPr>
          <w:lang w:eastAsia="en-AU"/>
        </w:rPr>
      </w:pPr>
      <w:r>
        <w:rPr>
          <w:noProof/>
          <w:lang w:eastAsia="en-AU"/>
        </w:rPr>
        <w:drawing>
          <wp:inline distT="0" distB="0" distL="0" distR="0" wp14:anchorId="3D10E0E5" wp14:editId="4B908376">
            <wp:extent cx="4650538" cy="2027655"/>
            <wp:effectExtent l="0" t="0" r="0" b="0"/>
            <wp:docPr id="5" name="Picture 5" descr="Table 7: Ongoing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648632" cy="2026824"/>
                    </a:xfrm>
                    <a:prstGeom prst="rect">
                      <a:avLst/>
                    </a:prstGeom>
                  </pic:spPr>
                </pic:pic>
              </a:graphicData>
            </a:graphic>
          </wp:inline>
        </w:drawing>
      </w:r>
    </w:p>
    <w:p w:rsidR="00CC69C6" w:rsidRPr="00CC69C6" w:rsidRDefault="00CC69C6" w:rsidP="00CC69C6">
      <w:r w:rsidRPr="00CC69C6">
        <w:t xml:space="preserve">In contrast, the EU-RMP provides the following summary of the </w:t>
      </w:r>
      <w:r w:rsidR="008C4C3E">
        <w:rPr>
          <w:lang w:eastAsia="en-AU"/>
        </w:rPr>
        <w:t>ongoing safety concerns</w:t>
      </w:r>
      <w:r w:rsidR="00411A89">
        <w:t xml:space="preserve"> as shown in Table 8.</w:t>
      </w:r>
    </w:p>
    <w:p w:rsidR="005549F2" w:rsidRDefault="005549F2" w:rsidP="005549F2">
      <w:pPr>
        <w:pStyle w:val="TableTitle"/>
      </w:pPr>
      <w:r>
        <w:lastRenderedPageBreak/>
        <w:t>Table 8:</w:t>
      </w:r>
      <w:r w:rsidRPr="004C5C28">
        <w:t xml:space="preserve"> </w:t>
      </w:r>
      <w:r>
        <w:t>Ongoing safety concerns (EU-RMP)</w:t>
      </w:r>
      <w:r w:rsidRPr="00D564C1">
        <w:t>.</w:t>
      </w:r>
    </w:p>
    <w:p w:rsidR="005549F2" w:rsidRDefault="00D879E2" w:rsidP="00CC69C6">
      <w:r>
        <w:rPr>
          <w:noProof/>
          <w:lang w:eastAsia="en-AU"/>
        </w:rPr>
        <w:drawing>
          <wp:inline distT="0" distB="0" distL="0" distR="0" wp14:anchorId="021030A5" wp14:editId="4226D733">
            <wp:extent cx="4616879" cy="2165395"/>
            <wp:effectExtent l="0" t="0" r="0" b="6350"/>
            <wp:docPr id="7" name="Picture 7" descr="Table 8: Ongoing safety concerns (EU-R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614988" cy="2164508"/>
                    </a:xfrm>
                    <a:prstGeom prst="rect">
                      <a:avLst/>
                    </a:prstGeom>
                  </pic:spPr>
                </pic:pic>
              </a:graphicData>
            </a:graphic>
          </wp:inline>
        </w:drawing>
      </w:r>
    </w:p>
    <w:p w:rsidR="0070554F" w:rsidRPr="0070554F" w:rsidRDefault="0070554F" w:rsidP="0070554F">
      <w:r w:rsidRPr="0070554F">
        <w:t>Furthermore the</w:t>
      </w:r>
      <w:r w:rsidR="00781718">
        <w:t xml:space="preserve"> RMP Advice – Post Round 2 for</w:t>
      </w:r>
      <w:r w:rsidRPr="0070554F">
        <w:t xml:space="preserve"> </w:t>
      </w:r>
      <w:r w:rsidR="0063513E">
        <w:t>SOF</w:t>
      </w:r>
      <w:r w:rsidRPr="0070554F">
        <w:t xml:space="preserve"> 400 mg tablet </w:t>
      </w:r>
      <w:r w:rsidR="00E825D9">
        <w:t>(</w:t>
      </w:r>
      <w:r w:rsidRPr="0070554F">
        <w:t>27 June 2014</w:t>
      </w:r>
      <w:r w:rsidR="00E825D9">
        <w:t>)</w:t>
      </w:r>
      <w:r w:rsidRPr="0070554F">
        <w:t xml:space="preserve"> states:</w:t>
      </w:r>
    </w:p>
    <w:p w:rsidR="0070554F" w:rsidRPr="0070554F" w:rsidRDefault="0070554F" w:rsidP="0070554F">
      <w:pPr>
        <w:ind w:left="720"/>
        <w:rPr>
          <w:i/>
        </w:rPr>
      </w:pPr>
      <w:r w:rsidRPr="0070554F">
        <w:rPr>
          <w:i/>
        </w:rPr>
        <w:t xml:space="preserve">The following should be added as </w:t>
      </w:r>
      <w:r>
        <w:rPr>
          <w:i/>
        </w:rPr>
        <w:t>o</w:t>
      </w:r>
      <w:r w:rsidRPr="0070554F">
        <w:rPr>
          <w:i/>
        </w:rPr>
        <w:t xml:space="preserve">ngoing </w:t>
      </w:r>
      <w:r>
        <w:rPr>
          <w:i/>
        </w:rPr>
        <w:t>s</w:t>
      </w:r>
      <w:r w:rsidRPr="0070554F">
        <w:rPr>
          <w:i/>
        </w:rPr>
        <w:t xml:space="preserve">afety </w:t>
      </w:r>
      <w:r>
        <w:rPr>
          <w:i/>
        </w:rPr>
        <w:t>c</w:t>
      </w:r>
      <w:r w:rsidRPr="0070554F">
        <w:rPr>
          <w:i/>
        </w:rPr>
        <w:t>oncerns:</w:t>
      </w:r>
    </w:p>
    <w:p w:rsidR="0070554F" w:rsidRPr="0070554F" w:rsidRDefault="0070554F" w:rsidP="0070554F">
      <w:pPr>
        <w:ind w:left="720"/>
        <w:rPr>
          <w:i/>
          <w:u w:val="single"/>
        </w:rPr>
      </w:pPr>
      <w:r w:rsidRPr="0070554F">
        <w:rPr>
          <w:i/>
          <w:u w:val="single"/>
        </w:rPr>
        <w:t>Important Potential Risk</w:t>
      </w:r>
    </w:p>
    <w:p w:rsidR="0070554F" w:rsidRPr="0070554F" w:rsidRDefault="0070554F" w:rsidP="0070554F">
      <w:pPr>
        <w:pStyle w:val="ListBullet3"/>
        <w:rPr>
          <w:i/>
        </w:rPr>
      </w:pPr>
      <w:r w:rsidRPr="0070554F">
        <w:rPr>
          <w:i/>
        </w:rPr>
        <w:t>Drug resistance (including cross-resistance); and</w:t>
      </w:r>
    </w:p>
    <w:p w:rsidR="0070554F" w:rsidRPr="0070554F" w:rsidRDefault="0070554F" w:rsidP="0070554F">
      <w:pPr>
        <w:ind w:left="720"/>
        <w:rPr>
          <w:i/>
          <w:u w:val="single"/>
        </w:rPr>
      </w:pPr>
      <w:r w:rsidRPr="0070554F">
        <w:rPr>
          <w:i/>
          <w:u w:val="single"/>
        </w:rPr>
        <w:t>Missing Information</w:t>
      </w:r>
    </w:p>
    <w:p w:rsidR="0070554F" w:rsidRPr="0070554F" w:rsidRDefault="0070554F" w:rsidP="0070554F">
      <w:pPr>
        <w:pStyle w:val="ListBullet3"/>
        <w:rPr>
          <w:i/>
        </w:rPr>
      </w:pPr>
      <w:r w:rsidRPr="0070554F">
        <w:rPr>
          <w:i/>
        </w:rPr>
        <w:t>Treatment experienced patients (antiviral medicines) (as indicated by the sponsor in the revised PI);</w:t>
      </w:r>
    </w:p>
    <w:p w:rsidR="0070554F" w:rsidRPr="0070554F" w:rsidRDefault="0070554F" w:rsidP="0070554F">
      <w:pPr>
        <w:pStyle w:val="ListBullet3"/>
        <w:rPr>
          <w:i/>
        </w:rPr>
      </w:pPr>
      <w:r w:rsidRPr="0070554F">
        <w:rPr>
          <w:i/>
        </w:rPr>
        <w:t>History of solid organ transplantation (post-liver transplant patients indicated by the sponsor in the revised PI);</w:t>
      </w:r>
    </w:p>
    <w:p w:rsidR="0070554F" w:rsidRPr="0070554F" w:rsidRDefault="0070554F" w:rsidP="0070554F">
      <w:pPr>
        <w:pStyle w:val="ListBullet3"/>
        <w:rPr>
          <w:i/>
        </w:rPr>
      </w:pPr>
      <w:r w:rsidRPr="0070554F">
        <w:rPr>
          <w:i/>
        </w:rPr>
        <w:t>Long-term safety (as indicated by the sponsor in the revised PI);</w:t>
      </w:r>
    </w:p>
    <w:p w:rsidR="0070554F" w:rsidRPr="0070554F" w:rsidRDefault="0070554F" w:rsidP="0070554F">
      <w:pPr>
        <w:pStyle w:val="ListBullet3"/>
        <w:rPr>
          <w:i/>
        </w:rPr>
      </w:pPr>
      <w:r w:rsidRPr="0070554F">
        <w:rPr>
          <w:i/>
        </w:rPr>
        <w:t>Patients with portal hypertension;</w:t>
      </w:r>
    </w:p>
    <w:p w:rsidR="0070554F" w:rsidRPr="0070554F" w:rsidRDefault="0070554F" w:rsidP="0070554F">
      <w:pPr>
        <w:pStyle w:val="ListBullet3"/>
        <w:rPr>
          <w:i/>
        </w:rPr>
      </w:pPr>
      <w:r w:rsidRPr="0070554F">
        <w:rPr>
          <w:i/>
        </w:rPr>
        <w:t>Patients awaiting liver transplantation;</w:t>
      </w:r>
    </w:p>
    <w:p w:rsidR="0070554F" w:rsidRPr="0070554F" w:rsidRDefault="0070554F" w:rsidP="0070554F">
      <w:pPr>
        <w:pStyle w:val="ListBullet3"/>
        <w:rPr>
          <w:i/>
        </w:rPr>
      </w:pPr>
      <w:r w:rsidRPr="0070554F">
        <w:rPr>
          <w:i/>
        </w:rPr>
        <w:t>Patients with untreated HIV co-infection (as indicated by the sponsor in the revised PI);</w:t>
      </w:r>
    </w:p>
    <w:p w:rsidR="0070554F" w:rsidRPr="0070554F" w:rsidRDefault="0070554F" w:rsidP="0070554F">
      <w:pPr>
        <w:pStyle w:val="ListBullet3"/>
        <w:rPr>
          <w:i/>
        </w:rPr>
      </w:pPr>
      <w:r w:rsidRPr="0070554F">
        <w:rPr>
          <w:i/>
        </w:rPr>
        <w:t>Patients with HBV co-infection (as indicated by the sponsor in the revised PI); and</w:t>
      </w:r>
    </w:p>
    <w:p w:rsidR="0070554F" w:rsidRPr="0070554F" w:rsidRDefault="0070554F" w:rsidP="0070554F">
      <w:pPr>
        <w:pStyle w:val="ListBullet3"/>
        <w:rPr>
          <w:i/>
        </w:rPr>
      </w:pPr>
      <w:r w:rsidRPr="0070554F">
        <w:rPr>
          <w:i/>
        </w:rPr>
        <w:t>Effectiveness of hormonal contraception.</w:t>
      </w:r>
    </w:p>
    <w:p w:rsidR="0070554F" w:rsidRPr="0070554F" w:rsidRDefault="0070554F" w:rsidP="0070554F">
      <w:pPr>
        <w:ind w:left="720"/>
        <w:rPr>
          <w:i/>
        </w:rPr>
      </w:pPr>
      <w:r w:rsidRPr="0070554F">
        <w:rPr>
          <w:i/>
        </w:rPr>
        <w:t xml:space="preserve">It is noted that the sponsor has agreed to add the following to the list </w:t>
      </w:r>
      <w:r w:rsidR="00090533">
        <w:rPr>
          <w:i/>
        </w:rPr>
        <w:t>o</w:t>
      </w:r>
      <w:r w:rsidRPr="0070554F">
        <w:rPr>
          <w:i/>
        </w:rPr>
        <w:t xml:space="preserve">ngoing </w:t>
      </w:r>
      <w:r w:rsidR="00090533">
        <w:rPr>
          <w:i/>
        </w:rPr>
        <w:t>s</w:t>
      </w:r>
      <w:r w:rsidRPr="0070554F">
        <w:rPr>
          <w:i/>
        </w:rPr>
        <w:t xml:space="preserve">afety </w:t>
      </w:r>
      <w:r w:rsidR="00090533">
        <w:rPr>
          <w:i/>
        </w:rPr>
        <w:t>c</w:t>
      </w:r>
      <w:r w:rsidRPr="0070554F">
        <w:rPr>
          <w:i/>
        </w:rPr>
        <w:t>oncerns:</w:t>
      </w:r>
    </w:p>
    <w:p w:rsidR="0070554F" w:rsidRPr="0070554F" w:rsidRDefault="0070554F" w:rsidP="0070554F">
      <w:pPr>
        <w:pStyle w:val="ListBullet3"/>
        <w:rPr>
          <w:i/>
        </w:rPr>
      </w:pPr>
      <w:r w:rsidRPr="0070554F">
        <w:rPr>
          <w:i/>
        </w:rPr>
        <w:t>Patients with genotypes 5 or 6 HCV infections;</w:t>
      </w:r>
    </w:p>
    <w:p w:rsidR="0070554F" w:rsidRPr="0070554F" w:rsidRDefault="0070554F" w:rsidP="0070554F">
      <w:pPr>
        <w:pStyle w:val="ListBullet3"/>
        <w:rPr>
          <w:i/>
        </w:rPr>
      </w:pPr>
      <w:r w:rsidRPr="0070554F">
        <w:rPr>
          <w:i/>
        </w:rPr>
        <w:t>Asian patients;</w:t>
      </w:r>
    </w:p>
    <w:p w:rsidR="0070554F" w:rsidRPr="0070554F" w:rsidRDefault="0070554F" w:rsidP="0070554F">
      <w:pPr>
        <w:pStyle w:val="ListBullet3"/>
        <w:rPr>
          <w:i/>
        </w:rPr>
      </w:pPr>
      <w:r w:rsidRPr="0070554F">
        <w:rPr>
          <w:i/>
        </w:rPr>
        <w:t>Patients over 65; and</w:t>
      </w:r>
    </w:p>
    <w:p w:rsidR="0070554F" w:rsidRPr="0070554F" w:rsidRDefault="0070554F" w:rsidP="0070554F">
      <w:pPr>
        <w:pStyle w:val="ListBullet3"/>
        <w:rPr>
          <w:i/>
        </w:rPr>
      </w:pPr>
      <w:r w:rsidRPr="0070554F">
        <w:rPr>
          <w:i/>
        </w:rPr>
        <w:t xml:space="preserve">Use with agents other than ribavirin and </w:t>
      </w:r>
      <w:proofErr w:type="spellStart"/>
      <w:r w:rsidRPr="0070554F">
        <w:rPr>
          <w:i/>
        </w:rPr>
        <w:t>peginterferon</w:t>
      </w:r>
      <w:proofErr w:type="spellEnd"/>
      <w:r w:rsidRPr="0070554F">
        <w:rPr>
          <w:i/>
        </w:rPr>
        <w:t xml:space="preserve"> </w:t>
      </w:r>
      <w:proofErr w:type="spellStart"/>
      <w:r w:rsidRPr="0070554F">
        <w:rPr>
          <w:i/>
        </w:rPr>
        <w:t>alfa</w:t>
      </w:r>
      <w:proofErr w:type="spellEnd"/>
      <w:r w:rsidRPr="0070554F">
        <w:rPr>
          <w:i/>
        </w:rPr>
        <w:t>.</w:t>
      </w:r>
    </w:p>
    <w:p w:rsidR="008E7846" w:rsidRDefault="008E7846" w:rsidP="008E7846">
      <w:pPr>
        <w:pStyle w:val="Heading4"/>
        <w:rPr>
          <w:lang w:eastAsia="en-AU"/>
        </w:rPr>
      </w:pPr>
      <w:proofErr w:type="spellStart"/>
      <w:r>
        <w:rPr>
          <w:lang w:eastAsia="en-AU"/>
        </w:rPr>
        <w:t>Pharmacovigilance</w:t>
      </w:r>
      <w:proofErr w:type="spellEnd"/>
      <w:r>
        <w:rPr>
          <w:lang w:eastAsia="en-AU"/>
        </w:rPr>
        <w:t xml:space="preserve"> </w:t>
      </w:r>
      <w:r w:rsidR="003A7F6C">
        <w:rPr>
          <w:lang w:eastAsia="en-AU"/>
        </w:rPr>
        <w:t>p</w:t>
      </w:r>
      <w:r>
        <w:rPr>
          <w:lang w:eastAsia="en-AU"/>
        </w:rPr>
        <w:t>lan</w:t>
      </w:r>
    </w:p>
    <w:p w:rsidR="000E11DA" w:rsidRPr="000E11DA" w:rsidRDefault="000E11DA" w:rsidP="000E11DA">
      <w:r w:rsidRPr="000E11DA">
        <w:t xml:space="preserve">The sponsor proposes routine </w:t>
      </w:r>
      <w:proofErr w:type="spellStart"/>
      <w:r w:rsidRPr="000E11DA">
        <w:t>pharmacovigilance</w:t>
      </w:r>
      <w:proofErr w:type="spellEnd"/>
      <w:r w:rsidRPr="000E11DA">
        <w:t xml:space="preserve"> activities to monitor all the specified ongoing safety concerns.</w:t>
      </w:r>
      <w:r w:rsidR="00B90AF7">
        <w:t xml:space="preserve"> </w:t>
      </w:r>
      <w:r w:rsidRPr="000E11DA">
        <w:t xml:space="preserve">However, there does not appear to be any description of the sponsor’s routine </w:t>
      </w:r>
      <w:proofErr w:type="spellStart"/>
      <w:r w:rsidRPr="000E11DA">
        <w:t>pharmacovigilance</w:t>
      </w:r>
      <w:proofErr w:type="spellEnd"/>
      <w:r w:rsidRPr="000E11DA">
        <w:t xml:space="preserve"> systems in Australia.</w:t>
      </w:r>
    </w:p>
    <w:p w:rsidR="000E11DA" w:rsidRPr="000E11DA" w:rsidRDefault="000E11DA" w:rsidP="000E11DA">
      <w:r w:rsidRPr="000E11DA">
        <w:t xml:space="preserve">The AU-RMP states that the following additional </w:t>
      </w:r>
      <w:proofErr w:type="spellStart"/>
      <w:r w:rsidRPr="000E11DA">
        <w:t>pharmacovigilance</w:t>
      </w:r>
      <w:proofErr w:type="spellEnd"/>
      <w:r w:rsidRPr="000E11DA">
        <w:t xml:space="preserve"> activities are proposed to further characterise the specified ongoing safety concerns in Australia:</w:t>
      </w:r>
    </w:p>
    <w:p w:rsidR="000E11DA" w:rsidRPr="000E11DA" w:rsidRDefault="00AC666A" w:rsidP="000E11DA">
      <w:pPr>
        <w:pStyle w:val="ListBullet"/>
      </w:pPr>
      <w:r w:rsidRPr="000E11DA">
        <w:lastRenderedPageBreak/>
        <w:t xml:space="preserve">For the important potential risk: ‘Drug-drug interaction with potent intestinal </w:t>
      </w:r>
      <w:proofErr w:type="spellStart"/>
      <w:r w:rsidRPr="000E11DA">
        <w:t>Pgp</w:t>
      </w:r>
      <w:proofErr w:type="spellEnd"/>
      <w:r w:rsidRPr="000E11DA">
        <w:t xml:space="preserve"> inducer</w:t>
      </w:r>
      <w:r>
        <w:t>s (SOF, LDV)’, a planned Phase I</w:t>
      </w:r>
      <w:r w:rsidRPr="000E11DA">
        <w:t xml:space="preserve"> study to evaluate the pharmacokinetic drug-drug interaction and safety of </w:t>
      </w:r>
      <w:r>
        <w:t>SOF</w:t>
      </w:r>
      <w:r w:rsidRPr="000E11DA">
        <w:t xml:space="preserve"> when co-administered with rifampicin is proposed (GS-US-334-01</w:t>
      </w:r>
      <w:r>
        <w:t>4</w:t>
      </w:r>
      <w:r w:rsidRPr="000E11DA">
        <w:t>4).</w:t>
      </w:r>
      <w:r>
        <w:t xml:space="preserve"> N</w:t>
      </w:r>
      <w:r w:rsidRPr="000E11DA">
        <w:t>o protocol is available for this study</w:t>
      </w:r>
      <w:r w:rsidR="000E11DA" w:rsidRPr="000E11DA">
        <w:t>.</w:t>
      </w:r>
    </w:p>
    <w:p w:rsidR="000E11DA" w:rsidRPr="000E11DA" w:rsidRDefault="000E11DA" w:rsidP="000E11DA">
      <w:pPr>
        <w:pStyle w:val="ListBullet"/>
      </w:pPr>
      <w:r w:rsidRPr="000E11DA">
        <w:t>For the important missing information: ‘Safety in children’, a planne</w:t>
      </w:r>
      <w:r w:rsidR="00ED5FE5">
        <w:t xml:space="preserve">d two </w:t>
      </w:r>
      <w:r w:rsidRPr="000E11DA">
        <w:t>part, open</w:t>
      </w:r>
      <w:r w:rsidR="00ED5FE5">
        <w:t xml:space="preserve"> </w:t>
      </w:r>
      <w:r w:rsidRPr="000E11DA">
        <w:t>label, single</w:t>
      </w:r>
      <w:r w:rsidR="00ED5FE5">
        <w:t xml:space="preserve"> </w:t>
      </w:r>
      <w:r w:rsidRPr="000E11DA">
        <w:t xml:space="preserve">arm study to investigate pharmacokinetics, </w:t>
      </w:r>
      <w:proofErr w:type="spellStart"/>
      <w:r w:rsidRPr="000E11DA">
        <w:t>biodistribution</w:t>
      </w:r>
      <w:proofErr w:type="spellEnd"/>
      <w:r w:rsidRPr="000E11DA">
        <w:t>, efficacy and safety of SOF/LDV for 12 weeks in adolescents and children with GT-1-6 chronic HCV infection is proposed (BP-US-337-0104).</w:t>
      </w:r>
      <w:r w:rsidR="00B90AF7">
        <w:t xml:space="preserve"> </w:t>
      </w:r>
      <w:r w:rsidR="00DD07A5">
        <w:t>N</w:t>
      </w:r>
      <w:r w:rsidRPr="000E11DA">
        <w:t xml:space="preserve">o protocol is available for this study, although </w:t>
      </w:r>
      <w:r w:rsidR="00F156F7">
        <w:t xml:space="preserve">the table </w:t>
      </w:r>
      <w:r w:rsidRPr="000E11DA">
        <w:t xml:space="preserve">‘Required Additional </w:t>
      </w:r>
      <w:proofErr w:type="spellStart"/>
      <w:r w:rsidRPr="000E11DA">
        <w:t>Pharmacovigilance</w:t>
      </w:r>
      <w:proofErr w:type="spellEnd"/>
      <w:r w:rsidRPr="000E11DA">
        <w:t xml:space="preserve"> Activities’ appears to indicate date of initiation to be November 2014.</w:t>
      </w:r>
      <w:r w:rsidR="00B90AF7">
        <w:t xml:space="preserve"> </w:t>
      </w:r>
      <w:r w:rsidR="00FD1474">
        <w:t xml:space="preserve">Furthermore a planned 5 </w:t>
      </w:r>
      <w:r w:rsidRPr="000E11DA">
        <w:t>year follow-up study of paediatric patients to evaluate growth, development, and viral relapse in adolescents and children who recei</w:t>
      </w:r>
      <w:r w:rsidR="00E87E6F">
        <w:t>ved SOF/LDV in Study BP-US-337-</w:t>
      </w:r>
      <w:r w:rsidRPr="000E11DA">
        <w:t>0</w:t>
      </w:r>
      <w:r w:rsidR="00E87E6F">
        <w:t>104 is proposed</w:t>
      </w:r>
      <w:r w:rsidRPr="000E11DA">
        <w:t>.</w:t>
      </w:r>
      <w:r w:rsidR="00B90AF7">
        <w:t xml:space="preserve"> </w:t>
      </w:r>
      <w:r w:rsidR="00566FE9">
        <w:t>N</w:t>
      </w:r>
      <w:r w:rsidRPr="000E11DA">
        <w:t>o protocol is available for this study.</w:t>
      </w:r>
    </w:p>
    <w:p w:rsidR="000E11DA" w:rsidRPr="000E11DA" w:rsidRDefault="000E11DA" w:rsidP="000E11DA">
      <w:pPr>
        <w:pStyle w:val="ListBullet"/>
      </w:pPr>
      <w:r w:rsidRPr="000E11DA">
        <w:t xml:space="preserve">For the important missing information: ‘Safety in patients with HCV/HIV co-infection’, ongoing clinical studies are being conducted to assess the safety and efficacy of SOF/LDV in patients with HCV/HIV co-infection (GS-US- 337-0115, CO-US-337-0116, </w:t>
      </w:r>
      <w:proofErr w:type="gramStart"/>
      <w:r w:rsidRPr="000E11DA">
        <w:t>CO</w:t>
      </w:r>
      <w:proofErr w:type="gramEnd"/>
      <w:r w:rsidRPr="000E11DA">
        <w:t>-FR-337-1321).</w:t>
      </w:r>
      <w:r w:rsidR="00B90AF7">
        <w:t xml:space="preserve"> </w:t>
      </w:r>
      <w:r w:rsidRPr="000E11DA">
        <w:t>Protocols for these studies have been provided.</w:t>
      </w:r>
    </w:p>
    <w:p w:rsidR="000E11DA" w:rsidRPr="000E11DA" w:rsidRDefault="000E11DA" w:rsidP="000E11DA">
      <w:pPr>
        <w:pStyle w:val="ListBullet"/>
      </w:pPr>
      <w:r w:rsidRPr="000E11DA">
        <w:t>For the important missing information: ‘Safety in patients with advanced liver disease’ &amp; ‘Safety in patients who are post liver transplantation’, ongoing clinical studies are being conducted to assess the safety and efficacy of SOF/LDV+RBV in patients with advanced liver disease and in patients who are post liver transplantation (GS-US-337-0123, GS-US-337-0124).</w:t>
      </w:r>
      <w:r w:rsidR="00B90AF7">
        <w:t xml:space="preserve"> </w:t>
      </w:r>
      <w:r w:rsidRPr="000E11DA">
        <w:t>Protocols for these studies have been provided.</w:t>
      </w:r>
    </w:p>
    <w:p w:rsidR="000E11DA" w:rsidRPr="000E11DA" w:rsidRDefault="000E11DA" w:rsidP="000E11DA">
      <w:pPr>
        <w:pStyle w:val="ListBullet"/>
      </w:pPr>
      <w:r w:rsidRPr="000E11DA">
        <w:t>For the important missing information: ‘Safety in patients with severe renal impairment or end-stage renal disease’, a clinical study has been initiated to assess the safety, efficacy and pharmacokinetics of SOF+RBV in subjects with chronic genotype 1 or 3 HCV infection and severe renal impairment (GS-US-334-0154).</w:t>
      </w:r>
      <w:r w:rsidR="00B90AF7">
        <w:t xml:space="preserve"> </w:t>
      </w:r>
      <w:r w:rsidRPr="000E11DA">
        <w:t>A protocol for this study has been provided.</w:t>
      </w:r>
    </w:p>
    <w:p w:rsidR="000E11DA" w:rsidRPr="000E11DA" w:rsidRDefault="000E11DA" w:rsidP="000E11DA">
      <w:r w:rsidRPr="000E11DA">
        <w:t>In contrast</w:t>
      </w:r>
      <w:r w:rsidR="00020A8B">
        <w:t>,</w:t>
      </w:r>
      <w:r w:rsidRPr="000E11DA">
        <w:t xml:space="preserve"> the EU-RMP states that the following additional </w:t>
      </w:r>
      <w:proofErr w:type="spellStart"/>
      <w:r w:rsidRPr="000E11DA">
        <w:t>pharmacovigilance</w:t>
      </w:r>
      <w:proofErr w:type="spellEnd"/>
      <w:r w:rsidRPr="000E11DA">
        <w:t xml:space="preserve"> activities are proposed to further characterise the specified ongoing safety concerns in Europe:</w:t>
      </w:r>
    </w:p>
    <w:p w:rsidR="000E11DA" w:rsidRPr="000E11DA" w:rsidRDefault="000E11DA" w:rsidP="000E11DA">
      <w:pPr>
        <w:pStyle w:val="ListBullet"/>
      </w:pPr>
      <w:r w:rsidRPr="000E11DA">
        <w:t>For the important potential risk: ‘Drug-drug interaction with TDF + PK enhancer (LDV)’ and the important missing information: ‘Safety in patients with HCV/HIV co-infection’, a planned prospective observational drug utilisation study to characterise the frequency of post-marketing co-use of LDV/SOF+TDF+PK enhancer in adult HCV/HIV co-infected patients and the rates of renal ADRs is proposed.</w:t>
      </w:r>
      <w:r w:rsidR="00B90AF7">
        <w:t xml:space="preserve"> </w:t>
      </w:r>
      <w:r w:rsidRPr="000E11DA">
        <w:t>Annex 6 states that no protocol is available for this study.</w:t>
      </w:r>
    </w:p>
    <w:p w:rsidR="000E11DA" w:rsidRPr="000E11DA" w:rsidRDefault="000E11DA" w:rsidP="000E11DA">
      <w:pPr>
        <w:pStyle w:val="ListBullet"/>
      </w:pPr>
      <w:r w:rsidRPr="000E11DA">
        <w:t>For the important missing information: ‘Safety in children’, a planned 2-part, open-label, single-arm study to evaluate the PK, efficacy, and safety of LDV/SOF for 12 weeks in adolescents and children with GT-1-6 chronic HCV infection is proposed (GS-US-337-1116, formerly GS-US-337-0104).</w:t>
      </w:r>
      <w:r w:rsidR="00B90AF7">
        <w:t xml:space="preserve"> </w:t>
      </w:r>
      <w:r w:rsidR="00020A8B">
        <w:t>N</w:t>
      </w:r>
      <w:r w:rsidRPr="000E11DA">
        <w:t xml:space="preserve">o protocol is available </w:t>
      </w:r>
      <w:r w:rsidR="00020A8B">
        <w:t>for this study, although table</w:t>
      </w:r>
      <w:r w:rsidRPr="000E11DA">
        <w:t xml:space="preserve">: ‘Required Additional </w:t>
      </w:r>
      <w:proofErr w:type="spellStart"/>
      <w:r w:rsidRPr="000E11DA">
        <w:t>Pharmacovigilance</w:t>
      </w:r>
      <w:proofErr w:type="spellEnd"/>
      <w:r w:rsidRPr="000E11DA">
        <w:t xml:space="preserve"> Activities (Category 3)’ indicates that this study was to be initiated in October 2014.</w:t>
      </w:r>
      <w:r w:rsidR="00B90AF7">
        <w:t xml:space="preserve"> </w:t>
      </w:r>
      <w:r w:rsidRPr="000E11DA">
        <w:t>Furthermore</w:t>
      </w:r>
      <w:r w:rsidR="00EF565B">
        <w:t>,</w:t>
      </w:r>
      <w:r w:rsidRPr="000E11DA">
        <w:t xml:space="preserve"> a planned 5-year follow-up study of paediatric patients to evaluate growth, development, and viral relapse in adolescents and children who received SOF/LDV in </w:t>
      </w:r>
      <w:r w:rsidR="00EF565B">
        <w:t>S</w:t>
      </w:r>
      <w:r w:rsidRPr="000E11DA">
        <w:t>tudy GS-US-337-1116 is proposed (BP-US-337-1117).</w:t>
      </w:r>
      <w:r w:rsidR="00B90AF7">
        <w:t xml:space="preserve"> </w:t>
      </w:r>
      <w:r w:rsidR="00EF565B">
        <w:t>N</w:t>
      </w:r>
      <w:r w:rsidRPr="000E11DA">
        <w:t>o protocol is available for this study.</w:t>
      </w:r>
    </w:p>
    <w:p w:rsidR="009203E1" w:rsidRDefault="000E11DA" w:rsidP="000E11DA">
      <w:pPr>
        <w:pStyle w:val="ListBullet"/>
      </w:pPr>
      <w:r w:rsidRPr="000E11DA">
        <w:t xml:space="preserve">For the important missing information: ‘Safety in patients with HCV/HBV co-infection’, one cohort </w:t>
      </w:r>
      <w:r w:rsidR="00EF565B">
        <w:t>from a Phase II</w:t>
      </w:r>
      <w:r w:rsidRPr="000E11DA">
        <w:t>, multicentre, open</w:t>
      </w:r>
      <w:r w:rsidR="00EF565B">
        <w:t xml:space="preserve"> </w:t>
      </w:r>
      <w:r w:rsidRPr="000E11DA">
        <w:t>label clinical study to assess the safety and efficacy of combination therapy with SOF</w:t>
      </w:r>
      <w:r w:rsidR="00EF565B">
        <w:t xml:space="preserve"> </w:t>
      </w:r>
      <w:r w:rsidRPr="000E11DA">
        <w:t>containing regimens for the treatment of chronic HCV infection has been initiated (Electron 2: GS-US-337-0122).</w:t>
      </w:r>
      <w:r w:rsidR="00B90AF7">
        <w:t xml:space="preserve"> </w:t>
      </w:r>
      <w:r w:rsidRPr="000E11DA">
        <w:t>A protocol for this study has been provided</w:t>
      </w:r>
      <w:r w:rsidR="009203E1">
        <w:t>.</w:t>
      </w:r>
    </w:p>
    <w:p w:rsidR="000E11DA" w:rsidRPr="000E11DA" w:rsidRDefault="000E11DA" w:rsidP="000E11DA">
      <w:pPr>
        <w:pStyle w:val="ListBullet"/>
      </w:pPr>
      <w:r w:rsidRPr="000E11DA">
        <w:lastRenderedPageBreak/>
        <w:t>For the important missing information: ‘Development of resistance’, an ongoing long term follow-up registry study is being conducted to evaluate HCV viral sequences and the persistence or evolution of treatment-emergent viral mutations in subjects who fail to achieve an SVR after treatment with a Gilead oral antiviral containing regimen in a previous Gilead</w:t>
      </w:r>
      <w:r w:rsidR="009A7C85">
        <w:t xml:space="preserve"> </w:t>
      </w:r>
      <w:r w:rsidRPr="000E11DA">
        <w:t>sponsored hepatitis C study (GS-US-248-0123).</w:t>
      </w:r>
      <w:r w:rsidR="00B90AF7">
        <w:t xml:space="preserve"> </w:t>
      </w:r>
      <w:r w:rsidRPr="000E11DA">
        <w:t>A protocol for this study has been provided.</w:t>
      </w:r>
      <w:r w:rsidR="00B90AF7">
        <w:t xml:space="preserve"> </w:t>
      </w:r>
      <w:r w:rsidRPr="000E11DA">
        <w:t>Furthermore</w:t>
      </w:r>
      <w:r w:rsidR="009A7C85">
        <w:t>,</w:t>
      </w:r>
      <w:r w:rsidRPr="000E11DA">
        <w:t xml:space="preserve"> an ongoing open</w:t>
      </w:r>
      <w:r w:rsidR="009A7C85">
        <w:t xml:space="preserve"> </w:t>
      </w:r>
      <w:r w:rsidRPr="000E11DA">
        <w:t>label, multicentre clinical study is being conducted to determine the efficacy of SOF/LDV</w:t>
      </w:r>
      <w:r w:rsidR="009A7C85">
        <w:t xml:space="preserve"> </w:t>
      </w:r>
      <w:r w:rsidRPr="000E11DA">
        <w:t>±</w:t>
      </w:r>
      <w:r w:rsidR="009A7C85">
        <w:t xml:space="preserve"> </w:t>
      </w:r>
      <w:r w:rsidRPr="000E11DA">
        <w:t>RBV and to evaluate the emergence of viral resistance to LDV and SOF during and after treatment discontinuation (GS-US-337-1118).</w:t>
      </w:r>
      <w:r w:rsidR="00B90AF7">
        <w:t xml:space="preserve"> </w:t>
      </w:r>
      <w:r w:rsidRPr="000E11DA">
        <w:t>A protocol for this stud</w:t>
      </w:r>
      <w:r w:rsidR="009A7C85">
        <w:t>y has been provided</w:t>
      </w:r>
      <w:r w:rsidRPr="000E11DA">
        <w:t>.</w:t>
      </w:r>
    </w:p>
    <w:p w:rsidR="008E7846" w:rsidRDefault="008E7846" w:rsidP="007A3CB3">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6F25B8" w:rsidRDefault="007B44D2" w:rsidP="007A3CB3">
      <w:pPr>
        <w:rPr>
          <w:lang w:eastAsia="en-AU"/>
        </w:rPr>
      </w:pPr>
      <w:bookmarkStart w:id="143" w:name="_Toc247691527"/>
      <w:r w:rsidRPr="007B44D2">
        <w:rPr>
          <w:lang w:eastAsia="en-AU"/>
        </w:rPr>
        <w:t>The sponsor has concluded that routine risk minimisation activities for all the specified ongoing safety concerns are sufficient, except for the important missing information: ‘Safety in patients with HCV/HIV co-infection’, ‘Safety in patients with advanced liver disease’ &amp; ‘Safety in patients who are post liver transplantation’ for which no risk minimisati</w:t>
      </w:r>
      <w:r>
        <w:rPr>
          <w:lang w:eastAsia="en-AU"/>
        </w:rPr>
        <w:t>on is proposed</w:t>
      </w:r>
      <w:r w:rsidRPr="007B44D2">
        <w:rPr>
          <w:lang w:eastAsia="en-AU"/>
        </w:rPr>
        <w:t>.</w:t>
      </w:r>
    </w:p>
    <w:p w:rsidR="006F25B8" w:rsidRDefault="006F25B8" w:rsidP="007A3CB3">
      <w:pPr>
        <w:pStyle w:val="Heading4"/>
        <w:rPr>
          <w:lang w:eastAsia="en-AU"/>
        </w:rPr>
      </w:pPr>
      <w:r w:rsidRPr="006F25B8">
        <w:rPr>
          <w:lang w:eastAsia="en-AU"/>
        </w:rPr>
        <w:t xml:space="preserve">Reconciliation of issues outlined in the RMP report </w:t>
      </w:r>
    </w:p>
    <w:p w:rsidR="00741470" w:rsidRDefault="00741470" w:rsidP="007A3CB3">
      <w:pPr>
        <w:pStyle w:val="Heading5"/>
      </w:pPr>
      <w:r w:rsidRPr="00A24C10">
        <w:t xml:space="preserve">Recommendation </w:t>
      </w:r>
      <w:r>
        <w:t xml:space="preserve">#1 </w:t>
      </w:r>
      <w:r w:rsidRPr="00A24C10">
        <w:t>in RMP evaluation report</w:t>
      </w:r>
    </w:p>
    <w:p w:rsidR="00741470" w:rsidRPr="000B2059" w:rsidRDefault="0099636F" w:rsidP="007A3CB3">
      <w:r w:rsidRPr="0099636F">
        <w:t xml:space="preserve">The </w:t>
      </w:r>
      <w:r w:rsidR="00941E7D">
        <w:t>RMP</w:t>
      </w:r>
      <w:r w:rsidRPr="0099636F">
        <w:t xml:space="preserve"> Questions and Answers (Version 1.3, October 2012), as found on the TGA website, states that when</w:t>
      </w:r>
      <w:r w:rsidR="00941E7D">
        <w:t xml:space="preserve"> an existing EU</w:t>
      </w:r>
      <w:r w:rsidRPr="0099636F">
        <w:t xml:space="preserve"> RMP is available, the TGA strongly recommends submission of the EU-RMP with an ASA. Consequently</w:t>
      </w:r>
      <w:r w:rsidR="00941E7D">
        <w:t>,</w:t>
      </w:r>
      <w:r w:rsidRPr="0099636F">
        <w:t xml:space="preserve"> it is strongly recommended that the sponsor submit such an ASA to the current EU-RMP.</w:t>
      </w:r>
    </w:p>
    <w:p w:rsidR="00741470" w:rsidRDefault="00741470" w:rsidP="007A3CB3">
      <w:pPr>
        <w:pStyle w:val="Heading5"/>
      </w:pPr>
      <w:r>
        <w:t>Sponsor response</w:t>
      </w:r>
    </w:p>
    <w:p w:rsidR="00741470" w:rsidRPr="00533B38" w:rsidRDefault="00AB4BFD" w:rsidP="00741470">
      <w:r w:rsidRPr="00AB4BFD">
        <w:t xml:space="preserve">Gilead has provided an </w:t>
      </w:r>
      <w:r w:rsidR="000E33B5">
        <w:t>ASA</w:t>
      </w:r>
      <w:r w:rsidRPr="00AB4BFD">
        <w:t xml:space="preserve"> and wishes for this to be used in conjunction with EU-RMP version 0.2 (19 August 2014) which was submitted to TGA on 23</w:t>
      </w:r>
      <w:r w:rsidR="00E96C1E">
        <w:t xml:space="preserve"> September and is re-provided</w:t>
      </w:r>
      <w:r w:rsidRPr="00AB4BFD">
        <w:t>. The proposed ASA is version 0.1, dated November 2014. Upon TGA approval of the ASA, the version will be updated to v1.0 and the date will be amended to reflect the dat</w:t>
      </w:r>
      <w:r>
        <w:t>e of TGA approval.</w:t>
      </w:r>
    </w:p>
    <w:p w:rsidR="00741470" w:rsidRDefault="00741470" w:rsidP="00741470">
      <w:pPr>
        <w:pStyle w:val="Heading5"/>
      </w:pPr>
      <w:r>
        <w:t>OPR evaluator’s comment</w:t>
      </w:r>
    </w:p>
    <w:p w:rsidR="00741470" w:rsidRDefault="00AB4BFD" w:rsidP="00741470">
      <w:pPr>
        <w:rPr>
          <w:lang w:eastAsia="en-AU"/>
        </w:rPr>
      </w:pPr>
      <w:r>
        <w:rPr>
          <w:rFonts w:asciiTheme="minorHAnsi" w:hAnsiTheme="minorHAnsi"/>
          <w:lang w:eastAsia="en-AU"/>
        </w:rPr>
        <w:t>This is acceptable.</w:t>
      </w:r>
    </w:p>
    <w:p w:rsidR="008A1649" w:rsidRDefault="008A1649" w:rsidP="008A1649">
      <w:pPr>
        <w:pStyle w:val="Heading5"/>
      </w:pPr>
      <w:r w:rsidRPr="00A24C10">
        <w:t xml:space="preserve">Recommendation </w:t>
      </w:r>
      <w:r>
        <w:t xml:space="preserve">#2 </w:t>
      </w:r>
      <w:r w:rsidRPr="00A24C10">
        <w:t>in RMP evaluation report</w:t>
      </w:r>
    </w:p>
    <w:p w:rsidR="008A1649" w:rsidRPr="000B2059" w:rsidRDefault="00793990" w:rsidP="008A1649">
      <w:r w:rsidRPr="00793990">
        <w:t xml:space="preserve">Safety considerations may be raised by the nonclinical and clinical evaluators through the consolidated </w:t>
      </w:r>
      <w:r w:rsidR="00E96C1E">
        <w:t>S</w:t>
      </w:r>
      <w:r w:rsidRPr="00793990">
        <w:t xml:space="preserve">ection 31 request and/or the </w:t>
      </w:r>
      <w:r w:rsidR="00E96C1E">
        <w:t>n</w:t>
      </w:r>
      <w:r w:rsidRPr="00793990">
        <w:t xml:space="preserve">onclinical and </w:t>
      </w:r>
      <w:r w:rsidR="00E96C1E">
        <w:t>c</w:t>
      </w:r>
      <w:r w:rsidRPr="00793990">
        <w:t xml:space="preserve">linical </w:t>
      </w:r>
      <w:r w:rsidR="00E96C1E">
        <w:t>e</w:t>
      </w:r>
      <w:r w:rsidRPr="00793990">
        <w:t xml:space="preserve">valuation </w:t>
      </w:r>
      <w:r w:rsidR="00E96C1E">
        <w:t>r</w:t>
      </w:r>
      <w:r w:rsidRPr="00793990">
        <w:t>eports</w:t>
      </w:r>
      <w:r w:rsidR="00E96C1E">
        <w:t>,</w:t>
      </w:r>
      <w:r w:rsidRPr="00793990">
        <w:t xml:space="preserve"> resp</w:t>
      </w:r>
      <w:r w:rsidR="00E96C1E">
        <w:t>ectively</w:t>
      </w:r>
      <w:r w:rsidRPr="00793990">
        <w:t xml:space="preserve">. It is important to ensure that the information provided in response to these </w:t>
      </w:r>
      <w:proofErr w:type="gramStart"/>
      <w:r w:rsidRPr="00793990">
        <w:t>include</w:t>
      </w:r>
      <w:proofErr w:type="gramEnd"/>
      <w:r w:rsidRPr="00793990">
        <w:t xml:space="preserve"> a consideration of the relevance for the </w:t>
      </w:r>
      <w:r w:rsidR="007620EC">
        <w:t>RMP</w:t>
      </w:r>
      <w:r w:rsidRPr="00793990">
        <w:t>, and any specific information needed to address this issue in the RMP. For any safety considerations so raised, the sponsor should provide information that is relevant and necessary to address the issue in the RMP.</w:t>
      </w:r>
    </w:p>
    <w:p w:rsidR="008A1649" w:rsidRDefault="008A1649" w:rsidP="008A1649">
      <w:pPr>
        <w:pStyle w:val="Heading5"/>
      </w:pPr>
      <w:r>
        <w:t>Sponsor response</w:t>
      </w:r>
    </w:p>
    <w:p w:rsidR="008A1649" w:rsidRPr="00533B38" w:rsidRDefault="00793990" w:rsidP="008A1649">
      <w:r w:rsidRPr="00793990">
        <w:t>The sponsor states that it did not receive the TGA nonclinical evaluation at the time of the RMP evaluation report and no changes were proposed by the clinical evaluator.</w:t>
      </w:r>
    </w:p>
    <w:p w:rsidR="008A1649" w:rsidRDefault="008A1649" w:rsidP="008A1649">
      <w:pPr>
        <w:pStyle w:val="Heading5"/>
      </w:pPr>
      <w:r>
        <w:t>OPR evaluator’s comment</w:t>
      </w:r>
    </w:p>
    <w:p w:rsidR="008A1649" w:rsidRDefault="00793990" w:rsidP="008A1649">
      <w:pPr>
        <w:rPr>
          <w:lang w:eastAsia="en-AU"/>
        </w:rPr>
      </w:pPr>
      <w:r w:rsidRPr="00793990">
        <w:rPr>
          <w:lang w:eastAsia="en-AU"/>
        </w:rPr>
        <w:t xml:space="preserve">The sponsor should explain the discrepancy observed in the Nonclinical Safety Specification of the draft </w:t>
      </w:r>
      <w:r w:rsidR="00A4000F">
        <w:rPr>
          <w:lang w:eastAsia="en-AU"/>
        </w:rPr>
        <w:t>RMP</w:t>
      </w:r>
      <w:r w:rsidRPr="00793990">
        <w:rPr>
          <w:lang w:eastAsia="en-AU"/>
        </w:rPr>
        <w:t xml:space="preserve"> for Australia (Version 0.1) by the nonclinical evaluator.</w:t>
      </w:r>
    </w:p>
    <w:p w:rsidR="008A1649" w:rsidRDefault="008A1649" w:rsidP="008A1649">
      <w:pPr>
        <w:pStyle w:val="Heading5"/>
      </w:pPr>
      <w:r w:rsidRPr="00A24C10">
        <w:lastRenderedPageBreak/>
        <w:t xml:space="preserve">Recommendation </w:t>
      </w:r>
      <w:r>
        <w:t xml:space="preserve">#3 </w:t>
      </w:r>
      <w:r w:rsidRPr="00A24C10">
        <w:t>in RMP evaluation report</w:t>
      </w:r>
    </w:p>
    <w:p w:rsidR="008A1649" w:rsidRPr="000B2059" w:rsidRDefault="00793990" w:rsidP="008A1649">
      <w:r w:rsidRPr="00793990">
        <w:t>Notwithsta</w:t>
      </w:r>
      <w:r w:rsidR="004164E8">
        <w:t>nding the evaluation of the non</w:t>
      </w:r>
      <w:r w:rsidRPr="00793990">
        <w:t xml:space="preserve">clinical and clinical aspects of the </w:t>
      </w:r>
      <w:r w:rsidR="00A4000F" w:rsidRPr="00793990">
        <w:rPr>
          <w:lang w:eastAsia="en-AU"/>
        </w:rPr>
        <w:t>Safety Specification</w:t>
      </w:r>
      <w:r w:rsidRPr="00793990">
        <w:t xml:space="preserve">, the sponsor should systematically identify and justify any differences between the related summaries of </w:t>
      </w:r>
      <w:r w:rsidR="004164E8">
        <w:t>o</w:t>
      </w:r>
      <w:r w:rsidRPr="00793990">
        <w:t xml:space="preserve">ngoing </w:t>
      </w:r>
      <w:r w:rsidR="004164E8">
        <w:t>s</w:t>
      </w:r>
      <w:r w:rsidRPr="00793990">
        <w:t xml:space="preserve">afety </w:t>
      </w:r>
      <w:r w:rsidR="004164E8">
        <w:t>c</w:t>
      </w:r>
      <w:r w:rsidRPr="00793990">
        <w:t xml:space="preserve">oncerns. Any subsequent changes to the summary of the </w:t>
      </w:r>
      <w:r w:rsidR="004164E8">
        <w:t>o</w:t>
      </w:r>
      <w:r w:rsidR="004164E8" w:rsidRPr="00793990">
        <w:t xml:space="preserve">ngoing </w:t>
      </w:r>
      <w:r w:rsidR="004164E8">
        <w:t>s</w:t>
      </w:r>
      <w:r w:rsidR="004164E8" w:rsidRPr="00793990">
        <w:t xml:space="preserve">afety </w:t>
      </w:r>
      <w:r w:rsidR="004164E8">
        <w:t>c</w:t>
      </w:r>
      <w:r w:rsidR="004164E8" w:rsidRPr="00793990">
        <w:t xml:space="preserve">oncerns </w:t>
      </w:r>
      <w:r w:rsidRPr="00793990">
        <w:t>in the current EU-RMP specific to Australia must be entirely captured in an ASA to be provided to the TGA for review. In addition</w:t>
      </w:r>
      <w:r w:rsidR="00C21B74">
        <w:t>,</w:t>
      </w:r>
      <w:r w:rsidRPr="00793990">
        <w:t xml:space="preserve"> consideration must be given to proposing appropriate </w:t>
      </w:r>
      <w:proofErr w:type="spellStart"/>
      <w:r w:rsidRPr="00793990">
        <w:t>pharmacovigilance</w:t>
      </w:r>
      <w:proofErr w:type="spellEnd"/>
      <w:r w:rsidRPr="00793990">
        <w:t xml:space="preserve"> and risk minimisation activities for any new ongoing safety concerns, to be reflected accordingly in this ASA.</w:t>
      </w:r>
    </w:p>
    <w:p w:rsidR="008A1649" w:rsidRDefault="008A1649" w:rsidP="008A1649">
      <w:pPr>
        <w:pStyle w:val="Heading5"/>
      </w:pPr>
      <w:r>
        <w:t>Sponsor response</w:t>
      </w:r>
    </w:p>
    <w:p w:rsidR="008A1649" w:rsidRPr="00533B38" w:rsidRDefault="00793990" w:rsidP="008A1649">
      <w:r w:rsidRPr="00793990">
        <w:t>Gilead provides an assurance that a table illustrating the ongoing safety concerns specific to Australia has been captured in the ASA provided. Gilead has also taken this opportunity to incorporate the applicable Australian specific safety concerns that were identified du</w:t>
      </w:r>
      <w:r w:rsidR="0063513E">
        <w:t xml:space="preserve">ring the evaluation of SOF </w:t>
      </w:r>
      <w:r w:rsidRPr="00793990">
        <w:t>400 mg tablets AUST R 211019. These differences are also highlighted in th</w:t>
      </w:r>
      <w:r>
        <w:t>e ASA provided.</w:t>
      </w:r>
    </w:p>
    <w:p w:rsidR="008A1649" w:rsidRDefault="008A1649" w:rsidP="008A1649">
      <w:pPr>
        <w:pStyle w:val="Heading5"/>
      </w:pPr>
      <w:r>
        <w:t>OPR evaluator’s comment</w:t>
      </w:r>
    </w:p>
    <w:p w:rsidR="00793990" w:rsidRDefault="00793990" w:rsidP="00793990">
      <w:pPr>
        <w:rPr>
          <w:lang w:eastAsia="en-AU"/>
        </w:rPr>
      </w:pPr>
      <w:r>
        <w:rPr>
          <w:rFonts w:asciiTheme="minorHAnsi" w:hAnsiTheme="minorHAnsi"/>
          <w:lang w:eastAsia="en-AU"/>
        </w:rPr>
        <w:t>This is acceptable.</w:t>
      </w:r>
    </w:p>
    <w:p w:rsidR="008A1649" w:rsidRDefault="008A1649" w:rsidP="008A1649">
      <w:pPr>
        <w:pStyle w:val="Heading5"/>
      </w:pPr>
      <w:r w:rsidRPr="00A24C10">
        <w:t xml:space="preserve">Recommendation </w:t>
      </w:r>
      <w:r>
        <w:t xml:space="preserve">#4 </w:t>
      </w:r>
      <w:r w:rsidRPr="00A24C10">
        <w:t>in RMP evaluation report</w:t>
      </w:r>
    </w:p>
    <w:p w:rsidR="008A1649" w:rsidRPr="000B2059" w:rsidRDefault="0047430C" w:rsidP="008A1649">
      <w:r w:rsidRPr="0047430C">
        <w:t xml:space="preserve">As per the </w:t>
      </w:r>
      <w:r w:rsidR="00C21B74">
        <w:t>RMP</w:t>
      </w:r>
      <w:r w:rsidRPr="0047430C">
        <w:t xml:space="preserve"> Questions and Answers (Version 1.3, October 2012) as found on the TGA website, a description of the sponsor’s routine </w:t>
      </w:r>
      <w:proofErr w:type="spellStart"/>
      <w:r w:rsidRPr="0047430C">
        <w:t>pharmacovigilance</w:t>
      </w:r>
      <w:proofErr w:type="spellEnd"/>
      <w:r w:rsidRPr="0047430C">
        <w:t xml:space="preserve"> systems in Australia should be provided in an ASA, including an assurance that routine </w:t>
      </w:r>
      <w:proofErr w:type="spellStart"/>
      <w:r w:rsidRPr="0047430C">
        <w:t>pharmacovigilance</w:t>
      </w:r>
      <w:proofErr w:type="spellEnd"/>
      <w:r w:rsidRPr="0047430C">
        <w:t xml:space="preserve"> activities conducted in Australia are in accordance with the current Australian requirements and recommendations for </w:t>
      </w:r>
      <w:proofErr w:type="spellStart"/>
      <w:r w:rsidRPr="0047430C">
        <w:t>pharmacovigilance</w:t>
      </w:r>
      <w:proofErr w:type="spellEnd"/>
      <w:r w:rsidRPr="0047430C">
        <w:t xml:space="preserve"> responsibilities of sponsors of medicines.</w:t>
      </w:r>
    </w:p>
    <w:p w:rsidR="008A1649" w:rsidRDefault="008A1649" w:rsidP="008A1649">
      <w:pPr>
        <w:pStyle w:val="Heading5"/>
      </w:pPr>
      <w:r>
        <w:t>Sponsor response</w:t>
      </w:r>
    </w:p>
    <w:p w:rsidR="008A1649" w:rsidRPr="00533B38" w:rsidRDefault="0047430C" w:rsidP="008A1649">
      <w:r w:rsidRPr="0047430C">
        <w:t xml:space="preserve">Gilead provides an assurance that description of the Gilead’s routine </w:t>
      </w:r>
      <w:proofErr w:type="spellStart"/>
      <w:r w:rsidRPr="0047430C">
        <w:t>pharmacovigilance</w:t>
      </w:r>
      <w:proofErr w:type="spellEnd"/>
      <w:r w:rsidRPr="0047430C">
        <w:t xml:space="preserve"> systems in Australia is provided in the ASA. In addition</w:t>
      </w:r>
      <w:r w:rsidR="00C21B74">
        <w:t>,</w:t>
      </w:r>
      <w:r w:rsidRPr="0047430C">
        <w:t xml:space="preserve"> an assurance that routine </w:t>
      </w:r>
      <w:proofErr w:type="spellStart"/>
      <w:r w:rsidRPr="0047430C">
        <w:t>pharmacovigilance</w:t>
      </w:r>
      <w:proofErr w:type="spellEnd"/>
      <w:r w:rsidRPr="0047430C">
        <w:t xml:space="preserve"> activities conducted in Australia are in accordance with the current Australian requirements and recommendations for </w:t>
      </w:r>
      <w:proofErr w:type="spellStart"/>
      <w:r w:rsidRPr="0047430C">
        <w:t>pharmacovigilance</w:t>
      </w:r>
      <w:proofErr w:type="spellEnd"/>
      <w:r w:rsidRPr="0047430C">
        <w:t xml:space="preserve"> responsibilities of sponsors of medicines has been included in the ASA included</w:t>
      </w:r>
      <w:r>
        <w:t>.</w:t>
      </w:r>
    </w:p>
    <w:p w:rsidR="008A1649" w:rsidRDefault="008A1649" w:rsidP="008A1649">
      <w:pPr>
        <w:pStyle w:val="Heading5"/>
      </w:pPr>
      <w:r>
        <w:t>OPR evaluator’s comment</w:t>
      </w:r>
    </w:p>
    <w:p w:rsidR="00793990" w:rsidRDefault="00793990" w:rsidP="00793990">
      <w:pPr>
        <w:rPr>
          <w:lang w:eastAsia="en-AU"/>
        </w:rPr>
      </w:pPr>
      <w:r>
        <w:rPr>
          <w:rFonts w:asciiTheme="minorHAnsi" w:hAnsiTheme="minorHAnsi"/>
          <w:lang w:eastAsia="en-AU"/>
        </w:rPr>
        <w:t>This is acceptable.</w:t>
      </w:r>
    </w:p>
    <w:p w:rsidR="008A1649" w:rsidRDefault="008A1649" w:rsidP="008A1649">
      <w:pPr>
        <w:pStyle w:val="Heading5"/>
      </w:pPr>
      <w:r w:rsidRPr="00A24C10">
        <w:t xml:space="preserve">Recommendation </w:t>
      </w:r>
      <w:r>
        <w:t xml:space="preserve">#5 </w:t>
      </w:r>
      <w:r w:rsidRPr="00A24C10">
        <w:t>in RMP evaluation report</w:t>
      </w:r>
    </w:p>
    <w:p w:rsidR="008A1649" w:rsidRPr="000B2059" w:rsidRDefault="0024328A" w:rsidP="008A1649">
      <w:r w:rsidRPr="0024328A">
        <w:t xml:space="preserve">The sponsor should systematically identify and justify any differences between the additional </w:t>
      </w:r>
      <w:proofErr w:type="spellStart"/>
      <w:r w:rsidRPr="0024328A">
        <w:t>pharmacovigilance</w:t>
      </w:r>
      <w:proofErr w:type="spellEnd"/>
      <w:r w:rsidRPr="0024328A">
        <w:t xml:space="preserve"> activities for Australia and Europe. Any subsequent changes to the </w:t>
      </w:r>
      <w:proofErr w:type="spellStart"/>
      <w:r w:rsidRPr="0024328A">
        <w:t>pharmacovigilance</w:t>
      </w:r>
      <w:proofErr w:type="spellEnd"/>
      <w:r w:rsidRPr="0024328A">
        <w:t xml:space="preserve"> plan in the current EU-RMP specific to Australia must be entirely captured in an ASA to be provided to the TGA for review. At least draft protocols for any planned studies should also be submitted. If they are not yet available, the sponsor should provide an assurance that draft protocols for these studies will be provided to the TGA once they become available.</w:t>
      </w:r>
    </w:p>
    <w:p w:rsidR="008A1649" w:rsidRDefault="008A1649" w:rsidP="008A1649">
      <w:pPr>
        <w:pStyle w:val="Heading5"/>
      </w:pPr>
      <w:r>
        <w:t>Sponsor response</w:t>
      </w:r>
    </w:p>
    <w:p w:rsidR="008A1649" w:rsidRPr="00533B38" w:rsidRDefault="0024328A" w:rsidP="008A1649">
      <w:r w:rsidRPr="0024328A">
        <w:t>Gilead provides an assurance that a table illustrating the ongoing safety concerns specific to Australia has been captured in the ASA provided.</w:t>
      </w:r>
    </w:p>
    <w:p w:rsidR="008A1649" w:rsidRDefault="008A1649" w:rsidP="008A1649">
      <w:pPr>
        <w:pStyle w:val="Heading5"/>
      </w:pPr>
      <w:r>
        <w:t>OPR evaluator’s comment</w:t>
      </w:r>
    </w:p>
    <w:p w:rsidR="0047430C" w:rsidRDefault="0047430C" w:rsidP="0047430C">
      <w:pPr>
        <w:rPr>
          <w:lang w:eastAsia="en-AU"/>
        </w:rPr>
      </w:pPr>
      <w:r>
        <w:rPr>
          <w:rFonts w:asciiTheme="minorHAnsi" w:hAnsiTheme="minorHAnsi"/>
          <w:lang w:eastAsia="en-AU"/>
        </w:rPr>
        <w:t>This is acceptable.</w:t>
      </w:r>
    </w:p>
    <w:p w:rsidR="008A1649" w:rsidRDefault="008A1649" w:rsidP="008A1649">
      <w:pPr>
        <w:pStyle w:val="Heading5"/>
      </w:pPr>
      <w:r w:rsidRPr="00A24C10">
        <w:lastRenderedPageBreak/>
        <w:t xml:space="preserve">Recommendation </w:t>
      </w:r>
      <w:r>
        <w:t xml:space="preserve">#6 </w:t>
      </w:r>
      <w:r w:rsidRPr="00A24C10">
        <w:t>in RMP evaluation report</w:t>
      </w:r>
    </w:p>
    <w:p w:rsidR="008A1649" w:rsidRPr="000B2059" w:rsidRDefault="0024328A" w:rsidP="008A1649">
      <w:r w:rsidRPr="0024328A">
        <w:t xml:space="preserve">The ongoing and initiated studies are not considered to be part of the planned clinical studies in the </w:t>
      </w:r>
      <w:proofErr w:type="spellStart"/>
      <w:r w:rsidRPr="0024328A">
        <w:t>pharmacovigilance</w:t>
      </w:r>
      <w:proofErr w:type="spellEnd"/>
      <w:r w:rsidRPr="0024328A">
        <w:t xml:space="preserve"> plan. Therefore</w:t>
      </w:r>
      <w:r w:rsidR="00C21B74">
        <w:t>,</w:t>
      </w:r>
      <w:r w:rsidRPr="0024328A">
        <w:t xml:space="preserve"> the related study documentation has not been reviewed. Nevertheless</w:t>
      </w:r>
      <w:r w:rsidR="00C21B74">
        <w:t>,</w:t>
      </w:r>
      <w:r w:rsidRPr="0024328A">
        <w:t xml:space="preserve"> the studies referenced in the PP will generate safety data that either simply support the known safety profile of the medicine or generate data that will provoke applications to amend the Australian registration details. To this end</w:t>
      </w:r>
      <w:r>
        <w:t>,</w:t>
      </w:r>
      <w:r w:rsidRPr="0024328A">
        <w:t xml:space="preserve"> it is suggested that the sponsor provide an attachment to the ASA setting out all the forthcoming studies and the anticipated dates for their submission in Australia.</w:t>
      </w:r>
    </w:p>
    <w:p w:rsidR="008A1649" w:rsidRDefault="008A1649" w:rsidP="008A1649">
      <w:pPr>
        <w:pStyle w:val="Heading5"/>
      </w:pPr>
      <w:r>
        <w:t>Sponsor response</w:t>
      </w:r>
    </w:p>
    <w:p w:rsidR="008A1649" w:rsidRPr="00533B38" w:rsidRDefault="0024328A" w:rsidP="008A1649">
      <w:r w:rsidRPr="0024328A">
        <w:t>A table outlining forthcoming studies and anticipated dates for submission in Australia is provided. To note, these timelines are estimates only and may change de</w:t>
      </w:r>
      <w:r>
        <w:t>pending on global filing dates.</w:t>
      </w:r>
    </w:p>
    <w:p w:rsidR="008A1649" w:rsidRDefault="008A1649" w:rsidP="008A1649">
      <w:pPr>
        <w:pStyle w:val="Heading5"/>
      </w:pPr>
      <w:r>
        <w:t>OPR evaluator’s comment</w:t>
      </w:r>
    </w:p>
    <w:p w:rsidR="0047430C" w:rsidRDefault="0047430C" w:rsidP="0047430C">
      <w:pPr>
        <w:rPr>
          <w:lang w:eastAsia="en-AU"/>
        </w:rPr>
      </w:pPr>
      <w:r>
        <w:rPr>
          <w:rFonts w:asciiTheme="minorHAnsi" w:hAnsiTheme="minorHAnsi"/>
          <w:lang w:eastAsia="en-AU"/>
        </w:rPr>
        <w:t>This is acceptable.</w:t>
      </w:r>
    </w:p>
    <w:p w:rsidR="008A1649" w:rsidRDefault="008A1649" w:rsidP="008A1649">
      <w:pPr>
        <w:pStyle w:val="Heading5"/>
      </w:pPr>
      <w:r w:rsidRPr="00A24C10">
        <w:t xml:space="preserve">Recommendation </w:t>
      </w:r>
      <w:r>
        <w:t xml:space="preserve">#7 </w:t>
      </w:r>
      <w:r w:rsidRPr="00A24C10">
        <w:t>in RMP evaluation report</w:t>
      </w:r>
    </w:p>
    <w:p w:rsidR="008A1649" w:rsidRPr="000B2059" w:rsidRDefault="0024328A" w:rsidP="008A1649">
      <w:r w:rsidRPr="0024328A">
        <w:t>The sponsor should systematically identify and justify any differences between the information relating to the potential for medication error provided in the AU-RMP and the EU-RMP. Any subsequent changes to the information relating to this matter in the current EU-RMP specific to Australia must be entirely captured in an ASA to be provided to the TGA for review.</w:t>
      </w:r>
    </w:p>
    <w:p w:rsidR="008A1649" w:rsidRDefault="008A1649" w:rsidP="008A1649">
      <w:pPr>
        <w:pStyle w:val="Heading5"/>
      </w:pPr>
      <w:r>
        <w:t>Sponsor response</w:t>
      </w:r>
    </w:p>
    <w:p w:rsidR="008A1649" w:rsidRPr="00533B38" w:rsidRDefault="0024328A" w:rsidP="008A1649">
      <w:r w:rsidRPr="0024328A">
        <w:t>The EU-RMP section concerning potential for medication errors (Section 6.4) was updated during evaluation (version 0.2) and is now applicable to Australia. There are therefore no differences to Australia and as</w:t>
      </w:r>
      <w:r>
        <w:t xml:space="preserve"> such, not captured in the ASA.</w:t>
      </w:r>
    </w:p>
    <w:p w:rsidR="008A1649" w:rsidRDefault="008A1649" w:rsidP="008A1649">
      <w:pPr>
        <w:pStyle w:val="Heading5"/>
      </w:pPr>
      <w:r>
        <w:t>OPR evaluator’s comment</w:t>
      </w:r>
    </w:p>
    <w:p w:rsidR="0047430C" w:rsidRDefault="0047430C" w:rsidP="0047430C">
      <w:pPr>
        <w:rPr>
          <w:lang w:eastAsia="en-AU"/>
        </w:rPr>
      </w:pPr>
      <w:r>
        <w:rPr>
          <w:rFonts w:asciiTheme="minorHAnsi" w:hAnsiTheme="minorHAnsi"/>
          <w:lang w:eastAsia="en-AU"/>
        </w:rPr>
        <w:t>This is acceptable.</w:t>
      </w:r>
    </w:p>
    <w:p w:rsidR="00553FED" w:rsidRDefault="00553FED" w:rsidP="00553FED">
      <w:pPr>
        <w:pStyle w:val="Heading4"/>
        <w:rPr>
          <w:lang w:eastAsia="en-AU"/>
        </w:rPr>
      </w:pPr>
      <w:r>
        <w:rPr>
          <w:lang w:eastAsia="en-AU"/>
        </w:rPr>
        <w:t>Summary of recommendations</w:t>
      </w:r>
    </w:p>
    <w:p w:rsidR="00553FED" w:rsidRPr="006F25B8" w:rsidRDefault="00BB4E43" w:rsidP="00553FED">
      <w:pPr>
        <w:rPr>
          <w:lang w:eastAsia="en-AU"/>
        </w:rPr>
      </w:pPr>
      <w:r w:rsidRPr="00BB4E43">
        <w:rPr>
          <w:lang w:eastAsia="en-AU"/>
        </w:rPr>
        <w:t>It is considered that the sponsor’s response to the TGA S</w:t>
      </w:r>
      <w:r w:rsidR="00C21B74">
        <w:rPr>
          <w:lang w:eastAsia="en-AU"/>
        </w:rPr>
        <w:t xml:space="preserve">ection </w:t>
      </w:r>
      <w:r w:rsidRPr="00BB4E43">
        <w:rPr>
          <w:lang w:eastAsia="en-AU"/>
        </w:rPr>
        <w:t>31 Request has not adequately addressed all of the issues identified in the RMP evaluation report.</w:t>
      </w:r>
    </w:p>
    <w:p w:rsidR="00741470" w:rsidRPr="00107999" w:rsidRDefault="00741470" w:rsidP="00741470">
      <w:pPr>
        <w:pStyle w:val="Heading5"/>
      </w:pPr>
      <w:r w:rsidRPr="00107999">
        <w:t>Outstanding issues</w:t>
      </w:r>
    </w:p>
    <w:p w:rsidR="003002BA" w:rsidRPr="003002BA" w:rsidRDefault="000F37B2" w:rsidP="003002BA">
      <w:pPr>
        <w:pStyle w:val="Heading6"/>
      </w:pPr>
      <w:r>
        <w:t>Issues in relation to the RMP</w:t>
      </w:r>
    </w:p>
    <w:p w:rsidR="003002BA" w:rsidRPr="003002BA" w:rsidRDefault="003002BA" w:rsidP="003002BA">
      <w:r w:rsidRPr="003002BA">
        <w:t xml:space="preserve">The sponsor was asked to respond to safety considerations raised by the nonclinical and clinical evaluators through the consolidated </w:t>
      </w:r>
      <w:r w:rsidR="00AA30BC">
        <w:t>S</w:t>
      </w:r>
      <w:r w:rsidRPr="003002BA">
        <w:t xml:space="preserve">ection 31 request and/or the </w:t>
      </w:r>
      <w:r w:rsidR="00AA30BC">
        <w:t>n</w:t>
      </w:r>
      <w:r w:rsidRPr="003002BA">
        <w:t xml:space="preserve">onclinical and </w:t>
      </w:r>
      <w:r w:rsidR="00AA30BC">
        <w:t>c</w:t>
      </w:r>
      <w:r w:rsidRPr="003002BA">
        <w:t xml:space="preserve">linical </w:t>
      </w:r>
      <w:r w:rsidR="00AA30BC">
        <w:t>e</w:t>
      </w:r>
      <w:r w:rsidRPr="003002BA">
        <w:t xml:space="preserve">valuation </w:t>
      </w:r>
      <w:r w:rsidR="00AA30BC">
        <w:t>r</w:t>
      </w:r>
      <w:r w:rsidRPr="003002BA">
        <w:t>eports</w:t>
      </w:r>
      <w:r w:rsidR="00AA30BC">
        <w:t>,</w:t>
      </w:r>
      <w:r w:rsidRPr="003002BA">
        <w:t xml:space="preserve"> respectively, in the context of relevance to the RMP.</w:t>
      </w:r>
      <w:r w:rsidR="00B90AF7">
        <w:t xml:space="preserve"> </w:t>
      </w:r>
      <w:r w:rsidRPr="003002BA">
        <w:t>The sponsor states that it did not receive the TGA nonclinical evaluation at the time of the RMP evaluation report and no changes were proposed by the clinical evaluator.</w:t>
      </w:r>
      <w:r w:rsidR="00B90AF7">
        <w:t xml:space="preserve"> </w:t>
      </w:r>
      <w:r w:rsidRPr="003002BA">
        <w:t>Nevertheless</w:t>
      </w:r>
      <w:r w:rsidR="006003F3">
        <w:t>,</w:t>
      </w:r>
      <w:r w:rsidRPr="003002BA">
        <w:t xml:space="preserve"> the sponsor should explain the discrepancy observed in the </w:t>
      </w:r>
      <w:r w:rsidR="00697641">
        <w:t>n</w:t>
      </w:r>
      <w:r w:rsidRPr="003002BA">
        <w:t xml:space="preserve">onclinical Safety Specification of the draft </w:t>
      </w:r>
      <w:r w:rsidR="00AA30BC">
        <w:t>RMP</w:t>
      </w:r>
      <w:r w:rsidRPr="003002BA">
        <w:t xml:space="preserve"> for Australia (Version 0.1) by the nonclinical evaluator.</w:t>
      </w:r>
    </w:p>
    <w:p w:rsidR="000A238D" w:rsidRDefault="003002BA" w:rsidP="003002BA">
      <w:r w:rsidRPr="003002BA">
        <w:t xml:space="preserve">The sponsor was advised that a risk minimisation activities table detailing all planned risk minimisation measures in the Australian context and the EU-RMP context should be provided in an ASA, taking into account any changes made to the summary of the </w:t>
      </w:r>
      <w:r w:rsidR="006003F3">
        <w:t>o</w:t>
      </w:r>
      <w:r w:rsidRPr="003002BA">
        <w:t xml:space="preserve">ngoing </w:t>
      </w:r>
      <w:r w:rsidR="006003F3">
        <w:t>s</w:t>
      </w:r>
      <w:r w:rsidRPr="003002BA">
        <w:t xml:space="preserve">afety </w:t>
      </w:r>
      <w:r w:rsidR="006003F3">
        <w:t>c</w:t>
      </w:r>
      <w:r w:rsidRPr="003002BA">
        <w:t>oncerns for Australia.</w:t>
      </w:r>
      <w:r w:rsidR="00B90AF7">
        <w:t xml:space="preserve"> </w:t>
      </w:r>
      <w:r w:rsidRPr="003002BA">
        <w:t xml:space="preserve">This table should include a comparison of the actual content and wording of the EU </w:t>
      </w:r>
      <w:r w:rsidR="00C47ACD" w:rsidRPr="00C47ACD">
        <w:t xml:space="preserve">Summary of Product Characteristics </w:t>
      </w:r>
      <w:r w:rsidR="00C47ACD">
        <w:t>(</w:t>
      </w:r>
      <w:proofErr w:type="spellStart"/>
      <w:r w:rsidRPr="003002BA">
        <w:t>SmPC</w:t>
      </w:r>
      <w:proofErr w:type="spellEnd"/>
      <w:r w:rsidR="00C47ACD">
        <w:t>)</w:t>
      </w:r>
      <w:r w:rsidRPr="003002BA">
        <w:t xml:space="preserve"> </w:t>
      </w:r>
      <w:r w:rsidR="000B5937">
        <w:t>and the proposed Australian PI and</w:t>
      </w:r>
      <w:r w:rsidRPr="003002BA">
        <w:t xml:space="preserve"> </w:t>
      </w:r>
      <w:r w:rsidR="00521064">
        <w:t>Consumer Medicine Information (</w:t>
      </w:r>
      <w:r w:rsidRPr="003002BA">
        <w:t>CMI</w:t>
      </w:r>
      <w:r w:rsidR="00521064">
        <w:t>)</w:t>
      </w:r>
      <w:r w:rsidRPr="003002BA">
        <w:t xml:space="preserve"> for all of the specified ongoing safety concerns and missing information to identify and provide reasons for any observed </w:t>
      </w:r>
      <w:r w:rsidRPr="003002BA">
        <w:lastRenderedPageBreak/>
        <w:t xml:space="preserve">differences, particularly where it appears the EU </w:t>
      </w:r>
      <w:proofErr w:type="spellStart"/>
      <w:r w:rsidRPr="003002BA">
        <w:t>SmPC</w:t>
      </w:r>
      <w:proofErr w:type="spellEnd"/>
      <w:r w:rsidRPr="003002BA">
        <w:t xml:space="preserve"> is more restrictive.</w:t>
      </w:r>
      <w:r w:rsidR="00B90AF7">
        <w:t xml:space="preserve"> </w:t>
      </w:r>
      <w:r w:rsidRPr="003002BA">
        <w:t>Upon receipt of such information specific recommendations to the Delegate in regard to the proposed routine risk minimisation activities can then be made.</w:t>
      </w:r>
      <w:r w:rsidR="00B90AF7">
        <w:t xml:space="preserve"> </w:t>
      </w:r>
      <w:r w:rsidRPr="003002BA">
        <w:t>The spo</w:t>
      </w:r>
      <w:r w:rsidR="000A238D">
        <w:t>nsor has responded by stating:</w:t>
      </w:r>
    </w:p>
    <w:p w:rsidR="000A238D" w:rsidRPr="0007156B" w:rsidRDefault="003002BA" w:rsidP="0007156B">
      <w:pPr>
        <w:ind w:left="720"/>
        <w:rPr>
          <w:i/>
        </w:rPr>
      </w:pPr>
      <w:r w:rsidRPr="0007156B">
        <w:rPr>
          <w:i/>
        </w:rPr>
        <w:t>Gilead provides an assurance that a table identifying risk minimization measures in Australia and EU is provided (ASA), however as previously outlined above, a consolidated S</w:t>
      </w:r>
      <w:r w:rsidR="004E414A">
        <w:rPr>
          <w:i/>
        </w:rPr>
        <w:t xml:space="preserve">ection </w:t>
      </w:r>
      <w:r w:rsidRPr="0007156B">
        <w:rPr>
          <w:i/>
        </w:rPr>
        <w:t xml:space="preserve">31 for </w:t>
      </w:r>
      <w:proofErr w:type="spellStart"/>
      <w:r w:rsidRPr="0007156B">
        <w:rPr>
          <w:i/>
        </w:rPr>
        <w:t>H</w:t>
      </w:r>
      <w:r w:rsidR="004E414A">
        <w:rPr>
          <w:i/>
        </w:rPr>
        <w:t>arvoni</w:t>
      </w:r>
      <w:proofErr w:type="spellEnd"/>
      <w:r w:rsidRPr="0007156B">
        <w:rPr>
          <w:i/>
        </w:rPr>
        <w:t xml:space="preserve"> was not provided to Gilead and as such, the PI and CMI may be updated post submission of the RMP response due to differing deadlines. Gilead provides a commitment that the ASA will be updated to reflect the final TGA approved wording following</w:t>
      </w:r>
      <w:r w:rsidR="000A238D" w:rsidRPr="0007156B">
        <w:rPr>
          <w:i/>
        </w:rPr>
        <w:t xml:space="preserve"> </w:t>
      </w:r>
      <w:proofErr w:type="spellStart"/>
      <w:r w:rsidR="00FC6AC1" w:rsidRPr="0007156B">
        <w:rPr>
          <w:i/>
        </w:rPr>
        <w:t>H</w:t>
      </w:r>
      <w:r w:rsidR="00FC6AC1">
        <w:rPr>
          <w:i/>
        </w:rPr>
        <w:t>arvoni</w:t>
      </w:r>
      <w:proofErr w:type="spellEnd"/>
      <w:r w:rsidR="00FC6AC1" w:rsidRPr="0007156B">
        <w:rPr>
          <w:i/>
        </w:rPr>
        <w:t xml:space="preserve"> </w:t>
      </w:r>
      <w:r w:rsidR="000A238D" w:rsidRPr="0007156B">
        <w:rPr>
          <w:i/>
        </w:rPr>
        <w:t>approval in June 2015.</w:t>
      </w:r>
    </w:p>
    <w:p w:rsidR="003002BA" w:rsidRPr="003002BA" w:rsidRDefault="003002BA" w:rsidP="003002BA">
      <w:r w:rsidRPr="003002BA">
        <w:t xml:space="preserve">However, </w:t>
      </w:r>
      <w:r w:rsidR="00FC6AC1">
        <w:t xml:space="preserve">table </w:t>
      </w:r>
      <w:r w:rsidRPr="003002BA">
        <w:t xml:space="preserve">‘Summary Table of Risk Minimization Measures’ does not include all the missing information for </w:t>
      </w:r>
      <w:r w:rsidR="0063513E">
        <w:t>SOF</w:t>
      </w:r>
      <w:r w:rsidRPr="003002BA">
        <w:t xml:space="preserve"> as outlined in S</w:t>
      </w:r>
      <w:r w:rsidR="00FC6AC1">
        <w:t>OF</w:t>
      </w:r>
      <w:r w:rsidRPr="003002BA">
        <w:t xml:space="preserve"> AU-RMP which is applicable to </w:t>
      </w:r>
      <w:proofErr w:type="spellStart"/>
      <w:r w:rsidRPr="003002BA">
        <w:t>H</w:t>
      </w:r>
      <w:r w:rsidR="00FC6AC1">
        <w:t>arvoni</w:t>
      </w:r>
      <w:proofErr w:type="spellEnd"/>
      <w:r w:rsidRPr="003002BA">
        <w:t>, as stated: ‘How risk minimization activities will be implemented in Australia’ of the ASA.</w:t>
      </w:r>
      <w:r w:rsidR="00B90AF7">
        <w:t xml:space="preserve"> </w:t>
      </w:r>
      <w:r w:rsidRPr="003002BA">
        <w:t>In addition no detail regarding labelling has been provided for the missing information: ‘Drug resistance’.</w:t>
      </w:r>
      <w:r w:rsidR="00B90AF7">
        <w:t xml:space="preserve"> </w:t>
      </w:r>
      <w:r w:rsidRPr="003002BA">
        <w:t>These oversights should be corrected in a revised ASA, preferably before this application is approved.</w:t>
      </w:r>
      <w:r w:rsidR="00B90AF7">
        <w:t xml:space="preserve"> </w:t>
      </w:r>
      <w:r w:rsidRPr="003002BA">
        <w:t>Furthermore the sponsor should provide just</w:t>
      </w:r>
      <w:r w:rsidR="00BA1C59">
        <w:t>ification for not updating the ‘Precaution’</w:t>
      </w:r>
      <w:r w:rsidRPr="003002BA">
        <w:t xml:space="preserve"> section of the Australian PI to state that the safety and efficacy of </w:t>
      </w:r>
      <w:proofErr w:type="spellStart"/>
      <w:r w:rsidRPr="003002BA">
        <w:t>H</w:t>
      </w:r>
      <w:r w:rsidR="003A5843">
        <w:t>arvoni</w:t>
      </w:r>
      <w:proofErr w:type="spellEnd"/>
      <w:r w:rsidRPr="003002BA">
        <w:t xml:space="preserve"> has not been established in patients co-infected with HIV, while it does so for patients co-infected with HBV.</w:t>
      </w:r>
      <w:r w:rsidR="00B90AF7">
        <w:t xml:space="preserve"> </w:t>
      </w:r>
      <w:r w:rsidRPr="003002BA">
        <w:t xml:space="preserve">It is noted that similar precautionary statements are proposed in the EU </w:t>
      </w:r>
      <w:proofErr w:type="spellStart"/>
      <w:r w:rsidRPr="003002BA">
        <w:t>SmPC</w:t>
      </w:r>
      <w:proofErr w:type="spellEnd"/>
      <w:r w:rsidRPr="003002BA">
        <w:t>.</w:t>
      </w:r>
    </w:p>
    <w:p w:rsidR="00F376A0" w:rsidRDefault="003002BA" w:rsidP="003002BA">
      <w:r w:rsidRPr="003002BA">
        <w:t xml:space="preserve">It was recommended to the Delegate that </w:t>
      </w:r>
      <w:r w:rsidR="00F376A0">
        <w:t xml:space="preserve">the EU </w:t>
      </w:r>
      <w:proofErr w:type="spellStart"/>
      <w:r w:rsidR="00F376A0">
        <w:t>SmPC</w:t>
      </w:r>
      <w:proofErr w:type="spellEnd"/>
      <w:r w:rsidR="00F376A0">
        <w:t xml:space="preserve"> posology statement:</w:t>
      </w:r>
    </w:p>
    <w:p w:rsidR="00F376A0" w:rsidRPr="00F376A0" w:rsidRDefault="003002BA" w:rsidP="00F376A0">
      <w:pPr>
        <w:ind w:left="720"/>
        <w:rPr>
          <w:i/>
        </w:rPr>
      </w:pPr>
      <w:proofErr w:type="spellStart"/>
      <w:r w:rsidRPr="00F376A0">
        <w:rPr>
          <w:i/>
        </w:rPr>
        <w:t>Harvoni</w:t>
      </w:r>
      <w:proofErr w:type="spellEnd"/>
      <w:r w:rsidRPr="00F376A0">
        <w:rPr>
          <w:i/>
        </w:rPr>
        <w:t xml:space="preserve"> treatment should be initiated and monitored by a physician experienced in the ma</w:t>
      </w:r>
      <w:r w:rsidR="00F376A0" w:rsidRPr="00F376A0">
        <w:rPr>
          <w:i/>
        </w:rPr>
        <w:t>nagement of patients with CHC</w:t>
      </w:r>
    </w:p>
    <w:p w:rsidR="0027734F" w:rsidRDefault="00657638" w:rsidP="003002BA">
      <w:proofErr w:type="gramStart"/>
      <w:r>
        <w:t>or</w:t>
      </w:r>
      <w:proofErr w:type="gramEnd"/>
      <w:r>
        <w:t xml:space="preserve"> similar wording </w:t>
      </w:r>
      <w:r w:rsidR="003002BA" w:rsidRPr="003002BA">
        <w:t xml:space="preserve">be included in the </w:t>
      </w:r>
      <w:r w:rsidR="00755AB1">
        <w:t>‘Dosage an</w:t>
      </w:r>
      <w:r w:rsidR="005A73F6">
        <w:t>d Administration’</w:t>
      </w:r>
      <w:r w:rsidR="003002BA" w:rsidRPr="003002BA">
        <w:t xml:space="preserve"> section of the Australian PI to enhance safe use of this medicine.</w:t>
      </w:r>
      <w:r w:rsidR="00B90AF7">
        <w:t xml:space="preserve"> </w:t>
      </w:r>
      <w:r w:rsidR="003002BA" w:rsidRPr="003002BA">
        <w:t xml:space="preserve">Any such change should be adequately reflected in the draft </w:t>
      </w:r>
      <w:r w:rsidR="001F3C32">
        <w:t>CMI</w:t>
      </w:r>
      <w:r w:rsidR="003002BA" w:rsidRPr="003002BA">
        <w:t xml:space="preserve"> document.</w:t>
      </w:r>
      <w:r w:rsidR="00B90AF7">
        <w:t xml:space="preserve"> </w:t>
      </w:r>
      <w:r w:rsidR="003002BA" w:rsidRPr="003002BA">
        <w:t>The spo</w:t>
      </w:r>
      <w:r w:rsidR="0027734F">
        <w:t>nsor has responded by stating:</w:t>
      </w:r>
    </w:p>
    <w:p w:rsidR="0027734F" w:rsidRPr="0027734F" w:rsidRDefault="003002BA" w:rsidP="0027734F">
      <w:pPr>
        <w:ind w:left="720"/>
        <w:rPr>
          <w:i/>
        </w:rPr>
      </w:pPr>
      <w:r w:rsidRPr="0027734F">
        <w:rPr>
          <w:i/>
        </w:rPr>
        <w:t xml:space="preserve">As stated in the TGA RMP evaluation report for </w:t>
      </w:r>
      <w:proofErr w:type="spellStart"/>
      <w:r w:rsidRPr="0027734F">
        <w:rPr>
          <w:i/>
        </w:rPr>
        <w:t>H</w:t>
      </w:r>
      <w:r w:rsidR="005A6CF1">
        <w:rPr>
          <w:i/>
        </w:rPr>
        <w:t>arvoni</w:t>
      </w:r>
      <w:proofErr w:type="spellEnd"/>
      <w:r w:rsidR="001F3C32">
        <w:rPr>
          <w:i/>
        </w:rPr>
        <w:t>,</w:t>
      </w:r>
      <w:r w:rsidRPr="0027734F">
        <w:rPr>
          <w:i/>
        </w:rPr>
        <w:t xml:space="preserve"> the draft </w:t>
      </w:r>
      <w:r w:rsidR="002261A1">
        <w:rPr>
          <w:i/>
        </w:rPr>
        <w:t xml:space="preserve">PI and CMI </w:t>
      </w:r>
      <w:r w:rsidRPr="0027734F">
        <w:rPr>
          <w:i/>
        </w:rPr>
        <w:t>documents should NOT be revised until the Delegate</w:t>
      </w:r>
      <w:r w:rsidR="001F3C32">
        <w:rPr>
          <w:i/>
        </w:rPr>
        <w:t>’</w:t>
      </w:r>
      <w:r w:rsidRPr="0027734F">
        <w:rPr>
          <w:i/>
        </w:rPr>
        <w:t>s Overview has been received, therefore Gilead has not provided edits or comments on the proposed draft product information or consumer information in regard to the RMP evalua</w:t>
      </w:r>
      <w:r w:rsidR="0027734F" w:rsidRPr="0027734F">
        <w:rPr>
          <w:i/>
        </w:rPr>
        <w:t>tion report as mentioned above.</w:t>
      </w:r>
    </w:p>
    <w:p w:rsidR="003002BA" w:rsidRPr="003002BA" w:rsidRDefault="003002BA" w:rsidP="003002BA">
      <w:r w:rsidRPr="003002BA">
        <w:t>Consequently</w:t>
      </w:r>
      <w:r w:rsidR="0027734F">
        <w:t>,</w:t>
      </w:r>
      <w:r w:rsidRPr="003002BA">
        <w:t xml:space="preserve"> this recommendation remains outstanding and should be adequately addressed preferably before this application is approved.</w:t>
      </w:r>
    </w:p>
    <w:p w:rsidR="00657638" w:rsidRDefault="003002BA" w:rsidP="003002BA">
      <w:r w:rsidRPr="003002BA">
        <w:t xml:space="preserve">The sponsor was advised that a table summarising the </w:t>
      </w:r>
      <w:proofErr w:type="spellStart"/>
      <w:r w:rsidRPr="003002BA">
        <w:t>pharmacovigilance</w:t>
      </w:r>
      <w:proofErr w:type="spellEnd"/>
      <w:r w:rsidRPr="003002BA">
        <w:t xml:space="preserve"> and risk minimisation activities for all of the specified ongoing safety concerns and missing information proposed for Australia should be included in an ASA.</w:t>
      </w:r>
      <w:r w:rsidR="00B90AF7">
        <w:t xml:space="preserve"> </w:t>
      </w:r>
      <w:r w:rsidRPr="003002BA">
        <w:t>The spo</w:t>
      </w:r>
      <w:r w:rsidR="00657638">
        <w:t>nsor has responded by stating:</w:t>
      </w:r>
    </w:p>
    <w:p w:rsidR="00657638" w:rsidRPr="00A22346" w:rsidRDefault="003002BA" w:rsidP="00A22346">
      <w:pPr>
        <w:ind w:left="720"/>
        <w:rPr>
          <w:i/>
        </w:rPr>
      </w:pPr>
      <w:r w:rsidRPr="00A22346">
        <w:rPr>
          <w:i/>
        </w:rPr>
        <w:t xml:space="preserve">A table summarizing the </w:t>
      </w:r>
      <w:proofErr w:type="spellStart"/>
      <w:r w:rsidRPr="00A22346">
        <w:rPr>
          <w:i/>
        </w:rPr>
        <w:t>pharmacovigilance</w:t>
      </w:r>
      <w:proofErr w:type="spellEnd"/>
      <w:r w:rsidRPr="00A22346">
        <w:rPr>
          <w:i/>
        </w:rPr>
        <w:t xml:space="preserve"> and risk minimization activities for all of the specified ongoing safety concerns and missing information proposed for Australia </w:t>
      </w:r>
      <w:r w:rsidR="00BF2CD3">
        <w:rPr>
          <w:i/>
        </w:rPr>
        <w:t>is provided in the ASA</w:t>
      </w:r>
      <w:r w:rsidRPr="00A22346">
        <w:rPr>
          <w:i/>
        </w:rPr>
        <w:t>. Applicable information concerning SO</w:t>
      </w:r>
      <w:r w:rsidR="00BF2CD3">
        <w:rPr>
          <w:i/>
        </w:rPr>
        <w:t>F</w:t>
      </w:r>
      <w:r w:rsidRPr="00A22346">
        <w:rPr>
          <w:i/>
        </w:rPr>
        <w:t xml:space="preserve"> aligned to the SO</w:t>
      </w:r>
      <w:r w:rsidR="00BF2CD3">
        <w:rPr>
          <w:i/>
        </w:rPr>
        <w:t>F</w:t>
      </w:r>
      <w:r w:rsidRPr="00A22346">
        <w:rPr>
          <w:i/>
        </w:rPr>
        <w:t xml:space="preserve"> AU-RMP (version 1.0, provided to TGA on 06 October 2014) </w:t>
      </w:r>
      <w:r w:rsidR="00657638" w:rsidRPr="00A22346">
        <w:rPr>
          <w:i/>
        </w:rPr>
        <w:t xml:space="preserve">is included in the </w:t>
      </w:r>
      <w:proofErr w:type="spellStart"/>
      <w:r w:rsidR="00657638" w:rsidRPr="00A22346">
        <w:rPr>
          <w:i/>
        </w:rPr>
        <w:t>H</w:t>
      </w:r>
      <w:r w:rsidR="00BF2CD3">
        <w:rPr>
          <w:i/>
        </w:rPr>
        <w:t>arvoni</w:t>
      </w:r>
      <w:proofErr w:type="spellEnd"/>
      <w:r w:rsidR="00657638" w:rsidRPr="00A22346">
        <w:rPr>
          <w:i/>
        </w:rPr>
        <w:t xml:space="preserve"> ASA.</w:t>
      </w:r>
    </w:p>
    <w:p w:rsidR="003002BA" w:rsidRPr="003002BA" w:rsidRDefault="003002BA" w:rsidP="003002BA">
      <w:r w:rsidRPr="003002BA">
        <w:t xml:space="preserve">However, </w:t>
      </w:r>
      <w:r w:rsidR="00657638">
        <w:t>table</w:t>
      </w:r>
      <w:r w:rsidRPr="003002BA">
        <w:t xml:space="preserve"> ‘Summary Table of </w:t>
      </w:r>
      <w:proofErr w:type="spellStart"/>
      <w:r w:rsidRPr="003002BA">
        <w:t>Pharmacovigilance</w:t>
      </w:r>
      <w:proofErr w:type="spellEnd"/>
      <w:r w:rsidRPr="003002BA">
        <w:t xml:space="preserve"> and Risk Minimisation activities proposed in Australia’ does not include all the missing information for </w:t>
      </w:r>
      <w:r w:rsidR="0063513E">
        <w:t>SOF</w:t>
      </w:r>
      <w:r w:rsidRPr="003002BA">
        <w:t xml:space="preserve"> as outlined in SO</w:t>
      </w:r>
      <w:r w:rsidR="001F37EA">
        <w:t>F</w:t>
      </w:r>
      <w:r w:rsidRPr="003002BA">
        <w:t xml:space="preserve"> AU-RMP which is applicable to </w:t>
      </w:r>
      <w:proofErr w:type="spellStart"/>
      <w:r w:rsidRPr="003002BA">
        <w:t>H</w:t>
      </w:r>
      <w:r w:rsidR="001F37EA">
        <w:t>arvoni</w:t>
      </w:r>
      <w:proofErr w:type="spellEnd"/>
      <w:r w:rsidRPr="003002BA">
        <w:t>, as stated: ‘How risk minimization activities will be implemented in Australia’ of the ASA.</w:t>
      </w:r>
      <w:r w:rsidR="00B90AF7">
        <w:t xml:space="preserve"> </w:t>
      </w:r>
      <w:r w:rsidRPr="003002BA">
        <w:t>This oversight should be corrected in a revised ASA, preferably before this application is approved.</w:t>
      </w:r>
    </w:p>
    <w:p w:rsidR="003002BA" w:rsidRPr="003002BA" w:rsidRDefault="003002BA" w:rsidP="003002BA">
      <w:r w:rsidRPr="003002BA">
        <w:t xml:space="preserve">The sponsor was advised that the </w:t>
      </w:r>
      <w:r w:rsidR="00062DF8" w:rsidRPr="003002BA">
        <w:t xml:space="preserve">Advisory Committee on the Safety of Medicines </w:t>
      </w:r>
      <w:r w:rsidR="00062DF8">
        <w:t>(</w:t>
      </w:r>
      <w:r w:rsidRPr="003002BA">
        <w:t>ACSOM</w:t>
      </w:r>
      <w:r w:rsidR="00062DF8">
        <w:t>)</w:t>
      </w:r>
      <w:r w:rsidRPr="003002BA">
        <w:t xml:space="preserve"> would be asked to comment on the adequacy of the summary of the ongoing </w:t>
      </w:r>
      <w:r w:rsidRPr="003002BA">
        <w:lastRenderedPageBreak/>
        <w:t>safety concerns in the submitted AU-RMP.</w:t>
      </w:r>
      <w:r w:rsidR="00B90AF7">
        <w:t xml:space="preserve"> </w:t>
      </w:r>
      <w:r w:rsidRPr="003002BA">
        <w:t>In particular, were there additional safety concerns that would require specific consideration with regard to post-market monitoring and/or additional risk minimisation measures?</w:t>
      </w:r>
      <w:r w:rsidR="00B90AF7">
        <w:t xml:space="preserve"> </w:t>
      </w:r>
      <w:r w:rsidRPr="003002BA">
        <w:t>Furthermore</w:t>
      </w:r>
      <w:r w:rsidR="001F37EA">
        <w:t>,</w:t>
      </w:r>
      <w:r w:rsidRPr="003002BA">
        <w:t xml:space="preserve"> the committee would be asked whether it agrees that the important missing information: ‘Development of resistance’ and the additional </w:t>
      </w:r>
      <w:proofErr w:type="spellStart"/>
      <w:r w:rsidRPr="003002BA">
        <w:t>pharmacovigilance</w:t>
      </w:r>
      <w:proofErr w:type="spellEnd"/>
      <w:r w:rsidRPr="003002BA">
        <w:t xml:space="preserve"> activities proposed for this ongoing safety concern in the EU should also be adopted in Australia.</w:t>
      </w:r>
      <w:r w:rsidR="00B90AF7">
        <w:t xml:space="preserve"> </w:t>
      </w:r>
      <w:r w:rsidRPr="003002BA">
        <w:t xml:space="preserve">In particular were the additional </w:t>
      </w:r>
      <w:proofErr w:type="spellStart"/>
      <w:r w:rsidRPr="003002BA">
        <w:t>pharmacovigilance</w:t>
      </w:r>
      <w:proofErr w:type="spellEnd"/>
      <w:r w:rsidRPr="003002BA">
        <w:t xml:space="preserve"> activities for the important missing information: ‘Development of resistance’ adequate and if it is not could the committee outline what other additional </w:t>
      </w:r>
      <w:proofErr w:type="spellStart"/>
      <w:r w:rsidRPr="003002BA">
        <w:t>pharmacovigilance</w:t>
      </w:r>
      <w:proofErr w:type="spellEnd"/>
      <w:r w:rsidRPr="003002BA">
        <w:t xml:space="preserve"> activities might be required.</w:t>
      </w:r>
      <w:r w:rsidR="00B90AF7">
        <w:t xml:space="preserve"> </w:t>
      </w:r>
      <w:r w:rsidRPr="003002BA">
        <w:t>Consequently</w:t>
      </w:r>
      <w:r w:rsidR="001F37EA">
        <w:t>,</w:t>
      </w:r>
      <w:r w:rsidRPr="003002BA">
        <w:t xml:space="preserve"> the committee made the following recommendations which the sponsor should adequately address, revising the ASA if so required, preferably before this application is approved (see attached ratified advice for further detail):</w:t>
      </w:r>
    </w:p>
    <w:p w:rsidR="003002BA" w:rsidRPr="0053467A" w:rsidRDefault="003002BA" w:rsidP="000F37B2">
      <w:pPr>
        <w:pStyle w:val="ListBullet"/>
      </w:pPr>
      <w:r w:rsidRPr="0053467A">
        <w:t xml:space="preserve">The committee advised that the safety concern list provided by the sponsor should be extended to include </w:t>
      </w:r>
      <w:proofErr w:type="spellStart"/>
      <w:r w:rsidRPr="0053467A">
        <w:t>cardiotoxicity</w:t>
      </w:r>
      <w:proofErr w:type="spellEnd"/>
      <w:r w:rsidRPr="0053467A">
        <w:t>.</w:t>
      </w:r>
    </w:p>
    <w:p w:rsidR="009203E1" w:rsidRDefault="003002BA" w:rsidP="003002BA">
      <w:pPr>
        <w:pStyle w:val="ListBullet"/>
      </w:pPr>
      <w:r w:rsidRPr="0053467A">
        <w:t xml:space="preserve">The sponsor has identified an Important Potential drug-drug interaction with </w:t>
      </w:r>
      <w:proofErr w:type="spellStart"/>
      <w:r w:rsidRPr="0053467A">
        <w:t>rosuvastatin</w:t>
      </w:r>
      <w:proofErr w:type="spellEnd"/>
      <w:r w:rsidRPr="0053467A">
        <w:t>. The committee advised that this needed to be broadened to refer to the possibility of interaction with other statins</w:t>
      </w:r>
      <w:r w:rsidR="009203E1">
        <w:t>.</w:t>
      </w:r>
    </w:p>
    <w:p w:rsidR="003002BA" w:rsidRPr="0053467A" w:rsidRDefault="003002BA" w:rsidP="003002BA">
      <w:pPr>
        <w:pStyle w:val="ListBullet"/>
      </w:pPr>
      <w:r w:rsidRPr="0053467A">
        <w:t xml:space="preserve">In general, the committee noted the need for the sponsor to provide undertaking to contribute ongoing utilisation and </w:t>
      </w:r>
      <w:proofErr w:type="spellStart"/>
      <w:r w:rsidRPr="0053467A">
        <w:t>pharmacovigilance</w:t>
      </w:r>
      <w:proofErr w:type="spellEnd"/>
      <w:r w:rsidRPr="0053467A">
        <w:t xml:space="preserve"> data to Australian surveillance and regulatory systems, such as the National Centre in HIV Epidemiology and Clinical Research (NCHECR), especially of patients with co-morbidities or complex conditions.</w:t>
      </w:r>
    </w:p>
    <w:p w:rsidR="003002BA" w:rsidRPr="0053467A" w:rsidRDefault="003002BA" w:rsidP="003002BA">
      <w:pPr>
        <w:pStyle w:val="ListBullet"/>
      </w:pPr>
      <w:r w:rsidRPr="0053467A">
        <w:t xml:space="preserve">the sponsor should be requested to clarify the Use in Pregnancy categorisation for </w:t>
      </w:r>
      <w:proofErr w:type="spellStart"/>
      <w:r w:rsidRPr="0053467A">
        <w:t>Harvoni</w:t>
      </w:r>
      <w:proofErr w:type="spellEnd"/>
      <w:r w:rsidRPr="0053467A">
        <w:t xml:space="preserve"> therapy and when </w:t>
      </w:r>
      <w:proofErr w:type="spellStart"/>
      <w:r w:rsidRPr="0053467A">
        <w:t>Harvoni</w:t>
      </w:r>
      <w:proofErr w:type="spellEnd"/>
      <w:r w:rsidRPr="0053467A">
        <w:t xml:space="preserve"> is used in combination with other therapies; and</w:t>
      </w:r>
    </w:p>
    <w:p w:rsidR="003002BA" w:rsidRPr="0053467A" w:rsidRDefault="003002BA" w:rsidP="003002BA">
      <w:pPr>
        <w:pStyle w:val="ListBullet"/>
      </w:pPr>
      <w:proofErr w:type="gramStart"/>
      <w:r w:rsidRPr="0053467A">
        <w:t>the</w:t>
      </w:r>
      <w:proofErr w:type="gramEnd"/>
      <w:r w:rsidRPr="0053467A">
        <w:t xml:space="preserve"> European Summary of Product Characteristics mentions the potential interaction with </w:t>
      </w:r>
      <w:proofErr w:type="spellStart"/>
      <w:r w:rsidRPr="0053467A">
        <w:t>dabigatran</w:t>
      </w:r>
      <w:proofErr w:type="spellEnd"/>
      <w:r w:rsidRPr="0053467A">
        <w:t xml:space="preserve"> and this should also be added to the PI.</w:t>
      </w:r>
    </w:p>
    <w:p w:rsidR="003002BA" w:rsidRPr="003002BA" w:rsidRDefault="003002BA" w:rsidP="003002BA">
      <w:pPr>
        <w:pStyle w:val="Heading6"/>
      </w:pPr>
      <w:r w:rsidRPr="003002BA">
        <w:t xml:space="preserve">Advice from </w:t>
      </w:r>
      <w:r w:rsidR="00933C78">
        <w:t>ACSOM</w:t>
      </w:r>
    </w:p>
    <w:p w:rsidR="007F449C" w:rsidRPr="007F449C" w:rsidRDefault="007F449C" w:rsidP="007F449C">
      <w:r w:rsidRPr="007F449C">
        <w:t>The committee provided advice on specific questions asked by the TGA relatin</w:t>
      </w:r>
      <w:r w:rsidR="00270A1D">
        <w:t>g to a RMP</w:t>
      </w:r>
      <w:r w:rsidRPr="007F449C">
        <w:t>.</w:t>
      </w:r>
    </w:p>
    <w:p w:rsidR="007F449C" w:rsidRPr="007F449C" w:rsidRDefault="007F449C" w:rsidP="007F449C">
      <w:pPr>
        <w:pStyle w:val="ListBullet"/>
      </w:pPr>
      <w:r w:rsidRPr="007F449C">
        <w:t>Can the committee comment on the adequacy of the safety concern list provided by the sponsor? In particular, are there additional safety concerns that would require specific consideration with regard to post</w:t>
      </w:r>
      <w:r w:rsidR="00346CAE">
        <w:t xml:space="preserve"> </w:t>
      </w:r>
      <w:r w:rsidRPr="007F449C">
        <w:t>market monitoring and/or additional risk minimisation measures?</w:t>
      </w:r>
    </w:p>
    <w:p w:rsidR="009203E1" w:rsidRDefault="007F449C" w:rsidP="007F449C">
      <w:r w:rsidRPr="007F449C">
        <w:t xml:space="preserve">The committee noted that the incidence of serious adverse events </w:t>
      </w:r>
      <w:r w:rsidR="00933C78">
        <w:t xml:space="preserve">(SAEs) </w:t>
      </w:r>
      <w:r w:rsidRPr="007F449C">
        <w:t>was low</w:t>
      </w:r>
      <w:r w:rsidR="009203E1">
        <w:t>.</w:t>
      </w:r>
    </w:p>
    <w:p w:rsidR="007F449C" w:rsidRPr="007F449C" w:rsidRDefault="007F449C" w:rsidP="007F449C">
      <w:r w:rsidRPr="007F449C">
        <w:t xml:space="preserve">The committee advised that the safety concern list provided by the sponsor should be extended to include </w:t>
      </w:r>
      <w:proofErr w:type="spellStart"/>
      <w:r w:rsidRPr="007F449C">
        <w:t>cardiotoxicity</w:t>
      </w:r>
      <w:proofErr w:type="spellEnd"/>
      <w:r w:rsidRPr="007F449C">
        <w:t>. Mitochondrial toxicity did not require additional emphasis in the summary of safety concerns. The committee noted that the Missing Information on safety in patients who are post liver transplantation will be addressed in one of the ongoing clinical studies.</w:t>
      </w:r>
    </w:p>
    <w:p w:rsidR="007F449C" w:rsidRPr="007F449C" w:rsidRDefault="007F449C" w:rsidP="007F449C">
      <w:r w:rsidRPr="007F449C">
        <w:t xml:space="preserve">The Missing Information on the development of resistance will be more important in the populations requiring longer term therapy, such as transplant and </w:t>
      </w:r>
      <w:proofErr w:type="spellStart"/>
      <w:r w:rsidRPr="007F449C">
        <w:t>immunocompromised</w:t>
      </w:r>
      <w:proofErr w:type="spellEnd"/>
      <w:r w:rsidRPr="007F449C">
        <w:t xml:space="preserve"> patients, compared to patients achieving SVR within 8 weeks of therapy.</w:t>
      </w:r>
    </w:p>
    <w:p w:rsidR="009203E1" w:rsidRDefault="007F449C" w:rsidP="007F449C">
      <w:r w:rsidRPr="007F449C">
        <w:t xml:space="preserve">The sponsor has identified an Important Potential drug-drug interaction with </w:t>
      </w:r>
      <w:proofErr w:type="spellStart"/>
      <w:r w:rsidRPr="007F449C">
        <w:t>rosuvastatin</w:t>
      </w:r>
      <w:proofErr w:type="spellEnd"/>
      <w:r w:rsidRPr="007F449C">
        <w:t>. The committee advised that this needed to be broadened to refer to the possibility of interaction with other statins</w:t>
      </w:r>
      <w:r w:rsidR="009203E1">
        <w:t>.</w:t>
      </w:r>
    </w:p>
    <w:p w:rsidR="007F449C" w:rsidRPr="007F449C" w:rsidRDefault="007F449C" w:rsidP="000F37B2">
      <w:pPr>
        <w:pStyle w:val="ListBullet"/>
      </w:pPr>
      <w:r w:rsidRPr="007F449C">
        <w:t xml:space="preserve">Does the committee agree that the important missing information: ‘Development of resistance’ and the additional </w:t>
      </w:r>
      <w:proofErr w:type="spellStart"/>
      <w:r w:rsidRPr="007F449C">
        <w:t>pharmacovigilance</w:t>
      </w:r>
      <w:proofErr w:type="spellEnd"/>
      <w:r w:rsidRPr="007F449C">
        <w:t xml:space="preserve"> activities proposed for this ongoing safety concern in the EU should also be adopted in Australia? Can the committee comment on the adequacy of these additional </w:t>
      </w:r>
      <w:proofErr w:type="spellStart"/>
      <w:r w:rsidRPr="007F449C">
        <w:t>pharmacovigilance</w:t>
      </w:r>
      <w:proofErr w:type="spellEnd"/>
      <w:r w:rsidRPr="007F449C">
        <w:t xml:space="preserve"> activities for the important missing information: ‘Development of resistance’? If it is not considered to </w:t>
      </w:r>
      <w:proofErr w:type="gramStart"/>
      <w:r w:rsidRPr="007F449C">
        <w:lastRenderedPageBreak/>
        <w:t>be</w:t>
      </w:r>
      <w:proofErr w:type="gramEnd"/>
      <w:r w:rsidRPr="007F449C">
        <w:t xml:space="preserve"> adequate, can the committee outline what other additional </w:t>
      </w:r>
      <w:proofErr w:type="spellStart"/>
      <w:r w:rsidRPr="007F449C">
        <w:t>pharmacovigilance</w:t>
      </w:r>
      <w:proofErr w:type="spellEnd"/>
      <w:r w:rsidRPr="007F449C">
        <w:t xml:space="preserve"> activities might be required?</w:t>
      </w:r>
    </w:p>
    <w:p w:rsidR="007F449C" w:rsidRPr="007F449C" w:rsidRDefault="007F449C" w:rsidP="007F449C">
      <w:r w:rsidRPr="007F449C">
        <w:t xml:space="preserve">The committee advised that the proposed </w:t>
      </w:r>
      <w:proofErr w:type="spellStart"/>
      <w:r w:rsidRPr="007F449C">
        <w:t>pharmacovigilance</w:t>
      </w:r>
      <w:proofErr w:type="spellEnd"/>
      <w:r w:rsidRPr="007F449C">
        <w:t xml:space="preserve"> activities were generally adequate, but agreed that the additional activities proposed in the EU for the ‘development of resistance’ should also be adopted in Australia.</w:t>
      </w:r>
    </w:p>
    <w:p w:rsidR="007F449C" w:rsidRPr="007F449C" w:rsidRDefault="007F449C" w:rsidP="007F449C">
      <w:r w:rsidRPr="007F449C">
        <w:t xml:space="preserve">In general, the committee noted the need for the sponsor to provide undertaking to contribute ongoing utilisation and </w:t>
      </w:r>
      <w:proofErr w:type="spellStart"/>
      <w:r w:rsidRPr="007F449C">
        <w:t>pharmacovigilance</w:t>
      </w:r>
      <w:proofErr w:type="spellEnd"/>
      <w:r w:rsidRPr="007F449C">
        <w:t xml:space="preserve"> data to Australian surveillance and regulatory systems, such as the National Centre in HIV Epidemiology and Clinical Research (NCHECR), especially of patients with co-morbidities or complex conditions.</w:t>
      </w:r>
    </w:p>
    <w:p w:rsidR="007F449C" w:rsidRPr="007F449C" w:rsidRDefault="007F449C" w:rsidP="007F449C">
      <w:r w:rsidRPr="007F449C">
        <w:t>The committee also advised that:</w:t>
      </w:r>
    </w:p>
    <w:p w:rsidR="007F449C" w:rsidRDefault="007F449C" w:rsidP="000F37B2">
      <w:pPr>
        <w:pStyle w:val="ListBullet"/>
      </w:pPr>
      <w:r w:rsidRPr="00C63EEF">
        <w:t>information obtained from post-marketing experience should be promptly included in upda</w:t>
      </w:r>
      <w:r w:rsidR="00270A1D">
        <w:t>tes to the PI</w:t>
      </w:r>
      <w:r w:rsidRPr="00C63EEF">
        <w:t xml:space="preserve"> </w:t>
      </w:r>
      <w:r>
        <w:t xml:space="preserve">so as to further assist </w:t>
      </w:r>
      <w:r w:rsidRPr="00C63EEF">
        <w:t>prescribers;</w:t>
      </w:r>
    </w:p>
    <w:p w:rsidR="007F449C" w:rsidRDefault="007F449C" w:rsidP="007F449C">
      <w:pPr>
        <w:pStyle w:val="ListBullet"/>
      </w:pPr>
      <w:r w:rsidRPr="00C63EEF">
        <w:t xml:space="preserve">the sponsor should be requested to clarify the </w:t>
      </w:r>
      <w:r>
        <w:t xml:space="preserve">Use in Pregnancy categorisation </w:t>
      </w:r>
      <w:r w:rsidRPr="00C63EEF">
        <w:t xml:space="preserve">for </w:t>
      </w:r>
      <w:proofErr w:type="spellStart"/>
      <w:r w:rsidRPr="00C63EEF">
        <w:t>Harvoni</w:t>
      </w:r>
      <w:proofErr w:type="spellEnd"/>
      <w:r w:rsidRPr="00C63EEF">
        <w:t xml:space="preserve"> therapy and when </w:t>
      </w:r>
      <w:proofErr w:type="spellStart"/>
      <w:r w:rsidRPr="00C63EEF">
        <w:t>Harvoni</w:t>
      </w:r>
      <w:proofErr w:type="spellEnd"/>
      <w:r w:rsidRPr="00C63EEF">
        <w:t xml:space="preserve"> is used in combination with other therapies; and</w:t>
      </w:r>
    </w:p>
    <w:p w:rsidR="007F449C" w:rsidRPr="00C63EEF" w:rsidRDefault="007F449C" w:rsidP="007F449C">
      <w:pPr>
        <w:pStyle w:val="ListBullet"/>
      </w:pPr>
      <w:proofErr w:type="gramStart"/>
      <w:r w:rsidRPr="00C63EEF">
        <w:t>the</w:t>
      </w:r>
      <w:proofErr w:type="gramEnd"/>
      <w:r w:rsidRPr="00C63EEF">
        <w:t xml:space="preserve"> European </w:t>
      </w:r>
      <w:proofErr w:type="spellStart"/>
      <w:r w:rsidR="00346CAE">
        <w:t>SmPC</w:t>
      </w:r>
      <w:proofErr w:type="spellEnd"/>
      <w:r w:rsidRPr="00C63EEF">
        <w:t xml:space="preserve"> mentions the potential interaction with </w:t>
      </w:r>
      <w:proofErr w:type="spellStart"/>
      <w:r w:rsidRPr="00C63EEF">
        <w:t>dabigatran</w:t>
      </w:r>
      <w:proofErr w:type="spellEnd"/>
      <w:r w:rsidRPr="00C63EEF">
        <w:t xml:space="preserve"> and this should also be added to the PI.</w:t>
      </w:r>
    </w:p>
    <w:p w:rsidR="00741470" w:rsidRPr="00E24D4B" w:rsidRDefault="00741470" w:rsidP="00741470">
      <w:pPr>
        <w:pStyle w:val="Heading5"/>
      </w:pPr>
      <w:r w:rsidRPr="00E24D4B">
        <w:t>Comments on the safety specification of the RMP</w:t>
      </w:r>
    </w:p>
    <w:p w:rsidR="00741470" w:rsidRPr="00E24D4B" w:rsidRDefault="00741470" w:rsidP="00741470">
      <w:pPr>
        <w:pStyle w:val="Heading6"/>
      </w:pPr>
      <w:r w:rsidRPr="00E24D4B">
        <w:t xml:space="preserve">Clinical </w:t>
      </w:r>
      <w:r>
        <w:t>e</w:t>
      </w:r>
      <w:r w:rsidRPr="00E24D4B">
        <w:t xml:space="preserve">valuation </w:t>
      </w:r>
      <w:r>
        <w:t>r</w:t>
      </w:r>
      <w:r w:rsidRPr="00E24D4B">
        <w:t xml:space="preserve">eport </w:t>
      </w:r>
    </w:p>
    <w:p w:rsidR="00270A1D" w:rsidRPr="00270A1D" w:rsidRDefault="00270A1D" w:rsidP="00270A1D">
      <w:r w:rsidRPr="00270A1D">
        <w:t xml:space="preserve">The Safety Specification in the draft </w:t>
      </w:r>
      <w:r w:rsidR="00346CAE">
        <w:t>RMP</w:t>
      </w:r>
      <w:r w:rsidRPr="00270A1D">
        <w:t xml:space="preserve"> is satisfactory.</w:t>
      </w:r>
    </w:p>
    <w:p w:rsidR="00270A1D" w:rsidRPr="00270A1D" w:rsidRDefault="00270A1D" w:rsidP="00270A1D">
      <w:r w:rsidRPr="00270A1D">
        <w:t xml:space="preserve">The </w:t>
      </w:r>
      <w:r w:rsidR="00294CBE">
        <w:t>s</w:t>
      </w:r>
      <w:r w:rsidRPr="00270A1D">
        <w:t>ponsor provided new clinical information after the first round but did not change the Safety Specification in the draft RMP.</w:t>
      </w:r>
      <w:r w:rsidR="00B90AF7">
        <w:t xml:space="preserve"> </w:t>
      </w:r>
      <w:r w:rsidRPr="00270A1D">
        <w:t>After consideration of the new clinical information, the Safety Specification in the draft Risk Management Plan is satisfactory.</w:t>
      </w:r>
    </w:p>
    <w:p w:rsidR="00741470" w:rsidRPr="004A71C1" w:rsidRDefault="00741470" w:rsidP="00741470">
      <w:pPr>
        <w:pStyle w:val="Heading6"/>
      </w:pPr>
      <w:r>
        <w:t>Nonc</w:t>
      </w:r>
      <w:r w:rsidRPr="004A71C1">
        <w:t xml:space="preserve">linical </w:t>
      </w:r>
      <w:r>
        <w:t>e</w:t>
      </w:r>
      <w:r w:rsidRPr="004A71C1">
        <w:t xml:space="preserve">valuation </w:t>
      </w:r>
      <w:r>
        <w:t>r</w:t>
      </w:r>
      <w:r w:rsidR="000F37B2">
        <w:t>eport</w:t>
      </w:r>
    </w:p>
    <w:p w:rsidR="00270A1D" w:rsidRPr="00270A1D" w:rsidRDefault="00270A1D" w:rsidP="00270A1D">
      <w:r w:rsidRPr="00270A1D">
        <w:t>Results and conclusions drawn fr</w:t>
      </w:r>
      <w:r w:rsidR="00153563">
        <w:t xml:space="preserve">om the nonclinical program for </w:t>
      </w:r>
      <w:r w:rsidR="007B3AED">
        <w:t>LDV</w:t>
      </w:r>
      <w:r w:rsidRPr="00270A1D">
        <w:t xml:space="preserve"> detailed in the sponsor’s draft </w:t>
      </w:r>
      <w:r w:rsidR="00AF3559">
        <w:t>RMP</w:t>
      </w:r>
      <w:r w:rsidRPr="00270A1D">
        <w:t xml:space="preserve"> for Australia (Version 0.1) are in general concordance with those of the </w:t>
      </w:r>
      <w:r w:rsidR="0035464A">
        <w:t>n</w:t>
      </w:r>
      <w:r w:rsidRPr="00270A1D">
        <w:t xml:space="preserve">onclinical </w:t>
      </w:r>
      <w:r w:rsidR="0035464A">
        <w:t>evaluator. T</w:t>
      </w:r>
      <w:r w:rsidRPr="00270A1D">
        <w:t xml:space="preserve">he statement in relation to carcinogenicity of </w:t>
      </w:r>
      <w:r w:rsidR="0063513E">
        <w:t>SOF</w:t>
      </w:r>
      <w:r w:rsidRPr="00270A1D">
        <w:t xml:space="preserve"> in mice is not accurate.</w:t>
      </w:r>
      <w:r w:rsidR="00B90AF7">
        <w:t xml:space="preserve"> </w:t>
      </w:r>
      <w:r w:rsidRPr="00270A1D">
        <w:t xml:space="preserve">Doses up to 600 mg/kg/day were tested in </w:t>
      </w:r>
      <w:proofErr w:type="gramStart"/>
      <w:r w:rsidRPr="00270A1D">
        <w:t>females,</w:t>
      </w:r>
      <w:proofErr w:type="gramEnd"/>
      <w:r w:rsidRPr="00270A1D">
        <w:t xml:space="preserve"> males were only tested up to 200 mg/kg/day.</w:t>
      </w:r>
    </w:p>
    <w:p w:rsidR="00741470" w:rsidRPr="00E24D4B" w:rsidRDefault="00741470" w:rsidP="00741470">
      <w:pPr>
        <w:pStyle w:val="Heading5"/>
      </w:pPr>
      <w:r w:rsidRPr="008B1938">
        <w:t xml:space="preserve">Key changes to the updated </w:t>
      </w:r>
      <w:r>
        <w:t>RMP</w:t>
      </w:r>
    </w:p>
    <w:p w:rsidR="00741470" w:rsidRDefault="00270A1D" w:rsidP="00741470">
      <w:r w:rsidRPr="00270A1D">
        <w:t>In their response to the TGA S</w:t>
      </w:r>
      <w:r w:rsidR="00153563">
        <w:t xml:space="preserve">ection 31 requests, </w:t>
      </w:r>
      <w:r w:rsidRPr="00270A1D">
        <w:t>the sponsor provided an ASA (Version 0.1, dated November 2014). Key changes from the AU-RMP (Version 0.1, dated 1 April 2014) evaluated at Ro</w:t>
      </w:r>
      <w:r w:rsidR="008A1010">
        <w:t>und 1 are summarised:</w:t>
      </w:r>
    </w:p>
    <w:p w:rsidR="00322D51" w:rsidRPr="00322D51" w:rsidRDefault="00322D51" w:rsidP="00322D51">
      <w:pPr>
        <w:pStyle w:val="ListBullet"/>
      </w:pPr>
      <w:r w:rsidRPr="00322D51">
        <w:t xml:space="preserve">The important potential risk: ‘Drug-drug interaction with TDF + PK enhancer (LDV)’ and the missing information: ‘Safety in patients with HCV/HBV co-infection’ &amp; ‘Drug resistance’ </w:t>
      </w:r>
      <w:proofErr w:type="gramStart"/>
      <w:r w:rsidRPr="00322D51">
        <w:t>have</w:t>
      </w:r>
      <w:proofErr w:type="gramEnd"/>
      <w:r w:rsidRPr="00322D51">
        <w:t xml:space="preserve"> been added as safety concerns.</w:t>
      </w:r>
    </w:p>
    <w:p w:rsidR="00322D51" w:rsidRPr="00322D51" w:rsidRDefault="00322D51" w:rsidP="00322D51">
      <w:pPr>
        <w:pStyle w:val="ListBullet"/>
      </w:pPr>
      <w:r w:rsidRPr="00322D51">
        <w:t>The sponsor has justified why the missing information: ‘Safety in patients who are post liver transplantation’ &amp; ‘Safety in patients with severe renal impairment or end-stage renal disease’ has been deleted.</w:t>
      </w:r>
    </w:p>
    <w:p w:rsidR="00322D51" w:rsidRPr="00322D51" w:rsidRDefault="00322D51" w:rsidP="00322D51">
      <w:pPr>
        <w:pStyle w:val="ListBullet"/>
      </w:pPr>
      <w:r w:rsidRPr="00322D51">
        <w:t xml:space="preserve">Section 3.1: ‘How risk minimization activities will be implemented in Australia’ states that the following missing information for </w:t>
      </w:r>
      <w:r w:rsidR="0063513E">
        <w:t>SOF</w:t>
      </w:r>
      <w:r w:rsidRPr="00322D51">
        <w:t xml:space="preserve"> as outlined in SO</w:t>
      </w:r>
      <w:r w:rsidR="00153563">
        <w:t>F</w:t>
      </w:r>
      <w:r w:rsidRPr="00322D51">
        <w:t xml:space="preserve"> AU-RMP is also applicable to </w:t>
      </w:r>
      <w:proofErr w:type="spellStart"/>
      <w:r w:rsidRPr="00322D51">
        <w:t>H</w:t>
      </w:r>
      <w:r w:rsidR="00153563">
        <w:t>arvoni</w:t>
      </w:r>
      <w:proofErr w:type="spellEnd"/>
      <w:r w:rsidRPr="00322D51">
        <w:t>:</w:t>
      </w:r>
    </w:p>
    <w:p w:rsidR="00322D51" w:rsidRPr="00322D51" w:rsidRDefault="00322D51" w:rsidP="00322D51">
      <w:pPr>
        <w:pStyle w:val="ListBullet2"/>
      </w:pPr>
      <w:r w:rsidRPr="00322D51">
        <w:t>Patients with portal hypertension</w:t>
      </w:r>
    </w:p>
    <w:p w:rsidR="00322D51" w:rsidRPr="00322D51" w:rsidRDefault="00322D51" w:rsidP="00322D51">
      <w:pPr>
        <w:pStyle w:val="ListBullet2"/>
      </w:pPr>
      <w:r w:rsidRPr="00322D51">
        <w:t xml:space="preserve">Patients with untreated HIV co‐infection </w:t>
      </w:r>
    </w:p>
    <w:p w:rsidR="00322D51" w:rsidRPr="00322D51" w:rsidRDefault="00322D51" w:rsidP="00322D51">
      <w:pPr>
        <w:pStyle w:val="ListBullet2"/>
      </w:pPr>
      <w:r w:rsidRPr="00322D51">
        <w:t xml:space="preserve">Patients with HBV co‐infection </w:t>
      </w:r>
    </w:p>
    <w:p w:rsidR="00322D51" w:rsidRPr="00322D51" w:rsidRDefault="00322D51" w:rsidP="00322D51">
      <w:pPr>
        <w:pStyle w:val="ListBullet2"/>
      </w:pPr>
      <w:r w:rsidRPr="00322D51">
        <w:lastRenderedPageBreak/>
        <w:t>Effectiveness of hormonal contraception</w:t>
      </w:r>
    </w:p>
    <w:p w:rsidR="00322D51" w:rsidRPr="00322D51" w:rsidRDefault="00322D51" w:rsidP="00322D51">
      <w:pPr>
        <w:pStyle w:val="ListBullet"/>
      </w:pPr>
      <w:r w:rsidRPr="00322D51">
        <w:t>Table 1-1: ‘Summary Table of Safety Concerns (Differences in Europe and Australia)’ has been added.</w:t>
      </w:r>
    </w:p>
    <w:p w:rsidR="00322D51" w:rsidRPr="00322D51" w:rsidRDefault="00322D51" w:rsidP="00322D51">
      <w:pPr>
        <w:pStyle w:val="ListBullet"/>
      </w:pPr>
      <w:r w:rsidRPr="00322D51">
        <w:t>Table 2-2: ‘Summary Table of Safety Concerns (Differences in HARVONI and SOVALDI Australia)’ has been added.</w:t>
      </w:r>
    </w:p>
    <w:p w:rsidR="00322D51" w:rsidRPr="00322D51" w:rsidRDefault="00322D51" w:rsidP="00322D51">
      <w:pPr>
        <w:pStyle w:val="ListBullet"/>
      </w:pPr>
      <w:r w:rsidRPr="00322D51">
        <w:t>Table 3: ‘Summary Table of Risk Minimization Measures’ has been added.</w:t>
      </w:r>
    </w:p>
    <w:p w:rsidR="008A1010" w:rsidRPr="00322D51" w:rsidRDefault="00322D51" w:rsidP="00322D51">
      <w:pPr>
        <w:pStyle w:val="ListBullet"/>
      </w:pPr>
      <w:r w:rsidRPr="00322D51">
        <w:t xml:space="preserve">Table 4: ‘Summary Table of </w:t>
      </w:r>
      <w:proofErr w:type="spellStart"/>
      <w:r w:rsidRPr="00322D51">
        <w:t>Pharmacovigilance</w:t>
      </w:r>
      <w:proofErr w:type="spellEnd"/>
      <w:r w:rsidRPr="00322D51">
        <w:t xml:space="preserve"> and Risk Minimisation activities proposed in Australia’ has been added.</w:t>
      </w:r>
    </w:p>
    <w:p w:rsidR="00741470" w:rsidRPr="0065641D" w:rsidRDefault="00741470" w:rsidP="00741470">
      <w:pPr>
        <w:pStyle w:val="Heading5"/>
      </w:pPr>
      <w:r w:rsidRPr="0065641D">
        <w:t>Suggested wording</w:t>
      </w:r>
      <w:r w:rsidR="000F37B2">
        <w:t xml:space="preserve"> for conditions of registration</w:t>
      </w:r>
    </w:p>
    <w:p w:rsidR="00741470" w:rsidRPr="0065641D" w:rsidRDefault="00741470" w:rsidP="00741470">
      <w:pPr>
        <w:pStyle w:val="Heading6"/>
      </w:pPr>
      <w:r w:rsidRPr="0065641D">
        <w:t>RMP</w:t>
      </w:r>
    </w:p>
    <w:p w:rsidR="009203E1" w:rsidRDefault="00270A1D" w:rsidP="00270A1D">
      <w:r w:rsidRPr="00270A1D">
        <w:t>At this time no wording can be provided, as it is recommended that an acceptably revised ASA be submitted before this application is approved</w:t>
      </w:r>
      <w:r w:rsidR="009203E1">
        <w:t>.</w:t>
      </w:r>
    </w:p>
    <w:p w:rsidR="008E7846" w:rsidRPr="00792A32" w:rsidRDefault="008E7846" w:rsidP="000F37B2">
      <w:pPr>
        <w:pStyle w:val="Heading2"/>
      </w:pPr>
      <w:bookmarkStart w:id="144" w:name="_Toc314842510"/>
      <w:bookmarkStart w:id="145" w:name="_Toc432073742"/>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98"/>
      <w:bookmarkEnd w:id="143"/>
      <w:bookmarkEnd w:id="144"/>
      <w:bookmarkEnd w:id="145"/>
    </w:p>
    <w:p w:rsidR="008E7846" w:rsidRDefault="008E7846" w:rsidP="008E7846">
      <w:bookmarkStart w:id="146"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47" w:name="_Toc314842511"/>
      <w:bookmarkStart w:id="148" w:name="_Toc432073743"/>
      <w:r>
        <w:t>Quality</w:t>
      </w:r>
      <w:bookmarkEnd w:id="146"/>
      <w:bookmarkEnd w:id="147"/>
      <w:bookmarkEnd w:id="148"/>
    </w:p>
    <w:p w:rsidR="00C96D52" w:rsidRDefault="00C96D52" w:rsidP="003A7F6C">
      <w:r w:rsidRPr="00C96D52">
        <w:t xml:space="preserve">From a pharmaceutical chemistry perspective, the evaluator has no objection to the registration of the proposed </w:t>
      </w:r>
      <w:r w:rsidR="0040587F">
        <w:t>FDC</w:t>
      </w:r>
      <w:r w:rsidRPr="00C96D52">
        <w:t xml:space="preserve"> film</w:t>
      </w:r>
      <w:r w:rsidR="00474281">
        <w:t xml:space="preserve"> </w:t>
      </w:r>
      <w:r w:rsidRPr="00C96D52">
        <w:t xml:space="preserve">coated tablets containing 90 mg </w:t>
      </w:r>
      <w:r w:rsidR="007B3AED">
        <w:t>LDV</w:t>
      </w:r>
      <w:r w:rsidRPr="00C96D52">
        <w:t xml:space="preserve"> and 400 mg </w:t>
      </w:r>
      <w:r w:rsidR="0063513E">
        <w:t>SOF</w:t>
      </w:r>
      <w:r w:rsidRPr="00C96D52">
        <w:t>, in HDPE bottles with child</w:t>
      </w:r>
      <w:r w:rsidR="00474281">
        <w:t xml:space="preserve"> </w:t>
      </w:r>
      <w:r w:rsidRPr="00C96D52">
        <w:t>resistant PP caps containing 28 tablets. All issues raised during the initial evaluation of this application hav</w:t>
      </w:r>
      <w:r>
        <w:t>e been satisfactorily resolved.</w:t>
      </w:r>
    </w:p>
    <w:p w:rsidR="00C96D52" w:rsidRDefault="00C96D52" w:rsidP="003A7F6C">
      <w:r w:rsidRPr="00C96D52">
        <w:t>As no significant pharmaceutical chemistry issues were identified, the submission was not referred to the Pharmaceutical Subcommittee of the ACPM, in keeping with recent branch policy.</w:t>
      </w:r>
    </w:p>
    <w:p w:rsidR="008E7846" w:rsidRDefault="008E7846" w:rsidP="008E7846">
      <w:pPr>
        <w:pStyle w:val="Heading3"/>
      </w:pPr>
      <w:bookmarkStart w:id="149" w:name="_Toc314842512"/>
      <w:bookmarkStart w:id="150" w:name="_Toc432073744"/>
      <w:r>
        <w:t>Nonclinical</w:t>
      </w:r>
      <w:bookmarkEnd w:id="149"/>
      <w:bookmarkEnd w:id="150"/>
    </w:p>
    <w:p w:rsidR="00AA2A63" w:rsidRPr="00AA2A63" w:rsidRDefault="00AA2A63" w:rsidP="00AA2A63">
      <w:r w:rsidRPr="00AA2A63">
        <w:t xml:space="preserve">The </w:t>
      </w:r>
      <w:r>
        <w:t xml:space="preserve">nonclinical </w:t>
      </w:r>
      <w:r w:rsidRPr="00AA2A63">
        <w:t>evaluator considers that</w:t>
      </w:r>
      <w:r w:rsidR="00507A7A">
        <w:t xml:space="preserve"> the overall quality of the non</w:t>
      </w:r>
      <w:r w:rsidRPr="00AA2A63">
        <w:t>clinical dossier was good with all pivotal studies conducted according to GLP.</w:t>
      </w:r>
      <w:r w:rsidR="00B90AF7">
        <w:t xml:space="preserve"> </w:t>
      </w:r>
      <w:r w:rsidRPr="00AA2A63">
        <w:t xml:space="preserve">It is noted that there were no combination toxicity studies with </w:t>
      </w:r>
      <w:r w:rsidR="007B3AED">
        <w:t>LDV</w:t>
      </w:r>
      <w:r w:rsidRPr="00AA2A63">
        <w:t xml:space="preserve"> and </w:t>
      </w:r>
      <w:r w:rsidR="0063513E">
        <w:t>SOF</w:t>
      </w:r>
      <w:r w:rsidRPr="00AA2A63">
        <w:t>.</w:t>
      </w:r>
      <w:r w:rsidR="00B90AF7">
        <w:t xml:space="preserve"> </w:t>
      </w:r>
      <w:r w:rsidRPr="00AA2A63">
        <w:t xml:space="preserve">The evaluator made the following conclusion and recommendations to the </w:t>
      </w:r>
      <w:r w:rsidR="001D5666">
        <w:t>D</w:t>
      </w:r>
      <w:r w:rsidRPr="00AA2A63">
        <w:t>elegate:</w:t>
      </w:r>
    </w:p>
    <w:p w:rsidR="00AA2A63" w:rsidRPr="00AA2A63" w:rsidRDefault="00AA2A63" w:rsidP="00AA2A63">
      <w:pPr>
        <w:pStyle w:val="ListBullet"/>
      </w:pPr>
      <w:r w:rsidRPr="00AA2A63">
        <w:t>There are no major deficiencies.</w:t>
      </w:r>
    </w:p>
    <w:p w:rsidR="00AA2A63" w:rsidRPr="00AA2A63" w:rsidRDefault="00AA2A63" w:rsidP="00AA2A63">
      <w:pPr>
        <w:pStyle w:val="ListBullet"/>
      </w:pPr>
      <w:r w:rsidRPr="00AA2A63">
        <w:t xml:space="preserve">Primary pharmacology studies established anti-HCV activity against HCV genotype 1 and other genotypes, and the efficacy of </w:t>
      </w:r>
      <w:r w:rsidR="007B3AED">
        <w:t>LDV</w:t>
      </w:r>
      <w:r w:rsidRPr="00AA2A63">
        <w:t xml:space="preserve"> against an infectious HCV genotype in vitro.</w:t>
      </w:r>
    </w:p>
    <w:p w:rsidR="00AA2A63" w:rsidRPr="00AA2A63" w:rsidRDefault="00AA2A63" w:rsidP="00AA2A63">
      <w:pPr>
        <w:pStyle w:val="ListBullet"/>
      </w:pPr>
      <w:r w:rsidRPr="00AA2A63">
        <w:t xml:space="preserve">No clinically relevant hazards were identified in </w:t>
      </w:r>
      <w:r w:rsidR="007B3AED">
        <w:t>LDV</w:t>
      </w:r>
      <w:r w:rsidRPr="00AA2A63">
        <w:t xml:space="preserve"> safety studies.</w:t>
      </w:r>
    </w:p>
    <w:p w:rsidR="00AA2A63" w:rsidRPr="00AA2A63" w:rsidRDefault="007B3AED" w:rsidP="00AA2A63">
      <w:pPr>
        <w:pStyle w:val="ListBullet"/>
      </w:pPr>
      <w:r>
        <w:t>LDV</w:t>
      </w:r>
      <w:r w:rsidR="00AA2A63" w:rsidRPr="00AA2A63">
        <w:t xml:space="preserve"> is an inhibitor of drug transporter P-</w:t>
      </w:r>
      <w:proofErr w:type="spellStart"/>
      <w:r w:rsidR="00AA2A63" w:rsidRPr="00AA2A63">
        <w:t>gp</w:t>
      </w:r>
      <w:proofErr w:type="spellEnd"/>
      <w:r w:rsidR="00AA2A63" w:rsidRPr="00AA2A63">
        <w:t xml:space="preserve"> and BCRP and may increase intestinal absorption of co-administered drug substrates for these transporters. The absorption of both </w:t>
      </w:r>
      <w:r w:rsidR="0063513E">
        <w:t>SOF</w:t>
      </w:r>
      <w:r w:rsidR="00AA2A63" w:rsidRPr="00AA2A63">
        <w:t xml:space="preserve"> and </w:t>
      </w:r>
      <w:r>
        <w:t>LDV</w:t>
      </w:r>
      <w:r w:rsidR="00AA2A63" w:rsidRPr="00AA2A63">
        <w:t xml:space="preserve"> may be increased by administration of inhibitors or decreased by administration of inducers of intestinal efflux transporters.</w:t>
      </w:r>
    </w:p>
    <w:p w:rsidR="00AA2A63" w:rsidRPr="00AA2A63" w:rsidRDefault="00AA2A63" w:rsidP="00AA2A63">
      <w:pPr>
        <w:pStyle w:val="ListBullet"/>
      </w:pPr>
      <w:r w:rsidRPr="00AA2A63">
        <w:t xml:space="preserve">No major organ toxicities were observed with </w:t>
      </w:r>
      <w:r w:rsidR="007B3AED">
        <w:t>LDV</w:t>
      </w:r>
      <w:r w:rsidRPr="00AA2A63">
        <w:t xml:space="preserve"> in repeat-dose studies in any species. Drug exposures were limited by the low solubility of </w:t>
      </w:r>
      <w:r w:rsidR="007B3AED">
        <w:t>LDV</w:t>
      </w:r>
      <w:r w:rsidRPr="00AA2A63">
        <w:t xml:space="preserve">, but were adequate. There were no toxicity studies with the </w:t>
      </w:r>
      <w:r w:rsidR="007B3AED">
        <w:t>LDV</w:t>
      </w:r>
      <w:r w:rsidRPr="00AA2A63">
        <w:t>/</w:t>
      </w:r>
      <w:r w:rsidR="0063513E">
        <w:t>SOF</w:t>
      </w:r>
      <w:r w:rsidRPr="00AA2A63">
        <w:t xml:space="preserve"> combination.</w:t>
      </w:r>
    </w:p>
    <w:p w:rsidR="009203E1" w:rsidRDefault="007B3AED" w:rsidP="00AA2A63">
      <w:pPr>
        <w:pStyle w:val="ListBullet"/>
      </w:pPr>
      <w:r>
        <w:lastRenderedPageBreak/>
        <w:t>LDV</w:t>
      </w:r>
      <w:r w:rsidR="00AA2A63" w:rsidRPr="00AA2A63">
        <w:t xml:space="preserve"> was negative in standard </w:t>
      </w:r>
      <w:proofErr w:type="spellStart"/>
      <w:r w:rsidR="00AA2A63" w:rsidRPr="00AA2A63">
        <w:t>genotoxicity</w:t>
      </w:r>
      <w:proofErr w:type="spellEnd"/>
      <w:r w:rsidR="00AA2A63" w:rsidRPr="00AA2A63">
        <w:t xml:space="preserve"> assays.</w:t>
      </w:r>
      <w:r w:rsidR="00B90AF7">
        <w:t xml:space="preserve"> </w:t>
      </w:r>
      <w:r w:rsidR="00AA2A63" w:rsidRPr="00AA2A63">
        <w:t xml:space="preserve">Carcinogenicity studies in mice and rats with </w:t>
      </w:r>
      <w:r w:rsidR="0063513E">
        <w:t>SOF</w:t>
      </w:r>
      <w:r w:rsidR="00AA2A63" w:rsidRPr="00AA2A63">
        <w:t xml:space="preserve"> were negative. </w:t>
      </w:r>
      <w:r>
        <w:t>LDV</w:t>
      </w:r>
      <w:r w:rsidR="00AA2A63" w:rsidRPr="00AA2A63">
        <w:t xml:space="preserve"> carcinogenicity studies are in progress in mice and rats and should be submitted upon completion (December 2015)</w:t>
      </w:r>
      <w:r w:rsidR="009203E1">
        <w:t>.</w:t>
      </w:r>
    </w:p>
    <w:p w:rsidR="009203E1" w:rsidRDefault="00AA2A63" w:rsidP="00AA2A63">
      <w:pPr>
        <w:pStyle w:val="ListBullet"/>
      </w:pPr>
      <w:r w:rsidRPr="00AA2A63">
        <w:t xml:space="preserve">There was no evidence of developmental toxicity with </w:t>
      </w:r>
      <w:r w:rsidR="007B3AED">
        <w:t>LDV</w:t>
      </w:r>
      <w:r w:rsidRPr="00AA2A63">
        <w:t xml:space="preserve"> and Australian Pregnancy category B1 is appropriate</w:t>
      </w:r>
      <w:r w:rsidR="009203E1">
        <w:t>.</w:t>
      </w:r>
    </w:p>
    <w:p w:rsidR="00AA2A63" w:rsidRPr="00AA2A63" w:rsidRDefault="00AA2A63" w:rsidP="00AA2A63">
      <w:pPr>
        <w:pStyle w:val="ListBullet"/>
      </w:pPr>
      <w:r w:rsidRPr="00AA2A63">
        <w:t xml:space="preserve">There are no nonclinical objections to the registration of </w:t>
      </w:r>
      <w:r w:rsidR="007B3AED">
        <w:t>LDV</w:t>
      </w:r>
      <w:r w:rsidRPr="00AA2A63">
        <w:t>.</w:t>
      </w:r>
    </w:p>
    <w:p w:rsidR="00AA2A63" w:rsidRPr="00AA2A63" w:rsidRDefault="00AA2A63" w:rsidP="00AA2A63">
      <w:pPr>
        <w:pStyle w:val="ListBullet"/>
      </w:pPr>
      <w:r w:rsidRPr="00AA2A63">
        <w:t xml:space="preserve">Based on the nonclinical data provided in this submission for </w:t>
      </w:r>
      <w:r w:rsidR="007B3AED">
        <w:t>LDV</w:t>
      </w:r>
      <w:r w:rsidRPr="00AA2A63">
        <w:t xml:space="preserve"> and evaluated in the previous submission for </w:t>
      </w:r>
      <w:r w:rsidR="0063513E">
        <w:t>SOF</w:t>
      </w:r>
      <w:r w:rsidRPr="00AA2A63">
        <w:t xml:space="preserve">, there are no nonclinical objections to the registration of </w:t>
      </w:r>
      <w:proofErr w:type="spellStart"/>
      <w:r w:rsidRPr="00AA2A63">
        <w:t>Harvoni</w:t>
      </w:r>
      <w:proofErr w:type="spellEnd"/>
      <w:r w:rsidRPr="00AA2A63">
        <w:t xml:space="preserve"> for treatment of genotype 1 infection.</w:t>
      </w:r>
    </w:p>
    <w:p w:rsidR="009203E1" w:rsidRDefault="00AA2A63" w:rsidP="00AA2A63">
      <w:pPr>
        <w:pStyle w:val="ListBullet"/>
      </w:pPr>
      <w:r w:rsidRPr="00AA2A63">
        <w:t>No changes to the PI are recommended but the RMP should be corrected as directed</w:t>
      </w:r>
      <w:r w:rsidR="009203E1">
        <w:t>.</w:t>
      </w:r>
    </w:p>
    <w:p w:rsidR="008E7846" w:rsidRDefault="008E7846" w:rsidP="008E7846">
      <w:pPr>
        <w:pStyle w:val="Heading3"/>
      </w:pPr>
      <w:bookmarkStart w:id="151" w:name="_Toc247691530"/>
      <w:bookmarkStart w:id="152" w:name="_Toc314842513"/>
      <w:bookmarkStart w:id="153" w:name="_Toc432073745"/>
      <w:r>
        <w:t>Clinical</w:t>
      </w:r>
      <w:bookmarkEnd w:id="151"/>
      <w:bookmarkEnd w:id="152"/>
      <w:bookmarkEnd w:id="153"/>
    </w:p>
    <w:p w:rsidR="002043FE" w:rsidRPr="00683644" w:rsidRDefault="002043FE" w:rsidP="0018447B">
      <w:pPr>
        <w:pStyle w:val="Heading4"/>
      </w:pPr>
      <w:bookmarkStart w:id="154" w:name="_Toc241374284"/>
      <w:bookmarkStart w:id="155" w:name="_Ref271022519"/>
      <w:bookmarkStart w:id="156" w:name="_Ref271022605"/>
      <w:bookmarkStart w:id="157" w:name="_Ref271192969"/>
      <w:bookmarkStart w:id="158" w:name="_Ref271192972"/>
      <w:bookmarkStart w:id="159" w:name="_Toc272414613"/>
      <w:bookmarkStart w:id="160" w:name="_Toc290846237"/>
      <w:bookmarkStart w:id="161" w:name="_Toc401419970"/>
      <w:bookmarkStart w:id="162" w:name="_Toc314842514"/>
      <w:r w:rsidRPr="00683644">
        <w:t>Pharmacokinetic</w:t>
      </w:r>
      <w:r w:rsidR="0018447B">
        <w:t>s</w:t>
      </w:r>
      <w:r w:rsidRPr="00683644">
        <w:t xml:space="preserve"> and pharmacodynamics</w:t>
      </w:r>
      <w:bookmarkEnd w:id="154"/>
      <w:bookmarkEnd w:id="155"/>
      <w:bookmarkEnd w:id="156"/>
      <w:bookmarkEnd w:id="157"/>
      <w:bookmarkEnd w:id="158"/>
      <w:bookmarkEnd w:id="159"/>
      <w:bookmarkEnd w:id="160"/>
      <w:bookmarkEnd w:id="161"/>
    </w:p>
    <w:p w:rsidR="009203E1" w:rsidRDefault="002043FE" w:rsidP="000F37B2">
      <w:r w:rsidRPr="0018447B">
        <w:t xml:space="preserve">A total of 25 clinical pharmacology studies were conducted to characterise the PK of LDV and SOF when used as single agents or as the </w:t>
      </w:r>
      <w:r w:rsidR="0040587F">
        <w:t>FDC</w:t>
      </w:r>
      <w:r w:rsidRPr="0018447B">
        <w:t xml:space="preserve">. These studies have been discussed in detail in </w:t>
      </w:r>
      <w:r w:rsidR="001F2804">
        <w:t>the clinical evaluation report</w:t>
      </w:r>
      <w:r w:rsidRPr="0018447B">
        <w:t>. SOF is a pro-drug that u</w:t>
      </w:r>
      <w:r w:rsidR="009B78FD">
        <w:t xml:space="preserve">ndergoes extensive metabolism. </w:t>
      </w:r>
      <w:r w:rsidRPr="0018447B">
        <w:t>Its active form is GS-461203 and it appears in the serum as (and is excreted as) GS-331007.</w:t>
      </w:r>
      <w:r w:rsidR="00B90AF7">
        <w:t xml:space="preserve"> </w:t>
      </w:r>
      <w:r w:rsidRPr="0018447B">
        <w:t>Clearance of GS-331007 is primarily renal and</w:t>
      </w:r>
      <w:r w:rsidR="009B78FD">
        <w:t xml:space="preserve"> is correlated with CLCR. </w:t>
      </w:r>
      <w:r w:rsidRPr="0018447B">
        <w:t>Hence</w:t>
      </w:r>
      <w:r w:rsidR="009B78FD">
        <w:t>,</w:t>
      </w:r>
      <w:r w:rsidRPr="0018447B">
        <w:t xml:space="preserve"> in ESRF there could be accumulation. The </w:t>
      </w:r>
      <w:r w:rsidR="00117D78">
        <w:t xml:space="preserve">pharmacokinetic and </w:t>
      </w:r>
      <w:proofErr w:type="spellStart"/>
      <w:r w:rsidR="00117D78">
        <w:t>pharmacodynamic</w:t>
      </w:r>
      <w:proofErr w:type="spellEnd"/>
      <w:r w:rsidRPr="0018447B">
        <w:t xml:space="preserve"> characteristics of SOF have been evaluated in previous submission and will not be discussed in detail here</w:t>
      </w:r>
      <w:r w:rsidR="009203E1">
        <w:t>.</w:t>
      </w:r>
    </w:p>
    <w:p w:rsidR="002043FE" w:rsidRPr="0018447B" w:rsidRDefault="002043FE" w:rsidP="0018447B">
      <w:r w:rsidRPr="0018447B">
        <w:t xml:space="preserve">The </w:t>
      </w:r>
      <w:r w:rsidR="0019276A">
        <w:t xml:space="preserve">pharmacokinetic and </w:t>
      </w:r>
      <w:proofErr w:type="spellStart"/>
      <w:r w:rsidR="0019276A">
        <w:t>pharmacodynamic</w:t>
      </w:r>
      <w:proofErr w:type="spellEnd"/>
      <w:r w:rsidR="0019276A" w:rsidRPr="0018447B">
        <w:t xml:space="preserve"> </w:t>
      </w:r>
      <w:r w:rsidRPr="0018447B">
        <w:t>characteristics of LDV and the FDC of SOF/LDV are briefly summarised below:</w:t>
      </w:r>
    </w:p>
    <w:p w:rsidR="009203E1" w:rsidRDefault="002043FE" w:rsidP="0018447B">
      <w:pPr>
        <w:pStyle w:val="ListBullet"/>
      </w:pPr>
      <w:bookmarkStart w:id="163" w:name="_Sites_and_mechanisms_of_absorption"/>
      <w:bookmarkEnd w:id="163"/>
      <w:r w:rsidRPr="0018447B">
        <w:t xml:space="preserve">Absolute bioavailability studies were not provided for </w:t>
      </w:r>
      <w:r w:rsidR="007B3AED">
        <w:t>LDV</w:t>
      </w:r>
      <w:r w:rsidRPr="0018447B">
        <w:t xml:space="preserve"> due to the low solubility of </w:t>
      </w:r>
      <w:r w:rsidR="007B3AED">
        <w:t>LDV</w:t>
      </w:r>
      <w:r w:rsidRPr="0018447B">
        <w:t>. LDV appears to have solubility limited absorption at oral doses greater than 100 mg in the fed state</w:t>
      </w:r>
      <w:r w:rsidR="009203E1">
        <w:t>.</w:t>
      </w:r>
    </w:p>
    <w:p w:rsidR="009203E1" w:rsidRDefault="002043FE" w:rsidP="0018447B">
      <w:pPr>
        <w:pStyle w:val="ListBullet"/>
      </w:pPr>
      <w:r w:rsidRPr="0018447B">
        <w:t>Food decreased LDV bioavailability by 50% at the 30 mg dose level, with no effect on half-life. The exposures (to LDV and to GS-331007) were similar when SOF/LDV (FDC 400 mg/90</w:t>
      </w:r>
      <w:r w:rsidR="002E66D6">
        <w:t xml:space="preserve"> </w:t>
      </w:r>
      <w:r w:rsidRPr="0018447B">
        <w:t>mg) was administered with or without food. It is also noted that SOF/LDV has been administered without regard to food throughout the clinical development program</w:t>
      </w:r>
      <w:r w:rsidR="009203E1">
        <w:t>.</w:t>
      </w:r>
    </w:p>
    <w:p w:rsidR="002043FE" w:rsidRPr="0018447B" w:rsidRDefault="002043FE" w:rsidP="0018447B">
      <w:pPr>
        <w:pStyle w:val="ListBullet"/>
      </w:pPr>
      <w:r w:rsidRPr="0018447B">
        <w:t xml:space="preserve">LDV was dose proportional for </w:t>
      </w:r>
      <w:proofErr w:type="spellStart"/>
      <w:r w:rsidRPr="0018447B">
        <w:t>Cmax</w:t>
      </w:r>
      <w:proofErr w:type="spellEnd"/>
      <w:r w:rsidRPr="0018447B">
        <w:t xml:space="preserve"> and AUC in the dose range 3 mg to 100 mg.</w:t>
      </w:r>
    </w:p>
    <w:p w:rsidR="002043FE" w:rsidRPr="0018447B" w:rsidRDefault="002043FE" w:rsidP="0018447B">
      <w:pPr>
        <w:pStyle w:val="ListBullet"/>
      </w:pPr>
      <w:r w:rsidRPr="0018447B">
        <w:t>Volume of distribution is in the range of 876 to 1256 L. The high volume of distribution indicates extensive tissue distribution.</w:t>
      </w:r>
    </w:p>
    <w:p w:rsidR="002043FE" w:rsidRPr="0018447B" w:rsidRDefault="002043FE" w:rsidP="0018447B">
      <w:pPr>
        <w:pStyle w:val="ListBullet"/>
      </w:pPr>
      <w:r w:rsidRPr="0018447B">
        <w:t>LDV is &gt;99.8% bound to human plasma protein</w:t>
      </w:r>
    </w:p>
    <w:p w:rsidR="002043FE" w:rsidRPr="0018447B" w:rsidRDefault="002043FE" w:rsidP="0018447B">
      <w:pPr>
        <w:pStyle w:val="ListBullet"/>
      </w:pPr>
      <w:r w:rsidRPr="0018447B">
        <w:t>LDV undergoes limited metabolism. Following a single dose of 90mg LDV, systemic exposure was almost exclusively to the parent drug. LDV is predominantly excreted by the faecal route. Renal clearance of LDV is minimal.</w:t>
      </w:r>
    </w:p>
    <w:p w:rsidR="009203E1" w:rsidRDefault="002043FE" w:rsidP="0018447B">
      <w:pPr>
        <w:pStyle w:val="ListBullet"/>
      </w:pPr>
      <w:r w:rsidRPr="0018447B">
        <w:t>Renal clearance is significant for determining GS-331007 exposure.</w:t>
      </w:r>
      <w:r w:rsidR="00B90AF7">
        <w:t xml:space="preserve"> </w:t>
      </w:r>
      <w:r w:rsidRPr="0018447B">
        <w:t>However, there was no effect of renal clearance on LDV.</w:t>
      </w:r>
      <w:r w:rsidR="002E66D6">
        <w:t xml:space="preserve"> </w:t>
      </w:r>
      <w:r w:rsidRPr="0018447B">
        <w:t>Dose adjustment for LDV is not considered necessary in subjects with mild, moderate or severe hepatic impairment.</w:t>
      </w:r>
      <w:r w:rsidR="00B90AF7">
        <w:t xml:space="preserve"> </w:t>
      </w:r>
      <w:r w:rsidRPr="0018447B">
        <w:t>Dose adjustment of LDV is not necessary in subjects with renal impairment</w:t>
      </w:r>
      <w:r w:rsidR="009203E1">
        <w:t>.</w:t>
      </w:r>
    </w:p>
    <w:p w:rsidR="002043FE" w:rsidRPr="0018447B" w:rsidRDefault="002043FE" w:rsidP="0018447B">
      <w:pPr>
        <w:pStyle w:val="ListBullet"/>
      </w:pPr>
      <w:r w:rsidRPr="0018447B">
        <w:t>There was an increase in LDV clearance (26.7%) in healthy volunteers compared to subjects with HCV. Relative to healthy subjects, LDV exposure (AUC 0-24) was 24% lower in HCV subjects.</w:t>
      </w:r>
      <w:bookmarkStart w:id="164" w:name="_Pharmacokinetics_in_the_target_popu_1"/>
      <w:bookmarkStart w:id="165" w:name="_Toc401419993"/>
      <w:bookmarkEnd w:id="164"/>
    </w:p>
    <w:p w:rsidR="009203E1" w:rsidRDefault="002043FE" w:rsidP="0018447B">
      <w:pPr>
        <w:pStyle w:val="ListBullet"/>
      </w:pPr>
      <w:r w:rsidRPr="0018447B">
        <w:lastRenderedPageBreak/>
        <w:t xml:space="preserve">Age, race, </w:t>
      </w:r>
      <w:r w:rsidR="002E66D6">
        <w:t>body mass index (</w:t>
      </w:r>
      <w:r w:rsidRPr="0018447B">
        <w:t>BMI</w:t>
      </w:r>
      <w:r w:rsidR="002E66D6">
        <w:t>)</w:t>
      </w:r>
      <w:r w:rsidRPr="0018447B">
        <w:t xml:space="preserve"> had no clinically relevant effects on the on PK variables of LDV. There was a decrease in LDV clearance (-33%) in females which translated to an increase in AUC of 49%. Exposure to SOF and LDV was similar in Japanese and Caucasian subjects</w:t>
      </w:r>
      <w:r w:rsidR="009203E1">
        <w:t>.</w:t>
      </w:r>
    </w:p>
    <w:p w:rsidR="002043FE" w:rsidRPr="0018447B" w:rsidRDefault="002043FE" w:rsidP="0018447B">
      <w:pPr>
        <w:pStyle w:val="ListBullet"/>
      </w:pPr>
      <w:r w:rsidRPr="0018447B">
        <w:t xml:space="preserve">There were no data relating to polymorphisms in transporters and effect on LDV </w:t>
      </w:r>
      <w:r w:rsidR="008758B2">
        <w:t>pharmacokinetics</w:t>
      </w:r>
      <w:r w:rsidRPr="0018447B">
        <w:t>.</w:t>
      </w:r>
    </w:p>
    <w:p w:rsidR="009203E1" w:rsidRDefault="002043FE" w:rsidP="0018447B">
      <w:pPr>
        <w:pStyle w:val="ListBullet"/>
      </w:pPr>
      <w:r w:rsidRPr="0018447B">
        <w:t>There was no indication of QTC prolongation of regulatory interest with LDV at a dose of 120 mg.</w:t>
      </w:r>
      <w:r w:rsidR="00B90AF7">
        <w:t xml:space="preserve"> </w:t>
      </w:r>
      <w:r w:rsidRPr="0018447B">
        <w:t>However, 120 mg is only 33% higher than the proposed dosing regimen</w:t>
      </w:r>
      <w:r w:rsidR="009203E1">
        <w:t>.</w:t>
      </w:r>
    </w:p>
    <w:p w:rsidR="002043FE" w:rsidRPr="0018447B" w:rsidRDefault="002043FE" w:rsidP="0018447B">
      <w:pPr>
        <w:pStyle w:val="ListBullet"/>
      </w:pPr>
      <w:r w:rsidRPr="0018447B">
        <w:t>LDV is a substrate of P-</w:t>
      </w:r>
      <w:proofErr w:type="spellStart"/>
      <w:r w:rsidRPr="0018447B">
        <w:t>gp</w:t>
      </w:r>
      <w:proofErr w:type="spellEnd"/>
      <w:r w:rsidRPr="0018447B">
        <w:t xml:space="preserve"> and BCRP.</w:t>
      </w:r>
      <w:r w:rsidR="00B90AF7">
        <w:t xml:space="preserve"> </w:t>
      </w:r>
      <w:r w:rsidRPr="0018447B">
        <w:t>LDV is also a moderate to weak inhibitor of P-</w:t>
      </w:r>
      <w:proofErr w:type="spellStart"/>
      <w:r w:rsidRPr="0018447B">
        <w:t>gp</w:t>
      </w:r>
      <w:proofErr w:type="spellEnd"/>
      <w:r w:rsidRPr="0018447B">
        <w:t xml:space="preserve"> and BCRP. There is evidence of interactions with drugs that induce or inhibit transporters, but the clinically significant interactions were with drug</w:t>
      </w:r>
      <w:r w:rsidR="008758B2">
        <w:t xml:space="preserve">s such as </w:t>
      </w:r>
      <w:proofErr w:type="spellStart"/>
      <w:r w:rsidR="008758B2">
        <w:t>rifampin</w:t>
      </w:r>
      <w:proofErr w:type="spellEnd"/>
      <w:r w:rsidR="008758B2">
        <w:t>, EFV/FTC/TDF, and DRV/</w:t>
      </w:r>
      <w:r w:rsidRPr="0018447B">
        <w:t>RTV (inducers of transporters) which resulted in decreased exposure to LDV.</w:t>
      </w:r>
      <w:r w:rsidR="00B90AF7">
        <w:t xml:space="preserve"> </w:t>
      </w:r>
      <w:r w:rsidRPr="0018447B">
        <w:t>LDV also inhibits OATP1B1 and OATP1B3.</w:t>
      </w:r>
      <w:r w:rsidR="00B90AF7">
        <w:t xml:space="preserve"> </w:t>
      </w:r>
      <w:r w:rsidRPr="0018447B">
        <w:t>There was some evidence of interactions with digoxin and with pravastatin.</w:t>
      </w:r>
      <w:bookmarkStart w:id="166" w:name="_Pharmacokinetics_in_subjects_with_i"/>
      <w:bookmarkEnd w:id="165"/>
      <w:bookmarkEnd w:id="166"/>
      <w:r w:rsidRPr="0018447B">
        <w:t xml:space="preserve"> Detailed drug interactions have been discussed in detail in the </w:t>
      </w:r>
      <w:r w:rsidR="008758B2">
        <w:t>c</w:t>
      </w:r>
      <w:r w:rsidRPr="0018447B">
        <w:t xml:space="preserve">linical </w:t>
      </w:r>
      <w:r w:rsidR="008758B2">
        <w:t>e</w:t>
      </w:r>
      <w:r w:rsidRPr="0018447B">
        <w:t xml:space="preserve">valuation </w:t>
      </w:r>
      <w:r w:rsidR="008758B2">
        <w:t>r</w:t>
      </w:r>
      <w:r w:rsidRPr="0018447B">
        <w:t xml:space="preserve">eport </w:t>
      </w:r>
    </w:p>
    <w:p w:rsidR="002043FE" w:rsidRPr="0018447B" w:rsidRDefault="002043FE" w:rsidP="0018447B">
      <w:pPr>
        <w:pStyle w:val="ListBullet"/>
      </w:pPr>
      <w:r w:rsidRPr="0018447B">
        <w:t xml:space="preserve">The </w:t>
      </w:r>
      <w:r w:rsidR="008758B2">
        <w:t>pharmacokinetic</w:t>
      </w:r>
      <w:r w:rsidRPr="0018447B">
        <w:t xml:space="preserve"> interactions between SOF and LDV in combination are considered favourable.</w:t>
      </w:r>
      <w:r w:rsidR="00B90AF7">
        <w:t xml:space="preserve"> </w:t>
      </w:r>
      <w:r w:rsidRPr="0018447B">
        <w:t>LDV significantly increased the exposure to SOF, GS-566500 and GS-331007.</w:t>
      </w:r>
      <w:r w:rsidR="00B90AF7">
        <w:t xml:space="preserve"> </w:t>
      </w:r>
      <w:r w:rsidRPr="0018447B">
        <w:t>SOF did not have any significant effect on exposure to LDV.</w:t>
      </w:r>
      <w:bookmarkStart w:id="167" w:name="_Primary_pharmacodynamic_effects"/>
      <w:bookmarkStart w:id="168" w:name="_Secondary_pharmacodynamic_effects"/>
      <w:bookmarkStart w:id="169" w:name="_Toc241374306"/>
      <w:bookmarkStart w:id="170" w:name="_Ref269120909"/>
      <w:bookmarkStart w:id="171" w:name="_Ref269201687"/>
      <w:bookmarkStart w:id="172" w:name="_Ref269223123"/>
      <w:bookmarkStart w:id="173" w:name="_Toc272414650"/>
      <w:bookmarkStart w:id="174" w:name="_Ref272918447"/>
      <w:bookmarkStart w:id="175" w:name="_Ref273000275"/>
      <w:bookmarkStart w:id="176" w:name="_Toc290846272"/>
      <w:bookmarkStart w:id="177" w:name="_Toc401420031"/>
      <w:bookmarkEnd w:id="167"/>
      <w:bookmarkEnd w:id="168"/>
    </w:p>
    <w:p w:rsidR="002043FE" w:rsidRPr="0018447B" w:rsidRDefault="002043FE" w:rsidP="0018447B">
      <w:pPr>
        <w:pStyle w:val="ListBullet"/>
      </w:pPr>
      <w:r w:rsidRPr="0018447B">
        <w:t>The exposures of LDV at doses of ≥30 mg/day would result in &gt;95% maximal response in subjects with GT 1a HCV infection (Study GS-US-0102).</w:t>
      </w:r>
      <w:r w:rsidR="00B90AF7">
        <w:t xml:space="preserve"> </w:t>
      </w:r>
      <w:r w:rsidRPr="0018447B">
        <w:t>Consequently, the 30 mg and 90 mg dose levels of LDV were selected for further development. The 400 mg dose level for SOF appears to have been carried through from</w:t>
      </w:r>
      <w:r w:rsidR="00417727">
        <w:t xml:space="preserve"> the development of </w:t>
      </w:r>
      <w:r w:rsidR="0063513E">
        <w:t>SOF</w:t>
      </w:r>
      <w:r w:rsidRPr="0018447B">
        <w:t>.</w:t>
      </w:r>
    </w:p>
    <w:p w:rsidR="002043FE" w:rsidRPr="00683644" w:rsidRDefault="002043FE" w:rsidP="00047211">
      <w:pPr>
        <w:pStyle w:val="Heading4"/>
      </w:pPr>
      <w:r w:rsidRPr="00683644">
        <w:t>Efficacy</w:t>
      </w:r>
      <w:bookmarkEnd w:id="169"/>
      <w:bookmarkEnd w:id="170"/>
      <w:bookmarkEnd w:id="171"/>
      <w:bookmarkEnd w:id="172"/>
      <w:bookmarkEnd w:id="173"/>
      <w:bookmarkEnd w:id="174"/>
      <w:bookmarkEnd w:id="175"/>
      <w:bookmarkEnd w:id="176"/>
      <w:bookmarkEnd w:id="177"/>
    </w:p>
    <w:p w:rsidR="002043FE" w:rsidRPr="00047211" w:rsidRDefault="002043FE" w:rsidP="00047211">
      <w:bookmarkStart w:id="178" w:name="_Ref271037274"/>
      <w:bookmarkStart w:id="179" w:name="_Toc272414652"/>
      <w:bookmarkStart w:id="180" w:name="_Toc290846274"/>
      <w:bookmarkStart w:id="181" w:name="_Toc401420033"/>
      <w:r w:rsidRPr="00047211">
        <w:t>Three open label pivotal Phase III studies were submitted to support this application. Two studies were conducted in treatment</w:t>
      </w:r>
      <w:r w:rsidR="00AE0745">
        <w:t xml:space="preserve"> </w:t>
      </w:r>
      <w:r w:rsidRPr="00047211">
        <w:t>naïve subjects (ION-1 and ION-3) and one study was conducted in treatment</w:t>
      </w:r>
      <w:r w:rsidR="00AE0745">
        <w:t xml:space="preserve"> </w:t>
      </w:r>
      <w:r w:rsidRPr="00047211">
        <w:t>experienced subjects (ION-2).</w:t>
      </w:r>
    </w:p>
    <w:p w:rsidR="002043FE" w:rsidRPr="009D6174" w:rsidRDefault="002043FE" w:rsidP="00047211">
      <w:pPr>
        <w:pStyle w:val="Heading5"/>
        <w:rPr>
          <w:color w:val="auto"/>
        </w:rPr>
      </w:pPr>
      <w:bookmarkStart w:id="182" w:name="_Toc290846276"/>
      <w:bookmarkStart w:id="183" w:name="_Toc401420035"/>
      <w:bookmarkEnd w:id="178"/>
      <w:bookmarkEnd w:id="179"/>
      <w:bookmarkEnd w:id="180"/>
      <w:bookmarkEnd w:id="181"/>
      <w:r w:rsidRPr="009D6174">
        <w:t>Treatment</w:t>
      </w:r>
      <w:r w:rsidR="00AE0745">
        <w:t xml:space="preserve"> </w:t>
      </w:r>
      <w:r w:rsidRPr="009D6174">
        <w:t>naïve patients without cirrhosis: Study 0108</w:t>
      </w:r>
      <w:bookmarkEnd w:id="182"/>
      <w:bookmarkEnd w:id="183"/>
      <w:r w:rsidRPr="009D6174">
        <w:t xml:space="preserve"> (ION-3)</w:t>
      </w:r>
    </w:p>
    <w:p w:rsidR="002043FE" w:rsidRPr="00047211" w:rsidRDefault="002043FE" w:rsidP="00047211">
      <w:bookmarkStart w:id="184" w:name="_Study_design,_objectives,_locations_1"/>
      <w:bookmarkEnd w:id="184"/>
      <w:r w:rsidRPr="00047211">
        <w:t xml:space="preserve">Study 0108 was a multicentre, randomized, open label study, and the study assessed the efficacy and safety of SOF/LDV FDC ± RBV for 8 weeks and SOF/LDV FDC for 12 weeks in treatment naïve subjects without cirrhosis. The inclusion and exclusion criteria are detailed in the </w:t>
      </w:r>
      <w:r w:rsidR="00AE0745">
        <w:t>clinical evaluation report</w:t>
      </w:r>
      <w:r w:rsidRPr="00047211">
        <w:t>. Subjects were randomi</w:t>
      </w:r>
      <w:r w:rsidR="00417727">
        <w:t>s</w:t>
      </w:r>
      <w:r w:rsidRPr="00047211">
        <w:t>ed in a ratio of 1:1:1, stratified by HCV genotype (1a or 1b). The study treatments were:</w:t>
      </w:r>
    </w:p>
    <w:p w:rsidR="002043FE" w:rsidRPr="00047211" w:rsidRDefault="002043FE" w:rsidP="00047211">
      <w:pPr>
        <w:pStyle w:val="ListBullet"/>
      </w:pPr>
      <w:r w:rsidRPr="00047211">
        <w:t>SOF 400mg / LDV 90mg FDC once daily for 12 weeks</w:t>
      </w:r>
    </w:p>
    <w:p w:rsidR="002043FE" w:rsidRPr="00047211" w:rsidRDefault="002043FE" w:rsidP="00047211">
      <w:pPr>
        <w:pStyle w:val="ListBullet"/>
      </w:pPr>
      <w:r w:rsidRPr="00047211">
        <w:t>SOF 400mg / LDV 90mg FDC once daily for 8 weeks</w:t>
      </w:r>
    </w:p>
    <w:p w:rsidR="002043FE" w:rsidRPr="00047211" w:rsidRDefault="002043FE" w:rsidP="00047211">
      <w:pPr>
        <w:pStyle w:val="ListBullet"/>
      </w:pPr>
      <w:r w:rsidRPr="00047211">
        <w:t xml:space="preserve">SOF 400mg / LDV 90mg FDC once daily + RBV 1000mg or 1200mg twice daily for 8 weeks </w:t>
      </w:r>
    </w:p>
    <w:p w:rsidR="002043FE" w:rsidRPr="00047211" w:rsidRDefault="002043FE" w:rsidP="00047211">
      <w:r w:rsidRPr="00047211">
        <w:t xml:space="preserve">The primary efficacy endpoint was SVR12. </w:t>
      </w:r>
      <w:bookmarkStart w:id="185" w:name="_Participant_flow_1"/>
      <w:bookmarkEnd w:id="185"/>
      <w:r w:rsidRPr="00047211">
        <w:t xml:space="preserve">A total of 831 subjects were screened and 647 were randomised: 215 to </w:t>
      </w:r>
      <w:r w:rsidR="001853CD">
        <w:t>SOF/LDV</w:t>
      </w:r>
      <w:r w:rsidRPr="00047211">
        <w:t xml:space="preserve"> 8 weeks, 216 to </w:t>
      </w:r>
      <w:r w:rsidR="001853CD">
        <w:t>SOF/LDV</w:t>
      </w:r>
      <w:r w:rsidRPr="00047211">
        <w:t xml:space="preserve"> + RBV 8 weeks, and 216 to </w:t>
      </w:r>
      <w:r w:rsidR="001853CD">
        <w:t>SOF/LDV</w:t>
      </w:r>
      <w:r w:rsidRPr="00047211">
        <w:t xml:space="preserve"> 12 weeks. A total of 639 (98.8%) subjects completed treatment; 8 (1.2%) discontinued, 3 (0.5%) due to AE.</w:t>
      </w:r>
      <w:r w:rsidR="00B90AF7">
        <w:t xml:space="preserve"> </w:t>
      </w:r>
      <w:bookmarkStart w:id="186" w:name="_Baseline_data_1"/>
      <w:bookmarkEnd w:id="186"/>
      <w:r w:rsidRPr="00047211">
        <w:t>There were 375 (58.0%) males, 272 (42.0%) females and the age range was 20 to 75 years.</w:t>
      </w:r>
      <w:r w:rsidR="00B90AF7">
        <w:t xml:space="preserve"> </w:t>
      </w:r>
      <w:r w:rsidRPr="00047211">
        <w:t>The treatment groups were similar in baseline demographic characteristics. There were 515 (79.6%) subjects with GT1a-HCV and 131 (20.2%) with GT1b-HCV.</w:t>
      </w:r>
      <w:r w:rsidR="00B90AF7">
        <w:t xml:space="preserve"> </w:t>
      </w:r>
      <w:r w:rsidRPr="00047211">
        <w:t>The treatment groups were similar in baseline disease characteristics.</w:t>
      </w:r>
      <w:r w:rsidR="00B90AF7">
        <w:t xml:space="preserve"> </w:t>
      </w:r>
      <w:r w:rsidRPr="00047211">
        <w:t>There was greater adherence to treatment regimen in the SOF/ DV FDC only treatment groups.</w:t>
      </w:r>
    </w:p>
    <w:p w:rsidR="002043FE" w:rsidRPr="00047211" w:rsidRDefault="002043FE" w:rsidP="00047211">
      <w:r w:rsidRPr="00047211">
        <w:t xml:space="preserve">The results for the primary efficacy outcome (SVR12) are </w:t>
      </w:r>
      <w:r w:rsidR="003D58D0">
        <w:t>shown in Table 9.</w:t>
      </w:r>
    </w:p>
    <w:p w:rsidR="003D58D0" w:rsidRDefault="003D58D0" w:rsidP="000F37B2">
      <w:pPr>
        <w:pStyle w:val="TableTitle"/>
      </w:pPr>
      <w:proofErr w:type="gramStart"/>
      <w:r>
        <w:lastRenderedPageBreak/>
        <w:t xml:space="preserve">Table </w:t>
      </w:r>
      <w:r w:rsidR="00CE3DA6">
        <w:t>9</w:t>
      </w:r>
      <w:r>
        <w:t>:</w:t>
      </w:r>
      <w:r w:rsidRPr="004C5C28">
        <w:t xml:space="preserve"> </w:t>
      </w:r>
      <w:r w:rsidR="00A65A43">
        <w:t>R</w:t>
      </w:r>
      <w:r w:rsidR="00A65A43" w:rsidRPr="00047211">
        <w:t>esults for the primary efficacy outcome (SVR12)</w:t>
      </w:r>
      <w:r w:rsidRPr="00D564C1">
        <w:t>.</w:t>
      </w:r>
      <w:proofErr w:type="gramEnd"/>
    </w:p>
    <w:p w:rsidR="007B6132" w:rsidRDefault="00435A58" w:rsidP="00047211">
      <w:r>
        <w:rPr>
          <w:noProof/>
          <w:lang w:eastAsia="en-AU"/>
        </w:rPr>
        <w:drawing>
          <wp:inline distT="0" distB="0" distL="0" distR="0" wp14:anchorId="65A4452D" wp14:editId="69FEBC11">
            <wp:extent cx="5400040" cy="849237"/>
            <wp:effectExtent l="0" t="0" r="0" b="8255"/>
            <wp:docPr id="16" name="Picture 16" descr="Table 9: Results for the primary efficacy outcome (SV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849237"/>
                    </a:xfrm>
                    <a:prstGeom prst="rect">
                      <a:avLst/>
                    </a:prstGeom>
                  </pic:spPr>
                </pic:pic>
              </a:graphicData>
            </a:graphic>
          </wp:inline>
        </w:drawing>
      </w:r>
    </w:p>
    <w:p w:rsidR="00CE3DA6" w:rsidRPr="00CE3DA6" w:rsidRDefault="00CE3DA6" w:rsidP="00CE3DA6">
      <w:r w:rsidRPr="00CE3DA6">
        <w:t>There was no statistically significant difference between the treatment groups in the primary efficacy outcome measure.</w:t>
      </w:r>
      <w:r w:rsidR="00B90AF7">
        <w:t xml:space="preserve"> </w:t>
      </w:r>
      <w:r w:rsidRPr="00CE3DA6">
        <w:t>There was decreased efficacy for subjects with &lt;80% adherence to SOF/LDV FDC.</w:t>
      </w:r>
      <w:r w:rsidR="00B90AF7">
        <w:t xml:space="preserve"> </w:t>
      </w:r>
      <w:r w:rsidRPr="00CE3DA6">
        <w:t>There was similar efficacy for GT1a-HCV and GT1b-HCV.</w:t>
      </w:r>
    </w:p>
    <w:p w:rsidR="00CE3DA6" w:rsidRPr="00CE3DA6" w:rsidRDefault="00CE3DA6" w:rsidP="00CE3DA6">
      <w:bookmarkStart w:id="187" w:name="_Results_for_other"/>
      <w:bookmarkEnd w:id="187"/>
      <w:r w:rsidRPr="00CE3DA6">
        <w:t>The results for other efficacy outcomes are as follows:</w:t>
      </w:r>
    </w:p>
    <w:p w:rsidR="00CE3DA6" w:rsidRPr="00CE3DA6" w:rsidRDefault="00CE3DA6" w:rsidP="00CE3DA6">
      <w:pPr>
        <w:pStyle w:val="ListBullet"/>
      </w:pPr>
      <w:r w:rsidRPr="00CE3DA6">
        <w:t>There was a higher relapse rate in the 8 week groups compared with the 12 week. Relapse was more likely if subjects were male and/or baseline HCV RNA was ≥800,000 (IU/mL).</w:t>
      </w:r>
    </w:p>
    <w:p w:rsidR="00CE3DA6" w:rsidRPr="00CE3DA6" w:rsidRDefault="00CE3DA6" w:rsidP="00CE3DA6">
      <w:pPr>
        <w:pStyle w:val="ListBullet"/>
      </w:pPr>
      <w:r w:rsidRPr="00CE3DA6">
        <w:t>SVR4 rate was similar for the three treatment groups</w:t>
      </w:r>
    </w:p>
    <w:p w:rsidR="00CE3DA6" w:rsidRPr="00CE3DA6" w:rsidRDefault="00CE3DA6" w:rsidP="00CE3DA6">
      <w:pPr>
        <w:pStyle w:val="ListBullet"/>
      </w:pPr>
      <w:r w:rsidRPr="00CE3DA6">
        <w:t>The proportion with HCV RNA &lt;LLOQ increased to week 8 on-treatment for all 3 groups.</w:t>
      </w:r>
    </w:p>
    <w:p w:rsidR="00CE3DA6" w:rsidRPr="00CE3DA6" w:rsidRDefault="00CE3DA6" w:rsidP="00CE3DA6">
      <w:pPr>
        <w:pStyle w:val="ListBullet"/>
      </w:pPr>
      <w:r w:rsidRPr="00CE3DA6">
        <w:t>HCV RNA decreased rapidly in the first 2 weeks of treatment in all three treatment groups.</w:t>
      </w:r>
    </w:p>
    <w:p w:rsidR="009203E1" w:rsidRDefault="00CE3DA6" w:rsidP="00CE3DA6">
      <w:pPr>
        <w:pStyle w:val="ListBullet"/>
      </w:pPr>
      <w:r w:rsidRPr="00CE3DA6">
        <w:t>ALT normalisation at follow-up week 4 occurred for 115 (95.0%) subjects in SOF/LDV 8 week group, 122 (91.0%) in the SOF/LDV+RBV 8 week, and 134 (97.1%) in the SOF/ LDV 12 week group</w:t>
      </w:r>
      <w:r w:rsidR="009203E1">
        <w:t>.</w:t>
      </w:r>
    </w:p>
    <w:p w:rsidR="009203E1" w:rsidRDefault="00CE3DA6" w:rsidP="00CE3DA6">
      <w:pPr>
        <w:pStyle w:val="ListBullet"/>
      </w:pPr>
      <w:r w:rsidRPr="00CE3DA6">
        <w:t>116 (17.9%) subjects were identified as having at least one baseline NS5A RAV by deep sequencing with a 1% assay cut off.</w:t>
      </w:r>
      <w:r w:rsidR="00B90AF7">
        <w:t xml:space="preserve"> </w:t>
      </w:r>
      <w:r w:rsidRPr="00CE3DA6">
        <w:t>Of these, 104 (89.7%) subjects with baseline NS5A RAVs achieved SVR12.</w:t>
      </w:r>
      <w:r w:rsidR="00B90AF7">
        <w:t xml:space="preserve"> </w:t>
      </w:r>
      <w:r w:rsidRPr="00CE3DA6">
        <w:t>Of the 23 subjects that relapsed, ten had NS5A RAVs at baseline; of the 13 that did not, six had emergent NS5A RAVs at relapse</w:t>
      </w:r>
      <w:r w:rsidR="009203E1">
        <w:t>.</w:t>
      </w:r>
    </w:p>
    <w:p w:rsidR="00CE3DA6" w:rsidRPr="00713501" w:rsidRDefault="00CE3DA6" w:rsidP="00CE3DA6">
      <w:pPr>
        <w:pStyle w:val="Heading5"/>
        <w:rPr>
          <w:color w:val="auto"/>
        </w:rPr>
      </w:pPr>
      <w:r w:rsidRPr="00713501">
        <w:t>Treatment</w:t>
      </w:r>
      <w:r w:rsidR="00AE0745">
        <w:t xml:space="preserve"> </w:t>
      </w:r>
      <w:r w:rsidRPr="00713501">
        <w:t>naïve patients with or without cirrhosis: Study 0102 (ION-1)</w:t>
      </w:r>
    </w:p>
    <w:p w:rsidR="009203E1" w:rsidRDefault="00CE3DA6" w:rsidP="00CE3DA6">
      <w:bookmarkStart w:id="188" w:name="_Study_design,_objectives,_locations"/>
      <w:bookmarkEnd w:id="188"/>
      <w:r w:rsidRPr="00CE3DA6">
        <w:t>Study 0102 was a multicentre, randomi</w:t>
      </w:r>
      <w:r w:rsidR="00AE0745">
        <w:t>s</w:t>
      </w:r>
      <w:r w:rsidRPr="00CE3DA6">
        <w:t>ed, open label study; and the study assessed the efficacy and safety of SOF/LDV FDC with and without RBV in treatment</w:t>
      </w:r>
      <w:r w:rsidR="00AE0745">
        <w:t xml:space="preserve"> </w:t>
      </w:r>
      <w:r w:rsidRPr="00CE3DA6">
        <w:t>naïve patients with or without cirrhosis.</w:t>
      </w:r>
      <w:r w:rsidR="00B90AF7">
        <w:t xml:space="preserve"> </w:t>
      </w:r>
      <w:r w:rsidRPr="00CE3DA6">
        <w:t>Although 2 of the 4 treatment groups were treated for 12 weeks and two for 24 weeks, only the 12 week data were reported</w:t>
      </w:r>
      <w:r w:rsidR="009203E1">
        <w:t>.</w:t>
      </w:r>
    </w:p>
    <w:p w:rsidR="00CE3DA6" w:rsidRPr="00CE3DA6" w:rsidRDefault="00CE3DA6" w:rsidP="00CE3DA6">
      <w:r w:rsidRPr="00CE3DA6">
        <w:t>The study treatments were</w:t>
      </w:r>
      <w:r>
        <w:t>:</w:t>
      </w:r>
    </w:p>
    <w:p w:rsidR="00CE3DA6" w:rsidRPr="00280FDC" w:rsidRDefault="00CE3DA6" w:rsidP="00280FDC">
      <w:pPr>
        <w:pStyle w:val="ListBullet"/>
      </w:pPr>
      <w:r w:rsidRPr="00280FDC">
        <w:t>SOF 400</w:t>
      </w:r>
      <w:r w:rsidR="0008084E">
        <w:t xml:space="preserve"> </w:t>
      </w:r>
      <w:r w:rsidRPr="00280FDC">
        <w:t>mg/LDV 90</w:t>
      </w:r>
      <w:r w:rsidR="0008084E">
        <w:t xml:space="preserve"> </w:t>
      </w:r>
      <w:r w:rsidRPr="00280FDC">
        <w:t>mg once daily for 24 weeks</w:t>
      </w:r>
    </w:p>
    <w:p w:rsidR="00CE3DA6" w:rsidRPr="00280FDC" w:rsidRDefault="00CE3DA6" w:rsidP="00280FDC">
      <w:pPr>
        <w:pStyle w:val="ListBullet"/>
      </w:pPr>
      <w:r w:rsidRPr="00280FDC">
        <w:t>SOF 400</w:t>
      </w:r>
      <w:r w:rsidR="0008084E">
        <w:t xml:space="preserve"> </w:t>
      </w:r>
      <w:r w:rsidRPr="00280FDC">
        <w:t>mg/LDV 90</w:t>
      </w:r>
      <w:r w:rsidR="0008084E">
        <w:t xml:space="preserve"> </w:t>
      </w:r>
      <w:r w:rsidRPr="00280FDC">
        <w:t>mg once daily plus RBV 1000</w:t>
      </w:r>
      <w:r w:rsidR="0008084E">
        <w:t xml:space="preserve"> </w:t>
      </w:r>
      <w:r w:rsidRPr="00280FDC">
        <w:t>mg or 1200</w:t>
      </w:r>
      <w:r w:rsidR="0008084E">
        <w:t xml:space="preserve"> </w:t>
      </w:r>
      <w:r w:rsidRPr="00280FDC">
        <w:t>mg twice daily for 24 weeks</w:t>
      </w:r>
    </w:p>
    <w:p w:rsidR="00CE3DA6" w:rsidRPr="00280FDC" w:rsidRDefault="00CE3DA6" w:rsidP="00280FDC">
      <w:pPr>
        <w:pStyle w:val="ListBullet"/>
      </w:pPr>
      <w:r w:rsidRPr="00280FDC">
        <w:t>SOF 400</w:t>
      </w:r>
      <w:r w:rsidR="0008084E">
        <w:t xml:space="preserve"> </w:t>
      </w:r>
      <w:r w:rsidRPr="00280FDC">
        <w:t>mg/LDV 90</w:t>
      </w:r>
      <w:r w:rsidR="0008084E">
        <w:t xml:space="preserve"> </w:t>
      </w:r>
      <w:r w:rsidRPr="00280FDC">
        <w:t>mg once daily for 12 weeks</w:t>
      </w:r>
    </w:p>
    <w:p w:rsidR="00CE3DA6" w:rsidRPr="00280FDC" w:rsidRDefault="00CE3DA6" w:rsidP="00280FDC">
      <w:pPr>
        <w:pStyle w:val="ListBullet"/>
      </w:pPr>
      <w:r w:rsidRPr="00280FDC">
        <w:t>SOF 400</w:t>
      </w:r>
      <w:r w:rsidR="0008084E">
        <w:t xml:space="preserve"> </w:t>
      </w:r>
      <w:r w:rsidRPr="00280FDC">
        <w:t>mg/LDV 90</w:t>
      </w:r>
      <w:r w:rsidR="0008084E">
        <w:t xml:space="preserve"> </w:t>
      </w:r>
      <w:r w:rsidRPr="00280FDC">
        <w:t>mg once daily plus RBV 1000 mg or 1200</w:t>
      </w:r>
      <w:r w:rsidR="0008084E">
        <w:t xml:space="preserve"> </w:t>
      </w:r>
      <w:r w:rsidRPr="00280FDC">
        <w:t>mg twice daily for 12 weeks</w:t>
      </w:r>
    </w:p>
    <w:p w:rsidR="00CE3DA6" w:rsidRPr="00C27282" w:rsidRDefault="00CE3DA6" w:rsidP="00C27282">
      <w:bookmarkStart w:id="189" w:name="_Efficacy_variables_and_outcomes"/>
      <w:bookmarkEnd w:id="189"/>
      <w:r w:rsidRPr="00C27282">
        <w:t>The primary efficacy endpoint was SVR12.</w:t>
      </w:r>
      <w:r w:rsidR="00B90AF7">
        <w:t xml:space="preserve"> </w:t>
      </w:r>
      <w:r w:rsidRPr="00C27282">
        <w:t>Subjects were randomized in a ratio of 1:1:1:1. The full analysis set (FAS) included all subjects who were randomized and received at least one dose of study drug.</w:t>
      </w:r>
      <w:r w:rsidR="00B90AF7">
        <w:t xml:space="preserve"> </w:t>
      </w:r>
      <w:bookmarkStart w:id="190" w:name="_Participant_flow"/>
      <w:bookmarkEnd w:id="190"/>
      <w:r w:rsidRPr="00C27282">
        <w:t xml:space="preserve">A total of 1015 subjects were screened and 870 were randomised to treatment: 217 to SOF/LDV 12 weeks, 218 to SOF/LDV + RBV 12 weeks, 217 to SOF/LDV 24 weeks, and 218 to SOF/LDV + RBV 24 weeks. The FAS included 865 (99.4%) subjects; 838 (96.6%) completed treatment and 27 (3.1%) discontinued. </w:t>
      </w:r>
      <w:bookmarkStart w:id="191" w:name="_Baseline_data"/>
      <w:bookmarkEnd w:id="191"/>
      <w:r w:rsidRPr="00C27282">
        <w:t>There were 513 (59.3%) males, 352 (40.7%) females and the age range was 18 to 80 years.</w:t>
      </w:r>
      <w:r w:rsidR="00B90AF7">
        <w:t xml:space="preserve"> </w:t>
      </w:r>
      <w:r w:rsidRPr="00C27282">
        <w:t>The demographic characteristics were balanced between the treatment groups.</w:t>
      </w:r>
      <w:r w:rsidR="00B90AF7">
        <w:t xml:space="preserve"> </w:t>
      </w:r>
      <w:r w:rsidRPr="00C27282">
        <w:t xml:space="preserve">There were 581 (67.2%) subjects with GT1a-HCV and 273 (31.6%) with GT1b-HCV; and 136 (15.7%) </w:t>
      </w:r>
      <w:r w:rsidRPr="00C27282">
        <w:lastRenderedPageBreak/>
        <w:t>subjects with cirrhosis.</w:t>
      </w:r>
      <w:r w:rsidR="00B90AF7">
        <w:t xml:space="preserve"> </w:t>
      </w:r>
      <w:r w:rsidRPr="00C27282">
        <w:t>Baseline disease characteristics were similar for the four treatment groups.</w:t>
      </w:r>
      <w:r w:rsidR="00B90AF7">
        <w:t xml:space="preserve"> </w:t>
      </w:r>
      <w:r w:rsidRPr="00C27282">
        <w:t>In the 12-week treatment groups, there was 97.2% adherence to SOF/LDV when administered alone and 95.4% when administered with RBV.</w:t>
      </w:r>
    </w:p>
    <w:p w:rsidR="00CE3DA6" w:rsidRDefault="00CE3DA6" w:rsidP="00C27282">
      <w:bookmarkStart w:id="192" w:name="_Results_for_the_primary_efficacy_ou"/>
      <w:bookmarkEnd w:id="192"/>
      <w:r w:rsidRPr="00C27282">
        <w:t xml:space="preserve">The results of SVR12 for subjects (FAS) in the 12 weeks treatment group are </w:t>
      </w:r>
      <w:r w:rsidR="00C27282">
        <w:t>as shown in Table 10.</w:t>
      </w:r>
    </w:p>
    <w:p w:rsidR="00C27282" w:rsidRDefault="00C27282" w:rsidP="00C27282">
      <w:pPr>
        <w:pStyle w:val="TableTitle"/>
      </w:pPr>
      <w:proofErr w:type="gramStart"/>
      <w:r>
        <w:t>Table 10:</w:t>
      </w:r>
      <w:r w:rsidRPr="004C5C28">
        <w:t xml:space="preserve"> </w:t>
      </w:r>
      <w:r w:rsidR="00C81BA9">
        <w:t>R</w:t>
      </w:r>
      <w:r w:rsidR="00C81BA9" w:rsidRPr="00C27282">
        <w:t>esults of SVR12 for subjects (FAS) in the 12 weeks treatment group</w:t>
      </w:r>
      <w:r w:rsidRPr="00D564C1">
        <w:t>.</w:t>
      </w:r>
      <w:proofErr w:type="gramEnd"/>
    </w:p>
    <w:p w:rsidR="00C27282" w:rsidRPr="00C27282" w:rsidRDefault="00435A58" w:rsidP="00C27282">
      <w:r>
        <w:rPr>
          <w:noProof/>
          <w:lang w:eastAsia="en-AU"/>
        </w:rPr>
        <w:drawing>
          <wp:inline distT="0" distB="0" distL="0" distR="0" wp14:anchorId="6C81C784" wp14:editId="49D01002">
            <wp:extent cx="5400040" cy="2155978"/>
            <wp:effectExtent l="0" t="0" r="0" b="0"/>
            <wp:docPr id="15" name="Picture 15" descr="Table 10: Results of SVR12 for subjects (FAS) in the 12 weeks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40" cy="2155978"/>
                    </a:xfrm>
                    <a:prstGeom prst="rect">
                      <a:avLst/>
                    </a:prstGeom>
                  </pic:spPr>
                </pic:pic>
              </a:graphicData>
            </a:graphic>
          </wp:inline>
        </w:drawing>
      </w:r>
    </w:p>
    <w:p w:rsidR="00351148" w:rsidRPr="00351148" w:rsidRDefault="00351148" w:rsidP="00351148">
      <w:pPr>
        <w:pStyle w:val="ListBullet"/>
      </w:pPr>
      <w:r w:rsidRPr="00351148">
        <w:t>SVR12 was achieved by 209 (97.7%) subjects in the SOF/LDV 12 week group, 95% CI 94.6% to 99.1%, p &lt;0.001</w:t>
      </w:r>
    </w:p>
    <w:p w:rsidR="00351148" w:rsidRPr="00351148" w:rsidRDefault="00351148" w:rsidP="00351148">
      <w:pPr>
        <w:pStyle w:val="ListBullet"/>
      </w:pPr>
      <w:r w:rsidRPr="00351148">
        <w:t>SVR12 was achieved by 211 (97.2%) subjects in the SOF/LDV + RBV 12 week group, 95% CI 94.1% to 99.0%, p &lt;0.001</w:t>
      </w:r>
    </w:p>
    <w:p w:rsidR="00351148" w:rsidRPr="00351148" w:rsidRDefault="00351148" w:rsidP="00351148">
      <w:r w:rsidRPr="00351148">
        <w:t>There was no effect on response for demographic characteristics.</w:t>
      </w:r>
      <w:r w:rsidR="00B90AF7">
        <w:t xml:space="preserve"> </w:t>
      </w:r>
      <w:r w:rsidRPr="00351148">
        <w:t>SOF/LDV FDC was equally effective for GT1a and GT1b-HCV and baseline disease characteristics did not influence efficacy.</w:t>
      </w:r>
      <w:r w:rsidR="00B90AF7">
        <w:t xml:space="preserve"> </w:t>
      </w:r>
      <w:r w:rsidRPr="00351148">
        <w:t>However, subjects with &lt;80% adherence to study treatment had reduced efficacy.</w:t>
      </w:r>
    </w:p>
    <w:p w:rsidR="00351148" w:rsidRPr="00351148" w:rsidRDefault="00351148" w:rsidP="00351148">
      <w:bookmarkStart w:id="193" w:name="_Results_for_other_efficacy_outcomes"/>
      <w:bookmarkEnd w:id="193"/>
      <w:r w:rsidRPr="00351148">
        <w:t>The results for other efficacy outcomes are as follows:</w:t>
      </w:r>
    </w:p>
    <w:p w:rsidR="00351148" w:rsidRPr="00351148" w:rsidRDefault="00351148" w:rsidP="00351148">
      <w:pPr>
        <w:pStyle w:val="ListBullet"/>
      </w:pPr>
      <w:r w:rsidRPr="00351148">
        <w:t>There was one subject in the SOF/LDV 12 week group with overall virological failure (VF).</w:t>
      </w:r>
      <w:r w:rsidR="00B90AF7">
        <w:t xml:space="preserve"> </w:t>
      </w:r>
      <w:r w:rsidRPr="00351148">
        <w:t>No subject in the SOF/LDV + RBV 12 week group had overall virological failure.</w:t>
      </w:r>
    </w:p>
    <w:p w:rsidR="00351148" w:rsidRPr="00351148" w:rsidRDefault="00351148" w:rsidP="00351148">
      <w:pPr>
        <w:pStyle w:val="ListBullet"/>
      </w:pPr>
      <w:r w:rsidRPr="00351148">
        <w:t>SVR4 was achieved by 211 (98.6%) subjects in the SOF/LDV 12 week group, SVR4 was achieved by 213 (98.2%) subjects in the SOF/LDV+RBV 12 week group.</w:t>
      </w:r>
    </w:p>
    <w:p w:rsidR="00351148" w:rsidRPr="00351148" w:rsidRDefault="00351148" w:rsidP="00351148">
      <w:pPr>
        <w:pStyle w:val="ListBullet"/>
      </w:pPr>
      <w:r w:rsidRPr="00351148">
        <w:t>There were 197 subjects that had post</w:t>
      </w:r>
      <w:r w:rsidR="008A0E5E">
        <w:t xml:space="preserve"> </w:t>
      </w:r>
      <w:r w:rsidRPr="00351148">
        <w:t>treatment week 12 and 24 data available and all of the subjects with SVR12 response also had SVR24 response.</w:t>
      </w:r>
    </w:p>
    <w:p w:rsidR="00351148" w:rsidRPr="00351148" w:rsidRDefault="00351148" w:rsidP="00351148">
      <w:pPr>
        <w:pStyle w:val="ListBullet"/>
      </w:pPr>
      <w:r w:rsidRPr="00351148">
        <w:t>In all the treatment groups, near maximal response was achieved by Week 8 on-treatment</w:t>
      </w:r>
      <w:r w:rsidR="00B90AF7">
        <w:t xml:space="preserve"> </w:t>
      </w:r>
    </w:p>
    <w:p w:rsidR="00351148" w:rsidRPr="00351148" w:rsidRDefault="00351148" w:rsidP="00351148">
      <w:pPr>
        <w:pStyle w:val="ListBullet"/>
      </w:pPr>
      <w:r w:rsidRPr="00351148">
        <w:t>ALT normalisation occurred for 87.1% to 93.0% of affected subjects.</w:t>
      </w:r>
    </w:p>
    <w:p w:rsidR="00351148" w:rsidRPr="00351148" w:rsidRDefault="00351148" w:rsidP="00351148">
      <w:pPr>
        <w:pStyle w:val="ListBullet"/>
      </w:pPr>
      <w:r w:rsidRPr="00351148">
        <w:t>RAVs were reported in 32 (15.0% subjects in the SOF/LDV 12 week group, and 36 (16.7%) in the SOF/LDV + RBV 12 week group.</w:t>
      </w:r>
      <w:r w:rsidR="00B90AF7">
        <w:t xml:space="preserve"> </w:t>
      </w:r>
      <w:r w:rsidRPr="00351148">
        <w:t>The one subject in the 12 week group who relapsed did not develop a RAV</w:t>
      </w:r>
    </w:p>
    <w:p w:rsidR="00351148" w:rsidRPr="00713501" w:rsidRDefault="00351148" w:rsidP="00351148">
      <w:pPr>
        <w:pStyle w:val="Heading5"/>
      </w:pPr>
      <w:bookmarkStart w:id="194" w:name="_Toc401420036"/>
      <w:r w:rsidRPr="00713501">
        <w:t>Treatment-experienced subjects: Study 0109</w:t>
      </w:r>
      <w:bookmarkEnd w:id="194"/>
      <w:r w:rsidRPr="00713501">
        <w:t xml:space="preserve"> (ION-2)</w:t>
      </w:r>
    </w:p>
    <w:p w:rsidR="00351148" w:rsidRPr="00351148" w:rsidRDefault="00351148" w:rsidP="00351148">
      <w:bookmarkStart w:id="195" w:name="_Study_design,_objectives,"/>
      <w:bookmarkEnd w:id="195"/>
      <w:r w:rsidRPr="00351148">
        <w:t xml:space="preserve">Study 0109 was a multicentre, randomised, open label study to assess the efficacy and safety of </w:t>
      </w:r>
      <w:r w:rsidR="001853CD">
        <w:t>SOF/LDV</w:t>
      </w:r>
      <w:r w:rsidRPr="00351148">
        <w:t xml:space="preserve"> FDC ± RBV for 12 and 24 weeks in treatment-experienced subjects with chronic GT1-HCV.</w:t>
      </w:r>
      <w:r w:rsidR="00B90AF7">
        <w:t xml:space="preserve"> </w:t>
      </w:r>
      <w:r w:rsidRPr="00351148">
        <w:t>The data to Week 12 were included in the report (which is an interim report).The inclusion and exclusion criteria were the same as ION-1 except for the following inclusion criteria:</w:t>
      </w:r>
    </w:p>
    <w:p w:rsidR="00351148" w:rsidRPr="00C46F43" w:rsidRDefault="00351148" w:rsidP="00C46F43">
      <w:pPr>
        <w:pStyle w:val="ListBullet"/>
      </w:pPr>
      <w:r w:rsidRPr="00C46F43">
        <w:lastRenderedPageBreak/>
        <w:t xml:space="preserve">Had prior </w:t>
      </w:r>
      <w:proofErr w:type="spellStart"/>
      <w:r w:rsidRPr="00C46F43">
        <w:t>virologic</w:t>
      </w:r>
      <w:proofErr w:type="spellEnd"/>
      <w:r w:rsidRPr="00C46F43">
        <w:t xml:space="preserve"> failure after treatment with a Peg-IFN + RBV regimen, including those who had failed treatment with an NS3/4A PI + Peg-IFN+RBV regimen.</w:t>
      </w:r>
      <w:r w:rsidR="00B90AF7">
        <w:t xml:space="preserve"> </w:t>
      </w:r>
      <w:r w:rsidRPr="00C46F43">
        <w:t>Subjects must not have discontinued prior therapy due to an adverse event (AE).</w:t>
      </w:r>
      <w:r w:rsidR="00B90AF7">
        <w:t xml:space="preserve"> </w:t>
      </w:r>
      <w:proofErr w:type="spellStart"/>
      <w:r w:rsidRPr="00C46F43">
        <w:t>Virologic</w:t>
      </w:r>
      <w:proofErr w:type="spellEnd"/>
      <w:r w:rsidRPr="00C46F43">
        <w:t xml:space="preserve"> failure included:</w:t>
      </w:r>
    </w:p>
    <w:p w:rsidR="00351148" w:rsidRPr="00C46F43" w:rsidRDefault="00351148" w:rsidP="00C46F43">
      <w:pPr>
        <w:pStyle w:val="ListBullet2"/>
      </w:pPr>
      <w:r w:rsidRPr="00C46F43">
        <w:t>Non-response: Subject did not achieve undetectable HCV RNA while on treatment.</w:t>
      </w:r>
    </w:p>
    <w:p w:rsidR="00351148" w:rsidRPr="00C46F43" w:rsidRDefault="00351148" w:rsidP="00C46F43">
      <w:pPr>
        <w:pStyle w:val="ListBullet2"/>
      </w:pPr>
      <w:r w:rsidRPr="00C46F43">
        <w:t>Relapse/Breakthrough: Subject achieved undetectable HCV RNA during treatment or within 4 weeks of the end of treatment, but did not achieve SVR.</w:t>
      </w:r>
    </w:p>
    <w:p w:rsidR="00351148" w:rsidRPr="00C46F43" w:rsidRDefault="00351148" w:rsidP="00C46F43">
      <w:r w:rsidRPr="00C46F43">
        <w:t>Study treatments were</w:t>
      </w:r>
    </w:p>
    <w:p w:rsidR="00351148" w:rsidRPr="00C46F43" w:rsidRDefault="00351148" w:rsidP="00C46F43">
      <w:pPr>
        <w:pStyle w:val="ListBullet"/>
      </w:pPr>
      <w:r w:rsidRPr="00C46F43">
        <w:t>SOF 400</w:t>
      </w:r>
      <w:r w:rsidR="008A0E5E">
        <w:t xml:space="preserve"> </w:t>
      </w:r>
      <w:r w:rsidRPr="00C46F43">
        <w:t>mg / LDV 90</w:t>
      </w:r>
      <w:r w:rsidR="008A0E5E">
        <w:t xml:space="preserve"> </w:t>
      </w:r>
      <w:r w:rsidRPr="00C46F43">
        <w:t>mg once daily for 24 weeks</w:t>
      </w:r>
    </w:p>
    <w:p w:rsidR="00351148" w:rsidRPr="00C46F43" w:rsidRDefault="00351148" w:rsidP="00C46F43">
      <w:pPr>
        <w:pStyle w:val="ListBullet"/>
      </w:pPr>
      <w:r w:rsidRPr="00C46F43">
        <w:t>SOF 400</w:t>
      </w:r>
      <w:r w:rsidR="008A0E5E">
        <w:t xml:space="preserve"> </w:t>
      </w:r>
      <w:r w:rsidRPr="00C46F43">
        <w:t>mg / LDV 90</w:t>
      </w:r>
      <w:r w:rsidR="008A0E5E">
        <w:t xml:space="preserve"> </w:t>
      </w:r>
      <w:r w:rsidRPr="00C46F43">
        <w:t>mg once daily +RBV 1000</w:t>
      </w:r>
      <w:r w:rsidR="008A0E5E">
        <w:t xml:space="preserve"> </w:t>
      </w:r>
      <w:r w:rsidRPr="00C46F43">
        <w:t>mg or 1200 mg twice daily for 24 weeks</w:t>
      </w:r>
    </w:p>
    <w:p w:rsidR="00351148" w:rsidRPr="00C46F43" w:rsidRDefault="00351148" w:rsidP="00C46F43">
      <w:pPr>
        <w:pStyle w:val="ListBullet"/>
      </w:pPr>
      <w:r w:rsidRPr="00C46F43">
        <w:t>SOF 400</w:t>
      </w:r>
      <w:r w:rsidR="008A0E5E">
        <w:t xml:space="preserve"> </w:t>
      </w:r>
      <w:r w:rsidRPr="00C46F43">
        <w:t>mg / LDV 90</w:t>
      </w:r>
      <w:r w:rsidR="008A0E5E">
        <w:t xml:space="preserve"> </w:t>
      </w:r>
      <w:r w:rsidRPr="00C46F43">
        <w:t>mg once daily for 12 weeks</w:t>
      </w:r>
    </w:p>
    <w:p w:rsidR="00351148" w:rsidRPr="00C46F43" w:rsidRDefault="00351148" w:rsidP="00C46F43">
      <w:pPr>
        <w:pStyle w:val="ListBullet"/>
      </w:pPr>
      <w:r w:rsidRPr="00C46F43">
        <w:t>SOF 400</w:t>
      </w:r>
      <w:r w:rsidR="008A0E5E">
        <w:t xml:space="preserve"> </w:t>
      </w:r>
      <w:r w:rsidRPr="00C46F43">
        <w:t>mg / LDV 90</w:t>
      </w:r>
      <w:r w:rsidR="008A0E5E">
        <w:t xml:space="preserve"> </w:t>
      </w:r>
      <w:r w:rsidRPr="00C46F43">
        <w:t>mg once daily + RBV 1000</w:t>
      </w:r>
      <w:r w:rsidR="008A0E5E">
        <w:t xml:space="preserve"> </w:t>
      </w:r>
      <w:r w:rsidRPr="00C46F43">
        <w:t>mg or 1200 mg twice daily for 12 weeks</w:t>
      </w:r>
    </w:p>
    <w:p w:rsidR="00351148" w:rsidRPr="00C46F43" w:rsidRDefault="00351148" w:rsidP="00C46F43">
      <w:r w:rsidRPr="00C46F43">
        <w:t>The primary efficacy endpoint was SVR12 in the FAS.</w:t>
      </w:r>
      <w:r w:rsidR="00B90AF7">
        <w:t xml:space="preserve"> </w:t>
      </w:r>
      <w:r w:rsidRPr="00C46F43">
        <w:t>The test of efficacy was that the response rate was greater than the historical response rate of 25%. Randomi</w:t>
      </w:r>
      <w:r w:rsidR="00564570">
        <w:t>s</w:t>
      </w:r>
      <w:r w:rsidRPr="00C46F43">
        <w:t>ation was in a ratio of 1:1:1:1, stratified by HCV genotype (1a or 1b), the presence or absence of cirrhosis at screening, and response to prior HCV therapy (relapse/breakthrough or nonresponse) at screening.</w:t>
      </w:r>
      <w:r w:rsidR="00B90AF7">
        <w:t xml:space="preserve"> </w:t>
      </w:r>
      <w:r w:rsidRPr="00C46F43">
        <w:t>Enrolment was managed so that approximately 20% of randomi</w:t>
      </w:r>
      <w:r w:rsidR="00564570">
        <w:t>s</w:t>
      </w:r>
      <w:r w:rsidRPr="00C46F43">
        <w:t>ed subjects had compensated cirrhosis and approximately 50% of randomi</w:t>
      </w:r>
      <w:r w:rsidR="00564570">
        <w:t>s</w:t>
      </w:r>
      <w:r w:rsidRPr="00C46F43">
        <w:t>ed subjects had failed prior treatment with a protease inhibitor (PI) + Peg-IFN + RBV regimen.</w:t>
      </w:r>
    </w:p>
    <w:p w:rsidR="009203E1" w:rsidRDefault="00351148" w:rsidP="00C46F43">
      <w:r w:rsidRPr="00C46F43">
        <w:t xml:space="preserve">A sample size of 100 subjects in each treatment group provided over 99% power to detect at least a 45% improvement in the SVR12 from the adjusted historical null rate of 25% using a 2-sided exact 1-sample binomial test at a significance level of 0.0125 based on a </w:t>
      </w:r>
      <w:proofErr w:type="spellStart"/>
      <w:r w:rsidRPr="00C46F43">
        <w:t>Bonferroni</w:t>
      </w:r>
      <w:proofErr w:type="spellEnd"/>
      <w:r w:rsidRPr="00C46F43">
        <w:t xml:space="preserve"> correction.</w:t>
      </w:r>
      <w:bookmarkStart w:id="196" w:name="_Participant_flow_2"/>
      <w:bookmarkEnd w:id="196"/>
      <w:r w:rsidRPr="00C46F43">
        <w:t xml:space="preserve"> There were 551 subjects screened and 441 randomized to treatment: 109 subjects to the </w:t>
      </w:r>
      <w:r w:rsidR="001853CD">
        <w:t>SOF/LDV</w:t>
      </w:r>
      <w:r w:rsidRPr="00C46F43">
        <w:t xml:space="preserve"> FDC 12 Week group, 111 subjects to the </w:t>
      </w:r>
      <w:r w:rsidR="001853CD">
        <w:t>SOF/LDV</w:t>
      </w:r>
      <w:r w:rsidRPr="00C46F43">
        <w:t xml:space="preserve"> FDC + RBV 12 Week, 110 subjects to the </w:t>
      </w:r>
      <w:r w:rsidR="001853CD">
        <w:t>SOF/LDV</w:t>
      </w:r>
      <w:r w:rsidRPr="00C46F43">
        <w:t xml:space="preserve"> FDC 24 Week, and 111 subjects to the </w:t>
      </w:r>
      <w:r w:rsidR="001853CD">
        <w:t>SOF/LDV</w:t>
      </w:r>
      <w:r w:rsidRPr="00C46F43">
        <w:t xml:space="preserve"> + RBV 24 Week.</w:t>
      </w:r>
      <w:r w:rsidR="00B90AF7">
        <w:t xml:space="preserve"> </w:t>
      </w:r>
      <w:r w:rsidRPr="00C46F43">
        <w:t>A total of 437 (99.3%) subjects completed the study, and no subjects discontinued because of AE.</w:t>
      </w:r>
      <w:bookmarkStart w:id="197" w:name="_Baseline_data_2"/>
      <w:bookmarkEnd w:id="197"/>
      <w:r w:rsidRPr="00C46F43">
        <w:t xml:space="preserve"> There were 287 (65.2%) males, 153 (34.8%) females and the age range was 24 to 75 years. The groups were similar in demographic characteristics.</w:t>
      </w:r>
      <w:r w:rsidR="00B90AF7">
        <w:t xml:space="preserve"> </w:t>
      </w:r>
      <w:r w:rsidRPr="00C46F43">
        <w:t>There were 347 (78.9%) subjects with GT1a-HCV and 93 (21.1%) with GT1b-HCV.</w:t>
      </w:r>
      <w:r w:rsidR="00B90AF7">
        <w:t xml:space="preserve"> </w:t>
      </w:r>
      <w:r w:rsidRPr="00C46F43">
        <w:t>The treatment groups were similar in disease characteristics and prior HCV treatment</w:t>
      </w:r>
      <w:r w:rsidR="009203E1">
        <w:t>.</w:t>
      </w:r>
    </w:p>
    <w:p w:rsidR="00351148" w:rsidRPr="00C46F43" w:rsidRDefault="00351148" w:rsidP="00C46F43">
      <w:bookmarkStart w:id="198" w:name="_Results_for_the_1"/>
      <w:bookmarkEnd w:id="198"/>
      <w:r w:rsidRPr="00C46F43">
        <w:t>Results for the primary efficacy outcome (SVR12)</w:t>
      </w:r>
      <w:r w:rsidR="00C46F43">
        <w:t xml:space="preserve"> are as shown in Table 11.</w:t>
      </w:r>
    </w:p>
    <w:p w:rsidR="007017B9" w:rsidRDefault="007017B9" w:rsidP="007017B9">
      <w:pPr>
        <w:pStyle w:val="TableTitle"/>
      </w:pPr>
      <w:proofErr w:type="gramStart"/>
      <w:r>
        <w:t>Table 1</w:t>
      </w:r>
      <w:r w:rsidR="00435A58">
        <w:t>1</w:t>
      </w:r>
      <w:r>
        <w:t>:</w:t>
      </w:r>
      <w:r w:rsidRPr="004C5C28">
        <w:t xml:space="preserve"> </w:t>
      </w:r>
      <w:r w:rsidR="00C81BA9" w:rsidRPr="00C46F43">
        <w:t>Results for the primary efficacy outcome (SVR12)</w:t>
      </w:r>
      <w:r w:rsidRPr="00D564C1">
        <w:t>.</w:t>
      </w:r>
      <w:proofErr w:type="gramEnd"/>
    </w:p>
    <w:p w:rsidR="007017B9" w:rsidRDefault="007017B9" w:rsidP="00C46F43">
      <w:r>
        <w:rPr>
          <w:noProof/>
          <w:lang w:eastAsia="en-AU"/>
        </w:rPr>
        <w:drawing>
          <wp:inline distT="0" distB="0" distL="0" distR="0" wp14:anchorId="4E02FCB6" wp14:editId="63A59FBE">
            <wp:extent cx="5400040" cy="940969"/>
            <wp:effectExtent l="0" t="0" r="0" b="0"/>
            <wp:docPr id="14" name="Picture 14" descr="Table 11: Results for the primary efficacy outcome (SV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940969"/>
                    </a:xfrm>
                    <a:prstGeom prst="rect">
                      <a:avLst/>
                    </a:prstGeom>
                  </pic:spPr>
                </pic:pic>
              </a:graphicData>
            </a:graphic>
          </wp:inline>
        </w:drawing>
      </w:r>
    </w:p>
    <w:p w:rsidR="009B78FD" w:rsidRPr="009B78FD" w:rsidRDefault="009B78FD" w:rsidP="009B78FD">
      <w:r w:rsidRPr="009B78FD">
        <w:t>There was no effect on response for demographic characteristics.</w:t>
      </w:r>
      <w:r w:rsidR="00B90AF7">
        <w:t xml:space="preserve"> </w:t>
      </w:r>
      <w:r w:rsidRPr="009B78FD">
        <w:t>SOF/LDV was equally effective for GT1a and GT1b-HCV and baseline disease characteristics did not influence efficacy.</w:t>
      </w:r>
      <w:r w:rsidR="00B90AF7">
        <w:t xml:space="preserve"> </w:t>
      </w:r>
      <w:r w:rsidRPr="009B78FD">
        <w:t>However, in the SOF/LDV group, subjects with &lt;80% adherence to study treatment had reduced efficacy.</w:t>
      </w:r>
    </w:p>
    <w:p w:rsidR="009B78FD" w:rsidRPr="009B78FD" w:rsidRDefault="009B78FD" w:rsidP="009B78FD">
      <w:bookmarkStart w:id="199" w:name="_Results_for_other_1"/>
      <w:bookmarkEnd w:id="199"/>
      <w:r w:rsidRPr="009B78FD">
        <w:t xml:space="preserve">The results for other efficacy outcomes are detailed in the CER. Of note, the overall virological failure was reported in 7 (6.4%) subjects in the SOF/LDV FDC 12 week group, 4 </w:t>
      </w:r>
      <w:r w:rsidRPr="009B78FD">
        <w:lastRenderedPageBreak/>
        <w:t xml:space="preserve">(3.6%) in the </w:t>
      </w:r>
      <w:r w:rsidR="001853CD">
        <w:t>SOF/LDV</w:t>
      </w:r>
      <w:r w:rsidRPr="009B78FD">
        <w:t xml:space="preserve"> FDC + RBV 12 week, none in the SOF/LDV FDC 24 week and 1 (0.9%) in the SOF/LDV FDC + RBV 24 week. Relapse was reported in 7 (6.5%) subjects in the SOF/LDV FDC 12 week group, 4 (3.6%) in the SOF/LDV FDC + RBV 12 week, none in the SOF/LDV FDC 24 week and none in the SOF/LDV FDC+RBV 24 week.</w:t>
      </w:r>
      <w:r w:rsidR="00B90AF7">
        <w:t xml:space="preserve"> </w:t>
      </w:r>
      <w:r w:rsidRPr="009B78FD">
        <w:t>Relapse risk was increased in subjects with cirrhosis and / or baseline thrombocytopenia. Twelve subjects failed to achieve SVR12, with 11 relapses and one on-treatment failure associated with study drug non-compliance.</w:t>
      </w:r>
      <w:r w:rsidR="00B90AF7">
        <w:t xml:space="preserve"> </w:t>
      </w:r>
      <w:r w:rsidRPr="009B78FD">
        <w:t>Of the 12 subjects, 5 of 11 had no baseline RAVs, and the other 7 subjects had baseline NS5A RAVs.</w:t>
      </w:r>
      <w:r w:rsidR="00B90AF7">
        <w:t xml:space="preserve"> </w:t>
      </w:r>
      <w:r w:rsidRPr="009B78FD">
        <w:t xml:space="preserve">All 12 subjects had detectable NS5A RAVs at </w:t>
      </w:r>
      <w:proofErr w:type="spellStart"/>
      <w:r w:rsidRPr="009B78FD">
        <w:t>virologic</w:t>
      </w:r>
      <w:proofErr w:type="spellEnd"/>
      <w:r w:rsidRPr="009B78FD">
        <w:t xml:space="preserve"> failure; however no NS5B NI RAVs were detected.</w:t>
      </w:r>
      <w:r w:rsidR="00B90AF7">
        <w:t xml:space="preserve"> </w:t>
      </w:r>
      <w:r w:rsidRPr="009B78FD">
        <w:t>Phenotypic analysis showed a reduced susceptibility to LDV, but no change in susceptibility to SOF or RBV. A total of 55 of 62 (88.7%) subjects with baseline NS5A RAVs achieved SVR12 following 12 or 24 weeks of treatment with SOF/LDV FDC ± RBV.</w:t>
      </w:r>
      <w:r w:rsidR="00B90AF7">
        <w:t xml:space="preserve"> </w:t>
      </w:r>
      <w:r w:rsidRPr="009B78FD">
        <w:t>In the SOF/LDV 12 Week group, 13 of 17 (76.5%) subjects with baseline NS5A RAVs achieved SVR12 (four relapsed), and 15 of 17 (88.2%) subjects in the SOF/LDV FDC + RBV 12 Week group achieved SVR12 (two relapsed).</w:t>
      </w:r>
    </w:p>
    <w:p w:rsidR="009B78FD" w:rsidRPr="00713501" w:rsidRDefault="009B78FD" w:rsidP="009B78FD">
      <w:pPr>
        <w:pStyle w:val="Heading5"/>
      </w:pPr>
      <w:bookmarkStart w:id="200" w:name="_Ref271037188"/>
      <w:bookmarkStart w:id="201" w:name="_Ref271037210"/>
      <w:bookmarkStart w:id="202" w:name="_Toc272414655"/>
      <w:bookmarkStart w:id="203" w:name="_Toc290846277"/>
      <w:bookmarkStart w:id="204" w:name="_Toc401420037"/>
      <w:bookmarkStart w:id="205" w:name="_Toc241374311"/>
      <w:bookmarkStart w:id="206" w:name="_Ref243294291"/>
      <w:r w:rsidRPr="00713501">
        <w:t>Other efficacy studies</w:t>
      </w:r>
      <w:bookmarkEnd w:id="200"/>
      <w:bookmarkEnd w:id="201"/>
      <w:bookmarkEnd w:id="202"/>
      <w:bookmarkEnd w:id="203"/>
      <w:bookmarkEnd w:id="204"/>
    </w:p>
    <w:p w:rsidR="009B78FD" w:rsidRPr="00491921" w:rsidRDefault="009B78FD" w:rsidP="00491921">
      <w:bookmarkStart w:id="207" w:name="_Study_@"/>
      <w:bookmarkStart w:id="208" w:name="_Study_GS-US-337-0118"/>
      <w:bookmarkEnd w:id="205"/>
      <w:bookmarkEnd w:id="206"/>
      <w:bookmarkEnd w:id="207"/>
      <w:bookmarkEnd w:id="208"/>
      <w:r w:rsidRPr="00491921">
        <w:rPr>
          <w:b/>
        </w:rPr>
        <w:t>Study 0118</w:t>
      </w:r>
      <w:r w:rsidR="00564570">
        <w:t xml:space="preserve"> was a Phase II</w:t>
      </w:r>
      <w:r w:rsidRPr="00491921">
        <w:t>, randomi</w:t>
      </w:r>
      <w:r w:rsidR="00564570">
        <w:t>s</w:t>
      </w:r>
      <w:r w:rsidRPr="00491921">
        <w:t>ed, open label study of SOF/LDV FDC ± RBV in subjects with chronic GT1-HCV.</w:t>
      </w:r>
      <w:r w:rsidR="00B90AF7">
        <w:t xml:space="preserve"> </w:t>
      </w:r>
      <w:r w:rsidRPr="00491921">
        <w:t xml:space="preserve">There were 2 cohorts: those in Cohort 1 had no prior exposure to any interferon, RBV, or other HCV therapy and had documentation of absence of cirrhosis; those in Cohort 2 had previously experienced </w:t>
      </w:r>
      <w:proofErr w:type="spellStart"/>
      <w:r w:rsidRPr="00491921">
        <w:t>virologic</w:t>
      </w:r>
      <w:proofErr w:type="spellEnd"/>
      <w:r w:rsidRPr="00491921">
        <w:t xml:space="preserve"> failure with an approved or investigational PI + </w:t>
      </w:r>
      <w:proofErr w:type="spellStart"/>
      <w:r w:rsidRPr="00491921">
        <w:t>pegylated</w:t>
      </w:r>
      <w:proofErr w:type="spellEnd"/>
      <w:r w:rsidRPr="00491921">
        <w:t xml:space="preserve"> interferon (PEG) + RBV regimen and had documentation of the presence or absence of cirrhosis.</w:t>
      </w:r>
      <w:r w:rsidR="00B90AF7">
        <w:t xml:space="preserve"> </w:t>
      </w:r>
      <w:r w:rsidRPr="00491921">
        <w:t>The study treatments were:</w:t>
      </w:r>
    </w:p>
    <w:p w:rsidR="009203E1" w:rsidRDefault="009B78FD" w:rsidP="00491921">
      <w:pPr>
        <w:pStyle w:val="ListBullet"/>
      </w:pPr>
      <w:r w:rsidRPr="00491921">
        <w:t>Cohort 1: non-cirrhotic, treatment naïve</w:t>
      </w:r>
      <w:r w:rsidR="009203E1">
        <w:t>:</w:t>
      </w:r>
    </w:p>
    <w:p w:rsidR="009B78FD" w:rsidRPr="00491921" w:rsidRDefault="009B78FD" w:rsidP="00491921">
      <w:pPr>
        <w:pStyle w:val="ListBullet2"/>
      </w:pPr>
      <w:r w:rsidRPr="00491921">
        <w:t>Group 1: SOF LDV FDC once daily for 8 weeks</w:t>
      </w:r>
    </w:p>
    <w:p w:rsidR="009B78FD" w:rsidRPr="00491921" w:rsidRDefault="009B78FD" w:rsidP="00491921">
      <w:pPr>
        <w:pStyle w:val="ListBullet2"/>
      </w:pPr>
      <w:r w:rsidRPr="00491921">
        <w:t>Group 2: SOF LDV FDC + RBV 1000</w:t>
      </w:r>
      <w:r w:rsidR="003C7609">
        <w:t xml:space="preserve"> </w:t>
      </w:r>
      <w:r w:rsidRPr="00491921">
        <w:t>mg or 1200</w:t>
      </w:r>
      <w:r w:rsidR="003C7609">
        <w:t xml:space="preserve"> </w:t>
      </w:r>
      <w:r w:rsidRPr="00491921">
        <w:t>mg twice daily, once daily for 8 weeks</w:t>
      </w:r>
    </w:p>
    <w:p w:rsidR="009B78FD" w:rsidRPr="00491921" w:rsidRDefault="009B78FD" w:rsidP="00491921">
      <w:pPr>
        <w:pStyle w:val="ListBullet2"/>
      </w:pPr>
      <w:r w:rsidRPr="00491921">
        <w:t xml:space="preserve">Group 3: </w:t>
      </w:r>
      <w:r w:rsidR="001853CD">
        <w:t>SOF/LDV</w:t>
      </w:r>
      <w:r w:rsidRPr="00491921">
        <w:t xml:space="preserve"> FDC once daily for 12 weeks</w:t>
      </w:r>
    </w:p>
    <w:p w:rsidR="009B78FD" w:rsidRPr="00491921" w:rsidRDefault="009B78FD" w:rsidP="00491921">
      <w:pPr>
        <w:pStyle w:val="ListBullet"/>
      </w:pPr>
      <w:r w:rsidRPr="00491921">
        <w:t>Cohort 2: cirrhotic and non-cirrhotic treatment experienced:</w:t>
      </w:r>
    </w:p>
    <w:p w:rsidR="009B78FD" w:rsidRPr="00491921" w:rsidRDefault="009B78FD" w:rsidP="00491921">
      <w:pPr>
        <w:pStyle w:val="ListBullet2"/>
      </w:pPr>
      <w:r w:rsidRPr="00491921">
        <w:t xml:space="preserve">Group 4: </w:t>
      </w:r>
      <w:r w:rsidR="001853CD">
        <w:t>SOF/LDV</w:t>
      </w:r>
      <w:r w:rsidRPr="00491921">
        <w:t xml:space="preserve"> FDC once daily for 12 weeks</w:t>
      </w:r>
    </w:p>
    <w:p w:rsidR="009B78FD" w:rsidRPr="00491921" w:rsidRDefault="009B78FD" w:rsidP="00491921">
      <w:pPr>
        <w:pStyle w:val="ListBullet2"/>
      </w:pPr>
      <w:r w:rsidRPr="00491921">
        <w:t>Group 5: SOF LDV FDC + RBV 1000</w:t>
      </w:r>
      <w:r w:rsidR="003C7609">
        <w:t xml:space="preserve"> </w:t>
      </w:r>
      <w:r w:rsidRPr="00491921">
        <w:t>mg or 1200</w:t>
      </w:r>
      <w:r w:rsidR="003C7609">
        <w:t xml:space="preserve"> </w:t>
      </w:r>
      <w:r w:rsidRPr="00491921">
        <w:t>mg twice daily, once daily for 12 week</w:t>
      </w:r>
    </w:p>
    <w:p w:rsidR="009B78FD" w:rsidRPr="00491921" w:rsidRDefault="009B78FD" w:rsidP="00491921">
      <w:r w:rsidRPr="00491921">
        <w:t>The primary endpoint was SVR12.</w:t>
      </w:r>
      <w:r w:rsidR="00B90AF7">
        <w:t xml:space="preserve"> </w:t>
      </w:r>
      <w:r w:rsidRPr="00491921">
        <w:t>There were 100 subjects randomi</w:t>
      </w:r>
      <w:r w:rsidR="003C7609">
        <w:t>s</w:t>
      </w:r>
      <w:r w:rsidRPr="00491921">
        <w:t>ed to treatment: 20 to Group 1, 21 to Group 2, 19 to Group 3, 19 to Group 4 and 21 to Group 5.</w:t>
      </w:r>
      <w:r w:rsidR="00B90AF7">
        <w:t xml:space="preserve"> </w:t>
      </w:r>
      <w:r w:rsidRPr="00491921">
        <w:t>Ninety nine subjects completed the study.</w:t>
      </w:r>
      <w:r w:rsidR="00B90AF7">
        <w:t xml:space="preserve"> </w:t>
      </w:r>
      <w:r w:rsidRPr="00491921">
        <w:t>There were 87.0% subjects with GT1a and 13.0% with GT1b and 22.0% with cirrhosis.</w:t>
      </w:r>
    </w:p>
    <w:p w:rsidR="009203E1" w:rsidRDefault="009B78FD" w:rsidP="00491921">
      <w:r w:rsidRPr="00491921">
        <w:t>The results for SVR 12, n (% [95% CI]), were 19 (95.0% [75.1% to 99.9%]) for Group 1, 21 (100% [83.9% to 100.0%]) for Group 2, 18 (94.7% [74.0% to 99.9%]) for Group 3, 18 (94.7% [74.0% to 99.9%]) for Group 4 and 21 (100.0% [83.9% to 100.0%]) for Group 5.</w:t>
      </w:r>
      <w:r w:rsidR="00B90AF7">
        <w:t xml:space="preserve"> </w:t>
      </w:r>
      <w:r w:rsidRPr="00491921">
        <w:t>Relapse was reported for one (5.0%) subjects in Group 1 and one (5.3%) in Group 4. There was concordance for SVR12 and SVR24.</w:t>
      </w:r>
      <w:r w:rsidR="00B90AF7">
        <w:t xml:space="preserve"> </w:t>
      </w:r>
      <w:r w:rsidRPr="00491921">
        <w:t>There were insufficient subjects to perform subgroup analyses. Nine subjects had baseline NS5A Resistant-Associated Variants (RAVs) of whom seven achieved SVR12.</w:t>
      </w:r>
      <w:r w:rsidR="00B90AF7">
        <w:t xml:space="preserve"> </w:t>
      </w:r>
      <w:r w:rsidRPr="00491921">
        <w:t>Two of these subjects relapsed</w:t>
      </w:r>
      <w:r w:rsidR="009203E1">
        <w:t>.</w:t>
      </w:r>
    </w:p>
    <w:p w:rsidR="009B78FD" w:rsidRPr="00491921" w:rsidRDefault="009B78FD" w:rsidP="00491921">
      <w:bookmarkStart w:id="209" w:name="_Study_GS-US-337-0122"/>
      <w:bookmarkEnd w:id="209"/>
      <w:r w:rsidRPr="00491921">
        <w:rPr>
          <w:b/>
        </w:rPr>
        <w:t>Study 0122</w:t>
      </w:r>
      <w:r w:rsidRPr="00491921">
        <w:t xml:space="preserve"> was </w:t>
      </w:r>
      <w:r w:rsidR="003C7609">
        <w:t>a Phase II</w:t>
      </w:r>
      <w:r w:rsidRPr="00491921">
        <w:t>, multicentre, open</w:t>
      </w:r>
      <w:r w:rsidR="003C7609">
        <w:t xml:space="preserve"> </w:t>
      </w:r>
      <w:r w:rsidRPr="00491921">
        <w:t>label study to evaluate safety and efficacy of SOF containing regimens administered for up to 12 weeks in subjects with chronic GT3-HCV infection.</w:t>
      </w:r>
      <w:r w:rsidR="00B90AF7">
        <w:t xml:space="preserve"> </w:t>
      </w:r>
      <w:r w:rsidRPr="00491921">
        <w:t xml:space="preserve">The data were presented as an interim report for the two cohorts treated with </w:t>
      </w:r>
      <w:r w:rsidR="001853CD">
        <w:t>SOF/LDV</w:t>
      </w:r>
      <w:r w:rsidRPr="00491921">
        <w:t xml:space="preserve"> ± RBV.</w:t>
      </w:r>
      <w:r w:rsidR="00B90AF7">
        <w:t xml:space="preserve"> </w:t>
      </w:r>
      <w:r w:rsidRPr="00491921">
        <w:t>The study treatments were:</w:t>
      </w:r>
    </w:p>
    <w:p w:rsidR="009B78FD" w:rsidRPr="00491921" w:rsidRDefault="009B78FD" w:rsidP="00491921">
      <w:pPr>
        <w:pStyle w:val="ListBullet"/>
      </w:pPr>
      <w:r w:rsidRPr="00491921">
        <w:t>SOF/LDV FDC once daily</w:t>
      </w:r>
    </w:p>
    <w:p w:rsidR="009B78FD" w:rsidRPr="00491921" w:rsidRDefault="009B78FD" w:rsidP="00491921">
      <w:pPr>
        <w:pStyle w:val="ListBullet"/>
      </w:pPr>
      <w:r w:rsidRPr="00491921">
        <w:t>SOF/LDV FDC once daily + RBV 1000</w:t>
      </w:r>
      <w:r w:rsidR="003C7609">
        <w:t xml:space="preserve"> </w:t>
      </w:r>
      <w:r w:rsidRPr="00491921">
        <w:t>mg or 1200</w:t>
      </w:r>
      <w:r w:rsidR="003C7609">
        <w:t xml:space="preserve"> </w:t>
      </w:r>
      <w:r w:rsidRPr="00491921">
        <w:t>mg, twice daily</w:t>
      </w:r>
      <w:r w:rsidR="00B90AF7">
        <w:t xml:space="preserve"> </w:t>
      </w:r>
    </w:p>
    <w:p w:rsidR="009203E1" w:rsidRDefault="009B78FD" w:rsidP="00491921">
      <w:r w:rsidRPr="00491921">
        <w:lastRenderedPageBreak/>
        <w:t>Treatment duration was 12 weeks.</w:t>
      </w:r>
      <w:r w:rsidR="00B90AF7">
        <w:t xml:space="preserve"> </w:t>
      </w:r>
      <w:r w:rsidRPr="00491921">
        <w:t>The efficacy endpoint was SVR12.</w:t>
      </w:r>
      <w:r w:rsidR="00B90AF7">
        <w:t xml:space="preserve"> </w:t>
      </w:r>
      <w:r w:rsidRPr="00491921">
        <w:t>The study included 51 subjects: 25 in the SOF/LDV FDC group and 26 in the SOF/LDV FDC+RBV. SVR12 was achieved by 16 (64.0%, 42.5% - 82.0%]) in the SOF/LDV FDC group and 26 (100.0%: 86.8% - 100.0%]) in the SOF/LDV FDC+RBV group.</w:t>
      </w:r>
      <w:r w:rsidR="00B90AF7">
        <w:t xml:space="preserve"> </w:t>
      </w:r>
      <w:r w:rsidRPr="00491921">
        <w:t>Of the 9 subjects (36.0%) who did not achieve SVR12, 8 relapsed</w:t>
      </w:r>
      <w:r w:rsidR="009203E1">
        <w:t>.</w:t>
      </w:r>
    </w:p>
    <w:p w:rsidR="009B78FD" w:rsidRPr="00491921" w:rsidRDefault="009B78FD" w:rsidP="00491921">
      <w:bookmarkStart w:id="210" w:name="_Study_@_1"/>
      <w:bookmarkEnd w:id="210"/>
      <w:r w:rsidRPr="00491921">
        <w:rPr>
          <w:b/>
        </w:rPr>
        <w:t>Study P7977-0523</w:t>
      </w:r>
      <w:r w:rsidRPr="00491921">
        <w:t xml:space="preserve"> was a Pha</w:t>
      </w:r>
      <w:r w:rsidR="003C7609">
        <w:t xml:space="preserve">se </w:t>
      </w:r>
      <w:proofErr w:type="spellStart"/>
      <w:r w:rsidR="003C7609">
        <w:t>II</w:t>
      </w:r>
      <w:r w:rsidRPr="00491921">
        <w:t>a</w:t>
      </w:r>
      <w:proofErr w:type="spellEnd"/>
      <w:r w:rsidRPr="00491921">
        <w:t>, multiple</w:t>
      </w:r>
      <w:r w:rsidR="003C7609">
        <w:t xml:space="preserve"> </w:t>
      </w:r>
      <w:r w:rsidRPr="00491921">
        <w:t>dose, open</w:t>
      </w:r>
      <w:r w:rsidR="003C7609">
        <w:t xml:space="preserve"> </w:t>
      </w:r>
      <w:r w:rsidRPr="00491921">
        <w:t>label study to evaluate different regimens of SOF 400mg alone or SOF/LDV for 6, 8, or 12 weeks administered with and without RBV and/or PEG-IFN in subjects with GT 1, 2, or 3 HCV infection and with and without LDV or GS-9669 in subj</w:t>
      </w:r>
      <w:r w:rsidR="003C7609">
        <w:t>ects with GT 1 HCV infection. S</w:t>
      </w:r>
      <w:r w:rsidRPr="00491921">
        <w:t>ubjects with chronic HCV infection were enrolled in Parts 1 to 6 of this study.</w:t>
      </w:r>
      <w:r w:rsidR="00B90AF7">
        <w:t xml:space="preserve"> </w:t>
      </w:r>
      <w:r w:rsidRPr="00491921">
        <w:t>Subjects were determined to be non-cirrhotic (except for Groups 16, 17, and 20), and otherwise healthy. Subjects in Groups 16 and 17 were cirrhotic, and subjects in Group 20 had no restrictions on their cirrhosis status.</w:t>
      </w:r>
      <w:r w:rsidR="00B90AF7">
        <w:t xml:space="preserve"> </w:t>
      </w:r>
      <w:r w:rsidRPr="00491921">
        <w:t>Groups 16 to 21 were treated with SOF/LDV FDC once daily ± RBV twice daily.</w:t>
      </w:r>
      <w:r w:rsidR="00B90AF7">
        <w:t xml:space="preserve"> </w:t>
      </w:r>
      <w:r w:rsidRPr="00491921">
        <w:t>The efficacy endpoints were HCV RNA at follow-up weeks 4, 8, 12, 24, 36 and 48.</w:t>
      </w:r>
      <w:r w:rsidR="00B90AF7">
        <w:t xml:space="preserve"> </w:t>
      </w:r>
      <w:r w:rsidRPr="00491921">
        <w:t xml:space="preserve">There were 68 subjects treated with SOF/LDV FDC; 48 of </w:t>
      </w:r>
      <w:proofErr w:type="gramStart"/>
      <w:r w:rsidRPr="00491921">
        <w:t>whom</w:t>
      </w:r>
      <w:proofErr w:type="gramEnd"/>
      <w:r w:rsidRPr="00491921">
        <w:t xml:space="preserve"> also treated with RBV. SVR12 was achieved by 7 (70%) of subjects with null responder GT1 treated with SOF/LDV FDC for 12 weeks; 9 (100%) of subjects with null responder GT1 treated with SOF/LDV FDC + RBV for 12 weeks; 8 (80%) of subjects with treatment naïve GT2/3 treated with SOF/LDV FDC for 12 weeks; 17 (68%) of subjects with treatment naïve GT1 treated with SOF/LDV for 6 weeks.</w:t>
      </w:r>
    </w:p>
    <w:p w:rsidR="009B78FD" w:rsidRPr="00491921" w:rsidRDefault="009B78FD" w:rsidP="00491921">
      <w:bookmarkStart w:id="211" w:name="_Toc241374316"/>
      <w:bookmarkStart w:id="212" w:name="_Ref269120916"/>
      <w:bookmarkStart w:id="213" w:name="_Toc272414658"/>
      <w:bookmarkStart w:id="214" w:name="_Toc290846283"/>
      <w:bookmarkStart w:id="215" w:name="_Toc401420043"/>
      <w:r w:rsidRPr="00491921">
        <w:t>Study 0118 was supportive of the pivotal studies but of too small a sample size to be pivotal.</w:t>
      </w:r>
    </w:p>
    <w:p w:rsidR="009B78FD" w:rsidRPr="00491921" w:rsidRDefault="009B78FD" w:rsidP="00491921">
      <w:r w:rsidRPr="00491921">
        <w:t>Study 0122 did not support efficacy in subjects with chronic GT3-HCV HCV.</w:t>
      </w:r>
      <w:r w:rsidR="00B90AF7">
        <w:t xml:space="preserve"> </w:t>
      </w:r>
      <w:r w:rsidRPr="00491921">
        <w:t xml:space="preserve">Study P7977-0523 did not support efficacy in subjects with GT2-HCV or GT3-HCV infection or </w:t>
      </w:r>
      <w:proofErr w:type="gramStart"/>
      <w:r w:rsidRPr="00491921">
        <w:t>a shorter</w:t>
      </w:r>
      <w:proofErr w:type="gramEnd"/>
      <w:r w:rsidRPr="00491921">
        <w:t xml:space="preserve"> treatment duration of 6 weeks in subjects with GT1-HCV.</w:t>
      </w:r>
    </w:p>
    <w:p w:rsidR="009B78FD" w:rsidRPr="00491921" w:rsidRDefault="009B78FD" w:rsidP="00491921">
      <w:pPr>
        <w:pStyle w:val="Heading4"/>
      </w:pPr>
      <w:r w:rsidRPr="00491921">
        <w:t>Safet</w:t>
      </w:r>
      <w:bookmarkEnd w:id="211"/>
      <w:bookmarkEnd w:id="212"/>
      <w:bookmarkEnd w:id="213"/>
      <w:bookmarkEnd w:id="214"/>
      <w:bookmarkEnd w:id="215"/>
      <w:r w:rsidR="00491921" w:rsidRPr="00491921">
        <w:t>y</w:t>
      </w:r>
    </w:p>
    <w:p w:rsidR="009203E1" w:rsidRDefault="009B78FD" w:rsidP="00491921">
      <w:r w:rsidRPr="00491921">
        <w:t>The following studies provided evaluable safety data</w:t>
      </w:r>
      <w:r w:rsidR="009203E1">
        <w:t>:</w:t>
      </w:r>
    </w:p>
    <w:p w:rsidR="009B78FD" w:rsidRPr="00491921" w:rsidRDefault="009B78FD" w:rsidP="00491921">
      <w:pPr>
        <w:pStyle w:val="ListBullet"/>
      </w:pPr>
      <w:r w:rsidRPr="00491921">
        <w:t>Three pivotal efficacy/safety studies (Study 0102, 0108 and 0109)</w:t>
      </w:r>
    </w:p>
    <w:p w:rsidR="009B78FD" w:rsidRPr="00491921" w:rsidRDefault="009B78FD" w:rsidP="00491921">
      <w:pPr>
        <w:pStyle w:val="ListBullet"/>
      </w:pPr>
      <w:r w:rsidRPr="00491921">
        <w:t>Three other efficacy/safety studies (Study 0118, 0122 and P7977-0523)</w:t>
      </w:r>
    </w:p>
    <w:p w:rsidR="009B78FD" w:rsidRPr="00491921" w:rsidRDefault="009B78FD" w:rsidP="00491921">
      <w:pPr>
        <w:pStyle w:val="ListBullet"/>
      </w:pPr>
      <w:r w:rsidRPr="00491921">
        <w:t>2</w:t>
      </w:r>
      <w:r w:rsidR="000F37B2">
        <w:t>5 clinical pharmacology studies</w:t>
      </w:r>
    </w:p>
    <w:p w:rsidR="009B78FD" w:rsidRPr="00491921" w:rsidRDefault="009B78FD" w:rsidP="00491921">
      <w:pPr>
        <w:pStyle w:val="ListBullet"/>
      </w:pPr>
      <w:r w:rsidRPr="00491921">
        <w:t>An Integrated Summary of Efficacy and an Integrated Summary of Safety</w:t>
      </w:r>
    </w:p>
    <w:p w:rsidR="009B78FD" w:rsidRPr="00491921" w:rsidRDefault="009B78FD" w:rsidP="00491921">
      <w:bookmarkStart w:id="216" w:name="_Overall_exposure_to_SOF_/_LDV_FDC:"/>
      <w:bookmarkEnd w:id="216"/>
      <w:r w:rsidRPr="00491921">
        <w:t xml:space="preserve">In the development program for </w:t>
      </w:r>
      <w:r w:rsidR="001853CD">
        <w:t>SOF/LDV</w:t>
      </w:r>
      <w:r w:rsidRPr="00491921">
        <w:t xml:space="preserve"> FDC there were 1952 su</w:t>
      </w:r>
      <w:r w:rsidR="00491921">
        <w:t>bjects exposed to SOF/</w:t>
      </w:r>
      <w:r w:rsidRPr="00491921">
        <w:t>LDV FDC.</w:t>
      </w:r>
      <w:r w:rsidR="00B90AF7">
        <w:t xml:space="preserve"> </w:t>
      </w:r>
      <w:r w:rsidRPr="00491921">
        <w:t>This included:</w:t>
      </w:r>
    </w:p>
    <w:p w:rsidR="009B78FD" w:rsidRPr="00491921" w:rsidRDefault="009B78FD" w:rsidP="00491921">
      <w:pPr>
        <w:pStyle w:val="ListBullet"/>
      </w:pPr>
      <w:r w:rsidRPr="00491921">
        <w:t xml:space="preserve">Subjects exposed to </w:t>
      </w:r>
      <w:r w:rsidR="001853CD">
        <w:t>SOF/LDV</w:t>
      </w:r>
      <w:r w:rsidRPr="00491921">
        <w:t xml:space="preserve"> FDC for treatment durations of 8 weeks: 215</w:t>
      </w:r>
    </w:p>
    <w:p w:rsidR="009B78FD" w:rsidRPr="00491921" w:rsidRDefault="009B78FD" w:rsidP="00491921">
      <w:pPr>
        <w:pStyle w:val="ListBullet"/>
      </w:pPr>
      <w:r w:rsidRPr="00491921">
        <w:t xml:space="preserve">Subjects exposed to </w:t>
      </w:r>
      <w:r w:rsidR="001853CD">
        <w:t>SOF/LDV</w:t>
      </w:r>
      <w:r w:rsidRPr="00491921">
        <w:t xml:space="preserve"> FDC for treatment durations of 12 weeks: 539</w:t>
      </w:r>
    </w:p>
    <w:p w:rsidR="009B78FD" w:rsidRPr="00491921" w:rsidRDefault="009B78FD" w:rsidP="00491921">
      <w:pPr>
        <w:pStyle w:val="ListBullet"/>
      </w:pPr>
      <w:r w:rsidRPr="00491921">
        <w:t xml:space="preserve">Subjects exposed to </w:t>
      </w:r>
      <w:r w:rsidR="001853CD">
        <w:t>SOF/LDV</w:t>
      </w:r>
      <w:r w:rsidRPr="00491921">
        <w:t xml:space="preserve"> FDC for treatment durations of 24 weeks: 326</w:t>
      </w:r>
    </w:p>
    <w:p w:rsidR="009B78FD" w:rsidRPr="00491921" w:rsidRDefault="009B78FD" w:rsidP="00491921">
      <w:pPr>
        <w:pStyle w:val="ListBullet"/>
      </w:pPr>
      <w:r w:rsidRPr="00491921">
        <w:t xml:space="preserve">Subjects exposed to </w:t>
      </w:r>
      <w:r w:rsidR="001853CD">
        <w:t>SOF/LDV</w:t>
      </w:r>
      <w:r w:rsidRPr="00491921">
        <w:t xml:space="preserve"> FDC + RBV for treatment durations of 8 weeks: 216</w:t>
      </w:r>
    </w:p>
    <w:p w:rsidR="009B78FD" w:rsidRPr="00491921" w:rsidRDefault="009B78FD" w:rsidP="00491921">
      <w:pPr>
        <w:pStyle w:val="ListBullet"/>
      </w:pPr>
      <w:r w:rsidRPr="00491921">
        <w:t xml:space="preserve">Subjects exposed to </w:t>
      </w:r>
      <w:r w:rsidR="001853CD">
        <w:t>SOF/LDV</w:t>
      </w:r>
      <w:r w:rsidRPr="00491921">
        <w:t xml:space="preserve"> FDC + RBV for treatment durations of 12 weeks: 328</w:t>
      </w:r>
    </w:p>
    <w:p w:rsidR="009B78FD" w:rsidRPr="00491921" w:rsidRDefault="009B78FD" w:rsidP="00491921">
      <w:pPr>
        <w:pStyle w:val="ListBullet"/>
      </w:pPr>
      <w:r w:rsidRPr="00491921">
        <w:t xml:space="preserve">Subjects exposed to </w:t>
      </w:r>
      <w:r w:rsidR="001853CD">
        <w:t>SOF/LDV</w:t>
      </w:r>
      <w:r w:rsidRPr="00491921">
        <w:t xml:space="preserve"> FDC + RBV for treatment durations of 24 weeks: 328</w:t>
      </w:r>
    </w:p>
    <w:p w:rsidR="009B78FD" w:rsidRPr="00491921" w:rsidRDefault="009B78FD" w:rsidP="00491921">
      <w:r w:rsidRPr="00491921">
        <w:t>There were 1175 (60.2%) males and 777 (39.8%) females.</w:t>
      </w:r>
      <w:r w:rsidR="00B90AF7">
        <w:t xml:space="preserve"> </w:t>
      </w:r>
      <w:r w:rsidRPr="00491921">
        <w:t>There were 152 (7.8%) subjects aged ≥65 years.</w:t>
      </w:r>
      <w:r w:rsidR="00B90AF7">
        <w:t xml:space="preserve"> </w:t>
      </w:r>
      <w:r w:rsidRPr="00491921">
        <w:t>There were 1234 (77.2%) subjects with confirmed GT1a-HCV and 356 (22.3%) with GT1b-HCV.</w:t>
      </w:r>
      <w:r w:rsidR="00B90AF7">
        <w:t xml:space="preserve"> </w:t>
      </w:r>
      <w:r w:rsidRPr="00491921">
        <w:t>There were 169 (10.6%) subjects with cirrhosis.</w:t>
      </w:r>
    </w:p>
    <w:p w:rsidR="009B78FD" w:rsidRPr="00491921" w:rsidRDefault="009B78FD" w:rsidP="00491921">
      <w:bookmarkStart w:id="217" w:name="_Toc241374319"/>
      <w:bookmarkStart w:id="218" w:name="_Ref271044764"/>
      <w:bookmarkStart w:id="219" w:name="_Toc272414663"/>
      <w:bookmarkStart w:id="220" w:name="_Toc290846301"/>
      <w:bookmarkStart w:id="221" w:name="_Toc401420049"/>
      <w:r w:rsidRPr="00491921">
        <w:t xml:space="preserve">Overall, </w:t>
      </w:r>
      <w:r w:rsidR="001853CD">
        <w:t>SOF/LDV</w:t>
      </w:r>
      <w:r w:rsidRPr="00491921">
        <w:t xml:space="preserve"> FDC have a favourable safety profile.</w:t>
      </w:r>
      <w:r w:rsidR="00B90AF7">
        <w:t xml:space="preserve"> </w:t>
      </w:r>
      <w:r w:rsidRPr="00491921">
        <w:t>The most frequently reported TEAEs were fatigue, headache, insomnia, nausea and arthralgia.</w:t>
      </w:r>
      <w:r w:rsidR="00B90AF7">
        <w:t xml:space="preserve"> </w:t>
      </w:r>
      <w:r w:rsidRPr="00491921">
        <w:t xml:space="preserve">These TEAEs were more </w:t>
      </w:r>
      <w:r w:rsidRPr="00491921">
        <w:lastRenderedPageBreak/>
        <w:t>frequent in the groups treated with RBV.</w:t>
      </w:r>
      <w:r w:rsidR="00B90AF7">
        <w:t xml:space="preserve"> </w:t>
      </w:r>
      <w:r w:rsidRPr="00491921">
        <w:t xml:space="preserve">Quality of life improved during treatment in those patients treated with </w:t>
      </w:r>
      <w:r w:rsidR="001853CD">
        <w:t>SOF/LDV</w:t>
      </w:r>
      <w:r w:rsidRPr="00491921">
        <w:t xml:space="preserve"> FDC by itself, but decreased in those subjects also treated with RBV.</w:t>
      </w:r>
    </w:p>
    <w:p w:rsidR="009B78FD" w:rsidRPr="00491921" w:rsidRDefault="009B78FD" w:rsidP="00491921">
      <w:r w:rsidRPr="00491921">
        <w:t>There were no deaths in the efficacy studies or in the clinical pharmacology studies.</w:t>
      </w:r>
      <w:r w:rsidR="00B90AF7">
        <w:t xml:space="preserve"> </w:t>
      </w:r>
      <w:r w:rsidRPr="00491921">
        <w:t xml:space="preserve">SAEs were infrequent and there was no clear pattern attributable to </w:t>
      </w:r>
      <w:r w:rsidR="001853CD">
        <w:t>SOF/LDV</w:t>
      </w:r>
      <w:r w:rsidRPr="00491921">
        <w:t xml:space="preserve"> FDC.</w:t>
      </w:r>
      <w:r w:rsidR="00B90AF7">
        <w:t xml:space="preserve"> </w:t>
      </w:r>
      <w:r w:rsidRPr="00491921">
        <w:t xml:space="preserve">There were few </w:t>
      </w:r>
      <w:r w:rsidR="003C7609">
        <w:t>d</w:t>
      </w:r>
      <w:r w:rsidRPr="00491921">
        <w:t>iscontinuation</w:t>
      </w:r>
      <w:r w:rsidR="003C7609">
        <w:t>s</w:t>
      </w:r>
      <w:r w:rsidRPr="00491921">
        <w:t xml:space="preserve"> due to AEs.</w:t>
      </w:r>
    </w:p>
    <w:p w:rsidR="009B78FD" w:rsidRPr="00491921" w:rsidRDefault="009B78FD" w:rsidP="00491921">
      <w:r w:rsidRPr="00491921">
        <w:t xml:space="preserve">One subject had AST or ALT &gt;3xULN and bilirubin &gt;2xULN with no signs of liver disease that resolved on treatment (and was not attributed to </w:t>
      </w:r>
      <w:r w:rsidR="001853CD">
        <w:t>SOF/LDV</w:t>
      </w:r>
      <w:r w:rsidRPr="00491921">
        <w:t>).</w:t>
      </w:r>
    </w:p>
    <w:p w:rsidR="009B78FD" w:rsidRPr="00491921" w:rsidRDefault="009B78FD" w:rsidP="00491921">
      <w:r w:rsidRPr="00491921">
        <w:t>Anaemia was reported in up to 9.2% of the subjects treated with RBV.</w:t>
      </w:r>
    </w:p>
    <w:p w:rsidR="009B78FD" w:rsidRPr="00491921" w:rsidRDefault="009B78FD" w:rsidP="00491921">
      <w:r w:rsidRPr="00491921">
        <w:t>In the efficacy studies there was a higher than expected rate of significant elevation in serum lipase, but the frequency was ≤ 1.8% in any individual study.</w:t>
      </w:r>
      <w:r w:rsidR="00B90AF7">
        <w:t xml:space="preserve"> </w:t>
      </w:r>
      <w:r w:rsidRPr="00491921">
        <w:t>Although this may be a feature of the underlying condition, it may also be a safety signal.</w:t>
      </w:r>
    </w:p>
    <w:p w:rsidR="009B78FD" w:rsidRPr="00491921" w:rsidRDefault="009B78FD" w:rsidP="00491921">
      <w:r w:rsidRPr="00491921">
        <w:t xml:space="preserve">The thorough QT study did not indicate any significant </w:t>
      </w:r>
      <w:proofErr w:type="spellStart"/>
      <w:r w:rsidRPr="00491921">
        <w:t>QTc</w:t>
      </w:r>
      <w:proofErr w:type="spellEnd"/>
      <w:r w:rsidRPr="00491921">
        <w:t xml:space="preserve"> prolongation however the dose used in that study was only 33% higher than the proposed dosing regimen.</w:t>
      </w:r>
    </w:p>
    <w:p w:rsidR="009B78FD" w:rsidRPr="00491921" w:rsidRDefault="009B78FD" w:rsidP="00491921">
      <w:r w:rsidRPr="00491921">
        <w:t xml:space="preserve">There </w:t>
      </w:r>
      <w:proofErr w:type="gramStart"/>
      <w:r w:rsidRPr="00491921">
        <w:t>were</w:t>
      </w:r>
      <w:proofErr w:type="gramEnd"/>
      <w:r w:rsidRPr="00491921">
        <w:t xml:space="preserve"> no long term safety data included in the submission.</w:t>
      </w:r>
      <w:r w:rsidR="00B90AF7">
        <w:t xml:space="preserve"> </w:t>
      </w:r>
      <w:r w:rsidRPr="00491921">
        <w:t xml:space="preserve">Hence, it is not possible to comment on the long-term safety effects of </w:t>
      </w:r>
      <w:r w:rsidR="001853CD">
        <w:t>SOF/LDV</w:t>
      </w:r>
      <w:r w:rsidRPr="00491921">
        <w:t xml:space="preserve"> FDC.</w:t>
      </w:r>
    </w:p>
    <w:bookmarkEnd w:id="217"/>
    <w:bookmarkEnd w:id="218"/>
    <w:bookmarkEnd w:id="219"/>
    <w:bookmarkEnd w:id="220"/>
    <w:bookmarkEnd w:id="221"/>
    <w:p w:rsidR="009B78FD" w:rsidRPr="00491921" w:rsidRDefault="009B78FD" w:rsidP="00491921">
      <w:r w:rsidRPr="00491921">
        <w:t>No post-marketing data were included in the submission.</w:t>
      </w:r>
    </w:p>
    <w:p w:rsidR="007B6132" w:rsidRDefault="007B6132" w:rsidP="00555280">
      <w:pPr>
        <w:pStyle w:val="Heading4"/>
      </w:pPr>
      <w:r w:rsidRPr="007B6132">
        <w:t>Clin</w:t>
      </w:r>
      <w:r w:rsidR="003000A0">
        <w:t>ical evaluator’s recommendation</w:t>
      </w:r>
    </w:p>
    <w:p w:rsidR="00491921" w:rsidRPr="00491921" w:rsidRDefault="00491921" w:rsidP="00491921">
      <w:r w:rsidRPr="00491921">
        <w:t>The clinical evaluator identified the following deficiencies in the submission:</w:t>
      </w:r>
    </w:p>
    <w:p w:rsidR="00491921" w:rsidRPr="00491921" w:rsidRDefault="00491921" w:rsidP="00491921">
      <w:pPr>
        <w:pStyle w:val="ListBullet"/>
      </w:pPr>
      <w:r w:rsidRPr="00491921">
        <w:t>Studies were open</w:t>
      </w:r>
      <w:r w:rsidR="00E56725">
        <w:t xml:space="preserve"> </w:t>
      </w:r>
      <w:r w:rsidRPr="00491921">
        <w:t>label rather than double blind</w:t>
      </w:r>
    </w:p>
    <w:p w:rsidR="00491921" w:rsidRPr="00491921" w:rsidRDefault="00491921" w:rsidP="00491921">
      <w:pPr>
        <w:pStyle w:val="ListBullet"/>
      </w:pPr>
      <w:r w:rsidRPr="00491921">
        <w:t>Long</w:t>
      </w:r>
      <w:r w:rsidR="00E56725">
        <w:t xml:space="preserve"> </w:t>
      </w:r>
      <w:r w:rsidRPr="00491921">
        <w:t>term follow up data were not presented</w:t>
      </w:r>
    </w:p>
    <w:p w:rsidR="00491921" w:rsidRPr="00491921" w:rsidRDefault="00491921" w:rsidP="00491921">
      <w:pPr>
        <w:pStyle w:val="ListBullet"/>
      </w:pPr>
      <w:r w:rsidRPr="00491921">
        <w:t>Data for SVR24 were incomplete</w:t>
      </w:r>
    </w:p>
    <w:p w:rsidR="00491921" w:rsidRPr="00491921" w:rsidRDefault="00491921" w:rsidP="00491921">
      <w:pPr>
        <w:pStyle w:val="ListBullet"/>
      </w:pPr>
      <w:r w:rsidRPr="00491921">
        <w:t>Studies in subjects with HCV/HIV co-infected patients were not included</w:t>
      </w:r>
    </w:p>
    <w:p w:rsidR="009203E1" w:rsidRDefault="00491921" w:rsidP="00491921">
      <w:r w:rsidRPr="00491921">
        <w:t>However, the clinical evaluator is of the view that the potential benefits of SOF/LDV FDC outweigh the deficiencies in the study methodologies. The outcome measures were considered as highly objective which makes the open</w:t>
      </w:r>
      <w:r w:rsidR="00E56725">
        <w:t xml:space="preserve"> </w:t>
      </w:r>
      <w:r w:rsidRPr="00491921">
        <w:t>label design more acceptable.</w:t>
      </w:r>
      <w:r w:rsidR="00B90AF7">
        <w:t xml:space="preserve"> </w:t>
      </w:r>
      <w:r w:rsidRPr="00491921">
        <w:t>Also, when available, the SVR24 data were in concordance with the SVR12 data. Efficacy has not been demonstrated for HCV genotypes other than GT1-HCV</w:t>
      </w:r>
      <w:r w:rsidR="009203E1">
        <w:t>.</w:t>
      </w:r>
    </w:p>
    <w:p w:rsidR="00491921" w:rsidRPr="00491921" w:rsidRDefault="00491921" w:rsidP="00491921">
      <w:r w:rsidRPr="00491921">
        <w:t xml:space="preserve">The evaluator recommends the approval of </w:t>
      </w:r>
      <w:proofErr w:type="spellStart"/>
      <w:r w:rsidR="00E56725">
        <w:t>Harvoni</w:t>
      </w:r>
      <w:proofErr w:type="spellEnd"/>
      <w:r w:rsidRPr="00491921">
        <w:t xml:space="preserve"> FDC tablets for the treatment of </w:t>
      </w:r>
      <w:r w:rsidR="00E042F6">
        <w:t>CHC g</w:t>
      </w:r>
      <w:r w:rsidRPr="00491921">
        <w:t>enotype 1 in adults, but proposes the following treatment duration for the once daily SOF/LDV:</w:t>
      </w:r>
    </w:p>
    <w:p w:rsidR="00491921" w:rsidRPr="00491921" w:rsidRDefault="00491921" w:rsidP="00491921">
      <w:pPr>
        <w:pStyle w:val="ListBullet"/>
      </w:pPr>
      <w:r w:rsidRPr="00491921">
        <w:t>Treatment</w:t>
      </w:r>
      <w:r w:rsidR="007845AA">
        <w:t xml:space="preserve"> </w:t>
      </w:r>
      <w:r w:rsidRPr="00491921">
        <w:t>n</w:t>
      </w:r>
      <w:r w:rsidR="000F37B2">
        <w:t>aïve without cirrhosis: 8 weeks</w:t>
      </w:r>
    </w:p>
    <w:p w:rsidR="00491921" w:rsidRPr="00491921" w:rsidRDefault="00491921" w:rsidP="00491921">
      <w:pPr>
        <w:pStyle w:val="ListBullet"/>
      </w:pPr>
      <w:r w:rsidRPr="00491921">
        <w:t>Treatment</w:t>
      </w:r>
      <w:r w:rsidR="007845AA">
        <w:t xml:space="preserve"> </w:t>
      </w:r>
      <w:r w:rsidRPr="00491921">
        <w:t>naïve with cirrhosis: 12 weeks</w:t>
      </w:r>
    </w:p>
    <w:p w:rsidR="00491921" w:rsidRPr="00491921" w:rsidRDefault="00491921" w:rsidP="00491921">
      <w:pPr>
        <w:pStyle w:val="ListBullet"/>
      </w:pPr>
      <w:r w:rsidRPr="00491921">
        <w:t>Treatment</w:t>
      </w:r>
      <w:r w:rsidR="007845AA">
        <w:t xml:space="preserve"> </w:t>
      </w:r>
      <w:r w:rsidRPr="00491921">
        <w:t>experienced with</w:t>
      </w:r>
      <w:r w:rsidR="000F37B2">
        <w:t xml:space="preserve"> or without cirrhosis: 24 weeks.</w:t>
      </w:r>
    </w:p>
    <w:p w:rsidR="008E7846" w:rsidRDefault="00386150" w:rsidP="007B6132">
      <w:pPr>
        <w:pStyle w:val="Heading3"/>
        <w:rPr>
          <w:lang w:eastAsia="en-AU"/>
        </w:rPr>
      </w:pPr>
      <w:bookmarkStart w:id="222" w:name="_Toc432073746"/>
      <w:r>
        <w:rPr>
          <w:lang w:eastAsia="en-AU"/>
        </w:rPr>
        <w:t>Risk m</w:t>
      </w:r>
      <w:r w:rsidR="008E7846">
        <w:rPr>
          <w:lang w:eastAsia="en-AU"/>
        </w:rPr>
        <w:t xml:space="preserve">anagement </w:t>
      </w:r>
      <w:r>
        <w:rPr>
          <w:lang w:eastAsia="en-AU"/>
        </w:rPr>
        <w:t>p</w:t>
      </w:r>
      <w:r w:rsidR="008E7846">
        <w:rPr>
          <w:lang w:eastAsia="en-AU"/>
        </w:rPr>
        <w:t>lan</w:t>
      </w:r>
      <w:bookmarkEnd w:id="162"/>
      <w:bookmarkEnd w:id="222"/>
    </w:p>
    <w:p w:rsidR="00491921" w:rsidRPr="00491921" w:rsidRDefault="00491921" w:rsidP="00491921">
      <w:pPr>
        <w:pStyle w:val="ListBullet"/>
      </w:pPr>
      <w:r w:rsidRPr="00491921">
        <w:t>The evaluator identified a number of issues and requested the revisions to the ASA, including the revisions to Table 2, 3 and 4 of the ASA</w:t>
      </w:r>
    </w:p>
    <w:p w:rsidR="00491921" w:rsidRPr="00491921" w:rsidRDefault="00491921" w:rsidP="00491921">
      <w:pPr>
        <w:pStyle w:val="ListBullet"/>
      </w:pPr>
      <w:r w:rsidRPr="00491921">
        <w:t xml:space="preserve">The RMP </w:t>
      </w:r>
      <w:r w:rsidR="007845AA">
        <w:t>e</w:t>
      </w:r>
      <w:r w:rsidRPr="00491921">
        <w:t xml:space="preserve">valuator also requests a number of amendments to the Australian </w:t>
      </w:r>
      <w:r w:rsidR="007845AA">
        <w:t>PI</w:t>
      </w:r>
    </w:p>
    <w:p w:rsidR="009203E1" w:rsidRDefault="00491921" w:rsidP="00491921">
      <w:r w:rsidRPr="00491921">
        <w:t>T</w:t>
      </w:r>
      <w:r w:rsidR="00927926">
        <w:t xml:space="preserve">his submission was discussed at the </w:t>
      </w:r>
      <w:r w:rsidR="00DE3D48" w:rsidRPr="00DE3D48">
        <w:t xml:space="preserve">Advisory Committee on the Safety of Vaccines </w:t>
      </w:r>
      <w:r w:rsidR="00DE3D48">
        <w:t>(</w:t>
      </w:r>
      <w:r w:rsidRPr="00491921">
        <w:t>ACSOV</w:t>
      </w:r>
      <w:r w:rsidR="00DE3D48">
        <w:t>)</w:t>
      </w:r>
      <w:r w:rsidR="00927926">
        <w:t xml:space="preserve"> meeting</w:t>
      </w:r>
      <w:r w:rsidRPr="00491921">
        <w:t xml:space="preserve"> and the following recommendations are made</w:t>
      </w:r>
      <w:r w:rsidR="009203E1">
        <w:t>:</w:t>
      </w:r>
    </w:p>
    <w:p w:rsidR="00491921" w:rsidRPr="00491921" w:rsidRDefault="00491921" w:rsidP="00491921">
      <w:pPr>
        <w:pStyle w:val="ListBullet"/>
      </w:pPr>
      <w:r w:rsidRPr="00491921">
        <w:lastRenderedPageBreak/>
        <w:t>The safety concern list provided by the sponsor should be extended to include cardio-toxicity.</w:t>
      </w:r>
    </w:p>
    <w:p w:rsidR="009203E1" w:rsidRDefault="00491921" w:rsidP="00491921">
      <w:pPr>
        <w:pStyle w:val="ListBullet"/>
      </w:pPr>
      <w:r w:rsidRPr="00491921">
        <w:t xml:space="preserve">In view of the identified potential drug-drug interaction with </w:t>
      </w:r>
      <w:proofErr w:type="spellStart"/>
      <w:r w:rsidRPr="00491921">
        <w:t>rosuvastatin</w:t>
      </w:r>
      <w:proofErr w:type="spellEnd"/>
      <w:r w:rsidRPr="00491921">
        <w:t>, there is a need to refer to the possibility of interaction with other statins</w:t>
      </w:r>
      <w:r w:rsidR="009203E1">
        <w:t>.</w:t>
      </w:r>
    </w:p>
    <w:p w:rsidR="00491921" w:rsidRPr="00491921" w:rsidRDefault="00491921" w:rsidP="00491921">
      <w:pPr>
        <w:pStyle w:val="ListBullet"/>
      </w:pPr>
      <w:r w:rsidRPr="00491921">
        <w:t xml:space="preserve">The committee noted the need for the sponsor to provide undertaking to contribute ongoing utilisation and </w:t>
      </w:r>
      <w:proofErr w:type="spellStart"/>
      <w:r w:rsidRPr="00491921">
        <w:t>pharmacovigilance</w:t>
      </w:r>
      <w:proofErr w:type="spellEnd"/>
      <w:r w:rsidRPr="00491921">
        <w:t xml:space="preserve"> data to Australian surveillance and regulatory systems, such as the National Centre in HIV Epidemiology and Clinical Research (NCHECR), especially of patients with co-morbidities or complex conditions.</w:t>
      </w:r>
    </w:p>
    <w:p w:rsidR="00491921" w:rsidRPr="00491921" w:rsidRDefault="00491921" w:rsidP="00491921">
      <w:pPr>
        <w:pStyle w:val="ListBullet"/>
      </w:pPr>
      <w:r w:rsidRPr="00491921">
        <w:t xml:space="preserve">the sponsor should be requested to clarify the Use in Pregnancy categorisation for </w:t>
      </w:r>
      <w:proofErr w:type="spellStart"/>
      <w:r w:rsidRPr="00491921">
        <w:t>Harvoni</w:t>
      </w:r>
      <w:proofErr w:type="spellEnd"/>
      <w:r w:rsidRPr="00491921">
        <w:t xml:space="preserve"> therapy and when </w:t>
      </w:r>
      <w:proofErr w:type="spellStart"/>
      <w:r w:rsidRPr="00491921">
        <w:t>Harvoni</w:t>
      </w:r>
      <w:proofErr w:type="spellEnd"/>
      <w:r w:rsidRPr="00491921">
        <w:t xml:space="preserve"> is used in co</w:t>
      </w:r>
      <w:r w:rsidR="000F37B2">
        <w:t>mbination with other therapies</w:t>
      </w:r>
    </w:p>
    <w:p w:rsidR="00491921" w:rsidRPr="00491921" w:rsidRDefault="00491921" w:rsidP="00491921">
      <w:pPr>
        <w:pStyle w:val="ListBullet"/>
      </w:pPr>
      <w:r w:rsidRPr="00491921">
        <w:t xml:space="preserve">The European </w:t>
      </w:r>
      <w:proofErr w:type="spellStart"/>
      <w:r w:rsidR="003E2C44">
        <w:t>SmPC</w:t>
      </w:r>
      <w:proofErr w:type="spellEnd"/>
      <w:r w:rsidRPr="00491921">
        <w:t xml:space="preserve"> mentions the potential interaction with </w:t>
      </w:r>
      <w:proofErr w:type="spellStart"/>
      <w:r w:rsidRPr="00491921">
        <w:t>dabigatran</w:t>
      </w:r>
      <w:proofErr w:type="spellEnd"/>
      <w:r w:rsidRPr="00491921">
        <w:t xml:space="preserve"> and this should also be added to the Australian PI.</w:t>
      </w:r>
    </w:p>
    <w:p w:rsidR="009203E1" w:rsidRDefault="00491921" w:rsidP="00491921">
      <w:r w:rsidRPr="00491921">
        <w:t>RMP evaluator states that at this time no wording can be provided, as it is recommended that an acceptably revised ASA be submitted before this application is approved</w:t>
      </w:r>
      <w:r w:rsidR="009203E1">
        <w:t>.</w:t>
      </w:r>
    </w:p>
    <w:p w:rsidR="008E7846" w:rsidRDefault="00AA0ED0" w:rsidP="008E7846">
      <w:pPr>
        <w:pStyle w:val="Heading3"/>
      </w:pPr>
      <w:bookmarkStart w:id="223" w:name="_Toc247691531"/>
      <w:bookmarkStart w:id="224" w:name="_Toc314842515"/>
      <w:bookmarkStart w:id="225" w:name="_Toc432073747"/>
      <w:bookmarkStart w:id="226" w:name="_Toc196046505"/>
      <w:bookmarkStart w:id="227" w:name="_Toc196046949"/>
      <w:r>
        <w:t>Risk-benefit a</w:t>
      </w:r>
      <w:r w:rsidR="008E7846">
        <w:t>nalysis</w:t>
      </w:r>
      <w:bookmarkEnd w:id="223"/>
      <w:bookmarkEnd w:id="224"/>
      <w:bookmarkEnd w:id="225"/>
    </w:p>
    <w:p w:rsidR="00D23139" w:rsidRPr="00D23139" w:rsidRDefault="00D23139" w:rsidP="00D23139">
      <w:pPr>
        <w:pStyle w:val="Heading4"/>
      </w:pPr>
      <w:r w:rsidRPr="00D23139">
        <w:t>Del</w:t>
      </w:r>
      <w:r w:rsidR="000F37B2">
        <w:t>egate’s considerations</w:t>
      </w:r>
    </w:p>
    <w:p w:rsidR="00385C0B" w:rsidRPr="00683644" w:rsidRDefault="00385C0B" w:rsidP="000F37B2">
      <w:pPr>
        <w:pStyle w:val="Heading5"/>
      </w:pPr>
      <w:r w:rsidRPr="00683644">
        <w:t xml:space="preserve">Efficacy in treatment-naïve subjects </w:t>
      </w:r>
    </w:p>
    <w:p w:rsidR="004C545A" w:rsidRDefault="00385C0B" w:rsidP="00385C0B">
      <w:r w:rsidRPr="00385C0B">
        <w:t>For treatment</w:t>
      </w:r>
      <w:r w:rsidR="00D47A81">
        <w:t xml:space="preserve"> </w:t>
      </w:r>
      <w:r w:rsidRPr="00385C0B">
        <w:t>naïve subjects, the SVR12 re</w:t>
      </w:r>
      <w:r w:rsidR="00D47A81">
        <w:t>sults (SAF) from the two Phase III</w:t>
      </w:r>
      <w:r w:rsidRPr="00385C0B">
        <w:t xml:space="preserve"> studies</w:t>
      </w:r>
      <w:r>
        <w:t xml:space="preserve"> are as shown in Table 12.</w:t>
      </w:r>
    </w:p>
    <w:p w:rsidR="00C0158F" w:rsidRDefault="00C0158F" w:rsidP="00C0158F">
      <w:pPr>
        <w:pStyle w:val="TableTitle"/>
      </w:pPr>
      <w:r>
        <w:t>Table 12:</w:t>
      </w:r>
      <w:r w:rsidR="00581AFB">
        <w:t xml:space="preserve"> </w:t>
      </w:r>
      <w:r w:rsidR="005A51EF" w:rsidRPr="00385C0B">
        <w:t xml:space="preserve">SVR12 results (SAF) from the two Phase </w:t>
      </w:r>
      <w:r w:rsidR="00AF7D7B">
        <w:t>III</w:t>
      </w:r>
      <w:r w:rsidR="005A51EF" w:rsidRPr="00385C0B">
        <w:t xml:space="preserve"> studies</w:t>
      </w:r>
      <w:r w:rsidRPr="00D564C1">
        <w:t>.</w:t>
      </w:r>
    </w:p>
    <w:p w:rsidR="00385C0B" w:rsidRDefault="00E31FEA" w:rsidP="00385C0B">
      <w:r>
        <w:rPr>
          <w:noProof/>
          <w:lang w:eastAsia="en-AU"/>
        </w:rPr>
        <w:drawing>
          <wp:inline distT="0" distB="0" distL="0" distR="0" wp14:anchorId="63EE1CC1" wp14:editId="40D2050F">
            <wp:extent cx="5400040" cy="2060784"/>
            <wp:effectExtent l="0" t="0" r="0" b="0"/>
            <wp:docPr id="17" name="Picture 17" descr="Table 12: SVR12 results (SAF) from the two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2060784"/>
                    </a:xfrm>
                    <a:prstGeom prst="rect">
                      <a:avLst/>
                    </a:prstGeom>
                  </pic:spPr>
                </pic:pic>
              </a:graphicData>
            </a:graphic>
          </wp:inline>
        </w:drawing>
      </w:r>
    </w:p>
    <w:p w:rsidR="00E31FEA" w:rsidRPr="00E31FEA" w:rsidRDefault="00E31FEA" w:rsidP="00E31FEA">
      <w:r w:rsidRPr="00E31FEA">
        <w:t>In treatment</w:t>
      </w:r>
      <w:r w:rsidR="00AF7D7B">
        <w:t xml:space="preserve"> </w:t>
      </w:r>
      <w:r w:rsidRPr="00E31FEA">
        <w:t>naïve subjects with or without cirrhosis (ION-1), SVR12 was achieved in 97.7% (94.6% to 99.2%) subjects in the SOF/LDV 12 week group.</w:t>
      </w:r>
      <w:r w:rsidR="00B90AF7">
        <w:t xml:space="preserve"> </w:t>
      </w:r>
      <w:r w:rsidRPr="00E31FEA">
        <w:t>There was no additional benefit by adding RBV.</w:t>
      </w:r>
    </w:p>
    <w:p w:rsidR="00E31FEA" w:rsidRPr="00E31FEA" w:rsidRDefault="00E31FEA" w:rsidP="00E31FEA">
      <w:r w:rsidRPr="00E31FEA">
        <w:t>In treatment naïve subjects without cirrhosis (ION-3), SVR12 was achieved by 94.0% subjects (89.9% to 96.7%) in the SOF/LDV FDC 8 week group.</w:t>
      </w:r>
      <w:r w:rsidR="00B90AF7">
        <w:t xml:space="preserve"> </w:t>
      </w:r>
      <w:r w:rsidRPr="00E31FEA">
        <w:t>There was no additional benefit by including RBV. There was a higher relapse rate in the 8 week gr</w:t>
      </w:r>
      <w:r w:rsidR="00AF7D7B">
        <w:t>oups compared with the 12 week g</w:t>
      </w:r>
      <w:r w:rsidRPr="00E31FEA">
        <w:t>roup: 5.1% subjects in the 8 week group, 4.2% in the SOF/LDV+RBV 8 week, and 1.4% in the SOF/LDV 12 week group (</w:t>
      </w:r>
      <w:r w:rsidR="009F01FB">
        <w:t>Table 13</w:t>
      </w:r>
      <w:r w:rsidRPr="00E31FEA">
        <w:t>).</w:t>
      </w:r>
    </w:p>
    <w:p w:rsidR="00A15323" w:rsidRDefault="00A15323" w:rsidP="00A15323">
      <w:pPr>
        <w:pStyle w:val="TableTitle"/>
      </w:pPr>
      <w:r>
        <w:lastRenderedPageBreak/>
        <w:t xml:space="preserve">Table 13: </w:t>
      </w:r>
      <w:r w:rsidR="00D8138C">
        <w:t xml:space="preserve">GS-US-337-0108: </w:t>
      </w:r>
      <w:proofErr w:type="spellStart"/>
      <w:r w:rsidR="00D8138C">
        <w:t>virologic</w:t>
      </w:r>
      <w:proofErr w:type="spellEnd"/>
      <w:r w:rsidR="00D8138C">
        <w:t xml:space="preserve"> outcomes (FA</w:t>
      </w:r>
      <w:r w:rsidR="00076A86">
        <w:t>S</w:t>
      </w:r>
      <w:r w:rsidR="00D8138C">
        <w:t>)</w:t>
      </w:r>
      <w:r w:rsidRPr="00D564C1">
        <w:t>.</w:t>
      </w:r>
    </w:p>
    <w:p w:rsidR="00076A86" w:rsidRDefault="00EA2C4B" w:rsidP="00E31FEA">
      <w:r>
        <w:rPr>
          <w:noProof/>
          <w:lang w:eastAsia="en-AU"/>
        </w:rPr>
        <w:drawing>
          <wp:inline distT="0" distB="0" distL="0" distR="0" wp14:anchorId="5418EE55" wp14:editId="5B7C2392">
            <wp:extent cx="5400040" cy="962315"/>
            <wp:effectExtent l="0" t="0" r="0" b="9525"/>
            <wp:docPr id="18" name="Picture 18" descr="Table 13: GS-US-337-0108: virologic outcomes (FAS)." title="Table 13: GS-US-337-0108: virologic outcome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00040" cy="962315"/>
                    </a:xfrm>
                    <a:prstGeom prst="rect">
                      <a:avLst/>
                    </a:prstGeom>
                  </pic:spPr>
                </pic:pic>
              </a:graphicData>
            </a:graphic>
          </wp:inline>
        </w:drawing>
      </w:r>
    </w:p>
    <w:p w:rsidR="00D7512B" w:rsidRPr="00D7512B" w:rsidRDefault="00D7512B" w:rsidP="00D7512B">
      <w:pPr>
        <w:pStyle w:val="Heading5"/>
      </w:pPr>
      <w:r w:rsidRPr="00D7512B">
        <w:t>Efficacy in treatment</w:t>
      </w:r>
      <w:r w:rsidR="00893EA8">
        <w:t xml:space="preserve"> </w:t>
      </w:r>
      <w:r w:rsidRPr="00D7512B">
        <w:t>experienced subjects</w:t>
      </w:r>
    </w:p>
    <w:p w:rsidR="009203E1" w:rsidRDefault="00D7512B" w:rsidP="00D7512B">
      <w:r w:rsidRPr="00D7512B">
        <w:t>The SVR12 results for treatment</w:t>
      </w:r>
      <w:r w:rsidR="00893EA8">
        <w:t xml:space="preserve"> </w:t>
      </w:r>
      <w:r w:rsidRPr="00D7512B">
        <w:t xml:space="preserve">experienced subjects in ION </w:t>
      </w:r>
      <w:r w:rsidR="00BC7D7B">
        <w:t>2</w:t>
      </w:r>
      <w:r w:rsidRPr="00D7512B">
        <w:t xml:space="preserve"> are </w:t>
      </w:r>
      <w:r w:rsidR="0006380F">
        <w:t>as shown in Table 14</w:t>
      </w:r>
      <w:r w:rsidR="009203E1">
        <w:t>.</w:t>
      </w:r>
    </w:p>
    <w:p w:rsidR="00D7512B" w:rsidRDefault="00D7512B" w:rsidP="00D7512B">
      <w:pPr>
        <w:pStyle w:val="TableTitle"/>
      </w:pPr>
      <w:r>
        <w:t xml:space="preserve">Table 14: </w:t>
      </w:r>
      <w:r w:rsidR="00866E9F" w:rsidRPr="00D7512B">
        <w:t>SVR12 results for treatment</w:t>
      </w:r>
      <w:r w:rsidR="00893EA8">
        <w:t xml:space="preserve"> </w:t>
      </w:r>
      <w:r w:rsidR="00866E9F" w:rsidRPr="00D7512B">
        <w:t xml:space="preserve">experienced subjects in ION </w:t>
      </w:r>
      <w:r w:rsidR="00BC7D7B">
        <w:t>2</w:t>
      </w:r>
      <w:r w:rsidRPr="00D564C1">
        <w:t>.</w:t>
      </w:r>
    </w:p>
    <w:p w:rsidR="00A15323" w:rsidRDefault="003F5519" w:rsidP="00D7512B">
      <w:r>
        <w:rPr>
          <w:noProof/>
          <w:lang w:eastAsia="en-AU"/>
        </w:rPr>
        <w:drawing>
          <wp:inline distT="0" distB="0" distL="0" distR="0" wp14:anchorId="446D7912" wp14:editId="36CA89FF">
            <wp:extent cx="5400040" cy="1773475"/>
            <wp:effectExtent l="0" t="0" r="0" b="0"/>
            <wp:docPr id="19" name="Picture 19" descr="Table 14: SVR12 results for treatment experienced subjects in 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0" cy="1773475"/>
                    </a:xfrm>
                    <a:prstGeom prst="rect">
                      <a:avLst/>
                    </a:prstGeom>
                  </pic:spPr>
                </pic:pic>
              </a:graphicData>
            </a:graphic>
          </wp:inline>
        </w:drawing>
      </w:r>
    </w:p>
    <w:p w:rsidR="00040C43" w:rsidRPr="00D16D5B" w:rsidRDefault="00040C43" w:rsidP="00D16D5B">
      <w:r w:rsidRPr="00D16D5B">
        <w:t>SVR12 was achi</w:t>
      </w:r>
      <w:r w:rsidR="00893EA8">
        <w:t>eved by 93.6% subjects (87.2-</w:t>
      </w:r>
      <w:r w:rsidRPr="00D16D5B">
        <w:t>97.4%) in the SOF/LDV 12 week group (compared to the historical 25% response rate).</w:t>
      </w:r>
      <w:r w:rsidR="00B90AF7">
        <w:t xml:space="preserve"> </w:t>
      </w:r>
      <w:r w:rsidRPr="00D16D5B">
        <w:t>There was better efficacy in those subjects treated with RBV and for longer treatment duration. The relapse rates were higher in the group</w:t>
      </w:r>
      <w:r w:rsidR="00893EA8">
        <w:t>s treated with 12 weeks (3.6-</w:t>
      </w:r>
      <w:r w:rsidRPr="00D16D5B">
        <w:t>6.5%) compared to</w:t>
      </w:r>
      <w:r w:rsidR="00893EA8">
        <w:t xml:space="preserve"> those treated for 24 weeks (0</w:t>
      </w:r>
      <w:r w:rsidRPr="00D16D5B">
        <w:t>-0.9%). The risk of relapse was increased i</w:t>
      </w:r>
      <w:r w:rsidR="00893EA8">
        <w:t>n subjects with cirrhosis and/</w:t>
      </w:r>
      <w:r w:rsidRPr="00D16D5B">
        <w:t>or baseline thrombocytopenia.</w:t>
      </w:r>
    </w:p>
    <w:p w:rsidR="00040C43" w:rsidRDefault="00040C43" w:rsidP="00040C43">
      <w:pPr>
        <w:pStyle w:val="TableTitle"/>
      </w:pPr>
      <w:r>
        <w:t>Table 1</w:t>
      </w:r>
      <w:r w:rsidR="00D16D5B">
        <w:t>5</w:t>
      </w:r>
      <w:r>
        <w:t xml:space="preserve">: </w:t>
      </w:r>
      <w:r w:rsidR="00A774A0">
        <w:t xml:space="preserve">GS-US-337-0109: </w:t>
      </w:r>
      <w:proofErr w:type="spellStart"/>
      <w:r w:rsidR="00A774A0">
        <w:t>virologic</w:t>
      </w:r>
      <w:proofErr w:type="spellEnd"/>
      <w:r w:rsidR="00A774A0">
        <w:t xml:space="preserve"> outcomes </w:t>
      </w:r>
      <w:r w:rsidR="004457EE">
        <w:t>(FAS)</w:t>
      </w:r>
      <w:r w:rsidRPr="00D564C1">
        <w:t>.</w:t>
      </w:r>
    </w:p>
    <w:p w:rsidR="00D90C83" w:rsidRDefault="00002BDE" w:rsidP="00040C43">
      <w:pPr>
        <w:tabs>
          <w:tab w:val="num" w:pos="567"/>
        </w:tabs>
        <w:autoSpaceDE w:val="0"/>
        <w:autoSpaceDN w:val="0"/>
        <w:adjustRightInd w:val="0"/>
        <w:rPr>
          <w:rFonts w:asciiTheme="majorHAnsi" w:hAnsiTheme="majorHAnsi"/>
        </w:rPr>
      </w:pPr>
      <w:r>
        <w:rPr>
          <w:noProof/>
          <w:lang w:eastAsia="en-AU"/>
        </w:rPr>
        <w:drawing>
          <wp:inline distT="0" distB="0" distL="0" distR="0" wp14:anchorId="131CC90A" wp14:editId="52595076">
            <wp:extent cx="5400040" cy="1059239"/>
            <wp:effectExtent l="0" t="0" r="0" b="7620"/>
            <wp:docPr id="23" name="Picture 23" descr="Table 15: GS-US-337-0109: virologic outcome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0040" cy="1059239"/>
                    </a:xfrm>
                    <a:prstGeom prst="rect">
                      <a:avLst/>
                    </a:prstGeom>
                  </pic:spPr>
                </pic:pic>
              </a:graphicData>
            </a:graphic>
          </wp:inline>
        </w:drawing>
      </w:r>
    </w:p>
    <w:p w:rsidR="00002BDE" w:rsidRPr="00002BDE" w:rsidRDefault="00002BDE" w:rsidP="00002BDE">
      <w:r w:rsidRPr="00002BDE">
        <w:t>In all three pivotal studies subjects with &lt;80% adherence to study treatment had reduced efficacy.</w:t>
      </w:r>
      <w:r w:rsidR="00B90AF7">
        <w:t xml:space="preserve"> </w:t>
      </w:r>
      <w:r w:rsidRPr="00002BDE">
        <w:t>However, there was no effect on response for demographic characteristics and SOF/LDV FDC was equally effective for GT1a-HCV and GT1b-HCV.</w:t>
      </w:r>
      <w:r w:rsidR="00B90AF7">
        <w:t xml:space="preserve"> </w:t>
      </w:r>
      <w:r w:rsidRPr="00002BDE">
        <w:t>Baseline disease characteristics did not influence efficacy.</w:t>
      </w:r>
      <w:r w:rsidR="00B90AF7">
        <w:t xml:space="preserve"> </w:t>
      </w:r>
      <w:r w:rsidRPr="00002BDE">
        <w:t>Quality of Life decreased during treatment for those subjects treated with RBV.</w:t>
      </w:r>
      <w:r w:rsidR="00B90AF7">
        <w:t xml:space="preserve"> </w:t>
      </w:r>
      <w:r w:rsidRPr="00002BDE">
        <w:t>Hence, the place of RBV as add-on therapy may be in those subjects with prior treatment failure, with or without cirrhosis.</w:t>
      </w:r>
    </w:p>
    <w:p w:rsidR="009203E1" w:rsidRDefault="00002BDE" w:rsidP="00002BDE">
      <w:r w:rsidRPr="00002BDE">
        <w:t>Relapse is more likely in subjects with higher viral burden, male gender, cirrhosis, and baseline thrombocytopenia. Relapse was more likely if subjects were male and/or baseline HCV RNA was ≥800,000 (IU/mL)</w:t>
      </w:r>
      <w:r w:rsidR="009203E1">
        <w:t>.</w:t>
      </w:r>
    </w:p>
    <w:p w:rsidR="00002BDE" w:rsidRPr="00002BDE" w:rsidRDefault="00002BDE" w:rsidP="00002BDE">
      <w:r w:rsidRPr="00002BDE">
        <w:t xml:space="preserve">Baseline NS5A </w:t>
      </w:r>
      <w:r w:rsidR="00893EA8">
        <w:t>RAVs</w:t>
      </w:r>
      <w:r w:rsidRPr="00002BDE">
        <w:t xml:space="preserve"> appear to be more common in subjects who relapse, and treatment emergent NS5A RAVs are more common than NS5B RAVs.</w:t>
      </w:r>
      <w:r w:rsidR="00B90AF7">
        <w:t xml:space="preserve"> </w:t>
      </w:r>
      <w:r w:rsidRPr="00002BDE">
        <w:t>In Study 0102 RAVs were reported in 32 (15.0%) subjects in the SOF/LDV 12 week group, and 36 (16.7%) in the SOF/LDV + RBV 12 week group; and the one subject in the 12 week group who relapsed did not develop a RAV.</w:t>
      </w:r>
      <w:r w:rsidR="00B90AF7">
        <w:t xml:space="preserve"> </w:t>
      </w:r>
      <w:r w:rsidRPr="00002BDE">
        <w:t>In Study 0108, of the 23 subjects that relapsed, 10 had NS5A RAVs at baseline; of the 13 that did not, six had emergent NS5A RAVs at relapse.</w:t>
      </w:r>
      <w:r w:rsidR="00B90AF7">
        <w:t xml:space="preserve"> </w:t>
      </w:r>
      <w:r w:rsidRPr="00002BDE">
        <w:t xml:space="preserve">In Study 0109 </w:t>
      </w:r>
      <w:r w:rsidRPr="00002BDE">
        <w:lastRenderedPageBreak/>
        <w:t>of the 12 subjects that relapsed, 5 of 11 had no baseline RAVs, and the other 7 subjects had baseline NS5A RAVs.</w:t>
      </w:r>
      <w:r w:rsidR="00B90AF7">
        <w:t xml:space="preserve"> </w:t>
      </w:r>
      <w:r w:rsidRPr="00002BDE">
        <w:t xml:space="preserve">All 12 subjects had detectable NS5A RAVs at </w:t>
      </w:r>
      <w:proofErr w:type="spellStart"/>
      <w:r w:rsidRPr="00002BDE">
        <w:t>virologic</w:t>
      </w:r>
      <w:proofErr w:type="spellEnd"/>
      <w:r w:rsidRPr="00002BDE">
        <w:t xml:space="preserve"> failure, but no NS5B NI RAVs were detected.</w:t>
      </w:r>
      <w:r w:rsidR="00B90AF7">
        <w:t xml:space="preserve"> </w:t>
      </w:r>
      <w:r w:rsidRPr="00002BDE">
        <w:t>Phenotypic analysis showed a reduced susceptibility to LDV, but no change in susceptibility to SOF or RBV.</w:t>
      </w:r>
    </w:p>
    <w:p w:rsidR="00002BDE" w:rsidRPr="00002BDE" w:rsidRDefault="00002BDE" w:rsidP="00002BDE">
      <w:r w:rsidRPr="00002BDE">
        <w:t>For treatment</w:t>
      </w:r>
      <w:r w:rsidR="00893EA8">
        <w:t xml:space="preserve"> </w:t>
      </w:r>
      <w:r w:rsidRPr="00002BDE">
        <w:t>naïve non-cirrhotic patients, relapse may not be an immediate concern, as these patients are usually not at immediate risk of disease progression. Furthermore, as these patients have not had prior exposure to a NS3/4A inhibitor an</w:t>
      </w:r>
      <w:r w:rsidR="00893EA8">
        <w:t>d likely have other curative re</w:t>
      </w:r>
      <w:r w:rsidRPr="00002BDE">
        <w:t>treatment options. However, for treatment</w:t>
      </w:r>
      <w:r w:rsidR="00893EA8">
        <w:t xml:space="preserve"> </w:t>
      </w:r>
      <w:r w:rsidRPr="00002BDE">
        <w:t>experienced patients with cirrhosis, failure to reach SVR or relapse may be associated with a short term risk of disease progression, and all the available combination DAA treatment options might have reduced efficacy in patients who have pre-selected for viral resistance against both NS3/4A inhibitors and NS5A inhibitors. It is therefore important to avoid unnecessary relapses in patients with cirrhosis and in patients with prior NS3/4A exposure.</w:t>
      </w:r>
    </w:p>
    <w:p w:rsidR="00A1110D" w:rsidRDefault="00A1110D" w:rsidP="00D23139">
      <w:pPr>
        <w:pStyle w:val="Heading4"/>
      </w:pPr>
      <w:r>
        <w:t>Summary of issues</w:t>
      </w:r>
    </w:p>
    <w:p w:rsidR="00A1110D" w:rsidRPr="00A1110D" w:rsidRDefault="00A1110D" w:rsidP="000F37B2">
      <w:r w:rsidRPr="00A1110D">
        <w:t>Three open label Phase III studies were submitted to support this application. Two studies were conducted in treatment</w:t>
      </w:r>
      <w:r w:rsidR="00893EA8">
        <w:t xml:space="preserve"> </w:t>
      </w:r>
      <w:r w:rsidRPr="00A1110D">
        <w:t>naïve subjects and one s</w:t>
      </w:r>
      <w:r w:rsidR="00893EA8">
        <w:t xml:space="preserve">tudy was conducted in treatment </w:t>
      </w:r>
      <w:r w:rsidRPr="00A1110D">
        <w:t>experienced subjects.</w:t>
      </w:r>
    </w:p>
    <w:p w:rsidR="00A1110D" w:rsidRPr="00A1110D" w:rsidRDefault="00A1110D" w:rsidP="00A1110D">
      <w:r w:rsidRPr="00A1110D">
        <w:t>In treatment</w:t>
      </w:r>
      <w:r w:rsidR="00893EA8">
        <w:t xml:space="preserve"> </w:t>
      </w:r>
      <w:r w:rsidRPr="00A1110D">
        <w:t>naïve subjects without cirrhosis, SVR12 was achieved by about 94.0% subjects in the 8 weeks group and 97.7% in the 12 weeks treatment group. Ribavirin (RBV) does not provide additional benefit. The relapse rate was higher in subjects treated for 8 weeks compared to those treated for 12 weeks.</w:t>
      </w:r>
    </w:p>
    <w:p w:rsidR="00A1110D" w:rsidRPr="00A1110D" w:rsidRDefault="00A1110D" w:rsidP="00A1110D">
      <w:r w:rsidRPr="00A1110D">
        <w:t>In treatment</w:t>
      </w:r>
      <w:r w:rsidR="00893EA8">
        <w:t xml:space="preserve"> </w:t>
      </w:r>
      <w:r w:rsidRPr="00A1110D">
        <w:t>experienced subjects, SVR12 was achieved by around 93.6% of the subject in the SOF/LDV 12 week group (compared to the historical 25% response rate).</w:t>
      </w:r>
      <w:r w:rsidR="00B90AF7">
        <w:t xml:space="preserve"> </w:t>
      </w:r>
      <w:r w:rsidRPr="00A1110D">
        <w:t>There was better efficacy in those subjects treated with RBV and for longer treatment duration (24 weeks). The relapse rates were higher in the group</w:t>
      </w:r>
      <w:r w:rsidR="00893EA8">
        <w:t>s treated with 12 weeks (3.6-</w:t>
      </w:r>
      <w:r w:rsidRPr="00A1110D">
        <w:t>6.5%) compared to</w:t>
      </w:r>
      <w:r w:rsidR="00893EA8">
        <w:t xml:space="preserve"> those treated for 24 weeks (0</w:t>
      </w:r>
      <w:r w:rsidRPr="00A1110D">
        <w:t>-0.9%).</w:t>
      </w:r>
    </w:p>
    <w:p w:rsidR="00D23139" w:rsidRPr="00D23139" w:rsidRDefault="00D23139" w:rsidP="00D23139">
      <w:pPr>
        <w:pStyle w:val="Heading4"/>
      </w:pPr>
      <w:r w:rsidRPr="00D23139">
        <w:t>Proposed action</w:t>
      </w:r>
    </w:p>
    <w:p w:rsidR="00491921" w:rsidRDefault="00491921" w:rsidP="004C545A">
      <w:r w:rsidRPr="00491921">
        <w:t xml:space="preserve">The delegate is of the view that the submitted data has provided supportive evidence for the use of </w:t>
      </w:r>
      <w:proofErr w:type="spellStart"/>
      <w:r w:rsidRPr="00491921">
        <w:t>H</w:t>
      </w:r>
      <w:r w:rsidR="009F736F">
        <w:t>arvoni</w:t>
      </w:r>
      <w:proofErr w:type="spellEnd"/>
      <w:r w:rsidRPr="00491921">
        <w:t xml:space="preserve"> (90</w:t>
      </w:r>
      <w:r w:rsidR="00DA1C2D">
        <w:t xml:space="preserve"> </w:t>
      </w:r>
      <w:r w:rsidRPr="00491921">
        <w:t xml:space="preserve">mg </w:t>
      </w:r>
      <w:r w:rsidR="007B3AED">
        <w:t>LDV</w:t>
      </w:r>
      <w:r w:rsidRPr="00491921">
        <w:t>/400</w:t>
      </w:r>
      <w:r w:rsidR="00DA1C2D">
        <w:t xml:space="preserve"> </w:t>
      </w:r>
      <w:r w:rsidRPr="00491921">
        <w:t xml:space="preserve">mg </w:t>
      </w:r>
      <w:r w:rsidR="0063513E">
        <w:t>SOF</w:t>
      </w:r>
      <w:r w:rsidRPr="00491921">
        <w:t xml:space="preserve">) FDC for the treatment of </w:t>
      </w:r>
      <w:r w:rsidR="003B7641">
        <w:t>CHC</w:t>
      </w:r>
      <w:r w:rsidRPr="00491921">
        <w:t xml:space="preserve"> Genotype 1 infection in adults. The delegate has no objection to the approval of </w:t>
      </w:r>
      <w:proofErr w:type="spellStart"/>
      <w:r w:rsidR="00EF6682">
        <w:t>Harvoni</w:t>
      </w:r>
      <w:proofErr w:type="spellEnd"/>
      <w:r w:rsidRPr="00491921">
        <w:t xml:space="preserve"> FDC tablets for</w:t>
      </w:r>
      <w:r>
        <w:t xml:space="preserve"> the proposed indication below:</w:t>
      </w:r>
    </w:p>
    <w:p w:rsidR="00491921" w:rsidRPr="00491921" w:rsidRDefault="00491921" w:rsidP="00491921">
      <w:pPr>
        <w:ind w:left="720"/>
        <w:rPr>
          <w:i/>
        </w:rPr>
      </w:pPr>
      <w:proofErr w:type="spellStart"/>
      <w:r w:rsidRPr="00491921">
        <w:rPr>
          <w:i/>
        </w:rPr>
        <w:t>H</w:t>
      </w:r>
      <w:r w:rsidR="00B875FD">
        <w:rPr>
          <w:i/>
        </w:rPr>
        <w:t>arvoni</w:t>
      </w:r>
      <w:proofErr w:type="spellEnd"/>
      <w:r w:rsidRPr="00491921">
        <w:rPr>
          <w:i/>
        </w:rPr>
        <w:t xml:space="preserve"> is indicated for the treatment of chronic hepatitis C (CHC) genotype 1 infection in adults.</w:t>
      </w:r>
    </w:p>
    <w:p w:rsidR="004C545A" w:rsidRPr="007B6132" w:rsidRDefault="00491921" w:rsidP="004C545A">
      <w:r w:rsidRPr="00491921">
        <w:t>The delegate is seeking the advice of the ACPM with regards to the most appropriate treatment duration for treatment</w:t>
      </w:r>
      <w:r w:rsidR="00231285">
        <w:t xml:space="preserve"> </w:t>
      </w:r>
      <w:r w:rsidRPr="00491921">
        <w:t>naïve or treatment</w:t>
      </w:r>
      <w:r w:rsidR="00231285">
        <w:t xml:space="preserve"> </w:t>
      </w:r>
      <w:r w:rsidRPr="00491921">
        <w:t>experienced subjects with or without cirrhosis.</w:t>
      </w:r>
    </w:p>
    <w:p w:rsidR="00D23139" w:rsidRPr="00D23139" w:rsidRDefault="00D23139" w:rsidP="00D23139">
      <w:pPr>
        <w:pStyle w:val="Heading4"/>
      </w:pPr>
      <w:r w:rsidRPr="00D23139">
        <w:t>Request for ACPM advice</w:t>
      </w:r>
    </w:p>
    <w:p w:rsidR="00C870BE" w:rsidRPr="00002BDE" w:rsidRDefault="00C870BE" w:rsidP="00C870BE">
      <w:r w:rsidRPr="00002BDE">
        <w:t>The ACPM is requested to provide advice on the following specific issues:</w:t>
      </w:r>
    </w:p>
    <w:p w:rsidR="00C870BE" w:rsidRPr="00002BDE" w:rsidRDefault="00C870BE" w:rsidP="00C870BE">
      <w:pPr>
        <w:pStyle w:val="ListBullet"/>
      </w:pPr>
      <w:r w:rsidRPr="00002BDE">
        <w:t xml:space="preserve">For treatment naïve subjects without cirrhosis, both the clinical evaluator and the sponsor proposed the 8 weeks treatment with </w:t>
      </w:r>
      <w:proofErr w:type="spellStart"/>
      <w:r w:rsidR="00231285">
        <w:t>Harvoni</w:t>
      </w:r>
      <w:proofErr w:type="spellEnd"/>
      <w:r w:rsidRPr="00002BDE">
        <w:t xml:space="preserve">. Does ACPM consider that 8 weeks treatment is sufficient for this group and whether the higher relapse rate in the 8 weeks group is of concern? </w:t>
      </w:r>
    </w:p>
    <w:p w:rsidR="00C870BE" w:rsidRPr="00002BDE" w:rsidRDefault="00C870BE" w:rsidP="00C870BE">
      <w:pPr>
        <w:pStyle w:val="ListBullet"/>
      </w:pPr>
      <w:r w:rsidRPr="00002BDE">
        <w:t xml:space="preserve">For treatment naïve subjects with cirrhosis, both and the clinical evaluator and the sponsor proposed the 12 weeks treatment with </w:t>
      </w:r>
      <w:proofErr w:type="spellStart"/>
      <w:r w:rsidR="00231285">
        <w:t>Harvoni</w:t>
      </w:r>
      <w:proofErr w:type="spellEnd"/>
      <w:r w:rsidRPr="00002BDE">
        <w:t>. Does ACPM agree this is an appropriate treatment regimen?</w:t>
      </w:r>
    </w:p>
    <w:p w:rsidR="00C870BE" w:rsidRPr="00002BDE" w:rsidRDefault="00C870BE" w:rsidP="00C870BE">
      <w:pPr>
        <w:pStyle w:val="ListBullet"/>
      </w:pPr>
      <w:r w:rsidRPr="00002BDE">
        <w:lastRenderedPageBreak/>
        <w:t>For treatment</w:t>
      </w:r>
      <w:r w:rsidR="00231285">
        <w:t xml:space="preserve"> </w:t>
      </w:r>
      <w:r w:rsidRPr="00002BDE">
        <w:t xml:space="preserve">experienced subjects, the sponsor proposes the 12 weeks treatment of </w:t>
      </w:r>
      <w:proofErr w:type="spellStart"/>
      <w:r w:rsidR="00231285">
        <w:t>Harvoni</w:t>
      </w:r>
      <w:proofErr w:type="spellEnd"/>
      <w:r w:rsidRPr="00002BDE">
        <w:t xml:space="preserve"> while the clinical evaluator recommends the 24 weeks treatment of </w:t>
      </w:r>
      <w:proofErr w:type="spellStart"/>
      <w:r w:rsidR="00231285">
        <w:t>Harvoni</w:t>
      </w:r>
      <w:proofErr w:type="spellEnd"/>
      <w:r w:rsidRPr="00002BDE">
        <w:t>.</w:t>
      </w:r>
      <w:r w:rsidR="00B90AF7">
        <w:t xml:space="preserve"> </w:t>
      </w:r>
      <w:r w:rsidRPr="00002BDE">
        <w:t xml:space="preserve">What is the view of the ACPM? </w:t>
      </w:r>
    </w:p>
    <w:p w:rsidR="00D23139" w:rsidRDefault="00D23139" w:rsidP="00D23139">
      <w:pPr>
        <w:pStyle w:val="Heading4"/>
      </w:pPr>
      <w:r w:rsidRPr="00D23139">
        <w:t xml:space="preserve">Response from </w:t>
      </w:r>
      <w:r w:rsidR="002C5B3E">
        <w:t>s</w:t>
      </w:r>
      <w:r w:rsidR="000F37B2">
        <w:t>ponsor</w:t>
      </w:r>
    </w:p>
    <w:p w:rsidR="0099361E" w:rsidRDefault="0099361E" w:rsidP="00C14491">
      <w:pPr>
        <w:pStyle w:val="Heading5"/>
      </w:pPr>
      <w:r>
        <w:t>Summary</w:t>
      </w:r>
    </w:p>
    <w:p w:rsidR="00206249" w:rsidRPr="00206249" w:rsidRDefault="003B7641" w:rsidP="00206249">
      <w:r>
        <w:t>CHC virus</w:t>
      </w:r>
      <w:r w:rsidR="00206249" w:rsidRPr="00206249">
        <w:t xml:space="preserve"> infection is a serious, progressive, and potentially life</w:t>
      </w:r>
      <w:r w:rsidR="00CE57E5">
        <w:t xml:space="preserve"> </w:t>
      </w:r>
      <w:r w:rsidR="00206249" w:rsidRPr="00206249">
        <w:t>threatening disease</w:t>
      </w:r>
      <w:r w:rsidR="00206249">
        <w:t xml:space="preserve"> </w:t>
      </w:r>
      <w:r w:rsidR="00206249" w:rsidRPr="00206249">
        <w:t>and a major public health concern globally. Worldwide, an estimated 180 m</w:t>
      </w:r>
      <w:r w:rsidR="00206249">
        <w:t>illion people have CHC</w:t>
      </w:r>
      <w:r w:rsidR="0000392A">
        <w:t>.</w:t>
      </w:r>
      <w:r w:rsidR="0000392A">
        <w:rPr>
          <w:rStyle w:val="FootnoteReference"/>
        </w:rPr>
        <w:footnoteReference w:id="8"/>
      </w:r>
      <w:r w:rsidR="00206249">
        <w:t xml:space="preserve"> </w:t>
      </w:r>
      <w:r w:rsidR="00206249" w:rsidRPr="00206249">
        <w:t>The prevalence of HCV in Australia is estimated t</w:t>
      </w:r>
      <w:r w:rsidR="009676B0">
        <w:t>o be approximately 1.3%.</w:t>
      </w:r>
      <w:r w:rsidR="009676B0">
        <w:rPr>
          <w:rStyle w:val="FootnoteReference"/>
        </w:rPr>
        <w:footnoteReference w:id="9"/>
      </w:r>
    </w:p>
    <w:p w:rsidR="00D23139" w:rsidRDefault="006178BB" w:rsidP="00206249">
      <w:r>
        <w:t>HCV</w:t>
      </w:r>
      <w:r w:rsidR="00206249" w:rsidRPr="00206249">
        <w:t xml:space="preserve"> has significant genetic (RNA sequence) variability and is classified on this basis into a</w:t>
      </w:r>
      <w:r w:rsidR="00206249">
        <w:t xml:space="preserve">t least </w:t>
      </w:r>
      <w:r w:rsidR="00206249" w:rsidRPr="00206249">
        <w:t>6 genotypes. The most common genotype in Australia is genotype 1 {23136</w:t>
      </w:r>
      <w:r w:rsidR="00206249">
        <w:t xml:space="preserve">}, whereby the current standard </w:t>
      </w:r>
      <w:r w:rsidR="00206249" w:rsidRPr="00206249">
        <w:t>treatment for patients is 12 to 24 weeks of an oral prot</w:t>
      </w:r>
      <w:r w:rsidR="00CE57E5">
        <w:t>ease inhibitor</w:t>
      </w:r>
      <w:r w:rsidR="00206249" w:rsidRPr="00206249">
        <w:t xml:space="preserve"> </w:t>
      </w:r>
      <w:r w:rsidR="00206249">
        <w:t xml:space="preserve">combined with 24 to 48 weeks of </w:t>
      </w:r>
      <w:proofErr w:type="spellStart"/>
      <w:r w:rsidR="00206249" w:rsidRPr="00206249">
        <w:t>pegylated</w:t>
      </w:r>
      <w:proofErr w:type="spellEnd"/>
      <w:r w:rsidR="00206249" w:rsidRPr="00206249">
        <w:t xml:space="preserve"> int</w:t>
      </w:r>
      <w:r w:rsidR="00483D40">
        <w:t>erferon (Peg</w:t>
      </w:r>
      <w:r w:rsidR="00206249" w:rsidRPr="00206249">
        <w:t>-IFN) and ribavirin (RBV), with duration of</w:t>
      </w:r>
      <w:r w:rsidR="00206249">
        <w:t xml:space="preserve"> therapy guided by on-treatment </w:t>
      </w:r>
      <w:r w:rsidR="00206249" w:rsidRPr="00206249">
        <w:t>response</w:t>
      </w:r>
      <w:r w:rsidR="0000392A">
        <w:t>.</w:t>
      </w:r>
      <w:r w:rsidR="0000392A">
        <w:rPr>
          <w:rStyle w:val="FootnoteReference"/>
        </w:rPr>
        <w:footnoteReference w:id="10"/>
      </w:r>
      <w:r w:rsidR="00206249" w:rsidRPr="00206249">
        <w:t xml:space="preserve"> </w:t>
      </w:r>
      <w:r w:rsidR="00B2337A">
        <w:t xml:space="preserve">Data </w:t>
      </w:r>
      <w:r w:rsidR="00206249" w:rsidRPr="00206249">
        <w:t>from the</w:t>
      </w:r>
      <w:r w:rsidR="00206249">
        <w:t xml:space="preserve"> registration studies for these </w:t>
      </w:r>
      <w:r w:rsidR="00206249" w:rsidRPr="00206249">
        <w:t>drugs in combination with P</w:t>
      </w:r>
      <w:r w:rsidR="00483D40">
        <w:t>eg</w:t>
      </w:r>
      <w:r w:rsidR="00206249" w:rsidRPr="00206249">
        <w:t>-IFN+RBV showed sustained SVR rates be</w:t>
      </w:r>
      <w:r w:rsidR="00206249">
        <w:t xml:space="preserve">tween 66% and </w:t>
      </w:r>
      <w:r w:rsidR="00206249" w:rsidRPr="00206249">
        <w:t>75% in treatment</w:t>
      </w:r>
      <w:r w:rsidR="00CE57E5">
        <w:t xml:space="preserve"> </w:t>
      </w:r>
      <w:r w:rsidR="00206249" w:rsidRPr="00206249">
        <w:t>naive patients with ch</w:t>
      </w:r>
      <w:r w:rsidR="005B44BD">
        <w:t>ronic genotype 1 HCV infection</w:t>
      </w:r>
      <w:r w:rsidR="00206249">
        <w:t>.</w:t>
      </w:r>
      <w:r w:rsidR="005B44BD">
        <w:rPr>
          <w:rStyle w:val="FootnoteReference"/>
        </w:rPr>
        <w:footnoteReference w:id="11"/>
      </w:r>
      <w:r w:rsidR="00206249">
        <w:t xml:space="preserve"> These regimens </w:t>
      </w:r>
      <w:r w:rsidR="00206249" w:rsidRPr="00206249">
        <w:t>also provide a treatment option for patients who have previously failed to a</w:t>
      </w:r>
      <w:r w:rsidR="00206249">
        <w:t xml:space="preserve">chieve SVR following interferon </w:t>
      </w:r>
      <w:r w:rsidR="00206249" w:rsidRPr="00206249">
        <w:t>(IFN)</w:t>
      </w:r>
      <w:r w:rsidR="00CE57E5">
        <w:t xml:space="preserve"> </w:t>
      </w:r>
      <w:r w:rsidR="00206249" w:rsidRPr="00206249">
        <w:t>based therapy. The SVR rates were approximately 70% to 86% and 40</w:t>
      </w:r>
      <w:r w:rsidR="00206249">
        <w:t xml:space="preserve">% to 59% in prior </w:t>
      </w:r>
      <w:proofErr w:type="spellStart"/>
      <w:r w:rsidR="00206249">
        <w:t>relapsers</w:t>
      </w:r>
      <w:proofErr w:type="spellEnd"/>
      <w:r w:rsidR="00206249">
        <w:t xml:space="preserve"> and </w:t>
      </w:r>
      <w:r w:rsidR="003A0C26">
        <w:t xml:space="preserve">partial </w:t>
      </w:r>
      <w:r w:rsidR="00206249" w:rsidRPr="00206249">
        <w:t>responders, respectively</w:t>
      </w:r>
      <w:r w:rsidR="0000392A">
        <w:t>.</w:t>
      </w:r>
      <w:r w:rsidR="0000392A">
        <w:rPr>
          <w:rStyle w:val="FootnoteReference"/>
        </w:rPr>
        <w:footnoteReference w:id="12"/>
      </w:r>
      <w:r w:rsidR="00172214">
        <w:t xml:space="preserve"> </w:t>
      </w:r>
      <w:r w:rsidR="00206249" w:rsidRPr="00206249">
        <w:t>In addition, the SVR rate was 32% in prior null responders</w:t>
      </w:r>
      <w:r w:rsidR="00206249">
        <w:t xml:space="preserve"> </w:t>
      </w:r>
      <w:r w:rsidR="00206249" w:rsidRPr="00206249">
        <w:t xml:space="preserve">following treatment with </w:t>
      </w:r>
      <w:proofErr w:type="spellStart"/>
      <w:r w:rsidR="00206249" w:rsidRPr="00206249">
        <w:t>telaprevir</w:t>
      </w:r>
      <w:proofErr w:type="spellEnd"/>
      <w:r w:rsidR="00206249" w:rsidRPr="00206249">
        <w:t xml:space="preserve"> in combination with P</w:t>
      </w:r>
      <w:r w:rsidR="009E6A21">
        <w:t>eg</w:t>
      </w:r>
      <w:r w:rsidR="00206249" w:rsidRPr="00206249">
        <w:t>-IFN+RBV</w:t>
      </w:r>
      <w:r w:rsidR="0000392A">
        <w:t>.</w:t>
      </w:r>
      <w:r w:rsidR="0000392A">
        <w:rPr>
          <w:rStyle w:val="FootnoteReference"/>
        </w:rPr>
        <w:footnoteReference w:id="13"/>
      </w:r>
    </w:p>
    <w:p w:rsidR="003A0C26" w:rsidRDefault="00351AF1" w:rsidP="00206249">
      <w:r w:rsidRPr="00351AF1">
        <w:t>There remains a significant unmet medical need for simplified treatment regimens that are more effective than the current standard of care, with better safety/tolerability profiles. The toxicity and tolerability issues associated with Peg-IFN+RBV regimens, which were made worse by the PI-containing regimens, have led to the unwillingness of many patients to be treated. Additionally, a substantial number of patients cannot receive Peg-IFN and/or RBV due to contraindications</w:t>
      </w:r>
      <w:r w:rsidR="0000392A">
        <w:t>.</w:t>
      </w:r>
      <w:r w:rsidR="0000392A">
        <w:rPr>
          <w:rStyle w:val="FootnoteReference"/>
        </w:rPr>
        <w:footnoteReference w:id="14"/>
      </w:r>
      <w:r w:rsidRPr="00351AF1">
        <w:t xml:space="preserve"> </w:t>
      </w:r>
      <w:r w:rsidR="00A4550D">
        <w:t xml:space="preserve">Thus, </w:t>
      </w:r>
      <w:r w:rsidRPr="00351AF1">
        <w:t>removing Peg-IFN and RBV from the treatment regimen has substantial benefits for improving the tolerability and completion rates of the treatment regimen.</w:t>
      </w:r>
    </w:p>
    <w:p w:rsidR="00351AF1" w:rsidRDefault="00050CC9" w:rsidP="00206249">
      <w:r w:rsidRPr="00050CC9">
        <w:lastRenderedPageBreak/>
        <w:t xml:space="preserve">Gilead has developed a direct acting antiviral (DAA) agent </w:t>
      </w:r>
      <w:proofErr w:type="spellStart"/>
      <w:r w:rsidR="00606ED0">
        <w:t>Harvoni</w:t>
      </w:r>
      <w:proofErr w:type="spellEnd"/>
      <w:r w:rsidRPr="00050CC9">
        <w:t xml:space="preserve">, a </w:t>
      </w:r>
      <w:r w:rsidR="0040587F">
        <w:t>FDC</w:t>
      </w:r>
      <w:r w:rsidRPr="00050CC9">
        <w:t xml:space="preserve"> of 2 potent, direct</w:t>
      </w:r>
      <w:r w:rsidR="000C2FB3">
        <w:t xml:space="preserve"> </w:t>
      </w:r>
      <w:r w:rsidRPr="00050CC9">
        <w:t xml:space="preserve">acting antiviral agents, </w:t>
      </w:r>
      <w:r w:rsidR="0063513E">
        <w:t>SOF</w:t>
      </w:r>
      <w:r w:rsidRPr="00050CC9">
        <w:t xml:space="preserve"> and </w:t>
      </w:r>
      <w:r w:rsidR="007B3AED">
        <w:t>LDV</w:t>
      </w:r>
      <w:r w:rsidRPr="00050CC9">
        <w:t xml:space="preserve">. </w:t>
      </w:r>
      <w:proofErr w:type="spellStart"/>
      <w:r w:rsidR="000C2FB3">
        <w:t>Harvoni</w:t>
      </w:r>
      <w:proofErr w:type="spellEnd"/>
      <w:r w:rsidRPr="00050CC9">
        <w:t xml:space="preserve"> has the potential to address a significant unmet medical need for an IFN</w:t>
      </w:r>
      <w:r w:rsidR="000C2FB3">
        <w:t xml:space="preserve"> free, all </w:t>
      </w:r>
      <w:r w:rsidRPr="00050CC9">
        <w:t>oral treatment for the treatment of chronic genotype 1 HCV infection.</w:t>
      </w:r>
    </w:p>
    <w:p w:rsidR="00050CC9" w:rsidRDefault="000C2FB3" w:rsidP="00206249">
      <w:proofErr w:type="spellStart"/>
      <w:r>
        <w:t>Harvoni</w:t>
      </w:r>
      <w:proofErr w:type="spellEnd"/>
      <w:r w:rsidR="009D2977" w:rsidRPr="009D2977">
        <w:t xml:space="preserve"> is already approved for the treatment of chronic HCV infection in the USA, European Union, Switzerland, Turkey, Canada and New Zealand.</w:t>
      </w:r>
    </w:p>
    <w:p w:rsidR="009D2977" w:rsidRDefault="0063148B" w:rsidP="00206249">
      <w:r w:rsidRPr="0063148B">
        <w:t xml:space="preserve">Gilead’s rationale for proposed treatment recommendations for </w:t>
      </w:r>
      <w:proofErr w:type="spellStart"/>
      <w:r w:rsidR="000C2FB3">
        <w:t>Harvoni</w:t>
      </w:r>
      <w:proofErr w:type="spellEnd"/>
      <w:r w:rsidRPr="0063148B">
        <w:t xml:space="preserve"> is based on the Phase 3 program focused on genotype 1 HCV</w:t>
      </w:r>
      <w:r w:rsidR="000C2FB3">
        <w:t>-infected patients. In 3 Phase III</w:t>
      </w:r>
      <w:r w:rsidRPr="0063148B">
        <w:t xml:space="preserve"> clinical trials 1952 patients were treated with chronic HCV infection, including &gt; 200 patients with compensated cirrhosis and &gt; 200 treatment-experienced patients who have previously failed a PI+PEG-IFN+RBV regimen. Of these, 96.7% (1888 of 1952) of patients achieved sustained </w:t>
      </w:r>
      <w:proofErr w:type="spellStart"/>
      <w:r w:rsidRPr="0063148B">
        <w:t>virologic</w:t>
      </w:r>
      <w:proofErr w:type="spellEnd"/>
      <w:r w:rsidRPr="0063148B">
        <w:t xml:space="preserve"> response at 12 weeks following treatment completion (SVR12). Of the 3.3% (64 of 1952) of patients who did not achieve a cure, only 1.8% (36 of 1952) relapsed</w:t>
      </w:r>
      <w:r>
        <w:t>.</w:t>
      </w:r>
    </w:p>
    <w:p w:rsidR="0063148B" w:rsidRDefault="0049226A" w:rsidP="00206249">
      <w:r w:rsidRPr="0049226A">
        <w:t xml:space="preserve">Gilead believes that the totality of these data should determine the </w:t>
      </w:r>
      <w:proofErr w:type="spellStart"/>
      <w:r w:rsidR="008611BC">
        <w:t>Harvoni</w:t>
      </w:r>
      <w:proofErr w:type="spellEnd"/>
      <w:r w:rsidRPr="0049226A">
        <w:t xml:space="preserve"> treatment regimen the majority of patients will receive. The collective results from all </w:t>
      </w:r>
      <w:proofErr w:type="spellStart"/>
      <w:r w:rsidR="008611BC">
        <w:t>Harvoni</w:t>
      </w:r>
      <w:proofErr w:type="spellEnd"/>
      <w:r w:rsidRPr="0049226A">
        <w:t xml:space="preserve"> studies support a duration of 8 weeks for non</w:t>
      </w:r>
      <w:r w:rsidR="008611BC">
        <w:t>-</w:t>
      </w:r>
      <w:r w:rsidRPr="0049226A">
        <w:t>cirrhotic treatment</w:t>
      </w:r>
      <w:r w:rsidR="008611BC">
        <w:t xml:space="preserve"> </w:t>
      </w:r>
      <w:r w:rsidRPr="0049226A">
        <w:t>naive patients and 12 weeks for all other patients.</w:t>
      </w:r>
    </w:p>
    <w:p w:rsidR="0049226A" w:rsidRDefault="00753968" w:rsidP="00753968">
      <w:pPr>
        <w:pStyle w:val="Heading5"/>
      </w:pPr>
      <w:r>
        <w:t xml:space="preserve">Discussion of </w:t>
      </w:r>
      <w:r w:rsidR="000F37B2">
        <w:t>d</w:t>
      </w:r>
      <w:r>
        <w:t>elegate’s comments</w:t>
      </w:r>
    </w:p>
    <w:p w:rsidR="00753968" w:rsidRPr="00971A8B" w:rsidRDefault="00753968" w:rsidP="00753968">
      <w:pPr>
        <w:pStyle w:val="ListBullet"/>
        <w:rPr>
          <w:i/>
        </w:rPr>
      </w:pPr>
      <w:r w:rsidRPr="00971A8B">
        <w:rPr>
          <w:i/>
        </w:rPr>
        <w:t>For treatment</w:t>
      </w:r>
      <w:r w:rsidR="008611BC">
        <w:rPr>
          <w:i/>
        </w:rPr>
        <w:t xml:space="preserve"> </w:t>
      </w:r>
      <w:r w:rsidRPr="00971A8B">
        <w:rPr>
          <w:i/>
        </w:rPr>
        <w:t xml:space="preserve">naïve subjects without cirrhosis, the clinical evaluator and the sponsor proposes the 8 weeks treatment with </w:t>
      </w:r>
      <w:proofErr w:type="spellStart"/>
      <w:r w:rsidRPr="00971A8B">
        <w:rPr>
          <w:i/>
        </w:rPr>
        <w:t>H</w:t>
      </w:r>
      <w:r w:rsidR="00BB77E3">
        <w:rPr>
          <w:i/>
        </w:rPr>
        <w:t>arvoni</w:t>
      </w:r>
      <w:proofErr w:type="spellEnd"/>
      <w:r w:rsidRPr="00971A8B">
        <w:rPr>
          <w:i/>
        </w:rPr>
        <w:t>. Does ACPM consider that the 8 weeks treatment is sufficient for this group and whether the higher relapse rate in the 8 weeks is of concern?</w:t>
      </w:r>
    </w:p>
    <w:p w:rsidR="00753968" w:rsidRDefault="00753968" w:rsidP="00753968">
      <w:pPr>
        <w:pStyle w:val="ListBullet"/>
        <w:numPr>
          <w:ilvl w:val="0"/>
          <w:numId w:val="0"/>
        </w:numPr>
      </w:pPr>
      <w:r w:rsidRPr="00753968">
        <w:t xml:space="preserve">Gilead supports the clinical evaluator’s recommendation that treatment-naïve patients without cirrhosis should be treated for 8 weeks with </w:t>
      </w:r>
      <w:proofErr w:type="spellStart"/>
      <w:r w:rsidR="008611BC">
        <w:t>Harvoni</w:t>
      </w:r>
      <w:proofErr w:type="spellEnd"/>
      <w:r w:rsidRPr="00753968">
        <w:t>. Gilead advises that 8 weeks of treatment is the optimal duration for treatment-naïve non-cirrhotic patients based on data from Study GS-US-337-0108 (ION-3).</w:t>
      </w:r>
    </w:p>
    <w:p w:rsidR="00753968" w:rsidRDefault="007A56D8" w:rsidP="00753968">
      <w:pPr>
        <w:pStyle w:val="ListBullet"/>
        <w:numPr>
          <w:ilvl w:val="0"/>
          <w:numId w:val="0"/>
        </w:numPr>
      </w:pPr>
      <w:r w:rsidRPr="007A56D8">
        <w:t>To evaluate the appropriate duration of therapy in treatment</w:t>
      </w:r>
      <w:r w:rsidR="001569C3">
        <w:t xml:space="preserve"> </w:t>
      </w:r>
      <w:r w:rsidRPr="007A56D8">
        <w:t>naive, non</w:t>
      </w:r>
      <w:r w:rsidR="001569C3">
        <w:t>-</w:t>
      </w:r>
      <w:r w:rsidRPr="007A56D8">
        <w:t xml:space="preserve">cirrhotic subjects, an intent-to-treat (ITT) analysis, that controlled for type 1 error, was performed for the predefined primary efficacy endpoint (SVR12). Eight weeks of treatment with </w:t>
      </w:r>
      <w:proofErr w:type="spellStart"/>
      <w:r w:rsidR="001569C3">
        <w:t>Harvoni</w:t>
      </w:r>
      <w:proofErr w:type="spellEnd"/>
      <w:r w:rsidRPr="007A56D8">
        <w:t xml:space="preserve"> was non</w:t>
      </w:r>
      <w:r w:rsidR="00A119A2">
        <w:t>-</w:t>
      </w:r>
      <w:r w:rsidRPr="007A56D8">
        <w:t>inferior to 12</w:t>
      </w:r>
      <w:r w:rsidR="00A865A1">
        <w:t xml:space="preserve"> week</w:t>
      </w:r>
      <w:r w:rsidR="00A119A2">
        <w:t xml:space="preserve">s </w:t>
      </w:r>
      <w:proofErr w:type="spellStart"/>
      <w:r w:rsidR="00A119A2">
        <w:t>Harvoni</w:t>
      </w:r>
      <w:proofErr w:type="spellEnd"/>
      <w:r w:rsidR="00A119A2">
        <w:t xml:space="preserve"> treatment</w:t>
      </w:r>
      <w:r w:rsidRPr="007A56D8">
        <w:t>, with a treatment difference of -2.3% (97.5% CI: -7.2 to 2.5). Overall, 94 of every 100 patients (94%) were cured with 8 weeks of treatment.</w:t>
      </w:r>
    </w:p>
    <w:p w:rsidR="007A56D8" w:rsidRDefault="00FC0316" w:rsidP="00753968">
      <w:pPr>
        <w:pStyle w:val="ListBullet"/>
        <w:numPr>
          <w:ilvl w:val="0"/>
          <w:numId w:val="0"/>
        </w:numPr>
      </w:pPr>
      <w:r w:rsidRPr="00FC0316">
        <w:t>While Gilead recogni</w:t>
      </w:r>
      <w:r w:rsidR="00E717CC">
        <w:t>s</w:t>
      </w:r>
      <w:r w:rsidRPr="00FC0316">
        <w:t xml:space="preserve">es that SVR12 may not provide a complete picture regarding differences between 8 weeks and 12 weeks treatment with </w:t>
      </w:r>
      <w:proofErr w:type="spellStart"/>
      <w:r w:rsidR="00E717CC">
        <w:t>Harvoni</w:t>
      </w:r>
      <w:proofErr w:type="spellEnd"/>
      <w:r w:rsidRPr="00FC0316">
        <w:t>, there are good reasons to weigh this analysis heavily. This ITT analysis used SVR12 as the primary endpoint and therefore takes into account pragmatic considerations, such as noncompliance and loss to follow-up. This analysis also conserves the original purpose of randomization: to maintain similar baseline characteristics among the treatment groups, especially when the factors affecting outcome may not be known. Finally, it addresses other potential reasons for failure; such as early discontinuations (which may or may not</w:t>
      </w:r>
      <w:r w:rsidR="0000392A">
        <w:t xml:space="preserve"> be due to an AE</w:t>
      </w:r>
      <w:r w:rsidRPr="00FC0316">
        <w:t>) while a patient still had detectable HCV RNA. An ITT analysis using the pre</w:t>
      </w:r>
      <w:r w:rsidR="0000392A">
        <w:t>-</w:t>
      </w:r>
      <w:r w:rsidRPr="00FC0316">
        <w:t>specified primary endpoint (SVR12) is therefore the most scientific and stringent method to evaluate current and future treatment regimens, and should be the primary basis for making treatment recommendations, in order to ensure the highest likelihood that study results will reflect real-world clinical practice.</w:t>
      </w:r>
    </w:p>
    <w:p w:rsidR="00FC0316" w:rsidRDefault="00942087" w:rsidP="00753968">
      <w:pPr>
        <w:pStyle w:val="ListBullet"/>
        <w:numPr>
          <w:ilvl w:val="0"/>
          <w:numId w:val="0"/>
        </w:numPr>
      </w:pPr>
      <w:r w:rsidRPr="00942087">
        <w:t>Gilead recognizes that, the relapse rate was numerically higher in the 8-week treatment groups, 5.1% (11 of 215) of patients and 4.2% (9 of 214) of patients without and with RBV, respectively, when compared with the 12</w:t>
      </w:r>
      <w:r w:rsidR="00D40991">
        <w:t xml:space="preserve"> </w:t>
      </w:r>
      <w:r w:rsidRPr="00942087">
        <w:t xml:space="preserve">week treatment group (1.4% [3 of 216] of patients). However, Gilead believes that the demonstration of non-inferiority of the SVR rates between 8 and 12 weeks of </w:t>
      </w:r>
      <w:proofErr w:type="spellStart"/>
      <w:r w:rsidR="00D40991">
        <w:t>Harvoni</w:t>
      </w:r>
      <w:proofErr w:type="spellEnd"/>
      <w:r w:rsidRPr="00942087">
        <w:t xml:space="preserve"> support the use of the shorter treatment </w:t>
      </w:r>
      <w:r w:rsidRPr="00942087">
        <w:lastRenderedPageBreak/>
        <w:t>duration. If all non</w:t>
      </w:r>
      <w:r w:rsidR="0000392A">
        <w:t>-</w:t>
      </w:r>
      <w:r w:rsidRPr="00942087">
        <w:t>cirrhotic treatment-naïve patients were treated for 12 weeks, rather than 8 weeks, 98.5% of patients would be unnecessarily over</w:t>
      </w:r>
      <w:r w:rsidR="00D40991">
        <w:t xml:space="preserve"> </w:t>
      </w:r>
      <w:r w:rsidRPr="00942087">
        <w:t>treated for additional 4 weeks. Therefore</w:t>
      </w:r>
      <w:r w:rsidR="0000392A">
        <w:t>,</w:t>
      </w:r>
      <w:r w:rsidRPr="00942087">
        <w:t xml:space="preserve"> </w:t>
      </w:r>
      <w:proofErr w:type="gramStart"/>
      <w:r w:rsidRPr="00942087">
        <w:t>an 8</w:t>
      </w:r>
      <w:proofErr w:type="gramEnd"/>
      <w:r w:rsidRPr="00942087">
        <w:t xml:space="preserve"> week duration of therapy of </w:t>
      </w:r>
      <w:proofErr w:type="spellStart"/>
      <w:r w:rsidR="00D40991">
        <w:t>Harvoni</w:t>
      </w:r>
      <w:proofErr w:type="spellEnd"/>
      <w:r w:rsidRPr="00942087">
        <w:t xml:space="preserve"> provides a safe, short, RBV-free single tablet regimen for non-cirrhotic treatment</w:t>
      </w:r>
      <w:r w:rsidR="00D40991">
        <w:t xml:space="preserve"> </w:t>
      </w:r>
      <w:r w:rsidRPr="00942087">
        <w:t>naïve patients with chronic genotype 1 HCV infection.</w:t>
      </w:r>
    </w:p>
    <w:p w:rsidR="00942087" w:rsidRPr="00971A8B" w:rsidRDefault="006A5ED5" w:rsidP="00971A8B">
      <w:pPr>
        <w:pStyle w:val="ListBullet"/>
        <w:rPr>
          <w:i/>
        </w:rPr>
      </w:pPr>
      <w:r w:rsidRPr="00971A8B">
        <w:rPr>
          <w:i/>
        </w:rPr>
        <w:t>For treatment</w:t>
      </w:r>
      <w:r w:rsidR="00D40991">
        <w:rPr>
          <w:i/>
        </w:rPr>
        <w:t xml:space="preserve"> </w:t>
      </w:r>
      <w:r w:rsidRPr="00971A8B">
        <w:rPr>
          <w:i/>
        </w:rPr>
        <w:t xml:space="preserve">naïve subjects with cirrhosis, the clinical evaluator and the sponsor proposes the 12 weeks </w:t>
      </w:r>
      <w:r w:rsidRPr="00D40991">
        <w:rPr>
          <w:i/>
        </w:rPr>
        <w:t xml:space="preserve">treatment of </w:t>
      </w:r>
      <w:proofErr w:type="spellStart"/>
      <w:r w:rsidR="00D40991" w:rsidRPr="00D40991">
        <w:rPr>
          <w:i/>
        </w:rPr>
        <w:t>Harvoni</w:t>
      </w:r>
      <w:proofErr w:type="spellEnd"/>
      <w:r w:rsidRPr="00D40991">
        <w:rPr>
          <w:i/>
        </w:rPr>
        <w:t>. Does</w:t>
      </w:r>
      <w:r w:rsidRPr="00971A8B">
        <w:rPr>
          <w:i/>
        </w:rPr>
        <w:t xml:space="preserve"> ACPM agree that 12 weeks is appropriate treatment duration for this group?</w:t>
      </w:r>
    </w:p>
    <w:p w:rsidR="006A5ED5" w:rsidRDefault="0083393D" w:rsidP="00753968">
      <w:pPr>
        <w:pStyle w:val="ListBullet"/>
        <w:numPr>
          <w:ilvl w:val="0"/>
          <w:numId w:val="0"/>
        </w:numPr>
      </w:pPr>
      <w:r w:rsidRPr="0083393D">
        <w:t xml:space="preserve">Gilead supports the clinical evaluator’s recommendation that treatment-naïve patients with cirrhosis should be treated for 12 weeks with </w:t>
      </w:r>
      <w:proofErr w:type="spellStart"/>
      <w:r w:rsidR="00D40991">
        <w:t>Harvoni</w:t>
      </w:r>
      <w:proofErr w:type="spellEnd"/>
      <w:r w:rsidRPr="0083393D">
        <w:t>. Gilead advises that 12 weeks of treatment is the optimal duration for treatment</w:t>
      </w:r>
      <w:r w:rsidR="00D40991">
        <w:t xml:space="preserve"> </w:t>
      </w:r>
      <w:r w:rsidRPr="0083393D">
        <w:t>naïve cirrhotic patients based on data from Study GS-US-337-0102 (ION-1) and additional data from Study GS-US-337-0113 (0113) (which was provided to TGA as part of the submission of the EU Day 12</w:t>
      </w:r>
      <w:r w:rsidR="00D40991">
        <w:t>0 questions and responses on 5</w:t>
      </w:r>
      <w:r w:rsidRPr="0083393D">
        <w:t xml:space="preserve"> September 2014).</w:t>
      </w:r>
    </w:p>
    <w:p w:rsidR="0083393D" w:rsidRDefault="003108EB" w:rsidP="00753968">
      <w:pPr>
        <w:pStyle w:val="ListBullet"/>
        <w:numPr>
          <w:ilvl w:val="0"/>
          <w:numId w:val="0"/>
        </w:numPr>
      </w:pPr>
      <w:r w:rsidRPr="003108EB">
        <w:t>In the ION-1 study, 136 subjects with protocol defined cirrhosis were treated. In total, only 3 cirrhotic patients did not achie</w:t>
      </w:r>
      <w:r w:rsidR="00D40991">
        <w:t>ve SVR. One patient</w:t>
      </w:r>
      <w:r w:rsidRPr="003108EB">
        <w:t xml:space="preserve"> relapsed after 12 weeks of </w:t>
      </w:r>
      <w:proofErr w:type="spellStart"/>
      <w:r w:rsidR="00D40991">
        <w:t>Harvoni</w:t>
      </w:r>
      <w:proofErr w:type="spellEnd"/>
      <w:r w:rsidRPr="003108EB">
        <w:t xml:space="preserve"> treatment; this patient had IL28B TT genotype, an NS5A RAV, and a baseline HCV RNA of 19.6 m</w:t>
      </w:r>
      <w:r w:rsidR="00D40991">
        <w:t>illion IU/</w:t>
      </w:r>
      <w:proofErr w:type="spellStart"/>
      <w:r w:rsidR="00D40991">
        <w:t>mL.</w:t>
      </w:r>
      <w:proofErr w:type="spellEnd"/>
      <w:r w:rsidR="00D40991">
        <w:t xml:space="preserve"> A second patient </w:t>
      </w:r>
      <w:r w:rsidRPr="003108EB">
        <w:t>randomi</w:t>
      </w:r>
      <w:r w:rsidR="002A00F8">
        <w:t>s</w:t>
      </w:r>
      <w:r w:rsidRPr="003108EB">
        <w:t>ed to receive 12 weeks of HARVONI treatment also did not achieve SVR12; however, this patient did not relapse, but withdrew consent after &lt; 1 we</w:t>
      </w:r>
      <w:r w:rsidR="00D40991">
        <w:t xml:space="preserve">ek of therapy. A third patient </w:t>
      </w:r>
      <w:r w:rsidRPr="003108EB">
        <w:t xml:space="preserve">with cirrhosis relapsed following 24 weeks of </w:t>
      </w:r>
      <w:proofErr w:type="spellStart"/>
      <w:r w:rsidR="00D40991">
        <w:t>Harvoni</w:t>
      </w:r>
      <w:proofErr w:type="spellEnd"/>
      <w:r w:rsidRPr="003108EB">
        <w:t xml:space="preserve"> treatment; this patient had IL28B TT genotype, an NS5A RAV, and a baseline HCV RNA of 4.4 million IU/</w:t>
      </w:r>
      <w:proofErr w:type="spellStart"/>
      <w:r w:rsidRPr="003108EB">
        <w:t>mL</w:t>
      </w:r>
      <w:r w:rsidR="0000392A">
        <w:t>.</w:t>
      </w:r>
      <w:proofErr w:type="spellEnd"/>
      <w:r w:rsidRPr="003108EB">
        <w:t xml:space="preserve"> Therefore, no difference in the number of patients who relapsed was observed after 12 or 24 weeks of treatment: i.e., extending treatment duration did not reduce the relapse rate.</w:t>
      </w:r>
    </w:p>
    <w:p w:rsidR="003108EB" w:rsidRDefault="008866AF" w:rsidP="00753968">
      <w:pPr>
        <w:pStyle w:val="ListBullet"/>
        <w:numPr>
          <w:ilvl w:val="0"/>
          <w:numId w:val="0"/>
        </w:numPr>
      </w:pPr>
      <w:r w:rsidRPr="008866AF">
        <w:t>Additional data from Study 0113 in Japanese patients further support 12</w:t>
      </w:r>
      <w:r w:rsidR="00CB3B7C">
        <w:t xml:space="preserve"> </w:t>
      </w:r>
      <w:r w:rsidRPr="008866AF">
        <w:t>week treatment duration in treatment</w:t>
      </w:r>
      <w:r w:rsidR="00CB3B7C">
        <w:t xml:space="preserve"> </w:t>
      </w:r>
      <w:r w:rsidRPr="008866AF">
        <w:t>naive patients with cirrhosis. Study 0113 is a randomi</w:t>
      </w:r>
      <w:r w:rsidR="00CB3B7C">
        <w:t xml:space="preserve">sed, open </w:t>
      </w:r>
      <w:r w:rsidRPr="008866AF">
        <w:t xml:space="preserve">label study evaluating 12 weeks of </w:t>
      </w:r>
      <w:proofErr w:type="spellStart"/>
      <w:r w:rsidR="00CB3B7C">
        <w:t>Harvoni</w:t>
      </w:r>
      <w:proofErr w:type="spellEnd"/>
      <w:r w:rsidRPr="008866AF">
        <w:t>, with and without RBV, in treatment</w:t>
      </w:r>
      <w:r w:rsidR="00AB6FB3">
        <w:t xml:space="preserve"> </w:t>
      </w:r>
      <w:r w:rsidRPr="008866AF">
        <w:t>naive (n = 166) and treatment</w:t>
      </w:r>
      <w:r w:rsidR="008F7EE6">
        <w:t xml:space="preserve"> </w:t>
      </w:r>
      <w:r w:rsidRPr="008866AF">
        <w:t>experienced (n = 175) patients with and without cirrhosis. Data from this study conducted in Japan is relevant to the Caucasian population based o</w:t>
      </w:r>
      <w:r w:rsidR="0000392A">
        <w:t xml:space="preserve">n similar pharmacokinetics </w:t>
      </w:r>
      <w:r w:rsidRPr="008866AF">
        <w:t xml:space="preserve">between Japanese and Caucasian patients observed in the population PK in Study 0113 and the </w:t>
      </w:r>
      <w:proofErr w:type="spellStart"/>
      <w:r w:rsidRPr="008866AF">
        <w:t>H</w:t>
      </w:r>
      <w:r w:rsidR="00634497">
        <w:t>arvoni</w:t>
      </w:r>
      <w:proofErr w:type="spellEnd"/>
      <w:r w:rsidR="00235E6C">
        <w:t xml:space="preserve"> Phase II/III</w:t>
      </w:r>
      <w:r w:rsidRPr="008866AF">
        <w:t xml:space="preserve"> population. Of the 166 treatment-naive patients, 83 were treated with </w:t>
      </w:r>
      <w:proofErr w:type="spellStart"/>
      <w:r w:rsidR="006E0611" w:rsidRPr="008866AF">
        <w:t>H</w:t>
      </w:r>
      <w:r w:rsidR="006E0611">
        <w:t>arvoni</w:t>
      </w:r>
      <w:proofErr w:type="spellEnd"/>
      <w:r w:rsidRPr="008866AF">
        <w:t xml:space="preserve"> without RBV. All of these patients achieved SVR12, including the 13 treatment</w:t>
      </w:r>
      <w:r w:rsidR="006E0611">
        <w:t xml:space="preserve"> </w:t>
      </w:r>
      <w:r w:rsidRPr="008866AF">
        <w:t>naive patients with cirrhosis. Additionally, of the 175 treatment</w:t>
      </w:r>
      <w:r w:rsidR="006E0611">
        <w:t xml:space="preserve"> </w:t>
      </w:r>
      <w:r w:rsidRPr="008866AF">
        <w:t xml:space="preserve">experienced patients, 51 of them had cirrhosis. Of these, 28 patients received </w:t>
      </w:r>
      <w:proofErr w:type="spellStart"/>
      <w:r w:rsidR="006E0611" w:rsidRPr="008866AF">
        <w:t>H</w:t>
      </w:r>
      <w:r w:rsidR="006E0611">
        <w:t>arvoni</w:t>
      </w:r>
      <w:proofErr w:type="spellEnd"/>
      <w:r w:rsidRPr="008866AF">
        <w:t>. All 28 patients achieved SVR12. Thus, all treatment</w:t>
      </w:r>
      <w:r w:rsidR="006E0611">
        <w:t xml:space="preserve"> </w:t>
      </w:r>
      <w:r w:rsidRPr="008866AF">
        <w:t>naive and treatmen</w:t>
      </w:r>
      <w:r w:rsidR="006E0611">
        <w:t xml:space="preserve">t </w:t>
      </w:r>
      <w:r w:rsidRPr="008866AF">
        <w:t xml:space="preserve">experienced patients with cirrhosis (n = 41) who received </w:t>
      </w:r>
      <w:proofErr w:type="spellStart"/>
      <w:r w:rsidR="006E0611" w:rsidRPr="008866AF">
        <w:t>H</w:t>
      </w:r>
      <w:r w:rsidR="006E0611">
        <w:t>arvoni</w:t>
      </w:r>
      <w:proofErr w:type="spellEnd"/>
      <w:r w:rsidRPr="008866AF">
        <w:t xml:space="preserve"> for 12 weeks, achieved SVR.</w:t>
      </w:r>
    </w:p>
    <w:p w:rsidR="008866AF" w:rsidRDefault="0053613C" w:rsidP="00753968">
      <w:pPr>
        <w:pStyle w:val="ListBullet"/>
        <w:numPr>
          <w:ilvl w:val="0"/>
          <w:numId w:val="0"/>
        </w:numPr>
      </w:pPr>
      <w:r w:rsidRPr="0053613C">
        <w:t>Finally, emergent data from ION-4 (GS-US-337-0115) in HIV-1/HCV co</w:t>
      </w:r>
      <w:r w:rsidR="009D6144">
        <w:t>-</w:t>
      </w:r>
      <w:r w:rsidRPr="0053613C">
        <w:t>infected patients, recently presented by Gilead at a major medical conference (Conference on Retroviruses and Opportunistic Infections (CROI)) further support 12</w:t>
      </w:r>
      <w:r w:rsidR="006E0611">
        <w:t xml:space="preserve"> </w:t>
      </w:r>
      <w:r w:rsidRPr="0053613C">
        <w:t>week treatment duration in treatment naïve patients with cirrhosis. ION-4 is a single</w:t>
      </w:r>
      <w:r w:rsidR="006E0611">
        <w:t xml:space="preserve"> </w:t>
      </w:r>
      <w:r w:rsidRPr="0053613C">
        <w:t>arm, open</w:t>
      </w:r>
      <w:r w:rsidR="006E0611">
        <w:t xml:space="preserve"> </w:t>
      </w:r>
      <w:r w:rsidRPr="0053613C">
        <w:t xml:space="preserve">label study evaluating 12 weeks of </w:t>
      </w:r>
      <w:proofErr w:type="spellStart"/>
      <w:r w:rsidR="006E0611" w:rsidRPr="008866AF">
        <w:t>H</w:t>
      </w:r>
      <w:r w:rsidR="006E0611">
        <w:t>arvoni</w:t>
      </w:r>
      <w:proofErr w:type="spellEnd"/>
      <w:r w:rsidRPr="0053613C">
        <w:t>, without RBV, in 335 subjects, of whom 150 (45%) were treatment-naïve and 185 (55%) were treatment-experienced. In total, 67 (20%) had cirrhosis. Overall, 96% (321/335) achieved SVR12. Of the 20 treatment-naïve patients with cirrhosis, 17 (85%) achieved SVR12; of the 3 subjects who did not achieve SVR12: 1 died prior to the post-treatment week 12 visit due to complications of endocarditis/IVDU; the other two subjects relapsed (10%) Additionally, of the 47 treatment</w:t>
      </w:r>
      <w:r w:rsidR="006E0611">
        <w:t xml:space="preserve"> </w:t>
      </w:r>
      <w:r w:rsidRPr="0053613C">
        <w:t xml:space="preserve">experienced patients with cirrhosis, 46 (98%) achieved SVR12. These data further support </w:t>
      </w:r>
      <w:proofErr w:type="gramStart"/>
      <w:r w:rsidRPr="0053613C">
        <w:t>a treatment</w:t>
      </w:r>
      <w:proofErr w:type="gramEnd"/>
      <w:r w:rsidRPr="0053613C">
        <w:t xml:space="preserve"> duration of 12 weeks </w:t>
      </w:r>
      <w:r w:rsidR="00B870E8">
        <w:t>for all patients with cirrhosis</w:t>
      </w:r>
      <w:r w:rsidRPr="0053613C">
        <w:t>.</w:t>
      </w:r>
    </w:p>
    <w:p w:rsidR="0053613C" w:rsidRDefault="00BD5D1C" w:rsidP="00753968">
      <w:pPr>
        <w:pStyle w:val="ListBullet"/>
        <w:numPr>
          <w:ilvl w:val="0"/>
          <w:numId w:val="0"/>
        </w:numPr>
      </w:pPr>
      <w:r w:rsidRPr="00BD5D1C">
        <w:t>Therefore</w:t>
      </w:r>
      <w:r w:rsidR="00073260">
        <w:t>,</w:t>
      </w:r>
      <w:r w:rsidRPr="00BD5D1C">
        <w:t xml:space="preserve"> a recommendation of 12 weeks of HARVONI for treatment-naïve </w:t>
      </w:r>
      <w:proofErr w:type="spellStart"/>
      <w:r w:rsidRPr="00BD5D1C">
        <w:t>cirrhotics</w:t>
      </w:r>
      <w:proofErr w:type="spellEnd"/>
      <w:r w:rsidRPr="00BD5D1C">
        <w:t xml:space="preserve"> is the most appropriate duration.</w:t>
      </w:r>
    </w:p>
    <w:p w:rsidR="00BD5D1C" w:rsidRPr="00073260" w:rsidRDefault="003A1024" w:rsidP="00B07866">
      <w:pPr>
        <w:pStyle w:val="ListBullet"/>
        <w:rPr>
          <w:i/>
        </w:rPr>
      </w:pPr>
      <w:r w:rsidRPr="00B07866">
        <w:rPr>
          <w:i/>
        </w:rPr>
        <w:lastRenderedPageBreak/>
        <w:t>For treatment</w:t>
      </w:r>
      <w:r w:rsidR="00073260">
        <w:rPr>
          <w:i/>
        </w:rPr>
        <w:t xml:space="preserve"> </w:t>
      </w:r>
      <w:r w:rsidRPr="00B07866">
        <w:rPr>
          <w:i/>
        </w:rPr>
        <w:t xml:space="preserve">experienced subjects, </w:t>
      </w:r>
      <w:r w:rsidRPr="00073260">
        <w:rPr>
          <w:i/>
        </w:rPr>
        <w:t xml:space="preserve">the sponsor proposes 12 weeks treatment in </w:t>
      </w:r>
      <w:proofErr w:type="spellStart"/>
      <w:r w:rsidR="00073260" w:rsidRPr="00073260">
        <w:rPr>
          <w:i/>
        </w:rPr>
        <w:t>Harvoni</w:t>
      </w:r>
      <w:proofErr w:type="spellEnd"/>
      <w:r w:rsidRPr="00073260">
        <w:rPr>
          <w:i/>
        </w:rPr>
        <w:t xml:space="preserve"> while the clinical evaluator recommends the 24 weeks treatment of </w:t>
      </w:r>
      <w:proofErr w:type="spellStart"/>
      <w:r w:rsidR="00073260" w:rsidRPr="00073260">
        <w:rPr>
          <w:i/>
        </w:rPr>
        <w:t>Harvoni</w:t>
      </w:r>
      <w:proofErr w:type="spellEnd"/>
      <w:r w:rsidR="00073260" w:rsidRPr="00073260">
        <w:rPr>
          <w:i/>
        </w:rPr>
        <w:t xml:space="preserve">. </w:t>
      </w:r>
      <w:r w:rsidRPr="00073260">
        <w:rPr>
          <w:i/>
        </w:rPr>
        <w:t>What is the view of the ACPM?</w:t>
      </w:r>
    </w:p>
    <w:p w:rsidR="009D6144" w:rsidRDefault="009D6144" w:rsidP="00753968">
      <w:pPr>
        <w:pStyle w:val="ListBullet"/>
        <w:numPr>
          <w:ilvl w:val="0"/>
          <w:numId w:val="0"/>
        </w:numPr>
      </w:pPr>
      <w:r w:rsidRPr="009D6144">
        <w:t>Gilead does not agree with the clinical evaluator</w:t>
      </w:r>
      <w:r w:rsidR="00BA6204">
        <w:t>’</w:t>
      </w:r>
      <w:r w:rsidRPr="009D6144">
        <w:t xml:space="preserve">s recommendation of 24 weeks treatment of </w:t>
      </w:r>
      <w:proofErr w:type="spellStart"/>
      <w:r w:rsidR="00073260" w:rsidRPr="008866AF">
        <w:t>H</w:t>
      </w:r>
      <w:r w:rsidR="00073260">
        <w:t>arvoni</w:t>
      </w:r>
      <w:proofErr w:type="spellEnd"/>
      <w:r w:rsidRPr="009D6144">
        <w:t xml:space="preserve"> for all </w:t>
      </w:r>
      <w:r>
        <w:t>treatment</w:t>
      </w:r>
      <w:r w:rsidR="00073260">
        <w:t xml:space="preserve"> </w:t>
      </w:r>
      <w:r>
        <w:t>experienced patients.</w:t>
      </w:r>
    </w:p>
    <w:p w:rsidR="003A1024" w:rsidRDefault="009D6144" w:rsidP="00753968">
      <w:pPr>
        <w:pStyle w:val="ListBullet"/>
        <w:numPr>
          <w:ilvl w:val="0"/>
          <w:numId w:val="0"/>
        </w:numPr>
      </w:pPr>
      <w:r w:rsidRPr="009D6144">
        <w:t xml:space="preserve">Gilead believes that the most appropriate dosing recommendation for all treatment-experienced patients is 12 weeks. This recommendation is supported by a high SVR rate (94% (12 weeks of </w:t>
      </w:r>
      <w:proofErr w:type="spellStart"/>
      <w:r w:rsidR="00375118" w:rsidRPr="008866AF">
        <w:t>H</w:t>
      </w:r>
      <w:r w:rsidR="00375118">
        <w:t>arvoni</w:t>
      </w:r>
      <w:proofErr w:type="spellEnd"/>
      <w:r w:rsidR="00375118">
        <w:t>) versus</w:t>
      </w:r>
      <w:r w:rsidRPr="009D6144">
        <w:t xml:space="preserve"> 99% (24 weeks of </w:t>
      </w:r>
      <w:proofErr w:type="spellStart"/>
      <w:r w:rsidR="00375118" w:rsidRPr="008866AF">
        <w:t>H</w:t>
      </w:r>
      <w:r w:rsidR="00375118">
        <w:t>arvoni</w:t>
      </w:r>
      <w:proofErr w:type="spellEnd"/>
      <w:r w:rsidRPr="009D6144">
        <w:t xml:space="preserve"> (ION-2)). It is additionally supported by two additional, large Phase </w:t>
      </w:r>
      <w:r w:rsidR="00375118">
        <w:t>III</w:t>
      </w:r>
      <w:r w:rsidRPr="009D6144">
        <w:t xml:space="preserve"> studies, 0113 and ION-4 which show that the recommended treatment duration for all treatment</w:t>
      </w:r>
      <w:r w:rsidR="007153EE">
        <w:t xml:space="preserve"> </w:t>
      </w:r>
      <w:r w:rsidRPr="009D6144">
        <w:t>experienced patients should be 12 weeks:</w:t>
      </w:r>
    </w:p>
    <w:p w:rsidR="002F1F82" w:rsidRDefault="00A41ED4" w:rsidP="00A41ED4">
      <w:pPr>
        <w:pStyle w:val="Heading6"/>
      </w:pPr>
      <w:r w:rsidRPr="00D035B3">
        <w:t>Study 0113</w:t>
      </w:r>
    </w:p>
    <w:p w:rsidR="00D035B3" w:rsidRDefault="00D035B3" w:rsidP="00753968">
      <w:pPr>
        <w:pStyle w:val="ListBullet"/>
        <w:numPr>
          <w:ilvl w:val="0"/>
          <w:numId w:val="0"/>
        </w:numPr>
      </w:pPr>
      <w:r w:rsidRPr="00D035B3">
        <w:t xml:space="preserve">Study 0113, assessed 12 weeks of </w:t>
      </w:r>
      <w:proofErr w:type="spellStart"/>
      <w:r w:rsidR="007153EE" w:rsidRPr="008866AF">
        <w:t>H</w:t>
      </w:r>
      <w:r w:rsidR="007153EE">
        <w:t>arvoni</w:t>
      </w:r>
      <w:proofErr w:type="spellEnd"/>
      <w:r w:rsidRPr="00D035B3">
        <w:t xml:space="preserve"> with or without RBV </w:t>
      </w:r>
      <w:r w:rsidR="0054201D">
        <w:t xml:space="preserve">in genotype 1 treatment </w:t>
      </w:r>
      <w:r w:rsidR="00924DD2">
        <w:t xml:space="preserve">naïve (n </w:t>
      </w:r>
      <w:r w:rsidRPr="00D035B3">
        <w:t>=</w:t>
      </w:r>
      <w:r w:rsidR="00924DD2">
        <w:t xml:space="preserve"> </w:t>
      </w:r>
      <w:r w:rsidRPr="00D035B3">
        <w:t>166) and treatment expe</w:t>
      </w:r>
      <w:r w:rsidR="009F600A">
        <w:t xml:space="preserve">rienced (n </w:t>
      </w:r>
      <w:r w:rsidRPr="00D035B3">
        <w:t>=</w:t>
      </w:r>
      <w:r w:rsidR="009F600A">
        <w:t xml:space="preserve"> </w:t>
      </w:r>
      <w:r w:rsidRPr="00D035B3">
        <w:t>175) p</w:t>
      </w:r>
      <w:r w:rsidR="0054201D">
        <w:t xml:space="preserve">atients in Japan. All treatment </w:t>
      </w:r>
      <w:r w:rsidRPr="00D035B3">
        <w:t xml:space="preserve">experienced patients who received </w:t>
      </w:r>
      <w:proofErr w:type="spellStart"/>
      <w:r w:rsidR="007153EE" w:rsidRPr="008866AF">
        <w:t>H</w:t>
      </w:r>
      <w:r w:rsidR="007153EE">
        <w:t>arvoni</w:t>
      </w:r>
      <w:proofErr w:type="spellEnd"/>
      <w:r w:rsidRPr="00D035B3">
        <w:t xml:space="preserve"> for 12 weeks without RBV (</w:t>
      </w:r>
      <w:r w:rsidR="001D70FB">
        <w:t>n = 88 [</w:t>
      </w:r>
      <w:r w:rsidRPr="00D035B3">
        <w:t xml:space="preserve">28 </w:t>
      </w:r>
      <w:proofErr w:type="spellStart"/>
      <w:r w:rsidRPr="00D035B3">
        <w:t>cirrhotics</w:t>
      </w:r>
      <w:proofErr w:type="spellEnd"/>
      <w:r w:rsidRPr="00D035B3">
        <w:t xml:space="preserve"> and 60 no</w:t>
      </w:r>
      <w:r w:rsidR="007153EE">
        <w:t>n</w:t>
      </w:r>
      <w:r w:rsidRPr="00D035B3">
        <w:t>-</w:t>
      </w:r>
      <w:proofErr w:type="spellStart"/>
      <w:r w:rsidRPr="00D035B3">
        <w:t>cirrhotics</w:t>
      </w:r>
      <w:proofErr w:type="spellEnd"/>
      <w:r w:rsidR="001D70FB">
        <w:t>]</w:t>
      </w:r>
      <w:r w:rsidRPr="00D035B3">
        <w:t>) achieved SVR12. It is acknowledged, however, that the majority of these treatment-experienced patients were genotype 1b (93%). For this reason, data from ION-4, a co</w:t>
      </w:r>
      <w:r w:rsidR="001D70FB">
        <w:t>-</w:t>
      </w:r>
      <w:r w:rsidRPr="00D035B3">
        <w:t xml:space="preserve">infection study based in the US and Canada, where 95% of subjects were genotype 1a </w:t>
      </w:r>
      <w:proofErr w:type="gramStart"/>
      <w:r w:rsidRPr="00D035B3">
        <w:t>are</w:t>
      </w:r>
      <w:proofErr w:type="gramEnd"/>
      <w:r w:rsidRPr="00D035B3">
        <w:t xml:space="preserve"> also critic</w:t>
      </w:r>
      <w:r w:rsidR="001D70FB">
        <w:t>al to consider</w:t>
      </w:r>
      <w:r w:rsidRPr="00D035B3">
        <w:t>.</w:t>
      </w:r>
    </w:p>
    <w:p w:rsidR="00A41ED4" w:rsidRDefault="00A41ED4" w:rsidP="00A41ED4">
      <w:pPr>
        <w:pStyle w:val="Heading6"/>
      </w:pPr>
      <w:r>
        <w:t>Study ION-4</w:t>
      </w:r>
    </w:p>
    <w:p w:rsidR="00A41ED4" w:rsidRDefault="00A41ED4" w:rsidP="00753968">
      <w:pPr>
        <w:pStyle w:val="ListBullet"/>
        <w:numPr>
          <w:ilvl w:val="0"/>
          <w:numId w:val="0"/>
        </w:numPr>
      </w:pPr>
      <w:r w:rsidRPr="00A41ED4">
        <w:t xml:space="preserve">Emergent data from ION-4 in HIV-1/HCV </w:t>
      </w:r>
      <w:proofErr w:type="spellStart"/>
      <w:r w:rsidRPr="00A41ED4">
        <w:t>coinfected</w:t>
      </w:r>
      <w:proofErr w:type="spellEnd"/>
      <w:r w:rsidRPr="00A41ED4">
        <w:t xml:space="preserve"> patients further support 12</w:t>
      </w:r>
      <w:r w:rsidR="0054201D">
        <w:t xml:space="preserve"> </w:t>
      </w:r>
      <w:r w:rsidRPr="00A41ED4">
        <w:t>week treatment duration in treatment experienced patients. ION-4 is a single</w:t>
      </w:r>
      <w:r w:rsidR="0054201D">
        <w:t xml:space="preserve"> </w:t>
      </w:r>
      <w:r w:rsidRPr="00A41ED4">
        <w:t>arm, open</w:t>
      </w:r>
      <w:r w:rsidR="0054201D">
        <w:t xml:space="preserve"> </w:t>
      </w:r>
      <w:r w:rsidRPr="00A41ED4">
        <w:t xml:space="preserve">label study evaluating 12 weeks of </w:t>
      </w:r>
      <w:proofErr w:type="spellStart"/>
      <w:r w:rsidR="0054201D" w:rsidRPr="008866AF">
        <w:t>H</w:t>
      </w:r>
      <w:r w:rsidR="0054201D">
        <w:t>arvoni</w:t>
      </w:r>
      <w:proofErr w:type="spellEnd"/>
      <w:r w:rsidRPr="00A41ED4">
        <w:t>, without RBV, in 335 co</w:t>
      </w:r>
      <w:r w:rsidR="001743FC">
        <w:t>-</w:t>
      </w:r>
      <w:r w:rsidRPr="00A41ED4">
        <w:t>infected subjects, of whom 185 (55%) were treatment</w:t>
      </w:r>
      <w:r w:rsidR="0054201D">
        <w:t xml:space="preserve"> </w:t>
      </w:r>
      <w:r w:rsidRPr="00A41ED4">
        <w:t>experienced. Overall, after 12 weeks of therapy, 97% (179/185) of treatment</w:t>
      </w:r>
      <w:r w:rsidR="0054201D">
        <w:t xml:space="preserve"> </w:t>
      </w:r>
      <w:r w:rsidRPr="00A41ED4">
        <w:t xml:space="preserve">experienced subjects achieved SVR12. Of the 47 </w:t>
      </w:r>
      <w:proofErr w:type="spellStart"/>
      <w:r w:rsidRPr="00A41ED4">
        <w:t>treatmentexperienced</w:t>
      </w:r>
      <w:proofErr w:type="spellEnd"/>
      <w:r w:rsidRPr="00A41ED4">
        <w:t xml:space="preserve"> patients with cirrhosis, 46 (98%) achieved SVR12. Thus, t</w:t>
      </w:r>
      <w:r w:rsidR="00C45CD9">
        <w:t xml:space="preserve">he ION-4 study supports </w:t>
      </w:r>
      <w:r w:rsidRPr="00A41ED4">
        <w:t>treatment duration of 12 weeks for all treatment</w:t>
      </w:r>
      <w:r w:rsidR="001743FC">
        <w:t xml:space="preserve"> </w:t>
      </w:r>
      <w:r>
        <w:t>experienced patients.</w:t>
      </w:r>
    </w:p>
    <w:p w:rsidR="00D035B3" w:rsidRDefault="00A41ED4" w:rsidP="00753968">
      <w:pPr>
        <w:pStyle w:val="ListBullet"/>
        <w:numPr>
          <w:ilvl w:val="0"/>
          <w:numId w:val="0"/>
        </w:numPr>
      </w:pPr>
      <w:r w:rsidRPr="00A41ED4">
        <w:t xml:space="preserve">In conclusion, 12-week duration of therapy with </w:t>
      </w:r>
      <w:proofErr w:type="spellStart"/>
      <w:r w:rsidR="001743FC" w:rsidRPr="008866AF">
        <w:t>H</w:t>
      </w:r>
      <w:r w:rsidR="001743FC">
        <w:t>arvoni</w:t>
      </w:r>
      <w:proofErr w:type="spellEnd"/>
      <w:r w:rsidRPr="00A41ED4">
        <w:t xml:space="preserve"> </w:t>
      </w:r>
      <w:r w:rsidR="001743FC">
        <w:t xml:space="preserve">will provide a safe, short, RBV </w:t>
      </w:r>
      <w:r w:rsidRPr="00A41ED4">
        <w:t xml:space="preserve">free single tablet </w:t>
      </w:r>
      <w:r w:rsidR="001743FC">
        <w:t xml:space="preserve">regimen for cirrhotic treatment </w:t>
      </w:r>
      <w:r w:rsidRPr="00A41ED4">
        <w:t>n</w:t>
      </w:r>
      <w:r w:rsidR="001743FC">
        <w:t xml:space="preserve">aive patients and all treatment </w:t>
      </w:r>
      <w:r w:rsidRPr="00A41ED4">
        <w:t>experienced patients with chronic genotype 1 HCV infection.</w:t>
      </w:r>
    </w:p>
    <w:p w:rsidR="00D71BEE" w:rsidRDefault="00D71BEE" w:rsidP="000F37B2">
      <w:pPr>
        <w:pStyle w:val="Heading5"/>
      </w:pPr>
      <w:r>
        <w:t>RMP and advice from ACSOM</w:t>
      </w:r>
    </w:p>
    <w:p w:rsidR="00D71BEE" w:rsidRDefault="00D71BEE" w:rsidP="00753968">
      <w:pPr>
        <w:pStyle w:val="ListBullet"/>
        <w:numPr>
          <w:ilvl w:val="0"/>
          <w:numId w:val="0"/>
        </w:numPr>
      </w:pPr>
      <w:r w:rsidRPr="00D71BEE">
        <w:t>As agreed with the Delegate</w:t>
      </w:r>
      <w:r w:rsidR="0000392A">
        <w:t>,</w:t>
      </w:r>
      <w:r w:rsidRPr="00D71BEE">
        <w:t xml:space="preserve"> a separate response document addressing outstanding issues from the RMP evaluation has been included.</w:t>
      </w:r>
    </w:p>
    <w:p w:rsidR="00D71BEE" w:rsidRDefault="00D71BEE" w:rsidP="00D71BEE">
      <w:pPr>
        <w:pStyle w:val="Heading5"/>
      </w:pPr>
      <w:r>
        <w:t>Conclusion</w:t>
      </w:r>
    </w:p>
    <w:p w:rsidR="00D71BEE" w:rsidRDefault="001743FC" w:rsidP="00753968">
      <w:pPr>
        <w:pStyle w:val="ListBullet"/>
        <w:numPr>
          <w:ilvl w:val="0"/>
          <w:numId w:val="0"/>
        </w:numPr>
      </w:pPr>
      <w:proofErr w:type="spellStart"/>
      <w:r w:rsidRPr="008866AF">
        <w:t>H</w:t>
      </w:r>
      <w:r>
        <w:t>arvoni</w:t>
      </w:r>
      <w:proofErr w:type="spellEnd"/>
      <w:r w:rsidR="00D71BEE" w:rsidRPr="00D71BEE">
        <w:t xml:space="preserve"> has the potential to address a significant unmet medical need for an IFN</w:t>
      </w:r>
      <w:r>
        <w:t xml:space="preserve"> free, all </w:t>
      </w:r>
      <w:r w:rsidR="00D71BEE" w:rsidRPr="00D71BEE">
        <w:t>oral treatment for the treatment of chronic genotype 1 HCV infection. Currently, a substantial number of genotype 1 HCV infected patients cannot receive Peg-IFN and/or RBV due to contraindications and many patients are unwilling to receive or intolerant to Peg-IFN. The use of Peg-IFN and RBV is accompanied by significant compliance issues and early treatment discontinuations due to safety or tolerability issues are common. Thus removing Peg-IFN and RBV from the treatment regimen has substantial benefits for improving the tolerability and completion rates of the treatment r</w:t>
      </w:r>
      <w:r w:rsidR="00D71BEE">
        <w:t>egimen for Australian patients.</w:t>
      </w:r>
    </w:p>
    <w:p w:rsidR="00D71BEE" w:rsidRDefault="00D71BEE" w:rsidP="00753968">
      <w:pPr>
        <w:pStyle w:val="ListBullet"/>
        <w:numPr>
          <w:ilvl w:val="0"/>
          <w:numId w:val="0"/>
        </w:numPr>
      </w:pPr>
      <w:r w:rsidRPr="00D71BEE">
        <w:t xml:space="preserve">Gilead and the TGA share a mutual goal of determining the best treatment recommendations of </w:t>
      </w:r>
      <w:proofErr w:type="spellStart"/>
      <w:r w:rsidR="0064304D" w:rsidRPr="008866AF">
        <w:t>H</w:t>
      </w:r>
      <w:r w:rsidR="0064304D">
        <w:t>arvoni</w:t>
      </w:r>
      <w:proofErr w:type="spellEnd"/>
      <w:r w:rsidRPr="00D71BEE">
        <w:t xml:space="preserve"> for patients, which will optimise treatment success and minimise the burden o</w:t>
      </w:r>
      <w:r>
        <w:t>f treatment.</w:t>
      </w:r>
    </w:p>
    <w:p w:rsidR="00D71BEE" w:rsidRPr="00206249" w:rsidRDefault="00D71BEE" w:rsidP="00753968">
      <w:pPr>
        <w:pStyle w:val="ListBullet"/>
        <w:numPr>
          <w:ilvl w:val="0"/>
          <w:numId w:val="0"/>
        </w:numPr>
      </w:pPr>
      <w:r w:rsidRPr="00D71BEE">
        <w:t xml:space="preserve">Gilead believes that the data submitted to TGA should determine the </w:t>
      </w:r>
      <w:proofErr w:type="spellStart"/>
      <w:r w:rsidR="0064304D" w:rsidRPr="008866AF">
        <w:t>H</w:t>
      </w:r>
      <w:r w:rsidR="0064304D">
        <w:t>arvoni</w:t>
      </w:r>
      <w:proofErr w:type="spellEnd"/>
      <w:r w:rsidRPr="00D71BEE">
        <w:t xml:space="preserve"> treatment regimen the majority of patients will receive. The collective results from all </w:t>
      </w:r>
      <w:proofErr w:type="spellStart"/>
      <w:r w:rsidR="0064304D" w:rsidRPr="008866AF">
        <w:t>H</w:t>
      </w:r>
      <w:r w:rsidR="0064304D">
        <w:t>arvoni</w:t>
      </w:r>
      <w:proofErr w:type="spellEnd"/>
      <w:r w:rsidR="0064304D" w:rsidRPr="00D71BEE">
        <w:t xml:space="preserve"> </w:t>
      </w:r>
      <w:r w:rsidRPr="00D71BEE">
        <w:lastRenderedPageBreak/>
        <w:t>studies support a duration of 8 weeks for non</w:t>
      </w:r>
      <w:r w:rsidR="008E51ED">
        <w:t>-</w:t>
      </w:r>
      <w:r w:rsidR="0064304D">
        <w:t xml:space="preserve">cirrhotic treatment </w:t>
      </w:r>
      <w:r w:rsidRPr="00D71BEE">
        <w:t>naive patients and 12 weeks for all other patients.</w:t>
      </w:r>
    </w:p>
    <w:p w:rsidR="008E7846" w:rsidRDefault="008E7846" w:rsidP="008E7846">
      <w:pPr>
        <w:pStyle w:val="Heading4"/>
      </w:pPr>
      <w:r>
        <w:t xml:space="preserve">Advisory </w:t>
      </w:r>
      <w:r w:rsidR="000F37B2">
        <w:t>c</w:t>
      </w:r>
      <w:r>
        <w:t xml:space="preserve">ommittee </w:t>
      </w:r>
      <w:r w:rsidR="000F37B2">
        <w:t>c</w:t>
      </w:r>
      <w:r>
        <w:t>onsiderations</w:t>
      </w:r>
    </w:p>
    <w:p w:rsidR="00323313" w:rsidRPr="00453309" w:rsidRDefault="00323313" w:rsidP="00453309">
      <w:r w:rsidRPr="00453309">
        <w:t>The ACPM, taking into account the submitted evidence o</w:t>
      </w:r>
      <w:r w:rsidR="00453309">
        <w:t xml:space="preserve">f efficacy, safety and quality, </w:t>
      </w:r>
      <w:r w:rsidRPr="00453309">
        <w:t xml:space="preserve">agreed with the delegate and considered </w:t>
      </w:r>
      <w:proofErr w:type="spellStart"/>
      <w:r w:rsidR="00EB0571">
        <w:t>Harvoni</w:t>
      </w:r>
      <w:proofErr w:type="spellEnd"/>
      <w:r w:rsidR="00453309">
        <w:t xml:space="preserve"> </w:t>
      </w:r>
      <w:r w:rsidR="00B935F2">
        <w:t>FDC</w:t>
      </w:r>
      <w:r w:rsidR="00453309">
        <w:t xml:space="preserve"> tablets </w:t>
      </w:r>
      <w:r w:rsidR="00F53645" w:rsidRPr="00453309">
        <w:t>containing 90 m</w:t>
      </w:r>
      <w:r w:rsidR="004023E1">
        <w:t xml:space="preserve">g </w:t>
      </w:r>
      <w:r w:rsidR="007B3AED">
        <w:t>LDV</w:t>
      </w:r>
      <w:r w:rsidRPr="00453309">
        <w:t>/</w:t>
      </w:r>
      <w:r w:rsidR="00F53645" w:rsidRPr="00453309">
        <w:t>400 m</w:t>
      </w:r>
      <w:r w:rsidRPr="00453309">
        <w:t xml:space="preserve">g </w:t>
      </w:r>
      <w:r w:rsidR="0063513E">
        <w:t>SOF</w:t>
      </w:r>
      <w:r w:rsidRPr="00453309">
        <w:t xml:space="preserve"> to have a</w:t>
      </w:r>
      <w:r w:rsidR="00453309">
        <w:t xml:space="preserve">n overall positive benefit-risk </w:t>
      </w:r>
      <w:r w:rsidRPr="00453309">
        <w:t>profile for the indication:</w:t>
      </w:r>
    </w:p>
    <w:p w:rsidR="00323313" w:rsidRPr="00453309" w:rsidRDefault="00453309" w:rsidP="00453309">
      <w:pPr>
        <w:ind w:left="720"/>
        <w:rPr>
          <w:i/>
        </w:rPr>
      </w:pPr>
      <w:proofErr w:type="spellStart"/>
      <w:r>
        <w:rPr>
          <w:i/>
        </w:rPr>
        <w:t>Harvoni</w:t>
      </w:r>
      <w:proofErr w:type="spellEnd"/>
      <w:r>
        <w:rPr>
          <w:i/>
        </w:rPr>
        <w:t xml:space="preserve"> </w:t>
      </w:r>
      <w:r w:rsidR="00323313" w:rsidRPr="00453309">
        <w:rPr>
          <w:i/>
        </w:rPr>
        <w:t>is indicated for the treatm</w:t>
      </w:r>
      <w:r w:rsidR="008419F2" w:rsidRPr="00453309">
        <w:rPr>
          <w:i/>
        </w:rPr>
        <w:t xml:space="preserve">ent of chronic hepatitis C (CHC) </w:t>
      </w:r>
      <w:r w:rsidR="00D37985" w:rsidRPr="00453309">
        <w:rPr>
          <w:i/>
        </w:rPr>
        <w:t>genotype 1</w:t>
      </w:r>
      <w:r w:rsidRPr="00453309">
        <w:rPr>
          <w:i/>
        </w:rPr>
        <w:t xml:space="preserve"> </w:t>
      </w:r>
      <w:r w:rsidR="00323313" w:rsidRPr="00453309">
        <w:rPr>
          <w:i/>
        </w:rPr>
        <w:t>infection in adults.</w:t>
      </w:r>
    </w:p>
    <w:p w:rsidR="00323313" w:rsidRPr="00453309" w:rsidRDefault="00323313" w:rsidP="00463EA7">
      <w:pPr>
        <w:pStyle w:val="Heading5"/>
        <w:rPr>
          <w:rFonts w:eastAsiaTheme="minorHAnsi"/>
        </w:rPr>
      </w:pPr>
      <w:r w:rsidRPr="00453309">
        <w:rPr>
          <w:rFonts w:eastAsiaTheme="minorHAnsi"/>
        </w:rPr>
        <w:t>Proposed conditions of registration</w:t>
      </w:r>
    </w:p>
    <w:p w:rsidR="00323313" w:rsidRPr="00C256EB" w:rsidRDefault="00323313" w:rsidP="00C256EB">
      <w:r w:rsidRPr="00C256EB">
        <w:t>The ACPM agreed with the delegate on the proposed condit</w:t>
      </w:r>
      <w:r w:rsidR="00463EA7" w:rsidRPr="00C256EB">
        <w:t xml:space="preserve">ion of registration and advised </w:t>
      </w:r>
      <w:r w:rsidRPr="00C256EB">
        <w:t>on the inclusion of the f</w:t>
      </w:r>
      <w:r w:rsidR="00C256EB">
        <w:t>ollowing:</w:t>
      </w:r>
    </w:p>
    <w:p w:rsidR="00323313" w:rsidRPr="00C256EB" w:rsidRDefault="00323313" w:rsidP="00C256EB">
      <w:pPr>
        <w:pStyle w:val="ListBullet"/>
      </w:pPr>
      <w:r w:rsidRPr="00C256EB">
        <w:t xml:space="preserve">Negotiation of </w:t>
      </w:r>
      <w:r w:rsidR="00BF5796">
        <w:t>PI</w:t>
      </w:r>
      <w:r w:rsidRPr="00C256EB">
        <w:t xml:space="preserve"> and </w:t>
      </w:r>
      <w:r w:rsidR="00042093">
        <w:t>CMI</w:t>
      </w:r>
      <w:r w:rsidR="004A4541">
        <w:t xml:space="preserve"> </w:t>
      </w:r>
      <w:r w:rsidR="00463EA7" w:rsidRPr="00C256EB">
        <w:t xml:space="preserve">to the </w:t>
      </w:r>
      <w:r w:rsidRPr="00C256EB">
        <w:t>satisfaction of the TGA.</w:t>
      </w:r>
    </w:p>
    <w:p w:rsidR="00BD22D4" w:rsidRPr="00C256EB" w:rsidRDefault="00323313" w:rsidP="00C256EB">
      <w:pPr>
        <w:pStyle w:val="ListBullet"/>
      </w:pPr>
      <w:r w:rsidRPr="00C256EB">
        <w:t xml:space="preserve">The need for an undertaking to regularly update the </w:t>
      </w:r>
      <w:r w:rsidR="00463EA7" w:rsidRPr="00C256EB">
        <w:t xml:space="preserve">PI with emerging trial data, in </w:t>
      </w:r>
      <w:r w:rsidRPr="00C256EB">
        <w:t>this fast moving area of treatment</w:t>
      </w:r>
    </w:p>
    <w:p w:rsidR="00323313" w:rsidRPr="00453309" w:rsidRDefault="00452DFD" w:rsidP="00C256EB">
      <w:pPr>
        <w:pStyle w:val="Heading5"/>
        <w:rPr>
          <w:rFonts w:eastAsiaTheme="minorHAnsi"/>
        </w:rPr>
      </w:pPr>
      <w:r w:rsidRPr="00453309">
        <w:rPr>
          <w:rFonts w:eastAsiaTheme="minorHAnsi"/>
        </w:rPr>
        <w:t xml:space="preserve">Proposed </w:t>
      </w:r>
      <w:r w:rsidR="004A4541">
        <w:rPr>
          <w:rFonts w:eastAsiaTheme="minorHAnsi"/>
        </w:rPr>
        <w:t>PI</w:t>
      </w:r>
      <w:r w:rsidR="00323313" w:rsidRPr="00453309">
        <w:rPr>
          <w:rFonts w:eastAsiaTheme="minorHAnsi"/>
        </w:rPr>
        <w:t>/</w:t>
      </w:r>
      <w:r w:rsidR="0053287E" w:rsidRPr="00453309">
        <w:rPr>
          <w:rFonts w:eastAsiaTheme="minorHAnsi"/>
        </w:rPr>
        <w:t>CM</w:t>
      </w:r>
      <w:r w:rsidR="004A4541">
        <w:rPr>
          <w:rFonts w:eastAsiaTheme="minorHAnsi"/>
        </w:rPr>
        <w:t>I</w:t>
      </w:r>
      <w:r w:rsidR="00BD22D4">
        <w:t xml:space="preserve"> </w:t>
      </w:r>
      <w:r w:rsidR="00323313" w:rsidRPr="00453309">
        <w:rPr>
          <w:rFonts w:eastAsiaTheme="minorHAnsi"/>
        </w:rPr>
        <w:t>amendments</w:t>
      </w:r>
    </w:p>
    <w:p w:rsidR="00323313" w:rsidRPr="00453309" w:rsidRDefault="00323313" w:rsidP="00453309">
      <w:r w:rsidRPr="00453309">
        <w:t xml:space="preserve">The ACPM agreed with the delegate to the proposed amendments to the </w:t>
      </w:r>
      <w:r w:rsidR="00DE5B6F">
        <w:t>PI</w:t>
      </w:r>
      <w:r w:rsidR="0047433B">
        <w:t xml:space="preserve"> and </w:t>
      </w:r>
      <w:r w:rsidR="00F90206">
        <w:t>CMI</w:t>
      </w:r>
      <w:r w:rsidRPr="00453309">
        <w:t xml:space="preserve"> and specifically advised on</w:t>
      </w:r>
      <w:r w:rsidR="001E5F93">
        <w:t xml:space="preserve"> </w:t>
      </w:r>
      <w:r w:rsidRPr="00453309">
        <w:t>the inclusion of the following:</w:t>
      </w:r>
    </w:p>
    <w:p w:rsidR="00323313" w:rsidRPr="00453309" w:rsidRDefault="00323313" w:rsidP="00F90206">
      <w:pPr>
        <w:pStyle w:val="ListBullet"/>
      </w:pPr>
      <w:r w:rsidRPr="00453309">
        <w:t>Tabulated SVR12 and relapse outcomes str</w:t>
      </w:r>
      <w:r w:rsidR="00042093">
        <w:t>atified by s</w:t>
      </w:r>
      <w:r w:rsidR="00DE5B6F">
        <w:t xml:space="preserve">ubgroup data (where </w:t>
      </w:r>
      <w:r w:rsidRPr="00453309">
        <w:t xml:space="preserve">available) </w:t>
      </w:r>
      <w:r w:rsidR="00042093">
        <w:t>are</w:t>
      </w:r>
      <w:r w:rsidRPr="00453309">
        <w:t xml:space="preserve"> clearly described to aid community pres</w:t>
      </w:r>
      <w:r w:rsidR="00DE5B6F">
        <w:t xml:space="preserve">cribing. Important are baseline </w:t>
      </w:r>
      <w:r w:rsidRPr="00453309">
        <w:t>HCV viral load, genotype and presence/absence of</w:t>
      </w:r>
      <w:r w:rsidR="00DE5B6F">
        <w:t xml:space="preserve"> cirrhosis) and prior treatment </w:t>
      </w:r>
      <w:r w:rsidRPr="00453309">
        <w:t>category). Emergence of RAV by treatment should be included.</w:t>
      </w:r>
    </w:p>
    <w:p w:rsidR="00323313" w:rsidRPr="00453309" w:rsidRDefault="00A85364" w:rsidP="00F90206">
      <w:pPr>
        <w:pStyle w:val="ListBullet"/>
      </w:pPr>
      <w:r>
        <w:t>The ED5</w:t>
      </w:r>
      <w:r w:rsidR="003F10FC">
        <w:t xml:space="preserve">O of </w:t>
      </w:r>
      <w:proofErr w:type="spellStart"/>
      <w:r w:rsidR="003F10FC">
        <w:t>ledip</w:t>
      </w:r>
      <w:r w:rsidR="00323313" w:rsidRPr="00453309">
        <w:t>a</w:t>
      </w:r>
      <w:r w:rsidR="003F10FC">
        <w:t>s</w:t>
      </w:r>
      <w:r w:rsidR="00323313" w:rsidRPr="00453309">
        <w:t>vir</w:t>
      </w:r>
      <w:proofErr w:type="spellEnd"/>
      <w:r w:rsidR="00323313" w:rsidRPr="00453309">
        <w:t xml:space="preserve"> and </w:t>
      </w:r>
      <w:r w:rsidR="0063513E">
        <w:t>SOF</w:t>
      </w:r>
      <w:r w:rsidR="00323313" w:rsidRPr="00453309">
        <w:t xml:space="preserve"> for HCV genotypes and </w:t>
      </w:r>
      <w:r w:rsidR="00323313" w:rsidRPr="004F68C7">
        <w:rPr>
          <w:i/>
        </w:rPr>
        <w:t>in vitro</w:t>
      </w:r>
      <w:r w:rsidR="00323313" w:rsidRPr="00453309">
        <w:t xml:space="preserve"> </w:t>
      </w:r>
      <w:r w:rsidR="00882CEB" w:rsidRPr="00453309">
        <w:t>a</w:t>
      </w:r>
      <w:r w:rsidR="00323313" w:rsidRPr="00453309">
        <w:t>nd</w:t>
      </w:r>
      <w:r w:rsidR="00882CEB" w:rsidRPr="00453309">
        <w:t xml:space="preserve"> </w:t>
      </w:r>
      <w:r w:rsidR="00DE5B6F" w:rsidRPr="004F68C7">
        <w:rPr>
          <w:i/>
        </w:rPr>
        <w:t>in vivo</w:t>
      </w:r>
      <w:r w:rsidR="00DE5B6F">
        <w:t xml:space="preserve"> </w:t>
      </w:r>
      <w:r w:rsidR="00323313" w:rsidRPr="00453309">
        <w:t>resistance associated mutations and probable cros</w:t>
      </w:r>
      <w:r w:rsidR="00DE5B6F">
        <w:t xml:space="preserve">s resistance to other agents in </w:t>
      </w:r>
      <w:r w:rsidR="00323313" w:rsidRPr="00453309">
        <w:t>class should be clearly provided.</w:t>
      </w:r>
    </w:p>
    <w:p w:rsidR="00323313" w:rsidRDefault="00323313" w:rsidP="00F90206">
      <w:pPr>
        <w:pStyle w:val="ListBullet"/>
      </w:pPr>
      <w:r w:rsidRPr="00453309">
        <w:t>A statement in the Pregnancy category of the PI a</w:t>
      </w:r>
      <w:r w:rsidR="00DE5B6F">
        <w:t xml:space="preserve">nd relevant sections of the CMI </w:t>
      </w:r>
      <w:r w:rsidRPr="00453309">
        <w:t>referencing therapy with and without other combination therapies.</w:t>
      </w:r>
    </w:p>
    <w:p w:rsidR="00E516AE" w:rsidRDefault="00E516AE" w:rsidP="004A4541">
      <w:pPr>
        <w:pStyle w:val="Heading5"/>
      </w:pPr>
      <w:r>
        <w:t>Specific advice</w:t>
      </w:r>
    </w:p>
    <w:p w:rsidR="004023E1" w:rsidRPr="00E516AE" w:rsidRDefault="004023E1" w:rsidP="00E516AE">
      <w:r w:rsidRPr="00E516AE">
        <w:t xml:space="preserve">The ACPM advised the following in response to the </w:t>
      </w:r>
      <w:r w:rsidR="003C6B54">
        <w:t>D</w:t>
      </w:r>
      <w:r w:rsidRPr="00E516AE">
        <w:t>elegate's specific questions on this</w:t>
      </w:r>
      <w:r w:rsidR="00E516AE">
        <w:t xml:space="preserve"> </w:t>
      </w:r>
      <w:r w:rsidRPr="00E516AE">
        <w:t>submission:</w:t>
      </w:r>
    </w:p>
    <w:p w:rsidR="004023E1" w:rsidRPr="00E516AE" w:rsidRDefault="004023E1" w:rsidP="0047433B">
      <w:pPr>
        <w:pStyle w:val="ListBullet"/>
      </w:pPr>
      <w:r w:rsidRPr="00E516AE">
        <w:t>For treatment-naive subjects without cirrho</w:t>
      </w:r>
      <w:r w:rsidR="0047433B">
        <w:t xml:space="preserve">sis, the clinical evaluator and </w:t>
      </w:r>
      <w:r w:rsidRPr="00E516AE">
        <w:t xml:space="preserve">the sponsor proposes the 8 weeks treatment with </w:t>
      </w:r>
      <w:proofErr w:type="spellStart"/>
      <w:r w:rsidR="0084730F">
        <w:t>Harvoni</w:t>
      </w:r>
      <w:proofErr w:type="spellEnd"/>
      <w:r w:rsidRPr="00E516AE">
        <w:t>. D</w:t>
      </w:r>
      <w:r w:rsidR="0047433B">
        <w:t xml:space="preserve">oes ACPM </w:t>
      </w:r>
      <w:r w:rsidRPr="00E516AE">
        <w:t>consider that the 8 weeks treatment i</w:t>
      </w:r>
      <w:r w:rsidR="0047433B">
        <w:t xml:space="preserve">s sufficient for this group and </w:t>
      </w:r>
      <w:r w:rsidRPr="00E516AE">
        <w:t>whether the higher relapse rate in the 8 weeks group is of concern?</w:t>
      </w:r>
    </w:p>
    <w:p w:rsidR="004023E1" w:rsidRDefault="004023E1" w:rsidP="0047433B">
      <w:r w:rsidRPr="0047433B">
        <w:t>SVR12 was not different by duration or addition of ribavi</w:t>
      </w:r>
      <w:r w:rsidR="0047433B" w:rsidRPr="0047433B">
        <w:t xml:space="preserve">rin. The additional4 weeks does </w:t>
      </w:r>
      <w:r w:rsidRPr="0047433B">
        <w:t xml:space="preserve">reduce the rate of relapse with associated resistance of </w:t>
      </w:r>
      <w:r w:rsidR="0047433B" w:rsidRPr="0047433B">
        <w:t xml:space="preserve">HCV. Twelve weeks treatment for </w:t>
      </w:r>
      <w:r w:rsidRPr="0047433B">
        <w:t>these treatment naive patients (with or without cirrhosis) is recommended in the USA,</w:t>
      </w:r>
      <w:r w:rsidR="0047433B">
        <w:t xml:space="preserve"> </w:t>
      </w:r>
      <w:r w:rsidR="0047433B" w:rsidRPr="0047433B">
        <w:t>Canada and in Europe. It is not clear that the data allow successful identification of a</w:t>
      </w:r>
      <w:r w:rsidR="0047433B">
        <w:t xml:space="preserve"> </w:t>
      </w:r>
      <w:r w:rsidR="0047433B" w:rsidRPr="0047433B">
        <w:t>subgroup of patients w</w:t>
      </w:r>
      <w:r w:rsidR="005C6892">
        <w:t>ho need only 8 weeks therapy, for example,</w:t>
      </w:r>
      <w:r w:rsidR="0047433B" w:rsidRPr="0047433B">
        <w:t xml:space="preserve"> </w:t>
      </w:r>
      <w:r w:rsidR="0047433B">
        <w:t xml:space="preserve">female, </w:t>
      </w:r>
      <w:proofErr w:type="gramStart"/>
      <w:r w:rsidR="0047433B">
        <w:t>absence</w:t>
      </w:r>
      <w:proofErr w:type="gramEnd"/>
      <w:r w:rsidR="0047433B">
        <w:t xml:space="preserve"> of mutations at </w:t>
      </w:r>
      <w:r w:rsidR="0047433B" w:rsidRPr="0047433B">
        <w:t>baseline, baseline v</w:t>
      </w:r>
      <w:r w:rsidR="00A941AC">
        <w:t>iral load (VL) &lt; 6 million IU/</w:t>
      </w:r>
      <w:proofErr w:type="spellStart"/>
      <w:r w:rsidR="00A941AC">
        <w:t>m</w:t>
      </w:r>
      <w:r w:rsidR="0047433B" w:rsidRPr="0047433B">
        <w:t>I.</w:t>
      </w:r>
      <w:proofErr w:type="spellEnd"/>
      <w:r w:rsidR="0047433B" w:rsidRPr="0047433B">
        <w:t xml:space="preserve"> It may b</w:t>
      </w:r>
      <w:r w:rsidR="0047433B">
        <w:t xml:space="preserve">e possible to include an option </w:t>
      </w:r>
      <w:r w:rsidR="0047433B" w:rsidRPr="0047433B">
        <w:t>for clinicians to shorten treatment time if VL, clinical features and genotype are favou</w:t>
      </w:r>
      <w:r w:rsidR="0047433B">
        <w:t xml:space="preserve">rable </w:t>
      </w:r>
      <w:r w:rsidR="0047433B" w:rsidRPr="0047433B">
        <w:t>to early cessation.</w:t>
      </w:r>
    </w:p>
    <w:p w:rsidR="00C82D9C" w:rsidRPr="00C82D9C" w:rsidRDefault="00C82D9C" w:rsidP="00C82D9C">
      <w:pPr>
        <w:pStyle w:val="ListBullet"/>
      </w:pPr>
      <w:r w:rsidRPr="00C82D9C">
        <w:t>For treatment-naive subjects with cirrhosis, the clinical evaluator and the</w:t>
      </w:r>
      <w:r>
        <w:t xml:space="preserve"> </w:t>
      </w:r>
      <w:r w:rsidRPr="00C82D9C">
        <w:t>sponsor proposes the 12 weeks tr</w:t>
      </w:r>
      <w:r>
        <w:t xml:space="preserve">eatment with </w:t>
      </w:r>
      <w:proofErr w:type="spellStart"/>
      <w:r w:rsidR="004F1587">
        <w:t>Harvoni</w:t>
      </w:r>
      <w:proofErr w:type="spellEnd"/>
      <w:r>
        <w:t xml:space="preserve">. Does ACPM </w:t>
      </w:r>
      <w:r w:rsidRPr="00C82D9C">
        <w:t>agree that 12 weeks is appropriate treatment duration for this group?</w:t>
      </w:r>
    </w:p>
    <w:p w:rsidR="00C82D9C" w:rsidRPr="008978DB" w:rsidRDefault="00C82D9C" w:rsidP="008978DB">
      <w:r w:rsidRPr="008978DB">
        <w:lastRenderedPageBreak/>
        <w:t>Treatment naive patients with cirrhosis achieved very high SVR12 and very few relapses</w:t>
      </w:r>
      <w:r w:rsidR="008978DB">
        <w:t xml:space="preserve"> </w:t>
      </w:r>
      <w:r w:rsidRPr="008978DB">
        <w:t xml:space="preserve">with 12 weeks, </w:t>
      </w:r>
      <w:r w:rsidR="006A1F98">
        <w:t>s</w:t>
      </w:r>
      <w:r w:rsidRPr="008978DB">
        <w:t>ubgroup analysis suggest the additio</w:t>
      </w:r>
      <w:r w:rsidR="008978DB">
        <w:t xml:space="preserve">n of </w:t>
      </w:r>
      <w:r w:rsidR="006A1F98">
        <w:t>RBV</w:t>
      </w:r>
      <w:r w:rsidR="008978DB">
        <w:t xml:space="preserve"> may increase the </w:t>
      </w:r>
      <w:r w:rsidRPr="008978DB">
        <w:t>response rate am</w:t>
      </w:r>
      <w:r w:rsidR="004710DF">
        <w:t>ongst cirrhotic patients. In the US</w:t>
      </w:r>
      <w:r w:rsidRPr="008978DB">
        <w:t xml:space="preserve"> and </w:t>
      </w:r>
      <w:r w:rsidR="008978DB">
        <w:t xml:space="preserve">Canada, 12 weeks is recommended </w:t>
      </w:r>
      <w:r w:rsidRPr="008978DB">
        <w:t>while in EU the standard recommendation is 24 wee</w:t>
      </w:r>
      <w:r w:rsidR="008978DB">
        <w:t xml:space="preserve">ks. However, 12 weeks treatment </w:t>
      </w:r>
      <w:r w:rsidRPr="008978DB">
        <w:t>results are adequate and treatment recommendatio</w:t>
      </w:r>
      <w:r w:rsidR="008978DB">
        <w:t xml:space="preserve">ns should include an option for </w:t>
      </w:r>
      <w:r w:rsidRPr="008978DB">
        <w:t>clinicians to extend to 24 weeks or add RBV, depending on clinical factors.</w:t>
      </w:r>
    </w:p>
    <w:p w:rsidR="00C82D9C" w:rsidRPr="00C82D9C" w:rsidRDefault="00C82D9C" w:rsidP="00C82D9C">
      <w:pPr>
        <w:pStyle w:val="ListBullet"/>
      </w:pPr>
      <w:r w:rsidRPr="00C82D9C">
        <w:t>For treatment</w:t>
      </w:r>
      <w:r w:rsidR="00CC1C2D">
        <w:t xml:space="preserve"> </w:t>
      </w:r>
      <w:r w:rsidRPr="00C82D9C">
        <w:t>experienced subjects, the sponsor proposes 12 weeks</w:t>
      </w:r>
      <w:r>
        <w:t xml:space="preserve"> t</w:t>
      </w:r>
      <w:r w:rsidR="006E6F15">
        <w:t xml:space="preserve">reatment of </w:t>
      </w:r>
      <w:proofErr w:type="spellStart"/>
      <w:r w:rsidR="006E6F15">
        <w:t>Harvoni</w:t>
      </w:r>
      <w:proofErr w:type="spellEnd"/>
      <w:r w:rsidRPr="00C82D9C">
        <w:t xml:space="preserve"> while the clinical evaluator recommends the 24</w:t>
      </w:r>
      <w:r>
        <w:t xml:space="preserve"> </w:t>
      </w:r>
      <w:r w:rsidRPr="00C82D9C">
        <w:t xml:space="preserve">weeks treatment of </w:t>
      </w:r>
      <w:proofErr w:type="spellStart"/>
      <w:r w:rsidR="00946704">
        <w:t>Harvoni</w:t>
      </w:r>
      <w:proofErr w:type="spellEnd"/>
      <w:r w:rsidRPr="00C82D9C">
        <w:t>. What is the view of the ACPM?</w:t>
      </w:r>
    </w:p>
    <w:p w:rsidR="00C82D9C" w:rsidRPr="007D5295" w:rsidRDefault="00C82D9C" w:rsidP="007D5295">
      <w:r w:rsidRPr="007D5295">
        <w:t>Study 0109 showed about 3% or more patients gain SVR12 outcomes with 24 weeks of</w:t>
      </w:r>
      <w:r w:rsidR="007D5295">
        <w:t xml:space="preserve"> </w:t>
      </w:r>
      <w:r w:rsidRPr="007D5295">
        <w:t>treatment compared to 12 weeks treatment. Treatm</w:t>
      </w:r>
      <w:r w:rsidR="007D5295">
        <w:t xml:space="preserve">ent for 24 weeks rather than 12 </w:t>
      </w:r>
      <w:r w:rsidRPr="007D5295">
        <w:t>almost eliminated the risk of relapse. All treatment experienced patients with</w:t>
      </w:r>
      <w:r w:rsidR="007D5295">
        <w:t xml:space="preserve"> cirrhosis </w:t>
      </w:r>
      <w:r w:rsidRPr="007D5295">
        <w:t>should receive 24 week treatment. It seems likely that</w:t>
      </w:r>
      <w:r w:rsidR="007D5295">
        <w:t xml:space="preserve"> treatment experienced patients </w:t>
      </w:r>
      <w:r w:rsidRPr="007D5295">
        <w:t>without cirrhosis would benefit from the extra 3 mont</w:t>
      </w:r>
      <w:r w:rsidR="007D5295">
        <w:t xml:space="preserve">hs treatment or the addition of </w:t>
      </w:r>
      <w:r w:rsidRPr="007D5295">
        <w:t>ribavirin but data which clearly demonstrate this were not available.</w:t>
      </w:r>
    </w:p>
    <w:p w:rsidR="007D5295" w:rsidRDefault="00C82D9C" w:rsidP="007D5295">
      <w:r w:rsidRPr="007D5295">
        <w:t>The ACPM considered it important that the ERADICAT</w:t>
      </w:r>
      <w:r w:rsidR="007D5295">
        <w:t xml:space="preserve">E study should be submitted for </w:t>
      </w:r>
      <w:r w:rsidRPr="007D5295">
        <w:t xml:space="preserve">evaluation and </w:t>
      </w:r>
      <w:r w:rsidR="007D5295">
        <w:t>subsequent inclusion in the PI.</w:t>
      </w:r>
    </w:p>
    <w:p w:rsidR="00C82D9C" w:rsidRPr="007D5295" w:rsidRDefault="00C82D9C" w:rsidP="007D5295">
      <w:r w:rsidRPr="007D5295">
        <w:t xml:space="preserve">The ACPM advised that implementation by the sponsor </w:t>
      </w:r>
      <w:r w:rsidR="005C53B1">
        <w:t xml:space="preserve">of the recommendations outlined </w:t>
      </w:r>
      <w:r w:rsidRPr="007D5295">
        <w:t>above to the satisfaction of the TGA, in addition to the evidence of efficacy and safety</w:t>
      </w:r>
      <w:r w:rsidR="005C53B1">
        <w:t xml:space="preserve"> </w:t>
      </w:r>
      <w:r w:rsidRPr="007D5295">
        <w:t>provided would support the safe and effective use of this product.</w:t>
      </w:r>
    </w:p>
    <w:p w:rsidR="008E7846" w:rsidRPr="002E238E" w:rsidRDefault="008E7846" w:rsidP="008E7846">
      <w:pPr>
        <w:pStyle w:val="Heading3"/>
      </w:pPr>
      <w:bookmarkStart w:id="228" w:name="_Toc247691532"/>
      <w:bookmarkStart w:id="229" w:name="_Toc314842516"/>
      <w:bookmarkStart w:id="230" w:name="_Toc432073748"/>
      <w:bookmarkEnd w:id="99"/>
      <w:bookmarkEnd w:id="226"/>
      <w:bookmarkEnd w:id="227"/>
      <w:r>
        <w:t>Outcome</w:t>
      </w:r>
      <w:bookmarkEnd w:id="228"/>
      <w:bookmarkEnd w:id="229"/>
      <w:bookmarkEnd w:id="230"/>
    </w:p>
    <w:p w:rsidR="00D23139" w:rsidRPr="00DA30B7" w:rsidRDefault="00D23139" w:rsidP="00D23139">
      <w:bookmarkStart w:id="231" w:name="_Toc247691533"/>
      <w:bookmarkStart w:id="232" w:name="_Toc314842517"/>
      <w:r w:rsidRPr="00DA30B7">
        <w:t xml:space="preserve">Based on a review of quality, safety and efficacy, TGA approved the registration of </w:t>
      </w:r>
      <w:proofErr w:type="spellStart"/>
      <w:r w:rsidR="00A45442" w:rsidRPr="00DA30B7">
        <w:t>Harvoni</w:t>
      </w:r>
      <w:proofErr w:type="spellEnd"/>
      <w:r w:rsidR="00A45442" w:rsidRPr="00DA30B7">
        <w:t xml:space="preserve"> (</w:t>
      </w:r>
      <w:proofErr w:type="spellStart"/>
      <w:r w:rsidR="00DA30B7" w:rsidRPr="00DA30B7">
        <w:t>l</w:t>
      </w:r>
      <w:r w:rsidR="00DA30B7" w:rsidRPr="00DA30B7">
        <w:rPr>
          <w:lang w:eastAsia="ja-JP"/>
        </w:rPr>
        <w:t>edipasvir</w:t>
      </w:r>
      <w:proofErr w:type="spellEnd"/>
      <w:r w:rsidR="00A45442" w:rsidRPr="00DA30B7">
        <w:t>/</w:t>
      </w:r>
      <w:proofErr w:type="spellStart"/>
      <w:r w:rsidR="00A45442" w:rsidRPr="00DA30B7">
        <w:t>sofosbuvir</w:t>
      </w:r>
      <w:proofErr w:type="spellEnd"/>
      <w:r w:rsidR="00A45442" w:rsidRPr="00DA30B7">
        <w:t xml:space="preserve"> 90</w:t>
      </w:r>
      <w:r w:rsidR="00373BC8" w:rsidRPr="00DA30B7">
        <w:t xml:space="preserve"> </w:t>
      </w:r>
      <w:r w:rsidR="00A45442" w:rsidRPr="00DA30B7">
        <w:t xml:space="preserve">mg/400 mg) </w:t>
      </w:r>
      <w:r w:rsidRPr="00DA30B7">
        <w:t>indicated for:</w:t>
      </w:r>
    </w:p>
    <w:p w:rsidR="009203E1" w:rsidRDefault="00DC6FEF" w:rsidP="00A45442">
      <w:pPr>
        <w:ind w:left="720"/>
        <w:rPr>
          <w:i/>
        </w:rPr>
      </w:pPr>
      <w:proofErr w:type="spellStart"/>
      <w:r w:rsidRPr="00DA30B7">
        <w:rPr>
          <w:i/>
        </w:rPr>
        <w:t>Harvoni</w:t>
      </w:r>
      <w:proofErr w:type="spellEnd"/>
      <w:r w:rsidRPr="00DA30B7">
        <w:rPr>
          <w:i/>
        </w:rPr>
        <w:t xml:space="preserve"> (</w:t>
      </w:r>
      <w:proofErr w:type="spellStart"/>
      <w:r w:rsidR="00A85E3A" w:rsidRPr="00DA30B7">
        <w:rPr>
          <w:i/>
        </w:rPr>
        <w:t>l</w:t>
      </w:r>
      <w:r w:rsidR="00A85E3A" w:rsidRPr="00DA30B7">
        <w:rPr>
          <w:i/>
          <w:lang w:eastAsia="ja-JP"/>
        </w:rPr>
        <w:t>edipasvir</w:t>
      </w:r>
      <w:proofErr w:type="spellEnd"/>
      <w:r w:rsidRPr="00DA30B7">
        <w:rPr>
          <w:i/>
        </w:rPr>
        <w:t>/</w:t>
      </w:r>
      <w:proofErr w:type="spellStart"/>
      <w:r w:rsidRPr="00DA30B7">
        <w:rPr>
          <w:i/>
        </w:rPr>
        <w:t>sofosbuvir</w:t>
      </w:r>
      <w:proofErr w:type="spellEnd"/>
      <w:r w:rsidRPr="00DA30B7">
        <w:rPr>
          <w:i/>
        </w:rPr>
        <w:t xml:space="preserve"> fixed</w:t>
      </w:r>
      <w:r w:rsidR="00373BC8" w:rsidRPr="00DA30B7">
        <w:rPr>
          <w:i/>
        </w:rPr>
        <w:t xml:space="preserve"> </w:t>
      </w:r>
      <w:r w:rsidRPr="00DA30B7">
        <w:rPr>
          <w:i/>
        </w:rPr>
        <w:t>dose combination) is indicated for the treatment of chronic hepatitis C (CHC) genotype 1 infection in adults</w:t>
      </w:r>
      <w:r w:rsidR="009203E1">
        <w:rPr>
          <w:i/>
        </w:rPr>
        <w:t>.</w:t>
      </w:r>
    </w:p>
    <w:p w:rsidR="00D23139" w:rsidRPr="00D23139" w:rsidRDefault="00D23139" w:rsidP="00D23139">
      <w:pPr>
        <w:pStyle w:val="Heading4"/>
      </w:pPr>
      <w:r w:rsidRPr="00D23139">
        <w:t>Specifi</w:t>
      </w:r>
      <w:bookmarkStart w:id="233" w:name="_GoBack"/>
      <w:bookmarkEnd w:id="233"/>
      <w:r w:rsidRPr="00D23139">
        <w:t>c conditions of registration applying to these goods</w:t>
      </w:r>
    </w:p>
    <w:p w:rsidR="007D2C73" w:rsidRPr="00D23139" w:rsidRDefault="007D2C73" w:rsidP="007D2C73">
      <w:pPr>
        <w:pStyle w:val="ListBullet"/>
      </w:pPr>
      <w:r w:rsidRPr="007D2C73">
        <w:t xml:space="preserve">The </w:t>
      </w:r>
      <w:r>
        <w:t>EU RMP</w:t>
      </w:r>
      <w:r w:rsidRPr="007D2C73">
        <w:t xml:space="preserve"> (Version: 0.2, dated 19 August 2014) with an </w:t>
      </w:r>
      <w:r>
        <w:t>ASA</w:t>
      </w:r>
      <w:r w:rsidRPr="007D2C73">
        <w:t xml:space="preserve"> (Version: 0.1, dated February 2015) must be implemented for the </w:t>
      </w:r>
      <w:proofErr w:type="spellStart"/>
      <w:r w:rsidRPr="007D2C73">
        <w:t>H</w:t>
      </w:r>
      <w:r>
        <w:t>arvoni</w:t>
      </w:r>
      <w:proofErr w:type="spellEnd"/>
      <w:r w:rsidRPr="007D2C73">
        <w:t xml:space="preserve"> (</w:t>
      </w:r>
      <w:proofErr w:type="spellStart"/>
      <w:r w:rsidR="00A544D0">
        <w:t>l</w:t>
      </w:r>
      <w:r w:rsidR="00A544D0" w:rsidRPr="00EF5D41">
        <w:rPr>
          <w:lang w:eastAsia="ja-JP"/>
        </w:rPr>
        <w:t>edipasvir</w:t>
      </w:r>
      <w:proofErr w:type="spellEnd"/>
      <w:r w:rsidRPr="007D2C73">
        <w:t>/</w:t>
      </w:r>
      <w:proofErr w:type="spellStart"/>
      <w:r w:rsidRPr="007D2C73">
        <w:t>sofosbuvir</w:t>
      </w:r>
      <w:proofErr w:type="spellEnd"/>
      <w:r w:rsidRPr="007D2C73">
        <w:t xml:space="preserve"> 90</w:t>
      </w:r>
      <w:r w:rsidR="00D36DA2">
        <w:t xml:space="preserve"> </w:t>
      </w:r>
      <w:r w:rsidRPr="007D2C73">
        <w:t>mg/400 mg) tablet.</w:t>
      </w:r>
    </w:p>
    <w:p w:rsidR="008E7846" w:rsidRDefault="00A80B5B" w:rsidP="00D23139">
      <w:pPr>
        <w:pStyle w:val="Heading2"/>
      </w:pPr>
      <w:bookmarkStart w:id="234" w:name="_Toc432073749"/>
      <w:proofErr w:type="gramStart"/>
      <w:r>
        <w:t>Attachment 1.</w:t>
      </w:r>
      <w:proofErr w:type="gramEnd"/>
      <w:r>
        <w:t xml:space="preserve"> </w:t>
      </w:r>
      <w:r w:rsidR="008E7846">
        <w:t xml:space="preserve">Product </w:t>
      </w:r>
      <w:r w:rsidR="00AA0ED0">
        <w:t>I</w:t>
      </w:r>
      <w:r w:rsidR="008E7846">
        <w:t>nformation</w:t>
      </w:r>
      <w:bookmarkEnd w:id="231"/>
      <w:bookmarkEnd w:id="232"/>
      <w:bookmarkEnd w:id="234"/>
    </w:p>
    <w:p w:rsidR="00C80137" w:rsidRDefault="002B3624" w:rsidP="00C80137">
      <w:pPr>
        <w:rPr>
          <w:color w:val="000000"/>
          <w:lang w:eastAsia="en-AU"/>
        </w:rPr>
      </w:pPr>
      <w:r w:rsidRPr="002B3624">
        <w:t xml:space="preserve">The </w:t>
      </w:r>
      <w:r w:rsidR="004C545A">
        <w:t>PI</w:t>
      </w:r>
      <w:r w:rsidR="003105C1">
        <w:t xml:space="preserve"> approved for </w:t>
      </w:r>
      <w:proofErr w:type="spellStart"/>
      <w:r w:rsidR="008D1190">
        <w:t>Harvoni</w:t>
      </w:r>
      <w:proofErr w:type="spellEnd"/>
      <w:r w:rsidR="008D1190">
        <w:t xml:space="preserve"> </w:t>
      </w:r>
      <w:r w:rsidRPr="002B3624">
        <w:t xml:space="preserve">at the time this </w:t>
      </w:r>
      <w:proofErr w:type="spellStart"/>
      <w:r w:rsidRPr="002B3624">
        <w:t>AusPAR</w:t>
      </w:r>
      <w:proofErr w:type="spellEnd"/>
      <w:r w:rsidRPr="002B3624">
        <w:t xml:space="preserve"> was published is at Attachment 1. For the most recent </w:t>
      </w:r>
      <w:r w:rsidR="004C545A">
        <w:t>PI,</w:t>
      </w:r>
      <w:r w:rsidRPr="002B3624">
        <w:t xml:space="preserve"> please refer to the TGA website at &lt;</w:t>
      </w:r>
      <w:hyperlink r:id="rId32" w:history="1">
        <w:r w:rsidR="004C545A" w:rsidRPr="00C4069F">
          <w:rPr>
            <w:rStyle w:val="Hyperlink"/>
          </w:rPr>
          <w:t>www.tga.gov.au/product-information-pi</w:t>
        </w:r>
      </w:hyperlink>
      <w:r w:rsidR="004C545A">
        <w:t>&gt;.</w:t>
      </w:r>
    </w:p>
    <w:p w:rsidR="00C80137" w:rsidRDefault="00C80137" w:rsidP="00C80137">
      <w:pPr>
        <w:pStyle w:val="Heading2"/>
        <w:rPr>
          <w:lang w:eastAsia="en-AU"/>
        </w:rPr>
      </w:pPr>
      <w:bookmarkStart w:id="235" w:name="_Toc432073750"/>
      <w:proofErr w:type="gramStart"/>
      <w:r>
        <w:rPr>
          <w:lang w:eastAsia="en-AU"/>
        </w:rPr>
        <w:t>Attachment 2.</w:t>
      </w:r>
      <w:proofErr w:type="gramEnd"/>
      <w:r w:rsidR="00A80B5B">
        <w:rPr>
          <w:lang w:eastAsia="en-AU"/>
        </w:rPr>
        <w:t xml:space="preserve"> </w:t>
      </w:r>
      <w:r>
        <w:rPr>
          <w:lang w:eastAsia="en-AU"/>
        </w:rPr>
        <w:t>Extract from the Clinical Evaluation Report</w:t>
      </w:r>
      <w:bookmarkEnd w:id="235"/>
    </w:p>
    <w:p w:rsidR="00C80137" w:rsidRPr="001D043B" w:rsidRDefault="008E7846" w:rsidP="003A7F6C">
      <w:pPr>
        <w:pStyle w:val="TableTitle"/>
        <w:sectPr w:rsidR="00C80137" w:rsidRPr="001D043B" w:rsidSect="00B452CE">
          <w:headerReference w:type="even" r:id="rId33"/>
          <w:headerReference w:type="default" r:id="rId34"/>
          <w:headerReference w:type="first" r:id="rId35"/>
          <w:footerReference w:type="first" r:id="rId36"/>
          <w:pgSz w:w="11906" w:h="16838" w:code="9"/>
          <w:pgMar w:top="834" w:right="1701" w:bottom="1191" w:left="1701" w:header="907" w:footer="216" w:gutter="0"/>
          <w:cols w:space="708"/>
          <w:docGrid w:linePitch="360"/>
        </w:sectPr>
      </w:pPr>
      <w:r w:rsidRPr="00C80137">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37" w:history="1">
              <w:r w:rsidRPr="004C239D">
                <w:rPr>
                  <w:rStyle w:val="Hyperlink"/>
                </w:rPr>
                <w:t>info@tga.gov.au</w:t>
              </w:r>
            </w:hyperlink>
            <w:r w:rsidR="00B90AF7">
              <w:t xml:space="preserve"> </w:t>
            </w:r>
            <w:r w:rsidRPr="00487162">
              <w:t>Phone: 1800 020 653</w:t>
            </w:r>
            <w:r w:rsidR="00B90AF7">
              <w:t xml:space="preserve"> </w:t>
            </w:r>
            <w:r w:rsidRPr="00487162">
              <w:t>Fax: 02 6232 8605</w:t>
            </w:r>
          </w:p>
          <w:p w:rsidR="001C32CD" w:rsidRPr="004C239D" w:rsidRDefault="000472BC" w:rsidP="00A05FA4">
            <w:pPr>
              <w:pStyle w:val="Address"/>
              <w:spacing w:line="260" w:lineRule="atLeast"/>
              <w:rPr>
                <w:b/>
                <w:color w:val="0000FF"/>
                <w:u w:val="single"/>
              </w:rPr>
            </w:pPr>
            <w:hyperlink r:id="rId38" w:history="1">
              <w:r w:rsidR="004F47D6">
                <w:rPr>
                  <w:rStyle w:val="Hyperlink"/>
                  <w:b/>
                </w:rPr>
                <w:t>https://www.tga.gov.au</w:t>
              </w:r>
            </w:hyperlink>
          </w:p>
        </w:tc>
      </w:tr>
    </w:tbl>
    <w:p w:rsidR="00774E1D" w:rsidRPr="008A5E0B" w:rsidRDefault="00774E1D" w:rsidP="004C239D"/>
    <w:sectPr w:rsidR="00774E1D" w:rsidRPr="008A5E0B" w:rsidSect="001C32CD">
      <w:headerReference w:type="even" r:id="rId39"/>
      <w:headerReference w:type="default" r:id="rId40"/>
      <w:footerReference w:type="default" r:id="rId41"/>
      <w:headerReference w:type="first" r:id="rId42"/>
      <w:footerReference w:type="first" r:id="rId43"/>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2BC" w:rsidRDefault="000472BC" w:rsidP="00C40A36">
      <w:pPr>
        <w:spacing w:after="0"/>
      </w:pPr>
      <w:r>
        <w:separator/>
      </w:r>
    </w:p>
  </w:endnote>
  <w:endnote w:type="continuationSeparator" w:id="0">
    <w:p w:rsidR="000472BC" w:rsidRDefault="000472BC"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0472BC" w:rsidRPr="00487162" w:rsidTr="00DB750B">
      <w:trPr>
        <w:trHeight w:val="269"/>
      </w:trPr>
      <w:tc>
        <w:tcPr>
          <w:tcW w:w="7371" w:type="dxa"/>
          <w:tcMar>
            <w:top w:w="142" w:type="dxa"/>
            <w:bottom w:w="0" w:type="dxa"/>
          </w:tcMar>
        </w:tcPr>
        <w:p w:rsidR="000472BC" w:rsidRPr="00487162" w:rsidRDefault="000472BC" w:rsidP="00A45C33">
          <w:pPr>
            <w:pStyle w:val="Footer"/>
          </w:pPr>
          <w:proofErr w:type="spellStart"/>
          <w:r w:rsidRPr="00487162">
            <w:t>AusPAR</w:t>
          </w:r>
          <w:proofErr w:type="spellEnd"/>
          <w:r w:rsidRPr="00487162">
            <w:t xml:space="preserve"> </w:t>
          </w:r>
          <w:proofErr w:type="spellStart"/>
          <w:r>
            <w:t>Harvoni</w:t>
          </w:r>
          <w:proofErr w:type="spellEnd"/>
          <w:r>
            <w:t xml:space="preserve"> </w:t>
          </w:r>
          <w:proofErr w:type="spellStart"/>
          <w:r w:rsidR="00451699">
            <w:t>Ledipasvir</w:t>
          </w:r>
          <w:proofErr w:type="spellEnd"/>
          <w:r w:rsidR="00451699">
            <w:t xml:space="preserve"> / </w:t>
          </w:r>
          <w:proofErr w:type="spellStart"/>
          <w:r w:rsidR="00451699">
            <w:t>Sofosbuvir</w:t>
          </w:r>
          <w:proofErr w:type="spellEnd"/>
          <w:r w:rsidR="00451699">
            <w:t xml:space="preserve"> </w:t>
          </w:r>
          <w:r w:rsidRPr="004A44F8">
            <w:t>Gilead Sciences Pty Ltd</w:t>
          </w:r>
          <w:r w:rsidRPr="00487162">
            <w:t xml:space="preserve"> </w:t>
          </w:r>
          <w:r w:rsidRPr="00BE1E88">
            <w:t>PM-2014-00469-1-2</w:t>
          </w:r>
          <w:r>
            <w:br/>
            <w:t>Final 8 October 2015</w:t>
          </w:r>
        </w:p>
      </w:tc>
      <w:tc>
        <w:tcPr>
          <w:tcW w:w="1490" w:type="dxa"/>
          <w:tcMar>
            <w:top w:w="142" w:type="dxa"/>
            <w:bottom w:w="0" w:type="dxa"/>
          </w:tcMar>
        </w:tcPr>
        <w:p w:rsidR="000472BC" w:rsidRPr="00487162" w:rsidRDefault="000472BC" w:rsidP="00DB750B">
          <w:pPr>
            <w:pStyle w:val="Footer"/>
            <w:jc w:val="right"/>
          </w:pPr>
          <w:r w:rsidRPr="00487162">
            <w:t xml:space="preserve">Page </w:t>
          </w:r>
          <w:r>
            <w:fldChar w:fldCharType="begin"/>
          </w:r>
          <w:r>
            <w:instrText xml:space="preserve"> PAGE  \* Arabic </w:instrText>
          </w:r>
          <w:r>
            <w:fldChar w:fldCharType="separate"/>
          </w:r>
          <w:r w:rsidR="000F37B2">
            <w:rPr>
              <w:noProof/>
            </w:rPr>
            <w:t>63</w:t>
          </w:r>
          <w:r>
            <w:fldChar w:fldCharType="end"/>
          </w:r>
          <w:r w:rsidRPr="00487162">
            <w:t xml:space="preserve"> of </w:t>
          </w:r>
          <w:fldSimple w:instr=" NUMPAGES  \* Arabic ">
            <w:r w:rsidR="000F37B2">
              <w:rPr>
                <w:noProof/>
              </w:rPr>
              <w:t>64</w:t>
            </w:r>
          </w:fldSimple>
        </w:p>
      </w:tc>
    </w:tr>
  </w:tbl>
  <w:p w:rsidR="000472BC" w:rsidRDefault="000472BC"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0472BC" w:rsidRPr="00487162" w:rsidTr="00E45619">
      <w:trPr>
        <w:trHeight w:val="269"/>
      </w:trPr>
      <w:tc>
        <w:tcPr>
          <w:tcW w:w="4519" w:type="dxa"/>
          <w:tcBorders>
            <w:top w:val="single" w:sz="4" w:space="0" w:color="auto"/>
          </w:tcBorders>
          <w:tcMar>
            <w:top w:w="142" w:type="dxa"/>
            <w:bottom w:w="0" w:type="dxa"/>
          </w:tcMar>
        </w:tcPr>
        <w:p w:rsidR="000472BC" w:rsidRPr="00487162" w:rsidRDefault="000472BC" w:rsidP="00FE1DEE">
          <w:pPr>
            <w:pStyle w:val="Footer"/>
          </w:pPr>
          <w:r w:rsidRPr="00487162">
            <w:t>Document title, Part #, Section # - Section title</w:t>
          </w:r>
        </w:p>
        <w:p w:rsidR="000472BC" w:rsidRPr="00487162" w:rsidRDefault="000472BC" w:rsidP="00FE1DEE">
          <w:pPr>
            <w:pStyle w:val="Footer"/>
          </w:pPr>
          <w:r w:rsidRPr="00487162">
            <w:t>V1.0 October 2010</w:t>
          </w:r>
        </w:p>
      </w:tc>
      <w:tc>
        <w:tcPr>
          <w:tcW w:w="4342" w:type="dxa"/>
          <w:tcBorders>
            <w:top w:val="single" w:sz="4" w:space="0" w:color="auto"/>
          </w:tcBorders>
          <w:tcMar>
            <w:top w:w="142" w:type="dxa"/>
            <w:bottom w:w="0" w:type="dxa"/>
          </w:tcMar>
        </w:tcPr>
        <w:p w:rsidR="000472BC" w:rsidRPr="00487162" w:rsidRDefault="000472BC"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w:t>
            </w:r>
          </w:fldSimple>
        </w:p>
      </w:tc>
    </w:tr>
  </w:tbl>
  <w:p w:rsidR="000472BC" w:rsidRDefault="000472B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2BC" w:rsidRPr="001C32CD" w:rsidRDefault="000472BC"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0472BC" w:rsidTr="0010601F">
      <w:trPr>
        <w:trHeight w:val="108"/>
      </w:trPr>
      <w:tc>
        <w:tcPr>
          <w:tcW w:w="8875" w:type="dxa"/>
          <w:gridSpan w:val="2"/>
          <w:tcBorders>
            <w:bottom w:val="single" w:sz="4" w:space="0" w:color="auto"/>
          </w:tcBorders>
          <w:tcMar>
            <w:right w:w="284" w:type="dxa"/>
          </w:tcMar>
        </w:tcPr>
        <w:p w:rsidR="000472BC" w:rsidRDefault="000472BC" w:rsidP="006E08B3">
          <w:pPr>
            <w:pStyle w:val="Heading3"/>
          </w:pPr>
          <w:r>
            <w:t>Copyright</w:t>
          </w:r>
        </w:p>
        <w:p w:rsidR="000472BC" w:rsidRDefault="000472BC" w:rsidP="006E08B3">
          <w:r>
            <w:rPr>
              <w:rFonts w:cs="Arial"/>
            </w:rPr>
            <w:t>©</w:t>
          </w:r>
          <w:r>
            <w:t xml:space="preserve"> Commonwealth of Australia [add year]</w:t>
          </w:r>
        </w:p>
        <w:p w:rsidR="000472BC" w:rsidRDefault="000472BC" w:rsidP="006E08B3"/>
        <w:p w:rsidR="000472BC" w:rsidRDefault="000472BC"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0472BC" w:rsidRDefault="000472BC" w:rsidP="006E08B3"/>
        <w:p w:rsidR="000472BC" w:rsidRDefault="000472BC" w:rsidP="006E08B3">
          <w:pPr>
            <w:pStyle w:val="Heading3"/>
          </w:pPr>
          <w:r>
            <w:t>Confidentiality</w:t>
          </w:r>
        </w:p>
        <w:p w:rsidR="000472BC" w:rsidRDefault="000472BC"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0472BC" w:rsidRDefault="000472BC" w:rsidP="006E08B3"/>
        <w:p w:rsidR="000472BC" w:rsidRDefault="000472BC" w:rsidP="006E08B3">
          <w:r>
            <w:t>For submission made by individuals, all personal details, other than your name, will be removed from your submission before it is published on the TGA’s Internet site.</w:t>
          </w:r>
        </w:p>
        <w:p w:rsidR="000472BC" w:rsidRDefault="000472BC" w:rsidP="006E08B3"/>
        <w:p w:rsidR="000472BC" w:rsidRDefault="000472BC"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0472BC" w:rsidTr="0010601F">
      <w:trPr>
        <w:trHeight w:val="417"/>
      </w:trPr>
      <w:tc>
        <w:tcPr>
          <w:tcW w:w="4519" w:type="dxa"/>
          <w:tcBorders>
            <w:top w:val="single" w:sz="4" w:space="0" w:color="auto"/>
          </w:tcBorders>
          <w:tcMar>
            <w:top w:w="142" w:type="dxa"/>
            <w:bottom w:w="0" w:type="dxa"/>
          </w:tcMar>
        </w:tcPr>
        <w:p w:rsidR="000472BC" w:rsidRDefault="000472BC" w:rsidP="006E08B3">
          <w:r>
            <w:t>Document title, Part #, Section # - Section title</w:t>
          </w:r>
        </w:p>
        <w:p w:rsidR="000472BC" w:rsidRDefault="000472BC" w:rsidP="006E08B3">
          <w:r>
            <w:t>V1.0 October 2010</w:t>
          </w:r>
        </w:p>
      </w:tc>
      <w:tc>
        <w:tcPr>
          <w:tcW w:w="4356" w:type="dxa"/>
          <w:tcBorders>
            <w:top w:val="single" w:sz="4" w:space="0" w:color="auto"/>
          </w:tcBorders>
          <w:tcMar>
            <w:top w:w="142" w:type="dxa"/>
            <w:bottom w:w="0" w:type="dxa"/>
          </w:tcMar>
        </w:tcPr>
        <w:p w:rsidR="000472BC" w:rsidRDefault="000472BC"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rsidR="000472BC" w:rsidRDefault="000472B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2BC" w:rsidRDefault="000472BC" w:rsidP="00C40A36">
      <w:pPr>
        <w:spacing w:after="0"/>
      </w:pPr>
      <w:r>
        <w:separator/>
      </w:r>
    </w:p>
  </w:footnote>
  <w:footnote w:type="continuationSeparator" w:id="0">
    <w:p w:rsidR="000472BC" w:rsidRDefault="000472BC" w:rsidP="00C40A36">
      <w:pPr>
        <w:spacing w:after="0"/>
      </w:pPr>
      <w:r>
        <w:continuationSeparator/>
      </w:r>
    </w:p>
  </w:footnote>
  <w:footnote w:id="1">
    <w:p w:rsidR="000472BC" w:rsidRDefault="000472BC" w:rsidP="00084458">
      <w:pPr>
        <w:pStyle w:val="FootnoteText"/>
      </w:pPr>
      <w:r>
        <w:rPr>
          <w:rStyle w:val="FootnoteReference"/>
        </w:rPr>
        <w:footnoteRef/>
      </w:r>
      <w:r>
        <w:t xml:space="preserve"> </w:t>
      </w:r>
      <w:r w:rsidRPr="00805EAD">
        <w:t>International Conference on Harmonisation, “Guidance on nonclinical safety studies for the conduct of human clinical trials and marketing authorization for pharmaceuticals (</w:t>
      </w:r>
      <w:proofErr w:type="gramStart"/>
      <w:r w:rsidRPr="00805EAD">
        <w:t>M3(</w:t>
      </w:r>
      <w:proofErr w:type="gramEnd"/>
      <w:r w:rsidRPr="00805EAD">
        <w:t>R2))”</w:t>
      </w:r>
      <w:r>
        <w:t>,</w:t>
      </w:r>
      <w:r w:rsidRPr="00805EAD">
        <w:t xml:space="preserve"> 11 June 2009.</w:t>
      </w:r>
    </w:p>
  </w:footnote>
  <w:footnote w:id="2">
    <w:p w:rsidR="000472BC" w:rsidRDefault="000472BC" w:rsidP="00084458">
      <w:pPr>
        <w:pStyle w:val="FootnoteText"/>
      </w:pPr>
      <w:r>
        <w:rPr>
          <w:rStyle w:val="FootnoteReference"/>
        </w:rPr>
        <w:footnoteRef/>
      </w:r>
      <w:r>
        <w:t xml:space="preserve"> </w:t>
      </w:r>
      <w:proofErr w:type="gramStart"/>
      <w:r w:rsidRPr="00805EAD">
        <w:t xml:space="preserve">International Conference on Harmonisation, </w:t>
      </w:r>
      <w:r>
        <w:t>“</w:t>
      </w:r>
      <w:r w:rsidRPr="00F80983">
        <w:t>ICH guideline M3 (R2) - questions and answers</w:t>
      </w:r>
      <w:r>
        <w:t>”, May 2012.</w:t>
      </w:r>
      <w:proofErr w:type="gramEnd"/>
    </w:p>
  </w:footnote>
  <w:footnote w:id="3">
    <w:p w:rsidR="000472BC" w:rsidRDefault="000472BC" w:rsidP="00084458">
      <w:pPr>
        <w:pStyle w:val="FootnoteText"/>
      </w:pPr>
      <w:r>
        <w:rPr>
          <w:rStyle w:val="FootnoteReference"/>
        </w:rPr>
        <w:footnoteRef/>
      </w:r>
      <w:r>
        <w:t xml:space="preserve"> </w:t>
      </w:r>
      <w:proofErr w:type="gramStart"/>
      <w:r>
        <w:t>US Department</w:t>
      </w:r>
      <w:r w:rsidRPr="00F71E8C">
        <w:t xml:space="preserve"> of Health</w:t>
      </w:r>
      <w:r>
        <w:t xml:space="preserve"> and Human Services FDA (CDER), “</w:t>
      </w:r>
      <w:r w:rsidRPr="00F71E8C">
        <w:t>Guidance for Industry.</w:t>
      </w:r>
      <w:proofErr w:type="gramEnd"/>
      <w:r w:rsidRPr="00F71E8C">
        <w:t xml:space="preserve"> Chronic hepatitis C virus infection: Developing direct-acting</w:t>
      </w:r>
      <w:r>
        <w:t xml:space="preserve"> antiviral drugs for treatment”, </w:t>
      </w:r>
      <w:r w:rsidRPr="00F71E8C">
        <w:t>October 2013</w:t>
      </w:r>
      <w:r>
        <w:t>.</w:t>
      </w:r>
    </w:p>
  </w:footnote>
  <w:footnote w:id="4">
    <w:p w:rsidR="000472BC" w:rsidRDefault="000472BC">
      <w:pPr>
        <w:pStyle w:val="FootnoteText"/>
      </w:pPr>
      <w:r>
        <w:rPr>
          <w:rStyle w:val="FootnoteReference"/>
        </w:rPr>
        <w:footnoteRef/>
      </w:r>
      <w:r>
        <w:t xml:space="preserve"> Pregnancy Category B1: “</w:t>
      </w:r>
      <w:r w:rsidRPr="00901B8A">
        <w:t>Drugs which have been taken by only a limited number of pregnant women and women of childbearing age, without an increase in the frequency of malformation or other direct or indirect harmful effects on the human f</w:t>
      </w:r>
      <w:r>
        <w:t>o</w:t>
      </w:r>
      <w:r w:rsidRPr="00901B8A">
        <w:t>etus having been observed. Studies in animals have not shown evidence of an increased occurrence of f</w:t>
      </w:r>
      <w:r>
        <w:t>o</w:t>
      </w:r>
      <w:r w:rsidRPr="00901B8A">
        <w:t>etal damage.</w:t>
      </w:r>
      <w:r>
        <w:t>”</w:t>
      </w:r>
    </w:p>
  </w:footnote>
  <w:footnote w:id="5">
    <w:p w:rsidR="000472BC" w:rsidRDefault="000472BC">
      <w:pPr>
        <w:pStyle w:val="FootnoteText"/>
      </w:pPr>
      <w:r>
        <w:rPr>
          <w:rStyle w:val="FootnoteReference"/>
        </w:rPr>
        <w:footnoteRef/>
      </w:r>
      <w:r>
        <w:t xml:space="preserve"> </w:t>
      </w:r>
      <w:proofErr w:type="gramStart"/>
      <w:r>
        <w:t>European Medicines Agency, “</w:t>
      </w:r>
      <w:r w:rsidRPr="00D22D77">
        <w:t>Guideline on clinical evaluation of medicinal products for the t</w:t>
      </w:r>
      <w:r>
        <w:t>reatment of chronic hepatitis C (</w:t>
      </w:r>
      <w:r w:rsidRPr="00B674B5">
        <w:t>EMEA/CHMP/51240/2011</w:t>
      </w:r>
      <w:r>
        <w:t>)”, 20 January 2011; European Medicines Agency, “</w:t>
      </w:r>
      <w:r w:rsidRPr="00572607">
        <w:t xml:space="preserve">Guideline </w:t>
      </w:r>
      <w:r>
        <w:t>o</w:t>
      </w:r>
      <w:r w:rsidRPr="00572607">
        <w:t xml:space="preserve">n </w:t>
      </w:r>
      <w:r>
        <w:t>t</w:t>
      </w:r>
      <w:r w:rsidRPr="00572607">
        <w:t xml:space="preserve">he </w:t>
      </w:r>
      <w:r>
        <w:t>c</w:t>
      </w:r>
      <w:r w:rsidRPr="00572607">
        <w:t xml:space="preserve">linical </w:t>
      </w:r>
      <w:r>
        <w:t>e</w:t>
      </w:r>
      <w:r w:rsidRPr="00572607">
        <w:t xml:space="preserve">valuation </w:t>
      </w:r>
      <w:r>
        <w:t>o</w:t>
      </w:r>
      <w:r w:rsidRPr="00572607">
        <w:t xml:space="preserve">f </w:t>
      </w:r>
      <w:r>
        <w:t>d</w:t>
      </w:r>
      <w:r w:rsidRPr="00572607">
        <w:t xml:space="preserve">irect </w:t>
      </w:r>
      <w:r>
        <w:t>a</w:t>
      </w:r>
      <w:r w:rsidRPr="00572607">
        <w:t xml:space="preserve">cting </w:t>
      </w:r>
      <w:r>
        <w:t>a</w:t>
      </w:r>
      <w:r w:rsidRPr="00572607">
        <w:t xml:space="preserve">ntiviral </w:t>
      </w:r>
      <w:r>
        <w:t>a</w:t>
      </w:r>
      <w:r w:rsidRPr="00572607">
        <w:t xml:space="preserve">gents </w:t>
      </w:r>
      <w:r>
        <w:t>i</w:t>
      </w:r>
      <w:r w:rsidRPr="00572607">
        <w:t xml:space="preserve">ntended </w:t>
      </w:r>
      <w:r>
        <w:t>f</w:t>
      </w:r>
      <w:r w:rsidRPr="00572607">
        <w:t xml:space="preserve">or </w:t>
      </w:r>
      <w:r>
        <w:t>treatment of chronic hepatitis C (</w:t>
      </w:r>
      <w:r w:rsidRPr="00022827">
        <w:t>EMEA/CHMP/EWP/30039/2008</w:t>
      </w:r>
      <w:r>
        <w:t>)”, 23 April 2009.</w:t>
      </w:r>
      <w:proofErr w:type="gramEnd"/>
    </w:p>
  </w:footnote>
  <w:footnote w:id="6">
    <w:p w:rsidR="000472BC" w:rsidRDefault="000472BC">
      <w:pPr>
        <w:pStyle w:val="FootnoteText"/>
      </w:pPr>
      <w:r>
        <w:rPr>
          <w:rStyle w:val="FootnoteReference"/>
        </w:rPr>
        <w:footnoteRef/>
      </w:r>
      <w:r>
        <w:t xml:space="preserve"> </w:t>
      </w:r>
      <w:proofErr w:type="gramStart"/>
      <w:r>
        <w:t>European Medicines Agency, “</w:t>
      </w:r>
      <w:r w:rsidRPr="00572607">
        <w:t xml:space="preserve">Guideline </w:t>
      </w:r>
      <w:r>
        <w:t>o</w:t>
      </w:r>
      <w:r w:rsidRPr="00572607">
        <w:t xml:space="preserve">n </w:t>
      </w:r>
      <w:r>
        <w:t>t</w:t>
      </w:r>
      <w:r w:rsidRPr="00572607">
        <w:t xml:space="preserve">he </w:t>
      </w:r>
      <w:r>
        <w:t>c</w:t>
      </w:r>
      <w:r w:rsidRPr="00572607">
        <w:t xml:space="preserve">linical </w:t>
      </w:r>
      <w:r>
        <w:t>e</w:t>
      </w:r>
      <w:r w:rsidRPr="00572607">
        <w:t xml:space="preserve">valuation </w:t>
      </w:r>
      <w:r>
        <w:t>o</w:t>
      </w:r>
      <w:r w:rsidRPr="00572607">
        <w:t xml:space="preserve">f </w:t>
      </w:r>
      <w:r>
        <w:t>d</w:t>
      </w:r>
      <w:r w:rsidRPr="00572607">
        <w:t xml:space="preserve">irect </w:t>
      </w:r>
      <w:r>
        <w:t>a</w:t>
      </w:r>
      <w:r w:rsidRPr="00572607">
        <w:t xml:space="preserve">cting </w:t>
      </w:r>
      <w:r>
        <w:t>a</w:t>
      </w:r>
      <w:r w:rsidRPr="00572607">
        <w:t xml:space="preserve">ntiviral </w:t>
      </w:r>
      <w:r>
        <w:t>a</w:t>
      </w:r>
      <w:r w:rsidRPr="00572607">
        <w:t xml:space="preserve">gents </w:t>
      </w:r>
      <w:r>
        <w:t>i</w:t>
      </w:r>
      <w:r w:rsidRPr="00572607">
        <w:t xml:space="preserve">ntended </w:t>
      </w:r>
      <w:r>
        <w:t>f</w:t>
      </w:r>
      <w:r w:rsidRPr="00572607">
        <w:t xml:space="preserve">or </w:t>
      </w:r>
      <w:r>
        <w:t>treatment of chronic hepatitis C (</w:t>
      </w:r>
      <w:r w:rsidRPr="00022827">
        <w:t>EMEA/CHMP/EWP/30039/2008</w:t>
      </w:r>
      <w:r>
        <w:t>)”, 23 April 2009.</w:t>
      </w:r>
      <w:proofErr w:type="gramEnd"/>
    </w:p>
  </w:footnote>
  <w:footnote w:id="7">
    <w:p w:rsidR="000472BC" w:rsidRDefault="000472BC">
      <w:pPr>
        <w:pStyle w:val="FootnoteText"/>
      </w:pPr>
      <w:r>
        <w:rPr>
          <w:rStyle w:val="FootnoteReference"/>
        </w:rPr>
        <w:footnoteRef/>
      </w:r>
      <w:r>
        <w:t xml:space="preserve"> </w:t>
      </w:r>
      <w:proofErr w:type="gramStart"/>
      <w:r>
        <w:t>European Medicines Agency, “</w:t>
      </w:r>
      <w:r w:rsidRPr="00572607">
        <w:t xml:space="preserve">Guideline </w:t>
      </w:r>
      <w:r>
        <w:t>o</w:t>
      </w:r>
      <w:r w:rsidRPr="00572607">
        <w:t xml:space="preserve">n </w:t>
      </w:r>
      <w:r>
        <w:t>t</w:t>
      </w:r>
      <w:r w:rsidRPr="00572607">
        <w:t xml:space="preserve">he </w:t>
      </w:r>
      <w:r>
        <w:t>c</w:t>
      </w:r>
      <w:r w:rsidRPr="00572607">
        <w:t xml:space="preserve">linical </w:t>
      </w:r>
      <w:r>
        <w:t>e</w:t>
      </w:r>
      <w:r w:rsidRPr="00572607">
        <w:t xml:space="preserve">valuation </w:t>
      </w:r>
      <w:r>
        <w:t>o</w:t>
      </w:r>
      <w:r w:rsidRPr="00572607">
        <w:t xml:space="preserve">f </w:t>
      </w:r>
      <w:r>
        <w:t>d</w:t>
      </w:r>
      <w:r w:rsidRPr="00572607">
        <w:t xml:space="preserve">irect </w:t>
      </w:r>
      <w:r>
        <w:t>a</w:t>
      </w:r>
      <w:r w:rsidRPr="00572607">
        <w:t xml:space="preserve">cting </w:t>
      </w:r>
      <w:r>
        <w:t>a</w:t>
      </w:r>
      <w:r w:rsidRPr="00572607">
        <w:t xml:space="preserve">ntiviral </w:t>
      </w:r>
      <w:r>
        <w:t>a</w:t>
      </w:r>
      <w:r w:rsidRPr="00572607">
        <w:t xml:space="preserve">gents </w:t>
      </w:r>
      <w:r>
        <w:t>i</w:t>
      </w:r>
      <w:r w:rsidRPr="00572607">
        <w:t xml:space="preserve">ntended </w:t>
      </w:r>
      <w:r>
        <w:t>f</w:t>
      </w:r>
      <w:r w:rsidRPr="00572607">
        <w:t xml:space="preserve">or </w:t>
      </w:r>
      <w:r>
        <w:t>treatment of chronic hepatitis C (</w:t>
      </w:r>
      <w:r w:rsidRPr="00022827">
        <w:t>EMEA/CHMP/EWP/30039/2008</w:t>
      </w:r>
      <w:r>
        <w:t>)”, 23 April 2009.</w:t>
      </w:r>
      <w:proofErr w:type="gramEnd"/>
    </w:p>
  </w:footnote>
  <w:footnote w:id="8">
    <w:p w:rsidR="000472BC" w:rsidRDefault="000472BC" w:rsidP="000F37B2">
      <w:pPr>
        <w:pStyle w:val="FootnoteText"/>
      </w:pPr>
      <w:r>
        <w:rPr>
          <w:rStyle w:val="FootnoteReference"/>
        </w:rPr>
        <w:footnoteRef/>
      </w:r>
      <w:r>
        <w:t xml:space="preserve"> </w:t>
      </w:r>
      <w:proofErr w:type="spellStart"/>
      <w:r w:rsidRPr="008E51ED">
        <w:t>Ghany</w:t>
      </w:r>
      <w:proofErr w:type="spellEnd"/>
      <w:r w:rsidRPr="008E51ED">
        <w:t xml:space="preserve"> MG, </w:t>
      </w:r>
      <w:r>
        <w:t>et al</w:t>
      </w:r>
      <w:r w:rsidRPr="008E51ED">
        <w:t xml:space="preserve">. </w:t>
      </w:r>
      <w:r>
        <w:t xml:space="preserve">(2009) </w:t>
      </w:r>
      <w:r w:rsidRPr="008E51ED">
        <w:t>Diagnosis, management, and treatment of hepatitis C: a</w:t>
      </w:r>
      <w:r>
        <w:t xml:space="preserve">n update. </w:t>
      </w:r>
      <w:proofErr w:type="spellStart"/>
      <w:r w:rsidRPr="005F2A8C">
        <w:rPr>
          <w:i/>
        </w:rPr>
        <w:t>Hepatology</w:t>
      </w:r>
      <w:proofErr w:type="spellEnd"/>
      <w:r>
        <w:t xml:space="preserve"> 49</w:t>
      </w:r>
      <w:r w:rsidRPr="008E51ED">
        <w:t>:</w:t>
      </w:r>
      <w:r>
        <w:t xml:space="preserve"> </w:t>
      </w:r>
      <w:r w:rsidRPr="008E51ED">
        <w:t>1335-74</w:t>
      </w:r>
      <w:r>
        <w:t>.</w:t>
      </w:r>
    </w:p>
  </w:footnote>
  <w:footnote w:id="9">
    <w:p w:rsidR="000472BC" w:rsidRDefault="000472BC">
      <w:pPr>
        <w:pStyle w:val="FootnoteText"/>
      </w:pPr>
      <w:r>
        <w:rPr>
          <w:rStyle w:val="FootnoteReference"/>
        </w:rPr>
        <w:footnoteRef/>
      </w:r>
      <w:r>
        <w:t xml:space="preserve"> </w:t>
      </w:r>
      <w:r w:rsidRPr="009676B0">
        <w:t xml:space="preserve">Dore GJ, </w:t>
      </w:r>
      <w:r>
        <w:t>et al</w:t>
      </w:r>
      <w:r w:rsidRPr="009676B0">
        <w:t xml:space="preserve">. </w:t>
      </w:r>
      <w:r>
        <w:t xml:space="preserve">(2003) </w:t>
      </w:r>
      <w:r w:rsidRPr="009676B0">
        <w:t>Epidemiology of hepatitis C virus infection in Aus</w:t>
      </w:r>
      <w:r>
        <w:t xml:space="preserve">tralia. </w:t>
      </w:r>
      <w:proofErr w:type="gramStart"/>
      <w:r w:rsidRPr="000272B2">
        <w:rPr>
          <w:i/>
        </w:rPr>
        <w:t xml:space="preserve">J </w:t>
      </w:r>
      <w:proofErr w:type="spellStart"/>
      <w:r w:rsidRPr="000272B2">
        <w:rPr>
          <w:i/>
        </w:rPr>
        <w:t>Clin</w:t>
      </w:r>
      <w:proofErr w:type="spellEnd"/>
      <w:r w:rsidRPr="000272B2">
        <w:rPr>
          <w:i/>
        </w:rPr>
        <w:t xml:space="preserve"> </w:t>
      </w:r>
      <w:proofErr w:type="spellStart"/>
      <w:r w:rsidRPr="000272B2">
        <w:rPr>
          <w:i/>
        </w:rPr>
        <w:t>Virol</w:t>
      </w:r>
      <w:proofErr w:type="spellEnd"/>
      <w:r w:rsidRPr="000272B2">
        <w:rPr>
          <w:i/>
        </w:rPr>
        <w:t>.</w:t>
      </w:r>
      <w:proofErr w:type="gramEnd"/>
      <w:r>
        <w:t xml:space="preserve"> 26</w:t>
      </w:r>
      <w:r w:rsidRPr="009676B0">
        <w:t>:</w:t>
      </w:r>
      <w:r>
        <w:t xml:space="preserve"> </w:t>
      </w:r>
      <w:r w:rsidRPr="009676B0">
        <w:t>171-84.</w:t>
      </w:r>
    </w:p>
  </w:footnote>
  <w:footnote w:id="10">
    <w:p w:rsidR="000472BC" w:rsidRDefault="000472BC">
      <w:pPr>
        <w:pStyle w:val="FootnoteText"/>
      </w:pPr>
      <w:r>
        <w:rPr>
          <w:rStyle w:val="FootnoteReference"/>
        </w:rPr>
        <w:footnoteRef/>
      </w:r>
      <w:r>
        <w:t xml:space="preserve"> </w:t>
      </w:r>
      <w:r w:rsidRPr="00C342AD">
        <w:t xml:space="preserve">Carey W. </w:t>
      </w:r>
      <w:r>
        <w:t xml:space="preserve">(2003) </w:t>
      </w:r>
      <w:r w:rsidRPr="00C342AD">
        <w:t xml:space="preserve">Tests and screening strategies for the diagnosis of hepatitis C. </w:t>
      </w:r>
      <w:r w:rsidRPr="005D3ABD">
        <w:rPr>
          <w:i/>
        </w:rPr>
        <w:t xml:space="preserve">Cleve </w:t>
      </w:r>
      <w:proofErr w:type="spellStart"/>
      <w:r w:rsidRPr="005D3ABD">
        <w:rPr>
          <w:i/>
        </w:rPr>
        <w:t>Clin</w:t>
      </w:r>
      <w:proofErr w:type="spellEnd"/>
      <w:r w:rsidRPr="005D3ABD">
        <w:rPr>
          <w:i/>
        </w:rPr>
        <w:t xml:space="preserve"> J Med.</w:t>
      </w:r>
      <w:r>
        <w:t xml:space="preserve"> 70 (</w:t>
      </w:r>
      <w:proofErr w:type="spellStart"/>
      <w:r>
        <w:t>Suppl</w:t>
      </w:r>
      <w:proofErr w:type="spellEnd"/>
      <w:r>
        <w:t xml:space="preserve"> 4): S7-S13; National Institutes of Health (2002) </w:t>
      </w:r>
      <w:r w:rsidRPr="00C07071">
        <w:t>Consensus Development Conference Statement: Management of hepatitis C 2002 (June 10-12, 2002</w:t>
      </w:r>
      <w:r>
        <w:t xml:space="preserve">). </w:t>
      </w:r>
      <w:r w:rsidRPr="00491823">
        <w:rPr>
          <w:i/>
        </w:rPr>
        <w:t>Gastroenterology</w:t>
      </w:r>
      <w:r>
        <w:t xml:space="preserve"> 123</w:t>
      </w:r>
      <w:r w:rsidRPr="00C07071">
        <w:t>:</w:t>
      </w:r>
      <w:r>
        <w:t xml:space="preserve"> 2082-99; </w:t>
      </w:r>
      <w:proofErr w:type="spellStart"/>
      <w:r w:rsidRPr="00E54C44">
        <w:t>Fattovich</w:t>
      </w:r>
      <w:proofErr w:type="spellEnd"/>
      <w:r w:rsidRPr="00E54C44">
        <w:t xml:space="preserve"> G, et al. </w:t>
      </w:r>
      <w:r>
        <w:t xml:space="preserve">(2001) </w:t>
      </w:r>
      <w:r w:rsidRPr="00E54C44">
        <w:t xml:space="preserve">Hepatitis C virus genotypes: distribution and clinical significance in patients with cirrhosis type C seen at tertiary referral centres in Europe. </w:t>
      </w:r>
      <w:proofErr w:type="gramStart"/>
      <w:r w:rsidRPr="006D2EF7">
        <w:rPr>
          <w:i/>
        </w:rPr>
        <w:t xml:space="preserve">J Viral </w:t>
      </w:r>
      <w:proofErr w:type="spellStart"/>
      <w:r w:rsidRPr="006D2EF7">
        <w:rPr>
          <w:i/>
        </w:rPr>
        <w:t>Hepat</w:t>
      </w:r>
      <w:proofErr w:type="spellEnd"/>
      <w:r w:rsidRPr="006D2EF7">
        <w:rPr>
          <w:i/>
        </w:rPr>
        <w:t>.</w:t>
      </w:r>
      <w:proofErr w:type="gramEnd"/>
      <w:r w:rsidRPr="006D2EF7">
        <w:rPr>
          <w:i/>
        </w:rPr>
        <w:t xml:space="preserve"> </w:t>
      </w:r>
      <w:r>
        <w:t xml:space="preserve">8: 206-16; </w:t>
      </w:r>
      <w:proofErr w:type="spellStart"/>
      <w:r w:rsidRPr="00980012">
        <w:t>Poordad</w:t>
      </w:r>
      <w:proofErr w:type="spellEnd"/>
      <w:r w:rsidRPr="00980012">
        <w:t xml:space="preserve"> F, et al. </w:t>
      </w:r>
      <w:r>
        <w:t xml:space="preserve">(2011) </w:t>
      </w:r>
      <w:proofErr w:type="spellStart"/>
      <w:r w:rsidRPr="00980012">
        <w:t>Boceprevir</w:t>
      </w:r>
      <w:proofErr w:type="spellEnd"/>
      <w:r w:rsidRPr="00980012">
        <w:t xml:space="preserve"> for untreated chronic HCV genotype 1 infection. </w:t>
      </w:r>
      <w:proofErr w:type="gramStart"/>
      <w:r w:rsidRPr="003D707A">
        <w:rPr>
          <w:i/>
        </w:rPr>
        <w:t xml:space="preserve">N </w:t>
      </w:r>
      <w:proofErr w:type="spellStart"/>
      <w:r w:rsidRPr="003D707A">
        <w:rPr>
          <w:i/>
        </w:rPr>
        <w:t>Engl</w:t>
      </w:r>
      <w:proofErr w:type="spellEnd"/>
      <w:r w:rsidRPr="003D707A">
        <w:rPr>
          <w:i/>
        </w:rPr>
        <w:t xml:space="preserve"> J Med.</w:t>
      </w:r>
      <w:r>
        <w:t xml:space="preserve"> 364: 1195-206; </w:t>
      </w:r>
      <w:r w:rsidRPr="003D707A">
        <w:t xml:space="preserve">Jacobson IM, et al. </w:t>
      </w:r>
      <w:proofErr w:type="spellStart"/>
      <w:r w:rsidRPr="003D707A">
        <w:t>Telaprevir</w:t>
      </w:r>
      <w:proofErr w:type="spellEnd"/>
      <w:r w:rsidRPr="003D707A">
        <w:t xml:space="preserve"> for previously untreated chronic hepatitis C virus infec</w:t>
      </w:r>
      <w:r>
        <w:t>tion.</w:t>
      </w:r>
      <w:proofErr w:type="gramEnd"/>
      <w:r>
        <w:t xml:space="preserve"> </w:t>
      </w:r>
      <w:r w:rsidRPr="00B2337A">
        <w:rPr>
          <w:i/>
        </w:rPr>
        <w:t xml:space="preserve">N </w:t>
      </w:r>
      <w:proofErr w:type="spellStart"/>
      <w:r w:rsidRPr="00B2337A">
        <w:rPr>
          <w:i/>
        </w:rPr>
        <w:t>Engl</w:t>
      </w:r>
      <w:proofErr w:type="spellEnd"/>
      <w:r w:rsidRPr="00B2337A">
        <w:rPr>
          <w:i/>
        </w:rPr>
        <w:t xml:space="preserve"> J Med.</w:t>
      </w:r>
      <w:r>
        <w:t xml:space="preserve"> 364</w:t>
      </w:r>
      <w:r w:rsidRPr="003D707A">
        <w:t>:</w:t>
      </w:r>
      <w:r>
        <w:t xml:space="preserve"> </w:t>
      </w:r>
      <w:r w:rsidRPr="003D707A">
        <w:t>2405-16.</w:t>
      </w:r>
    </w:p>
  </w:footnote>
  <w:footnote w:id="11">
    <w:p w:rsidR="000472BC" w:rsidRDefault="000472BC">
      <w:pPr>
        <w:pStyle w:val="FootnoteText"/>
      </w:pPr>
      <w:r>
        <w:rPr>
          <w:rStyle w:val="FootnoteReference"/>
        </w:rPr>
        <w:footnoteRef/>
      </w:r>
      <w:r>
        <w:t xml:space="preserve"> </w:t>
      </w:r>
      <w:proofErr w:type="spellStart"/>
      <w:r>
        <w:t>Poordad</w:t>
      </w:r>
      <w:proofErr w:type="spellEnd"/>
      <w:r>
        <w:t xml:space="preserve"> F</w:t>
      </w:r>
      <w:r w:rsidRPr="005B44BD">
        <w:t xml:space="preserve">, et al. IL28B polymorphism predicts </w:t>
      </w:r>
      <w:proofErr w:type="spellStart"/>
      <w:r w:rsidRPr="005B44BD">
        <w:t>virologic</w:t>
      </w:r>
      <w:proofErr w:type="spellEnd"/>
      <w:r w:rsidRPr="005B44BD">
        <w:t xml:space="preserve"> response in patients with Hepatitis C Genotype 1 treated with </w:t>
      </w:r>
      <w:proofErr w:type="spellStart"/>
      <w:r w:rsidRPr="005B44BD">
        <w:t>Boceprevir</w:t>
      </w:r>
      <w:proofErr w:type="spellEnd"/>
      <w:r w:rsidRPr="005B44BD">
        <w:t xml:space="preserve"> (BOC) combination therapy [Oral Presentation]. 46th EASL, European Association for the Study of t</w:t>
      </w:r>
      <w:r>
        <w:t xml:space="preserve">he Liver; 2011; Berlin, Germany; </w:t>
      </w:r>
      <w:r w:rsidRPr="003D707A">
        <w:t xml:space="preserve">Jacobson IM, et al. </w:t>
      </w:r>
      <w:proofErr w:type="spellStart"/>
      <w:r w:rsidRPr="003D707A">
        <w:t>Telaprevir</w:t>
      </w:r>
      <w:proofErr w:type="spellEnd"/>
      <w:r w:rsidRPr="003D707A">
        <w:t xml:space="preserve"> for previously untreated chronic hepatitis C virus infec</w:t>
      </w:r>
      <w:r>
        <w:t xml:space="preserve">tion. </w:t>
      </w:r>
      <w:r w:rsidRPr="00B2337A">
        <w:rPr>
          <w:i/>
        </w:rPr>
        <w:t xml:space="preserve">N </w:t>
      </w:r>
      <w:proofErr w:type="spellStart"/>
      <w:r w:rsidRPr="00B2337A">
        <w:rPr>
          <w:i/>
        </w:rPr>
        <w:t>Engl</w:t>
      </w:r>
      <w:proofErr w:type="spellEnd"/>
      <w:r w:rsidRPr="00B2337A">
        <w:rPr>
          <w:i/>
        </w:rPr>
        <w:t xml:space="preserve"> J Med.</w:t>
      </w:r>
      <w:r>
        <w:t xml:space="preserve"> 364</w:t>
      </w:r>
      <w:r w:rsidRPr="003D707A">
        <w:t>:</w:t>
      </w:r>
      <w:r>
        <w:t xml:space="preserve"> </w:t>
      </w:r>
      <w:r w:rsidRPr="003D707A">
        <w:t>2405-16.</w:t>
      </w:r>
    </w:p>
  </w:footnote>
  <w:footnote w:id="12">
    <w:p w:rsidR="000472BC" w:rsidRDefault="000472BC">
      <w:pPr>
        <w:pStyle w:val="FootnoteText"/>
      </w:pPr>
      <w:r>
        <w:rPr>
          <w:rStyle w:val="FootnoteReference"/>
        </w:rPr>
        <w:footnoteRef/>
      </w:r>
      <w:r>
        <w:t xml:space="preserve"> </w:t>
      </w:r>
      <w:proofErr w:type="spellStart"/>
      <w:r w:rsidRPr="00A66969">
        <w:t>Vi</w:t>
      </w:r>
      <w:r>
        <w:t>ctrelis</w:t>
      </w:r>
      <w:proofErr w:type="spellEnd"/>
      <w:r w:rsidRPr="00A66969">
        <w:t xml:space="preserve"> (</w:t>
      </w:r>
      <w:proofErr w:type="spellStart"/>
      <w:r w:rsidRPr="00A66969">
        <w:t>boceprevir</w:t>
      </w:r>
      <w:proofErr w:type="spellEnd"/>
      <w:r w:rsidRPr="00A66969">
        <w:t xml:space="preserve">) Capsules. </w:t>
      </w:r>
      <w:proofErr w:type="gramStart"/>
      <w:r w:rsidRPr="00A66969">
        <w:t>US Prescribing Information.</w:t>
      </w:r>
      <w:proofErr w:type="gramEnd"/>
      <w:r w:rsidRPr="00A66969">
        <w:t xml:space="preserve"> </w:t>
      </w:r>
      <w:proofErr w:type="gramStart"/>
      <w:r w:rsidRPr="00A66969">
        <w:t>Schering Corporation, Whitehouse Station, NJ, USA.</w:t>
      </w:r>
      <w:proofErr w:type="gramEnd"/>
      <w:r w:rsidRPr="00A66969">
        <w:t xml:space="preserve"> Revised May 2011</w:t>
      </w:r>
      <w:r>
        <w:t xml:space="preserve">; </w:t>
      </w:r>
      <w:proofErr w:type="spellStart"/>
      <w:r>
        <w:t>Incivek</w:t>
      </w:r>
      <w:proofErr w:type="spellEnd"/>
      <w:r w:rsidRPr="00681550">
        <w:t xml:space="preserve"> (</w:t>
      </w:r>
      <w:proofErr w:type="spellStart"/>
      <w:r w:rsidRPr="00681550">
        <w:t>telaprevir</w:t>
      </w:r>
      <w:proofErr w:type="spellEnd"/>
      <w:r w:rsidRPr="00681550">
        <w:t xml:space="preserve">) Film Coated Tablets. </w:t>
      </w:r>
      <w:proofErr w:type="gramStart"/>
      <w:r w:rsidRPr="00681550">
        <w:t>US Prescribing Information.</w:t>
      </w:r>
      <w:proofErr w:type="gramEnd"/>
      <w:r w:rsidRPr="00681550">
        <w:t xml:space="preserve"> Vertex Pharmaceuticals Incorporated. Cambridge, MA. May 2011.</w:t>
      </w:r>
    </w:p>
  </w:footnote>
  <w:footnote w:id="13">
    <w:p w:rsidR="000472BC" w:rsidRDefault="000472BC">
      <w:pPr>
        <w:pStyle w:val="FootnoteText"/>
      </w:pPr>
      <w:r>
        <w:rPr>
          <w:rStyle w:val="FootnoteReference"/>
        </w:rPr>
        <w:footnoteRef/>
      </w:r>
      <w:r>
        <w:t xml:space="preserve"> </w:t>
      </w:r>
      <w:proofErr w:type="spellStart"/>
      <w:proofErr w:type="gramStart"/>
      <w:r>
        <w:t>Incivek</w:t>
      </w:r>
      <w:proofErr w:type="spellEnd"/>
      <w:r w:rsidRPr="00681550">
        <w:t xml:space="preserve"> (</w:t>
      </w:r>
      <w:proofErr w:type="spellStart"/>
      <w:r w:rsidRPr="00681550">
        <w:t>telaprevir</w:t>
      </w:r>
      <w:proofErr w:type="spellEnd"/>
      <w:r w:rsidRPr="00681550">
        <w:t>) Film Coated Tablets.</w:t>
      </w:r>
      <w:proofErr w:type="gramEnd"/>
      <w:r w:rsidRPr="00681550">
        <w:t xml:space="preserve"> </w:t>
      </w:r>
      <w:proofErr w:type="gramStart"/>
      <w:r w:rsidRPr="00681550">
        <w:t>US Prescribing Information.</w:t>
      </w:r>
      <w:proofErr w:type="gramEnd"/>
      <w:r w:rsidRPr="00681550">
        <w:t xml:space="preserve"> Vertex Pharmaceuticals Incorporated. Cambridge, MA. May 2011</w:t>
      </w:r>
      <w:r>
        <w:t>.</w:t>
      </w:r>
    </w:p>
  </w:footnote>
  <w:footnote w:id="14">
    <w:p w:rsidR="000472BC" w:rsidRDefault="000472BC">
      <w:pPr>
        <w:pStyle w:val="FootnoteText"/>
      </w:pPr>
      <w:r>
        <w:rPr>
          <w:rStyle w:val="FootnoteReference"/>
        </w:rPr>
        <w:footnoteRef/>
      </w:r>
      <w:r>
        <w:t xml:space="preserve"> </w:t>
      </w:r>
      <w:r w:rsidRPr="009407EE">
        <w:t xml:space="preserve">Alter HJ, Liang TJ. </w:t>
      </w:r>
      <w:r>
        <w:t xml:space="preserve">(2012) </w:t>
      </w:r>
      <w:r w:rsidRPr="009407EE">
        <w:t xml:space="preserve">Hepatitis C: the end of the beginning and possibly the beginning of the </w:t>
      </w:r>
      <w:r>
        <w:t xml:space="preserve">end. </w:t>
      </w:r>
      <w:proofErr w:type="gramStart"/>
      <w:r w:rsidRPr="00F859D9">
        <w:rPr>
          <w:i/>
        </w:rPr>
        <w:t xml:space="preserve">Ann Intern Med. </w:t>
      </w:r>
      <w:r>
        <w:t>156</w:t>
      </w:r>
      <w:r w:rsidRPr="009407EE">
        <w:t>:</w:t>
      </w:r>
      <w:r>
        <w:t xml:space="preserve"> 317-8; </w:t>
      </w:r>
      <w:r w:rsidRPr="005B477E">
        <w:t>Backus LI,</w:t>
      </w:r>
      <w:r>
        <w:t xml:space="preserve"> et al</w:t>
      </w:r>
      <w:r w:rsidRPr="005B477E">
        <w:t xml:space="preserve">. </w:t>
      </w:r>
      <w:r>
        <w:t xml:space="preserve">(2007) </w:t>
      </w:r>
      <w:r w:rsidRPr="005B477E">
        <w:t>Predictors of response of US veterans to treatment for the hepatitis C vir</w:t>
      </w:r>
      <w:r>
        <w:t>us.</w:t>
      </w:r>
      <w:proofErr w:type="gramEnd"/>
      <w:r>
        <w:t xml:space="preserve"> </w:t>
      </w:r>
      <w:proofErr w:type="spellStart"/>
      <w:r w:rsidRPr="008A5D1C">
        <w:rPr>
          <w:i/>
        </w:rPr>
        <w:t>Hepatology</w:t>
      </w:r>
      <w:proofErr w:type="spellEnd"/>
      <w:r w:rsidRPr="008A5D1C">
        <w:rPr>
          <w:i/>
        </w:rPr>
        <w:t xml:space="preserve"> </w:t>
      </w:r>
      <w:r>
        <w:t>46</w:t>
      </w:r>
      <w:r w:rsidRPr="005B477E">
        <w:t>:</w:t>
      </w:r>
      <w:r>
        <w:t xml:space="preserve"> 37-47; </w:t>
      </w:r>
      <w:r w:rsidRPr="008A5D1C">
        <w:t xml:space="preserve">Muir AJ, </w:t>
      </w:r>
      <w:proofErr w:type="spellStart"/>
      <w:r w:rsidRPr="008A5D1C">
        <w:t>Provenzale</w:t>
      </w:r>
      <w:proofErr w:type="spellEnd"/>
      <w:r w:rsidRPr="008A5D1C">
        <w:t xml:space="preserve"> D. </w:t>
      </w:r>
      <w:r>
        <w:t xml:space="preserve">(2002) </w:t>
      </w:r>
      <w:r w:rsidRPr="008A5D1C">
        <w:t xml:space="preserve">A descriptive evaluation of eligibility for therapy among veterans with chronic hepatitis C virus </w:t>
      </w:r>
      <w:r>
        <w:t xml:space="preserve">infection. </w:t>
      </w:r>
      <w:proofErr w:type="gramStart"/>
      <w:r w:rsidRPr="004E54FB">
        <w:rPr>
          <w:i/>
        </w:rPr>
        <w:t xml:space="preserve">J </w:t>
      </w:r>
      <w:proofErr w:type="spellStart"/>
      <w:r w:rsidRPr="004E54FB">
        <w:rPr>
          <w:i/>
        </w:rPr>
        <w:t>Clin</w:t>
      </w:r>
      <w:proofErr w:type="spellEnd"/>
      <w:r w:rsidRPr="004E54FB">
        <w:rPr>
          <w:i/>
        </w:rPr>
        <w:t xml:space="preserve"> </w:t>
      </w:r>
      <w:proofErr w:type="spellStart"/>
      <w:r w:rsidRPr="004E54FB">
        <w:rPr>
          <w:i/>
        </w:rPr>
        <w:t>Gastroenterol</w:t>
      </w:r>
      <w:proofErr w:type="spellEnd"/>
      <w:r w:rsidRPr="004E54FB">
        <w:rPr>
          <w:i/>
        </w:rPr>
        <w:t>.</w:t>
      </w:r>
      <w:proofErr w:type="gramEnd"/>
      <w:r>
        <w:t xml:space="preserve"> </w:t>
      </w:r>
      <w:r w:rsidRPr="008A5D1C">
        <w:t>34:</w:t>
      </w:r>
      <w:r>
        <w:t xml:space="preserve"> </w:t>
      </w:r>
      <w:r w:rsidRPr="008A5D1C">
        <w:t>268-71</w:t>
      </w:r>
      <w:r>
        <w:t>;</w:t>
      </w:r>
      <w:r w:rsidRPr="00B037D5">
        <w:t xml:space="preserve"> </w:t>
      </w:r>
      <w:proofErr w:type="spellStart"/>
      <w:r w:rsidRPr="00B037D5">
        <w:t>Falck-Ytter</w:t>
      </w:r>
      <w:proofErr w:type="spellEnd"/>
      <w:r w:rsidRPr="00B037D5">
        <w:t xml:space="preserve"> Y, </w:t>
      </w:r>
      <w:r>
        <w:t>et al</w:t>
      </w:r>
      <w:r w:rsidRPr="00B037D5">
        <w:t xml:space="preserve">. </w:t>
      </w:r>
      <w:r>
        <w:t xml:space="preserve">(2002) </w:t>
      </w:r>
      <w:r w:rsidRPr="00B037D5">
        <w:t xml:space="preserve">Surprisingly small effect of antiviral treatment in patients with hepatitis C. </w:t>
      </w:r>
      <w:r w:rsidRPr="005374C8">
        <w:rPr>
          <w:i/>
        </w:rPr>
        <w:t>Ann Intern Med.</w:t>
      </w:r>
      <w:r>
        <w:t xml:space="preserve"> 136: 288-92; </w:t>
      </w:r>
      <w:proofErr w:type="spellStart"/>
      <w:r>
        <w:t>Pegasys</w:t>
      </w:r>
      <w:proofErr w:type="spellEnd"/>
      <w:r w:rsidRPr="008B3935">
        <w:t xml:space="preserve"> (</w:t>
      </w:r>
      <w:proofErr w:type="spellStart"/>
      <w:r w:rsidRPr="008B3935">
        <w:t>peginterferon</w:t>
      </w:r>
      <w:proofErr w:type="spellEnd"/>
      <w:r w:rsidRPr="008B3935">
        <w:t xml:space="preserve"> alfa-2a) Injection for Subcutaneous Use. </w:t>
      </w:r>
      <w:proofErr w:type="gramStart"/>
      <w:r w:rsidRPr="008B3935">
        <w:t>U.S. Prescribing Information.</w:t>
      </w:r>
      <w:proofErr w:type="gramEnd"/>
      <w:r w:rsidRPr="008B3935">
        <w:t xml:space="preserve"> </w:t>
      </w:r>
      <w:proofErr w:type="gramStart"/>
      <w:r w:rsidRPr="008B3935">
        <w:t>Roche Pharmaceuticals.</w:t>
      </w:r>
      <w:proofErr w:type="gramEnd"/>
      <w:r w:rsidRPr="008B3935">
        <w:t xml:space="preserve"> Nutley, NJ. </w:t>
      </w:r>
      <w:proofErr w:type="gramStart"/>
      <w:r w:rsidRPr="008B3935">
        <w:t>Revised July 2013.</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2BC" w:rsidRDefault="000472BC"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2BC" w:rsidRDefault="000472BC">
    <w:pPr>
      <w:rPr>
        <w:noProof/>
        <w:lang w:eastAsia="en-AU"/>
      </w:rPr>
    </w:pPr>
    <w:r w:rsidRPr="00347824">
      <w:rPr>
        <w:noProof/>
        <w:lang w:eastAsia="en-AU"/>
      </w:rPr>
      <w:drawing>
        <wp:anchor distT="0" distB="0" distL="114300" distR="114300" simplePos="0" relativeHeight="251659264" behindDoc="1" locked="0" layoutInCell="1" allowOverlap="1" wp14:anchorId="6A990B85" wp14:editId="0C5BD911">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0472BC" w:rsidRDefault="000472BC" w:rsidP="00593AD1">
    <w:pPr>
      <w:pStyle w:val="HeaderNoLine"/>
    </w:pPr>
    <w:r>
      <w:rPr>
        <w:noProof/>
        <w:lang w:eastAsia="en-AU"/>
      </w:rPr>
      <w:drawing>
        <wp:inline distT="0" distB="0" distL="0" distR="0" wp14:anchorId="3AA31C4B" wp14:editId="1E814F27">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2BC" w:rsidRDefault="000472B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2BC" w:rsidRDefault="000472BC">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2BC" w:rsidRDefault="000472BC">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2BC" w:rsidRDefault="000472B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2BC" w:rsidRDefault="000472BC"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2BC" w:rsidRDefault="000472BC" w:rsidP="006E08B3">
    <w:r>
      <w:t>Therapeutic Goods Administration</w:t>
    </w:r>
  </w:p>
  <w:p w:rsidR="000472BC" w:rsidRDefault="000472BC"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91800"/>
    <w:multiLevelType w:val="hybridMultilevel"/>
    <w:tmpl w:val="F72299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FDE6E05"/>
    <w:multiLevelType w:val="hybridMultilevel"/>
    <w:tmpl w:val="2E4803BA"/>
    <w:lvl w:ilvl="0" w:tplc="A56A638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3F84DED"/>
    <w:multiLevelType w:val="hybridMultilevel"/>
    <w:tmpl w:val="8FEE1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6">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7">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4FF81731"/>
    <w:multiLevelType w:val="hybridMultilevel"/>
    <w:tmpl w:val="2A50C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E976660"/>
    <w:multiLevelType w:val="hybridMultilevel"/>
    <w:tmpl w:val="63180724"/>
    <w:lvl w:ilvl="0" w:tplc="A56A6382">
      <w:start w:val="1"/>
      <w:numFmt w:val="bullet"/>
      <w:lvlText w:val=""/>
      <w:lvlJc w:val="left"/>
      <w:pPr>
        <w:tabs>
          <w:tab w:val="num" w:pos="1350"/>
        </w:tabs>
        <w:ind w:left="1350" w:hanging="360"/>
      </w:pPr>
      <w:rPr>
        <w:rFonts w:ascii="Symbol" w:hAnsi="Symbol" w:hint="default"/>
        <w:sz w:val="24"/>
        <w:szCs w:val="24"/>
      </w:rPr>
    </w:lvl>
    <w:lvl w:ilvl="1" w:tplc="04090003" w:tentative="1">
      <w:start w:val="1"/>
      <w:numFmt w:val="bullet"/>
      <w:lvlText w:val="o"/>
      <w:lvlJc w:val="left"/>
      <w:pPr>
        <w:tabs>
          <w:tab w:val="num" w:pos="2430"/>
        </w:tabs>
        <w:ind w:left="2430" w:hanging="360"/>
      </w:pPr>
      <w:rPr>
        <w:rFonts w:ascii="Courier New" w:hAnsi="Courier New" w:cs="Courier New" w:hint="default"/>
      </w:rPr>
    </w:lvl>
    <w:lvl w:ilvl="2" w:tplc="04090005" w:tentative="1">
      <w:start w:val="1"/>
      <w:numFmt w:val="bullet"/>
      <w:lvlText w:val=""/>
      <w:lvlJc w:val="left"/>
      <w:pPr>
        <w:tabs>
          <w:tab w:val="num" w:pos="3150"/>
        </w:tabs>
        <w:ind w:left="3150" w:hanging="360"/>
      </w:pPr>
      <w:rPr>
        <w:rFonts w:ascii="Wingdings" w:hAnsi="Wingdings" w:hint="default"/>
      </w:rPr>
    </w:lvl>
    <w:lvl w:ilvl="3" w:tplc="04090001" w:tentative="1">
      <w:start w:val="1"/>
      <w:numFmt w:val="bullet"/>
      <w:lvlText w:val=""/>
      <w:lvlJc w:val="left"/>
      <w:pPr>
        <w:tabs>
          <w:tab w:val="num" w:pos="3870"/>
        </w:tabs>
        <w:ind w:left="3870" w:hanging="360"/>
      </w:pPr>
      <w:rPr>
        <w:rFonts w:ascii="Symbol" w:hAnsi="Symbol" w:hint="default"/>
      </w:rPr>
    </w:lvl>
    <w:lvl w:ilvl="4" w:tplc="04090003" w:tentative="1">
      <w:start w:val="1"/>
      <w:numFmt w:val="bullet"/>
      <w:lvlText w:val="o"/>
      <w:lvlJc w:val="left"/>
      <w:pPr>
        <w:tabs>
          <w:tab w:val="num" w:pos="4590"/>
        </w:tabs>
        <w:ind w:left="4590" w:hanging="360"/>
      </w:pPr>
      <w:rPr>
        <w:rFonts w:ascii="Courier New" w:hAnsi="Courier New" w:cs="Courier New" w:hint="default"/>
      </w:rPr>
    </w:lvl>
    <w:lvl w:ilvl="5" w:tplc="04090005" w:tentative="1">
      <w:start w:val="1"/>
      <w:numFmt w:val="bullet"/>
      <w:lvlText w:val=""/>
      <w:lvlJc w:val="left"/>
      <w:pPr>
        <w:tabs>
          <w:tab w:val="num" w:pos="5310"/>
        </w:tabs>
        <w:ind w:left="5310" w:hanging="360"/>
      </w:pPr>
      <w:rPr>
        <w:rFonts w:ascii="Wingdings" w:hAnsi="Wingdings" w:hint="default"/>
      </w:rPr>
    </w:lvl>
    <w:lvl w:ilvl="6" w:tplc="04090001" w:tentative="1">
      <w:start w:val="1"/>
      <w:numFmt w:val="bullet"/>
      <w:lvlText w:val=""/>
      <w:lvlJc w:val="left"/>
      <w:pPr>
        <w:tabs>
          <w:tab w:val="num" w:pos="6030"/>
        </w:tabs>
        <w:ind w:left="6030" w:hanging="360"/>
      </w:pPr>
      <w:rPr>
        <w:rFonts w:ascii="Symbol" w:hAnsi="Symbol" w:hint="default"/>
      </w:rPr>
    </w:lvl>
    <w:lvl w:ilvl="7" w:tplc="04090003" w:tentative="1">
      <w:start w:val="1"/>
      <w:numFmt w:val="bullet"/>
      <w:lvlText w:val="o"/>
      <w:lvlJc w:val="left"/>
      <w:pPr>
        <w:tabs>
          <w:tab w:val="num" w:pos="6750"/>
        </w:tabs>
        <w:ind w:left="6750" w:hanging="360"/>
      </w:pPr>
      <w:rPr>
        <w:rFonts w:ascii="Courier New" w:hAnsi="Courier New" w:cs="Courier New" w:hint="default"/>
      </w:rPr>
    </w:lvl>
    <w:lvl w:ilvl="8" w:tplc="04090005" w:tentative="1">
      <w:start w:val="1"/>
      <w:numFmt w:val="bullet"/>
      <w:lvlText w:val=""/>
      <w:lvlJc w:val="left"/>
      <w:pPr>
        <w:tabs>
          <w:tab w:val="num" w:pos="7470"/>
        </w:tabs>
        <w:ind w:left="7470" w:hanging="360"/>
      </w:pPr>
      <w:rPr>
        <w:rFonts w:ascii="Wingdings" w:hAnsi="Wingdings" w:hint="default"/>
      </w:rPr>
    </w:lvl>
  </w:abstractNum>
  <w:num w:numId="1">
    <w:abstractNumId w:val="4"/>
  </w:num>
  <w:num w:numId="2">
    <w:abstractNumId w:val="2"/>
  </w:num>
  <w:num w:numId="3">
    <w:abstractNumId w:val="4"/>
  </w:num>
  <w:num w:numId="4">
    <w:abstractNumId w:val="2"/>
  </w:num>
  <w:num w:numId="5">
    <w:abstractNumId w:val="7"/>
  </w:num>
  <w:num w:numId="6">
    <w:abstractNumId w:val="5"/>
  </w:num>
  <w:num w:numId="7">
    <w:abstractNumId w:val="6"/>
  </w:num>
  <w:num w:numId="8">
    <w:abstractNumId w:val="8"/>
  </w:num>
  <w:num w:numId="9">
    <w:abstractNumId w:val="9"/>
  </w:num>
  <w:num w:numId="10">
    <w:abstractNumId w:val="0"/>
  </w:num>
  <w:num w:numId="11">
    <w:abstractNumId w:val="3"/>
  </w:num>
  <w:num w:numId="12">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D89"/>
    <w:rsid w:val="00001F3F"/>
    <w:rsid w:val="00002031"/>
    <w:rsid w:val="00002BDE"/>
    <w:rsid w:val="0000392A"/>
    <w:rsid w:val="00004734"/>
    <w:rsid w:val="00006B22"/>
    <w:rsid w:val="0001276A"/>
    <w:rsid w:val="000146C5"/>
    <w:rsid w:val="00015F24"/>
    <w:rsid w:val="00020A8B"/>
    <w:rsid w:val="00022827"/>
    <w:rsid w:val="000231E4"/>
    <w:rsid w:val="000246AE"/>
    <w:rsid w:val="00025855"/>
    <w:rsid w:val="00025C67"/>
    <w:rsid w:val="000272B2"/>
    <w:rsid w:val="00040C43"/>
    <w:rsid w:val="00042093"/>
    <w:rsid w:val="00044772"/>
    <w:rsid w:val="00047211"/>
    <w:rsid w:val="000472BC"/>
    <w:rsid w:val="00050CC9"/>
    <w:rsid w:val="00052DCC"/>
    <w:rsid w:val="0005559E"/>
    <w:rsid w:val="000604D6"/>
    <w:rsid w:val="000606EA"/>
    <w:rsid w:val="00062DF8"/>
    <w:rsid w:val="0006380F"/>
    <w:rsid w:val="00064D25"/>
    <w:rsid w:val="0007156B"/>
    <w:rsid w:val="00073260"/>
    <w:rsid w:val="000734D8"/>
    <w:rsid w:val="00073BEE"/>
    <w:rsid w:val="00075919"/>
    <w:rsid w:val="00076A86"/>
    <w:rsid w:val="0007771D"/>
    <w:rsid w:val="00077775"/>
    <w:rsid w:val="0008084E"/>
    <w:rsid w:val="00084458"/>
    <w:rsid w:val="00085917"/>
    <w:rsid w:val="00085E91"/>
    <w:rsid w:val="00090471"/>
    <w:rsid w:val="00090533"/>
    <w:rsid w:val="00096AA7"/>
    <w:rsid w:val="000973D1"/>
    <w:rsid w:val="000A238D"/>
    <w:rsid w:val="000A3AED"/>
    <w:rsid w:val="000A430D"/>
    <w:rsid w:val="000B03C5"/>
    <w:rsid w:val="000B1646"/>
    <w:rsid w:val="000B3532"/>
    <w:rsid w:val="000B3A75"/>
    <w:rsid w:val="000B3BC5"/>
    <w:rsid w:val="000B5937"/>
    <w:rsid w:val="000B7AD2"/>
    <w:rsid w:val="000C00C2"/>
    <w:rsid w:val="000C0909"/>
    <w:rsid w:val="000C2FB3"/>
    <w:rsid w:val="000C3D6A"/>
    <w:rsid w:val="000C637D"/>
    <w:rsid w:val="000C690F"/>
    <w:rsid w:val="000C73CB"/>
    <w:rsid w:val="000D1295"/>
    <w:rsid w:val="000D391B"/>
    <w:rsid w:val="000D39E8"/>
    <w:rsid w:val="000D3D6D"/>
    <w:rsid w:val="000D4373"/>
    <w:rsid w:val="000D43AB"/>
    <w:rsid w:val="000D4FC7"/>
    <w:rsid w:val="000D5A02"/>
    <w:rsid w:val="000D7117"/>
    <w:rsid w:val="000E11DA"/>
    <w:rsid w:val="000E33B5"/>
    <w:rsid w:val="000E6196"/>
    <w:rsid w:val="000F3737"/>
    <w:rsid w:val="000F37B2"/>
    <w:rsid w:val="000F4869"/>
    <w:rsid w:val="000F5B42"/>
    <w:rsid w:val="000F6E6F"/>
    <w:rsid w:val="001003ED"/>
    <w:rsid w:val="0010601F"/>
    <w:rsid w:val="0010788A"/>
    <w:rsid w:val="00107A31"/>
    <w:rsid w:val="00110EA5"/>
    <w:rsid w:val="0011266C"/>
    <w:rsid w:val="00112F56"/>
    <w:rsid w:val="00116C98"/>
    <w:rsid w:val="00117D78"/>
    <w:rsid w:val="001207CB"/>
    <w:rsid w:val="00125318"/>
    <w:rsid w:val="001265C1"/>
    <w:rsid w:val="001305A2"/>
    <w:rsid w:val="001313AC"/>
    <w:rsid w:val="00131838"/>
    <w:rsid w:val="001318CD"/>
    <w:rsid w:val="001319B0"/>
    <w:rsid w:val="00133238"/>
    <w:rsid w:val="0013713F"/>
    <w:rsid w:val="0014197B"/>
    <w:rsid w:val="001447CD"/>
    <w:rsid w:val="0015088D"/>
    <w:rsid w:val="001516B1"/>
    <w:rsid w:val="00153563"/>
    <w:rsid w:val="00154EBB"/>
    <w:rsid w:val="00156316"/>
    <w:rsid w:val="001569C3"/>
    <w:rsid w:val="0016088A"/>
    <w:rsid w:val="00162D14"/>
    <w:rsid w:val="00165389"/>
    <w:rsid w:val="001674A8"/>
    <w:rsid w:val="001701E1"/>
    <w:rsid w:val="00172214"/>
    <w:rsid w:val="001743FC"/>
    <w:rsid w:val="00176386"/>
    <w:rsid w:val="0017693F"/>
    <w:rsid w:val="0017719D"/>
    <w:rsid w:val="0018110E"/>
    <w:rsid w:val="00181684"/>
    <w:rsid w:val="0018349A"/>
    <w:rsid w:val="001843C6"/>
    <w:rsid w:val="0018447B"/>
    <w:rsid w:val="0018475F"/>
    <w:rsid w:val="001850E0"/>
    <w:rsid w:val="001853CD"/>
    <w:rsid w:val="0019276A"/>
    <w:rsid w:val="00197746"/>
    <w:rsid w:val="001A15CC"/>
    <w:rsid w:val="001A19DB"/>
    <w:rsid w:val="001A214E"/>
    <w:rsid w:val="001A2158"/>
    <w:rsid w:val="001A525F"/>
    <w:rsid w:val="001B09F9"/>
    <w:rsid w:val="001B0C0D"/>
    <w:rsid w:val="001B2CD0"/>
    <w:rsid w:val="001B5C90"/>
    <w:rsid w:val="001B6448"/>
    <w:rsid w:val="001B74D0"/>
    <w:rsid w:val="001C32CD"/>
    <w:rsid w:val="001D2984"/>
    <w:rsid w:val="001D410A"/>
    <w:rsid w:val="001D5666"/>
    <w:rsid w:val="001D70FB"/>
    <w:rsid w:val="001E07CF"/>
    <w:rsid w:val="001E59F1"/>
    <w:rsid w:val="001E5F93"/>
    <w:rsid w:val="001F2804"/>
    <w:rsid w:val="001F2D9D"/>
    <w:rsid w:val="001F37EA"/>
    <w:rsid w:val="001F3C32"/>
    <w:rsid w:val="001F49EB"/>
    <w:rsid w:val="001F6CBA"/>
    <w:rsid w:val="00201D4E"/>
    <w:rsid w:val="002043FE"/>
    <w:rsid w:val="00206249"/>
    <w:rsid w:val="002076C9"/>
    <w:rsid w:val="00214B5F"/>
    <w:rsid w:val="00214FB5"/>
    <w:rsid w:val="002202C8"/>
    <w:rsid w:val="0022071F"/>
    <w:rsid w:val="00220B8A"/>
    <w:rsid w:val="002257F3"/>
    <w:rsid w:val="002261A1"/>
    <w:rsid w:val="00231285"/>
    <w:rsid w:val="00233456"/>
    <w:rsid w:val="002339A5"/>
    <w:rsid w:val="00235E6C"/>
    <w:rsid w:val="00241AFE"/>
    <w:rsid w:val="00241D30"/>
    <w:rsid w:val="0024328A"/>
    <w:rsid w:val="00244451"/>
    <w:rsid w:val="00244E26"/>
    <w:rsid w:val="0025160A"/>
    <w:rsid w:val="00253A87"/>
    <w:rsid w:val="00257848"/>
    <w:rsid w:val="00262C7F"/>
    <w:rsid w:val="00263954"/>
    <w:rsid w:val="00264D8C"/>
    <w:rsid w:val="0027084A"/>
    <w:rsid w:val="00270A1D"/>
    <w:rsid w:val="0027374A"/>
    <w:rsid w:val="002753D8"/>
    <w:rsid w:val="0027734F"/>
    <w:rsid w:val="00280FDC"/>
    <w:rsid w:val="00286434"/>
    <w:rsid w:val="00286C59"/>
    <w:rsid w:val="00286D46"/>
    <w:rsid w:val="00290AAF"/>
    <w:rsid w:val="00290F11"/>
    <w:rsid w:val="00290F71"/>
    <w:rsid w:val="00291957"/>
    <w:rsid w:val="002942D1"/>
    <w:rsid w:val="00294CBE"/>
    <w:rsid w:val="0029501A"/>
    <w:rsid w:val="002966B4"/>
    <w:rsid w:val="002A00F8"/>
    <w:rsid w:val="002A3721"/>
    <w:rsid w:val="002A53B8"/>
    <w:rsid w:val="002A7091"/>
    <w:rsid w:val="002B1638"/>
    <w:rsid w:val="002B3624"/>
    <w:rsid w:val="002C5B3E"/>
    <w:rsid w:val="002C5D35"/>
    <w:rsid w:val="002C6320"/>
    <w:rsid w:val="002C71AD"/>
    <w:rsid w:val="002C7282"/>
    <w:rsid w:val="002D0558"/>
    <w:rsid w:val="002D4BBB"/>
    <w:rsid w:val="002E40B3"/>
    <w:rsid w:val="002E4C9A"/>
    <w:rsid w:val="002E66D6"/>
    <w:rsid w:val="002E6954"/>
    <w:rsid w:val="002F11F8"/>
    <w:rsid w:val="002F1F82"/>
    <w:rsid w:val="002F3F56"/>
    <w:rsid w:val="002F44B5"/>
    <w:rsid w:val="003000A0"/>
    <w:rsid w:val="003002BA"/>
    <w:rsid w:val="0030047E"/>
    <w:rsid w:val="003016A5"/>
    <w:rsid w:val="003055B1"/>
    <w:rsid w:val="00305C95"/>
    <w:rsid w:val="003105C1"/>
    <w:rsid w:val="003108EB"/>
    <w:rsid w:val="00311AC0"/>
    <w:rsid w:val="00314167"/>
    <w:rsid w:val="00322D51"/>
    <w:rsid w:val="00323313"/>
    <w:rsid w:val="0032583B"/>
    <w:rsid w:val="00327883"/>
    <w:rsid w:val="00335504"/>
    <w:rsid w:val="00346CAE"/>
    <w:rsid w:val="00347824"/>
    <w:rsid w:val="00350567"/>
    <w:rsid w:val="00351148"/>
    <w:rsid w:val="00351AF1"/>
    <w:rsid w:val="003521E8"/>
    <w:rsid w:val="0035464A"/>
    <w:rsid w:val="00366D24"/>
    <w:rsid w:val="003728F3"/>
    <w:rsid w:val="00373BC8"/>
    <w:rsid w:val="0037496E"/>
    <w:rsid w:val="00375118"/>
    <w:rsid w:val="00383221"/>
    <w:rsid w:val="00384502"/>
    <w:rsid w:val="00385C0B"/>
    <w:rsid w:val="00386062"/>
    <w:rsid w:val="00386150"/>
    <w:rsid w:val="003874CE"/>
    <w:rsid w:val="00390900"/>
    <w:rsid w:val="0039213C"/>
    <w:rsid w:val="003A0C26"/>
    <w:rsid w:val="003A1024"/>
    <w:rsid w:val="003A5843"/>
    <w:rsid w:val="003A7F6C"/>
    <w:rsid w:val="003B14F1"/>
    <w:rsid w:val="003B4D60"/>
    <w:rsid w:val="003B5709"/>
    <w:rsid w:val="003B6DDC"/>
    <w:rsid w:val="003B7641"/>
    <w:rsid w:val="003B7E39"/>
    <w:rsid w:val="003C4DDC"/>
    <w:rsid w:val="003C58DC"/>
    <w:rsid w:val="003C6B54"/>
    <w:rsid w:val="003C7609"/>
    <w:rsid w:val="003D13F1"/>
    <w:rsid w:val="003D1716"/>
    <w:rsid w:val="003D1E62"/>
    <w:rsid w:val="003D28CD"/>
    <w:rsid w:val="003D3BD0"/>
    <w:rsid w:val="003D58D0"/>
    <w:rsid w:val="003D5F5B"/>
    <w:rsid w:val="003D6306"/>
    <w:rsid w:val="003D6C3F"/>
    <w:rsid w:val="003D707A"/>
    <w:rsid w:val="003E0B99"/>
    <w:rsid w:val="003E0E10"/>
    <w:rsid w:val="003E2486"/>
    <w:rsid w:val="003E288D"/>
    <w:rsid w:val="003E2C44"/>
    <w:rsid w:val="003E3208"/>
    <w:rsid w:val="003F000C"/>
    <w:rsid w:val="003F0B04"/>
    <w:rsid w:val="003F10FC"/>
    <w:rsid w:val="003F419F"/>
    <w:rsid w:val="003F5519"/>
    <w:rsid w:val="003F5A92"/>
    <w:rsid w:val="0040134E"/>
    <w:rsid w:val="004023E1"/>
    <w:rsid w:val="0040587F"/>
    <w:rsid w:val="0040608D"/>
    <w:rsid w:val="00406C02"/>
    <w:rsid w:val="00411A89"/>
    <w:rsid w:val="004164E8"/>
    <w:rsid w:val="00417727"/>
    <w:rsid w:val="004334C7"/>
    <w:rsid w:val="00435A58"/>
    <w:rsid w:val="00440A2D"/>
    <w:rsid w:val="004457EE"/>
    <w:rsid w:val="00451699"/>
    <w:rsid w:val="00452B2C"/>
    <w:rsid w:val="00452DFD"/>
    <w:rsid w:val="00452EFF"/>
    <w:rsid w:val="00453309"/>
    <w:rsid w:val="00455B46"/>
    <w:rsid w:val="004564A7"/>
    <w:rsid w:val="004617BF"/>
    <w:rsid w:val="00463658"/>
    <w:rsid w:val="004637A0"/>
    <w:rsid w:val="00463EA7"/>
    <w:rsid w:val="00466B86"/>
    <w:rsid w:val="0046749A"/>
    <w:rsid w:val="004710DF"/>
    <w:rsid w:val="004722CC"/>
    <w:rsid w:val="00474281"/>
    <w:rsid w:val="0047430C"/>
    <w:rsid w:val="0047433B"/>
    <w:rsid w:val="00483BCA"/>
    <w:rsid w:val="00483D40"/>
    <w:rsid w:val="004875D8"/>
    <w:rsid w:val="00491823"/>
    <w:rsid w:val="00491921"/>
    <w:rsid w:val="0049226A"/>
    <w:rsid w:val="004936E4"/>
    <w:rsid w:val="00494E60"/>
    <w:rsid w:val="00497487"/>
    <w:rsid w:val="00497BE4"/>
    <w:rsid w:val="004A44F8"/>
    <w:rsid w:val="004A4541"/>
    <w:rsid w:val="004A58A6"/>
    <w:rsid w:val="004A58DC"/>
    <w:rsid w:val="004A5944"/>
    <w:rsid w:val="004A65AE"/>
    <w:rsid w:val="004A7390"/>
    <w:rsid w:val="004B0430"/>
    <w:rsid w:val="004B2ADD"/>
    <w:rsid w:val="004B6E06"/>
    <w:rsid w:val="004B7B76"/>
    <w:rsid w:val="004C239D"/>
    <w:rsid w:val="004C2DCA"/>
    <w:rsid w:val="004C545A"/>
    <w:rsid w:val="004C61D2"/>
    <w:rsid w:val="004C6F79"/>
    <w:rsid w:val="004D34BD"/>
    <w:rsid w:val="004D35CA"/>
    <w:rsid w:val="004E3A02"/>
    <w:rsid w:val="004E414A"/>
    <w:rsid w:val="004E54FB"/>
    <w:rsid w:val="004E56E3"/>
    <w:rsid w:val="004F0C4A"/>
    <w:rsid w:val="004F0F38"/>
    <w:rsid w:val="004F1587"/>
    <w:rsid w:val="004F16E7"/>
    <w:rsid w:val="004F3F0F"/>
    <w:rsid w:val="004F47D6"/>
    <w:rsid w:val="004F5130"/>
    <w:rsid w:val="004F68C7"/>
    <w:rsid w:val="00501921"/>
    <w:rsid w:val="005030AA"/>
    <w:rsid w:val="00507A7A"/>
    <w:rsid w:val="0051007B"/>
    <w:rsid w:val="00521064"/>
    <w:rsid w:val="00524A0D"/>
    <w:rsid w:val="00530354"/>
    <w:rsid w:val="0053287E"/>
    <w:rsid w:val="00534C71"/>
    <w:rsid w:val="0053613C"/>
    <w:rsid w:val="0053625B"/>
    <w:rsid w:val="005374C8"/>
    <w:rsid w:val="005402AA"/>
    <w:rsid w:val="0054201D"/>
    <w:rsid w:val="00542F7F"/>
    <w:rsid w:val="005434C6"/>
    <w:rsid w:val="00543B39"/>
    <w:rsid w:val="00546154"/>
    <w:rsid w:val="0054738F"/>
    <w:rsid w:val="00550096"/>
    <w:rsid w:val="00553FED"/>
    <w:rsid w:val="005549F2"/>
    <w:rsid w:val="00555280"/>
    <w:rsid w:val="00555F0C"/>
    <w:rsid w:val="00557891"/>
    <w:rsid w:val="00557FF9"/>
    <w:rsid w:val="00563FB0"/>
    <w:rsid w:val="00564570"/>
    <w:rsid w:val="0056580A"/>
    <w:rsid w:val="005667B7"/>
    <w:rsid w:val="00566FE9"/>
    <w:rsid w:val="005711D5"/>
    <w:rsid w:val="00572607"/>
    <w:rsid w:val="00576378"/>
    <w:rsid w:val="00576C5C"/>
    <w:rsid w:val="00577130"/>
    <w:rsid w:val="00577945"/>
    <w:rsid w:val="00577E38"/>
    <w:rsid w:val="00581AFB"/>
    <w:rsid w:val="00585322"/>
    <w:rsid w:val="005857C6"/>
    <w:rsid w:val="00587807"/>
    <w:rsid w:val="00592F6E"/>
    <w:rsid w:val="005938AD"/>
    <w:rsid w:val="00593AD1"/>
    <w:rsid w:val="00593C70"/>
    <w:rsid w:val="005A51EF"/>
    <w:rsid w:val="005A68B6"/>
    <w:rsid w:val="005A6CF1"/>
    <w:rsid w:val="005A73F6"/>
    <w:rsid w:val="005B40FB"/>
    <w:rsid w:val="005B44BD"/>
    <w:rsid w:val="005B44C8"/>
    <w:rsid w:val="005B477E"/>
    <w:rsid w:val="005C097C"/>
    <w:rsid w:val="005C53B1"/>
    <w:rsid w:val="005C5570"/>
    <w:rsid w:val="005C6892"/>
    <w:rsid w:val="005C79A4"/>
    <w:rsid w:val="005D3424"/>
    <w:rsid w:val="005D3ABD"/>
    <w:rsid w:val="005D5442"/>
    <w:rsid w:val="005E1C92"/>
    <w:rsid w:val="005E4A8B"/>
    <w:rsid w:val="005E77EE"/>
    <w:rsid w:val="005F2A8C"/>
    <w:rsid w:val="005F3969"/>
    <w:rsid w:val="005F5C46"/>
    <w:rsid w:val="006003F3"/>
    <w:rsid w:val="00603F32"/>
    <w:rsid w:val="00605AD4"/>
    <w:rsid w:val="00606563"/>
    <w:rsid w:val="00606ED0"/>
    <w:rsid w:val="00611C8C"/>
    <w:rsid w:val="00612A98"/>
    <w:rsid w:val="00614BB8"/>
    <w:rsid w:val="006165A6"/>
    <w:rsid w:val="00616936"/>
    <w:rsid w:val="006178BB"/>
    <w:rsid w:val="00617C4F"/>
    <w:rsid w:val="00620CED"/>
    <w:rsid w:val="00624028"/>
    <w:rsid w:val="0062560C"/>
    <w:rsid w:val="00625A6E"/>
    <w:rsid w:val="006262BD"/>
    <w:rsid w:val="00630ACF"/>
    <w:rsid w:val="0063148B"/>
    <w:rsid w:val="00632398"/>
    <w:rsid w:val="00634497"/>
    <w:rsid w:val="0063513E"/>
    <w:rsid w:val="00640FC3"/>
    <w:rsid w:val="00642020"/>
    <w:rsid w:val="0064304D"/>
    <w:rsid w:val="0065020F"/>
    <w:rsid w:val="0065337B"/>
    <w:rsid w:val="0065419D"/>
    <w:rsid w:val="00654651"/>
    <w:rsid w:val="00657638"/>
    <w:rsid w:val="006604D8"/>
    <w:rsid w:val="00664A5B"/>
    <w:rsid w:val="00667318"/>
    <w:rsid w:val="0066735C"/>
    <w:rsid w:val="006763D2"/>
    <w:rsid w:val="00680C08"/>
    <w:rsid w:val="00681550"/>
    <w:rsid w:val="006829C8"/>
    <w:rsid w:val="006862EF"/>
    <w:rsid w:val="00692965"/>
    <w:rsid w:val="006931B1"/>
    <w:rsid w:val="00697641"/>
    <w:rsid w:val="006A15C0"/>
    <w:rsid w:val="006A1F98"/>
    <w:rsid w:val="006A29BE"/>
    <w:rsid w:val="006A5ED5"/>
    <w:rsid w:val="006B034F"/>
    <w:rsid w:val="006B7BE8"/>
    <w:rsid w:val="006C1336"/>
    <w:rsid w:val="006C1A9B"/>
    <w:rsid w:val="006C3E2A"/>
    <w:rsid w:val="006C642F"/>
    <w:rsid w:val="006D03E5"/>
    <w:rsid w:val="006D2EF7"/>
    <w:rsid w:val="006D497E"/>
    <w:rsid w:val="006D5D3E"/>
    <w:rsid w:val="006E0611"/>
    <w:rsid w:val="006E08B3"/>
    <w:rsid w:val="006E6F15"/>
    <w:rsid w:val="006F17AC"/>
    <w:rsid w:val="006F25B8"/>
    <w:rsid w:val="006F572E"/>
    <w:rsid w:val="006F6B6A"/>
    <w:rsid w:val="007017B9"/>
    <w:rsid w:val="007046D6"/>
    <w:rsid w:val="0070554F"/>
    <w:rsid w:val="00705DB0"/>
    <w:rsid w:val="00707315"/>
    <w:rsid w:val="00713F25"/>
    <w:rsid w:val="007141A0"/>
    <w:rsid w:val="007153EE"/>
    <w:rsid w:val="00722B57"/>
    <w:rsid w:val="00723262"/>
    <w:rsid w:val="0072723A"/>
    <w:rsid w:val="00730F8A"/>
    <w:rsid w:val="00735A8C"/>
    <w:rsid w:val="00741470"/>
    <w:rsid w:val="0074253D"/>
    <w:rsid w:val="0074429B"/>
    <w:rsid w:val="0074456A"/>
    <w:rsid w:val="00750161"/>
    <w:rsid w:val="00753968"/>
    <w:rsid w:val="00755AB1"/>
    <w:rsid w:val="00756B60"/>
    <w:rsid w:val="007615BC"/>
    <w:rsid w:val="007620EC"/>
    <w:rsid w:val="00762F05"/>
    <w:rsid w:val="007652FF"/>
    <w:rsid w:val="00770EF1"/>
    <w:rsid w:val="00771598"/>
    <w:rsid w:val="0077265B"/>
    <w:rsid w:val="00773EF7"/>
    <w:rsid w:val="00774E1D"/>
    <w:rsid w:val="007765D8"/>
    <w:rsid w:val="0077675A"/>
    <w:rsid w:val="00780355"/>
    <w:rsid w:val="00781718"/>
    <w:rsid w:val="007819FD"/>
    <w:rsid w:val="007845AA"/>
    <w:rsid w:val="00785721"/>
    <w:rsid w:val="00793990"/>
    <w:rsid w:val="00793A59"/>
    <w:rsid w:val="007A3CB3"/>
    <w:rsid w:val="007A56D8"/>
    <w:rsid w:val="007A58EE"/>
    <w:rsid w:val="007A669E"/>
    <w:rsid w:val="007B247D"/>
    <w:rsid w:val="007B3AED"/>
    <w:rsid w:val="007B44D2"/>
    <w:rsid w:val="007B6132"/>
    <w:rsid w:val="007B6E9F"/>
    <w:rsid w:val="007C1216"/>
    <w:rsid w:val="007C1AF7"/>
    <w:rsid w:val="007C3B2C"/>
    <w:rsid w:val="007D2C73"/>
    <w:rsid w:val="007D2E97"/>
    <w:rsid w:val="007D413C"/>
    <w:rsid w:val="007D422C"/>
    <w:rsid w:val="007D5295"/>
    <w:rsid w:val="007E543F"/>
    <w:rsid w:val="007F2FE1"/>
    <w:rsid w:val="007F449C"/>
    <w:rsid w:val="007F7419"/>
    <w:rsid w:val="00805618"/>
    <w:rsid w:val="00805D27"/>
    <w:rsid w:val="00805EAD"/>
    <w:rsid w:val="00807F37"/>
    <w:rsid w:val="00814599"/>
    <w:rsid w:val="008148EC"/>
    <w:rsid w:val="00817667"/>
    <w:rsid w:val="00821776"/>
    <w:rsid w:val="008220B9"/>
    <w:rsid w:val="0082481D"/>
    <w:rsid w:val="0082794E"/>
    <w:rsid w:val="008321F5"/>
    <w:rsid w:val="00832369"/>
    <w:rsid w:val="008330BF"/>
    <w:rsid w:val="0083393D"/>
    <w:rsid w:val="00834660"/>
    <w:rsid w:val="00834D28"/>
    <w:rsid w:val="008366BB"/>
    <w:rsid w:val="00836BC2"/>
    <w:rsid w:val="008419F2"/>
    <w:rsid w:val="00844625"/>
    <w:rsid w:val="0084730F"/>
    <w:rsid w:val="0085156D"/>
    <w:rsid w:val="0085641B"/>
    <w:rsid w:val="00857136"/>
    <w:rsid w:val="008611BC"/>
    <w:rsid w:val="00863C8E"/>
    <w:rsid w:val="00865900"/>
    <w:rsid w:val="00866026"/>
    <w:rsid w:val="0086609C"/>
    <w:rsid w:val="00866E9F"/>
    <w:rsid w:val="0087498F"/>
    <w:rsid w:val="008758B2"/>
    <w:rsid w:val="00882CEB"/>
    <w:rsid w:val="00885B11"/>
    <w:rsid w:val="008866AF"/>
    <w:rsid w:val="00886ACD"/>
    <w:rsid w:val="00886D15"/>
    <w:rsid w:val="00887DD8"/>
    <w:rsid w:val="00891BA9"/>
    <w:rsid w:val="00893EA8"/>
    <w:rsid w:val="00895788"/>
    <w:rsid w:val="00896018"/>
    <w:rsid w:val="008960DD"/>
    <w:rsid w:val="0089635C"/>
    <w:rsid w:val="008978DB"/>
    <w:rsid w:val="008A0E5E"/>
    <w:rsid w:val="008A1010"/>
    <w:rsid w:val="008A1649"/>
    <w:rsid w:val="008A21C1"/>
    <w:rsid w:val="008A2B9D"/>
    <w:rsid w:val="008A3D9F"/>
    <w:rsid w:val="008A5D1C"/>
    <w:rsid w:val="008A5E0B"/>
    <w:rsid w:val="008A6D59"/>
    <w:rsid w:val="008B3935"/>
    <w:rsid w:val="008B4B03"/>
    <w:rsid w:val="008B596F"/>
    <w:rsid w:val="008B7E99"/>
    <w:rsid w:val="008C159F"/>
    <w:rsid w:val="008C1623"/>
    <w:rsid w:val="008C1850"/>
    <w:rsid w:val="008C4C3E"/>
    <w:rsid w:val="008C51A9"/>
    <w:rsid w:val="008D1190"/>
    <w:rsid w:val="008D1DB3"/>
    <w:rsid w:val="008D46E6"/>
    <w:rsid w:val="008D4D89"/>
    <w:rsid w:val="008E3477"/>
    <w:rsid w:val="008E4E0E"/>
    <w:rsid w:val="008E51ED"/>
    <w:rsid w:val="008E7846"/>
    <w:rsid w:val="008F02E5"/>
    <w:rsid w:val="008F1CCC"/>
    <w:rsid w:val="008F2967"/>
    <w:rsid w:val="008F6943"/>
    <w:rsid w:val="008F7EE6"/>
    <w:rsid w:val="009015C0"/>
    <w:rsid w:val="00901660"/>
    <w:rsid w:val="00901B8A"/>
    <w:rsid w:val="00902A21"/>
    <w:rsid w:val="009120A5"/>
    <w:rsid w:val="00914CBF"/>
    <w:rsid w:val="00915295"/>
    <w:rsid w:val="009152F6"/>
    <w:rsid w:val="00920330"/>
    <w:rsid w:val="009203E1"/>
    <w:rsid w:val="009219D7"/>
    <w:rsid w:val="00922D53"/>
    <w:rsid w:val="00923B70"/>
    <w:rsid w:val="00923D00"/>
    <w:rsid w:val="00924482"/>
    <w:rsid w:val="00924DD2"/>
    <w:rsid w:val="00927017"/>
    <w:rsid w:val="00927926"/>
    <w:rsid w:val="00930237"/>
    <w:rsid w:val="009331EB"/>
    <w:rsid w:val="00933C78"/>
    <w:rsid w:val="009356B3"/>
    <w:rsid w:val="00936C29"/>
    <w:rsid w:val="009407EE"/>
    <w:rsid w:val="00940A89"/>
    <w:rsid w:val="00941DB5"/>
    <w:rsid w:val="00941E7D"/>
    <w:rsid w:val="00942087"/>
    <w:rsid w:val="00946704"/>
    <w:rsid w:val="00946EA5"/>
    <w:rsid w:val="0095771E"/>
    <w:rsid w:val="00957BF6"/>
    <w:rsid w:val="00963C08"/>
    <w:rsid w:val="009676B0"/>
    <w:rsid w:val="00971A8B"/>
    <w:rsid w:val="00980012"/>
    <w:rsid w:val="00980B75"/>
    <w:rsid w:val="00981D2B"/>
    <w:rsid w:val="0098585A"/>
    <w:rsid w:val="0099361E"/>
    <w:rsid w:val="009952F4"/>
    <w:rsid w:val="0099636F"/>
    <w:rsid w:val="009A4CED"/>
    <w:rsid w:val="009A690D"/>
    <w:rsid w:val="009A7C85"/>
    <w:rsid w:val="009B1D12"/>
    <w:rsid w:val="009B416B"/>
    <w:rsid w:val="009B78FD"/>
    <w:rsid w:val="009B7A5F"/>
    <w:rsid w:val="009C2D7B"/>
    <w:rsid w:val="009C4BD5"/>
    <w:rsid w:val="009C595B"/>
    <w:rsid w:val="009D18D1"/>
    <w:rsid w:val="009D2977"/>
    <w:rsid w:val="009D46BE"/>
    <w:rsid w:val="009D5B1E"/>
    <w:rsid w:val="009D6144"/>
    <w:rsid w:val="009D7B77"/>
    <w:rsid w:val="009E0BB0"/>
    <w:rsid w:val="009E1597"/>
    <w:rsid w:val="009E35BD"/>
    <w:rsid w:val="009E3FBB"/>
    <w:rsid w:val="009E42BE"/>
    <w:rsid w:val="009E6A21"/>
    <w:rsid w:val="009F01FB"/>
    <w:rsid w:val="009F09F9"/>
    <w:rsid w:val="009F4433"/>
    <w:rsid w:val="009F59B9"/>
    <w:rsid w:val="009F600A"/>
    <w:rsid w:val="009F7300"/>
    <w:rsid w:val="009F736F"/>
    <w:rsid w:val="00A03126"/>
    <w:rsid w:val="00A043AE"/>
    <w:rsid w:val="00A04F85"/>
    <w:rsid w:val="00A05FA4"/>
    <w:rsid w:val="00A102E4"/>
    <w:rsid w:val="00A1110D"/>
    <w:rsid w:val="00A119A2"/>
    <w:rsid w:val="00A12C42"/>
    <w:rsid w:val="00A14DF7"/>
    <w:rsid w:val="00A15323"/>
    <w:rsid w:val="00A16B22"/>
    <w:rsid w:val="00A22346"/>
    <w:rsid w:val="00A261A9"/>
    <w:rsid w:val="00A31C74"/>
    <w:rsid w:val="00A3246D"/>
    <w:rsid w:val="00A36FA7"/>
    <w:rsid w:val="00A4000F"/>
    <w:rsid w:val="00A4122E"/>
    <w:rsid w:val="00A41ED4"/>
    <w:rsid w:val="00A42EF7"/>
    <w:rsid w:val="00A44DDB"/>
    <w:rsid w:val="00A45442"/>
    <w:rsid w:val="00A4550D"/>
    <w:rsid w:val="00A45C33"/>
    <w:rsid w:val="00A475B7"/>
    <w:rsid w:val="00A47AF7"/>
    <w:rsid w:val="00A47C3E"/>
    <w:rsid w:val="00A50226"/>
    <w:rsid w:val="00A544D0"/>
    <w:rsid w:val="00A60BAD"/>
    <w:rsid w:val="00A65A43"/>
    <w:rsid w:val="00A66969"/>
    <w:rsid w:val="00A70099"/>
    <w:rsid w:val="00A774A0"/>
    <w:rsid w:val="00A80876"/>
    <w:rsid w:val="00A80B5B"/>
    <w:rsid w:val="00A84E36"/>
    <w:rsid w:val="00A85364"/>
    <w:rsid w:val="00A85E3A"/>
    <w:rsid w:val="00A865A1"/>
    <w:rsid w:val="00A866F1"/>
    <w:rsid w:val="00A93827"/>
    <w:rsid w:val="00A941AC"/>
    <w:rsid w:val="00A964D1"/>
    <w:rsid w:val="00AA0ED0"/>
    <w:rsid w:val="00AA1954"/>
    <w:rsid w:val="00AA19EA"/>
    <w:rsid w:val="00AA2A63"/>
    <w:rsid w:val="00AA30BC"/>
    <w:rsid w:val="00AA60C6"/>
    <w:rsid w:val="00AB4BFD"/>
    <w:rsid w:val="00AB6FB3"/>
    <w:rsid w:val="00AC2B40"/>
    <w:rsid w:val="00AC2BB2"/>
    <w:rsid w:val="00AC2C3C"/>
    <w:rsid w:val="00AC4A62"/>
    <w:rsid w:val="00AC512D"/>
    <w:rsid w:val="00AC666A"/>
    <w:rsid w:val="00AD0083"/>
    <w:rsid w:val="00AD156A"/>
    <w:rsid w:val="00AD3935"/>
    <w:rsid w:val="00AE0745"/>
    <w:rsid w:val="00AE1D8A"/>
    <w:rsid w:val="00AE4073"/>
    <w:rsid w:val="00AE53A2"/>
    <w:rsid w:val="00AE65EB"/>
    <w:rsid w:val="00AE67A7"/>
    <w:rsid w:val="00AE73A6"/>
    <w:rsid w:val="00AF1D94"/>
    <w:rsid w:val="00AF3419"/>
    <w:rsid w:val="00AF3559"/>
    <w:rsid w:val="00AF60C5"/>
    <w:rsid w:val="00AF7D7B"/>
    <w:rsid w:val="00B009C6"/>
    <w:rsid w:val="00B01548"/>
    <w:rsid w:val="00B037D5"/>
    <w:rsid w:val="00B0530C"/>
    <w:rsid w:val="00B07866"/>
    <w:rsid w:val="00B07DAA"/>
    <w:rsid w:val="00B11F1D"/>
    <w:rsid w:val="00B13EBD"/>
    <w:rsid w:val="00B21D29"/>
    <w:rsid w:val="00B22CB0"/>
    <w:rsid w:val="00B2337A"/>
    <w:rsid w:val="00B25034"/>
    <w:rsid w:val="00B26D21"/>
    <w:rsid w:val="00B31706"/>
    <w:rsid w:val="00B33588"/>
    <w:rsid w:val="00B33863"/>
    <w:rsid w:val="00B37D17"/>
    <w:rsid w:val="00B4175E"/>
    <w:rsid w:val="00B452CE"/>
    <w:rsid w:val="00B46071"/>
    <w:rsid w:val="00B534BE"/>
    <w:rsid w:val="00B54C25"/>
    <w:rsid w:val="00B55018"/>
    <w:rsid w:val="00B550A6"/>
    <w:rsid w:val="00B673BA"/>
    <w:rsid w:val="00B674B5"/>
    <w:rsid w:val="00B76B91"/>
    <w:rsid w:val="00B77EB1"/>
    <w:rsid w:val="00B80643"/>
    <w:rsid w:val="00B811C6"/>
    <w:rsid w:val="00B81C99"/>
    <w:rsid w:val="00B82465"/>
    <w:rsid w:val="00B855B0"/>
    <w:rsid w:val="00B870E8"/>
    <w:rsid w:val="00B875FD"/>
    <w:rsid w:val="00B8777C"/>
    <w:rsid w:val="00B90AF7"/>
    <w:rsid w:val="00B92E08"/>
    <w:rsid w:val="00B935F2"/>
    <w:rsid w:val="00B96CF0"/>
    <w:rsid w:val="00BA1C59"/>
    <w:rsid w:val="00BA26D5"/>
    <w:rsid w:val="00BA6204"/>
    <w:rsid w:val="00BB2690"/>
    <w:rsid w:val="00BB4E43"/>
    <w:rsid w:val="00BB51C4"/>
    <w:rsid w:val="00BB77E3"/>
    <w:rsid w:val="00BC1171"/>
    <w:rsid w:val="00BC622A"/>
    <w:rsid w:val="00BC728A"/>
    <w:rsid w:val="00BC7D7B"/>
    <w:rsid w:val="00BD22D4"/>
    <w:rsid w:val="00BD5D1C"/>
    <w:rsid w:val="00BE0A78"/>
    <w:rsid w:val="00BE1E88"/>
    <w:rsid w:val="00BE34E5"/>
    <w:rsid w:val="00BE79F0"/>
    <w:rsid w:val="00BF046D"/>
    <w:rsid w:val="00BF1190"/>
    <w:rsid w:val="00BF2CD3"/>
    <w:rsid w:val="00BF5796"/>
    <w:rsid w:val="00BF5D04"/>
    <w:rsid w:val="00BF6D9E"/>
    <w:rsid w:val="00BF7E40"/>
    <w:rsid w:val="00C0158F"/>
    <w:rsid w:val="00C042FB"/>
    <w:rsid w:val="00C07071"/>
    <w:rsid w:val="00C078AA"/>
    <w:rsid w:val="00C07AA4"/>
    <w:rsid w:val="00C1164D"/>
    <w:rsid w:val="00C140DE"/>
    <w:rsid w:val="00C14491"/>
    <w:rsid w:val="00C16861"/>
    <w:rsid w:val="00C1767B"/>
    <w:rsid w:val="00C21B74"/>
    <w:rsid w:val="00C256EB"/>
    <w:rsid w:val="00C27282"/>
    <w:rsid w:val="00C342AD"/>
    <w:rsid w:val="00C346AB"/>
    <w:rsid w:val="00C3506F"/>
    <w:rsid w:val="00C404A6"/>
    <w:rsid w:val="00C40A36"/>
    <w:rsid w:val="00C44419"/>
    <w:rsid w:val="00C44C1C"/>
    <w:rsid w:val="00C45CD9"/>
    <w:rsid w:val="00C45E7B"/>
    <w:rsid w:val="00C46F43"/>
    <w:rsid w:val="00C471B1"/>
    <w:rsid w:val="00C47ACD"/>
    <w:rsid w:val="00C53FA4"/>
    <w:rsid w:val="00C5459D"/>
    <w:rsid w:val="00C56421"/>
    <w:rsid w:val="00C6316B"/>
    <w:rsid w:val="00C634A9"/>
    <w:rsid w:val="00C64586"/>
    <w:rsid w:val="00C70650"/>
    <w:rsid w:val="00C70D53"/>
    <w:rsid w:val="00C73D0B"/>
    <w:rsid w:val="00C75794"/>
    <w:rsid w:val="00C772FF"/>
    <w:rsid w:val="00C80137"/>
    <w:rsid w:val="00C801AF"/>
    <w:rsid w:val="00C80256"/>
    <w:rsid w:val="00C80C76"/>
    <w:rsid w:val="00C81BA9"/>
    <w:rsid w:val="00C82D9C"/>
    <w:rsid w:val="00C870BE"/>
    <w:rsid w:val="00C9158D"/>
    <w:rsid w:val="00C924D3"/>
    <w:rsid w:val="00C94D55"/>
    <w:rsid w:val="00C95D4C"/>
    <w:rsid w:val="00C96D52"/>
    <w:rsid w:val="00C9747E"/>
    <w:rsid w:val="00CA168A"/>
    <w:rsid w:val="00CB3B7C"/>
    <w:rsid w:val="00CB6BC0"/>
    <w:rsid w:val="00CB7B4D"/>
    <w:rsid w:val="00CC1B7C"/>
    <w:rsid w:val="00CC1C2D"/>
    <w:rsid w:val="00CC3DE6"/>
    <w:rsid w:val="00CC5661"/>
    <w:rsid w:val="00CC69C6"/>
    <w:rsid w:val="00CC727F"/>
    <w:rsid w:val="00CD4E0B"/>
    <w:rsid w:val="00CE3DA6"/>
    <w:rsid w:val="00CE57E5"/>
    <w:rsid w:val="00CF15C3"/>
    <w:rsid w:val="00CF2B6F"/>
    <w:rsid w:val="00CF2F3E"/>
    <w:rsid w:val="00CF58B6"/>
    <w:rsid w:val="00CF72AF"/>
    <w:rsid w:val="00D0062D"/>
    <w:rsid w:val="00D017ED"/>
    <w:rsid w:val="00D035B3"/>
    <w:rsid w:val="00D040D3"/>
    <w:rsid w:val="00D04C65"/>
    <w:rsid w:val="00D16D5B"/>
    <w:rsid w:val="00D201D2"/>
    <w:rsid w:val="00D21A54"/>
    <w:rsid w:val="00D2208C"/>
    <w:rsid w:val="00D224FE"/>
    <w:rsid w:val="00D22D77"/>
    <w:rsid w:val="00D230DC"/>
    <w:rsid w:val="00D23139"/>
    <w:rsid w:val="00D23C46"/>
    <w:rsid w:val="00D307F2"/>
    <w:rsid w:val="00D36DA2"/>
    <w:rsid w:val="00D37985"/>
    <w:rsid w:val="00D40417"/>
    <w:rsid w:val="00D40991"/>
    <w:rsid w:val="00D425BB"/>
    <w:rsid w:val="00D47A81"/>
    <w:rsid w:val="00D50616"/>
    <w:rsid w:val="00D515F4"/>
    <w:rsid w:val="00D51D7D"/>
    <w:rsid w:val="00D564C1"/>
    <w:rsid w:val="00D56770"/>
    <w:rsid w:val="00D6351A"/>
    <w:rsid w:val="00D6493E"/>
    <w:rsid w:val="00D7195D"/>
    <w:rsid w:val="00D71BEE"/>
    <w:rsid w:val="00D7301E"/>
    <w:rsid w:val="00D7512B"/>
    <w:rsid w:val="00D8138C"/>
    <w:rsid w:val="00D83AE1"/>
    <w:rsid w:val="00D855D4"/>
    <w:rsid w:val="00D879E2"/>
    <w:rsid w:val="00D90152"/>
    <w:rsid w:val="00D90C83"/>
    <w:rsid w:val="00D90FF3"/>
    <w:rsid w:val="00D933C7"/>
    <w:rsid w:val="00D93466"/>
    <w:rsid w:val="00D97518"/>
    <w:rsid w:val="00DA1124"/>
    <w:rsid w:val="00DA1C2D"/>
    <w:rsid w:val="00DA2F19"/>
    <w:rsid w:val="00DA30B7"/>
    <w:rsid w:val="00DB2C17"/>
    <w:rsid w:val="00DB34E8"/>
    <w:rsid w:val="00DB433D"/>
    <w:rsid w:val="00DB6124"/>
    <w:rsid w:val="00DB6546"/>
    <w:rsid w:val="00DB750B"/>
    <w:rsid w:val="00DB75B7"/>
    <w:rsid w:val="00DC0F0A"/>
    <w:rsid w:val="00DC6E02"/>
    <w:rsid w:val="00DC6FEF"/>
    <w:rsid w:val="00DD07A5"/>
    <w:rsid w:val="00DE02AE"/>
    <w:rsid w:val="00DE3D48"/>
    <w:rsid w:val="00DE4ED7"/>
    <w:rsid w:val="00DE5B6F"/>
    <w:rsid w:val="00DE5E5A"/>
    <w:rsid w:val="00DE7FED"/>
    <w:rsid w:val="00DF1D7F"/>
    <w:rsid w:val="00DF4BE4"/>
    <w:rsid w:val="00E02FB4"/>
    <w:rsid w:val="00E042F6"/>
    <w:rsid w:val="00E12F0A"/>
    <w:rsid w:val="00E13E10"/>
    <w:rsid w:val="00E13FC7"/>
    <w:rsid w:val="00E156D4"/>
    <w:rsid w:val="00E157CC"/>
    <w:rsid w:val="00E158CC"/>
    <w:rsid w:val="00E20571"/>
    <w:rsid w:val="00E235F7"/>
    <w:rsid w:val="00E23659"/>
    <w:rsid w:val="00E239D4"/>
    <w:rsid w:val="00E242E2"/>
    <w:rsid w:val="00E2439D"/>
    <w:rsid w:val="00E26130"/>
    <w:rsid w:val="00E31FEA"/>
    <w:rsid w:val="00E378D6"/>
    <w:rsid w:val="00E40B22"/>
    <w:rsid w:val="00E4118E"/>
    <w:rsid w:val="00E432FD"/>
    <w:rsid w:val="00E44ED1"/>
    <w:rsid w:val="00E44EDF"/>
    <w:rsid w:val="00E45619"/>
    <w:rsid w:val="00E4588F"/>
    <w:rsid w:val="00E468E1"/>
    <w:rsid w:val="00E46DA3"/>
    <w:rsid w:val="00E508B7"/>
    <w:rsid w:val="00E516AE"/>
    <w:rsid w:val="00E51BB1"/>
    <w:rsid w:val="00E522C2"/>
    <w:rsid w:val="00E54C44"/>
    <w:rsid w:val="00E56725"/>
    <w:rsid w:val="00E623C8"/>
    <w:rsid w:val="00E624A5"/>
    <w:rsid w:val="00E64BA4"/>
    <w:rsid w:val="00E717CC"/>
    <w:rsid w:val="00E7344E"/>
    <w:rsid w:val="00E73E6F"/>
    <w:rsid w:val="00E7629C"/>
    <w:rsid w:val="00E77B5F"/>
    <w:rsid w:val="00E8206C"/>
    <w:rsid w:val="00E825D9"/>
    <w:rsid w:val="00E84D97"/>
    <w:rsid w:val="00E87E6F"/>
    <w:rsid w:val="00E96C1E"/>
    <w:rsid w:val="00EA2C4B"/>
    <w:rsid w:val="00EB0571"/>
    <w:rsid w:val="00EB0798"/>
    <w:rsid w:val="00EB40AD"/>
    <w:rsid w:val="00EB586E"/>
    <w:rsid w:val="00EB5A70"/>
    <w:rsid w:val="00EB5FC8"/>
    <w:rsid w:val="00EC040B"/>
    <w:rsid w:val="00EC153E"/>
    <w:rsid w:val="00EC1BFB"/>
    <w:rsid w:val="00EC5B3A"/>
    <w:rsid w:val="00EC7A85"/>
    <w:rsid w:val="00ED1DCF"/>
    <w:rsid w:val="00ED3CAD"/>
    <w:rsid w:val="00ED5A41"/>
    <w:rsid w:val="00ED5FE5"/>
    <w:rsid w:val="00EE1DE8"/>
    <w:rsid w:val="00EE30A9"/>
    <w:rsid w:val="00EE745D"/>
    <w:rsid w:val="00EF565B"/>
    <w:rsid w:val="00EF5D41"/>
    <w:rsid w:val="00EF6682"/>
    <w:rsid w:val="00F002FE"/>
    <w:rsid w:val="00F033EC"/>
    <w:rsid w:val="00F040F2"/>
    <w:rsid w:val="00F04F68"/>
    <w:rsid w:val="00F07653"/>
    <w:rsid w:val="00F120F3"/>
    <w:rsid w:val="00F12670"/>
    <w:rsid w:val="00F12D92"/>
    <w:rsid w:val="00F14B27"/>
    <w:rsid w:val="00F156F7"/>
    <w:rsid w:val="00F3148D"/>
    <w:rsid w:val="00F325C5"/>
    <w:rsid w:val="00F32D5D"/>
    <w:rsid w:val="00F32FE0"/>
    <w:rsid w:val="00F35298"/>
    <w:rsid w:val="00F376A0"/>
    <w:rsid w:val="00F41E00"/>
    <w:rsid w:val="00F47333"/>
    <w:rsid w:val="00F47E37"/>
    <w:rsid w:val="00F50D9B"/>
    <w:rsid w:val="00F53645"/>
    <w:rsid w:val="00F53C07"/>
    <w:rsid w:val="00F54B65"/>
    <w:rsid w:val="00F62250"/>
    <w:rsid w:val="00F640B6"/>
    <w:rsid w:val="00F64BEA"/>
    <w:rsid w:val="00F66533"/>
    <w:rsid w:val="00F71E8C"/>
    <w:rsid w:val="00F804CC"/>
    <w:rsid w:val="00F80983"/>
    <w:rsid w:val="00F80E40"/>
    <w:rsid w:val="00F848D9"/>
    <w:rsid w:val="00F859D9"/>
    <w:rsid w:val="00F90033"/>
    <w:rsid w:val="00F90206"/>
    <w:rsid w:val="00F931EC"/>
    <w:rsid w:val="00F93323"/>
    <w:rsid w:val="00FA5B82"/>
    <w:rsid w:val="00FA62BA"/>
    <w:rsid w:val="00FA639E"/>
    <w:rsid w:val="00FB0C2A"/>
    <w:rsid w:val="00FB1C6C"/>
    <w:rsid w:val="00FC0316"/>
    <w:rsid w:val="00FC25E4"/>
    <w:rsid w:val="00FC336A"/>
    <w:rsid w:val="00FC42DF"/>
    <w:rsid w:val="00FC4EF7"/>
    <w:rsid w:val="00FC634D"/>
    <w:rsid w:val="00FC6616"/>
    <w:rsid w:val="00FC6AC1"/>
    <w:rsid w:val="00FD03DF"/>
    <w:rsid w:val="00FD0824"/>
    <w:rsid w:val="00FD1132"/>
    <w:rsid w:val="00FD119B"/>
    <w:rsid w:val="00FD1474"/>
    <w:rsid w:val="00FD1C1A"/>
    <w:rsid w:val="00FD1EDC"/>
    <w:rsid w:val="00FE1DEE"/>
    <w:rsid w:val="00FE5DC8"/>
    <w:rsid w:val="00FE6EC7"/>
    <w:rsid w:val="00FF2126"/>
    <w:rsid w:val="00FF5755"/>
    <w:rsid w:val="00FF69BE"/>
    <w:rsid w:val="00FF7600"/>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084458"/>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617C4F"/>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TableTitle"/>
    <w:rsid w:val="00084458"/>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0472BC"/>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0472BC"/>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0472BC"/>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0472BC"/>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8F02E5"/>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paragraph" w:styleId="ListParagraph">
    <w:name w:val="List Paragraph"/>
    <w:basedOn w:val="Normal"/>
    <w:uiPriority w:val="34"/>
    <w:qFormat/>
    <w:rsid w:val="00386062"/>
    <w:pPr>
      <w:spacing w:before="60" w:after="60" w:line="240" w:lineRule="auto"/>
      <w:ind w:left="720"/>
      <w:jc w:val="both"/>
    </w:pPr>
    <w:rPr>
      <w:rFonts w:ascii="Times New Roman" w:eastAsia="Times New Roman" w:hAnsi="Times New Roman"/>
      <w:sz w:val="24"/>
      <w:lang w:eastAsia="en-AU"/>
    </w:rPr>
  </w:style>
  <w:style w:type="paragraph" w:customStyle="1" w:styleId="Bulletpoint">
    <w:name w:val="Bullet point"/>
    <w:basedOn w:val="Normal"/>
    <w:rsid w:val="0095771E"/>
    <w:pPr>
      <w:numPr>
        <w:numId w:val="5"/>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rsid w:val="00750161"/>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750161"/>
    <w:rPr>
      <w:rFonts w:ascii="Cambria" w:eastAsia="Times New Roman" w:hAnsi="Cambria" w:cs="Times New Roman"/>
      <w:snapToGrid w:val="0"/>
      <w:kern w:val="16"/>
      <w:szCs w:val="24"/>
    </w:rPr>
  </w:style>
  <w:style w:type="paragraph" w:customStyle="1" w:styleId="AssessmentSubsection">
    <w:name w:val="Assessment Subsection"/>
    <w:basedOn w:val="Standard"/>
    <w:next w:val="Standard"/>
    <w:rsid w:val="00E13E10"/>
    <w:pPr>
      <w:keepNext/>
      <w:spacing w:after="110"/>
      <w:outlineLvl w:val="2"/>
    </w:pPr>
    <w:rPr>
      <w:b/>
      <w:i/>
    </w:rPr>
  </w:style>
  <w:style w:type="paragraph" w:customStyle="1" w:styleId="WhiteSpace">
    <w:name w:val="White Space"/>
    <w:basedOn w:val="Standard"/>
    <w:next w:val="Standard"/>
    <w:link w:val="WhiteSpaceChar"/>
    <w:rsid w:val="000B7AD2"/>
    <w:pPr>
      <w:spacing w:after="0"/>
    </w:pPr>
    <w:rPr>
      <w:sz w:val="16"/>
      <w:szCs w:val="16"/>
    </w:rPr>
  </w:style>
  <w:style w:type="character" w:customStyle="1" w:styleId="WhiteSpaceChar">
    <w:name w:val="White Space Char"/>
    <w:basedOn w:val="DefaultParagraphFont"/>
    <w:link w:val="WhiteSpace"/>
    <w:rsid w:val="000B7AD2"/>
    <w:rPr>
      <w:rFonts w:ascii="Cambria" w:eastAsia="Times New Roman" w:hAnsi="Cambria" w:cs="Times New Roman"/>
      <w:snapToGrid w:val="0"/>
      <w:kern w:val="16"/>
      <w:sz w:val="16"/>
      <w:szCs w:val="16"/>
    </w:rPr>
  </w:style>
  <w:style w:type="paragraph" w:customStyle="1" w:styleId="AssessmentSubsection2">
    <w:name w:val="Assessment Subsection 2"/>
    <w:basedOn w:val="AssessmentSubsection"/>
    <w:next w:val="Standard"/>
    <w:rsid w:val="000B7AD2"/>
    <w:pPr>
      <w:outlineLvl w:val="3"/>
    </w:pPr>
    <w:rPr>
      <w:b w:val="0"/>
    </w:rPr>
  </w:style>
  <w:style w:type="paragraph" w:customStyle="1" w:styleId="AssessmentSection">
    <w:name w:val="Assessment Section"/>
    <w:basedOn w:val="AssessmentSubsection"/>
    <w:next w:val="Standard"/>
    <w:rsid w:val="0011266C"/>
    <w:pPr>
      <w:outlineLvl w:val="1"/>
    </w:pPr>
    <w:rPr>
      <w:i w:val="0"/>
    </w:rPr>
  </w:style>
  <w:style w:type="paragraph" w:customStyle="1" w:styleId="TableCaption">
    <w:name w:val="Table Caption"/>
    <w:basedOn w:val="Standard"/>
    <w:next w:val="Standard"/>
    <w:link w:val="TableCaptionChar"/>
    <w:rsid w:val="002D0558"/>
    <w:pPr>
      <w:spacing w:before="60" w:after="440" w:line="215" w:lineRule="exact"/>
      <w:ind w:left="170"/>
    </w:pPr>
    <w:rPr>
      <w:sz w:val="18"/>
      <w:szCs w:val="19"/>
    </w:rPr>
  </w:style>
  <w:style w:type="character" w:customStyle="1" w:styleId="TableCaptionChar">
    <w:name w:val="Table Caption Char"/>
    <w:basedOn w:val="DefaultParagraphFont"/>
    <w:link w:val="TableCaption"/>
    <w:rsid w:val="002D0558"/>
    <w:rPr>
      <w:rFonts w:ascii="Cambria" w:eastAsia="Times New Roman" w:hAnsi="Cambria" w:cs="Times New Roman"/>
      <w:snapToGrid w:val="0"/>
      <w:kern w:val="16"/>
      <w:sz w:val="18"/>
      <w:szCs w:val="19"/>
    </w:rPr>
  </w:style>
  <w:style w:type="paragraph" w:customStyle="1" w:styleId="Default">
    <w:name w:val="Default"/>
    <w:rsid w:val="0018475F"/>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Bullet1">
    <w:name w:val="Bullet 1"/>
    <w:basedOn w:val="Normal"/>
    <w:rsid w:val="00116C98"/>
    <w:pPr>
      <w:numPr>
        <w:numId w:val="6"/>
      </w:numPr>
      <w:spacing w:after="0" w:line="240" w:lineRule="auto"/>
    </w:pPr>
    <w:rPr>
      <w:rFonts w:eastAsia="Times New Roman"/>
      <w:kern w:val="24"/>
      <w:szCs w:val="24"/>
      <w:lang w:eastAsia="en-AU"/>
    </w:rPr>
  </w:style>
  <w:style w:type="paragraph" w:customStyle="1" w:styleId="Bullet2">
    <w:name w:val="Bullet 2"/>
    <w:basedOn w:val="Bullet1"/>
    <w:rsid w:val="00116C98"/>
    <w:pPr>
      <w:numPr>
        <w:numId w:val="7"/>
      </w:numPr>
    </w:pPr>
  </w:style>
  <w:style w:type="character" w:customStyle="1" w:styleId="Heading8Char">
    <w:name w:val="Heading 8 Char"/>
    <w:basedOn w:val="DefaultParagraphFont"/>
    <w:link w:val="Heading8"/>
    <w:uiPriority w:val="9"/>
    <w:semiHidden/>
    <w:rsid w:val="00617C4F"/>
    <w:rPr>
      <w:rFonts w:asciiTheme="majorHAnsi" w:eastAsiaTheme="majorEastAsia" w:hAnsiTheme="majorHAnsi" w:cstheme="majorBidi"/>
      <w:color w:val="404040" w:themeColor="text1" w:themeTint="BF"/>
      <w:sz w:val="20"/>
      <w:szCs w:val="20"/>
    </w:rPr>
  </w:style>
  <w:style w:type="character" w:customStyle="1" w:styleId="st1">
    <w:name w:val="st1"/>
    <w:basedOn w:val="DefaultParagraphFont"/>
    <w:rsid w:val="003002BA"/>
  </w:style>
  <w:style w:type="character" w:styleId="CommentReference">
    <w:name w:val="annotation reference"/>
    <w:basedOn w:val="DefaultParagraphFont"/>
    <w:uiPriority w:val="99"/>
    <w:semiHidden/>
    <w:unhideWhenUsed/>
    <w:rsid w:val="0039213C"/>
    <w:rPr>
      <w:sz w:val="16"/>
      <w:szCs w:val="16"/>
    </w:rPr>
  </w:style>
  <w:style w:type="paragraph" w:styleId="CommentText">
    <w:name w:val="annotation text"/>
    <w:basedOn w:val="Normal"/>
    <w:link w:val="CommentTextChar"/>
    <w:uiPriority w:val="99"/>
    <w:unhideWhenUsed/>
    <w:rsid w:val="0039213C"/>
    <w:pPr>
      <w:spacing w:line="240" w:lineRule="auto"/>
    </w:pPr>
    <w:rPr>
      <w:sz w:val="20"/>
      <w:szCs w:val="20"/>
    </w:rPr>
  </w:style>
  <w:style w:type="character" w:customStyle="1" w:styleId="CommentTextChar">
    <w:name w:val="Comment Text Char"/>
    <w:basedOn w:val="DefaultParagraphFont"/>
    <w:link w:val="CommentText"/>
    <w:uiPriority w:val="99"/>
    <w:rsid w:val="0039213C"/>
    <w:rPr>
      <w:rFonts w:ascii="Cambria" w:eastAsia="Cambria" w:hAnsi="Cambria"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084458"/>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617C4F"/>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TableTitle"/>
    <w:rsid w:val="00084458"/>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0472BC"/>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0472BC"/>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0472BC"/>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0472BC"/>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8F02E5"/>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paragraph" w:styleId="ListParagraph">
    <w:name w:val="List Paragraph"/>
    <w:basedOn w:val="Normal"/>
    <w:uiPriority w:val="34"/>
    <w:qFormat/>
    <w:rsid w:val="00386062"/>
    <w:pPr>
      <w:spacing w:before="60" w:after="60" w:line="240" w:lineRule="auto"/>
      <w:ind w:left="720"/>
      <w:jc w:val="both"/>
    </w:pPr>
    <w:rPr>
      <w:rFonts w:ascii="Times New Roman" w:eastAsia="Times New Roman" w:hAnsi="Times New Roman"/>
      <w:sz w:val="24"/>
      <w:lang w:eastAsia="en-AU"/>
    </w:rPr>
  </w:style>
  <w:style w:type="paragraph" w:customStyle="1" w:styleId="Bulletpoint">
    <w:name w:val="Bullet point"/>
    <w:basedOn w:val="Normal"/>
    <w:rsid w:val="0095771E"/>
    <w:pPr>
      <w:numPr>
        <w:numId w:val="5"/>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rsid w:val="00750161"/>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750161"/>
    <w:rPr>
      <w:rFonts w:ascii="Cambria" w:eastAsia="Times New Roman" w:hAnsi="Cambria" w:cs="Times New Roman"/>
      <w:snapToGrid w:val="0"/>
      <w:kern w:val="16"/>
      <w:szCs w:val="24"/>
    </w:rPr>
  </w:style>
  <w:style w:type="paragraph" w:customStyle="1" w:styleId="AssessmentSubsection">
    <w:name w:val="Assessment Subsection"/>
    <w:basedOn w:val="Standard"/>
    <w:next w:val="Standard"/>
    <w:rsid w:val="00E13E10"/>
    <w:pPr>
      <w:keepNext/>
      <w:spacing w:after="110"/>
      <w:outlineLvl w:val="2"/>
    </w:pPr>
    <w:rPr>
      <w:b/>
      <w:i/>
    </w:rPr>
  </w:style>
  <w:style w:type="paragraph" w:customStyle="1" w:styleId="WhiteSpace">
    <w:name w:val="White Space"/>
    <w:basedOn w:val="Standard"/>
    <w:next w:val="Standard"/>
    <w:link w:val="WhiteSpaceChar"/>
    <w:rsid w:val="000B7AD2"/>
    <w:pPr>
      <w:spacing w:after="0"/>
    </w:pPr>
    <w:rPr>
      <w:sz w:val="16"/>
      <w:szCs w:val="16"/>
    </w:rPr>
  </w:style>
  <w:style w:type="character" w:customStyle="1" w:styleId="WhiteSpaceChar">
    <w:name w:val="White Space Char"/>
    <w:basedOn w:val="DefaultParagraphFont"/>
    <w:link w:val="WhiteSpace"/>
    <w:rsid w:val="000B7AD2"/>
    <w:rPr>
      <w:rFonts w:ascii="Cambria" w:eastAsia="Times New Roman" w:hAnsi="Cambria" w:cs="Times New Roman"/>
      <w:snapToGrid w:val="0"/>
      <w:kern w:val="16"/>
      <w:sz w:val="16"/>
      <w:szCs w:val="16"/>
    </w:rPr>
  </w:style>
  <w:style w:type="paragraph" w:customStyle="1" w:styleId="AssessmentSubsection2">
    <w:name w:val="Assessment Subsection 2"/>
    <w:basedOn w:val="AssessmentSubsection"/>
    <w:next w:val="Standard"/>
    <w:rsid w:val="000B7AD2"/>
    <w:pPr>
      <w:outlineLvl w:val="3"/>
    </w:pPr>
    <w:rPr>
      <w:b w:val="0"/>
    </w:rPr>
  </w:style>
  <w:style w:type="paragraph" w:customStyle="1" w:styleId="AssessmentSection">
    <w:name w:val="Assessment Section"/>
    <w:basedOn w:val="AssessmentSubsection"/>
    <w:next w:val="Standard"/>
    <w:rsid w:val="0011266C"/>
    <w:pPr>
      <w:outlineLvl w:val="1"/>
    </w:pPr>
    <w:rPr>
      <w:i w:val="0"/>
    </w:rPr>
  </w:style>
  <w:style w:type="paragraph" w:customStyle="1" w:styleId="TableCaption">
    <w:name w:val="Table Caption"/>
    <w:basedOn w:val="Standard"/>
    <w:next w:val="Standard"/>
    <w:link w:val="TableCaptionChar"/>
    <w:rsid w:val="002D0558"/>
    <w:pPr>
      <w:spacing w:before="60" w:after="440" w:line="215" w:lineRule="exact"/>
      <w:ind w:left="170"/>
    </w:pPr>
    <w:rPr>
      <w:sz w:val="18"/>
      <w:szCs w:val="19"/>
    </w:rPr>
  </w:style>
  <w:style w:type="character" w:customStyle="1" w:styleId="TableCaptionChar">
    <w:name w:val="Table Caption Char"/>
    <w:basedOn w:val="DefaultParagraphFont"/>
    <w:link w:val="TableCaption"/>
    <w:rsid w:val="002D0558"/>
    <w:rPr>
      <w:rFonts w:ascii="Cambria" w:eastAsia="Times New Roman" w:hAnsi="Cambria" w:cs="Times New Roman"/>
      <w:snapToGrid w:val="0"/>
      <w:kern w:val="16"/>
      <w:sz w:val="18"/>
      <w:szCs w:val="19"/>
    </w:rPr>
  </w:style>
  <w:style w:type="paragraph" w:customStyle="1" w:styleId="Default">
    <w:name w:val="Default"/>
    <w:rsid w:val="0018475F"/>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Bullet1">
    <w:name w:val="Bullet 1"/>
    <w:basedOn w:val="Normal"/>
    <w:rsid w:val="00116C98"/>
    <w:pPr>
      <w:numPr>
        <w:numId w:val="6"/>
      </w:numPr>
      <w:spacing w:after="0" w:line="240" w:lineRule="auto"/>
    </w:pPr>
    <w:rPr>
      <w:rFonts w:eastAsia="Times New Roman"/>
      <w:kern w:val="24"/>
      <w:szCs w:val="24"/>
      <w:lang w:eastAsia="en-AU"/>
    </w:rPr>
  </w:style>
  <w:style w:type="paragraph" w:customStyle="1" w:styleId="Bullet2">
    <w:name w:val="Bullet 2"/>
    <w:basedOn w:val="Bullet1"/>
    <w:rsid w:val="00116C98"/>
    <w:pPr>
      <w:numPr>
        <w:numId w:val="7"/>
      </w:numPr>
    </w:pPr>
  </w:style>
  <w:style w:type="character" w:customStyle="1" w:styleId="Heading8Char">
    <w:name w:val="Heading 8 Char"/>
    <w:basedOn w:val="DefaultParagraphFont"/>
    <w:link w:val="Heading8"/>
    <w:uiPriority w:val="9"/>
    <w:semiHidden/>
    <w:rsid w:val="00617C4F"/>
    <w:rPr>
      <w:rFonts w:asciiTheme="majorHAnsi" w:eastAsiaTheme="majorEastAsia" w:hAnsiTheme="majorHAnsi" w:cstheme="majorBidi"/>
      <w:color w:val="404040" w:themeColor="text1" w:themeTint="BF"/>
      <w:sz w:val="20"/>
      <w:szCs w:val="20"/>
    </w:rPr>
  </w:style>
  <w:style w:type="character" w:customStyle="1" w:styleId="st1">
    <w:name w:val="st1"/>
    <w:basedOn w:val="DefaultParagraphFont"/>
    <w:rsid w:val="003002BA"/>
  </w:style>
  <w:style w:type="character" w:styleId="CommentReference">
    <w:name w:val="annotation reference"/>
    <w:basedOn w:val="DefaultParagraphFont"/>
    <w:uiPriority w:val="99"/>
    <w:semiHidden/>
    <w:unhideWhenUsed/>
    <w:rsid w:val="0039213C"/>
    <w:rPr>
      <w:sz w:val="16"/>
      <w:szCs w:val="16"/>
    </w:rPr>
  </w:style>
  <w:style w:type="paragraph" w:styleId="CommentText">
    <w:name w:val="annotation text"/>
    <w:basedOn w:val="Normal"/>
    <w:link w:val="CommentTextChar"/>
    <w:uiPriority w:val="99"/>
    <w:unhideWhenUsed/>
    <w:rsid w:val="0039213C"/>
    <w:pPr>
      <w:spacing w:line="240" w:lineRule="auto"/>
    </w:pPr>
    <w:rPr>
      <w:sz w:val="20"/>
      <w:szCs w:val="20"/>
    </w:rPr>
  </w:style>
  <w:style w:type="character" w:customStyle="1" w:styleId="CommentTextChar">
    <w:name w:val="Comment Text Char"/>
    <w:basedOn w:val="DefaultParagraphFont"/>
    <w:link w:val="CommentText"/>
    <w:uiPriority w:val="99"/>
    <w:rsid w:val="0039213C"/>
    <w:rPr>
      <w:rFonts w:ascii="Cambria" w:eastAsia="Cambria" w:hAnsi="Cambri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4.xml"/><Relationship Id="rId42"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3.xml"/><Relationship Id="rId38" Type="http://schemas.openxmlformats.org/officeDocument/2006/relationships/hyperlink" Target="https://www.tga.gov.au" TargetMode="Externa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hyperlink" Target="http://www.tga.gov.au/product-information-pi" TargetMode="External"/><Relationship Id="rId37" Type="http://schemas.openxmlformats.org/officeDocument/2006/relationships/hyperlink" Target="mailto:info@tga.gov.au" TargetMode="External"/><Relationship Id="rId40" Type="http://schemas.openxmlformats.org/officeDocument/2006/relationships/header" Target="header7.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2.xm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5.xml"/><Relationship Id="rId43"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3828\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E871F-65DB-4619-A5E2-96381A7FE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67</TotalTime>
  <Pages>64</Pages>
  <Words>24247</Words>
  <Characters>138211</Characters>
  <Application>Microsoft Office Word</Application>
  <DocSecurity>0</DocSecurity>
  <Lines>1151</Lines>
  <Paragraphs>324</Paragraphs>
  <ScaleCrop>false</ScaleCrop>
  <HeadingPairs>
    <vt:vector size="2" baseType="variant">
      <vt:variant>
        <vt:lpstr>Title</vt:lpstr>
      </vt:variant>
      <vt:variant>
        <vt:i4>1</vt:i4>
      </vt:variant>
    </vt:vector>
  </HeadingPairs>
  <TitlesOfParts>
    <vt:vector size="1" baseType="lpstr">
      <vt:lpstr>Australian public assessment for Ledipasvir  / Sofosbuvir</vt:lpstr>
    </vt:vector>
  </TitlesOfParts>
  <Company>Department of Health Therapeutic Goods Administration</Company>
  <LinksUpToDate>false</LinksUpToDate>
  <CharactersWithSpaces>162134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Ledipasvir  / Sofosbuvir</dc:title>
  <dc:subject>Prescription medicines</dc:subject>
  <dc:creator>Therapeutic Goods Administration</dc:creator>
  <cp:keywords>AusPARS</cp:keywords>
  <cp:lastModifiedBy>Lack, Janet</cp:lastModifiedBy>
  <cp:revision>4</cp:revision>
  <cp:lastPrinted>2010-12-20T22:59:00Z</cp:lastPrinted>
  <dcterms:created xsi:type="dcterms:W3CDTF">2015-10-26T02:19:00Z</dcterms:created>
  <dcterms:modified xsi:type="dcterms:W3CDTF">2015-10-26T03:35:00Z</dcterms:modified>
  <cp:category>external publication</cp:category>
</cp:coreProperties>
</file>