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476" w:rsidRPr="00BE78D8" w:rsidRDefault="00835476" w:rsidP="00835476">
      <w:pPr>
        <w:spacing w:after="240" w:line="276" w:lineRule="auto"/>
        <w:jc w:val="center"/>
        <w:rPr>
          <w:b/>
          <w:szCs w:val="24"/>
        </w:rPr>
      </w:pPr>
      <w:r w:rsidRPr="00BE78D8">
        <w:rPr>
          <w:b/>
          <w:szCs w:val="24"/>
        </w:rPr>
        <w:t>PRODUCT INFORMATION</w:t>
      </w:r>
    </w:p>
    <w:p w:rsidR="00835476" w:rsidRPr="00BE78D8" w:rsidRDefault="00835476" w:rsidP="00835476">
      <w:pPr>
        <w:spacing w:after="240" w:line="276" w:lineRule="auto"/>
        <w:rPr>
          <w:b/>
          <w:color w:val="auto"/>
          <w:szCs w:val="24"/>
        </w:rPr>
      </w:pPr>
      <w:r w:rsidRPr="00BE78D8">
        <w:rPr>
          <w:b/>
          <w:szCs w:val="24"/>
        </w:rPr>
        <w:t>Lenvima</w:t>
      </w:r>
      <w:r w:rsidR="005F6A99">
        <w:rPr>
          <w:b/>
          <w:szCs w:val="24"/>
        </w:rPr>
        <w:t>™</w:t>
      </w:r>
      <w:r w:rsidR="0047610F" w:rsidRPr="00BE78D8">
        <w:rPr>
          <w:b/>
          <w:szCs w:val="24"/>
        </w:rPr>
        <w:t xml:space="preserve"> </w:t>
      </w:r>
      <w:r w:rsidRPr="00BE78D8">
        <w:rPr>
          <w:b/>
          <w:szCs w:val="24"/>
        </w:rPr>
        <w:t xml:space="preserve">lenvatinib (as lenvatinib mesilate) </w:t>
      </w:r>
      <w:r w:rsidR="0020202A" w:rsidRPr="00BE78D8">
        <w:rPr>
          <w:b/>
          <w:szCs w:val="24"/>
        </w:rPr>
        <w:t>hard capsules</w:t>
      </w:r>
    </w:p>
    <w:p w:rsidR="00835476" w:rsidRPr="00BE78D8" w:rsidRDefault="00835476">
      <w:pPr>
        <w:rPr>
          <w:szCs w:val="24"/>
        </w:rPr>
      </w:pPr>
    </w:p>
    <w:p w:rsidR="00835476" w:rsidRPr="00BE78D8" w:rsidRDefault="00835476" w:rsidP="00835476">
      <w:pPr>
        <w:spacing w:after="240" w:line="276" w:lineRule="auto"/>
        <w:jc w:val="both"/>
        <w:rPr>
          <w:b/>
          <w:caps/>
          <w:szCs w:val="24"/>
        </w:rPr>
      </w:pPr>
      <w:r w:rsidRPr="00BE78D8">
        <w:rPr>
          <w:b/>
          <w:caps/>
          <w:szCs w:val="24"/>
        </w:rPr>
        <w:t>Name of the MEDICINE</w:t>
      </w:r>
    </w:p>
    <w:p w:rsidR="00835476" w:rsidRPr="00BE78D8" w:rsidRDefault="00BE78D8">
      <w:pPr>
        <w:rPr>
          <w:rFonts w:eastAsiaTheme="minorHAnsi"/>
          <w:color w:val="auto"/>
          <w:szCs w:val="24"/>
          <w:lang w:val="en-US" w:eastAsia="en-US"/>
        </w:rPr>
      </w:pPr>
      <w:r>
        <w:rPr>
          <w:rFonts w:eastAsiaTheme="minorHAnsi"/>
          <w:color w:val="auto"/>
          <w:szCs w:val="24"/>
          <w:lang w:val="en-US" w:eastAsia="en-US"/>
        </w:rPr>
        <w:t>Le</w:t>
      </w:r>
      <w:r w:rsidR="0047610F">
        <w:rPr>
          <w:rFonts w:eastAsiaTheme="minorHAnsi"/>
          <w:color w:val="auto"/>
          <w:szCs w:val="24"/>
          <w:lang w:val="en-US" w:eastAsia="en-US"/>
        </w:rPr>
        <w:t>n</w:t>
      </w:r>
      <w:r>
        <w:rPr>
          <w:rFonts w:eastAsiaTheme="minorHAnsi"/>
          <w:color w:val="auto"/>
          <w:szCs w:val="24"/>
          <w:lang w:val="en-US" w:eastAsia="en-US"/>
        </w:rPr>
        <w:t xml:space="preserve">vatinib as lenvatinib </w:t>
      </w:r>
      <w:r w:rsidR="00835476" w:rsidRPr="00BE78D8">
        <w:rPr>
          <w:rFonts w:eastAsiaTheme="minorHAnsi"/>
          <w:color w:val="auto"/>
          <w:szCs w:val="24"/>
          <w:lang w:val="en-US" w:eastAsia="en-US"/>
        </w:rPr>
        <w:t>mesilate</w:t>
      </w:r>
    </w:p>
    <w:p w:rsidR="0020202A" w:rsidRPr="00BE78D8" w:rsidRDefault="0020202A">
      <w:pPr>
        <w:rPr>
          <w:rFonts w:eastAsiaTheme="minorHAnsi"/>
          <w:color w:val="auto"/>
          <w:szCs w:val="24"/>
          <w:lang w:val="en-US" w:eastAsia="en-US"/>
        </w:rPr>
      </w:pPr>
    </w:p>
    <w:p w:rsidR="0020202A" w:rsidRPr="00BE78D8" w:rsidRDefault="0020202A">
      <w:pPr>
        <w:rPr>
          <w:rFonts w:eastAsiaTheme="minorHAnsi"/>
          <w:color w:val="auto"/>
          <w:szCs w:val="24"/>
          <w:u w:val="single"/>
          <w:lang w:val="en-US" w:eastAsia="en-US"/>
        </w:rPr>
      </w:pPr>
      <w:r w:rsidRPr="00BE78D8">
        <w:rPr>
          <w:rFonts w:eastAsiaTheme="minorHAnsi"/>
          <w:color w:val="auto"/>
          <w:szCs w:val="24"/>
          <w:u w:val="single"/>
          <w:lang w:val="en-US" w:eastAsia="en-US"/>
        </w:rPr>
        <w:t>Chemical Structure</w:t>
      </w:r>
    </w:p>
    <w:p w:rsidR="0020202A" w:rsidRPr="00BE78D8" w:rsidRDefault="0020202A">
      <w:pPr>
        <w:rPr>
          <w:rFonts w:eastAsiaTheme="minorHAnsi"/>
          <w:color w:val="auto"/>
          <w:szCs w:val="24"/>
          <w:u w:val="single"/>
          <w:lang w:val="en-US" w:eastAsia="en-US"/>
        </w:rPr>
      </w:pPr>
    </w:p>
    <w:p w:rsidR="0020202A" w:rsidRPr="00BE78D8" w:rsidRDefault="0020202A" w:rsidP="0020202A">
      <w:pPr>
        <w:autoSpaceDE w:val="0"/>
        <w:autoSpaceDN w:val="0"/>
        <w:adjustRightInd w:val="0"/>
        <w:rPr>
          <w:rFonts w:eastAsiaTheme="minorHAnsi"/>
          <w:color w:val="auto"/>
          <w:szCs w:val="24"/>
          <w:lang w:val="en-US" w:eastAsia="en-US"/>
        </w:rPr>
      </w:pPr>
      <w:r w:rsidRPr="00BE78D8">
        <w:rPr>
          <w:rFonts w:eastAsiaTheme="minorHAnsi"/>
          <w:color w:val="auto"/>
          <w:szCs w:val="24"/>
          <w:lang w:val="en-US" w:eastAsia="en-US"/>
        </w:rPr>
        <w:t>Lenvatinib is a multiple receptor tyrosine kinase (RTK) inhibitor.</w:t>
      </w:r>
    </w:p>
    <w:p w:rsidR="0020202A" w:rsidRPr="00BE78D8" w:rsidRDefault="0020202A" w:rsidP="0020202A">
      <w:pPr>
        <w:autoSpaceDE w:val="0"/>
        <w:autoSpaceDN w:val="0"/>
        <w:adjustRightInd w:val="0"/>
        <w:rPr>
          <w:rFonts w:eastAsiaTheme="minorHAnsi"/>
          <w:color w:val="auto"/>
          <w:szCs w:val="24"/>
          <w:lang w:val="en-US" w:eastAsia="en-US"/>
        </w:rPr>
      </w:pPr>
      <w:r w:rsidRPr="00BE78D8">
        <w:rPr>
          <w:rFonts w:eastAsiaTheme="minorHAnsi"/>
          <w:color w:val="auto"/>
          <w:szCs w:val="24"/>
          <w:lang w:val="en-US" w:eastAsia="en-US"/>
        </w:rPr>
        <w:t>Chemical Name: 4-[3-chloro-4-(</w:t>
      </w:r>
      <w:r w:rsidRPr="00BE78D8">
        <w:rPr>
          <w:rFonts w:eastAsiaTheme="minorHAnsi"/>
          <w:i/>
          <w:iCs/>
          <w:color w:val="auto"/>
          <w:szCs w:val="24"/>
          <w:lang w:val="en-US" w:eastAsia="en-US"/>
        </w:rPr>
        <w:t>N’</w:t>
      </w:r>
      <w:r w:rsidRPr="00BE78D8">
        <w:rPr>
          <w:rFonts w:eastAsiaTheme="minorHAnsi"/>
          <w:color w:val="auto"/>
          <w:szCs w:val="24"/>
          <w:lang w:val="en-US" w:eastAsia="en-US"/>
        </w:rPr>
        <w:t>-cyclopropylureido</w:t>
      </w:r>
      <w:proofErr w:type="gramStart"/>
      <w:r w:rsidRPr="00BE78D8">
        <w:rPr>
          <w:rFonts w:eastAsiaTheme="minorHAnsi"/>
          <w:color w:val="auto"/>
          <w:szCs w:val="24"/>
          <w:lang w:val="en-US" w:eastAsia="en-US"/>
        </w:rPr>
        <w:t>)phenoxy</w:t>
      </w:r>
      <w:proofErr w:type="gramEnd"/>
      <w:r w:rsidRPr="00BE78D8">
        <w:rPr>
          <w:rFonts w:eastAsiaTheme="minorHAnsi"/>
          <w:color w:val="auto"/>
          <w:szCs w:val="24"/>
          <w:lang w:val="en-US" w:eastAsia="en-US"/>
        </w:rPr>
        <w:t>]-7-methoxyquinoline-6-</w:t>
      </w:r>
    </w:p>
    <w:p w:rsidR="0020202A" w:rsidRPr="00BE78D8" w:rsidRDefault="0020202A" w:rsidP="0020202A">
      <w:pPr>
        <w:rPr>
          <w:rFonts w:eastAsiaTheme="minorHAnsi"/>
          <w:color w:val="auto"/>
          <w:szCs w:val="24"/>
          <w:lang w:val="en-US" w:eastAsia="en-US"/>
        </w:rPr>
      </w:pPr>
      <w:proofErr w:type="gramStart"/>
      <w:r w:rsidRPr="00BE78D8">
        <w:rPr>
          <w:rFonts w:eastAsiaTheme="minorHAnsi"/>
          <w:color w:val="auto"/>
          <w:szCs w:val="24"/>
          <w:lang w:val="en-US" w:eastAsia="en-US"/>
        </w:rPr>
        <w:t>carboxamide</w:t>
      </w:r>
      <w:proofErr w:type="gramEnd"/>
      <w:r w:rsidRPr="00BE78D8">
        <w:rPr>
          <w:rFonts w:eastAsiaTheme="minorHAnsi"/>
          <w:color w:val="auto"/>
          <w:szCs w:val="24"/>
          <w:lang w:val="en-US" w:eastAsia="en-US"/>
        </w:rPr>
        <w:t xml:space="preserve"> methanesulfonate.</w:t>
      </w:r>
    </w:p>
    <w:p w:rsidR="0020202A" w:rsidRPr="00BE78D8" w:rsidRDefault="0020202A" w:rsidP="0020202A">
      <w:pPr>
        <w:rPr>
          <w:rFonts w:eastAsiaTheme="minorHAnsi"/>
          <w:color w:val="auto"/>
          <w:szCs w:val="24"/>
          <w:lang w:val="en-US" w:eastAsia="en-US"/>
        </w:rPr>
      </w:pPr>
    </w:p>
    <w:p w:rsidR="0020202A" w:rsidRPr="00BE78D8" w:rsidRDefault="007C448B" w:rsidP="0020202A">
      <w:pPr>
        <w:rPr>
          <w:szCs w:val="24"/>
        </w:rPr>
      </w:pPr>
      <w:r w:rsidRPr="00BE78D8">
        <w:rPr>
          <w:szCs w:val="24"/>
        </w:rPr>
        <w:t xml:space="preserve">The empirical formula of lenvatinib is </w:t>
      </w:r>
      <w:r w:rsidR="00C20B13" w:rsidRPr="00C7502C">
        <w:rPr>
          <w:rFonts w:ascii="AHPFMA+TimesNewRoman" w:hAnsi="AHPFMA+TimesNewRoman"/>
          <w:noProof/>
        </w:rPr>
        <w:t>C</w:t>
      </w:r>
      <w:r w:rsidR="00C20B13" w:rsidRPr="00C7502C">
        <w:rPr>
          <w:rFonts w:ascii="AHPFMA+TimesNewRoman" w:hAnsi="AHPFMA+TimesNewRoman"/>
          <w:noProof/>
          <w:position w:val="-6"/>
          <w:vertAlign w:val="subscript"/>
        </w:rPr>
        <w:t>21</w:t>
      </w:r>
      <w:r w:rsidR="00C20B13" w:rsidRPr="00C7502C">
        <w:rPr>
          <w:rFonts w:ascii="AHPFMA+TimesNewRoman" w:hAnsi="AHPFMA+TimesNewRoman"/>
          <w:noProof/>
        </w:rPr>
        <w:t>H</w:t>
      </w:r>
      <w:r w:rsidR="00C20B13" w:rsidRPr="00C7502C">
        <w:rPr>
          <w:rFonts w:ascii="AHPFMA+TimesNewRoman" w:hAnsi="AHPFMA+TimesNewRoman"/>
          <w:noProof/>
          <w:position w:val="-6"/>
          <w:vertAlign w:val="subscript"/>
        </w:rPr>
        <w:t>19</w:t>
      </w:r>
      <w:r w:rsidR="00C20B13" w:rsidRPr="00C7502C">
        <w:rPr>
          <w:rFonts w:ascii="AHPFMA+TimesNewRoman" w:hAnsi="AHPFMA+TimesNewRoman"/>
          <w:noProof/>
        </w:rPr>
        <w:t>ClN</w:t>
      </w:r>
      <w:r w:rsidR="00C20B13" w:rsidRPr="00C7502C">
        <w:rPr>
          <w:rFonts w:ascii="AHPFMA+TimesNewRoman" w:hAnsi="AHPFMA+TimesNewRoman"/>
          <w:noProof/>
          <w:position w:val="-6"/>
          <w:vertAlign w:val="subscript"/>
        </w:rPr>
        <w:t>4</w:t>
      </w:r>
      <w:r w:rsidR="00C20B13" w:rsidRPr="00C7502C">
        <w:rPr>
          <w:rFonts w:ascii="AHPFMA+TimesNewRoman" w:hAnsi="AHPFMA+TimesNewRoman"/>
          <w:noProof/>
        </w:rPr>
        <w:t>O</w:t>
      </w:r>
      <w:r w:rsidR="00C20B13" w:rsidRPr="00C7502C">
        <w:rPr>
          <w:rFonts w:ascii="AHPFMA+TimesNewRoman" w:hAnsi="AHPFMA+TimesNewRoman"/>
          <w:noProof/>
          <w:position w:val="-6"/>
          <w:vertAlign w:val="subscript"/>
        </w:rPr>
        <w:t>4</w:t>
      </w:r>
      <w:r w:rsidR="00C20B13" w:rsidRPr="00681D12">
        <w:rPr>
          <w:rFonts w:ascii="AHPFMA+TimesNewRoman" w:hAnsi="AHPFMA+TimesNewRoman"/>
          <w:b/>
          <w:noProof/>
        </w:rPr>
        <w:t>·</w:t>
      </w:r>
      <w:r w:rsidR="00C20B13" w:rsidRPr="00C7502C">
        <w:rPr>
          <w:rFonts w:ascii="AHPFMA+TimesNewRoman" w:hAnsi="AHPFMA+TimesNewRoman"/>
          <w:noProof/>
        </w:rPr>
        <w:t>CH</w:t>
      </w:r>
      <w:r w:rsidR="00C20B13" w:rsidRPr="00C7502C">
        <w:rPr>
          <w:rFonts w:ascii="AHPFMA+TimesNewRoman" w:hAnsi="AHPFMA+TimesNewRoman"/>
          <w:noProof/>
          <w:position w:val="-6"/>
          <w:vertAlign w:val="subscript"/>
        </w:rPr>
        <w:t>4</w:t>
      </w:r>
      <w:r w:rsidR="00C20B13" w:rsidRPr="00C7502C">
        <w:rPr>
          <w:rFonts w:ascii="AHPFMA+TimesNewRoman" w:hAnsi="AHPFMA+TimesNewRoman"/>
          <w:noProof/>
        </w:rPr>
        <w:t>O</w:t>
      </w:r>
      <w:r w:rsidR="00C20B13" w:rsidRPr="00C7502C">
        <w:rPr>
          <w:rFonts w:ascii="AHPFMA+TimesNewRoman" w:hAnsi="AHPFMA+TimesNewRoman"/>
          <w:noProof/>
          <w:position w:val="-6"/>
          <w:vertAlign w:val="subscript"/>
        </w:rPr>
        <w:t>3</w:t>
      </w:r>
      <w:r w:rsidR="00C20B13" w:rsidRPr="00C7502C">
        <w:rPr>
          <w:rFonts w:ascii="AHPFMA+TimesNewRoman" w:hAnsi="AHPFMA+TimesNewRoman"/>
          <w:noProof/>
        </w:rPr>
        <w:t>S</w:t>
      </w:r>
      <w:r w:rsidR="003663AC">
        <w:rPr>
          <w:rFonts w:ascii="AHPFMA+TimesNewRoman" w:hAnsi="AHPFMA+TimesNewRoman"/>
          <w:noProof/>
        </w:rPr>
        <w:t xml:space="preserve"> </w:t>
      </w:r>
    </w:p>
    <w:p w:rsidR="007C448B" w:rsidRPr="00BE78D8" w:rsidRDefault="007C448B" w:rsidP="0020202A">
      <w:pPr>
        <w:rPr>
          <w:szCs w:val="24"/>
        </w:rPr>
      </w:pPr>
    </w:p>
    <w:p w:rsidR="007C448B" w:rsidRPr="00BE78D8" w:rsidRDefault="007C448B" w:rsidP="0020202A">
      <w:pPr>
        <w:rPr>
          <w:szCs w:val="24"/>
        </w:rPr>
      </w:pPr>
    </w:p>
    <w:p w:rsidR="00651E17" w:rsidRDefault="003663AC" w:rsidP="0020202A">
      <w:pPr>
        <w:rPr>
          <w:szCs w:val="24"/>
        </w:rPr>
      </w:pPr>
      <w:r w:rsidRPr="00C7502C">
        <w:object w:dxaOrig="5148" w:dyaOrig="19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5pt;height:97.5pt" o:ole="">
            <v:imagedata r:id="rId9" o:title=""/>
          </v:shape>
          <o:OLEObject Type="Embed" ProgID="ChemDraw.Document.6.0" ShapeID="_x0000_i1025" DrawAspect="Content" ObjectID="_1534832039" r:id="rId10"/>
        </w:object>
      </w:r>
    </w:p>
    <w:p w:rsidR="003663AC" w:rsidRDefault="003663AC" w:rsidP="0020202A">
      <w:pPr>
        <w:rPr>
          <w:szCs w:val="24"/>
        </w:rPr>
      </w:pPr>
    </w:p>
    <w:p w:rsidR="003663AC" w:rsidRPr="00BE78D8" w:rsidRDefault="003663AC" w:rsidP="0020202A">
      <w:pPr>
        <w:rPr>
          <w:szCs w:val="24"/>
        </w:rPr>
      </w:pPr>
    </w:p>
    <w:p w:rsidR="00651E17" w:rsidRPr="00BE78D8" w:rsidRDefault="00651E17" w:rsidP="0020202A">
      <w:pPr>
        <w:rPr>
          <w:szCs w:val="24"/>
        </w:rPr>
      </w:pPr>
      <w:r w:rsidRPr="00162C64">
        <w:rPr>
          <w:szCs w:val="24"/>
        </w:rPr>
        <w:t>CAS Number:</w:t>
      </w:r>
      <w:r w:rsidR="00BE78D8" w:rsidRPr="00162C64">
        <w:rPr>
          <w:szCs w:val="24"/>
        </w:rPr>
        <w:t xml:space="preserve"> </w:t>
      </w:r>
      <w:r w:rsidR="00162C64" w:rsidRPr="00681D12">
        <w:rPr>
          <w:szCs w:val="24"/>
        </w:rPr>
        <w:t>857890-39-2</w:t>
      </w:r>
    </w:p>
    <w:p w:rsidR="00651E17" w:rsidRPr="00BE78D8" w:rsidRDefault="00651E17" w:rsidP="0020202A">
      <w:pPr>
        <w:rPr>
          <w:szCs w:val="24"/>
        </w:rPr>
      </w:pPr>
    </w:p>
    <w:p w:rsidR="00651E17" w:rsidRPr="00BE78D8" w:rsidRDefault="00651E17" w:rsidP="00651E17">
      <w:pPr>
        <w:autoSpaceDE w:val="0"/>
        <w:autoSpaceDN w:val="0"/>
        <w:adjustRightInd w:val="0"/>
        <w:rPr>
          <w:rFonts w:eastAsiaTheme="minorHAnsi"/>
          <w:color w:val="auto"/>
          <w:szCs w:val="24"/>
          <w:lang w:val="en-US" w:eastAsia="en-US"/>
        </w:rPr>
      </w:pPr>
    </w:p>
    <w:p w:rsidR="00651E17" w:rsidRPr="00BE78D8" w:rsidRDefault="00651E17" w:rsidP="00651E17">
      <w:pPr>
        <w:autoSpaceDE w:val="0"/>
        <w:autoSpaceDN w:val="0"/>
        <w:adjustRightInd w:val="0"/>
        <w:rPr>
          <w:rFonts w:eastAsiaTheme="minorHAnsi"/>
          <w:color w:val="auto"/>
          <w:szCs w:val="24"/>
          <w:u w:val="single"/>
          <w:lang w:val="en-US" w:eastAsia="en-US"/>
        </w:rPr>
      </w:pPr>
      <w:r w:rsidRPr="00BE78D8">
        <w:rPr>
          <w:rFonts w:eastAsiaTheme="minorHAnsi"/>
          <w:color w:val="auto"/>
          <w:szCs w:val="24"/>
          <w:u w:val="single"/>
          <w:lang w:val="en-US" w:eastAsia="en-US"/>
        </w:rPr>
        <w:t>DESCRIPTION</w:t>
      </w:r>
    </w:p>
    <w:p w:rsidR="00651E17" w:rsidRPr="00BE78D8" w:rsidRDefault="00651E17" w:rsidP="00651E17">
      <w:pPr>
        <w:autoSpaceDE w:val="0"/>
        <w:autoSpaceDN w:val="0"/>
        <w:adjustRightInd w:val="0"/>
        <w:rPr>
          <w:rFonts w:eastAsiaTheme="minorHAnsi"/>
          <w:color w:val="auto"/>
          <w:szCs w:val="24"/>
          <w:u w:val="single"/>
          <w:lang w:val="en-US" w:eastAsia="en-US"/>
        </w:rPr>
      </w:pPr>
    </w:p>
    <w:p w:rsidR="00827DE3" w:rsidRPr="00BE78D8" w:rsidRDefault="00827DE3" w:rsidP="00827DE3">
      <w:pPr>
        <w:autoSpaceDE w:val="0"/>
        <w:autoSpaceDN w:val="0"/>
        <w:adjustRightInd w:val="0"/>
        <w:rPr>
          <w:rFonts w:eastAsiaTheme="minorHAnsi"/>
          <w:color w:val="auto"/>
          <w:szCs w:val="24"/>
          <w:lang w:val="en-US" w:eastAsia="en-US"/>
        </w:rPr>
      </w:pPr>
      <w:r w:rsidRPr="00BE78D8">
        <w:rPr>
          <w:rFonts w:eastAsiaTheme="minorHAnsi"/>
          <w:color w:val="auto"/>
          <w:szCs w:val="24"/>
          <w:lang w:val="en-US" w:eastAsia="en-US"/>
        </w:rPr>
        <w:t>Lenvatinib mesilate is a white powder and is sparingly soluble in acetic acid and slightly</w:t>
      </w:r>
      <w:r>
        <w:rPr>
          <w:rFonts w:eastAsiaTheme="minorHAnsi"/>
          <w:color w:val="auto"/>
          <w:szCs w:val="24"/>
          <w:lang w:val="en-US" w:eastAsia="en-US"/>
        </w:rPr>
        <w:t xml:space="preserve"> </w:t>
      </w:r>
      <w:r w:rsidRPr="00BE78D8">
        <w:rPr>
          <w:rFonts w:eastAsiaTheme="minorHAnsi"/>
          <w:color w:val="auto"/>
          <w:szCs w:val="24"/>
          <w:lang w:val="en-US" w:eastAsia="en-US"/>
        </w:rPr>
        <w:t xml:space="preserve">soluble in water, </w:t>
      </w:r>
      <w:r w:rsidRPr="00BE78D8">
        <w:rPr>
          <w:rFonts w:eastAsiaTheme="minorHAnsi"/>
          <w:i/>
          <w:iCs/>
          <w:color w:val="auto"/>
          <w:szCs w:val="24"/>
          <w:lang w:val="en-US" w:eastAsia="en-US"/>
        </w:rPr>
        <w:t>N</w:t>
      </w:r>
      <w:proofErr w:type="gramStart"/>
      <w:r w:rsidRPr="00BE78D8">
        <w:rPr>
          <w:rFonts w:eastAsiaTheme="minorHAnsi"/>
          <w:color w:val="auto"/>
          <w:szCs w:val="24"/>
          <w:lang w:val="en-US" w:eastAsia="en-US"/>
        </w:rPr>
        <w:t>,</w:t>
      </w:r>
      <w:r w:rsidRPr="00BE78D8">
        <w:rPr>
          <w:rFonts w:eastAsiaTheme="minorHAnsi"/>
          <w:i/>
          <w:iCs/>
          <w:color w:val="auto"/>
          <w:szCs w:val="24"/>
          <w:lang w:val="en-US" w:eastAsia="en-US"/>
        </w:rPr>
        <w:t>N</w:t>
      </w:r>
      <w:proofErr w:type="gramEnd"/>
      <w:r w:rsidRPr="00BE78D8">
        <w:rPr>
          <w:rFonts w:eastAsiaTheme="minorHAnsi"/>
          <w:color w:val="auto"/>
          <w:szCs w:val="24"/>
          <w:lang w:val="en-US" w:eastAsia="en-US"/>
        </w:rPr>
        <w:t xml:space="preserve">-dimethylformamide, methanol, </w:t>
      </w:r>
      <w:r w:rsidRPr="00BE78D8">
        <w:rPr>
          <w:rFonts w:eastAsiaTheme="minorHAnsi"/>
          <w:i/>
          <w:iCs/>
          <w:color w:val="auto"/>
          <w:szCs w:val="24"/>
          <w:lang w:val="en-US" w:eastAsia="en-US"/>
        </w:rPr>
        <w:t>N</w:t>
      </w:r>
      <w:r w:rsidRPr="00681D12">
        <w:rPr>
          <w:rFonts w:eastAsiaTheme="minorHAnsi"/>
          <w:iCs/>
          <w:color w:val="auto"/>
          <w:szCs w:val="24"/>
          <w:lang w:val="en-US" w:eastAsia="en-US"/>
        </w:rPr>
        <w:t>-</w:t>
      </w:r>
      <w:r w:rsidRPr="00BE78D8">
        <w:rPr>
          <w:rFonts w:eastAsiaTheme="minorHAnsi"/>
          <w:color w:val="auto"/>
          <w:szCs w:val="24"/>
          <w:lang w:val="en-US" w:eastAsia="en-US"/>
        </w:rPr>
        <w:t xml:space="preserve">methylpyrrolidone, and pyridine. </w:t>
      </w:r>
      <w:r>
        <w:rPr>
          <w:rFonts w:eastAsiaTheme="minorHAnsi"/>
          <w:color w:val="auto"/>
          <w:szCs w:val="24"/>
          <w:lang w:val="en-US" w:eastAsia="en-US"/>
        </w:rPr>
        <w:t xml:space="preserve"> </w:t>
      </w:r>
      <w:r w:rsidRPr="00BE78D8">
        <w:rPr>
          <w:rFonts w:eastAsiaTheme="minorHAnsi"/>
          <w:color w:val="auto"/>
          <w:szCs w:val="24"/>
          <w:lang w:val="en-US" w:eastAsia="en-US"/>
        </w:rPr>
        <w:t>It is very slightly soluble in 1</w:t>
      </w:r>
      <w:proofErr w:type="gramStart"/>
      <w:r w:rsidRPr="00BE78D8">
        <w:rPr>
          <w:rFonts w:eastAsiaTheme="minorHAnsi"/>
          <w:color w:val="auto"/>
          <w:szCs w:val="24"/>
          <w:lang w:val="en-US" w:eastAsia="en-US"/>
        </w:rPr>
        <w:t>,3</w:t>
      </w:r>
      <w:proofErr w:type="gramEnd"/>
      <w:r w:rsidRPr="00BE78D8">
        <w:rPr>
          <w:rFonts w:eastAsiaTheme="minorHAnsi"/>
          <w:color w:val="auto"/>
          <w:szCs w:val="24"/>
          <w:lang w:val="en-US" w:eastAsia="en-US"/>
        </w:rPr>
        <w:t xml:space="preserve">-dimethyl-2-imidazolidinone and practically insoluble in acetonitrile, dehydrated ethanol, 1-propanol, 2-propanol, 1-octanol and isopropyl acetate. </w:t>
      </w:r>
      <w:r>
        <w:rPr>
          <w:rFonts w:eastAsiaTheme="minorHAnsi"/>
          <w:color w:val="auto"/>
          <w:szCs w:val="24"/>
          <w:lang w:val="en-US" w:eastAsia="en-US"/>
        </w:rPr>
        <w:t xml:space="preserve"> </w:t>
      </w:r>
      <w:r w:rsidRPr="00BE78D8">
        <w:rPr>
          <w:rFonts w:eastAsiaTheme="minorHAnsi"/>
          <w:color w:val="auto"/>
          <w:szCs w:val="24"/>
          <w:lang w:val="en-US" w:eastAsia="en-US"/>
        </w:rPr>
        <w:t>In aqueous solutions, lenvatinib mesilate is very slightly soluble in 0.1 mol/L HC</w:t>
      </w:r>
      <w:r>
        <w:rPr>
          <w:rFonts w:eastAsiaTheme="minorHAnsi"/>
          <w:color w:val="auto"/>
          <w:szCs w:val="24"/>
          <w:lang w:val="en-US" w:eastAsia="en-US"/>
        </w:rPr>
        <w:t>l</w:t>
      </w:r>
      <w:r w:rsidRPr="00BE78D8">
        <w:rPr>
          <w:rFonts w:eastAsiaTheme="minorHAnsi"/>
          <w:color w:val="auto"/>
          <w:szCs w:val="24"/>
          <w:lang w:val="en-US" w:eastAsia="en-US"/>
        </w:rPr>
        <w:t xml:space="preserve"> and practically insoluble in Britton-Robinson buffer, pH 3-11.</w:t>
      </w:r>
    </w:p>
    <w:p w:rsidR="00827DE3" w:rsidRDefault="00827DE3" w:rsidP="00E07AED">
      <w:pPr>
        <w:autoSpaceDE w:val="0"/>
        <w:autoSpaceDN w:val="0"/>
        <w:adjustRightInd w:val="0"/>
        <w:rPr>
          <w:rFonts w:eastAsiaTheme="minorHAnsi"/>
          <w:color w:val="auto"/>
          <w:szCs w:val="24"/>
          <w:lang w:val="en-US" w:eastAsia="en-US"/>
        </w:rPr>
      </w:pPr>
    </w:p>
    <w:p w:rsidR="00E07AED" w:rsidRPr="00BE78D8" w:rsidRDefault="00E07AED" w:rsidP="00E07AED">
      <w:pPr>
        <w:autoSpaceDE w:val="0"/>
        <w:autoSpaceDN w:val="0"/>
        <w:adjustRightInd w:val="0"/>
        <w:rPr>
          <w:rFonts w:eastAsiaTheme="minorHAnsi"/>
          <w:color w:val="auto"/>
          <w:szCs w:val="24"/>
          <w:lang w:val="en-US" w:eastAsia="en-US"/>
        </w:rPr>
      </w:pPr>
      <w:r w:rsidRPr="00BE78D8">
        <w:rPr>
          <w:rFonts w:eastAsiaTheme="minorHAnsi"/>
          <w:color w:val="auto"/>
          <w:szCs w:val="24"/>
          <w:lang w:val="en-US" w:eastAsia="en-US"/>
        </w:rPr>
        <w:t>Each 4</w:t>
      </w:r>
      <w:r w:rsidR="003663AC">
        <w:rPr>
          <w:rFonts w:eastAsiaTheme="minorHAnsi"/>
          <w:color w:val="auto"/>
          <w:szCs w:val="24"/>
          <w:lang w:val="en-US" w:eastAsia="en-US"/>
        </w:rPr>
        <w:t xml:space="preserve"> </w:t>
      </w:r>
      <w:r w:rsidRPr="00BE78D8">
        <w:rPr>
          <w:rFonts w:eastAsiaTheme="minorHAnsi"/>
          <w:color w:val="auto"/>
          <w:szCs w:val="24"/>
          <w:lang w:val="en-US" w:eastAsia="en-US"/>
        </w:rPr>
        <w:t>mg hard capsule contains lenvatinib mesilate equivalent to 4 mg lenvatinib.</w:t>
      </w:r>
    </w:p>
    <w:p w:rsidR="00E07AED" w:rsidRPr="00BE78D8" w:rsidRDefault="00E07AED" w:rsidP="00E07AED">
      <w:pPr>
        <w:autoSpaceDE w:val="0"/>
        <w:autoSpaceDN w:val="0"/>
        <w:adjustRightInd w:val="0"/>
        <w:rPr>
          <w:rFonts w:eastAsiaTheme="minorHAnsi"/>
          <w:color w:val="auto"/>
          <w:szCs w:val="24"/>
          <w:u w:val="single"/>
          <w:lang w:val="en-US" w:eastAsia="en-US"/>
        </w:rPr>
      </w:pPr>
      <w:r w:rsidRPr="00BE78D8">
        <w:rPr>
          <w:rFonts w:eastAsiaTheme="minorHAnsi"/>
          <w:color w:val="auto"/>
          <w:szCs w:val="24"/>
          <w:lang w:val="en-US" w:eastAsia="en-US"/>
        </w:rPr>
        <w:t>Each 10</w:t>
      </w:r>
      <w:r w:rsidR="003663AC">
        <w:rPr>
          <w:rFonts w:eastAsiaTheme="minorHAnsi"/>
          <w:color w:val="auto"/>
          <w:szCs w:val="24"/>
          <w:lang w:val="en-US" w:eastAsia="en-US"/>
        </w:rPr>
        <w:t xml:space="preserve"> </w:t>
      </w:r>
      <w:r w:rsidRPr="00BE78D8">
        <w:rPr>
          <w:rFonts w:eastAsiaTheme="minorHAnsi"/>
          <w:color w:val="auto"/>
          <w:szCs w:val="24"/>
          <w:lang w:val="en-US" w:eastAsia="en-US"/>
        </w:rPr>
        <w:t>mg hard capsule contains lenvatinib mesilate equivalent to 10 mg lenvatinib.</w:t>
      </w:r>
    </w:p>
    <w:p w:rsidR="00E07AED" w:rsidRPr="00BE78D8" w:rsidRDefault="00E07AED" w:rsidP="00E07AED">
      <w:pPr>
        <w:autoSpaceDE w:val="0"/>
        <w:autoSpaceDN w:val="0"/>
        <w:adjustRightInd w:val="0"/>
        <w:rPr>
          <w:rFonts w:eastAsiaTheme="minorHAnsi"/>
          <w:color w:val="auto"/>
          <w:szCs w:val="24"/>
          <w:lang w:val="en-US" w:eastAsia="en-US"/>
        </w:rPr>
      </w:pPr>
      <w:r w:rsidRPr="00BE78D8">
        <w:rPr>
          <w:rFonts w:eastAsiaTheme="minorHAnsi"/>
          <w:color w:val="auto"/>
          <w:szCs w:val="24"/>
          <w:lang w:val="en-US" w:eastAsia="en-US"/>
        </w:rPr>
        <w:t xml:space="preserve">The capsules contain the excipients Calcium carbonate, Mannitol, </w:t>
      </w:r>
      <w:r w:rsidR="008B1A90">
        <w:rPr>
          <w:rFonts w:eastAsiaTheme="minorHAnsi"/>
          <w:color w:val="auto"/>
          <w:szCs w:val="24"/>
          <w:lang w:val="en-US" w:eastAsia="en-US"/>
        </w:rPr>
        <w:t>M</w:t>
      </w:r>
      <w:r w:rsidR="00827DE3">
        <w:rPr>
          <w:rFonts w:eastAsiaTheme="minorHAnsi"/>
          <w:color w:val="auto"/>
          <w:szCs w:val="24"/>
          <w:lang w:val="en-US" w:eastAsia="en-US"/>
        </w:rPr>
        <w:t>icrocrystalline cellulose</w:t>
      </w:r>
      <w:r w:rsidRPr="00BE78D8">
        <w:rPr>
          <w:rFonts w:eastAsiaTheme="minorHAnsi"/>
          <w:color w:val="auto"/>
          <w:szCs w:val="24"/>
          <w:lang w:val="en-US" w:eastAsia="en-US"/>
        </w:rPr>
        <w:t xml:space="preserve">, Hydroxypropylcellulose, and </w:t>
      </w:r>
      <w:r w:rsidR="008B1A90">
        <w:rPr>
          <w:rFonts w:eastAsiaTheme="minorHAnsi"/>
          <w:color w:val="auto"/>
          <w:szCs w:val="24"/>
          <w:lang w:val="en-US" w:eastAsia="en-US"/>
        </w:rPr>
        <w:t>P</w:t>
      </w:r>
      <w:r w:rsidR="00827DE3">
        <w:rPr>
          <w:rFonts w:eastAsiaTheme="minorHAnsi"/>
          <w:color w:val="auto"/>
          <w:szCs w:val="24"/>
          <w:lang w:val="en-US" w:eastAsia="en-US"/>
        </w:rPr>
        <w:t>urified talc</w:t>
      </w:r>
      <w:r w:rsidRPr="00BE78D8">
        <w:rPr>
          <w:rFonts w:eastAsiaTheme="minorHAnsi"/>
          <w:color w:val="auto"/>
          <w:szCs w:val="24"/>
          <w:lang w:val="en-US" w:eastAsia="en-US"/>
        </w:rPr>
        <w:t xml:space="preserve">. </w:t>
      </w:r>
      <w:r w:rsidR="00C20B13">
        <w:rPr>
          <w:rFonts w:eastAsiaTheme="minorHAnsi"/>
          <w:color w:val="auto"/>
          <w:szCs w:val="24"/>
          <w:lang w:val="en-US" w:eastAsia="en-US"/>
        </w:rPr>
        <w:t xml:space="preserve"> </w:t>
      </w:r>
      <w:r w:rsidRPr="00BE78D8">
        <w:rPr>
          <w:rFonts w:eastAsiaTheme="minorHAnsi"/>
          <w:color w:val="auto"/>
          <w:szCs w:val="24"/>
          <w:lang w:val="en-US" w:eastAsia="en-US"/>
        </w:rPr>
        <w:t xml:space="preserve">The capsule shell contains the excipients Hypromellose, Titanium dioxide, </w:t>
      </w:r>
      <w:r w:rsidR="003A0068">
        <w:rPr>
          <w:rFonts w:eastAsiaTheme="minorHAnsi"/>
          <w:color w:val="auto"/>
          <w:szCs w:val="24"/>
          <w:lang w:val="en-US" w:eastAsia="en-US"/>
        </w:rPr>
        <w:t>I</w:t>
      </w:r>
      <w:r w:rsidRPr="00BE78D8">
        <w:rPr>
          <w:rFonts w:eastAsiaTheme="minorHAnsi"/>
          <w:color w:val="auto"/>
          <w:szCs w:val="24"/>
          <w:lang w:val="en-US" w:eastAsia="en-US"/>
        </w:rPr>
        <w:t>ron oxide</w:t>
      </w:r>
      <w:r w:rsidR="003A0068">
        <w:rPr>
          <w:rFonts w:eastAsiaTheme="minorHAnsi"/>
          <w:color w:val="auto"/>
          <w:szCs w:val="24"/>
          <w:lang w:val="en-US" w:eastAsia="en-US"/>
        </w:rPr>
        <w:t xml:space="preserve"> yellow and</w:t>
      </w:r>
      <w:r w:rsidRPr="00BE78D8">
        <w:rPr>
          <w:rFonts w:eastAsiaTheme="minorHAnsi"/>
          <w:color w:val="auto"/>
          <w:szCs w:val="24"/>
          <w:lang w:val="en-US" w:eastAsia="en-US"/>
        </w:rPr>
        <w:t xml:space="preserve"> </w:t>
      </w:r>
      <w:r w:rsidR="003A0068">
        <w:rPr>
          <w:rFonts w:eastAsiaTheme="minorHAnsi"/>
          <w:color w:val="auto"/>
          <w:szCs w:val="24"/>
          <w:lang w:val="en-US" w:eastAsia="en-US"/>
        </w:rPr>
        <w:t>I</w:t>
      </w:r>
      <w:r w:rsidRPr="00BE78D8">
        <w:rPr>
          <w:rFonts w:eastAsiaTheme="minorHAnsi"/>
          <w:color w:val="auto"/>
          <w:szCs w:val="24"/>
          <w:lang w:val="en-US" w:eastAsia="en-US"/>
        </w:rPr>
        <w:t>ron oxide</w:t>
      </w:r>
      <w:r w:rsidR="003A0068">
        <w:rPr>
          <w:rFonts w:eastAsiaTheme="minorHAnsi"/>
          <w:color w:val="auto"/>
          <w:szCs w:val="24"/>
          <w:lang w:val="en-US" w:eastAsia="en-US"/>
        </w:rPr>
        <w:t xml:space="preserve"> red</w:t>
      </w:r>
      <w:r w:rsidRPr="00BE78D8">
        <w:rPr>
          <w:rFonts w:eastAsiaTheme="minorHAnsi"/>
          <w:color w:val="auto"/>
          <w:szCs w:val="24"/>
          <w:lang w:val="en-US" w:eastAsia="en-US"/>
        </w:rPr>
        <w:t xml:space="preserve">. </w:t>
      </w:r>
      <w:r w:rsidR="00C20B13">
        <w:rPr>
          <w:rFonts w:eastAsiaTheme="minorHAnsi"/>
          <w:color w:val="auto"/>
          <w:szCs w:val="24"/>
          <w:lang w:val="en-US" w:eastAsia="en-US"/>
        </w:rPr>
        <w:t xml:space="preserve"> </w:t>
      </w:r>
      <w:r w:rsidRPr="00BE78D8">
        <w:rPr>
          <w:rFonts w:eastAsiaTheme="minorHAnsi"/>
          <w:color w:val="auto"/>
          <w:szCs w:val="24"/>
          <w:lang w:val="en-US" w:eastAsia="en-US"/>
        </w:rPr>
        <w:t xml:space="preserve">The printing ink on the capsules contains the excipients Shellac, </w:t>
      </w:r>
      <w:r w:rsidR="003A0068">
        <w:rPr>
          <w:rFonts w:eastAsiaTheme="minorHAnsi"/>
          <w:color w:val="auto"/>
          <w:szCs w:val="24"/>
          <w:lang w:val="en-US" w:eastAsia="en-US"/>
        </w:rPr>
        <w:t>I</w:t>
      </w:r>
      <w:r w:rsidRPr="00BE78D8">
        <w:rPr>
          <w:rFonts w:eastAsiaTheme="minorHAnsi"/>
          <w:color w:val="auto"/>
          <w:szCs w:val="24"/>
          <w:lang w:val="en-US" w:eastAsia="en-US"/>
        </w:rPr>
        <w:t>ron oxide</w:t>
      </w:r>
      <w:r w:rsidR="003A0068">
        <w:rPr>
          <w:rFonts w:eastAsiaTheme="minorHAnsi"/>
          <w:color w:val="auto"/>
          <w:szCs w:val="24"/>
          <w:lang w:val="en-US" w:eastAsia="en-US"/>
        </w:rPr>
        <w:t xml:space="preserve"> black, Potassium hydroxide and </w:t>
      </w:r>
      <w:r w:rsidRPr="00BE78D8">
        <w:rPr>
          <w:rFonts w:eastAsiaTheme="minorHAnsi"/>
          <w:color w:val="auto"/>
          <w:szCs w:val="24"/>
          <w:lang w:val="en-US" w:eastAsia="en-US"/>
        </w:rPr>
        <w:t>Propylene glycol.</w:t>
      </w:r>
    </w:p>
    <w:p w:rsidR="00E07AED" w:rsidRPr="00BE78D8" w:rsidRDefault="00E07AED" w:rsidP="00E07AED">
      <w:pPr>
        <w:autoSpaceDE w:val="0"/>
        <w:autoSpaceDN w:val="0"/>
        <w:adjustRightInd w:val="0"/>
        <w:rPr>
          <w:rFonts w:eastAsiaTheme="minorHAnsi"/>
          <w:color w:val="auto"/>
          <w:szCs w:val="24"/>
          <w:lang w:val="en-US" w:eastAsia="en-US"/>
        </w:rPr>
      </w:pPr>
    </w:p>
    <w:p w:rsidR="00E07AED" w:rsidRPr="00BE78D8" w:rsidRDefault="00E07AED" w:rsidP="009A1D5E">
      <w:pPr>
        <w:keepNext/>
        <w:autoSpaceDE w:val="0"/>
        <w:autoSpaceDN w:val="0"/>
        <w:adjustRightInd w:val="0"/>
        <w:rPr>
          <w:rFonts w:eastAsiaTheme="minorHAnsi"/>
          <w:b/>
          <w:color w:val="auto"/>
          <w:szCs w:val="24"/>
          <w:lang w:val="en-US" w:eastAsia="en-US"/>
        </w:rPr>
      </w:pPr>
      <w:r w:rsidRPr="00BE78D8">
        <w:rPr>
          <w:rFonts w:eastAsiaTheme="minorHAnsi"/>
          <w:b/>
          <w:color w:val="auto"/>
          <w:szCs w:val="24"/>
          <w:lang w:val="en-US" w:eastAsia="en-US"/>
        </w:rPr>
        <w:lastRenderedPageBreak/>
        <w:t>PHARMACOLOGY</w:t>
      </w:r>
    </w:p>
    <w:p w:rsidR="00E07AED" w:rsidRPr="00BE78D8" w:rsidRDefault="00E07AED" w:rsidP="009A1D5E">
      <w:pPr>
        <w:keepNext/>
        <w:autoSpaceDE w:val="0"/>
        <w:autoSpaceDN w:val="0"/>
        <w:adjustRightInd w:val="0"/>
        <w:rPr>
          <w:rFonts w:eastAsiaTheme="minorHAnsi"/>
          <w:b/>
          <w:color w:val="auto"/>
          <w:szCs w:val="24"/>
          <w:lang w:val="en-US" w:eastAsia="en-US"/>
        </w:rPr>
      </w:pPr>
    </w:p>
    <w:p w:rsidR="00E07AED" w:rsidRPr="00BE78D8" w:rsidRDefault="00E07AED" w:rsidP="009A1D5E">
      <w:pPr>
        <w:keepNext/>
        <w:autoSpaceDE w:val="0"/>
        <w:autoSpaceDN w:val="0"/>
        <w:adjustRightInd w:val="0"/>
        <w:rPr>
          <w:rFonts w:eastAsiaTheme="minorHAnsi"/>
          <w:b/>
          <w:color w:val="auto"/>
          <w:szCs w:val="24"/>
          <w:lang w:val="en-US" w:eastAsia="en-US"/>
        </w:rPr>
      </w:pPr>
      <w:r w:rsidRPr="00BE78D8">
        <w:rPr>
          <w:rFonts w:eastAsiaTheme="minorHAnsi"/>
          <w:b/>
          <w:color w:val="auto"/>
          <w:szCs w:val="24"/>
          <w:lang w:val="en-US" w:eastAsia="en-US"/>
        </w:rPr>
        <w:t>Pharmacodynamic Properties</w:t>
      </w:r>
    </w:p>
    <w:p w:rsidR="00E07AED" w:rsidRPr="00BE78D8" w:rsidRDefault="00E07AED" w:rsidP="00E07AED">
      <w:pPr>
        <w:autoSpaceDE w:val="0"/>
        <w:autoSpaceDN w:val="0"/>
        <w:adjustRightInd w:val="0"/>
        <w:rPr>
          <w:rFonts w:eastAsiaTheme="minorHAnsi"/>
          <w:color w:val="auto"/>
          <w:szCs w:val="24"/>
          <w:u w:val="single"/>
          <w:lang w:val="en-US" w:eastAsia="en-US"/>
        </w:rPr>
      </w:pPr>
      <w:r w:rsidRPr="00BE78D8">
        <w:rPr>
          <w:rFonts w:eastAsiaTheme="minorHAnsi"/>
          <w:color w:val="auto"/>
          <w:szCs w:val="24"/>
          <w:u w:val="single"/>
          <w:lang w:val="en-US" w:eastAsia="en-US"/>
        </w:rPr>
        <w:t>Mechanism of Action</w:t>
      </w:r>
    </w:p>
    <w:p w:rsidR="00E07AED" w:rsidRPr="00BE78D8" w:rsidRDefault="00E07AED" w:rsidP="00E07AED">
      <w:pPr>
        <w:autoSpaceDE w:val="0"/>
        <w:autoSpaceDN w:val="0"/>
        <w:adjustRightInd w:val="0"/>
        <w:rPr>
          <w:rFonts w:eastAsiaTheme="minorHAnsi"/>
          <w:color w:val="auto"/>
          <w:szCs w:val="24"/>
          <w:u w:val="single"/>
          <w:lang w:val="en-US" w:eastAsia="en-US"/>
        </w:rPr>
      </w:pPr>
    </w:p>
    <w:p w:rsidR="00E07AED" w:rsidRPr="00BE78D8" w:rsidRDefault="00367A23" w:rsidP="00367A23">
      <w:pPr>
        <w:autoSpaceDE w:val="0"/>
        <w:autoSpaceDN w:val="0"/>
        <w:adjustRightInd w:val="0"/>
        <w:rPr>
          <w:rFonts w:eastAsiaTheme="minorHAnsi"/>
          <w:color w:val="auto"/>
          <w:szCs w:val="24"/>
          <w:lang w:val="en-US" w:eastAsia="en-US"/>
        </w:rPr>
      </w:pPr>
      <w:r w:rsidRPr="00BE78D8">
        <w:rPr>
          <w:rFonts w:eastAsiaTheme="minorHAnsi"/>
          <w:color w:val="auto"/>
          <w:szCs w:val="24"/>
          <w:lang w:val="en-US" w:eastAsia="en-US"/>
        </w:rPr>
        <w:t>Lenvatinib is a multiple receptor tyrosine kinase (RTK) inhibitor that inhibits the kinase activities of vascular endothelial growth factor (VEGF) receptors VEGFR1 (FLT1), VEGFR2 (KDR), and VEGFR3 (FLT4), in addition to other proangiogenic and oncogenic pathway-related RTKs including fibroblast growth factor (FGF) receptors FGFR1, 2, 3, and 4, the platelet derived growth factor (PDGF) receptor PDGFRα, KIT, and RET.</w:t>
      </w:r>
    </w:p>
    <w:p w:rsidR="00367A23" w:rsidRPr="00BE78D8" w:rsidRDefault="00367A23" w:rsidP="00367A23">
      <w:pPr>
        <w:autoSpaceDE w:val="0"/>
        <w:autoSpaceDN w:val="0"/>
        <w:adjustRightInd w:val="0"/>
        <w:rPr>
          <w:rFonts w:eastAsiaTheme="minorHAnsi"/>
          <w:color w:val="auto"/>
          <w:szCs w:val="24"/>
          <w:lang w:val="en-US" w:eastAsia="en-US"/>
        </w:rPr>
      </w:pPr>
    </w:p>
    <w:p w:rsidR="00367A23" w:rsidRPr="00BE78D8" w:rsidRDefault="00367A23" w:rsidP="00367A23">
      <w:pPr>
        <w:autoSpaceDE w:val="0"/>
        <w:autoSpaceDN w:val="0"/>
        <w:adjustRightInd w:val="0"/>
        <w:rPr>
          <w:rFonts w:eastAsiaTheme="minorHAnsi"/>
          <w:color w:val="auto"/>
          <w:szCs w:val="24"/>
          <w:u w:val="single"/>
          <w:lang w:val="en-US" w:eastAsia="en-US"/>
        </w:rPr>
      </w:pPr>
      <w:r w:rsidRPr="00BE78D8">
        <w:rPr>
          <w:rFonts w:eastAsiaTheme="minorHAnsi"/>
          <w:color w:val="auto"/>
          <w:szCs w:val="24"/>
          <w:u w:val="single"/>
          <w:lang w:val="en-US" w:eastAsia="en-US"/>
        </w:rPr>
        <w:t>Pharmacodynamic effects</w:t>
      </w:r>
    </w:p>
    <w:p w:rsidR="00367A23" w:rsidRPr="00BE78D8" w:rsidRDefault="00367A23" w:rsidP="00367A23">
      <w:pPr>
        <w:autoSpaceDE w:val="0"/>
        <w:autoSpaceDN w:val="0"/>
        <w:adjustRightInd w:val="0"/>
        <w:rPr>
          <w:rFonts w:eastAsiaTheme="minorHAnsi"/>
          <w:i/>
          <w:iCs/>
          <w:color w:val="auto"/>
          <w:szCs w:val="24"/>
          <w:lang w:val="en-US" w:eastAsia="en-US"/>
        </w:rPr>
      </w:pPr>
    </w:p>
    <w:p w:rsidR="00367A23" w:rsidRPr="00BE78D8" w:rsidRDefault="00367A23" w:rsidP="00367A23">
      <w:pPr>
        <w:autoSpaceDE w:val="0"/>
        <w:autoSpaceDN w:val="0"/>
        <w:adjustRightInd w:val="0"/>
        <w:rPr>
          <w:rFonts w:eastAsiaTheme="minorHAnsi"/>
          <w:i/>
          <w:iCs/>
          <w:color w:val="auto"/>
          <w:szCs w:val="24"/>
          <w:lang w:val="en-US" w:eastAsia="en-US"/>
        </w:rPr>
      </w:pPr>
      <w:r w:rsidRPr="00BE78D8">
        <w:rPr>
          <w:rFonts w:eastAsiaTheme="minorHAnsi"/>
          <w:i/>
          <w:iCs/>
          <w:color w:val="auto"/>
          <w:szCs w:val="24"/>
          <w:lang w:val="en-US" w:eastAsia="en-US"/>
        </w:rPr>
        <w:t>Cardiac electrophysiology</w:t>
      </w:r>
    </w:p>
    <w:p w:rsidR="00367A23" w:rsidRPr="00B64000" w:rsidRDefault="00367A23" w:rsidP="005C29FE">
      <w:pPr>
        <w:autoSpaceDE w:val="0"/>
        <w:autoSpaceDN w:val="0"/>
        <w:adjustRightInd w:val="0"/>
        <w:rPr>
          <w:rFonts w:eastAsiaTheme="minorHAnsi"/>
          <w:color w:val="auto"/>
          <w:szCs w:val="24"/>
          <w:lang w:val="en-US" w:eastAsia="en-US"/>
        </w:rPr>
      </w:pPr>
      <w:r w:rsidRPr="00BE78D8">
        <w:rPr>
          <w:rFonts w:eastAsiaTheme="minorHAnsi"/>
          <w:color w:val="auto"/>
          <w:szCs w:val="24"/>
          <w:lang w:val="en-US" w:eastAsia="en-US"/>
        </w:rPr>
        <w:t>A single 32-mg dose of lenvatinib did not prolong the QT/QTc interval based on results from a thorough QT study in healthy volunteers</w:t>
      </w:r>
      <w:r w:rsidR="00B64000">
        <w:rPr>
          <w:rFonts w:eastAsiaTheme="minorHAnsi"/>
          <w:color w:val="auto"/>
          <w:szCs w:val="24"/>
          <w:lang w:val="en-US" w:eastAsia="en-US"/>
        </w:rPr>
        <w:t>; however, QT/QTc interval prolongation has been reported at a higher incidence in patients treated with lenvatinib than in patients treated with placebo</w:t>
      </w:r>
      <w:r w:rsidRPr="00BE78D8">
        <w:rPr>
          <w:rFonts w:eastAsiaTheme="minorHAnsi"/>
          <w:color w:val="auto"/>
          <w:szCs w:val="24"/>
          <w:lang w:val="en-US" w:eastAsia="en-US"/>
        </w:rPr>
        <w:t>.</w:t>
      </w:r>
    </w:p>
    <w:p w:rsidR="00367A23" w:rsidRPr="00BE78D8" w:rsidRDefault="00367A23" w:rsidP="00367A23">
      <w:pPr>
        <w:autoSpaceDE w:val="0"/>
        <w:autoSpaceDN w:val="0"/>
        <w:adjustRightInd w:val="0"/>
        <w:rPr>
          <w:rFonts w:eastAsiaTheme="minorHAnsi"/>
          <w:color w:val="auto"/>
          <w:szCs w:val="24"/>
          <w:lang w:val="en-US" w:eastAsia="en-US"/>
        </w:rPr>
      </w:pPr>
    </w:p>
    <w:p w:rsidR="00367A23" w:rsidRPr="00BE78D8" w:rsidRDefault="00367A23" w:rsidP="00367A23">
      <w:pPr>
        <w:autoSpaceDE w:val="0"/>
        <w:autoSpaceDN w:val="0"/>
        <w:adjustRightInd w:val="0"/>
        <w:rPr>
          <w:rFonts w:eastAsiaTheme="minorHAnsi"/>
          <w:b/>
          <w:color w:val="auto"/>
          <w:szCs w:val="24"/>
          <w:lang w:val="en-US" w:eastAsia="en-US"/>
        </w:rPr>
      </w:pPr>
      <w:r w:rsidRPr="00BE78D8">
        <w:rPr>
          <w:rFonts w:eastAsiaTheme="minorHAnsi"/>
          <w:b/>
          <w:color w:val="auto"/>
          <w:szCs w:val="24"/>
          <w:lang w:val="en-US" w:eastAsia="en-US"/>
        </w:rPr>
        <w:t>Pharmacokinetics</w:t>
      </w:r>
    </w:p>
    <w:p w:rsidR="00367A23" w:rsidRPr="00BE78D8" w:rsidRDefault="00367A23" w:rsidP="00367A23">
      <w:pPr>
        <w:autoSpaceDE w:val="0"/>
        <w:autoSpaceDN w:val="0"/>
        <w:adjustRightInd w:val="0"/>
        <w:rPr>
          <w:rFonts w:eastAsiaTheme="minorHAnsi"/>
          <w:b/>
          <w:color w:val="auto"/>
          <w:szCs w:val="24"/>
          <w:lang w:val="en-US" w:eastAsia="en-US"/>
        </w:rPr>
      </w:pPr>
    </w:p>
    <w:p w:rsidR="00145B50" w:rsidRPr="004D4EB9" w:rsidRDefault="00145B50" w:rsidP="00145B50">
      <w:pPr>
        <w:autoSpaceDE w:val="0"/>
        <w:autoSpaceDN w:val="0"/>
        <w:adjustRightInd w:val="0"/>
        <w:rPr>
          <w:rFonts w:eastAsiaTheme="minorHAnsi"/>
          <w:color w:val="auto"/>
          <w:szCs w:val="24"/>
          <w:u w:val="single"/>
          <w:lang w:val="en-US" w:eastAsia="en-US"/>
        </w:rPr>
      </w:pPr>
      <w:r w:rsidRPr="004D4EB9">
        <w:rPr>
          <w:rFonts w:eastAsiaTheme="minorHAnsi"/>
          <w:color w:val="auto"/>
          <w:szCs w:val="24"/>
          <w:u w:val="single"/>
          <w:lang w:val="en-US" w:eastAsia="en-US"/>
        </w:rPr>
        <w:t>Absorption</w:t>
      </w:r>
    </w:p>
    <w:p w:rsidR="00145B50" w:rsidRPr="00BE78D8" w:rsidRDefault="00145B50" w:rsidP="00145B50">
      <w:pPr>
        <w:autoSpaceDE w:val="0"/>
        <w:autoSpaceDN w:val="0"/>
        <w:adjustRightInd w:val="0"/>
        <w:rPr>
          <w:rFonts w:eastAsiaTheme="minorHAnsi"/>
          <w:color w:val="auto"/>
          <w:szCs w:val="24"/>
          <w:lang w:val="en-US" w:eastAsia="en-US"/>
        </w:rPr>
      </w:pPr>
      <w:r w:rsidRPr="00BE78D8">
        <w:rPr>
          <w:rFonts w:eastAsiaTheme="minorHAnsi"/>
          <w:color w:val="auto"/>
          <w:szCs w:val="24"/>
          <w:lang w:val="en-US" w:eastAsia="en-US"/>
        </w:rPr>
        <w:t>Lenvatinib is rapidly absorbed after oral administration with t</w:t>
      </w:r>
      <w:r w:rsidRPr="00681D12">
        <w:rPr>
          <w:rFonts w:eastAsiaTheme="minorHAnsi"/>
          <w:color w:val="auto"/>
          <w:szCs w:val="24"/>
          <w:vertAlign w:val="subscript"/>
          <w:lang w:val="en-US" w:eastAsia="en-US"/>
        </w:rPr>
        <w:t>max</w:t>
      </w:r>
      <w:r w:rsidRPr="00BE78D8">
        <w:rPr>
          <w:rFonts w:eastAsiaTheme="minorHAnsi"/>
          <w:color w:val="auto"/>
          <w:szCs w:val="24"/>
          <w:lang w:val="en-US" w:eastAsia="en-US"/>
        </w:rPr>
        <w:t xml:space="preserve"> typically observed from 1 to 4 hours postdose. Food does not affect the extent of absorption, but slows the rate of absorption. When administered with food to healthy subjects, peak plasma concentrations are delayed by 2 hours.</w:t>
      </w:r>
    </w:p>
    <w:p w:rsidR="00145B50" w:rsidRPr="00BE78D8" w:rsidRDefault="00145B50" w:rsidP="00145B50">
      <w:pPr>
        <w:autoSpaceDE w:val="0"/>
        <w:autoSpaceDN w:val="0"/>
        <w:adjustRightInd w:val="0"/>
        <w:rPr>
          <w:rFonts w:eastAsiaTheme="minorHAnsi"/>
          <w:color w:val="auto"/>
          <w:szCs w:val="24"/>
          <w:lang w:val="en-US" w:eastAsia="en-US"/>
        </w:rPr>
      </w:pPr>
    </w:p>
    <w:p w:rsidR="00145B50" w:rsidRPr="004D4EB9" w:rsidRDefault="00145B50" w:rsidP="00145B50">
      <w:pPr>
        <w:autoSpaceDE w:val="0"/>
        <w:autoSpaceDN w:val="0"/>
        <w:adjustRightInd w:val="0"/>
        <w:rPr>
          <w:rFonts w:eastAsiaTheme="minorHAnsi"/>
          <w:color w:val="auto"/>
          <w:szCs w:val="24"/>
          <w:u w:val="single"/>
          <w:lang w:val="en-US" w:eastAsia="en-US"/>
        </w:rPr>
      </w:pPr>
      <w:r w:rsidRPr="004D4EB9">
        <w:rPr>
          <w:rFonts w:eastAsiaTheme="minorHAnsi"/>
          <w:color w:val="auto"/>
          <w:szCs w:val="24"/>
          <w:u w:val="single"/>
          <w:lang w:val="en-US" w:eastAsia="en-US"/>
        </w:rPr>
        <w:t>Distribution</w:t>
      </w:r>
    </w:p>
    <w:p w:rsidR="00145B50" w:rsidRDefault="00145B50" w:rsidP="00145B50">
      <w:pPr>
        <w:autoSpaceDE w:val="0"/>
        <w:autoSpaceDN w:val="0"/>
        <w:adjustRightInd w:val="0"/>
        <w:rPr>
          <w:rFonts w:eastAsiaTheme="minorHAnsi"/>
          <w:color w:val="auto"/>
          <w:szCs w:val="24"/>
          <w:lang w:val="en-US" w:eastAsia="en-US"/>
        </w:rPr>
      </w:pPr>
      <w:r w:rsidRPr="00BE78D8">
        <w:rPr>
          <w:rFonts w:eastAsiaTheme="minorHAnsi"/>
          <w:i/>
          <w:iCs/>
          <w:color w:val="auto"/>
          <w:szCs w:val="24"/>
          <w:lang w:val="en-US" w:eastAsia="en-US"/>
        </w:rPr>
        <w:t xml:space="preserve">In vitro </w:t>
      </w:r>
      <w:r w:rsidRPr="00BE78D8">
        <w:rPr>
          <w:rFonts w:eastAsiaTheme="minorHAnsi"/>
          <w:color w:val="auto"/>
          <w:szCs w:val="24"/>
          <w:lang w:val="en-US" w:eastAsia="en-US"/>
        </w:rPr>
        <w:t xml:space="preserve">binding of lenvatinib to human plasma proteins </w:t>
      </w:r>
      <w:r w:rsidR="00FF0E17">
        <w:rPr>
          <w:rFonts w:eastAsiaTheme="minorHAnsi"/>
          <w:color w:val="auto"/>
          <w:szCs w:val="24"/>
          <w:lang w:val="en-US" w:eastAsia="en-US"/>
        </w:rPr>
        <w:t>was</w:t>
      </w:r>
      <w:r w:rsidR="00FF0E17" w:rsidRPr="00BE78D8">
        <w:rPr>
          <w:rFonts w:eastAsiaTheme="minorHAnsi"/>
          <w:color w:val="auto"/>
          <w:szCs w:val="24"/>
          <w:lang w:val="en-US" w:eastAsia="en-US"/>
        </w:rPr>
        <w:t xml:space="preserve"> </w:t>
      </w:r>
      <w:r w:rsidRPr="00BE78D8">
        <w:rPr>
          <w:rFonts w:eastAsiaTheme="minorHAnsi"/>
          <w:color w:val="auto"/>
          <w:szCs w:val="24"/>
          <w:lang w:val="en-US" w:eastAsia="en-US"/>
        </w:rPr>
        <w:t xml:space="preserve">high and ranged from 98% to 99% (0.3 – </w:t>
      </w:r>
      <w:proofErr w:type="gramStart"/>
      <w:r w:rsidRPr="00BE78D8">
        <w:rPr>
          <w:rFonts w:eastAsiaTheme="minorHAnsi"/>
          <w:color w:val="auto"/>
          <w:szCs w:val="24"/>
          <w:lang w:val="en-US" w:eastAsia="en-US"/>
        </w:rPr>
        <w:t>30 μg/mL</w:t>
      </w:r>
      <w:proofErr w:type="gramEnd"/>
      <w:r w:rsidRPr="00BE78D8">
        <w:rPr>
          <w:rFonts w:eastAsiaTheme="minorHAnsi"/>
          <w:color w:val="auto"/>
          <w:szCs w:val="24"/>
          <w:lang w:val="en-US" w:eastAsia="en-US"/>
        </w:rPr>
        <w:t>, mesilate). This binding was mainly to albumin with minor binding to α1-acid glycoprotein and γ-globulin.</w:t>
      </w:r>
    </w:p>
    <w:p w:rsidR="008A7BEC" w:rsidRPr="00BE78D8" w:rsidRDefault="008A7BEC" w:rsidP="00145B50">
      <w:pPr>
        <w:autoSpaceDE w:val="0"/>
        <w:autoSpaceDN w:val="0"/>
        <w:adjustRightInd w:val="0"/>
        <w:rPr>
          <w:rFonts w:eastAsiaTheme="minorHAnsi"/>
          <w:color w:val="auto"/>
          <w:szCs w:val="24"/>
          <w:lang w:val="en-US" w:eastAsia="en-US"/>
        </w:rPr>
      </w:pPr>
    </w:p>
    <w:p w:rsidR="00367A23" w:rsidRPr="00BE78D8" w:rsidRDefault="00145B50" w:rsidP="00145B50">
      <w:pPr>
        <w:autoSpaceDE w:val="0"/>
        <w:autoSpaceDN w:val="0"/>
        <w:adjustRightInd w:val="0"/>
        <w:rPr>
          <w:rFonts w:eastAsiaTheme="minorHAnsi"/>
          <w:color w:val="auto"/>
          <w:szCs w:val="24"/>
          <w:lang w:val="en-US" w:eastAsia="en-US"/>
        </w:rPr>
      </w:pPr>
      <w:r w:rsidRPr="00BE78D8">
        <w:rPr>
          <w:rFonts w:eastAsiaTheme="minorHAnsi"/>
          <w:i/>
          <w:iCs/>
          <w:color w:val="auto"/>
          <w:szCs w:val="24"/>
          <w:lang w:val="en-US" w:eastAsia="en-US"/>
        </w:rPr>
        <w:t xml:space="preserve">In vitro, </w:t>
      </w:r>
      <w:r w:rsidRPr="00BE78D8">
        <w:rPr>
          <w:rFonts w:eastAsiaTheme="minorHAnsi"/>
          <w:color w:val="auto"/>
          <w:szCs w:val="24"/>
          <w:lang w:val="en-US" w:eastAsia="en-US"/>
        </w:rPr>
        <w:t>the lenvatinib blood-to-plasma concentration ratio ranged from 0.589 to 0.608 (0.1 - 10 μg/mL, mesilate).</w:t>
      </w:r>
      <w:r w:rsidR="005338A5">
        <w:rPr>
          <w:rFonts w:eastAsiaTheme="minorHAnsi"/>
          <w:color w:val="auto"/>
          <w:szCs w:val="24"/>
          <w:lang w:val="en-US" w:eastAsia="en-US"/>
        </w:rPr>
        <w:t xml:space="preserve"> </w:t>
      </w:r>
      <w:r w:rsidRPr="00BE78D8">
        <w:rPr>
          <w:rFonts w:eastAsiaTheme="minorHAnsi"/>
          <w:color w:val="auto"/>
          <w:szCs w:val="24"/>
          <w:lang w:val="en-US" w:eastAsia="en-US"/>
        </w:rPr>
        <w:t>Lenvatinib is a substrate for P-gp and BCRP. Lenvatinib is not a substrate for OAT1, OAT3, OATP1B1, OATP1B3, OCT1, OCT2, or the BSEP.</w:t>
      </w:r>
    </w:p>
    <w:p w:rsidR="00145B50" w:rsidRPr="00BE78D8" w:rsidRDefault="00145B50" w:rsidP="00145B50">
      <w:pPr>
        <w:autoSpaceDE w:val="0"/>
        <w:autoSpaceDN w:val="0"/>
        <w:adjustRightInd w:val="0"/>
        <w:rPr>
          <w:rFonts w:eastAsiaTheme="minorHAnsi"/>
          <w:color w:val="auto"/>
          <w:szCs w:val="24"/>
          <w:lang w:val="en-US" w:eastAsia="en-US"/>
        </w:rPr>
      </w:pPr>
    </w:p>
    <w:p w:rsidR="00145B50" w:rsidRPr="00BE78D8" w:rsidRDefault="00BA1B54" w:rsidP="00145B50">
      <w:pPr>
        <w:autoSpaceDE w:val="0"/>
        <w:autoSpaceDN w:val="0"/>
        <w:adjustRightInd w:val="0"/>
        <w:rPr>
          <w:rFonts w:eastAsiaTheme="minorHAnsi"/>
          <w:color w:val="auto"/>
          <w:szCs w:val="24"/>
          <w:lang w:val="en-US" w:eastAsia="en-US"/>
        </w:rPr>
      </w:pPr>
      <w:r w:rsidRPr="004D4EB9">
        <w:rPr>
          <w:rFonts w:eastAsiaTheme="minorHAnsi"/>
          <w:color w:val="auto"/>
          <w:szCs w:val="24"/>
          <w:u w:val="single"/>
          <w:lang w:val="en-US" w:eastAsia="en-US"/>
        </w:rPr>
        <w:t>Metabolism</w:t>
      </w:r>
    </w:p>
    <w:p w:rsidR="00145B50" w:rsidRPr="001250F6" w:rsidRDefault="00145B50" w:rsidP="00145B50">
      <w:pPr>
        <w:autoSpaceDE w:val="0"/>
        <w:autoSpaceDN w:val="0"/>
        <w:adjustRightInd w:val="0"/>
        <w:rPr>
          <w:rFonts w:eastAsiaTheme="minorHAnsi"/>
          <w:color w:val="auto"/>
          <w:szCs w:val="24"/>
          <w:lang w:val="en-US" w:eastAsia="en-US"/>
        </w:rPr>
      </w:pPr>
      <w:r w:rsidRPr="001250F6">
        <w:rPr>
          <w:rFonts w:eastAsiaTheme="minorHAnsi"/>
          <w:i/>
          <w:iCs/>
          <w:color w:val="auto"/>
          <w:szCs w:val="24"/>
          <w:lang w:val="en-US" w:eastAsia="en-US"/>
        </w:rPr>
        <w:t xml:space="preserve">In vitro, </w:t>
      </w:r>
      <w:r w:rsidRPr="001250F6">
        <w:rPr>
          <w:rFonts w:eastAsiaTheme="minorHAnsi"/>
          <w:color w:val="auto"/>
          <w:szCs w:val="24"/>
          <w:lang w:val="en-US" w:eastAsia="en-US"/>
        </w:rPr>
        <w:t xml:space="preserve">cytochrome P450 3A4 was the predominant (&gt;80%) cytochrome isoform involved in the P450- mediated metabolism of lenvatinib. </w:t>
      </w:r>
      <w:r w:rsidRPr="001250F6">
        <w:rPr>
          <w:rFonts w:eastAsiaTheme="minorHAnsi"/>
          <w:i/>
          <w:iCs/>
          <w:color w:val="auto"/>
          <w:szCs w:val="24"/>
          <w:lang w:val="en-US" w:eastAsia="en-US"/>
        </w:rPr>
        <w:t xml:space="preserve">In vivo, </w:t>
      </w:r>
      <w:r w:rsidRPr="001250F6">
        <w:rPr>
          <w:rFonts w:eastAsiaTheme="minorHAnsi"/>
          <w:color w:val="auto"/>
          <w:szCs w:val="24"/>
          <w:lang w:val="en-US" w:eastAsia="en-US"/>
        </w:rPr>
        <w:t>inducers and inhibitors of CYP 3A4 had a minimal effect on lenv</w:t>
      </w:r>
      <w:r w:rsidR="001641B7" w:rsidRPr="001250F6">
        <w:rPr>
          <w:rFonts w:eastAsiaTheme="minorHAnsi"/>
          <w:color w:val="auto"/>
          <w:szCs w:val="24"/>
          <w:lang w:val="en-US" w:eastAsia="en-US"/>
        </w:rPr>
        <w:t>atinib exposure (see DRUG INTERACTIONS</w:t>
      </w:r>
      <w:r w:rsidRPr="001250F6">
        <w:rPr>
          <w:rFonts w:eastAsiaTheme="minorHAnsi"/>
          <w:color w:val="auto"/>
          <w:szCs w:val="24"/>
          <w:lang w:val="en-US" w:eastAsia="en-US"/>
        </w:rPr>
        <w:t xml:space="preserve">). </w:t>
      </w:r>
    </w:p>
    <w:p w:rsidR="00145B50" w:rsidRPr="001250F6" w:rsidRDefault="00145B50" w:rsidP="00145B50">
      <w:pPr>
        <w:autoSpaceDE w:val="0"/>
        <w:autoSpaceDN w:val="0"/>
        <w:adjustRightInd w:val="0"/>
        <w:rPr>
          <w:rFonts w:eastAsiaTheme="minorHAnsi"/>
          <w:color w:val="auto"/>
          <w:szCs w:val="24"/>
          <w:lang w:val="en-US" w:eastAsia="en-US"/>
        </w:rPr>
      </w:pPr>
    </w:p>
    <w:p w:rsidR="00145B50" w:rsidRPr="001250F6" w:rsidRDefault="00145B50" w:rsidP="00145B50">
      <w:pPr>
        <w:autoSpaceDE w:val="0"/>
        <w:autoSpaceDN w:val="0"/>
        <w:adjustRightInd w:val="0"/>
        <w:rPr>
          <w:rFonts w:eastAsiaTheme="minorHAnsi"/>
          <w:color w:val="auto"/>
          <w:szCs w:val="24"/>
          <w:lang w:val="en-US" w:eastAsia="en-US"/>
        </w:rPr>
      </w:pPr>
      <w:r w:rsidRPr="001250F6">
        <w:rPr>
          <w:rFonts w:eastAsiaTheme="minorHAnsi"/>
          <w:color w:val="auto"/>
          <w:szCs w:val="24"/>
          <w:lang w:val="en-US" w:eastAsia="en-US"/>
        </w:rPr>
        <w:t xml:space="preserve">In human liver microsomes, the demethylated form of lenvatinib (M2) was identified as the main metabolite. M2’ and M3’, the major metabolites in human faeces, were formed from M2 and lenvatinib, respectively, by aldehyde oxidase. </w:t>
      </w:r>
    </w:p>
    <w:p w:rsidR="00145B50" w:rsidRPr="001250F6" w:rsidRDefault="00145B50" w:rsidP="00145B50">
      <w:pPr>
        <w:autoSpaceDE w:val="0"/>
        <w:autoSpaceDN w:val="0"/>
        <w:adjustRightInd w:val="0"/>
        <w:rPr>
          <w:rFonts w:eastAsiaTheme="minorHAnsi"/>
          <w:color w:val="auto"/>
          <w:szCs w:val="24"/>
          <w:lang w:val="en-US" w:eastAsia="en-US"/>
        </w:rPr>
      </w:pPr>
    </w:p>
    <w:p w:rsidR="00145B50" w:rsidRPr="001250F6" w:rsidRDefault="00145B50" w:rsidP="00145B50">
      <w:pPr>
        <w:autoSpaceDE w:val="0"/>
        <w:autoSpaceDN w:val="0"/>
        <w:adjustRightInd w:val="0"/>
        <w:rPr>
          <w:rFonts w:eastAsiaTheme="minorHAnsi"/>
          <w:color w:val="auto"/>
          <w:szCs w:val="24"/>
          <w:lang w:val="en-US" w:eastAsia="en-US"/>
        </w:rPr>
      </w:pPr>
      <w:r w:rsidRPr="001250F6">
        <w:rPr>
          <w:rFonts w:eastAsiaTheme="minorHAnsi"/>
          <w:color w:val="auto"/>
          <w:szCs w:val="24"/>
          <w:lang w:val="en-US" w:eastAsia="en-US"/>
        </w:rPr>
        <w:t>In plasma samples collected up to 24 hours after administration, lenvatinib constituted 97% of the radioactivity in plasma radiochromatograms while the M2 metabolite accounted for an additional 2.5%. Based on AUC</w:t>
      </w:r>
      <w:r w:rsidR="00FF0E17" w:rsidRPr="001250F6">
        <w:rPr>
          <w:rFonts w:eastAsiaTheme="minorHAnsi"/>
          <w:color w:val="auto"/>
          <w:szCs w:val="24"/>
          <w:lang w:val="en-US" w:eastAsia="en-US"/>
        </w:rPr>
        <w:t xml:space="preserve"> </w:t>
      </w:r>
      <w:r w:rsidRPr="00681D12">
        <w:rPr>
          <w:rFonts w:eastAsiaTheme="minorHAnsi"/>
          <w:color w:val="auto"/>
          <w:szCs w:val="24"/>
          <w:vertAlign w:val="subscript"/>
          <w:lang w:val="en-US" w:eastAsia="en-US"/>
        </w:rPr>
        <w:t xml:space="preserve">(0 – </w:t>
      </w:r>
      <w:proofErr w:type="gramStart"/>
      <w:r w:rsidRPr="00681D12">
        <w:rPr>
          <w:rFonts w:eastAsiaTheme="minorHAnsi"/>
          <w:color w:val="auto"/>
          <w:szCs w:val="24"/>
          <w:vertAlign w:val="subscript"/>
          <w:lang w:val="en-US" w:eastAsia="en-US"/>
        </w:rPr>
        <w:t>inf</w:t>
      </w:r>
      <w:proofErr w:type="gramEnd"/>
      <w:r w:rsidRPr="00681D12">
        <w:rPr>
          <w:rFonts w:eastAsiaTheme="minorHAnsi"/>
          <w:color w:val="auto"/>
          <w:szCs w:val="24"/>
          <w:vertAlign w:val="subscript"/>
          <w:lang w:val="en-US" w:eastAsia="en-US"/>
        </w:rPr>
        <w:t>)</w:t>
      </w:r>
      <w:r w:rsidRPr="001250F6">
        <w:rPr>
          <w:rFonts w:eastAsiaTheme="minorHAnsi"/>
          <w:color w:val="auto"/>
          <w:szCs w:val="24"/>
          <w:lang w:val="en-US" w:eastAsia="en-US"/>
        </w:rPr>
        <w:t>, lenvatinib accounted for 60% and 64% of the total radioactivity in plasma and blood, respectively.</w:t>
      </w:r>
    </w:p>
    <w:p w:rsidR="00145B50" w:rsidRPr="001250F6" w:rsidRDefault="00145B50" w:rsidP="00145B50">
      <w:pPr>
        <w:autoSpaceDE w:val="0"/>
        <w:autoSpaceDN w:val="0"/>
        <w:adjustRightInd w:val="0"/>
        <w:rPr>
          <w:rFonts w:eastAsiaTheme="minorHAnsi"/>
          <w:color w:val="auto"/>
          <w:szCs w:val="24"/>
          <w:lang w:val="en-US" w:eastAsia="en-US"/>
        </w:rPr>
      </w:pPr>
    </w:p>
    <w:p w:rsidR="00145B50" w:rsidRPr="00BE78D8" w:rsidRDefault="00145B50" w:rsidP="00145B50">
      <w:pPr>
        <w:autoSpaceDE w:val="0"/>
        <w:autoSpaceDN w:val="0"/>
        <w:adjustRightInd w:val="0"/>
        <w:rPr>
          <w:rFonts w:eastAsiaTheme="minorHAnsi"/>
          <w:color w:val="auto"/>
          <w:szCs w:val="24"/>
          <w:lang w:val="en-US" w:eastAsia="en-US"/>
        </w:rPr>
      </w:pPr>
      <w:r w:rsidRPr="001250F6">
        <w:rPr>
          <w:rFonts w:eastAsiaTheme="minorHAnsi"/>
          <w:color w:val="auto"/>
          <w:szCs w:val="24"/>
          <w:lang w:val="en-US" w:eastAsia="en-US"/>
        </w:rPr>
        <w:t xml:space="preserve">Data from a human mass balance/excretion study indicate lenvatinib is extensively metabolised in humans. The main metabolic pathways in humans were identified as oxidation by aldehyde oxidase, demethylation via CYP3A4, glutathione conjugation with elimination of the O-aryl group (chlorbenzyl moiety), and combinations of these pathways followed by further biotransformations (eg, glucuronidation, hydrolysis of the glutathione moiety, degradation of the cysteine moiety, and intramolecular rearrangement of the cysteinylglycine and cysteine conjugates with subsequent dimerisation). These </w:t>
      </w:r>
      <w:r w:rsidRPr="001250F6">
        <w:rPr>
          <w:rFonts w:eastAsiaTheme="minorHAnsi"/>
          <w:i/>
          <w:iCs/>
          <w:color w:val="auto"/>
          <w:szCs w:val="24"/>
          <w:lang w:val="en-US" w:eastAsia="en-US"/>
        </w:rPr>
        <w:t xml:space="preserve">in vivo </w:t>
      </w:r>
      <w:r w:rsidRPr="001250F6">
        <w:rPr>
          <w:rFonts w:eastAsiaTheme="minorHAnsi"/>
          <w:color w:val="auto"/>
          <w:szCs w:val="24"/>
          <w:lang w:val="en-US" w:eastAsia="en-US"/>
        </w:rPr>
        <w:t xml:space="preserve">metabolic routes align with the data provided in the </w:t>
      </w:r>
      <w:r w:rsidRPr="001250F6">
        <w:rPr>
          <w:rFonts w:eastAsiaTheme="minorHAnsi"/>
          <w:i/>
          <w:iCs/>
          <w:color w:val="auto"/>
          <w:szCs w:val="24"/>
          <w:lang w:val="en-US" w:eastAsia="en-US"/>
        </w:rPr>
        <w:t xml:space="preserve">in vitro </w:t>
      </w:r>
      <w:r w:rsidRPr="001250F6">
        <w:rPr>
          <w:rFonts w:eastAsiaTheme="minorHAnsi"/>
          <w:color w:val="auto"/>
          <w:szCs w:val="24"/>
          <w:lang w:val="en-US" w:eastAsia="en-US"/>
        </w:rPr>
        <w:t>studies using human biomaterials.</w:t>
      </w:r>
    </w:p>
    <w:p w:rsidR="00145B50" w:rsidRPr="00BE78D8" w:rsidRDefault="00145B50" w:rsidP="00145B50">
      <w:pPr>
        <w:autoSpaceDE w:val="0"/>
        <w:autoSpaceDN w:val="0"/>
        <w:adjustRightInd w:val="0"/>
        <w:rPr>
          <w:rFonts w:eastAsiaTheme="minorHAnsi"/>
          <w:color w:val="auto"/>
          <w:szCs w:val="24"/>
          <w:lang w:val="en-US" w:eastAsia="en-US"/>
        </w:rPr>
      </w:pPr>
    </w:p>
    <w:p w:rsidR="00145B50" w:rsidRPr="004D4EB9" w:rsidRDefault="00145B50" w:rsidP="00145B50">
      <w:pPr>
        <w:autoSpaceDE w:val="0"/>
        <w:autoSpaceDN w:val="0"/>
        <w:adjustRightInd w:val="0"/>
        <w:rPr>
          <w:rFonts w:eastAsiaTheme="minorHAnsi"/>
          <w:color w:val="auto"/>
          <w:szCs w:val="24"/>
          <w:u w:val="single"/>
          <w:lang w:val="en-US" w:eastAsia="en-US"/>
        </w:rPr>
      </w:pPr>
      <w:r w:rsidRPr="004D4EB9">
        <w:rPr>
          <w:rFonts w:eastAsiaTheme="minorHAnsi"/>
          <w:color w:val="auto"/>
          <w:szCs w:val="24"/>
          <w:u w:val="single"/>
          <w:lang w:val="en-US" w:eastAsia="en-US"/>
        </w:rPr>
        <w:t>Elimination</w:t>
      </w:r>
    </w:p>
    <w:p w:rsidR="00145B50" w:rsidRPr="00BE78D8" w:rsidRDefault="00145B50" w:rsidP="00145B50">
      <w:pPr>
        <w:autoSpaceDE w:val="0"/>
        <w:autoSpaceDN w:val="0"/>
        <w:adjustRightInd w:val="0"/>
        <w:rPr>
          <w:rFonts w:eastAsiaTheme="minorHAnsi"/>
          <w:color w:val="auto"/>
          <w:szCs w:val="24"/>
          <w:lang w:val="en-US" w:eastAsia="en-US"/>
        </w:rPr>
      </w:pPr>
      <w:r w:rsidRPr="00BE78D8">
        <w:rPr>
          <w:rFonts w:eastAsiaTheme="minorHAnsi"/>
          <w:color w:val="auto"/>
          <w:szCs w:val="24"/>
          <w:lang w:val="en-US" w:eastAsia="en-US"/>
        </w:rPr>
        <w:t>Plasma concentrations decline bi-exponentially following C</w:t>
      </w:r>
      <w:r w:rsidRPr="00681D12">
        <w:rPr>
          <w:rFonts w:eastAsiaTheme="minorHAnsi"/>
          <w:color w:val="auto"/>
          <w:szCs w:val="24"/>
          <w:vertAlign w:val="subscript"/>
          <w:lang w:val="en-US" w:eastAsia="en-US"/>
        </w:rPr>
        <w:t>max</w:t>
      </w:r>
      <w:r w:rsidRPr="00BE78D8">
        <w:rPr>
          <w:rFonts w:eastAsiaTheme="minorHAnsi"/>
          <w:color w:val="auto"/>
          <w:szCs w:val="24"/>
          <w:lang w:val="en-US" w:eastAsia="en-US"/>
        </w:rPr>
        <w:t>. The mean terminal exponential half-life of lenvatinib is approximately 28 hours.</w:t>
      </w:r>
    </w:p>
    <w:p w:rsidR="00145B50" w:rsidRPr="00BE78D8" w:rsidRDefault="00145B50" w:rsidP="00145B50">
      <w:pPr>
        <w:autoSpaceDE w:val="0"/>
        <w:autoSpaceDN w:val="0"/>
        <w:adjustRightInd w:val="0"/>
        <w:rPr>
          <w:rFonts w:eastAsiaTheme="minorHAnsi"/>
          <w:color w:val="auto"/>
          <w:szCs w:val="24"/>
          <w:lang w:val="en-US" w:eastAsia="en-US"/>
        </w:rPr>
      </w:pPr>
    </w:p>
    <w:p w:rsidR="00145B50" w:rsidRPr="00BE78D8" w:rsidRDefault="00145B50" w:rsidP="00145B50">
      <w:pPr>
        <w:autoSpaceDE w:val="0"/>
        <w:autoSpaceDN w:val="0"/>
        <w:adjustRightInd w:val="0"/>
        <w:rPr>
          <w:rFonts w:eastAsiaTheme="minorHAnsi"/>
          <w:color w:val="auto"/>
          <w:szCs w:val="24"/>
          <w:lang w:val="en-US" w:eastAsia="en-US"/>
        </w:rPr>
      </w:pPr>
      <w:r w:rsidRPr="00BE78D8">
        <w:rPr>
          <w:rFonts w:eastAsiaTheme="minorHAnsi"/>
          <w:color w:val="auto"/>
          <w:szCs w:val="24"/>
          <w:lang w:val="en-US" w:eastAsia="en-US"/>
        </w:rPr>
        <w:t>Following administration of radiolabelled lenvatinib to 6 patients with solid tumours, approximately two</w:t>
      </w:r>
      <w:r w:rsidR="00FF0E17">
        <w:rPr>
          <w:rFonts w:eastAsiaTheme="minorHAnsi"/>
          <w:color w:val="auto"/>
          <w:szCs w:val="24"/>
          <w:lang w:val="en-US" w:eastAsia="en-US"/>
        </w:rPr>
        <w:t>-</w:t>
      </w:r>
      <w:r w:rsidRPr="00BE78D8">
        <w:rPr>
          <w:rFonts w:eastAsiaTheme="minorHAnsi"/>
          <w:color w:val="auto"/>
          <w:szCs w:val="24"/>
          <w:lang w:val="en-US" w:eastAsia="en-US"/>
        </w:rPr>
        <w:t>thirds and one-fourth of the radiolabel were eliminated in the faeces and urine, respectively. The M2 metabolite was the predominant analyte in excreta (~5% of the dose) with lenvatinib the second most prominent (~2.5%).</w:t>
      </w:r>
    </w:p>
    <w:p w:rsidR="00145B50" w:rsidRPr="00BE78D8" w:rsidRDefault="00145B50" w:rsidP="00145B50">
      <w:pPr>
        <w:autoSpaceDE w:val="0"/>
        <w:autoSpaceDN w:val="0"/>
        <w:adjustRightInd w:val="0"/>
        <w:rPr>
          <w:rFonts w:eastAsiaTheme="minorHAnsi"/>
          <w:color w:val="auto"/>
          <w:szCs w:val="24"/>
          <w:lang w:val="en-US" w:eastAsia="en-US"/>
        </w:rPr>
      </w:pPr>
    </w:p>
    <w:p w:rsidR="00145B50" w:rsidRPr="00BE78D8" w:rsidRDefault="00145B50" w:rsidP="00145B50">
      <w:pPr>
        <w:autoSpaceDE w:val="0"/>
        <w:autoSpaceDN w:val="0"/>
        <w:adjustRightInd w:val="0"/>
        <w:rPr>
          <w:rFonts w:eastAsiaTheme="minorHAnsi"/>
          <w:color w:val="auto"/>
          <w:szCs w:val="24"/>
          <w:lang w:val="en-US" w:eastAsia="en-US"/>
        </w:rPr>
      </w:pPr>
      <w:r w:rsidRPr="004D4EB9">
        <w:rPr>
          <w:rFonts w:eastAsiaTheme="minorHAnsi"/>
          <w:color w:val="auto"/>
          <w:szCs w:val="24"/>
          <w:u w:val="single"/>
          <w:lang w:val="en-US" w:eastAsia="en-US"/>
        </w:rPr>
        <w:t>Linearity/non-linearity</w:t>
      </w:r>
    </w:p>
    <w:p w:rsidR="00145B50" w:rsidRPr="00BE78D8" w:rsidRDefault="00145B50" w:rsidP="00145B50">
      <w:pPr>
        <w:autoSpaceDE w:val="0"/>
        <w:autoSpaceDN w:val="0"/>
        <w:adjustRightInd w:val="0"/>
        <w:rPr>
          <w:rFonts w:eastAsiaTheme="minorHAnsi"/>
          <w:i/>
          <w:iCs/>
          <w:color w:val="auto"/>
          <w:szCs w:val="24"/>
          <w:lang w:val="en-US" w:eastAsia="en-US"/>
        </w:rPr>
      </w:pPr>
      <w:r w:rsidRPr="00BE78D8">
        <w:rPr>
          <w:rFonts w:eastAsiaTheme="minorHAnsi"/>
          <w:i/>
          <w:iCs/>
          <w:color w:val="auto"/>
          <w:szCs w:val="24"/>
          <w:lang w:val="en-US" w:eastAsia="en-US"/>
        </w:rPr>
        <w:t>Dose proportionality and accumulation</w:t>
      </w:r>
    </w:p>
    <w:p w:rsidR="00145B50" w:rsidRPr="00A255ED" w:rsidRDefault="00145B50" w:rsidP="00145B50">
      <w:pPr>
        <w:autoSpaceDE w:val="0"/>
        <w:autoSpaceDN w:val="0"/>
        <w:adjustRightInd w:val="0"/>
        <w:rPr>
          <w:rFonts w:eastAsiaTheme="minorHAnsi"/>
          <w:color w:val="auto"/>
          <w:szCs w:val="24"/>
          <w:lang w:val="en-US" w:eastAsia="en-US"/>
        </w:rPr>
      </w:pPr>
      <w:r w:rsidRPr="00A255ED">
        <w:rPr>
          <w:rFonts w:eastAsiaTheme="minorHAnsi"/>
          <w:color w:val="auto"/>
          <w:szCs w:val="24"/>
          <w:lang w:val="en-US" w:eastAsia="en-US"/>
        </w:rPr>
        <w:t>In patients with solid tumours administered single and multiple doses of lenvatinib once daily, exposure to lenvatinib (C</w:t>
      </w:r>
      <w:r w:rsidRPr="00681D12">
        <w:rPr>
          <w:rFonts w:eastAsiaTheme="minorHAnsi"/>
          <w:color w:val="auto"/>
          <w:szCs w:val="24"/>
          <w:vertAlign w:val="subscript"/>
          <w:lang w:val="en-US" w:eastAsia="en-US"/>
        </w:rPr>
        <w:t>max</w:t>
      </w:r>
      <w:r w:rsidRPr="00A255ED">
        <w:rPr>
          <w:rFonts w:eastAsiaTheme="minorHAnsi"/>
          <w:color w:val="auto"/>
          <w:szCs w:val="24"/>
          <w:lang w:val="en-US" w:eastAsia="en-US"/>
        </w:rPr>
        <w:t xml:space="preserve"> and AUC) increased in direct proportion to the administered dose over the range of 3.2 to 32 mg once-daily (QD).</w:t>
      </w:r>
    </w:p>
    <w:p w:rsidR="00145B50" w:rsidRPr="00BE78D8" w:rsidRDefault="00145B50" w:rsidP="00145B50">
      <w:pPr>
        <w:autoSpaceDE w:val="0"/>
        <w:autoSpaceDN w:val="0"/>
        <w:adjustRightInd w:val="0"/>
        <w:rPr>
          <w:rFonts w:eastAsiaTheme="minorHAnsi"/>
          <w:color w:val="auto"/>
          <w:szCs w:val="24"/>
          <w:lang w:val="en-US" w:eastAsia="en-US"/>
        </w:rPr>
      </w:pPr>
      <w:r w:rsidRPr="00A255ED">
        <w:rPr>
          <w:rFonts w:eastAsiaTheme="minorHAnsi"/>
          <w:color w:val="auto"/>
          <w:szCs w:val="24"/>
          <w:lang w:val="en-US" w:eastAsia="en-US"/>
        </w:rPr>
        <w:t xml:space="preserve">Lenvatinib displays </w:t>
      </w:r>
      <w:r w:rsidR="00FF0E17" w:rsidRPr="00A255ED">
        <w:rPr>
          <w:rFonts w:eastAsiaTheme="minorHAnsi"/>
          <w:color w:val="auto"/>
          <w:szCs w:val="24"/>
          <w:lang w:val="en-US" w:eastAsia="en-US"/>
        </w:rPr>
        <w:t>minimal</w:t>
      </w:r>
      <w:r w:rsidRPr="00A255ED">
        <w:rPr>
          <w:rFonts w:eastAsiaTheme="minorHAnsi"/>
          <w:color w:val="auto"/>
          <w:szCs w:val="24"/>
          <w:lang w:val="en-US" w:eastAsia="en-US"/>
        </w:rPr>
        <w:t xml:space="preserve"> accumulation at steady state. Over this range, the median accumulation index (Rac) ranged from 0.96 (20 mg) to 1.54 (6.4 mg).</w:t>
      </w:r>
    </w:p>
    <w:p w:rsidR="00145B50" w:rsidRPr="00BE78D8" w:rsidRDefault="00145B50" w:rsidP="00145B50">
      <w:pPr>
        <w:autoSpaceDE w:val="0"/>
        <w:autoSpaceDN w:val="0"/>
        <w:adjustRightInd w:val="0"/>
        <w:rPr>
          <w:rFonts w:eastAsiaTheme="minorHAnsi"/>
          <w:color w:val="auto"/>
          <w:szCs w:val="24"/>
          <w:lang w:val="en-US" w:eastAsia="en-US"/>
        </w:rPr>
      </w:pPr>
    </w:p>
    <w:p w:rsidR="00145B50" w:rsidRPr="004D4EB9" w:rsidRDefault="00145B50" w:rsidP="00145B50">
      <w:pPr>
        <w:autoSpaceDE w:val="0"/>
        <w:autoSpaceDN w:val="0"/>
        <w:adjustRightInd w:val="0"/>
        <w:rPr>
          <w:rFonts w:eastAsiaTheme="minorHAnsi"/>
          <w:color w:val="auto"/>
          <w:szCs w:val="24"/>
          <w:u w:val="single"/>
          <w:lang w:val="en-US" w:eastAsia="en-US"/>
        </w:rPr>
      </w:pPr>
      <w:r w:rsidRPr="004D4EB9">
        <w:rPr>
          <w:rFonts w:eastAsiaTheme="minorHAnsi"/>
          <w:color w:val="auto"/>
          <w:szCs w:val="24"/>
          <w:u w:val="single"/>
          <w:lang w:val="en-US" w:eastAsia="en-US"/>
        </w:rPr>
        <w:t>Special populations</w:t>
      </w:r>
    </w:p>
    <w:p w:rsidR="00145B50" w:rsidRPr="00BE78D8" w:rsidRDefault="00145B50" w:rsidP="00145B50">
      <w:pPr>
        <w:autoSpaceDE w:val="0"/>
        <w:autoSpaceDN w:val="0"/>
        <w:adjustRightInd w:val="0"/>
        <w:rPr>
          <w:rFonts w:eastAsiaTheme="minorHAnsi"/>
          <w:i/>
          <w:iCs/>
          <w:color w:val="auto"/>
          <w:szCs w:val="24"/>
          <w:lang w:val="en-US" w:eastAsia="en-US"/>
        </w:rPr>
      </w:pPr>
      <w:r w:rsidRPr="00BE78D8">
        <w:rPr>
          <w:rFonts w:eastAsiaTheme="minorHAnsi"/>
          <w:i/>
          <w:iCs/>
          <w:color w:val="auto"/>
          <w:szCs w:val="24"/>
          <w:lang w:val="en-US" w:eastAsia="en-US"/>
        </w:rPr>
        <w:t>Hepatic impairment</w:t>
      </w:r>
    </w:p>
    <w:p w:rsidR="00145B50" w:rsidRPr="00BE78D8" w:rsidRDefault="00145B50" w:rsidP="00145B50">
      <w:pPr>
        <w:autoSpaceDE w:val="0"/>
        <w:autoSpaceDN w:val="0"/>
        <w:adjustRightInd w:val="0"/>
        <w:rPr>
          <w:rFonts w:eastAsiaTheme="minorHAnsi"/>
          <w:color w:val="auto"/>
          <w:szCs w:val="24"/>
          <w:lang w:val="en-US" w:eastAsia="en-US"/>
        </w:rPr>
      </w:pPr>
      <w:r w:rsidRPr="00BE78D8">
        <w:rPr>
          <w:rFonts w:eastAsiaTheme="minorHAnsi"/>
          <w:color w:val="auto"/>
          <w:szCs w:val="24"/>
          <w:lang w:val="en-US" w:eastAsia="en-US"/>
        </w:rPr>
        <w:t xml:space="preserve">The pharmacokinetics of lenvatinib following a single 10-mg dose </w:t>
      </w:r>
      <w:proofErr w:type="gramStart"/>
      <w:r w:rsidRPr="00BE78D8">
        <w:rPr>
          <w:rFonts w:eastAsiaTheme="minorHAnsi"/>
          <w:color w:val="auto"/>
          <w:szCs w:val="24"/>
          <w:lang w:val="en-US" w:eastAsia="en-US"/>
        </w:rPr>
        <w:t>were</w:t>
      </w:r>
      <w:proofErr w:type="gramEnd"/>
      <w:r w:rsidRPr="00BE78D8">
        <w:rPr>
          <w:rFonts w:eastAsiaTheme="minorHAnsi"/>
          <w:color w:val="auto"/>
          <w:szCs w:val="24"/>
          <w:lang w:val="en-US" w:eastAsia="en-US"/>
        </w:rPr>
        <w:t xml:space="preserve"> evaluated in 6 subjects each with</w:t>
      </w:r>
      <w:r w:rsidR="00790EA5" w:rsidRPr="00BE78D8">
        <w:rPr>
          <w:rFonts w:eastAsiaTheme="minorHAnsi"/>
          <w:color w:val="auto"/>
          <w:szCs w:val="24"/>
          <w:lang w:val="en-US" w:eastAsia="en-US"/>
        </w:rPr>
        <w:t xml:space="preserve"> </w:t>
      </w:r>
      <w:r w:rsidRPr="00BE78D8">
        <w:rPr>
          <w:rFonts w:eastAsiaTheme="minorHAnsi"/>
          <w:color w:val="auto"/>
          <w:szCs w:val="24"/>
          <w:lang w:val="en-US" w:eastAsia="en-US"/>
        </w:rPr>
        <w:t xml:space="preserve">mild </w:t>
      </w:r>
      <w:r w:rsidR="00FF0E17">
        <w:rPr>
          <w:rFonts w:eastAsiaTheme="minorHAnsi"/>
          <w:color w:val="auto"/>
          <w:szCs w:val="24"/>
          <w:lang w:val="en-US" w:eastAsia="en-US"/>
        </w:rPr>
        <w:t>or</w:t>
      </w:r>
      <w:r w:rsidR="00FF0E17" w:rsidRPr="00BE78D8">
        <w:rPr>
          <w:rFonts w:eastAsiaTheme="minorHAnsi"/>
          <w:color w:val="auto"/>
          <w:szCs w:val="24"/>
          <w:lang w:val="en-US" w:eastAsia="en-US"/>
        </w:rPr>
        <w:t xml:space="preserve"> </w:t>
      </w:r>
      <w:r w:rsidRPr="00BE78D8">
        <w:rPr>
          <w:rFonts w:eastAsiaTheme="minorHAnsi"/>
          <w:color w:val="auto"/>
          <w:szCs w:val="24"/>
          <w:lang w:val="en-US" w:eastAsia="en-US"/>
        </w:rPr>
        <w:t>moderate hepatic impairment (Child-Pugh A and Child-Pugh B, respectively). A 5-mg dose was evaluated in 6 subjects with severe hepatic impairment (Child-Pugh C). Eight healthy, demographically matched subjects served as controls and received a 10-mg dose. The median half-life was comparable in subjects with mild, moderate, and severe hepatic impairment as well as those with normal hepatic function and ranged from 26 hours to 31 hours. The percentage of the dose of lenvatinib excreted in urine was low in all cohorts (&lt;2.16% across treatment cohorts).</w:t>
      </w:r>
    </w:p>
    <w:p w:rsidR="00145B50" w:rsidRPr="00BE78D8" w:rsidRDefault="00145B50" w:rsidP="00145B50">
      <w:pPr>
        <w:autoSpaceDE w:val="0"/>
        <w:autoSpaceDN w:val="0"/>
        <w:adjustRightInd w:val="0"/>
        <w:rPr>
          <w:rFonts w:eastAsiaTheme="minorHAnsi"/>
          <w:color w:val="auto"/>
          <w:szCs w:val="24"/>
          <w:lang w:val="en-US" w:eastAsia="en-US"/>
        </w:rPr>
      </w:pPr>
    </w:p>
    <w:p w:rsidR="00145B50" w:rsidRPr="00BE78D8" w:rsidRDefault="00145B50" w:rsidP="00145B50">
      <w:pPr>
        <w:autoSpaceDE w:val="0"/>
        <w:autoSpaceDN w:val="0"/>
        <w:adjustRightInd w:val="0"/>
        <w:rPr>
          <w:rFonts w:eastAsiaTheme="minorHAnsi"/>
          <w:color w:val="auto"/>
          <w:szCs w:val="24"/>
          <w:lang w:val="en-US" w:eastAsia="en-US"/>
        </w:rPr>
      </w:pPr>
      <w:r w:rsidRPr="00BE78D8">
        <w:rPr>
          <w:rFonts w:eastAsiaTheme="minorHAnsi"/>
          <w:color w:val="auto"/>
          <w:szCs w:val="24"/>
          <w:lang w:val="en-US" w:eastAsia="en-US"/>
        </w:rPr>
        <w:t>Lenvatinib exposure, based on dose-adjusted AUC</w:t>
      </w:r>
      <w:r w:rsidRPr="00681D12">
        <w:rPr>
          <w:rFonts w:eastAsiaTheme="minorHAnsi"/>
          <w:color w:val="auto"/>
          <w:szCs w:val="24"/>
          <w:vertAlign w:val="subscript"/>
          <w:lang w:val="en-US" w:eastAsia="en-US"/>
        </w:rPr>
        <w:t xml:space="preserve">0-t,unbound </w:t>
      </w:r>
      <w:r w:rsidRPr="00BE78D8">
        <w:rPr>
          <w:rFonts w:eastAsiaTheme="minorHAnsi"/>
          <w:color w:val="auto"/>
          <w:szCs w:val="24"/>
          <w:lang w:val="en-US" w:eastAsia="en-US"/>
        </w:rPr>
        <w:t>and AUC</w:t>
      </w:r>
      <w:r w:rsidRPr="00681D12">
        <w:rPr>
          <w:rFonts w:eastAsiaTheme="minorHAnsi"/>
          <w:color w:val="auto"/>
          <w:szCs w:val="24"/>
          <w:vertAlign w:val="subscript"/>
          <w:lang w:val="en-US" w:eastAsia="en-US"/>
        </w:rPr>
        <w:t>0-inf,unbound</w:t>
      </w:r>
      <w:r w:rsidRPr="00BE78D8">
        <w:rPr>
          <w:rFonts w:eastAsiaTheme="minorHAnsi"/>
          <w:color w:val="auto"/>
          <w:szCs w:val="24"/>
          <w:lang w:val="en-US" w:eastAsia="en-US"/>
        </w:rPr>
        <w:t>, was approximately 65%, 122%, and 273% of normal for subjects with mil</w:t>
      </w:r>
      <w:r w:rsidR="00790EA5" w:rsidRPr="00BE78D8">
        <w:rPr>
          <w:rFonts w:eastAsiaTheme="minorHAnsi"/>
          <w:color w:val="auto"/>
          <w:szCs w:val="24"/>
          <w:lang w:val="en-US" w:eastAsia="en-US"/>
        </w:rPr>
        <w:t xml:space="preserve">d, moderate, and severe hepatic </w:t>
      </w:r>
      <w:r w:rsidRPr="00BE78D8">
        <w:rPr>
          <w:rFonts w:eastAsiaTheme="minorHAnsi"/>
          <w:color w:val="auto"/>
          <w:szCs w:val="24"/>
          <w:lang w:val="en-US" w:eastAsia="en-US"/>
        </w:rPr>
        <w:t>impairment, respectively.</w:t>
      </w:r>
      <w:r w:rsidR="00EE42B2">
        <w:rPr>
          <w:rFonts w:eastAsiaTheme="minorHAnsi"/>
          <w:color w:val="auto"/>
          <w:szCs w:val="24"/>
          <w:lang w:val="en-US" w:eastAsia="en-US"/>
        </w:rPr>
        <w:t xml:space="preserve"> </w:t>
      </w:r>
      <w:r w:rsidRPr="00BE78D8">
        <w:rPr>
          <w:rFonts w:eastAsiaTheme="minorHAnsi"/>
          <w:color w:val="auto"/>
          <w:szCs w:val="24"/>
          <w:lang w:val="en-US" w:eastAsia="en-US"/>
        </w:rPr>
        <w:t>Based on the analogous AUC</w:t>
      </w:r>
      <w:r w:rsidRPr="00681D12">
        <w:rPr>
          <w:rFonts w:eastAsiaTheme="minorHAnsi"/>
          <w:color w:val="auto"/>
          <w:szCs w:val="24"/>
          <w:vertAlign w:val="subscript"/>
          <w:lang w:val="en-US" w:eastAsia="en-US"/>
        </w:rPr>
        <w:t>0-t</w:t>
      </w:r>
      <w:r w:rsidRPr="00BE78D8">
        <w:rPr>
          <w:rFonts w:eastAsiaTheme="minorHAnsi"/>
          <w:color w:val="auto"/>
          <w:szCs w:val="24"/>
          <w:lang w:val="en-US" w:eastAsia="en-US"/>
        </w:rPr>
        <w:t xml:space="preserve"> and AUC</w:t>
      </w:r>
      <w:r w:rsidRPr="00681D12">
        <w:rPr>
          <w:rFonts w:eastAsiaTheme="minorHAnsi"/>
          <w:color w:val="auto"/>
          <w:szCs w:val="24"/>
          <w:vertAlign w:val="subscript"/>
          <w:lang w:val="en-US" w:eastAsia="en-US"/>
        </w:rPr>
        <w:t xml:space="preserve">0-inf </w:t>
      </w:r>
      <w:r w:rsidRPr="00BE78D8">
        <w:rPr>
          <w:rFonts w:eastAsiaTheme="minorHAnsi"/>
          <w:color w:val="auto"/>
          <w:szCs w:val="24"/>
          <w:lang w:val="en-US" w:eastAsia="en-US"/>
        </w:rPr>
        <w:t>data, lenvatinib exposure was 119%, 107%, and 180% of</w:t>
      </w:r>
      <w:r w:rsidR="004C768E" w:rsidRPr="00BE78D8">
        <w:rPr>
          <w:rFonts w:eastAsiaTheme="minorHAnsi"/>
          <w:color w:val="auto"/>
          <w:szCs w:val="24"/>
          <w:lang w:val="en-US" w:eastAsia="en-US"/>
        </w:rPr>
        <w:t xml:space="preserve"> </w:t>
      </w:r>
      <w:r w:rsidRPr="00BE78D8">
        <w:rPr>
          <w:rFonts w:eastAsiaTheme="minorHAnsi"/>
          <w:color w:val="auto"/>
          <w:szCs w:val="24"/>
          <w:lang w:val="en-US" w:eastAsia="en-US"/>
        </w:rPr>
        <w:t>normal for subjects with mild, moderate, and severe hepatic impairment, re</w:t>
      </w:r>
      <w:r w:rsidR="00790EA5" w:rsidRPr="00BE78D8">
        <w:rPr>
          <w:rFonts w:eastAsiaTheme="minorHAnsi"/>
          <w:color w:val="auto"/>
          <w:szCs w:val="24"/>
          <w:lang w:val="en-US" w:eastAsia="en-US"/>
        </w:rPr>
        <w:t>spectively. See</w:t>
      </w:r>
      <w:r w:rsidR="00FF0E17">
        <w:rPr>
          <w:rFonts w:eastAsiaTheme="minorHAnsi"/>
          <w:color w:val="auto"/>
          <w:szCs w:val="24"/>
          <w:lang w:val="en-US" w:eastAsia="en-US"/>
        </w:rPr>
        <w:t xml:space="preserve"> </w:t>
      </w:r>
      <w:r w:rsidR="00EE42B2" w:rsidRPr="001641B7">
        <w:rPr>
          <w:rFonts w:eastAsiaTheme="minorHAnsi"/>
          <w:color w:val="auto"/>
          <w:szCs w:val="24"/>
          <w:lang w:val="en-US" w:eastAsia="en-US"/>
        </w:rPr>
        <w:t>DOS</w:t>
      </w:r>
      <w:r w:rsidR="00EE42B2">
        <w:rPr>
          <w:rFonts w:eastAsiaTheme="minorHAnsi"/>
          <w:color w:val="auto"/>
          <w:szCs w:val="24"/>
          <w:lang w:val="en-US" w:eastAsia="en-US"/>
        </w:rPr>
        <w:t xml:space="preserve">AGE AND </w:t>
      </w:r>
      <w:proofErr w:type="gramStart"/>
      <w:r w:rsidR="00EE42B2">
        <w:rPr>
          <w:rFonts w:eastAsiaTheme="minorHAnsi"/>
          <w:color w:val="auto"/>
          <w:szCs w:val="24"/>
          <w:lang w:val="en-US" w:eastAsia="en-US"/>
        </w:rPr>
        <w:t>ADMINISTRATION</w:t>
      </w:r>
      <w:r w:rsidR="00EE42B2" w:rsidRPr="00BE78D8" w:rsidDel="00EE42B2">
        <w:rPr>
          <w:rFonts w:eastAsiaTheme="minorHAnsi"/>
          <w:color w:val="auto"/>
          <w:szCs w:val="24"/>
          <w:lang w:val="en-US" w:eastAsia="en-US"/>
        </w:rPr>
        <w:t xml:space="preserve"> </w:t>
      </w:r>
      <w:r w:rsidRPr="00BE78D8">
        <w:rPr>
          <w:rFonts w:eastAsiaTheme="minorHAnsi"/>
          <w:color w:val="auto"/>
          <w:szCs w:val="24"/>
          <w:lang w:val="en-US" w:eastAsia="en-US"/>
        </w:rPr>
        <w:t>.</w:t>
      </w:r>
      <w:proofErr w:type="gramEnd"/>
    </w:p>
    <w:p w:rsidR="00790EA5" w:rsidRPr="00BE78D8" w:rsidRDefault="00790EA5" w:rsidP="00145B50">
      <w:pPr>
        <w:autoSpaceDE w:val="0"/>
        <w:autoSpaceDN w:val="0"/>
        <w:adjustRightInd w:val="0"/>
        <w:rPr>
          <w:rFonts w:eastAsiaTheme="minorHAnsi"/>
          <w:i/>
          <w:iCs/>
          <w:color w:val="auto"/>
          <w:szCs w:val="24"/>
          <w:lang w:val="en-US" w:eastAsia="en-US"/>
        </w:rPr>
      </w:pPr>
    </w:p>
    <w:p w:rsidR="00145B50" w:rsidRPr="00BE78D8" w:rsidRDefault="00145B50" w:rsidP="00145B50">
      <w:pPr>
        <w:autoSpaceDE w:val="0"/>
        <w:autoSpaceDN w:val="0"/>
        <w:adjustRightInd w:val="0"/>
        <w:rPr>
          <w:rFonts w:eastAsiaTheme="minorHAnsi"/>
          <w:i/>
          <w:iCs/>
          <w:color w:val="auto"/>
          <w:szCs w:val="24"/>
          <w:lang w:val="en-US" w:eastAsia="en-US"/>
        </w:rPr>
      </w:pPr>
      <w:r w:rsidRPr="00BE78D8">
        <w:rPr>
          <w:rFonts w:eastAsiaTheme="minorHAnsi"/>
          <w:i/>
          <w:iCs/>
          <w:color w:val="auto"/>
          <w:szCs w:val="24"/>
          <w:lang w:val="en-US" w:eastAsia="en-US"/>
        </w:rPr>
        <w:t>Renal impairment</w:t>
      </w:r>
    </w:p>
    <w:p w:rsidR="00145B50" w:rsidRPr="00BE78D8" w:rsidRDefault="00145B50" w:rsidP="00145B50">
      <w:pPr>
        <w:autoSpaceDE w:val="0"/>
        <w:autoSpaceDN w:val="0"/>
        <w:adjustRightInd w:val="0"/>
        <w:rPr>
          <w:rFonts w:eastAsiaTheme="minorHAnsi"/>
          <w:color w:val="auto"/>
          <w:szCs w:val="24"/>
          <w:lang w:val="en-US" w:eastAsia="en-US"/>
        </w:rPr>
      </w:pPr>
      <w:r w:rsidRPr="00BE78D8">
        <w:rPr>
          <w:rFonts w:eastAsiaTheme="minorHAnsi"/>
          <w:color w:val="auto"/>
          <w:szCs w:val="24"/>
          <w:lang w:val="en-US" w:eastAsia="en-US"/>
        </w:rPr>
        <w:t>The pharmacokinetics of lenvatinib following a single 24-mg dose were ev</w:t>
      </w:r>
      <w:r w:rsidR="00790EA5" w:rsidRPr="00BE78D8">
        <w:rPr>
          <w:rFonts w:eastAsiaTheme="minorHAnsi"/>
          <w:color w:val="auto"/>
          <w:szCs w:val="24"/>
          <w:lang w:val="en-US" w:eastAsia="en-US"/>
        </w:rPr>
        <w:t xml:space="preserve">aluated in 6 subjects each with </w:t>
      </w:r>
      <w:r w:rsidRPr="00BE78D8">
        <w:rPr>
          <w:rFonts w:eastAsiaTheme="minorHAnsi"/>
          <w:color w:val="auto"/>
          <w:szCs w:val="24"/>
          <w:lang w:val="en-US" w:eastAsia="en-US"/>
        </w:rPr>
        <w:t xml:space="preserve">mild, moderate, </w:t>
      </w:r>
      <w:r w:rsidR="00FF0E17">
        <w:rPr>
          <w:rFonts w:eastAsiaTheme="minorHAnsi"/>
          <w:color w:val="auto"/>
          <w:szCs w:val="24"/>
          <w:lang w:val="en-US" w:eastAsia="en-US"/>
        </w:rPr>
        <w:t>or</w:t>
      </w:r>
      <w:r w:rsidR="00FF0E17" w:rsidRPr="00BE78D8">
        <w:rPr>
          <w:rFonts w:eastAsiaTheme="minorHAnsi"/>
          <w:color w:val="auto"/>
          <w:szCs w:val="24"/>
          <w:lang w:val="en-US" w:eastAsia="en-US"/>
        </w:rPr>
        <w:t xml:space="preserve"> </w:t>
      </w:r>
      <w:r w:rsidRPr="00BE78D8">
        <w:rPr>
          <w:rFonts w:eastAsiaTheme="minorHAnsi"/>
          <w:color w:val="auto"/>
          <w:szCs w:val="24"/>
          <w:lang w:val="en-US" w:eastAsia="en-US"/>
        </w:rPr>
        <w:t>severe renal impairment, and compared with 8 h</w:t>
      </w:r>
      <w:r w:rsidR="00790EA5" w:rsidRPr="00BE78D8">
        <w:rPr>
          <w:rFonts w:eastAsiaTheme="minorHAnsi"/>
          <w:color w:val="auto"/>
          <w:szCs w:val="24"/>
          <w:lang w:val="en-US" w:eastAsia="en-US"/>
        </w:rPr>
        <w:t xml:space="preserve">ealthy, demographically matched </w:t>
      </w:r>
      <w:r w:rsidRPr="00BE78D8">
        <w:rPr>
          <w:rFonts w:eastAsiaTheme="minorHAnsi"/>
          <w:color w:val="auto"/>
          <w:szCs w:val="24"/>
          <w:lang w:val="en-US" w:eastAsia="en-US"/>
        </w:rPr>
        <w:t>subjects. Subjects with end-stage renal disease were not studied. The percentage o</w:t>
      </w:r>
      <w:r w:rsidR="00790EA5" w:rsidRPr="00BE78D8">
        <w:rPr>
          <w:rFonts w:eastAsiaTheme="minorHAnsi"/>
          <w:color w:val="auto"/>
          <w:szCs w:val="24"/>
          <w:lang w:val="en-US" w:eastAsia="en-US"/>
        </w:rPr>
        <w:t xml:space="preserve">f unbound lenvatinib was </w:t>
      </w:r>
      <w:r w:rsidRPr="00BE78D8">
        <w:rPr>
          <w:rFonts w:eastAsiaTheme="minorHAnsi"/>
          <w:color w:val="auto"/>
          <w:szCs w:val="24"/>
          <w:lang w:val="en-US" w:eastAsia="en-US"/>
        </w:rPr>
        <w:t xml:space="preserve">similar between subjects with normal renal </w:t>
      </w:r>
      <w:r w:rsidRPr="00BE78D8">
        <w:rPr>
          <w:rFonts w:eastAsiaTheme="minorHAnsi"/>
          <w:color w:val="auto"/>
          <w:szCs w:val="24"/>
          <w:lang w:val="en-US" w:eastAsia="en-US"/>
        </w:rPr>
        <w:lastRenderedPageBreak/>
        <w:t>function (8% ± 3%, mean ±</w:t>
      </w:r>
      <w:r w:rsidR="00790EA5" w:rsidRPr="00BE78D8">
        <w:rPr>
          <w:rFonts w:eastAsiaTheme="minorHAnsi"/>
          <w:color w:val="auto"/>
          <w:szCs w:val="24"/>
          <w:lang w:val="en-US" w:eastAsia="en-US"/>
        </w:rPr>
        <w:t xml:space="preserve"> SD) and those with severely </w:t>
      </w:r>
      <w:r w:rsidRPr="00BE78D8">
        <w:rPr>
          <w:rFonts w:eastAsiaTheme="minorHAnsi"/>
          <w:color w:val="auto"/>
          <w:szCs w:val="24"/>
          <w:lang w:val="en-US" w:eastAsia="en-US"/>
        </w:rPr>
        <w:t>impaired renal function (9% ± 2%).</w:t>
      </w:r>
      <w:r w:rsidR="00240ADF">
        <w:rPr>
          <w:rFonts w:eastAsiaTheme="minorHAnsi"/>
          <w:color w:val="auto"/>
          <w:szCs w:val="24"/>
          <w:lang w:val="en-US" w:eastAsia="en-US"/>
        </w:rPr>
        <w:t xml:space="preserve"> </w:t>
      </w:r>
      <w:r w:rsidRPr="00BE78D8">
        <w:rPr>
          <w:rFonts w:eastAsiaTheme="minorHAnsi"/>
          <w:color w:val="auto"/>
          <w:szCs w:val="24"/>
          <w:lang w:val="en-US" w:eastAsia="en-US"/>
        </w:rPr>
        <w:t>AUC</w:t>
      </w:r>
      <w:r w:rsidRPr="00681D12">
        <w:rPr>
          <w:rFonts w:eastAsiaTheme="minorHAnsi"/>
          <w:color w:val="auto"/>
          <w:szCs w:val="24"/>
          <w:vertAlign w:val="subscript"/>
          <w:lang w:val="en-US" w:eastAsia="en-US"/>
        </w:rPr>
        <w:t>0-inf</w:t>
      </w:r>
      <w:proofErr w:type="gramStart"/>
      <w:r w:rsidRPr="00681D12">
        <w:rPr>
          <w:rFonts w:eastAsiaTheme="minorHAnsi"/>
          <w:color w:val="auto"/>
          <w:szCs w:val="24"/>
          <w:vertAlign w:val="subscript"/>
          <w:lang w:val="en-US" w:eastAsia="en-US"/>
        </w:rPr>
        <w:t>,unbound</w:t>
      </w:r>
      <w:proofErr w:type="gramEnd"/>
      <w:r w:rsidRPr="00681D12">
        <w:rPr>
          <w:rFonts w:eastAsiaTheme="minorHAnsi"/>
          <w:color w:val="auto"/>
          <w:szCs w:val="24"/>
          <w:vertAlign w:val="subscript"/>
          <w:lang w:val="en-US" w:eastAsia="en-US"/>
        </w:rPr>
        <w:t xml:space="preserve"> </w:t>
      </w:r>
      <w:r w:rsidRPr="00BE78D8">
        <w:rPr>
          <w:rFonts w:eastAsiaTheme="minorHAnsi"/>
          <w:color w:val="auto"/>
          <w:szCs w:val="24"/>
          <w:lang w:val="en-US" w:eastAsia="en-US"/>
        </w:rPr>
        <w:t xml:space="preserve">estimates for subjects with mild, moderate, </w:t>
      </w:r>
      <w:r w:rsidR="00FF0E17">
        <w:rPr>
          <w:rFonts w:eastAsiaTheme="minorHAnsi"/>
          <w:color w:val="auto"/>
          <w:szCs w:val="24"/>
          <w:lang w:val="en-US" w:eastAsia="en-US"/>
        </w:rPr>
        <w:t>or</w:t>
      </w:r>
      <w:r w:rsidR="00FF0E17" w:rsidRPr="00BE78D8">
        <w:rPr>
          <w:rFonts w:eastAsiaTheme="minorHAnsi"/>
          <w:color w:val="auto"/>
          <w:szCs w:val="24"/>
          <w:lang w:val="en-US" w:eastAsia="en-US"/>
        </w:rPr>
        <w:t xml:space="preserve"> </w:t>
      </w:r>
      <w:r w:rsidRPr="00BE78D8">
        <w:rPr>
          <w:rFonts w:eastAsiaTheme="minorHAnsi"/>
          <w:color w:val="auto"/>
          <w:szCs w:val="24"/>
          <w:lang w:val="en-US" w:eastAsia="en-US"/>
        </w:rPr>
        <w:t xml:space="preserve">severe renal impairment were 54%, </w:t>
      </w:r>
      <w:r w:rsidR="00790EA5" w:rsidRPr="00BE78D8">
        <w:rPr>
          <w:rFonts w:eastAsiaTheme="minorHAnsi"/>
          <w:color w:val="auto"/>
          <w:szCs w:val="24"/>
          <w:lang w:val="en-US" w:eastAsia="en-US"/>
        </w:rPr>
        <w:t>129%,</w:t>
      </w:r>
      <w:r w:rsidRPr="00BE78D8">
        <w:rPr>
          <w:rFonts w:eastAsiaTheme="minorHAnsi"/>
          <w:color w:val="auto"/>
          <w:szCs w:val="24"/>
          <w:lang w:val="en-US" w:eastAsia="en-US"/>
        </w:rPr>
        <w:t>and 184%, respectively, compared with normal subjects. Additionally, a</w:t>
      </w:r>
      <w:r w:rsidR="00790EA5" w:rsidRPr="00BE78D8">
        <w:rPr>
          <w:rFonts w:eastAsiaTheme="minorHAnsi"/>
          <w:color w:val="auto"/>
          <w:szCs w:val="24"/>
          <w:lang w:val="en-US" w:eastAsia="en-US"/>
        </w:rPr>
        <w:t xml:space="preserve"> linear equation was fit to the </w:t>
      </w:r>
      <w:r w:rsidRPr="00BE78D8">
        <w:rPr>
          <w:rFonts w:eastAsiaTheme="minorHAnsi"/>
          <w:color w:val="auto"/>
          <w:szCs w:val="24"/>
          <w:lang w:val="en-US" w:eastAsia="en-US"/>
        </w:rPr>
        <w:t>creatinine clearance vs. AUC</w:t>
      </w:r>
      <w:r w:rsidRPr="00681D12">
        <w:rPr>
          <w:rFonts w:eastAsiaTheme="minorHAnsi"/>
          <w:color w:val="auto"/>
          <w:szCs w:val="24"/>
          <w:vertAlign w:val="subscript"/>
          <w:lang w:val="en-US" w:eastAsia="en-US"/>
        </w:rPr>
        <w:t>0-inf</w:t>
      </w:r>
      <w:proofErr w:type="gramStart"/>
      <w:r w:rsidRPr="00681D12">
        <w:rPr>
          <w:rFonts w:eastAsiaTheme="minorHAnsi"/>
          <w:color w:val="auto"/>
          <w:szCs w:val="24"/>
          <w:vertAlign w:val="subscript"/>
          <w:lang w:val="en-US" w:eastAsia="en-US"/>
        </w:rPr>
        <w:t>,unbound</w:t>
      </w:r>
      <w:proofErr w:type="gramEnd"/>
      <w:r w:rsidRPr="00681D12">
        <w:rPr>
          <w:rFonts w:eastAsiaTheme="minorHAnsi"/>
          <w:color w:val="auto"/>
          <w:szCs w:val="24"/>
          <w:vertAlign w:val="subscript"/>
          <w:lang w:val="en-US" w:eastAsia="en-US"/>
        </w:rPr>
        <w:t xml:space="preserve"> </w:t>
      </w:r>
      <w:r w:rsidRPr="00BE78D8">
        <w:rPr>
          <w:rFonts w:eastAsiaTheme="minorHAnsi"/>
          <w:color w:val="auto"/>
          <w:szCs w:val="24"/>
          <w:lang w:val="en-US" w:eastAsia="en-US"/>
        </w:rPr>
        <w:t>data and exposure was predic</w:t>
      </w:r>
      <w:r w:rsidR="00790EA5" w:rsidRPr="00BE78D8">
        <w:rPr>
          <w:rFonts w:eastAsiaTheme="minorHAnsi"/>
          <w:color w:val="auto"/>
          <w:szCs w:val="24"/>
          <w:lang w:val="en-US" w:eastAsia="en-US"/>
        </w:rPr>
        <w:t xml:space="preserve">ted. Subjects with severe renal </w:t>
      </w:r>
      <w:r w:rsidRPr="00BE78D8">
        <w:rPr>
          <w:rFonts w:eastAsiaTheme="minorHAnsi"/>
          <w:color w:val="auto"/>
          <w:szCs w:val="24"/>
          <w:lang w:val="en-US" w:eastAsia="en-US"/>
        </w:rPr>
        <w:t xml:space="preserve">impairment were predicted to have a 2.4-fold increase in </w:t>
      </w:r>
      <w:r w:rsidRPr="00587B28">
        <w:rPr>
          <w:rFonts w:eastAsiaTheme="minorHAnsi"/>
          <w:color w:val="auto"/>
          <w:szCs w:val="24"/>
          <w:lang w:val="en-US" w:eastAsia="en-US"/>
        </w:rPr>
        <w:t>expos</w:t>
      </w:r>
      <w:r w:rsidR="00790EA5" w:rsidRPr="00587B28">
        <w:rPr>
          <w:rFonts w:eastAsiaTheme="minorHAnsi"/>
          <w:color w:val="auto"/>
          <w:szCs w:val="24"/>
          <w:lang w:val="en-US" w:eastAsia="en-US"/>
        </w:rPr>
        <w:t>ure.</w:t>
      </w:r>
      <w:r w:rsidR="005C29FE" w:rsidRPr="00587B28">
        <w:rPr>
          <w:rFonts w:eastAsiaTheme="minorHAnsi"/>
          <w:color w:val="auto"/>
          <w:szCs w:val="24"/>
          <w:lang w:val="en-AU" w:eastAsia="en-US"/>
        </w:rPr>
        <w:t xml:space="preserve"> Therefore dosage needs to be reduced</w:t>
      </w:r>
      <w:r w:rsidR="008A7BEC">
        <w:rPr>
          <w:rFonts w:eastAsiaTheme="minorHAnsi"/>
          <w:color w:val="auto"/>
          <w:szCs w:val="24"/>
          <w:lang w:val="en-AU" w:eastAsia="en-US"/>
        </w:rPr>
        <w:t xml:space="preserve"> in patients with severe renal impairment</w:t>
      </w:r>
      <w:r w:rsidR="00790EA5" w:rsidRPr="00587B28">
        <w:rPr>
          <w:rFonts w:eastAsiaTheme="minorHAnsi"/>
          <w:color w:val="auto"/>
          <w:szCs w:val="24"/>
          <w:lang w:val="en-US" w:eastAsia="en-US"/>
        </w:rPr>
        <w:t xml:space="preserve"> </w:t>
      </w:r>
      <w:r w:rsidR="008A7BEC">
        <w:rPr>
          <w:rFonts w:eastAsiaTheme="minorHAnsi"/>
          <w:color w:val="auto"/>
          <w:szCs w:val="24"/>
          <w:lang w:val="en-US" w:eastAsia="en-US"/>
        </w:rPr>
        <w:t>(</w:t>
      </w:r>
      <w:r w:rsidR="00790EA5" w:rsidRPr="00587B28">
        <w:rPr>
          <w:rFonts w:eastAsiaTheme="minorHAnsi"/>
          <w:color w:val="auto"/>
          <w:szCs w:val="24"/>
          <w:lang w:val="en-US" w:eastAsia="en-US"/>
        </w:rPr>
        <w:t xml:space="preserve">See </w:t>
      </w:r>
      <w:r w:rsidR="001641B7" w:rsidRPr="00587B28">
        <w:rPr>
          <w:rFonts w:eastAsiaTheme="minorHAnsi"/>
          <w:color w:val="auto"/>
          <w:szCs w:val="24"/>
          <w:lang w:val="en-US" w:eastAsia="en-US"/>
        </w:rPr>
        <w:t>DOSAGE</w:t>
      </w:r>
      <w:r w:rsidR="001641B7">
        <w:rPr>
          <w:rFonts w:eastAsiaTheme="minorHAnsi"/>
          <w:color w:val="auto"/>
          <w:szCs w:val="24"/>
          <w:lang w:val="en-US" w:eastAsia="en-US"/>
        </w:rPr>
        <w:t xml:space="preserve"> AND ADMINISTRATION</w:t>
      </w:r>
      <w:r w:rsidR="008A7BEC">
        <w:rPr>
          <w:rFonts w:eastAsiaTheme="minorHAnsi"/>
          <w:color w:val="auto"/>
          <w:szCs w:val="24"/>
          <w:lang w:val="en-US" w:eastAsia="en-US"/>
        </w:rPr>
        <w:t>)</w:t>
      </w:r>
      <w:r w:rsidR="00FF0E17">
        <w:rPr>
          <w:rFonts w:eastAsiaTheme="minorHAnsi"/>
          <w:color w:val="auto"/>
          <w:szCs w:val="24"/>
          <w:lang w:val="en-US" w:eastAsia="en-US"/>
        </w:rPr>
        <w:t>.</w:t>
      </w:r>
    </w:p>
    <w:p w:rsidR="00790EA5" w:rsidRPr="00BE78D8" w:rsidRDefault="00790EA5" w:rsidP="00145B50">
      <w:pPr>
        <w:autoSpaceDE w:val="0"/>
        <w:autoSpaceDN w:val="0"/>
        <w:adjustRightInd w:val="0"/>
        <w:rPr>
          <w:rFonts w:eastAsiaTheme="minorHAnsi"/>
          <w:i/>
          <w:iCs/>
          <w:color w:val="auto"/>
          <w:szCs w:val="24"/>
          <w:lang w:val="en-US" w:eastAsia="en-US"/>
        </w:rPr>
      </w:pPr>
    </w:p>
    <w:p w:rsidR="00145B50" w:rsidRPr="00587B28" w:rsidRDefault="00527492" w:rsidP="00145B50">
      <w:pPr>
        <w:autoSpaceDE w:val="0"/>
        <w:autoSpaceDN w:val="0"/>
        <w:adjustRightInd w:val="0"/>
        <w:rPr>
          <w:rFonts w:eastAsiaTheme="minorHAnsi"/>
          <w:i/>
          <w:iCs/>
          <w:color w:val="auto"/>
          <w:szCs w:val="24"/>
          <w:lang w:val="en-US" w:eastAsia="en-US"/>
        </w:rPr>
      </w:pPr>
      <w:r w:rsidRPr="00587B28">
        <w:rPr>
          <w:rFonts w:eastAsiaTheme="minorHAnsi"/>
          <w:i/>
          <w:iCs/>
          <w:color w:val="auto"/>
          <w:szCs w:val="24"/>
          <w:lang w:val="en-US" w:eastAsia="en-US"/>
        </w:rPr>
        <w:t>Age, sex, weight, race</w:t>
      </w:r>
    </w:p>
    <w:p w:rsidR="004D57A0" w:rsidRDefault="00587B28" w:rsidP="00145B50">
      <w:pPr>
        <w:autoSpaceDE w:val="0"/>
        <w:autoSpaceDN w:val="0"/>
        <w:adjustRightInd w:val="0"/>
        <w:rPr>
          <w:rFonts w:eastAsiaTheme="minorHAnsi"/>
          <w:color w:val="auto"/>
          <w:szCs w:val="24"/>
          <w:lang w:val="en-US" w:eastAsia="en-US"/>
        </w:rPr>
      </w:pPr>
      <w:proofErr w:type="gramStart"/>
      <w:r w:rsidRPr="00587B28">
        <w:rPr>
          <w:rFonts w:eastAsiaTheme="minorHAnsi"/>
          <w:color w:val="auto"/>
          <w:szCs w:val="24"/>
          <w:lang w:val="en-US" w:eastAsia="en-US"/>
        </w:rPr>
        <w:t>Based on a population pharmacokinetic analysis of patients receiving up to 24 mg lenvatinib once daily, weight showed a statistically significant effect, but only explained 2.8% of the inter-individual variability, on apparent clearance.</w:t>
      </w:r>
      <w:proofErr w:type="gramEnd"/>
      <w:r w:rsidR="009F4525">
        <w:rPr>
          <w:rFonts w:eastAsiaTheme="minorHAnsi"/>
          <w:color w:val="auto"/>
          <w:szCs w:val="24"/>
          <w:lang w:val="en-US" w:eastAsia="en-US"/>
        </w:rPr>
        <w:t xml:space="preserve"> Subjects weighing &lt;60 kg had 36% higher exposure to lenvatinib than subjects weighing ≥60 kg.</w:t>
      </w:r>
      <w:r w:rsidRPr="00587B28">
        <w:rPr>
          <w:rFonts w:eastAsiaTheme="minorHAnsi"/>
          <w:color w:val="auto"/>
          <w:szCs w:val="24"/>
          <w:lang w:val="en-US" w:eastAsia="en-US"/>
        </w:rPr>
        <w:t xml:space="preserve">  Simulations showed that the small effect of body weight on lenvatinib exposure does not warrant any dose adjustment.   After accounting for body weight, </w:t>
      </w:r>
      <w:proofErr w:type="gramStart"/>
      <w:r w:rsidRPr="00587B28">
        <w:rPr>
          <w:rFonts w:eastAsiaTheme="minorHAnsi"/>
          <w:color w:val="auto"/>
          <w:szCs w:val="24"/>
          <w:lang w:val="en-US" w:eastAsia="en-US"/>
        </w:rPr>
        <w:t>neither age, sex, nor race (Japanese vs. other, Caucasian vs. other)</w:t>
      </w:r>
      <w:proofErr w:type="gramEnd"/>
      <w:r w:rsidRPr="00587B28">
        <w:rPr>
          <w:rFonts w:eastAsiaTheme="minorHAnsi"/>
          <w:color w:val="auto"/>
          <w:szCs w:val="24"/>
          <w:lang w:val="en-US" w:eastAsia="en-US"/>
        </w:rPr>
        <w:t xml:space="preserve"> influenced lenvatinib PK.</w:t>
      </w:r>
    </w:p>
    <w:p w:rsidR="00790EA5" w:rsidRPr="00BE78D8" w:rsidRDefault="00790EA5" w:rsidP="00145B50">
      <w:pPr>
        <w:autoSpaceDE w:val="0"/>
        <w:autoSpaceDN w:val="0"/>
        <w:adjustRightInd w:val="0"/>
        <w:rPr>
          <w:rFonts w:eastAsiaTheme="minorHAnsi"/>
          <w:i/>
          <w:iCs/>
          <w:color w:val="auto"/>
          <w:szCs w:val="24"/>
          <w:lang w:val="en-US" w:eastAsia="en-US"/>
        </w:rPr>
      </w:pPr>
    </w:p>
    <w:p w:rsidR="00145B50" w:rsidRPr="00BE78D8" w:rsidRDefault="00145B50" w:rsidP="00145B50">
      <w:pPr>
        <w:autoSpaceDE w:val="0"/>
        <w:autoSpaceDN w:val="0"/>
        <w:adjustRightInd w:val="0"/>
        <w:rPr>
          <w:rFonts w:eastAsiaTheme="minorHAnsi"/>
          <w:i/>
          <w:iCs/>
          <w:color w:val="auto"/>
          <w:szCs w:val="24"/>
          <w:lang w:val="en-US" w:eastAsia="en-US"/>
        </w:rPr>
      </w:pPr>
      <w:r w:rsidRPr="00BE78D8">
        <w:rPr>
          <w:rFonts w:eastAsiaTheme="minorHAnsi"/>
          <w:i/>
          <w:iCs/>
          <w:color w:val="auto"/>
          <w:szCs w:val="24"/>
          <w:lang w:val="en-US" w:eastAsia="en-US"/>
        </w:rPr>
        <w:t>Paediatric Population</w:t>
      </w:r>
    </w:p>
    <w:p w:rsidR="00145B50" w:rsidRPr="00BE78D8" w:rsidRDefault="00145B50" w:rsidP="00145B50">
      <w:pPr>
        <w:autoSpaceDE w:val="0"/>
        <w:autoSpaceDN w:val="0"/>
        <w:adjustRightInd w:val="0"/>
        <w:rPr>
          <w:rFonts w:eastAsiaTheme="minorHAnsi"/>
          <w:color w:val="auto"/>
          <w:szCs w:val="24"/>
          <w:lang w:val="en-US" w:eastAsia="en-US"/>
        </w:rPr>
      </w:pPr>
      <w:r w:rsidRPr="00431655">
        <w:rPr>
          <w:rFonts w:eastAsiaTheme="minorHAnsi"/>
          <w:color w:val="auto"/>
          <w:szCs w:val="24"/>
          <w:lang w:val="en-US" w:eastAsia="en-US"/>
        </w:rPr>
        <w:t>Paediatric patients have not been studied.</w:t>
      </w:r>
    </w:p>
    <w:p w:rsidR="001641B7" w:rsidRDefault="001641B7" w:rsidP="00145B50">
      <w:pPr>
        <w:autoSpaceDE w:val="0"/>
        <w:autoSpaceDN w:val="0"/>
        <w:adjustRightInd w:val="0"/>
        <w:rPr>
          <w:rFonts w:eastAsiaTheme="minorHAnsi"/>
          <w:i/>
          <w:iCs/>
          <w:color w:val="auto"/>
          <w:szCs w:val="24"/>
          <w:lang w:val="en-US" w:eastAsia="en-US"/>
        </w:rPr>
      </w:pPr>
    </w:p>
    <w:p w:rsidR="00145B50" w:rsidRPr="00BE78D8" w:rsidRDefault="00145B50" w:rsidP="00145B50">
      <w:pPr>
        <w:autoSpaceDE w:val="0"/>
        <w:autoSpaceDN w:val="0"/>
        <w:adjustRightInd w:val="0"/>
        <w:rPr>
          <w:rFonts w:eastAsiaTheme="minorHAnsi"/>
          <w:i/>
          <w:iCs/>
          <w:color w:val="auto"/>
          <w:szCs w:val="24"/>
          <w:lang w:val="en-US" w:eastAsia="en-US"/>
        </w:rPr>
      </w:pPr>
      <w:r w:rsidRPr="00BE78D8">
        <w:rPr>
          <w:rFonts w:eastAsiaTheme="minorHAnsi"/>
          <w:i/>
          <w:iCs/>
          <w:color w:val="auto"/>
          <w:szCs w:val="24"/>
          <w:lang w:val="en-US" w:eastAsia="en-US"/>
        </w:rPr>
        <w:t>Genomic assessment of lenvatinib pharmacokinetic parameters</w:t>
      </w:r>
    </w:p>
    <w:p w:rsidR="00145B50" w:rsidRPr="00BE78D8" w:rsidRDefault="00145B50" w:rsidP="00145B50">
      <w:pPr>
        <w:autoSpaceDE w:val="0"/>
        <w:autoSpaceDN w:val="0"/>
        <w:adjustRightInd w:val="0"/>
        <w:rPr>
          <w:rFonts w:eastAsiaTheme="minorHAnsi"/>
          <w:color w:val="auto"/>
          <w:szCs w:val="24"/>
          <w:lang w:val="en-US" w:eastAsia="en-US"/>
        </w:rPr>
      </w:pPr>
      <w:r w:rsidRPr="00BE78D8">
        <w:rPr>
          <w:rFonts w:eastAsiaTheme="minorHAnsi"/>
          <w:color w:val="auto"/>
          <w:szCs w:val="24"/>
          <w:lang w:val="en-US" w:eastAsia="en-US"/>
        </w:rPr>
        <w:t>Because of lenvatinib’s extensive metabolism, the effect of selected drug-metabolising</w:t>
      </w:r>
      <w:r w:rsidR="00790EA5" w:rsidRPr="00BE78D8">
        <w:rPr>
          <w:rFonts w:eastAsiaTheme="minorHAnsi"/>
          <w:color w:val="auto"/>
          <w:szCs w:val="24"/>
          <w:lang w:val="en-US" w:eastAsia="en-US"/>
        </w:rPr>
        <w:t xml:space="preserve"> enzyme phenotypes </w:t>
      </w:r>
      <w:r w:rsidRPr="00BE78D8">
        <w:rPr>
          <w:rFonts w:eastAsiaTheme="minorHAnsi"/>
          <w:color w:val="auto"/>
          <w:szCs w:val="24"/>
          <w:lang w:val="en-US" w:eastAsia="en-US"/>
        </w:rPr>
        <w:t>on lenvatinib clearance was investigated using data derived from the Affy</w:t>
      </w:r>
      <w:r w:rsidR="00790EA5" w:rsidRPr="00BE78D8">
        <w:rPr>
          <w:rFonts w:eastAsiaTheme="minorHAnsi"/>
          <w:color w:val="auto"/>
          <w:szCs w:val="24"/>
          <w:lang w:val="en-US" w:eastAsia="en-US"/>
        </w:rPr>
        <w:t xml:space="preserve">metrix drug-metabolising enzyme </w:t>
      </w:r>
      <w:r w:rsidRPr="00BE78D8">
        <w:rPr>
          <w:rFonts w:eastAsiaTheme="minorHAnsi"/>
          <w:color w:val="auto"/>
          <w:szCs w:val="24"/>
          <w:lang w:val="en-US" w:eastAsia="en-US"/>
        </w:rPr>
        <w:t>and transporter (DMET Plus) microarray genotyping platform. Non</w:t>
      </w:r>
      <w:r w:rsidR="00790EA5" w:rsidRPr="00BE78D8">
        <w:rPr>
          <w:rFonts w:eastAsiaTheme="minorHAnsi"/>
          <w:color w:val="auto"/>
          <w:szCs w:val="24"/>
          <w:lang w:val="en-US" w:eastAsia="en-US"/>
        </w:rPr>
        <w:t xml:space="preserve">e of the phenotypes for CYP3A5, </w:t>
      </w:r>
      <w:r w:rsidRPr="00BE78D8">
        <w:rPr>
          <w:rFonts w:eastAsiaTheme="minorHAnsi"/>
          <w:color w:val="auto"/>
          <w:szCs w:val="24"/>
          <w:lang w:val="en-US" w:eastAsia="en-US"/>
        </w:rPr>
        <w:t>CYP1A2, CYP2A6, or CYP2C19 had a significant impact on lenvatinib clearance.</w:t>
      </w:r>
    </w:p>
    <w:p w:rsidR="00D30DAD" w:rsidRPr="00BE78D8" w:rsidRDefault="00D30DAD" w:rsidP="00145B50">
      <w:pPr>
        <w:autoSpaceDE w:val="0"/>
        <w:autoSpaceDN w:val="0"/>
        <w:adjustRightInd w:val="0"/>
        <w:rPr>
          <w:rFonts w:eastAsiaTheme="minorHAnsi"/>
          <w:color w:val="auto"/>
          <w:szCs w:val="24"/>
          <w:lang w:val="en-US" w:eastAsia="en-US"/>
        </w:rPr>
      </w:pPr>
    </w:p>
    <w:p w:rsidR="00D30DAD" w:rsidRPr="00BE78D8" w:rsidRDefault="00D30DAD" w:rsidP="00145B50">
      <w:pPr>
        <w:autoSpaceDE w:val="0"/>
        <w:autoSpaceDN w:val="0"/>
        <w:adjustRightInd w:val="0"/>
        <w:rPr>
          <w:rFonts w:eastAsiaTheme="minorHAnsi"/>
          <w:b/>
          <w:color w:val="auto"/>
          <w:szCs w:val="24"/>
          <w:lang w:val="en-US" w:eastAsia="en-US"/>
        </w:rPr>
      </w:pPr>
      <w:r w:rsidRPr="00BE78D8">
        <w:rPr>
          <w:rFonts w:eastAsiaTheme="minorHAnsi"/>
          <w:b/>
          <w:color w:val="auto"/>
          <w:szCs w:val="24"/>
          <w:lang w:val="en-US" w:eastAsia="en-US"/>
        </w:rPr>
        <w:t>CLINICAL TRIALS</w:t>
      </w:r>
    </w:p>
    <w:p w:rsidR="00D30DAD" w:rsidRPr="00BE78D8" w:rsidRDefault="00D30DAD" w:rsidP="00145B50">
      <w:pPr>
        <w:autoSpaceDE w:val="0"/>
        <w:autoSpaceDN w:val="0"/>
        <w:adjustRightInd w:val="0"/>
        <w:rPr>
          <w:rFonts w:eastAsiaTheme="minorHAnsi"/>
          <w:b/>
          <w:color w:val="auto"/>
          <w:szCs w:val="24"/>
          <w:lang w:val="en-US" w:eastAsia="en-US"/>
        </w:rPr>
      </w:pPr>
    </w:p>
    <w:p w:rsidR="000A3363" w:rsidRPr="00BE78D8" w:rsidRDefault="00CE4A29" w:rsidP="000A3363">
      <w:pPr>
        <w:autoSpaceDE w:val="0"/>
        <w:autoSpaceDN w:val="0"/>
        <w:adjustRightInd w:val="0"/>
        <w:rPr>
          <w:rFonts w:eastAsiaTheme="minorHAnsi"/>
          <w:i/>
          <w:iCs/>
          <w:color w:val="auto"/>
          <w:szCs w:val="24"/>
          <w:lang w:val="en-US" w:eastAsia="en-US"/>
        </w:rPr>
      </w:pPr>
      <w:r>
        <w:rPr>
          <w:rFonts w:eastAsiaTheme="minorHAnsi"/>
          <w:i/>
          <w:iCs/>
          <w:color w:val="auto"/>
          <w:szCs w:val="24"/>
          <w:lang w:val="en-US" w:eastAsia="en-US"/>
        </w:rPr>
        <w:t>R</w:t>
      </w:r>
      <w:r w:rsidR="00DF207C" w:rsidRPr="00DF207C">
        <w:rPr>
          <w:rFonts w:eastAsiaTheme="minorHAnsi"/>
          <w:i/>
          <w:iCs/>
          <w:color w:val="auto"/>
          <w:szCs w:val="24"/>
          <w:lang w:val="en-US" w:eastAsia="en-US"/>
        </w:rPr>
        <w:t>adioactive iodine refractory</w:t>
      </w:r>
      <w:r w:rsidR="000A3363" w:rsidRPr="00BE78D8">
        <w:rPr>
          <w:rFonts w:eastAsiaTheme="minorHAnsi"/>
          <w:i/>
          <w:iCs/>
          <w:color w:val="auto"/>
          <w:szCs w:val="24"/>
          <w:lang w:val="en-US" w:eastAsia="en-US"/>
        </w:rPr>
        <w:t xml:space="preserve"> differentiated thyroid cancer</w:t>
      </w:r>
    </w:p>
    <w:p w:rsidR="000A3363" w:rsidRPr="00BE78D8" w:rsidRDefault="000A3363" w:rsidP="000A3363">
      <w:pPr>
        <w:autoSpaceDE w:val="0"/>
        <w:autoSpaceDN w:val="0"/>
        <w:adjustRightInd w:val="0"/>
        <w:rPr>
          <w:rFonts w:eastAsiaTheme="minorHAnsi"/>
          <w:color w:val="auto"/>
          <w:szCs w:val="24"/>
          <w:lang w:val="en-US" w:eastAsia="en-US"/>
        </w:rPr>
      </w:pPr>
      <w:r w:rsidRPr="00BE78D8">
        <w:rPr>
          <w:rFonts w:eastAsiaTheme="minorHAnsi"/>
          <w:color w:val="auto"/>
          <w:szCs w:val="24"/>
          <w:lang w:val="en-US" w:eastAsia="en-US"/>
        </w:rPr>
        <w:t xml:space="preserve">The SELECT study was a multicentre, randomised, double-blind, placebo-controlled trial that was conducted in 392 patients with </w:t>
      </w:r>
      <w:r w:rsidR="003038F8" w:rsidRPr="005073FE">
        <w:t>radioactive iodine refractory</w:t>
      </w:r>
      <w:r w:rsidR="003038F8" w:rsidRPr="00BE78D8" w:rsidDel="003038F8">
        <w:rPr>
          <w:rFonts w:eastAsiaTheme="minorHAnsi"/>
          <w:color w:val="auto"/>
          <w:szCs w:val="24"/>
          <w:lang w:val="en-US" w:eastAsia="en-US"/>
        </w:rPr>
        <w:t xml:space="preserve"> </w:t>
      </w:r>
      <w:r w:rsidRPr="00BE78D8">
        <w:rPr>
          <w:rFonts w:eastAsiaTheme="minorHAnsi"/>
          <w:color w:val="auto"/>
          <w:szCs w:val="24"/>
          <w:lang w:val="en-US" w:eastAsia="en-US"/>
        </w:rPr>
        <w:t xml:space="preserve">differentiated thyroid cancer with independent, centrally reviewed, radiographic evidence of disease progression within 12 months (+1 month window) prior to enrollment. Radioiodine-refractory </w:t>
      </w:r>
      <w:r w:rsidR="00F5689B">
        <w:rPr>
          <w:rFonts w:eastAsiaTheme="minorHAnsi"/>
          <w:color w:val="auto"/>
          <w:szCs w:val="24"/>
          <w:lang w:val="en-US" w:eastAsia="en-US"/>
        </w:rPr>
        <w:t xml:space="preserve">status </w:t>
      </w:r>
      <w:r w:rsidRPr="00BE78D8">
        <w:rPr>
          <w:rFonts w:eastAsiaTheme="minorHAnsi"/>
          <w:color w:val="auto"/>
          <w:szCs w:val="24"/>
          <w:lang w:val="en-US" w:eastAsia="en-US"/>
        </w:rPr>
        <w:t>was defined as one or more measurable lesions either with a lack of iodine uptake or with progression in spite of radioactive-iodine (RAI) therapy, or having a cumulative activity of RAI of &gt;600 mCi or 22 GBq with the last dose at least 6 months prior to study entry.</w:t>
      </w:r>
    </w:p>
    <w:p w:rsidR="00BE78D8" w:rsidRDefault="00BE78D8" w:rsidP="000A3363">
      <w:pPr>
        <w:autoSpaceDE w:val="0"/>
        <w:autoSpaceDN w:val="0"/>
        <w:adjustRightInd w:val="0"/>
        <w:rPr>
          <w:rFonts w:eastAsiaTheme="minorHAnsi"/>
          <w:color w:val="auto"/>
          <w:szCs w:val="24"/>
          <w:lang w:val="en-US" w:eastAsia="en-US"/>
        </w:rPr>
      </w:pPr>
    </w:p>
    <w:p w:rsidR="00BE78D8" w:rsidRDefault="000A3363" w:rsidP="000A3363">
      <w:pPr>
        <w:autoSpaceDE w:val="0"/>
        <w:autoSpaceDN w:val="0"/>
        <w:adjustRightInd w:val="0"/>
        <w:rPr>
          <w:rFonts w:eastAsiaTheme="minorHAnsi"/>
          <w:color w:val="auto"/>
          <w:szCs w:val="24"/>
          <w:lang w:val="en-US" w:eastAsia="en-US"/>
        </w:rPr>
      </w:pPr>
      <w:r w:rsidRPr="00BE78D8">
        <w:rPr>
          <w:rFonts w:eastAsiaTheme="minorHAnsi"/>
          <w:color w:val="auto"/>
          <w:szCs w:val="24"/>
          <w:lang w:val="en-US" w:eastAsia="en-US"/>
        </w:rPr>
        <w:t>Randomisation was stratified by geographic region (Europe, North America, and Other), prior</w:t>
      </w:r>
      <w:r w:rsidR="00BE78D8">
        <w:rPr>
          <w:rFonts w:eastAsiaTheme="minorHAnsi"/>
          <w:color w:val="auto"/>
          <w:szCs w:val="24"/>
          <w:lang w:val="en-US" w:eastAsia="en-US"/>
        </w:rPr>
        <w:t xml:space="preserve"> </w:t>
      </w:r>
      <w:r w:rsidRPr="00BE78D8">
        <w:rPr>
          <w:rFonts w:eastAsiaTheme="minorHAnsi"/>
          <w:color w:val="auto"/>
          <w:szCs w:val="24"/>
          <w:lang w:val="en-US" w:eastAsia="en-US"/>
        </w:rPr>
        <w:t xml:space="preserve">VEGF/VEGFR-targeted therapy (patients may have received 0 or 1 prior VEGF/VEGFR-targeted therapy), and age (≤65 years or &gt;65 years). The main efficacy outcome measure was progression-free survival (PFS) as determined by blinded independent radiologic review using Response Evaluation Criteria in Solid Tumours (RECIST) 1.1. </w:t>
      </w:r>
    </w:p>
    <w:p w:rsidR="00BE78D8" w:rsidRDefault="00BE78D8" w:rsidP="000A3363">
      <w:pPr>
        <w:autoSpaceDE w:val="0"/>
        <w:autoSpaceDN w:val="0"/>
        <w:adjustRightInd w:val="0"/>
        <w:rPr>
          <w:rFonts w:eastAsiaTheme="minorHAnsi"/>
          <w:color w:val="auto"/>
          <w:szCs w:val="24"/>
          <w:lang w:val="en-US" w:eastAsia="en-US"/>
        </w:rPr>
      </w:pPr>
    </w:p>
    <w:p w:rsidR="000A3363" w:rsidRPr="00BE78D8" w:rsidRDefault="000A3363" w:rsidP="000A3363">
      <w:pPr>
        <w:autoSpaceDE w:val="0"/>
        <w:autoSpaceDN w:val="0"/>
        <w:adjustRightInd w:val="0"/>
        <w:rPr>
          <w:rFonts w:eastAsiaTheme="minorHAnsi"/>
          <w:color w:val="auto"/>
          <w:szCs w:val="24"/>
          <w:lang w:val="en-US" w:eastAsia="en-US"/>
        </w:rPr>
      </w:pPr>
      <w:r w:rsidRPr="00BE78D8">
        <w:rPr>
          <w:rFonts w:eastAsiaTheme="minorHAnsi"/>
          <w:color w:val="auto"/>
          <w:szCs w:val="24"/>
          <w:lang w:val="en-US" w:eastAsia="en-US"/>
        </w:rPr>
        <w:t>Secondary efficacy outcome measures included overall response rate and overall</w:t>
      </w:r>
      <w:r w:rsidR="00D86AD6">
        <w:rPr>
          <w:rFonts w:eastAsiaTheme="minorHAnsi"/>
          <w:color w:val="auto"/>
          <w:szCs w:val="24"/>
          <w:lang w:val="en-US" w:eastAsia="en-US"/>
        </w:rPr>
        <w:t xml:space="preserve"> </w:t>
      </w:r>
      <w:r w:rsidRPr="00BE78D8">
        <w:rPr>
          <w:rFonts w:eastAsiaTheme="minorHAnsi"/>
          <w:color w:val="auto"/>
          <w:szCs w:val="24"/>
          <w:lang w:val="en-US" w:eastAsia="en-US"/>
        </w:rPr>
        <w:t>survival</w:t>
      </w:r>
      <w:r w:rsidR="00C92DDE">
        <w:rPr>
          <w:rFonts w:eastAsiaTheme="minorHAnsi"/>
          <w:color w:val="auto"/>
          <w:szCs w:val="24"/>
          <w:lang w:val="en-US" w:eastAsia="en-US"/>
        </w:rPr>
        <w:t xml:space="preserve"> (OS)</w:t>
      </w:r>
      <w:r w:rsidRPr="00BE78D8">
        <w:rPr>
          <w:rFonts w:eastAsiaTheme="minorHAnsi"/>
          <w:color w:val="auto"/>
          <w:szCs w:val="24"/>
          <w:lang w:val="en-US" w:eastAsia="en-US"/>
        </w:rPr>
        <w:t>. Patients in the placebo arm could opt to receive lenvatinib treatment at the time of confirmed disease progression.</w:t>
      </w:r>
    </w:p>
    <w:p w:rsidR="000A3363" w:rsidRPr="00BE78D8" w:rsidRDefault="000A3363" w:rsidP="000A3363">
      <w:pPr>
        <w:autoSpaceDE w:val="0"/>
        <w:autoSpaceDN w:val="0"/>
        <w:adjustRightInd w:val="0"/>
        <w:rPr>
          <w:rFonts w:eastAsiaTheme="minorHAnsi"/>
          <w:color w:val="auto"/>
          <w:szCs w:val="24"/>
          <w:lang w:val="en-US" w:eastAsia="en-US"/>
        </w:rPr>
      </w:pPr>
    </w:p>
    <w:p w:rsidR="000A3363" w:rsidRPr="00BE78D8" w:rsidRDefault="000A3363" w:rsidP="000A3363">
      <w:pPr>
        <w:autoSpaceDE w:val="0"/>
        <w:autoSpaceDN w:val="0"/>
        <w:adjustRightInd w:val="0"/>
        <w:rPr>
          <w:rFonts w:eastAsiaTheme="minorHAnsi"/>
          <w:szCs w:val="24"/>
          <w:lang w:val="en-US" w:eastAsia="en-US"/>
        </w:rPr>
      </w:pPr>
      <w:r w:rsidRPr="00BE78D8">
        <w:rPr>
          <w:rFonts w:eastAsiaTheme="minorHAnsi"/>
          <w:color w:val="auto"/>
          <w:szCs w:val="24"/>
          <w:lang w:val="en-US" w:eastAsia="en-US"/>
        </w:rPr>
        <w:lastRenderedPageBreak/>
        <w:t>Eligible patients with measurable disease according to RECIST 1.1 were randomised 2:1 to receive</w:t>
      </w:r>
      <w:r w:rsidR="00D86AD6">
        <w:rPr>
          <w:rFonts w:eastAsiaTheme="minorHAnsi"/>
          <w:color w:val="auto"/>
          <w:szCs w:val="24"/>
          <w:lang w:val="en-US" w:eastAsia="en-US"/>
        </w:rPr>
        <w:t xml:space="preserve"> </w:t>
      </w:r>
      <w:r w:rsidRPr="00BE78D8">
        <w:rPr>
          <w:rFonts w:eastAsiaTheme="minorHAnsi"/>
          <w:color w:val="auto"/>
          <w:szCs w:val="24"/>
          <w:lang w:val="en-US" w:eastAsia="en-US"/>
        </w:rPr>
        <w:t>lenvatinib 24 mg once daily (n=261) or placebo (n=131). Baseline demographics and disease characteristics were well balanced for both treatment groups. Of the 392 patients randomised, 76.3% were naïve to prior VEGF/VEGFR-targeted therapies, 49.0% were female, 49.7% were European, and the median age was 63 years. Histologically, 66.1% had a confirmed diagnosis of papillary thyroid cancer and 33.9% had</w:t>
      </w:r>
      <w:r w:rsidRPr="00BE78D8">
        <w:rPr>
          <w:rFonts w:eastAsiaTheme="minorHAnsi"/>
          <w:szCs w:val="24"/>
          <w:lang w:val="en-US" w:eastAsia="en-US"/>
        </w:rPr>
        <w:t xml:space="preserve"> follicular thyroid cancer which included Hürthle cell 14.8% and clear cell 3.8%. Metastases were present in 99% of the patients: lungs in 89.3%, lymph nodes in 51.5%, bone in 38.8%, liver in 18.1%, pleura in 16.3%, and brain in 4.1%. The majority of patients</w:t>
      </w:r>
      <w:r w:rsidR="00A51E6E">
        <w:rPr>
          <w:rFonts w:eastAsiaTheme="minorHAnsi"/>
          <w:szCs w:val="24"/>
          <w:lang w:val="en-US" w:eastAsia="en-US"/>
        </w:rPr>
        <w:t xml:space="preserve"> (54%)</w:t>
      </w:r>
      <w:r w:rsidRPr="00BE78D8">
        <w:rPr>
          <w:rFonts w:eastAsiaTheme="minorHAnsi"/>
          <w:szCs w:val="24"/>
          <w:lang w:val="en-US" w:eastAsia="en-US"/>
        </w:rPr>
        <w:t xml:space="preserve"> had an ECOG performance status of 0; 42.1% had a status of 1;</w:t>
      </w:r>
      <w:r w:rsidR="00BE78D8">
        <w:rPr>
          <w:rFonts w:eastAsiaTheme="minorHAnsi"/>
          <w:szCs w:val="24"/>
          <w:lang w:val="en-US" w:eastAsia="en-US"/>
        </w:rPr>
        <w:t xml:space="preserve"> </w:t>
      </w:r>
      <w:r w:rsidRPr="00BE78D8">
        <w:rPr>
          <w:rFonts w:eastAsiaTheme="minorHAnsi"/>
          <w:szCs w:val="24"/>
          <w:lang w:val="en-US" w:eastAsia="en-US"/>
        </w:rPr>
        <w:t>3.9% had a status above 1. The median cumulative RAI activity administered prior to study entry was 350 mCi (12.95 GBq).</w:t>
      </w:r>
    </w:p>
    <w:p w:rsidR="000A3363" w:rsidRPr="00BE78D8" w:rsidRDefault="000A3363" w:rsidP="000A3363">
      <w:pPr>
        <w:autoSpaceDE w:val="0"/>
        <w:autoSpaceDN w:val="0"/>
        <w:adjustRightInd w:val="0"/>
        <w:rPr>
          <w:rFonts w:eastAsiaTheme="minorHAnsi"/>
          <w:szCs w:val="24"/>
          <w:lang w:val="en-US" w:eastAsia="en-US"/>
        </w:rPr>
      </w:pPr>
    </w:p>
    <w:p w:rsidR="009F4525" w:rsidRDefault="000A3363" w:rsidP="000A3363">
      <w:pPr>
        <w:autoSpaceDE w:val="0"/>
        <w:autoSpaceDN w:val="0"/>
        <w:adjustRightInd w:val="0"/>
        <w:rPr>
          <w:rFonts w:eastAsiaTheme="minorHAnsi"/>
          <w:szCs w:val="24"/>
          <w:lang w:val="en-US" w:eastAsia="en-US"/>
        </w:rPr>
      </w:pPr>
      <w:r w:rsidRPr="00BE78D8">
        <w:rPr>
          <w:rFonts w:eastAsiaTheme="minorHAnsi"/>
          <w:szCs w:val="24"/>
          <w:lang w:val="en-US" w:eastAsia="en-US"/>
        </w:rPr>
        <w:t xml:space="preserve">A statistically significant prolongation in PFS was demonstrated in lenvatinib-treated patients compared with those receiving placebo (p&lt;0.0001). The positive effect on PFS was similar in the subgroups that received 0 or 1 prior VEGF/VEGFR-targeted therapy (see </w:t>
      </w:r>
      <w:r w:rsidRPr="009A1D5E">
        <w:rPr>
          <w:rFonts w:eastAsiaTheme="minorHAnsi"/>
          <w:color w:val="auto"/>
          <w:szCs w:val="24"/>
          <w:lang w:val="en-US" w:eastAsia="en-US"/>
        </w:rPr>
        <w:t>Table</w:t>
      </w:r>
      <w:r w:rsidR="00BE78D8" w:rsidRPr="009A1D5E">
        <w:rPr>
          <w:rFonts w:eastAsiaTheme="minorHAnsi"/>
          <w:color w:val="auto"/>
          <w:szCs w:val="24"/>
          <w:lang w:val="en-US" w:eastAsia="en-US"/>
        </w:rPr>
        <w:t xml:space="preserve"> 1</w:t>
      </w:r>
      <w:r w:rsidRPr="00BE78D8">
        <w:rPr>
          <w:rFonts w:eastAsiaTheme="minorHAnsi"/>
          <w:szCs w:val="24"/>
          <w:lang w:val="en-US" w:eastAsia="en-US"/>
        </w:rPr>
        <w:t xml:space="preserve">). In addition, the positive effect on PFS was seen across the subgroups of age, sex, race, histological subtype, and geographic region. Following independent review confirmation of disease progression, 109 (83.2%) patients randomised to placebo crossed over to </w:t>
      </w:r>
      <w:r w:rsidR="00B31DEA">
        <w:rPr>
          <w:rFonts w:eastAsiaTheme="minorHAnsi"/>
          <w:szCs w:val="24"/>
          <w:lang w:val="en-US" w:eastAsia="en-US"/>
        </w:rPr>
        <w:t xml:space="preserve">receive </w:t>
      </w:r>
      <w:r w:rsidRPr="00BE78D8">
        <w:rPr>
          <w:rFonts w:eastAsiaTheme="minorHAnsi"/>
          <w:szCs w:val="24"/>
          <w:lang w:val="en-US" w:eastAsia="en-US"/>
        </w:rPr>
        <w:t>open-label lenvatinib.</w:t>
      </w:r>
    </w:p>
    <w:p w:rsidR="009F4525" w:rsidRDefault="009F4525" w:rsidP="000A3363">
      <w:pPr>
        <w:autoSpaceDE w:val="0"/>
        <w:autoSpaceDN w:val="0"/>
        <w:adjustRightInd w:val="0"/>
        <w:rPr>
          <w:rFonts w:eastAsiaTheme="minorHAnsi"/>
          <w:szCs w:val="24"/>
          <w:lang w:val="en-US" w:eastAsia="en-US"/>
        </w:rPr>
      </w:pPr>
    </w:p>
    <w:p w:rsidR="007A02CA" w:rsidRDefault="00645B48" w:rsidP="00645B48">
      <w:pPr>
        <w:autoSpaceDE w:val="0"/>
        <w:autoSpaceDN w:val="0"/>
        <w:adjustRightInd w:val="0"/>
        <w:rPr>
          <w:rFonts w:eastAsiaTheme="minorHAnsi"/>
          <w:szCs w:val="24"/>
          <w:lang w:val="en-US" w:eastAsia="en-US"/>
        </w:rPr>
      </w:pPr>
      <w:r>
        <w:rPr>
          <w:rFonts w:eastAsiaTheme="minorHAnsi"/>
          <w:szCs w:val="24"/>
          <w:lang w:val="en-US" w:eastAsia="en-US"/>
        </w:rPr>
        <w:t>T</w:t>
      </w:r>
      <w:r w:rsidRPr="00645B48">
        <w:rPr>
          <w:rFonts w:eastAsiaTheme="minorHAnsi"/>
          <w:szCs w:val="24"/>
          <w:lang w:val="en-US" w:eastAsia="en-US"/>
        </w:rPr>
        <w:t xml:space="preserve">here was no </w:t>
      </w:r>
      <w:r w:rsidR="008A7BEC">
        <w:rPr>
          <w:rFonts w:eastAsiaTheme="minorHAnsi"/>
          <w:szCs w:val="24"/>
          <w:lang w:val="en-US" w:eastAsia="en-US"/>
        </w:rPr>
        <w:t xml:space="preserve">statistically </w:t>
      </w:r>
      <w:r w:rsidRPr="00645B48">
        <w:rPr>
          <w:rFonts w:eastAsiaTheme="minorHAnsi"/>
          <w:szCs w:val="24"/>
          <w:lang w:val="en-US" w:eastAsia="en-US"/>
        </w:rPr>
        <w:t>significant difference in overall</w:t>
      </w:r>
      <w:r>
        <w:rPr>
          <w:rFonts w:eastAsiaTheme="minorHAnsi"/>
          <w:szCs w:val="24"/>
          <w:lang w:val="en-US" w:eastAsia="en-US"/>
        </w:rPr>
        <w:t xml:space="preserve"> </w:t>
      </w:r>
      <w:r w:rsidRPr="00645B48">
        <w:rPr>
          <w:rFonts w:eastAsiaTheme="minorHAnsi"/>
          <w:szCs w:val="24"/>
          <w:lang w:val="en-US" w:eastAsia="en-US"/>
        </w:rPr>
        <w:t>survival in the treatment arm compared to the</w:t>
      </w:r>
      <w:r w:rsidR="008A7BEC">
        <w:rPr>
          <w:rFonts w:eastAsiaTheme="minorHAnsi"/>
          <w:szCs w:val="24"/>
          <w:lang w:val="en-US" w:eastAsia="en-US"/>
        </w:rPr>
        <w:t xml:space="preserve"> </w:t>
      </w:r>
      <w:r w:rsidRPr="00645B48">
        <w:rPr>
          <w:rFonts w:eastAsiaTheme="minorHAnsi"/>
          <w:szCs w:val="24"/>
          <w:lang w:val="en-US" w:eastAsia="en-US"/>
        </w:rPr>
        <w:t>placebo group at the primary analysis</w:t>
      </w:r>
      <w:r w:rsidR="008A7BEC">
        <w:rPr>
          <w:rFonts w:eastAsiaTheme="minorHAnsi"/>
          <w:szCs w:val="24"/>
          <w:lang w:val="en-US" w:eastAsia="en-US"/>
        </w:rPr>
        <w:t xml:space="preserve"> (HR (95% CI): 0.73 (0.59, 1.07))</w:t>
      </w:r>
      <w:r>
        <w:rPr>
          <w:rFonts w:eastAsiaTheme="minorHAnsi"/>
          <w:szCs w:val="24"/>
          <w:lang w:val="en-US" w:eastAsia="en-US"/>
        </w:rPr>
        <w:t xml:space="preserve">. </w:t>
      </w:r>
      <w:r w:rsidR="00C92DDE">
        <w:rPr>
          <w:rFonts w:eastAsiaTheme="minorHAnsi"/>
          <w:szCs w:val="24"/>
          <w:lang w:val="en-US" w:eastAsia="en-US"/>
        </w:rPr>
        <w:t xml:space="preserve">However, the SELECT study was not powered to demonstrate an improvement in OS, and the high rate of crossover of patients </w:t>
      </w:r>
      <w:r>
        <w:rPr>
          <w:rFonts w:eastAsiaTheme="minorHAnsi"/>
          <w:szCs w:val="24"/>
          <w:lang w:val="en-US" w:eastAsia="en-US"/>
        </w:rPr>
        <w:t xml:space="preserve">in the placebo arm </w:t>
      </w:r>
      <w:r w:rsidR="00C92DDE">
        <w:rPr>
          <w:rFonts w:eastAsiaTheme="minorHAnsi"/>
          <w:szCs w:val="24"/>
          <w:lang w:val="en-US" w:eastAsia="en-US"/>
        </w:rPr>
        <w:t xml:space="preserve">to </w:t>
      </w:r>
      <w:r>
        <w:rPr>
          <w:rFonts w:eastAsiaTheme="minorHAnsi"/>
          <w:szCs w:val="24"/>
          <w:lang w:val="en-US" w:eastAsia="en-US"/>
        </w:rPr>
        <w:t xml:space="preserve">the treatment arm </w:t>
      </w:r>
      <w:r w:rsidR="00C92DDE">
        <w:rPr>
          <w:rFonts w:eastAsiaTheme="minorHAnsi"/>
          <w:szCs w:val="24"/>
          <w:lang w:val="en-US" w:eastAsia="en-US"/>
        </w:rPr>
        <w:t xml:space="preserve">after </w:t>
      </w:r>
      <w:r>
        <w:rPr>
          <w:rFonts w:eastAsiaTheme="minorHAnsi"/>
          <w:szCs w:val="24"/>
          <w:lang w:val="en-US" w:eastAsia="en-US"/>
        </w:rPr>
        <w:t xml:space="preserve">confirmed disease </w:t>
      </w:r>
      <w:r w:rsidR="00C92DDE">
        <w:rPr>
          <w:rFonts w:eastAsiaTheme="minorHAnsi"/>
          <w:szCs w:val="24"/>
          <w:lang w:val="en-US" w:eastAsia="en-US"/>
        </w:rPr>
        <w:t>progression ma</w:t>
      </w:r>
      <w:r>
        <w:rPr>
          <w:rFonts w:eastAsiaTheme="minorHAnsi"/>
          <w:szCs w:val="24"/>
          <w:lang w:val="en-US" w:eastAsia="en-US"/>
        </w:rPr>
        <w:t>de</w:t>
      </w:r>
      <w:r w:rsidR="00C92DDE">
        <w:rPr>
          <w:rFonts w:eastAsiaTheme="minorHAnsi"/>
          <w:szCs w:val="24"/>
          <w:lang w:val="en-US" w:eastAsia="en-US"/>
        </w:rPr>
        <w:t xml:space="preserve"> demonstration of a statistically significant difference </w:t>
      </w:r>
      <w:r>
        <w:rPr>
          <w:rFonts w:eastAsiaTheme="minorHAnsi"/>
          <w:szCs w:val="24"/>
          <w:lang w:val="en-US" w:eastAsia="en-US"/>
        </w:rPr>
        <w:t>in OS difficult.</w:t>
      </w:r>
    </w:p>
    <w:p w:rsidR="007A02CA" w:rsidRDefault="007A02CA" w:rsidP="000A3363">
      <w:pPr>
        <w:autoSpaceDE w:val="0"/>
        <w:autoSpaceDN w:val="0"/>
        <w:adjustRightInd w:val="0"/>
        <w:rPr>
          <w:rFonts w:eastAsiaTheme="minorHAnsi"/>
          <w:szCs w:val="24"/>
          <w:lang w:val="en-US" w:eastAsia="en-US"/>
        </w:rPr>
      </w:pPr>
    </w:p>
    <w:p w:rsidR="00D30DAD" w:rsidRDefault="000A3363" w:rsidP="000A3363">
      <w:pPr>
        <w:autoSpaceDE w:val="0"/>
        <w:autoSpaceDN w:val="0"/>
        <w:adjustRightInd w:val="0"/>
        <w:rPr>
          <w:rFonts w:eastAsiaTheme="minorHAnsi"/>
          <w:szCs w:val="24"/>
          <w:lang w:val="en-US" w:eastAsia="en-US"/>
        </w:rPr>
      </w:pPr>
      <w:r w:rsidRPr="007C5E73">
        <w:rPr>
          <w:rFonts w:eastAsiaTheme="minorHAnsi"/>
          <w:szCs w:val="24"/>
          <w:lang w:val="en-US" w:eastAsia="en-US"/>
        </w:rPr>
        <w:t>The median time to first dose reduction was 2.8 months.</w:t>
      </w:r>
      <w:r w:rsidRPr="00BE78D8">
        <w:rPr>
          <w:rFonts w:eastAsiaTheme="minorHAnsi"/>
          <w:szCs w:val="24"/>
          <w:lang w:val="en-US" w:eastAsia="en-US"/>
        </w:rPr>
        <w:t xml:space="preserve"> The median time to objective response was 2.0 (95% CI: 1.9, 3.5) months; </w:t>
      </w:r>
      <w:r w:rsidRPr="007C5E73">
        <w:rPr>
          <w:rFonts w:eastAsiaTheme="minorHAnsi"/>
          <w:szCs w:val="24"/>
          <w:lang w:val="en-US" w:eastAsia="en-US"/>
        </w:rPr>
        <w:t>however, of the patients who experienced a complete or partial response to lenvatinib, 70.4% were observed to develop the response on or within 30 days of being on the 24-mg dose.</w:t>
      </w:r>
    </w:p>
    <w:p w:rsidR="000A0E85" w:rsidRDefault="000A0E85" w:rsidP="000A3363">
      <w:pPr>
        <w:autoSpaceDE w:val="0"/>
        <w:autoSpaceDN w:val="0"/>
        <w:adjustRightInd w:val="0"/>
        <w:rPr>
          <w:rFonts w:eastAsiaTheme="minorHAnsi"/>
          <w:szCs w:val="24"/>
          <w:lang w:val="en-US" w:eastAsia="en-US"/>
        </w:rPr>
      </w:pPr>
    </w:p>
    <w:p w:rsidR="000A0E85" w:rsidRPr="00BE78D8" w:rsidRDefault="000A0E85" w:rsidP="000A3363">
      <w:pPr>
        <w:autoSpaceDE w:val="0"/>
        <w:autoSpaceDN w:val="0"/>
        <w:adjustRightInd w:val="0"/>
        <w:rPr>
          <w:rFonts w:eastAsiaTheme="minorHAnsi"/>
          <w:szCs w:val="24"/>
          <w:lang w:val="en-US" w:eastAsia="en-US"/>
        </w:rPr>
      </w:pPr>
      <w:r>
        <w:rPr>
          <w:rFonts w:eastAsiaTheme="minorHAnsi"/>
          <w:szCs w:val="24"/>
          <w:lang w:val="en-US" w:eastAsia="en-US"/>
        </w:rPr>
        <w:t>The study did not measure quality of life (QoL). The effect of treatment on QoL can therefore not be assessed and QoL may not be improved with lenvatinib treatment.</w:t>
      </w:r>
    </w:p>
    <w:p w:rsidR="00BE78D8" w:rsidRDefault="00BE78D8" w:rsidP="000A3363">
      <w:pPr>
        <w:autoSpaceDE w:val="0"/>
        <w:autoSpaceDN w:val="0"/>
        <w:adjustRightInd w:val="0"/>
        <w:rPr>
          <w:rFonts w:eastAsiaTheme="minorHAnsi"/>
          <w:szCs w:val="24"/>
          <w:lang w:val="en-US" w:eastAsia="en-US"/>
        </w:rPr>
      </w:pPr>
    </w:p>
    <w:p w:rsidR="000A3363" w:rsidRPr="00BE78D8" w:rsidRDefault="00BE78D8" w:rsidP="000A3363">
      <w:pPr>
        <w:autoSpaceDE w:val="0"/>
        <w:autoSpaceDN w:val="0"/>
        <w:adjustRightInd w:val="0"/>
        <w:rPr>
          <w:rFonts w:eastAsiaTheme="minorHAnsi"/>
          <w:szCs w:val="24"/>
          <w:lang w:val="en-US" w:eastAsia="en-US"/>
        </w:rPr>
      </w:pPr>
      <w:r>
        <w:rPr>
          <w:rFonts w:eastAsiaTheme="minorHAnsi"/>
          <w:szCs w:val="24"/>
          <w:lang w:val="en-US" w:eastAsia="en-US"/>
        </w:rPr>
        <w:t>Table 1</w:t>
      </w:r>
      <w:r w:rsidR="002E6C48" w:rsidRPr="00BE78D8">
        <w:rPr>
          <w:rFonts w:eastAsiaTheme="minorHAnsi"/>
          <w:szCs w:val="24"/>
          <w:lang w:val="en-US" w:eastAsia="en-US"/>
        </w:rPr>
        <w:t xml:space="preserve"> - Efficacy Results</w:t>
      </w:r>
    </w:p>
    <w:tbl>
      <w:tblPr>
        <w:tblStyle w:val="TableGrid"/>
        <w:tblW w:w="0" w:type="auto"/>
        <w:tblLook w:val="04A0" w:firstRow="1" w:lastRow="0" w:firstColumn="1" w:lastColumn="0" w:noHBand="0" w:noVBand="1"/>
      </w:tblPr>
      <w:tblGrid>
        <w:gridCol w:w="5070"/>
        <w:gridCol w:w="2126"/>
        <w:gridCol w:w="2046"/>
      </w:tblGrid>
      <w:tr w:rsidR="002E6C48" w:rsidRPr="00BE78D8" w:rsidTr="00B53FFF">
        <w:tc>
          <w:tcPr>
            <w:tcW w:w="5070" w:type="dxa"/>
          </w:tcPr>
          <w:p w:rsidR="002E6C48" w:rsidRPr="00BE78D8" w:rsidRDefault="002E6C48" w:rsidP="000A3363">
            <w:pPr>
              <w:autoSpaceDE w:val="0"/>
              <w:autoSpaceDN w:val="0"/>
              <w:adjustRightInd w:val="0"/>
              <w:rPr>
                <w:rFonts w:eastAsiaTheme="minorHAnsi"/>
                <w:szCs w:val="24"/>
                <w:lang w:val="en-US" w:eastAsia="en-US"/>
              </w:rPr>
            </w:pPr>
          </w:p>
        </w:tc>
        <w:tc>
          <w:tcPr>
            <w:tcW w:w="2126" w:type="dxa"/>
          </w:tcPr>
          <w:p w:rsidR="002E6C48" w:rsidRPr="00BE78D8" w:rsidRDefault="002E6C48" w:rsidP="002E6C48">
            <w:pPr>
              <w:autoSpaceDE w:val="0"/>
              <w:autoSpaceDN w:val="0"/>
              <w:adjustRightInd w:val="0"/>
              <w:jc w:val="center"/>
              <w:rPr>
                <w:rFonts w:eastAsiaTheme="minorHAnsi"/>
                <w:szCs w:val="24"/>
                <w:lang w:val="en-US" w:eastAsia="en-US"/>
              </w:rPr>
            </w:pPr>
            <w:r w:rsidRPr="00BE78D8">
              <w:rPr>
                <w:rFonts w:eastAsiaTheme="minorHAnsi"/>
                <w:szCs w:val="24"/>
                <w:lang w:val="en-US" w:eastAsia="en-US"/>
              </w:rPr>
              <w:t>Lenvatinib</w:t>
            </w:r>
          </w:p>
          <w:p w:rsidR="002E6C48" w:rsidRPr="00BE78D8" w:rsidRDefault="002E6C48" w:rsidP="002E6C48">
            <w:pPr>
              <w:autoSpaceDE w:val="0"/>
              <w:autoSpaceDN w:val="0"/>
              <w:adjustRightInd w:val="0"/>
              <w:jc w:val="center"/>
              <w:rPr>
                <w:rFonts w:eastAsiaTheme="minorHAnsi"/>
                <w:szCs w:val="24"/>
                <w:lang w:val="en-US" w:eastAsia="en-US"/>
              </w:rPr>
            </w:pPr>
            <w:r w:rsidRPr="00BE78D8">
              <w:rPr>
                <w:rFonts w:eastAsiaTheme="minorHAnsi"/>
                <w:szCs w:val="24"/>
                <w:lang w:val="en-US" w:eastAsia="en-US"/>
              </w:rPr>
              <w:t>N=261</w:t>
            </w:r>
          </w:p>
        </w:tc>
        <w:tc>
          <w:tcPr>
            <w:tcW w:w="2046" w:type="dxa"/>
          </w:tcPr>
          <w:p w:rsidR="002E6C48" w:rsidRPr="00BE78D8" w:rsidRDefault="002E6C48" w:rsidP="002E6C48">
            <w:pPr>
              <w:autoSpaceDE w:val="0"/>
              <w:autoSpaceDN w:val="0"/>
              <w:adjustRightInd w:val="0"/>
              <w:jc w:val="center"/>
              <w:rPr>
                <w:rFonts w:eastAsiaTheme="minorHAnsi"/>
                <w:szCs w:val="24"/>
                <w:lang w:val="en-US" w:eastAsia="en-US"/>
              </w:rPr>
            </w:pPr>
            <w:r w:rsidRPr="00BE78D8">
              <w:rPr>
                <w:rFonts w:eastAsiaTheme="minorHAnsi"/>
                <w:szCs w:val="24"/>
                <w:lang w:val="en-US" w:eastAsia="en-US"/>
              </w:rPr>
              <w:t>Placebo</w:t>
            </w:r>
          </w:p>
          <w:p w:rsidR="002E6C48" w:rsidRPr="00BE78D8" w:rsidRDefault="002E6C48" w:rsidP="002E6C48">
            <w:pPr>
              <w:autoSpaceDE w:val="0"/>
              <w:autoSpaceDN w:val="0"/>
              <w:adjustRightInd w:val="0"/>
              <w:jc w:val="center"/>
              <w:rPr>
                <w:rFonts w:eastAsiaTheme="minorHAnsi"/>
                <w:szCs w:val="24"/>
                <w:lang w:val="en-US" w:eastAsia="en-US"/>
              </w:rPr>
            </w:pPr>
            <w:r w:rsidRPr="00BE78D8">
              <w:rPr>
                <w:rFonts w:eastAsiaTheme="minorHAnsi"/>
                <w:szCs w:val="24"/>
                <w:lang w:val="en-US" w:eastAsia="en-US"/>
              </w:rPr>
              <w:t>N=131</w:t>
            </w:r>
          </w:p>
        </w:tc>
      </w:tr>
      <w:tr w:rsidR="002E6C48" w:rsidRPr="00BE78D8" w:rsidTr="00946012">
        <w:tc>
          <w:tcPr>
            <w:tcW w:w="9242" w:type="dxa"/>
            <w:gridSpan w:val="3"/>
          </w:tcPr>
          <w:p w:rsidR="002E6C48" w:rsidRPr="00BE78D8" w:rsidRDefault="002E6C48" w:rsidP="000A3363">
            <w:pPr>
              <w:autoSpaceDE w:val="0"/>
              <w:autoSpaceDN w:val="0"/>
              <w:adjustRightInd w:val="0"/>
              <w:rPr>
                <w:rFonts w:eastAsiaTheme="minorHAnsi"/>
                <w:b/>
                <w:szCs w:val="24"/>
                <w:lang w:val="en-US" w:eastAsia="en-US"/>
              </w:rPr>
            </w:pPr>
            <w:r w:rsidRPr="00BE78D8">
              <w:rPr>
                <w:rFonts w:eastAsiaTheme="minorHAnsi"/>
                <w:b/>
                <w:szCs w:val="24"/>
                <w:lang w:val="en-US" w:eastAsia="en-US"/>
              </w:rPr>
              <w:t>Progression-Free Survival (PFS)</w:t>
            </w:r>
            <w:r w:rsidRPr="00BE78D8">
              <w:rPr>
                <w:rFonts w:eastAsiaTheme="minorHAnsi"/>
                <w:b/>
                <w:szCs w:val="24"/>
                <w:vertAlign w:val="superscript"/>
                <w:lang w:val="en-US" w:eastAsia="en-US"/>
              </w:rPr>
              <w:t>a</w:t>
            </w:r>
          </w:p>
        </w:tc>
      </w:tr>
      <w:tr w:rsidR="002E6C48" w:rsidRPr="00BE78D8" w:rsidTr="00B53FFF">
        <w:tc>
          <w:tcPr>
            <w:tcW w:w="5070" w:type="dxa"/>
          </w:tcPr>
          <w:p w:rsidR="002E6C48" w:rsidRPr="00BE78D8" w:rsidRDefault="002E6C48" w:rsidP="000A3363">
            <w:pPr>
              <w:autoSpaceDE w:val="0"/>
              <w:autoSpaceDN w:val="0"/>
              <w:adjustRightInd w:val="0"/>
              <w:rPr>
                <w:rFonts w:eastAsiaTheme="minorHAnsi"/>
                <w:szCs w:val="24"/>
                <w:lang w:val="en-US" w:eastAsia="en-US"/>
              </w:rPr>
            </w:pPr>
            <w:r w:rsidRPr="00BE78D8">
              <w:rPr>
                <w:rFonts w:eastAsiaTheme="minorHAnsi"/>
                <w:szCs w:val="24"/>
                <w:lang w:val="en-US" w:eastAsia="en-US"/>
              </w:rPr>
              <w:t>Number of progressions or deaths (%)</w:t>
            </w:r>
          </w:p>
        </w:tc>
        <w:tc>
          <w:tcPr>
            <w:tcW w:w="2126" w:type="dxa"/>
          </w:tcPr>
          <w:p w:rsidR="002E6C48" w:rsidRPr="00BE78D8" w:rsidRDefault="002E6C48" w:rsidP="002E6C48">
            <w:pPr>
              <w:autoSpaceDE w:val="0"/>
              <w:autoSpaceDN w:val="0"/>
              <w:adjustRightInd w:val="0"/>
              <w:jc w:val="center"/>
              <w:rPr>
                <w:rFonts w:eastAsiaTheme="minorHAnsi"/>
                <w:szCs w:val="24"/>
                <w:lang w:val="en-US" w:eastAsia="en-US"/>
              </w:rPr>
            </w:pPr>
            <w:r w:rsidRPr="00BE78D8">
              <w:rPr>
                <w:rFonts w:eastAsiaTheme="minorHAnsi"/>
                <w:szCs w:val="24"/>
                <w:lang w:val="en-US" w:eastAsia="en-US"/>
              </w:rPr>
              <w:t>10</w:t>
            </w:r>
            <w:r w:rsidR="00C378AD">
              <w:rPr>
                <w:rFonts w:eastAsiaTheme="minorHAnsi"/>
                <w:szCs w:val="24"/>
                <w:lang w:val="en-US" w:eastAsia="en-US"/>
              </w:rPr>
              <w:t>7</w:t>
            </w:r>
            <w:r w:rsidRPr="00BE78D8">
              <w:rPr>
                <w:rFonts w:eastAsiaTheme="minorHAnsi"/>
                <w:szCs w:val="24"/>
                <w:lang w:val="en-US" w:eastAsia="en-US"/>
              </w:rPr>
              <w:t xml:space="preserve"> (41.0)</w:t>
            </w:r>
          </w:p>
        </w:tc>
        <w:tc>
          <w:tcPr>
            <w:tcW w:w="2046" w:type="dxa"/>
          </w:tcPr>
          <w:p w:rsidR="002E6C48" w:rsidRPr="00BE78D8" w:rsidRDefault="002E6C48" w:rsidP="002E6C48">
            <w:pPr>
              <w:autoSpaceDE w:val="0"/>
              <w:autoSpaceDN w:val="0"/>
              <w:adjustRightInd w:val="0"/>
              <w:jc w:val="center"/>
              <w:rPr>
                <w:rFonts w:eastAsiaTheme="minorHAnsi"/>
                <w:szCs w:val="24"/>
                <w:lang w:val="en-US" w:eastAsia="en-US"/>
              </w:rPr>
            </w:pPr>
            <w:r w:rsidRPr="00BE78D8">
              <w:rPr>
                <w:rFonts w:eastAsiaTheme="minorHAnsi"/>
                <w:szCs w:val="24"/>
                <w:lang w:val="en-US" w:eastAsia="en-US"/>
              </w:rPr>
              <w:t>113 (86.3)</w:t>
            </w:r>
          </w:p>
        </w:tc>
      </w:tr>
      <w:tr w:rsidR="002E6C48" w:rsidRPr="00BE78D8" w:rsidTr="00B53FFF">
        <w:tc>
          <w:tcPr>
            <w:tcW w:w="5070" w:type="dxa"/>
          </w:tcPr>
          <w:p w:rsidR="002E6C48" w:rsidRPr="00BE78D8" w:rsidRDefault="002E6C48" w:rsidP="000A3363">
            <w:pPr>
              <w:autoSpaceDE w:val="0"/>
              <w:autoSpaceDN w:val="0"/>
              <w:adjustRightInd w:val="0"/>
              <w:rPr>
                <w:rFonts w:eastAsiaTheme="minorHAnsi"/>
                <w:szCs w:val="24"/>
                <w:lang w:val="en-US" w:eastAsia="en-US"/>
              </w:rPr>
            </w:pPr>
            <w:r w:rsidRPr="00BE78D8">
              <w:rPr>
                <w:rFonts w:eastAsiaTheme="minorHAnsi"/>
                <w:szCs w:val="24"/>
                <w:lang w:val="en-US" w:eastAsia="en-US"/>
              </w:rPr>
              <w:t>Median PFS in months (95% CI)</w:t>
            </w:r>
          </w:p>
        </w:tc>
        <w:tc>
          <w:tcPr>
            <w:tcW w:w="2126" w:type="dxa"/>
          </w:tcPr>
          <w:p w:rsidR="002E6C48" w:rsidRPr="00BE78D8" w:rsidRDefault="002E6C48" w:rsidP="002E6C48">
            <w:pPr>
              <w:autoSpaceDE w:val="0"/>
              <w:autoSpaceDN w:val="0"/>
              <w:adjustRightInd w:val="0"/>
              <w:jc w:val="center"/>
              <w:rPr>
                <w:rFonts w:eastAsiaTheme="minorHAnsi"/>
                <w:szCs w:val="24"/>
                <w:lang w:val="en-US" w:eastAsia="en-US"/>
              </w:rPr>
            </w:pPr>
            <w:r w:rsidRPr="00BE78D8">
              <w:rPr>
                <w:rFonts w:eastAsiaTheme="minorHAnsi"/>
                <w:szCs w:val="24"/>
                <w:lang w:val="en-US" w:eastAsia="en-US"/>
              </w:rPr>
              <w:t>18.3 (15.1, N</w:t>
            </w:r>
            <w:r w:rsidR="00C378AD">
              <w:rPr>
                <w:rFonts w:eastAsiaTheme="minorHAnsi"/>
                <w:szCs w:val="24"/>
                <w:lang w:val="en-US" w:eastAsia="en-US"/>
              </w:rPr>
              <w:t>E</w:t>
            </w:r>
            <w:r w:rsidRPr="00BE78D8">
              <w:rPr>
                <w:rFonts w:eastAsiaTheme="minorHAnsi"/>
                <w:szCs w:val="24"/>
                <w:lang w:val="en-US" w:eastAsia="en-US"/>
              </w:rPr>
              <w:t>)</w:t>
            </w:r>
          </w:p>
        </w:tc>
        <w:tc>
          <w:tcPr>
            <w:tcW w:w="2046" w:type="dxa"/>
          </w:tcPr>
          <w:p w:rsidR="002E6C48" w:rsidRPr="00BE78D8" w:rsidRDefault="002E6C48" w:rsidP="002E6C48">
            <w:pPr>
              <w:autoSpaceDE w:val="0"/>
              <w:autoSpaceDN w:val="0"/>
              <w:adjustRightInd w:val="0"/>
              <w:jc w:val="center"/>
              <w:rPr>
                <w:rFonts w:eastAsiaTheme="minorHAnsi"/>
                <w:szCs w:val="24"/>
                <w:lang w:val="en-US" w:eastAsia="en-US"/>
              </w:rPr>
            </w:pPr>
            <w:r w:rsidRPr="00BE78D8">
              <w:rPr>
                <w:rFonts w:eastAsiaTheme="minorHAnsi"/>
                <w:szCs w:val="24"/>
                <w:lang w:val="en-US" w:eastAsia="en-US"/>
              </w:rPr>
              <w:t>3.6 (2.2, 3.7)</w:t>
            </w:r>
          </w:p>
        </w:tc>
      </w:tr>
      <w:tr w:rsidR="002E6C48" w:rsidRPr="00BE78D8" w:rsidTr="00B53FFF">
        <w:tc>
          <w:tcPr>
            <w:tcW w:w="5070" w:type="dxa"/>
          </w:tcPr>
          <w:p w:rsidR="002E6C48" w:rsidRPr="00BE78D8" w:rsidRDefault="002E6C48" w:rsidP="000A3363">
            <w:pPr>
              <w:autoSpaceDE w:val="0"/>
              <w:autoSpaceDN w:val="0"/>
              <w:adjustRightInd w:val="0"/>
              <w:rPr>
                <w:rFonts w:eastAsiaTheme="minorHAnsi"/>
                <w:szCs w:val="24"/>
                <w:lang w:val="en-US" w:eastAsia="en-US"/>
              </w:rPr>
            </w:pPr>
            <w:r w:rsidRPr="00BE78D8">
              <w:rPr>
                <w:rFonts w:eastAsiaTheme="minorHAnsi"/>
                <w:szCs w:val="24"/>
                <w:lang w:val="en-US" w:eastAsia="en-US"/>
              </w:rPr>
              <w:t>Hazard Ratio (99% CI)</w:t>
            </w:r>
            <w:r w:rsidRPr="00BE78D8">
              <w:rPr>
                <w:rFonts w:eastAsiaTheme="minorHAnsi"/>
                <w:szCs w:val="24"/>
                <w:vertAlign w:val="superscript"/>
                <w:lang w:val="en-US" w:eastAsia="en-US"/>
              </w:rPr>
              <w:t>b,c</w:t>
            </w:r>
          </w:p>
        </w:tc>
        <w:tc>
          <w:tcPr>
            <w:tcW w:w="4172" w:type="dxa"/>
            <w:gridSpan w:val="2"/>
          </w:tcPr>
          <w:p w:rsidR="002E6C48" w:rsidRPr="00BE78D8" w:rsidRDefault="002E6C48" w:rsidP="002E6C48">
            <w:pPr>
              <w:autoSpaceDE w:val="0"/>
              <w:autoSpaceDN w:val="0"/>
              <w:adjustRightInd w:val="0"/>
              <w:jc w:val="center"/>
              <w:rPr>
                <w:rFonts w:eastAsiaTheme="minorHAnsi"/>
                <w:szCs w:val="24"/>
                <w:lang w:val="en-US" w:eastAsia="en-US"/>
              </w:rPr>
            </w:pPr>
            <w:r w:rsidRPr="00BE78D8">
              <w:rPr>
                <w:rFonts w:eastAsiaTheme="minorHAnsi"/>
                <w:szCs w:val="24"/>
                <w:lang w:val="en-US" w:eastAsia="en-US"/>
              </w:rPr>
              <w:t>0.21 (0.14, 0.31)</w:t>
            </w:r>
          </w:p>
        </w:tc>
      </w:tr>
      <w:tr w:rsidR="002E6C48" w:rsidRPr="00BE78D8" w:rsidTr="00B53FFF">
        <w:tc>
          <w:tcPr>
            <w:tcW w:w="5070" w:type="dxa"/>
          </w:tcPr>
          <w:p w:rsidR="002E6C48" w:rsidRPr="00BE78D8" w:rsidRDefault="002E6C48" w:rsidP="000A3363">
            <w:pPr>
              <w:autoSpaceDE w:val="0"/>
              <w:autoSpaceDN w:val="0"/>
              <w:adjustRightInd w:val="0"/>
              <w:rPr>
                <w:rFonts w:eastAsiaTheme="minorHAnsi"/>
                <w:szCs w:val="24"/>
                <w:lang w:val="en-US" w:eastAsia="en-US"/>
              </w:rPr>
            </w:pPr>
            <w:r w:rsidRPr="00BE78D8">
              <w:rPr>
                <w:rFonts w:eastAsiaTheme="minorHAnsi"/>
                <w:szCs w:val="24"/>
                <w:lang w:val="en-US" w:eastAsia="en-US"/>
              </w:rPr>
              <w:t>P-value</w:t>
            </w:r>
            <w:r w:rsidRPr="00BE78D8">
              <w:rPr>
                <w:rFonts w:eastAsiaTheme="minorHAnsi"/>
                <w:szCs w:val="24"/>
                <w:vertAlign w:val="superscript"/>
                <w:lang w:val="en-US" w:eastAsia="en-US"/>
              </w:rPr>
              <w:t>b</w:t>
            </w:r>
          </w:p>
        </w:tc>
        <w:tc>
          <w:tcPr>
            <w:tcW w:w="4172" w:type="dxa"/>
            <w:gridSpan w:val="2"/>
          </w:tcPr>
          <w:p w:rsidR="002E6C48" w:rsidRPr="00BE78D8" w:rsidRDefault="002E6C48" w:rsidP="002E6C48">
            <w:pPr>
              <w:autoSpaceDE w:val="0"/>
              <w:autoSpaceDN w:val="0"/>
              <w:adjustRightInd w:val="0"/>
              <w:jc w:val="center"/>
              <w:rPr>
                <w:rFonts w:eastAsiaTheme="minorHAnsi"/>
                <w:szCs w:val="24"/>
                <w:lang w:val="en-US" w:eastAsia="en-US"/>
              </w:rPr>
            </w:pPr>
            <w:r w:rsidRPr="00BE78D8">
              <w:rPr>
                <w:rFonts w:eastAsiaTheme="minorHAnsi"/>
                <w:szCs w:val="24"/>
                <w:lang w:val="en-US" w:eastAsia="en-US"/>
              </w:rPr>
              <w:t>&lt;0.0001</w:t>
            </w:r>
          </w:p>
        </w:tc>
      </w:tr>
      <w:tr w:rsidR="002E6C48" w:rsidRPr="00BE78D8" w:rsidTr="00B53FFF">
        <w:tc>
          <w:tcPr>
            <w:tcW w:w="5070" w:type="dxa"/>
          </w:tcPr>
          <w:p w:rsidR="002E6C48" w:rsidRPr="00BE78D8" w:rsidRDefault="002E6C48" w:rsidP="000A3363">
            <w:pPr>
              <w:autoSpaceDE w:val="0"/>
              <w:autoSpaceDN w:val="0"/>
              <w:adjustRightInd w:val="0"/>
              <w:rPr>
                <w:rFonts w:eastAsiaTheme="minorHAnsi"/>
                <w:b/>
                <w:szCs w:val="24"/>
                <w:lang w:val="en-US" w:eastAsia="en-US"/>
              </w:rPr>
            </w:pPr>
            <w:r w:rsidRPr="00BE78D8">
              <w:rPr>
                <w:rFonts w:eastAsiaTheme="minorHAnsi"/>
                <w:b/>
                <w:szCs w:val="24"/>
                <w:lang w:val="en-US" w:eastAsia="en-US"/>
              </w:rPr>
              <w:t xml:space="preserve">Patients who had received 0 prior VEGF/VEGFR-target </w:t>
            </w:r>
            <w:proofErr w:type="gramStart"/>
            <w:r w:rsidRPr="00BE78D8">
              <w:rPr>
                <w:rFonts w:eastAsiaTheme="minorHAnsi"/>
                <w:b/>
                <w:szCs w:val="24"/>
                <w:lang w:val="en-US" w:eastAsia="en-US"/>
              </w:rPr>
              <w:t>therapy</w:t>
            </w:r>
            <w:proofErr w:type="gramEnd"/>
            <w:r w:rsidRPr="00BE78D8">
              <w:rPr>
                <w:rFonts w:eastAsiaTheme="minorHAnsi"/>
                <w:b/>
                <w:szCs w:val="24"/>
                <w:lang w:val="en-US" w:eastAsia="en-US"/>
              </w:rPr>
              <w:t xml:space="preserve"> (%)</w:t>
            </w:r>
          </w:p>
        </w:tc>
        <w:tc>
          <w:tcPr>
            <w:tcW w:w="2126" w:type="dxa"/>
          </w:tcPr>
          <w:p w:rsidR="002E6C48" w:rsidRPr="00BE78D8" w:rsidRDefault="002E6C48" w:rsidP="002E6C48">
            <w:pPr>
              <w:autoSpaceDE w:val="0"/>
              <w:autoSpaceDN w:val="0"/>
              <w:adjustRightInd w:val="0"/>
              <w:jc w:val="center"/>
              <w:rPr>
                <w:rFonts w:eastAsiaTheme="minorHAnsi"/>
                <w:szCs w:val="24"/>
                <w:lang w:val="en-US" w:eastAsia="en-US"/>
              </w:rPr>
            </w:pPr>
            <w:r w:rsidRPr="00BE78D8">
              <w:rPr>
                <w:rFonts w:eastAsiaTheme="minorHAnsi"/>
                <w:szCs w:val="24"/>
                <w:lang w:val="en-US" w:eastAsia="en-US"/>
              </w:rPr>
              <w:t>195(74.7)</w:t>
            </w:r>
          </w:p>
        </w:tc>
        <w:tc>
          <w:tcPr>
            <w:tcW w:w="2046" w:type="dxa"/>
          </w:tcPr>
          <w:p w:rsidR="002E6C48" w:rsidRPr="00BE78D8" w:rsidRDefault="002E6C48" w:rsidP="002E6C48">
            <w:pPr>
              <w:autoSpaceDE w:val="0"/>
              <w:autoSpaceDN w:val="0"/>
              <w:adjustRightInd w:val="0"/>
              <w:jc w:val="center"/>
              <w:rPr>
                <w:rFonts w:eastAsiaTheme="minorHAnsi"/>
                <w:szCs w:val="24"/>
                <w:lang w:val="en-US" w:eastAsia="en-US"/>
              </w:rPr>
            </w:pPr>
            <w:r w:rsidRPr="00BE78D8">
              <w:rPr>
                <w:rFonts w:eastAsiaTheme="minorHAnsi"/>
                <w:szCs w:val="24"/>
                <w:lang w:val="en-US" w:eastAsia="en-US"/>
              </w:rPr>
              <w:t>104 (79.4)</w:t>
            </w:r>
          </w:p>
        </w:tc>
      </w:tr>
      <w:tr w:rsidR="002E6C48" w:rsidRPr="00BE78D8" w:rsidTr="00B53FFF">
        <w:tc>
          <w:tcPr>
            <w:tcW w:w="5070" w:type="dxa"/>
          </w:tcPr>
          <w:p w:rsidR="002E6C48" w:rsidRPr="00BE78D8" w:rsidRDefault="002E6C48" w:rsidP="000A3363">
            <w:pPr>
              <w:autoSpaceDE w:val="0"/>
              <w:autoSpaceDN w:val="0"/>
              <w:adjustRightInd w:val="0"/>
              <w:rPr>
                <w:rFonts w:eastAsiaTheme="minorHAnsi"/>
                <w:szCs w:val="24"/>
                <w:lang w:val="en-US" w:eastAsia="en-US"/>
              </w:rPr>
            </w:pPr>
            <w:r w:rsidRPr="00BE78D8">
              <w:rPr>
                <w:rFonts w:eastAsiaTheme="minorHAnsi"/>
                <w:szCs w:val="24"/>
                <w:lang w:val="en-US" w:eastAsia="en-US"/>
              </w:rPr>
              <w:t>Number of progressions or deaths</w:t>
            </w:r>
          </w:p>
        </w:tc>
        <w:tc>
          <w:tcPr>
            <w:tcW w:w="2126" w:type="dxa"/>
          </w:tcPr>
          <w:p w:rsidR="002E6C48" w:rsidRPr="00BE78D8" w:rsidRDefault="002E6C48" w:rsidP="001946D6">
            <w:pPr>
              <w:autoSpaceDE w:val="0"/>
              <w:autoSpaceDN w:val="0"/>
              <w:adjustRightInd w:val="0"/>
              <w:jc w:val="center"/>
              <w:rPr>
                <w:rFonts w:eastAsiaTheme="minorHAnsi"/>
                <w:szCs w:val="24"/>
                <w:lang w:val="en-US" w:eastAsia="en-US"/>
              </w:rPr>
            </w:pPr>
            <w:r w:rsidRPr="00BE78D8">
              <w:rPr>
                <w:rFonts w:eastAsiaTheme="minorHAnsi"/>
                <w:szCs w:val="24"/>
                <w:lang w:val="en-US" w:eastAsia="en-US"/>
              </w:rPr>
              <w:t>76</w:t>
            </w:r>
          </w:p>
        </w:tc>
        <w:tc>
          <w:tcPr>
            <w:tcW w:w="2046" w:type="dxa"/>
          </w:tcPr>
          <w:p w:rsidR="002E6C48" w:rsidRPr="00BE78D8" w:rsidRDefault="002E6C48" w:rsidP="001946D6">
            <w:pPr>
              <w:autoSpaceDE w:val="0"/>
              <w:autoSpaceDN w:val="0"/>
              <w:adjustRightInd w:val="0"/>
              <w:jc w:val="center"/>
              <w:rPr>
                <w:rFonts w:eastAsiaTheme="minorHAnsi"/>
                <w:szCs w:val="24"/>
                <w:lang w:val="en-US" w:eastAsia="en-US"/>
              </w:rPr>
            </w:pPr>
            <w:r w:rsidRPr="00BE78D8">
              <w:rPr>
                <w:rFonts w:eastAsiaTheme="minorHAnsi"/>
                <w:szCs w:val="24"/>
                <w:lang w:val="en-US" w:eastAsia="en-US"/>
              </w:rPr>
              <w:t>88</w:t>
            </w:r>
          </w:p>
        </w:tc>
      </w:tr>
      <w:tr w:rsidR="002E6C48" w:rsidRPr="00BE78D8" w:rsidTr="00B53FFF">
        <w:tc>
          <w:tcPr>
            <w:tcW w:w="5070" w:type="dxa"/>
          </w:tcPr>
          <w:p w:rsidR="002E6C48" w:rsidRPr="00BE78D8" w:rsidRDefault="002E6C48" w:rsidP="000A3363">
            <w:pPr>
              <w:autoSpaceDE w:val="0"/>
              <w:autoSpaceDN w:val="0"/>
              <w:adjustRightInd w:val="0"/>
              <w:rPr>
                <w:rFonts w:eastAsiaTheme="minorHAnsi"/>
                <w:szCs w:val="24"/>
                <w:lang w:val="en-US" w:eastAsia="en-US"/>
              </w:rPr>
            </w:pPr>
            <w:r w:rsidRPr="00BE78D8">
              <w:rPr>
                <w:rFonts w:eastAsiaTheme="minorHAnsi"/>
                <w:szCs w:val="24"/>
                <w:lang w:val="en-US" w:eastAsia="en-US"/>
              </w:rPr>
              <w:t>Median PFS in months (95%CI)</w:t>
            </w:r>
          </w:p>
        </w:tc>
        <w:tc>
          <w:tcPr>
            <w:tcW w:w="2126" w:type="dxa"/>
          </w:tcPr>
          <w:p w:rsidR="002E6C48" w:rsidRPr="00BE78D8" w:rsidRDefault="002E6C48" w:rsidP="001946D6">
            <w:pPr>
              <w:autoSpaceDE w:val="0"/>
              <w:autoSpaceDN w:val="0"/>
              <w:adjustRightInd w:val="0"/>
              <w:jc w:val="center"/>
              <w:rPr>
                <w:rFonts w:eastAsiaTheme="minorHAnsi"/>
                <w:szCs w:val="24"/>
                <w:lang w:val="en-US" w:eastAsia="en-US"/>
              </w:rPr>
            </w:pPr>
            <w:r w:rsidRPr="00BE78D8">
              <w:rPr>
                <w:rFonts w:eastAsiaTheme="minorHAnsi"/>
                <w:szCs w:val="24"/>
                <w:lang w:val="en-US" w:eastAsia="en-US"/>
              </w:rPr>
              <w:t>18.7 (16.4, NE)</w:t>
            </w:r>
          </w:p>
        </w:tc>
        <w:tc>
          <w:tcPr>
            <w:tcW w:w="2046" w:type="dxa"/>
          </w:tcPr>
          <w:p w:rsidR="002E6C48" w:rsidRPr="00BE78D8" w:rsidRDefault="002E6C48" w:rsidP="00C378AD">
            <w:pPr>
              <w:autoSpaceDE w:val="0"/>
              <w:autoSpaceDN w:val="0"/>
              <w:adjustRightInd w:val="0"/>
              <w:jc w:val="center"/>
              <w:rPr>
                <w:rFonts w:eastAsiaTheme="minorHAnsi"/>
                <w:szCs w:val="24"/>
                <w:lang w:val="en-US" w:eastAsia="en-US"/>
              </w:rPr>
            </w:pPr>
            <w:r w:rsidRPr="00BE78D8">
              <w:rPr>
                <w:rFonts w:eastAsiaTheme="minorHAnsi"/>
                <w:szCs w:val="24"/>
                <w:lang w:val="en-US" w:eastAsia="en-US"/>
              </w:rPr>
              <w:t>3.6 (</w:t>
            </w:r>
            <w:r w:rsidR="00C378AD">
              <w:rPr>
                <w:rFonts w:eastAsiaTheme="minorHAnsi"/>
                <w:szCs w:val="24"/>
                <w:lang w:val="en-US" w:eastAsia="en-US"/>
              </w:rPr>
              <w:t>2.1</w:t>
            </w:r>
            <w:r w:rsidRPr="00BE78D8">
              <w:rPr>
                <w:rFonts w:eastAsiaTheme="minorHAnsi"/>
                <w:szCs w:val="24"/>
                <w:lang w:val="en-US" w:eastAsia="en-US"/>
              </w:rPr>
              <w:t xml:space="preserve">, </w:t>
            </w:r>
            <w:r w:rsidR="00C378AD">
              <w:rPr>
                <w:rFonts w:eastAsiaTheme="minorHAnsi"/>
                <w:szCs w:val="24"/>
                <w:lang w:val="en-US" w:eastAsia="en-US"/>
              </w:rPr>
              <w:t>5.3</w:t>
            </w:r>
            <w:r w:rsidRPr="00BE78D8">
              <w:rPr>
                <w:rFonts w:eastAsiaTheme="minorHAnsi"/>
                <w:szCs w:val="24"/>
                <w:lang w:val="en-US" w:eastAsia="en-US"/>
              </w:rPr>
              <w:t>)</w:t>
            </w:r>
          </w:p>
        </w:tc>
      </w:tr>
      <w:tr w:rsidR="001946D6" w:rsidRPr="00BE78D8" w:rsidTr="00B53FFF">
        <w:tc>
          <w:tcPr>
            <w:tcW w:w="5070" w:type="dxa"/>
          </w:tcPr>
          <w:p w:rsidR="001946D6" w:rsidRPr="00BE78D8" w:rsidRDefault="001946D6" w:rsidP="000A3363">
            <w:pPr>
              <w:autoSpaceDE w:val="0"/>
              <w:autoSpaceDN w:val="0"/>
              <w:adjustRightInd w:val="0"/>
              <w:rPr>
                <w:rFonts w:eastAsiaTheme="minorHAnsi"/>
                <w:szCs w:val="24"/>
                <w:lang w:val="en-US" w:eastAsia="en-US"/>
              </w:rPr>
            </w:pPr>
            <w:r w:rsidRPr="00BE78D8">
              <w:rPr>
                <w:rFonts w:eastAsiaTheme="minorHAnsi"/>
                <w:szCs w:val="24"/>
                <w:lang w:val="en-US" w:eastAsia="en-US"/>
              </w:rPr>
              <w:t>Hazard ratio (95% CI)</w:t>
            </w:r>
            <w:r w:rsidRPr="00BE78D8">
              <w:rPr>
                <w:rFonts w:eastAsiaTheme="minorHAnsi"/>
                <w:szCs w:val="24"/>
                <w:vertAlign w:val="superscript"/>
                <w:lang w:val="en-US" w:eastAsia="en-US"/>
              </w:rPr>
              <w:t>bc</w:t>
            </w:r>
          </w:p>
        </w:tc>
        <w:tc>
          <w:tcPr>
            <w:tcW w:w="4172" w:type="dxa"/>
            <w:gridSpan w:val="2"/>
          </w:tcPr>
          <w:p w:rsidR="001946D6" w:rsidRPr="00BE78D8" w:rsidRDefault="001946D6" w:rsidP="001946D6">
            <w:pPr>
              <w:autoSpaceDE w:val="0"/>
              <w:autoSpaceDN w:val="0"/>
              <w:adjustRightInd w:val="0"/>
              <w:jc w:val="center"/>
              <w:rPr>
                <w:rFonts w:eastAsiaTheme="minorHAnsi"/>
                <w:szCs w:val="24"/>
                <w:lang w:val="en-US" w:eastAsia="en-US"/>
              </w:rPr>
            </w:pPr>
            <w:r w:rsidRPr="00BE78D8">
              <w:rPr>
                <w:rFonts w:eastAsiaTheme="minorHAnsi"/>
                <w:szCs w:val="24"/>
                <w:lang w:val="en-US" w:eastAsia="en-US"/>
              </w:rPr>
              <w:t>0.20 (0.14, 0.27)</w:t>
            </w:r>
          </w:p>
        </w:tc>
      </w:tr>
      <w:tr w:rsidR="002E6C48" w:rsidRPr="00BE78D8" w:rsidTr="00B53FFF">
        <w:tc>
          <w:tcPr>
            <w:tcW w:w="5070" w:type="dxa"/>
          </w:tcPr>
          <w:p w:rsidR="002E6C48" w:rsidRPr="00BE78D8" w:rsidRDefault="001946D6" w:rsidP="000A3363">
            <w:pPr>
              <w:autoSpaceDE w:val="0"/>
              <w:autoSpaceDN w:val="0"/>
              <w:adjustRightInd w:val="0"/>
              <w:rPr>
                <w:rFonts w:eastAsiaTheme="minorHAnsi"/>
                <w:b/>
                <w:szCs w:val="24"/>
                <w:lang w:val="en-US" w:eastAsia="en-US"/>
              </w:rPr>
            </w:pPr>
            <w:r w:rsidRPr="00BE78D8">
              <w:rPr>
                <w:rFonts w:eastAsiaTheme="minorHAnsi"/>
                <w:b/>
                <w:szCs w:val="24"/>
                <w:lang w:val="en-US" w:eastAsia="en-US"/>
              </w:rPr>
              <w:lastRenderedPageBreak/>
              <w:t>Patients who had received 1 prior VEGF/ VEGFR - targeted therapy (%)</w:t>
            </w:r>
          </w:p>
        </w:tc>
        <w:tc>
          <w:tcPr>
            <w:tcW w:w="2126" w:type="dxa"/>
          </w:tcPr>
          <w:p w:rsidR="002E6C48" w:rsidRPr="00BE78D8" w:rsidRDefault="001946D6" w:rsidP="001946D6">
            <w:pPr>
              <w:autoSpaceDE w:val="0"/>
              <w:autoSpaceDN w:val="0"/>
              <w:adjustRightInd w:val="0"/>
              <w:jc w:val="center"/>
              <w:rPr>
                <w:rFonts w:eastAsiaTheme="minorHAnsi"/>
                <w:szCs w:val="24"/>
                <w:lang w:val="en-US" w:eastAsia="en-US"/>
              </w:rPr>
            </w:pPr>
            <w:r w:rsidRPr="00BE78D8">
              <w:rPr>
                <w:rFonts w:eastAsiaTheme="minorHAnsi"/>
                <w:szCs w:val="24"/>
                <w:lang w:val="en-US" w:eastAsia="en-US"/>
              </w:rPr>
              <w:t>66 (25.3)</w:t>
            </w:r>
          </w:p>
        </w:tc>
        <w:tc>
          <w:tcPr>
            <w:tcW w:w="2046" w:type="dxa"/>
          </w:tcPr>
          <w:p w:rsidR="002E6C48" w:rsidRPr="00BE78D8" w:rsidRDefault="001946D6" w:rsidP="001946D6">
            <w:pPr>
              <w:autoSpaceDE w:val="0"/>
              <w:autoSpaceDN w:val="0"/>
              <w:adjustRightInd w:val="0"/>
              <w:jc w:val="center"/>
              <w:rPr>
                <w:rFonts w:eastAsiaTheme="minorHAnsi"/>
                <w:szCs w:val="24"/>
                <w:lang w:val="en-US" w:eastAsia="en-US"/>
              </w:rPr>
            </w:pPr>
            <w:r w:rsidRPr="00BE78D8">
              <w:rPr>
                <w:rFonts w:eastAsiaTheme="minorHAnsi"/>
                <w:szCs w:val="24"/>
                <w:lang w:val="en-US" w:eastAsia="en-US"/>
              </w:rPr>
              <w:t>27 (20.6)</w:t>
            </w:r>
          </w:p>
        </w:tc>
      </w:tr>
      <w:tr w:rsidR="001946D6" w:rsidRPr="00BE78D8" w:rsidTr="00B53FFF">
        <w:tc>
          <w:tcPr>
            <w:tcW w:w="5070" w:type="dxa"/>
          </w:tcPr>
          <w:p w:rsidR="001946D6" w:rsidRPr="00BE78D8" w:rsidRDefault="001946D6" w:rsidP="00946012">
            <w:pPr>
              <w:autoSpaceDE w:val="0"/>
              <w:autoSpaceDN w:val="0"/>
              <w:adjustRightInd w:val="0"/>
              <w:rPr>
                <w:rFonts w:eastAsiaTheme="minorHAnsi"/>
                <w:szCs w:val="24"/>
                <w:lang w:val="en-US" w:eastAsia="en-US"/>
              </w:rPr>
            </w:pPr>
            <w:r w:rsidRPr="00BE78D8">
              <w:rPr>
                <w:rFonts w:eastAsiaTheme="minorHAnsi"/>
                <w:szCs w:val="24"/>
                <w:lang w:val="en-US" w:eastAsia="en-US"/>
              </w:rPr>
              <w:t>Number of progressions or deaths</w:t>
            </w:r>
          </w:p>
        </w:tc>
        <w:tc>
          <w:tcPr>
            <w:tcW w:w="2126" w:type="dxa"/>
          </w:tcPr>
          <w:p w:rsidR="001946D6" w:rsidRPr="00BE78D8" w:rsidRDefault="001946D6" w:rsidP="001946D6">
            <w:pPr>
              <w:autoSpaceDE w:val="0"/>
              <w:autoSpaceDN w:val="0"/>
              <w:adjustRightInd w:val="0"/>
              <w:jc w:val="center"/>
              <w:rPr>
                <w:rFonts w:eastAsiaTheme="minorHAnsi"/>
                <w:szCs w:val="24"/>
                <w:lang w:val="en-US" w:eastAsia="en-US"/>
              </w:rPr>
            </w:pPr>
            <w:r w:rsidRPr="00BE78D8">
              <w:rPr>
                <w:rFonts w:eastAsiaTheme="minorHAnsi"/>
                <w:szCs w:val="24"/>
                <w:lang w:val="en-US" w:eastAsia="en-US"/>
              </w:rPr>
              <w:t>31</w:t>
            </w:r>
          </w:p>
        </w:tc>
        <w:tc>
          <w:tcPr>
            <w:tcW w:w="2046" w:type="dxa"/>
          </w:tcPr>
          <w:p w:rsidR="001946D6" w:rsidRPr="00BE78D8" w:rsidRDefault="001946D6" w:rsidP="001946D6">
            <w:pPr>
              <w:autoSpaceDE w:val="0"/>
              <w:autoSpaceDN w:val="0"/>
              <w:adjustRightInd w:val="0"/>
              <w:jc w:val="center"/>
              <w:rPr>
                <w:rFonts w:eastAsiaTheme="minorHAnsi"/>
                <w:szCs w:val="24"/>
                <w:lang w:val="en-US" w:eastAsia="en-US"/>
              </w:rPr>
            </w:pPr>
            <w:r w:rsidRPr="00BE78D8">
              <w:rPr>
                <w:rFonts w:eastAsiaTheme="minorHAnsi"/>
                <w:szCs w:val="24"/>
                <w:lang w:val="en-US" w:eastAsia="en-US"/>
              </w:rPr>
              <w:t>25</w:t>
            </w:r>
          </w:p>
        </w:tc>
      </w:tr>
      <w:tr w:rsidR="001946D6" w:rsidRPr="00BE78D8" w:rsidTr="00B53FFF">
        <w:tc>
          <w:tcPr>
            <w:tcW w:w="5070" w:type="dxa"/>
          </w:tcPr>
          <w:p w:rsidR="001946D6" w:rsidRPr="00BE78D8" w:rsidRDefault="001946D6" w:rsidP="00946012">
            <w:pPr>
              <w:autoSpaceDE w:val="0"/>
              <w:autoSpaceDN w:val="0"/>
              <w:adjustRightInd w:val="0"/>
              <w:rPr>
                <w:rFonts w:eastAsiaTheme="minorHAnsi"/>
                <w:szCs w:val="24"/>
                <w:lang w:val="en-US" w:eastAsia="en-US"/>
              </w:rPr>
            </w:pPr>
            <w:r w:rsidRPr="00BE78D8">
              <w:rPr>
                <w:rFonts w:eastAsiaTheme="minorHAnsi"/>
                <w:szCs w:val="24"/>
                <w:lang w:val="en-US" w:eastAsia="en-US"/>
              </w:rPr>
              <w:t>Median PFS in months (95%CI)</w:t>
            </w:r>
          </w:p>
        </w:tc>
        <w:tc>
          <w:tcPr>
            <w:tcW w:w="2126" w:type="dxa"/>
          </w:tcPr>
          <w:p w:rsidR="001946D6" w:rsidRPr="00BE78D8" w:rsidRDefault="001946D6" w:rsidP="001946D6">
            <w:pPr>
              <w:autoSpaceDE w:val="0"/>
              <w:autoSpaceDN w:val="0"/>
              <w:adjustRightInd w:val="0"/>
              <w:jc w:val="center"/>
              <w:rPr>
                <w:rFonts w:eastAsiaTheme="minorHAnsi"/>
                <w:szCs w:val="24"/>
                <w:lang w:val="en-US" w:eastAsia="en-US"/>
              </w:rPr>
            </w:pPr>
            <w:r w:rsidRPr="00BE78D8">
              <w:rPr>
                <w:rFonts w:eastAsiaTheme="minorHAnsi"/>
                <w:szCs w:val="24"/>
                <w:lang w:val="en-US" w:eastAsia="en-US"/>
              </w:rPr>
              <w:t>15.1 (8.8, NE)</w:t>
            </w:r>
          </w:p>
        </w:tc>
        <w:tc>
          <w:tcPr>
            <w:tcW w:w="2046" w:type="dxa"/>
          </w:tcPr>
          <w:p w:rsidR="001946D6" w:rsidRPr="00BE78D8" w:rsidRDefault="001946D6" w:rsidP="001946D6">
            <w:pPr>
              <w:autoSpaceDE w:val="0"/>
              <w:autoSpaceDN w:val="0"/>
              <w:adjustRightInd w:val="0"/>
              <w:jc w:val="center"/>
              <w:rPr>
                <w:rFonts w:eastAsiaTheme="minorHAnsi"/>
                <w:szCs w:val="24"/>
                <w:lang w:val="en-US" w:eastAsia="en-US"/>
              </w:rPr>
            </w:pPr>
            <w:r w:rsidRPr="00BE78D8">
              <w:rPr>
                <w:rFonts w:eastAsiaTheme="minorHAnsi"/>
                <w:szCs w:val="24"/>
                <w:lang w:val="en-US" w:eastAsia="en-US"/>
              </w:rPr>
              <w:t>3.6 (1.9, 3.7)</w:t>
            </w:r>
          </w:p>
        </w:tc>
      </w:tr>
      <w:tr w:rsidR="001946D6" w:rsidRPr="00BE78D8" w:rsidTr="00B53FFF">
        <w:tc>
          <w:tcPr>
            <w:tcW w:w="5070" w:type="dxa"/>
          </w:tcPr>
          <w:p w:rsidR="001946D6" w:rsidRPr="00BE78D8" w:rsidRDefault="001946D6" w:rsidP="00946012">
            <w:pPr>
              <w:autoSpaceDE w:val="0"/>
              <w:autoSpaceDN w:val="0"/>
              <w:adjustRightInd w:val="0"/>
              <w:rPr>
                <w:rFonts w:eastAsiaTheme="minorHAnsi"/>
                <w:szCs w:val="24"/>
                <w:lang w:val="en-US" w:eastAsia="en-US"/>
              </w:rPr>
            </w:pPr>
            <w:r w:rsidRPr="00BE78D8">
              <w:rPr>
                <w:rFonts w:eastAsiaTheme="minorHAnsi"/>
                <w:szCs w:val="24"/>
                <w:lang w:val="en-US" w:eastAsia="en-US"/>
              </w:rPr>
              <w:t>Hazard ratio (95% CI)</w:t>
            </w:r>
            <w:r w:rsidRPr="00BE78D8">
              <w:rPr>
                <w:rFonts w:eastAsiaTheme="minorHAnsi"/>
                <w:szCs w:val="24"/>
                <w:vertAlign w:val="superscript"/>
                <w:lang w:val="en-US" w:eastAsia="en-US"/>
              </w:rPr>
              <w:t>bc</w:t>
            </w:r>
          </w:p>
        </w:tc>
        <w:tc>
          <w:tcPr>
            <w:tcW w:w="4172" w:type="dxa"/>
            <w:gridSpan w:val="2"/>
          </w:tcPr>
          <w:p w:rsidR="001946D6" w:rsidRPr="00BE78D8" w:rsidRDefault="001946D6" w:rsidP="001946D6">
            <w:pPr>
              <w:autoSpaceDE w:val="0"/>
              <w:autoSpaceDN w:val="0"/>
              <w:adjustRightInd w:val="0"/>
              <w:jc w:val="center"/>
              <w:rPr>
                <w:rFonts w:eastAsiaTheme="minorHAnsi"/>
                <w:szCs w:val="24"/>
                <w:lang w:val="en-US" w:eastAsia="en-US"/>
              </w:rPr>
            </w:pPr>
            <w:r w:rsidRPr="00BE78D8">
              <w:rPr>
                <w:rFonts w:eastAsiaTheme="minorHAnsi"/>
                <w:szCs w:val="24"/>
                <w:lang w:val="en-US" w:eastAsia="en-US"/>
              </w:rPr>
              <w:t>0.22 (0.12, 0.41)</w:t>
            </w:r>
          </w:p>
        </w:tc>
      </w:tr>
      <w:tr w:rsidR="001946D6" w:rsidRPr="00BE78D8" w:rsidTr="00B53FFF">
        <w:tc>
          <w:tcPr>
            <w:tcW w:w="5070" w:type="dxa"/>
          </w:tcPr>
          <w:p w:rsidR="001946D6" w:rsidRPr="00BE78D8" w:rsidRDefault="001946D6" w:rsidP="000A3363">
            <w:pPr>
              <w:autoSpaceDE w:val="0"/>
              <w:autoSpaceDN w:val="0"/>
              <w:adjustRightInd w:val="0"/>
              <w:rPr>
                <w:rFonts w:eastAsiaTheme="minorHAnsi"/>
                <w:b/>
                <w:szCs w:val="24"/>
                <w:lang w:val="en-US" w:eastAsia="en-US"/>
              </w:rPr>
            </w:pPr>
            <w:r w:rsidRPr="00BE78D8">
              <w:rPr>
                <w:rFonts w:eastAsiaTheme="minorHAnsi"/>
                <w:b/>
                <w:szCs w:val="24"/>
                <w:lang w:val="en-US" w:eastAsia="en-US"/>
              </w:rPr>
              <w:t>Overall Response Rate</w:t>
            </w:r>
            <w:r w:rsidRPr="00BE78D8">
              <w:rPr>
                <w:rFonts w:eastAsiaTheme="minorHAnsi"/>
                <w:b/>
                <w:szCs w:val="24"/>
                <w:vertAlign w:val="superscript"/>
                <w:lang w:val="en-US" w:eastAsia="en-US"/>
              </w:rPr>
              <w:t>a</w:t>
            </w:r>
          </w:p>
        </w:tc>
        <w:tc>
          <w:tcPr>
            <w:tcW w:w="2126" w:type="dxa"/>
          </w:tcPr>
          <w:p w:rsidR="001946D6" w:rsidRPr="00BE78D8" w:rsidRDefault="001946D6" w:rsidP="001946D6">
            <w:pPr>
              <w:autoSpaceDE w:val="0"/>
              <w:autoSpaceDN w:val="0"/>
              <w:adjustRightInd w:val="0"/>
              <w:jc w:val="center"/>
              <w:rPr>
                <w:rFonts w:eastAsiaTheme="minorHAnsi"/>
                <w:szCs w:val="24"/>
                <w:lang w:val="en-US" w:eastAsia="en-US"/>
              </w:rPr>
            </w:pPr>
          </w:p>
        </w:tc>
        <w:tc>
          <w:tcPr>
            <w:tcW w:w="2046" w:type="dxa"/>
          </w:tcPr>
          <w:p w:rsidR="001946D6" w:rsidRPr="00BE78D8" w:rsidRDefault="001946D6" w:rsidP="001946D6">
            <w:pPr>
              <w:autoSpaceDE w:val="0"/>
              <w:autoSpaceDN w:val="0"/>
              <w:adjustRightInd w:val="0"/>
              <w:jc w:val="center"/>
              <w:rPr>
                <w:rFonts w:eastAsiaTheme="minorHAnsi"/>
                <w:szCs w:val="24"/>
                <w:lang w:val="en-US" w:eastAsia="en-US"/>
              </w:rPr>
            </w:pPr>
          </w:p>
        </w:tc>
      </w:tr>
      <w:tr w:rsidR="001946D6" w:rsidRPr="00BE78D8" w:rsidTr="00B53FFF">
        <w:tc>
          <w:tcPr>
            <w:tcW w:w="5070" w:type="dxa"/>
          </w:tcPr>
          <w:p w:rsidR="001946D6" w:rsidRPr="00BE78D8" w:rsidRDefault="001946D6" w:rsidP="000A3363">
            <w:pPr>
              <w:autoSpaceDE w:val="0"/>
              <w:autoSpaceDN w:val="0"/>
              <w:adjustRightInd w:val="0"/>
              <w:rPr>
                <w:rFonts w:eastAsiaTheme="minorHAnsi"/>
                <w:szCs w:val="24"/>
                <w:lang w:val="en-US" w:eastAsia="en-US"/>
              </w:rPr>
            </w:pPr>
            <w:r w:rsidRPr="00BE78D8">
              <w:rPr>
                <w:rFonts w:eastAsiaTheme="minorHAnsi"/>
                <w:szCs w:val="24"/>
                <w:lang w:val="en-US" w:eastAsia="en-US"/>
              </w:rPr>
              <w:t>Number of objective responders (%)</w:t>
            </w:r>
          </w:p>
        </w:tc>
        <w:tc>
          <w:tcPr>
            <w:tcW w:w="2126" w:type="dxa"/>
          </w:tcPr>
          <w:p w:rsidR="001946D6" w:rsidRPr="00BE78D8" w:rsidRDefault="00B53FFF" w:rsidP="001946D6">
            <w:pPr>
              <w:autoSpaceDE w:val="0"/>
              <w:autoSpaceDN w:val="0"/>
              <w:adjustRightInd w:val="0"/>
              <w:jc w:val="center"/>
              <w:rPr>
                <w:rFonts w:eastAsiaTheme="minorHAnsi"/>
                <w:szCs w:val="24"/>
                <w:lang w:val="en-US" w:eastAsia="en-US"/>
              </w:rPr>
            </w:pPr>
            <w:r w:rsidRPr="00BE78D8">
              <w:rPr>
                <w:rFonts w:eastAsiaTheme="minorHAnsi"/>
                <w:szCs w:val="24"/>
                <w:lang w:val="en-US" w:eastAsia="en-US"/>
              </w:rPr>
              <w:t>169 (64.8)</w:t>
            </w:r>
          </w:p>
        </w:tc>
        <w:tc>
          <w:tcPr>
            <w:tcW w:w="2046" w:type="dxa"/>
          </w:tcPr>
          <w:p w:rsidR="001946D6" w:rsidRPr="00BE78D8" w:rsidRDefault="00B53FFF" w:rsidP="001946D6">
            <w:pPr>
              <w:autoSpaceDE w:val="0"/>
              <w:autoSpaceDN w:val="0"/>
              <w:adjustRightInd w:val="0"/>
              <w:jc w:val="center"/>
              <w:rPr>
                <w:rFonts w:eastAsiaTheme="minorHAnsi"/>
                <w:szCs w:val="24"/>
                <w:lang w:val="en-US" w:eastAsia="en-US"/>
              </w:rPr>
            </w:pPr>
            <w:r w:rsidRPr="00BE78D8">
              <w:rPr>
                <w:rFonts w:eastAsiaTheme="minorHAnsi"/>
                <w:szCs w:val="24"/>
                <w:lang w:val="en-US" w:eastAsia="en-US"/>
              </w:rPr>
              <w:t>2 (1.5)</w:t>
            </w:r>
          </w:p>
        </w:tc>
      </w:tr>
      <w:tr w:rsidR="001946D6" w:rsidRPr="00BE78D8" w:rsidTr="00B53FFF">
        <w:tc>
          <w:tcPr>
            <w:tcW w:w="5070" w:type="dxa"/>
          </w:tcPr>
          <w:p w:rsidR="001946D6" w:rsidRPr="00BE78D8" w:rsidRDefault="001946D6" w:rsidP="000A3363">
            <w:pPr>
              <w:autoSpaceDE w:val="0"/>
              <w:autoSpaceDN w:val="0"/>
              <w:adjustRightInd w:val="0"/>
              <w:rPr>
                <w:rFonts w:eastAsiaTheme="minorHAnsi"/>
                <w:szCs w:val="24"/>
                <w:lang w:val="en-US" w:eastAsia="en-US"/>
              </w:rPr>
            </w:pPr>
            <w:r w:rsidRPr="00BE78D8">
              <w:rPr>
                <w:rFonts w:eastAsiaTheme="minorHAnsi"/>
                <w:szCs w:val="24"/>
                <w:lang w:val="en-US" w:eastAsia="en-US"/>
              </w:rPr>
              <w:t>(95% CI)</w:t>
            </w:r>
          </w:p>
        </w:tc>
        <w:tc>
          <w:tcPr>
            <w:tcW w:w="2126" w:type="dxa"/>
          </w:tcPr>
          <w:p w:rsidR="001946D6" w:rsidRPr="00BE78D8" w:rsidRDefault="00B53FFF" w:rsidP="001946D6">
            <w:pPr>
              <w:autoSpaceDE w:val="0"/>
              <w:autoSpaceDN w:val="0"/>
              <w:adjustRightInd w:val="0"/>
              <w:jc w:val="center"/>
              <w:rPr>
                <w:rFonts w:eastAsiaTheme="minorHAnsi"/>
                <w:szCs w:val="24"/>
                <w:lang w:val="en-US" w:eastAsia="en-US"/>
              </w:rPr>
            </w:pPr>
            <w:r w:rsidRPr="00BE78D8">
              <w:rPr>
                <w:rFonts w:eastAsiaTheme="minorHAnsi"/>
                <w:szCs w:val="24"/>
                <w:lang w:val="en-US" w:eastAsia="en-US"/>
              </w:rPr>
              <w:t>(59.0, 70.5)</w:t>
            </w:r>
          </w:p>
        </w:tc>
        <w:tc>
          <w:tcPr>
            <w:tcW w:w="2046" w:type="dxa"/>
          </w:tcPr>
          <w:p w:rsidR="001946D6" w:rsidRPr="00BE78D8" w:rsidRDefault="00B53FFF" w:rsidP="001946D6">
            <w:pPr>
              <w:autoSpaceDE w:val="0"/>
              <w:autoSpaceDN w:val="0"/>
              <w:adjustRightInd w:val="0"/>
              <w:jc w:val="center"/>
              <w:rPr>
                <w:rFonts w:eastAsiaTheme="minorHAnsi"/>
                <w:szCs w:val="24"/>
                <w:lang w:val="en-US" w:eastAsia="en-US"/>
              </w:rPr>
            </w:pPr>
            <w:r w:rsidRPr="00BE78D8">
              <w:rPr>
                <w:rFonts w:eastAsiaTheme="minorHAnsi"/>
                <w:szCs w:val="24"/>
                <w:lang w:val="en-US" w:eastAsia="en-US"/>
              </w:rPr>
              <w:t>(0.0, 3.6)</w:t>
            </w:r>
          </w:p>
        </w:tc>
      </w:tr>
      <w:tr w:rsidR="00B53FFF" w:rsidRPr="00BE78D8" w:rsidTr="00B53FFF">
        <w:tc>
          <w:tcPr>
            <w:tcW w:w="5070" w:type="dxa"/>
          </w:tcPr>
          <w:p w:rsidR="00B53FFF" w:rsidRPr="00BE78D8" w:rsidRDefault="00B53FFF" w:rsidP="000A3363">
            <w:pPr>
              <w:autoSpaceDE w:val="0"/>
              <w:autoSpaceDN w:val="0"/>
              <w:adjustRightInd w:val="0"/>
              <w:rPr>
                <w:rFonts w:eastAsiaTheme="minorHAnsi"/>
                <w:szCs w:val="24"/>
                <w:lang w:val="en-US" w:eastAsia="en-US"/>
              </w:rPr>
            </w:pPr>
            <w:r w:rsidRPr="00BE78D8">
              <w:rPr>
                <w:rFonts w:eastAsiaTheme="minorHAnsi"/>
                <w:szCs w:val="24"/>
                <w:lang w:val="en-US" w:eastAsia="en-US"/>
              </w:rPr>
              <w:t>P-value</w:t>
            </w:r>
            <w:r w:rsidRPr="00BE78D8">
              <w:rPr>
                <w:rFonts w:eastAsiaTheme="minorHAnsi"/>
                <w:szCs w:val="24"/>
                <w:vertAlign w:val="superscript"/>
                <w:lang w:val="en-US" w:eastAsia="en-US"/>
              </w:rPr>
              <w:t>b</w:t>
            </w:r>
          </w:p>
        </w:tc>
        <w:tc>
          <w:tcPr>
            <w:tcW w:w="4172" w:type="dxa"/>
            <w:gridSpan w:val="2"/>
          </w:tcPr>
          <w:p w:rsidR="00B53FFF" w:rsidRPr="00BE78D8" w:rsidRDefault="00B53FFF" w:rsidP="001946D6">
            <w:pPr>
              <w:autoSpaceDE w:val="0"/>
              <w:autoSpaceDN w:val="0"/>
              <w:adjustRightInd w:val="0"/>
              <w:jc w:val="center"/>
              <w:rPr>
                <w:rFonts w:eastAsiaTheme="minorHAnsi"/>
                <w:szCs w:val="24"/>
                <w:lang w:val="en-US" w:eastAsia="en-US"/>
              </w:rPr>
            </w:pPr>
            <w:r w:rsidRPr="00BE78D8">
              <w:rPr>
                <w:rFonts w:eastAsiaTheme="minorHAnsi"/>
                <w:szCs w:val="24"/>
                <w:lang w:val="en-US" w:eastAsia="en-US"/>
              </w:rPr>
              <w:t>&lt;0.0001</w:t>
            </w:r>
          </w:p>
        </w:tc>
      </w:tr>
      <w:tr w:rsidR="001946D6" w:rsidRPr="00BE78D8" w:rsidTr="00B53FFF">
        <w:tc>
          <w:tcPr>
            <w:tcW w:w="5070" w:type="dxa"/>
          </w:tcPr>
          <w:p w:rsidR="001946D6" w:rsidRPr="00BE78D8" w:rsidRDefault="001946D6" w:rsidP="000A3363">
            <w:pPr>
              <w:autoSpaceDE w:val="0"/>
              <w:autoSpaceDN w:val="0"/>
              <w:adjustRightInd w:val="0"/>
              <w:rPr>
                <w:rFonts w:eastAsiaTheme="minorHAnsi"/>
                <w:szCs w:val="24"/>
                <w:lang w:val="en-US" w:eastAsia="en-US"/>
              </w:rPr>
            </w:pPr>
            <w:r w:rsidRPr="00BE78D8">
              <w:rPr>
                <w:rFonts w:eastAsiaTheme="minorHAnsi"/>
                <w:szCs w:val="24"/>
                <w:lang w:val="en-US" w:eastAsia="en-US"/>
              </w:rPr>
              <w:t>Number of complete responses</w:t>
            </w:r>
          </w:p>
        </w:tc>
        <w:tc>
          <w:tcPr>
            <w:tcW w:w="2126" w:type="dxa"/>
          </w:tcPr>
          <w:p w:rsidR="001946D6" w:rsidRPr="00BE78D8" w:rsidRDefault="00B53FFF" w:rsidP="001946D6">
            <w:pPr>
              <w:autoSpaceDE w:val="0"/>
              <w:autoSpaceDN w:val="0"/>
              <w:adjustRightInd w:val="0"/>
              <w:jc w:val="center"/>
              <w:rPr>
                <w:rFonts w:eastAsiaTheme="minorHAnsi"/>
                <w:szCs w:val="24"/>
                <w:lang w:val="en-US" w:eastAsia="en-US"/>
              </w:rPr>
            </w:pPr>
            <w:r w:rsidRPr="00BE78D8">
              <w:rPr>
                <w:rFonts w:eastAsiaTheme="minorHAnsi"/>
                <w:szCs w:val="24"/>
                <w:lang w:val="en-US" w:eastAsia="en-US"/>
              </w:rPr>
              <w:t>4</w:t>
            </w:r>
          </w:p>
        </w:tc>
        <w:tc>
          <w:tcPr>
            <w:tcW w:w="2046" w:type="dxa"/>
          </w:tcPr>
          <w:p w:rsidR="001946D6" w:rsidRPr="00BE78D8" w:rsidRDefault="00B53FFF" w:rsidP="001946D6">
            <w:pPr>
              <w:autoSpaceDE w:val="0"/>
              <w:autoSpaceDN w:val="0"/>
              <w:adjustRightInd w:val="0"/>
              <w:jc w:val="center"/>
              <w:rPr>
                <w:rFonts w:eastAsiaTheme="minorHAnsi"/>
                <w:szCs w:val="24"/>
                <w:lang w:val="en-US" w:eastAsia="en-US"/>
              </w:rPr>
            </w:pPr>
            <w:r w:rsidRPr="00BE78D8">
              <w:rPr>
                <w:rFonts w:eastAsiaTheme="minorHAnsi"/>
                <w:szCs w:val="24"/>
                <w:lang w:val="en-US" w:eastAsia="en-US"/>
              </w:rPr>
              <w:t>0</w:t>
            </w:r>
          </w:p>
        </w:tc>
      </w:tr>
      <w:tr w:rsidR="001946D6" w:rsidRPr="00BE78D8" w:rsidTr="00B53FFF">
        <w:tc>
          <w:tcPr>
            <w:tcW w:w="5070" w:type="dxa"/>
          </w:tcPr>
          <w:p w:rsidR="001946D6" w:rsidRPr="00BE78D8" w:rsidRDefault="001946D6" w:rsidP="000A3363">
            <w:pPr>
              <w:autoSpaceDE w:val="0"/>
              <w:autoSpaceDN w:val="0"/>
              <w:adjustRightInd w:val="0"/>
              <w:rPr>
                <w:rFonts w:eastAsiaTheme="minorHAnsi"/>
                <w:szCs w:val="24"/>
                <w:lang w:val="en-US" w:eastAsia="en-US"/>
              </w:rPr>
            </w:pPr>
            <w:r w:rsidRPr="00BE78D8">
              <w:rPr>
                <w:rFonts w:eastAsiaTheme="minorHAnsi"/>
                <w:szCs w:val="24"/>
                <w:lang w:val="en-US" w:eastAsia="en-US"/>
              </w:rPr>
              <w:t>Number of partial responses</w:t>
            </w:r>
          </w:p>
        </w:tc>
        <w:tc>
          <w:tcPr>
            <w:tcW w:w="2126" w:type="dxa"/>
          </w:tcPr>
          <w:p w:rsidR="001946D6" w:rsidRPr="00BE78D8" w:rsidRDefault="00B53FFF" w:rsidP="001946D6">
            <w:pPr>
              <w:autoSpaceDE w:val="0"/>
              <w:autoSpaceDN w:val="0"/>
              <w:adjustRightInd w:val="0"/>
              <w:jc w:val="center"/>
              <w:rPr>
                <w:rFonts w:eastAsiaTheme="minorHAnsi"/>
                <w:szCs w:val="24"/>
                <w:lang w:val="en-US" w:eastAsia="en-US"/>
              </w:rPr>
            </w:pPr>
            <w:r w:rsidRPr="00BE78D8">
              <w:rPr>
                <w:rFonts w:eastAsiaTheme="minorHAnsi"/>
                <w:szCs w:val="24"/>
                <w:lang w:val="en-US" w:eastAsia="en-US"/>
              </w:rPr>
              <w:t>165</w:t>
            </w:r>
          </w:p>
        </w:tc>
        <w:tc>
          <w:tcPr>
            <w:tcW w:w="2046" w:type="dxa"/>
          </w:tcPr>
          <w:p w:rsidR="001946D6" w:rsidRPr="00BE78D8" w:rsidRDefault="00B53FFF" w:rsidP="001946D6">
            <w:pPr>
              <w:autoSpaceDE w:val="0"/>
              <w:autoSpaceDN w:val="0"/>
              <w:adjustRightInd w:val="0"/>
              <w:jc w:val="center"/>
              <w:rPr>
                <w:rFonts w:eastAsiaTheme="minorHAnsi"/>
                <w:szCs w:val="24"/>
                <w:lang w:val="en-US" w:eastAsia="en-US"/>
              </w:rPr>
            </w:pPr>
            <w:r w:rsidRPr="00BE78D8">
              <w:rPr>
                <w:rFonts w:eastAsiaTheme="minorHAnsi"/>
                <w:szCs w:val="24"/>
                <w:lang w:val="en-US" w:eastAsia="en-US"/>
              </w:rPr>
              <w:t>2</w:t>
            </w:r>
          </w:p>
        </w:tc>
      </w:tr>
      <w:tr w:rsidR="001946D6" w:rsidRPr="00BE78D8" w:rsidTr="00B53FFF">
        <w:tc>
          <w:tcPr>
            <w:tcW w:w="5070" w:type="dxa"/>
          </w:tcPr>
          <w:p w:rsidR="001946D6" w:rsidRPr="00BE78D8" w:rsidRDefault="001946D6" w:rsidP="000A3363">
            <w:pPr>
              <w:autoSpaceDE w:val="0"/>
              <w:autoSpaceDN w:val="0"/>
              <w:adjustRightInd w:val="0"/>
              <w:rPr>
                <w:rFonts w:eastAsiaTheme="minorHAnsi"/>
                <w:szCs w:val="24"/>
                <w:lang w:val="en-US" w:eastAsia="en-US"/>
              </w:rPr>
            </w:pPr>
            <w:r w:rsidRPr="00BE78D8">
              <w:rPr>
                <w:rFonts w:eastAsiaTheme="minorHAnsi"/>
                <w:szCs w:val="24"/>
                <w:lang w:val="en-US" w:eastAsia="en-US"/>
              </w:rPr>
              <w:t>Median time to objective response,</w:t>
            </w:r>
            <w:r w:rsidRPr="00BE78D8">
              <w:rPr>
                <w:rFonts w:eastAsiaTheme="minorHAnsi"/>
                <w:szCs w:val="24"/>
                <w:vertAlign w:val="superscript"/>
                <w:lang w:val="en-US" w:eastAsia="en-US"/>
              </w:rPr>
              <w:t xml:space="preserve">d </w:t>
            </w:r>
            <w:r w:rsidRPr="00BE78D8">
              <w:rPr>
                <w:rFonts w:eastAsiaTheme="minorHAnsi"/>
                <w:szCs w:val="24"/>
                <w:lang w:val="en-US" w:eastAsia="en-US"/>
              </w:rPr>
              <w:t>months (95%CI)</w:t>
            </w:r>
          </w:p>
        </w:tc>
        <w:tc>
          <w:tcPr>
            <w:tcW w:w="2126" w:type="dxa"/>
          </w:tcPr>
          <w:p w:rsidR="001946D6" w:rsidRPr="00BE78D8" w:rsidRDefault="00B53FFF" w:rsidP="001946D6">
            <w:pPr>
              <w:autoSpaceDE w:val="0"/>
              <w:autoSpaceDN w:val="0"/>
              <w:adjustRightInd w:val="0"/>
              <w:jc w:val="center"/>
              <w:rPr>
                <w:rFonts w:eastAsiaTheme="minorHAnsi"/>
                <w:szCs w:val="24"/>
                <w:lang w:val="en-US" w:eastAsia="en-US"/>
              </w:rPr>
            </w:pPr>
            <w:r w:rsidRPr="00BE78D8">
              <w:rPr>
                <w:rFonts w:eastAsiaTheme="minorHAnsi"/>
                <w:szCs w:val="24"/>
                <w:lang w:val="en-US" w:eastAsia="en-US"/>
              </w:rPr>
              <w:t>2.0 (1.9, 3.5)</w:t>
            </w:r>
          </w:p>
        </w:tc>
        <w:tc>
          <w:tcPr>
            <w:tcW w:w="2046" w:type="dxa"/>
          </w:tcPr>
          <w:p w:rsidR="001946D6" w:rsidRPr="00BE78D8" w:rsidRDefault="00B53FFF" w:rsidP="001946D6">
            <w:pPr>
              <w:autoSpaceDE w:val="0"/>
              <w:autoSpaceDN w:val="0"/>
              <w:adjustRightInd w:val="0"/>
              <w:jc w:val="center"/>
              <w:rPr>
                <w:rFonts w:eastAsiaTheme="minorHAnsi"/>
                <w:szCs w:val="24"/>
                <w:lang w:val="en-US" w:eastAsia="en-US"/>
              </w:rPr>
            </w:pPr>
            <w:r w:rsidRPr="00BE78D8">
              <w:rPr>
                <w:rFonts w:eastAsiaTheme="minorHAnsi"/>
                <w:szCs w:val="24"/>
                <w:lang w:val="en-US" w:eastAsia="en-US"/>
              </w:rPr>
              <w:t>5.6 (1.8, 9.4)</w:t>
            </w:r>
          </w:p>
        </w:tc>
      </w:tr>
      <w:tr w:rsidR="001946D6" w:rsidRPr="00BE78D8" w:rsidTr="00B53FFF">
        <w:tc>
          <w:tcPr>
            <w:tcW w:w="5070" w:type="dxa"/>
          </w:tcPr>
          <w:p w:rsidR="001946D6" w:rsidRPr="00BE78D8" w:rsidRDefault="001946D6" w:rsidP="000A3363">
            <w:pPr>
              <w:autoSpaceDE w:val="0"/>
              <w:autoSpaceDN w:val="0"/>
              <w:adjustRightInd w:val="0"/>
              <w:rPr>
                <w:rFonts w:eastAsiaTheme="minorHAnsi"/>
                <w:szCs w:val="24"/>
                <w:lang w:val="en-US" w:eastAsia="en-US"/>
              </w:rPr>
            </w:pPr>
            <w:r w:rsidRPr="00BE78D8">
              <w:rPr>
                <w:rFonts w:eastAsiaTheme="minorHAnsi"/>
                <w:szCs w:val="24"/>
                <w:lang w:val="en-US" w:eastAsia="en-US"/>
              </w:rPr>
              <w:t>Duration of response,</w:t>
            </w:r>
            <w:r w:rsidRPr="00BE78D8">
              <w:rPr>
                <w:rFonts w:eastAsiaTheme="minorHAnsi"/>
                <w:szCs w:val="24"/>
                <w:vertAlign w:val="superscript"/>
                <w:lang w:val="en-US" w:eastAsia="en-US"/>
              </w:rPr>
              <w:t>d</w:t>
            </w:r>
            <w:r w:rsidRPr="00BE78D8">
              <w:rPr>
                <w:rFonts w:eastAsiaTheme="minorHAnsi"/>
                <w:szCs w:val="24"/>
                <w:lang w:val="en-US" w:eastAsia="en-US"/>
              </w:rPr>
              <w:t xml:space="preserve"> months, median (95% CI)</w:t>
            </w:r>
          </w:p>
        </w:tc>
        <w:tc>
          <w:tcPr>
            <w:tcW w:w="2126" w:type="dxa"/>
          </w:tcPr>
          <w:p w:rsidR="001946D6" w:rsidRPr="00BE78D8" w:rsidRDefault="00B53FFF" w:rsidP="001946D6">
            <w:pPr>
              <w:autoSpaceDE w:val="0"/>
              <w:autoSpaceDN w:val="0"/>
              <w:adjustRightInd w:val="0"/>
              <w:jc w:val="center"/>
              <w:rPr>
                <w:rFonts w:eastAsiaTheme="minorHAnsi"/>
                <w:szCs w:val="24"/>
                <w:lang w:val="en-US" w:eastAsia="en-US"/>
              </w:rPr>
            </w:pPr>
            <w:r w:rsidRPr="00BE78D8">
              <w:rPr>
                <w:rFonts w:eastAsiaTheme="minorHAnsi"/>
                <w:szCs w:val="24"/>
                <w:lang w:val="en-US" w:eastAsia="en-US"/>
              </w:rPr>
              <w:t>NE (16.8, NE)</w:t>
            </w:r>
          </w:p>
        </w:tc>
        <w:tc>
          <w:tcPr>
            <w:tcW w:w="2046" w:type="dxa"/>
          </w:tcPr>
          <w:p w:rsidR="001946D6" w:rsidRPr="00BE78D8" w:rsidRDefault="00B53FFF" w:rsidP="001946D6">
            <w:pPr>
              <w:autoSpaceDE w:val="0"/>
              <w:autoSpaceDN w:val="0"/>
              <w:adjustRightInd w:val="0"/>
              <w:jc w:val="center"/>
              <w:rPr>
                <w:rFonts w:eastAsiaTheme="minorHAnsi"/>
                <w:szCs w:val="24"/>
                <w:lang w:val="en-US" w:eastAsia="en-US"/>
              </w:rPr>
            </w:pPr>
            <w:r w:rsidRPr="00BE78D8">
              <w:rPr>
                <w:rFonts w:eastAsiaTheme="minorHAnsi"/>
                <w:szCs w:val="24"/>
                <w:lang w:val="en-US" w:eastAsia="en-US"/>
              </w:rPr>
              <w:t>NE (20.3, NE)</w:t>
            </w:r>
          </w:p>
        </w:tc>
      </w:tr>
      <w:tr w:rsidR="001946D6" w:rsidRPr="00BE78D8" w:rsidTr="00B53FFF">
        <w:tc>
          <w:tcPr>
            <w:tcW w:w="5070" w:type="dxa"/>
          </w:tcPr>
          <w:p w:rsidR="001946D6" w:rsidRPr="00BE78D8" w:rsidRDefault="001946D6" w:rsidP="000A3363">
            <w:pPr>
              <w:autoSpaceDE w:val="0"/>
              <w:autoSpaceDN w:val="0"/>
              <w:adjustRightInd w:val="0"/>
              <w:rPr>
                <w:rFonts w:eastAsiaTheme="minorHAnsi"/>
                <w:b/>
                <w:szCs w:val="24"/>
                <w:lang w:val="en-US" w:eastAsia="en-US"/>
              </w:rPr>
            </w:pPr>
            <w:r w:rsidRPr="00BE78D8">
              <w:rPr>
                <w:rFonts w:eastAsiaTheme="minorHAnsi"/>
                <w:b/>
                <w:szCs w:val="24"/>
                <w:lang w:val="en-US" w:eastAsia="en-US"/>
              </w:rPr>
              <w:t>Overall Survival</w:t>
            </w:r>
          </w:p>
        </w:tc>
        <w:tc>
          <w:tcPr>
            <w:tcW w:w="2126" w:type="dxa"/>
          </w:tcPr>
          <w:p w:rsidR="001946D6" w:rsidRPr="00BE78D8" w:rsidRDefault="001946D6" w:rsidP="001946D6">
            <w:pPr>
              <w:autoSpaceDE w:val="0"/>
              <w:autoSpaceDN w:val="0"/>
              <w:adjustRightInd w:val="0"/>
              <w:jc w:val="center"/>
              <w:rPr>
                <w:rFonts w:eastAsiaTheme="minorHAnsi"/>
                <w:szCs w:val="24"/>
                <w:lang w:val="en-US" w:eastAsia="en-US"/>
              </w:rPr>
            </w:pPr>
          </w:p>
        </w:tc>
        <w:tc>
          <w:tcPr>
            <w:tcW w:w="2046" w:type="dxa"/>
          </w:tcPr>
          <w:p w:rsidR="001946D6" w:rsidRPr="00BE78D8" w:rsidRDefault="001946D6" w:rsidP="001946D6">
            <w:pPr>
              <w:autoSpaceDE w:val="0"/>
              <w:autoSpaceDN w:val="0"/>
              <w:adjustRightInd w:val="0"/>
              <w:jc w:val="center"/>
              <w:rPr>
                <w:rFonts w:eastAsiaTheme="minorHAnsi"/>
                <w:szCs w:val="24"/>
                <w:lang w:val="en-US" w:eastAsia="en-US"/>
              </w:rPr>
            </w:pPr>
          </w:p>
        </w:tc>
      </w:tr>
      <w:tr w:rsidR="001946D6" w:rsidRPr="00BE78D8" w:rsidTr="00B53FFF">
        <w:tc>
          <w:tcPr>
            <w:tcW w:w="5070" w:type="dxa"/>
          </w:tcPr>
          <w:p w:rsidR="001946D6" w:rsidRPr="00BE78D8" w:rsidRDefault="001946D6" w:rsidP="000A3363">
            <w:pPr>
              <w:autoSpaceDE w:val="0"/>
              <w:autoSpaceDN w:val="0"/>
              <w:adjustRightInd w:val="0"/>
              <w:rPr>
                <w:rFonts w:eastAsiaTheme="minorHAnsi"/>
                <w:szCs w:val="24"/>
                <w:lang w:val="en-US" w:eastAsia="en-US"/>
              </w:rPr>
            </w:pPr>
            <w:r w:rsidRPr="00BE78D8">
              <w:rPr>
                <w:rFonts w:eastAsiaTheme="minorHAnsi"/>
                <w:szCs w:val="24"/>
                <w:lang w:val="en-US" w:eastAsia="en-US"/>
              </w:rPr>
              <w:t>Number of Deaths (%)</w:t>
            </w:r>
          </w:p>
        </w:tc>
        <w:tc>
          <w:tcPr>
            <w:tcW w:w="2126" w:type="dxa"/>
          </w:tcPr>
          <w:p w:rsidR="001946D6" w:rsidRPr="00BE78D8" w:rsidRDefault="00B53FFF" w:rsidP="001946D6">
            <w:pPr>
              <w:autoSpaceDE w:val="0"/>
              <w:autoSpaceDN w:val="0"/>
              <w:adjustRightInd w:val="0"/>
              <w:jc w:val="center"/>
              <w:rPr>
                <w:rFonts w:eastAsiaTheme="minorHAnsi"/>
                <w:szCs w:val="24"/>
                <w:lang w:val="en-US" w:eastAsia="en-US"/>
              </w:rPr>
            </w:pPr>
            <w:r w:rsidRPr="00BE78D8">
              <w:rPr>
                <w:rFonts w:eastAsiaTheme="minorHAnsi"/>
                <w:szCs w:val="24"/>
                <w:lang w:val="en-US" w:eastAsia="en-US"/>
              </w:rPr>
              <w:t>71 (27.2)</w:t>
            </w:r>
          </w:p>
        </w:tc>
        <w:tc>
          <w:tcPr>
            <w:tcW w:w="2046" w:type="dxa"/>
          </w:tcPr>
          <w:p w:rsidR="001946D6" w:rsidRPr="00BE78D8" w:rsidRDefault="00B53FFF" w:rsidP="001946D6">
            <w:pPr>
              <w:autoSpaceDE w:val="0"/>
              <w:autoSpaceDN w:val="0"/>
              <w:adjustRightInd w:val="0"/>
              <w:jc w:val="center"/>
              <w:rPr>
                <w:rFonts w:eastAsiaTheme="minorHAnsi"/>
                <w:szCs w:val="24"/>
                <w:lang w:val="en-US" w:eastAsia="en-US"/>
              </w:rPr>
            </w:pPr>
            <w:r w:rsidRPr="00BE78D8">
              <w:rPr>
                <w:rFonts w:eastAsiaTheme="minorHAnsi"/>
                <w:szCs w:val="24"/>
                <w:lang w:val="en-US" w:eastAsia="en-US"/>
              </w:rPr>
              <w:t>47 (35.9)</w:t>
            </w:r>
          </w:p>
        </w:tc>
      </w:tr>
      <w:tr w:rsidR="001946D6" w:rsidRPr="00BE78D8" w:rsidTr="00B53FFF">
        <w:tc>
          <w:tcPr>
            <w:tcW w:w="5070" w:type="dxa"/>
          </w:tcPr>
          <w:p w:rsidR="001946D6" w:rsidRPr="00BE78D8" w:rsidRDefault="001946D6" w:rsidP="000A3363">
            <w:pPr>
              <w:autoSpaceDE w:val="0"/>
              <w:autoSpaceDN w:val="0"/>
              <w:adjustRightInd w:val="0"/>
              <w:rPr>
                <w:rFonts w:eastAsiaTheme="minorHAnsi"/>
                <w:szCs w:val="24"/>
                <w:lang w:val="en-US" w:eastAsia="en-US"/>
              </w:rPr>
            </w:pPr>
            <w:r w:rsidRPr="00BE78D8">
              <w:rPr>
                <w:rFonts w:eastAsiaTheme="minorHAnsi"/>
                <w:szCs w:val="24"/>
                <w:lang w:val="en-US" w:eastAsia="en-US"/>
              </w:rPr>
              <w:t>Median OS in months (95% CI)</w:t>
            </w:r>
          </w:p>
        </w:tc>
        <w:tc>
          <w:tcPr>
            <w:tcW w:w="2126" w:type="dxa"/>
          </w:tcPr>
          <w:p w:rsidR="001946D6" w:rsidRPr="00BE78D8" w:rsidRDefault="00B53FFF" w:rsidP="001946D6">
            <w:pPr>
              <w:autoSpaceDE w:val="0"/>
              <w:autoSpaceDN w:val="0"/>
              <w:adjustRightInd w:val="0"/>
              <w:jc w:val="center"/>
              <w:rPr>
                <w:rFonts w:eastAsiaTheme="minorHAnsi"/>
                <w:szCs w:val="24"/>
                <w:lang w:val="en-US" w:eastAsia="en-US"/>
              </w:rPr>
            </w:pPr>
            <w:r w:rsidRPr="00BE78D8">
              <w:rPr>
                <w:rFonts w:eastAsiaTheme="minorHAnsi"/>
                <w:szCs w:val="24"/>
                <w:lang w:val="en-US" w:eastAsia="en-US"/>
              </w:rPr>
              <w:t>NE (22.0, NE)</w:t>
            </w:r>
          </w:p>
        </w:tc>
        <w:tc>
          <w:tcPr>
            <w:tcW w:w="2046" w:type="dxa"/>
          </w:tcPr>
          <w:p w:rsidR="001946D6" w:rsidRPr="00BE78D8" w:rsidRDefault="00B53FFF" w:rsidP="001946D6">
            <w:pPr>
              <w:autoSpaceDE w:val="0"/>
              <w:autoSpaceDN w:val="0"/>
              <w:adjustRightInd w:val="0"/>
              <w:jc w:val="center"/>
              <w:rPr>
                <w:rFonts w:eastAsiaTheme="minorHAnsi"/>
                <w:szCs w:val="24"/>
                <w:lang w:val="en-US" w:eastAsia="en-US"/>
              </w:rPr>
            </w:pPr>
            <w:r w:rsidRPr="00BE78D8">
              <w:rPr>
                <w:rFonts w:eastAsiaTheme="minorHAnsi"/>
                <w:szCs w:val="24"/>
                <w:lang w:val="en-US" w:eastAsia="en-US"/>
              </w:rPr>
              <w:t>NE (20.3, NE)</w:t>
            </w:r>
          </w:p>
        </w:tc>
      </w:tr>
      <w:tr w:rsidR="00B53FFF" w:rsidRPr="00BE78D8" w:rsidTr="00B53FFF">
        <w:tc>
          <w:tcPr>
            <w:tcW w:w="5070" w:type="dxa"/>
          </w:tcPr>
          <w:p w:rsidR="00B53FFF" w:rsidRPr="00EE5DA3" w:rsidRDefault="00B53FFF" w:rsidP="000A3363">
            <w:pPr>
              <w:autoSpaceDE w:val="0"/>
              <w:autoSpaceDN w:val="0"/>
              <w:adjustRightInd w:val="0"/>
              <w:rPr>
                <w:rFonts w:eastAsiaTheme="minorHAnsi"/>
                <w:szCs w:val="24"/>
                <w:lang w:val="pt-BR" w:eastAsia="en-US"/>
              </w:rPr>
            </w:pPr>
            <w:r w:rsidRPr="00EE5DA3">
              <w:rPr>
                <w:rFonts w:eastAsiaTheme="minorHAnsi"/>
                <w:szCs w:val="24"/>
                <w:lang w:val="pt-BR" w:eastAsia="en-US"/>
              </w:rPr>
              <w:t>Hazard Ratio (95% CI)</w:t>
            </w:r>
            <w:r w:rsidRPr="00EE5DA3">
              <w:rPr>
                <w:rFonts w:eastAsiaTheme="minorHAnsi"/>
                <w:szCs w:val="24"/>
                <w:vertAlign w:val="superscript"/>
                <w:lang w:val="pt-BR" w:eastAsia="en-US"/>
              </w:rPr>
              <w:t>b,e</w:t>
            </w:r>
          </w:p>
        </w:tc>
        <w:tc>
          <w:tcPr>
            <w:tcW w:w="4172" w:type="dxa"/>
            <w:gridSpan w:val="2"/>
          </w:tcPr>
          <w:p w:rsidR="00B53FFF" w:rsidRPr="00BE78D8" w:rsidRDefault="00B53FFF" w:rsidP="001946D6">
            <w:pPr>
              <w:autoSpaceDE w:val="0"/>
              <w:autoSpaceDN w:val="0"/>
              <w:adjustRightInd w:val="0"/>
              <w:jc w:val="center"/>
              <w:rPr>
                <w:rFonts w:eastAsiaTheme="minorHAnsi"/>
                <w:szCs w:val="24"/>
                <w:lang w:val="en-US" w:eastAsia="en-US"/>
              </w:rPr>
            </w:pPr>
            <w:r w:rsidRPr="00BE78D8">
              <w:rPr>
                <w:rFonts w:eastAsiaTheme="minorHAnsi"/>
                <w:szCs w:val="24"/>
                <w:lang w:val="en-US" w:eastAsia="en-US"/>
              </w:rPr>
              <w:t>0.73 (0.50, 1.07)</w:t>
            </w:r>
          </w:p>
        </w:tc>
      </w:tr>
      <w:tr w:rsidR="00B53FFF" w:rsidRPr="00BE78D8" w:rsidTr="00B53FFF">
        <w:tc>
          <w:tcPr>
            <w:tcW w:w="5070" w:type="dxa"/>
          </w:tcPr>
          <w:p w:rsidR="00B53FFF" w:rsidRPr="00BE78D8" w:rsidRDefault="00B53FFF" w:rsidP="000A3363">
            <w:pPr>
              <w:autoSpaceDE w:val="0"/>
              <w:autoSpaceDN w:val="0"/>
              <w:adjustRightInd w:val="0"/>
              <w:rPr>
                <w:rFonts w:eastAsiaTheme="minorHAnsi"/>
                <w:szCs w:val="24"/>
                <w:lang w:val="en-US" w:eastAsia="en-US"/>
              </w:rPr>
            </w:pPr>
            <w:r w:rsidRPr="00BE78D8">
              <w:rPr>
                <w:rFonts w:eastAsiaTheme="minorHAnsi"/>
                <w:szCs w:val="24"/>
                <w:lang w:val="en-US" w:eastAsia="en-US"/>
              </w:rPr>
              <w:t>P-value</w:t>
            </w:r>
            <w:r w:rsidRPr="00BE78D8">
              <w:rPr>
                <w:rFonts w:eastAsiaTheme="minorHAnsi"/>
                <w:szCs w:val="24"/>
                <w:vertAlign w:val="superscript"/>
                <w:lang w:val="en-US" w:eastAsia="en-US"/>
              </w:rPr>
              <w:t>b,e</w:t>
            </w:r>
          </w:p>
        </w:tc>
        <w:tc>
          <w:tcPr>
            <w:tcW w:w="4172" w:type="dxa"/>
            <w:gridSpan w:val="2"/>
          </w:tcPr>
          <w:p w:rsidR="00B53FFF" w:rsidRPr="00BE78D8" w:rsidRDefault="00B53FFF" w:rsidP="001946D6">
            <w:pPr>
              <w:autoSpaceDE w:val="0"/>
              <w:autoSpaceDN w:val="0"/>
              <w:adjustRightInd w:val="0"/>
              <w:jc w:val="center"/>
              <w:rPr>
                <w:rFonts w:eastAsiaTheme="minorHAnsi"/>
                <w:szCs w:val="24"/>
                <w:lang w:val="en-US" w:eastAsia="en-US"/>
              </w:rPr>
            </w:pPr>
            <w:r w:rsidRPr="00BE78D8">
              <w:rPr>
                <w:rFonts w:eastAsiaTheme="minorHAnsi"/>
                <w:szCs w:val="24"/>
                <w:lang w:val="en-US" w:eastAsia="en-US"/>
              </w:rPr>
              <w:t>0.1032</w:t>
            </w:r>
          </w:p>
        </w:tc>
      </w:tr>
    </w:tbl>
    <w:p w:rsidR="00B53FFF" w:rsidRPr="00BE78D8" w:rsidRDefault="00B53FFF" w:rsidP="00B53FFF">
      <w:pPr>
        <w:autoSpaceDE w:val="0"/>
        <w:autoSpaceDN w:val="0"/>
        <w:adjustRightInd w:val="0"/>
        <w:rPr>
          <w:rFonts w:eastAsiaTheme="minorHAnsi"/>
          <w:color w:val="auto"/>
          <w:szCs w:val="24"/>
          <w:lang w:val="en-US" w:eastAsia="en-US"/>
        </w:rPr>
      </w:pPr>
      <w:r w:rsidRPr="00BE78D8">
        <w:rPr>
          <w:rFonts w:eastAsiaTheme="minorHAnsi"/>
          <w:color w:val="auto"/>
          <w:szCs w:val="24"/>
          <w:lang w:val="en-US" w:eastAsia="en-US"/>
        </w:rPr>
        <w:t>CI, confidence interval; NE, not estimable; OS, overall survival; PFS, progression-free survival; RPSFT, rank preserving structural failure time model; VEGF/VEGFR, vascular endothelial growth factor /vascular endothelial growth factor receptor.</w:t>
      </w:r>
    </w:p>
    <w:p w:rsidR="00B53FFF" w:rsidRPr="00BE78D8" w:rsidRDefault="00B53FFF" w:rsidP="00B53FFF">
      <w:pPr>
        <w:autoSpaceDE w:val="0"/>
        <w:autoSpaceDN w:val="0"/>
        <w:adjustRightInd w:val="0"/>
        <w:rPr>
          <w:rFonts w:eastAsiaTheme="minorHAnsi"/>
          <w:color w:val="auto"/>
          <w:szCs w:val="24"/>
          <w:lang w:val="en-US" w:eastAsia="en-US"/>
        </w:rPr>
      </w:pPr>
      <w:proofErr w:type="gramStart"/>
      <w:r w:rsidRPr="00BE78D8">
        <w:rPr>
          <w:rFonts w:eastAsiaTheme="minorHAnsi"/>
          <w:color w:val="auto"/>
          <w:szCs w:val="24"/>
          <w:lang w:val="en-US" w:eastAsia="en-US"/>
        </w:rPr>
        <w:t>a</w:t>
      </w:r>
      <w:proofErr w:type="gramEnd"/>
      <w:r w:rsidRPr="00BE78D8">
        <w:rPr>
          <w:rFonts w:eastAsiaTheme="minorHAnsi"/>
          <w:color w:val="auto"/>
          <w:szCs w:val="24"/>
          <w:lang w:val="en-US" w:eastAsia="en-US"/>
        </w:rPr>
        <w:t>: Independent radiologic review.</w:t>
      </w:r>
    </w:p>
    <w:p w:rsidR="002E6C48" w:rsidRPr="00BE78D8" w:rsidRDefault="00B53FFF" w:rsidP="00B53FFF">
      <w:pPr>
        <w:autoSpaceDE w:val="0"/>
        <w:autoSpaceDN w:val="0"/>
        <w:adjustRightInd w:val="0"/>
        <w:rPr>
          <w:rFonts w:eastAsiaTheme="minorHAnsi"/>
          <w:color w:val="auto"/>
          <w:szCs w:val="24"/>
          <w:lang w:val="en-US" w:eastAsia="en-US"/>
        </w:rPr>
      </w:pPr>
      <w:proofErr w:type="gramStart"/>
      <w:r w:rsidRPr="00BE78D8">
        <w:rPr>
          <w:rFonts w:eastAsiaTheme="minorHAnsi"/>
          <w:color w:val="auto"/>
          <w:szCs w:val="24"/>
          <w:lang w:val="en-US" w:eastAsia="en-US"/>
        </w:rPr>
        <w:t>b</w:t>
      </w:r>
      <w:proofErr w:type="gramEnd"/>
      <w:r w:rsidRPr="00BE78D8">
        <w:rPr>
          <w:rFonts w:eastAsiaTheme="minorHAnsi"/>
          <w:color w:val="auto"/>
          <w:szCs w:val="24"/>
          <w:lang w:val="en-US" w:eastAsia="en-US"/>
        </w:rPr>
        <w:t>: Stratified by region (Europe vs. North America vs. Other), age group (≤65 year vs &gt;65 years), and previous VEGF/VEGFR-targeted therapy (0 vs. 1).</w:t>
      </w:r>
    </w:p>
    <w:p w:rsidR="00B53FFF" w:rsidRPr="00BE78D8" w:rsidRDefault="00B53FFF" w:rsidP="00B53FFF">
      <w:pPr>
        <w:autoSpaceDE w:val="0"/>
        <w:autoSpaceDN w:val="0"/>
        <w:adjustRightInd w:val="0"/>
        <w:rPr>
          <w:rFonts w:eastAsiaTheme="minorHAnsi"/>
          <w:color w:val="auto"/>
          <w:szCs w:val="24"/>
          <w:lang w:val="en-US" w:eastAsia="en-US"/>
        </w:rPr>
      </w:pPr>
      <w:proofErr w:type="gramStart"/>
      <w:r w:rsidRPr="00BE78D8">
        <w:rPr>
          <w:rFonts w:eastAsiaTheme="minorHAnsi"/>
          <w:color w:val="auto"/>
          <w:szCs w:val="24"/>
          <w:lang w:val="en-US" w:eastAsia="en-US"/>
        </w:rPr>
        <w:t>c</w:t>
      </w:r>
      <w:proofErr w:type="gramEnd"/>
      <w:r w:rsidRPr="00BE78D8">
        <w:rPr>
          <w:rFonts w:eastAsiaTheme="minorHAnsi"/>
          <w:color w:val="auto"/>
          <w:szCs w:val="24"/>
          <w:lang w:val="en-US" w:eastAsia="en-US"/>
        </w:rPr>
        <w:t>: Estimated with Cox proportional hazard model.</w:t>
      </w:r>
    </w:p>
    <w:p w:rsidR="00B53FFF" w:rsidRPr="00BE78D8" w:rsidRDefault="00B53FFF" w:rsidP="00B53FFF">
      <w:pPr>
        <w:autoSpaceDE w:val="0"/>
        <w:autoSpaceDN w:val="0"/>
        <w:adjustRightInd w:val="0"/>
        <w:rPr>
          <w:rFonts w:eastAsiaTheme="minorHAnsi"/>
          <w:color w:val="auto"/>
          <w:szCs w:val="24"/>
          <w:lang w:val="en-US" w:eastAsia="en-US"/>
        </w:rPr>
      </w:pPr>
      <w:proofErr w:type="gramStart"/>
      <w:r w:rsidRPr="00BE78D8">
        <w:rPr>
          <w:rFonts w:eastAsiaTheme="minorHAnsi"/>
          <w:color w:val="auto"/>
          <w:szCs w:val="24"/>
          <w:lang w:val="en-US" w:eastAsia="en-US"/>
        </w:rPr>
        <w:t>d</w:t>
      </w:r>
      <w:proofErr w:type="gramEnd"/>
      <w:r w:rsidRPr="00BE78D8">
        <w:rPr>
          <w:rFonts w:eastAsiaTheme="minorHAnsi"/>
          <w:color w:val="auto"/>
          <w:szCs w:val="24"/>
          <w:lang w:val="en-US" w:eastAsia="en-US"/>
        </w:rPr>
        <w:t>: Estimated using the Kaplan-Meier method; the 95% CI was constructed with a generalised</w:t>
      </w:r>
    </w:p>
    <w:p w:rsidR="00B53FFF" w:rsidRPr="00BE78D8" w:rsidRDefault="00B53FFF" w:rsidP="00B53FFF">
      <w:pPr>
        <w:autoSpaceDE w:val="0"/>
        <w:autoSpaceDN w:val="0"/>
        <w:adjustRightInd w:val="0"/>
        <w:rPr>
          <w:rFonts w:eastAsiaTheme="minorHAnsi"/>
          <w:color w:val="auto"/>
          <w:szCs w:val="24"/>
          <w:lang w:val="en-US" w:eastAsia="en-US"/>
        </w:rPr>
      </w:pPr>
      <w:proofErr w:type="gramStart"/>
      <w:r w:rsidRPr="00BE78D8">
        <w:rPr>
          <w:rFonts w:eastAsiaTheme="minorHAnsi"/>
          <w:color w:val="auto"/>
          <w:szCs w:val="24"/>
          <w:lang w:val="en-US" w:eastAsia="en-US"/>
        </w:rPr>
        <w:t>Brookmeyer and Crowley method in patients with a best overall response of complete response or partial response.</w:t>
      </w:r>
      <w:proofErr w:type="gramEnd"/>
    </w:p>
    <w:p w:rsidR="00B53FFF" w:rsidRPr="00BE78D8" w:rsidRDefault="00B53FFF" w:rsidP="00B53FFF">
      <w:pPr>
        <w:autoSpaceDE w:val="0"/>
        <w:autoSpaceDN w:val="0"/>
        <w:adjustRightInd w:val="0"/>
        <w:rPr>
          <w:rFonts w:eastAsiaTheme="minorHAnsi"/>
          <w:color w:val="auto"/>
          <w:szCs w:val="24"/>
          <w:lang w:val="en-US" w:eastAsia="en-US"/>
        </w:rPr>
      </w:pPr>
      <w:proofErr w:type="gramStart"/>
      <w:r w:rsidRPr="00BE78D8">
        <w:rPr>
          <w:rFonts w:eastAsiaTheme="minorHAnsi"/>
          <w:color w:val="auto"/>
          <w:szCs w:val="24"/>
          <w:lang w:val="en-US" w:eastAsia="en-US"/>
        </w:rPr>
        <w:t>e</w:t>
      </w:r>
      <w:proofErr w:type="gramEnd"/>
      <w:r w:rsidRPr="00BE78D8">
        <w:rPr>
          <w:rFonts w:eastAsiaTheme="minorHAnsi"/>
          <w:color w:val="auto"/>
          <w:szCs w:val="24"/>
          <w:lang w:val="en-US" w:eastAsia="en-US"/>
        </w:rPr>
        <w:t>: Not adjusted for crossover effect.</w:t>
      </w:r>
    </w:p>
    <w:p w:rsidR="00B53FFF" w:rsidRPr="00BE78D8" w:rsidRDefault="00B53FFF" w:rsidP="00B53FFF">
      <w:pPr>
        <w:autoSpaceDE w:val="0"/>
        <w:autoSpaceDN w:val="0"/>
        <w:adjustRightInd w:val="0"/>
        <w:rPr>
          <w:rFonts w:eastAsiaTheme="minorHAnsi"/>
          <w:color w:val="auto"/>
          <w:szCs w:val="24"/>
          <w:lang w:val="en-US" w:eastAsia="en-US"/>
        </w:rPr>
      </w:pPr>
    </w:p>
    <w:p w:rsidR="00B53FFF" w:rsidRPr="00BE78D8" w:rsidRDefault="00366E64" w:rsidP="00B53FFF">
      <w:pPr>
        <w:autoSpaceDE w:val="0"/>
        <w:autoSpaceDN w:val="0"/>
        <w:adjustRightInd w:val="0"/>
        <w:rPr>
          <w:rFonts w:eastAsiaTheme="minorHAnsi"/>
          <w:color w:val="auto"/>
          <w:szCs w:val="24"/>
          <w:lang w:val="en-US" w:eastAsia="en-US"/>
        </w:rPr>
      </w:pPr>
      <w:r w:rsidRPr="00267D12">
        <w:rPr>
          <w:noProof/>
          <w:lang w:val="en-AU" w:eastAsia="en-AU"/>
        </w:rPr>
        <w:lastRenderedPageBreak/>
        <w:drawing>
          <wp:inline distT="0" distB="0" distL="0" distR="0" wp14:anchorId="7BC49C5A" wp14:editId="40AF1DE2">
            <wp:extent cx="5890161" cy="3883231"/>
            <wp:effectExtent l="0" t="0" r="0" b="0"/>
            <wp:docPr id="30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05500" cy="3893343"/>
                    </a:xfrm>
                    <a:prstGeom prst="rect">
                      <a:avLst/>
                    </a:prstGeom>
                    <a:noFill/>
                    <a:ln>
                      <a:noFill/>
                    </a:ln>
                    <a:effectLst/>
                    <a:extLst/>
                  </pic:spPr>
                </pic:pic>
              </a:graphicData>
            </a:graphic>
          </wp:inline>
        </w:drawing>
      </w:r>
    </w:p>
    <w:p w:rsidR="00C07E1F" w:rsidRPr="00BE78D8" w:rsidRDefault="00C07E1F" w:rsidP="00C07E1F">
      <w:pPr>
        <w:autoSpaceDE w:val="0"/>
        <w:autoSpaceDN w:val="0"/>
        <w:adjustRightInd w:val="0"/>
        <w:rPr>
          <w:rFonts w:eastAsia="TimesNewRoman,Bold"/>
          <w:b/>
          <w:bCs/>
          <w:color w:val="auto"/>
          <w:szCs w:val="24"/>
          <w:lang w:val="en-US" w:eastAsia="en-US"/>
        </w:rPr>
      </w:pPr>
      <w:r w:rsidRPr="00BE78D8">
        <w:rPr>
          <w:rFonts w:eastAsia="TimesNewRoman,Bold"/>
          <w:b/>
          <w:bCs/>
          <w:color w:val="auto"/>
          <w:szCs w:val="24"/>
          <w:lang w:val="en-US" w:eastAsia="en-US"/>
        </w:rPr>
        <w:t>Figure 1 Kaplan-Meier Plot of Progression-Free Survival</w:t>
      </w:r>
    </w:p>
    <w:p w:rsidR="0064422E" w:rsidRPr="00BE78D8" w:rsidRDefault="0064422E" w:rsidP="00C07E1F">
      <w:pPr>
        <w:autoSpaceDE w:val="0"/>
        <w:autoSpaceDN w:val="0"/>
        <w:adjustRightInd w:val="0"/>
        <w:rPr>
          <w:rFonts w:eastAsia="TimesNewRoman,Bold"/>
          <w:color w:val="auto"/>
          <w:szCs w:val="24"/>
          <w:lang w:val="en-US" w:eastAsia="en-US"/>
        </w:rPr>
      </w:pPr>
    </w:p>
    <w:p w:rsidR="0064422E" w:rsidRPr="00BE78D8" w:rsidRDefault="0064422E" w:rsidP="004D4EB9">
      <w:pPr>
        <w:keepNext/>
        <w:autoSpaceDE w:val="0"/>
        <w:autoSpaceDN w:val="0"/>
        <w:adjustRightInd w:val="0"/>
        <w:rPr>
          <w:rFonts w:eastAsiaTheme="minorHAnsi"/>
          <w:b/>
          <w:color w:val="auto"/>
          <w:szCs w:val="24"/>
          <w:lang w:val="en-US" w:eastAsia="en-US"/>
        </w:rPr>
      </w:pPr>
      <w:r w:rsidRPr="00BE78D8">
        <w:rPr>
          <w:rFonts w:eastAsiaTheme="minorHAnsi"/>
          <w:b/>
          <w:color w:val="auto"/>
          <w:szCs w:val="24"/>
          <w:lang w:val="en-US" w:eastAsia="en-US"/>
        </w:rPr>
        <w:t>INDICATIONS</w:t>
      </w:r>
    </w:p>
    <w:p w:rsidR="0064422E" w:rsidRPr="00BE78D8" w:rsidRDefault="0064422E" w:rsidP="004D4EB9">
      <w:pPr>
        <w:keepNext/>
        <w:autoSpaceDE w:val="0"/>
        <w:autoSpaceDN w:val="0"/>
        <w:adjustRightInd w:val="0"/>
        <w:rPr>
          <w:rFonts w:eastAsiaTheme="minorHAnsi"/>
          <w:b/>
          <w:color w:val="auto"/>
          <w:szCs w:val="24"/>
          <w:lang w:val="en-US" w:eastAsia="en-US"/>
        </w:rPr>
      </w:pPr>
    </w:p>
    <w:p w:rsidR="0064422E" w:rsidRPr="00BE78D8" w:rsidRDefault="0064422E" w:rsidP="0064422E">
      <w:pPr>
        <w:autoSpaceDE w:val="0"/>
        <w:autoSpaceDN w:val="0"/>
        <w:adjustRightInd w:val="0"/>
        <w:rPr>
          <w:rFonts w:eastAsiaTheme="minorHAnsi"/>
          <w:color w:val="auto"/>
          <w:szCs w:val="24"/>
          <w:lang w:val="en-US" w:eastAsia="en-US"/>
        </w:rPr>
      </w:pPr>
      <w:r w:rsidRPr="00BE78D8">
        <w:rPr>
          <w:rFonts w:eastAsiaTheme="minorHAnsi"/>
          <w:color w:val="auto"/>
          <w:szCs w:val="24"/>
          <w:lang w:val="en-US" w:eastAsia="en-US"/>
        </w:rPr>
        <w:t>LENVIMA is indicated for the treatment of patients with progressive,</w:t>
      </w:r>
      <w:r w:rsidR="009F4525">
        <w:rPr>
          <w:rFonts w:eastAsiaTheme="minorHAnsi"/>
          <w:color w:val="auto"/>
          <w:szCs w:val="24"/>
          <w:lang w:val="en-US" w:eastAsia="en-US"/>
        </w:rPr>
        <w:t xml:space="preserve"> locally advanced or metastatic,</w:t>
      </w:r>
      <w:r w:rsidRPr="00BE78D8">
        <w:rPr>
          <w:rFonts w:eastAsiaTheme="minorHAnsi"/>
          <w:color w:val="auto"/>
          <w:szCs w:val="24"/>
          <w:lang w:val="en-US" w:eastAsia="en-US"/>
        </w:rPr>
        <w:t xml:space="preserve"> </w:t>
      </w:r>
      <w:r w:rsidR="007D44C5" w:rsidRPr="007D44C5">
        <w:rPr>
          <w:rFonts w:eastAsiaTheme="minorHAnsi"/>
          <w:color w:val="auto"/>
          <w:szCs w:val="24"/>
          <w:lang w:val="en-US" w:eastAsia="en-US"/>
        </w:rPr>
        <w:t>radioactive iodine refractory</w:t>
      </w:r>
      <w:r w:rsidR="007D44C5" w:rsidRPr="007D44C5" w:rsidDel="007D44C5">
        <w:rPr>
          <w:rFonts w:eastAsiaTheme="minorHAnsi"/>
          <w:color w:val="auto"/>
          <w:szCs w:val="24"/>
          <w:lang w:val="en-US" w:eastAsia="en-US"/>
        </w:rPr>
        <w:t xml:space="preserve"> </w:t>
      </w:r>
      <w:r w:rsidRPr="00BE78D8">
        <w:rPr>
          <w:rFonts w:eastAsiaTheme="minorHAnsi"/>
          <w:color w:val="auto"/>
          <w:szCs w:val="24"/>
          <w:lang w:val="en-US" w:eastAsia="en-US"/>
        </w:rPr>
        <w:t>differentiated thyroid cancer.</w:t>
      </w:r>
    </w:p>
    <w:p w:rsidR="0064422E" w:rsidRPr="00BE78D8" w:rsidRDefault="0064422E" w:rsidP="0064422E">
      <w:pPr>
        <w:autoSpaceDE w:val="0"/>
        <w:autoSpaceDN w:val="0"/>
        <w:adjustRightInd w:val="0"/>
        <w:rPr>
          <w:rFonts w:eastAsiaTheme="minorHAnsi"/>
          <w:color w:val="auto"/>
          <w:szCs w:val="24"/>
          <w:lang w:val="en-US" w:eastAsia="en-US"/>
        </w:rPr>
      </w:pPr>
    </w:p>
    <w:p w:rsidR="0064422E" w:rsidRPr="00BE78D8" w:rsidRDefault="0064422E" w:rsidP="0064422E">
      <w:pPr>
        <w:autoSpaceDE w:val="0"/>
        <w:autoSpaceDN w:val="0"/>
        <w:adjustRightInd w:val="0"/>
        <w:rPr>
          <w:rFonts w:eastAsiaTheme="minorHAnsi"/>
          <w:b/>
          <w:color w:val="auto"/>
          <w:szCs w:val="24"/>
          <w:lang w:val="en-US" w:eastAsia="en-US"/>
        </w:rPr>
      </w:pPr>
      <w:r w:rsidRPr="00BE78D8">
        <w:rPr>
          <w:rFonts w:eastAsiaTheme="minorHAnsi"/>
          <w:b/>
          <w:color w:val="auto"/>
          <w:szCs w:val="24"/>
          <w:lang w:val="en-US" w:eastAsia="en-US"/>
        </w:rPr>
        <w:t>CONTRAINDICATIONS</w:t>
      </w:r>
    </w:p>
    <w:p w:rsidR="0064422E" w:rsidRPr="00BE78D8" w:rsidRDefault="0064422E" w:rsidP="0064422E">
      <w:pPr>
        <w:autoSpaceDE w:val="0"/>
        <w:autoSpaceDN w:val="0"/>
        <w:adjustRightInd w:val="0"/>
        <w:rPr>
          <w:rFonts w:eastAsiaTheme="minorHAnsi"/>
          <w:b/>
          <w:color w:val="auto"/>
          <w:szCs w:val="24"/>
          <w:lang w:val="en-US" w:eastAsia="en-US"/>
        </w:rPr>
      </w:pPr>
    </w:p>
    <w:p w:rsidR="00486AF6" w:rsidRDefault="0064422E" w:rsidP="0064422E">
      <w:pPr>
        <w:autoSpaceDE w:val="0"/>
        <w:autoSpaceDN w:val="0"/>
        <w:adjustRightInd w:val="0"/>
        <w:rPr>
          <w:rFonts w:eastAsiaTheme="minorHAnsi"/>
          <w:b/>
          <w:color w:val="auto"/>
          <w:szCs w:val="24"/>
          <w:lang w:val="en-US" w:eastAsia="en-US"/>
        </w:rPr>
      </w:pPr>
      <w:r w:rsidRPr="00BE78D8">
        <w:t xml:space="preserve">Hypersensitivity to the active substance or to any of the excipients (see DESCRIPTION) </w:t>
      </w:r>
    </w:p>
    <w:p w:rsidR="00486AF6" w:rsidRDefault="00486AF6" w:rsidP="0064422E">
      <w:pPr>
        <w:autoSpaceDE w:val="0"/>
        <w:autoSpaceDN w:val="0"/>
        <w:adjustRightInd w:val="0"/>
        <w:rPr>
          <w:rFonts w:eastAsiaTheme="minorHAnsi"/>
          <w:b/>
          <w:color w:val="auto"/>
          <w:szCs w:val="24"/>
          <w:lang w:val="en-US" w:eastAsia="en-US"/>
        </w:rPr>
      </w:pPr>
    </w:p>
    <w:p w:rsidR="0064422E" w:rsidRPr="00BE78D8" w:rsidRDefault="0064422E" w:rsidP="0064422E">
      <w:pPr>
        <w:autoSpaceDE w:val="0"/>
        <w:autoSpaceDN w:val="0"/>
        <w:adjustRightInd w:val="0"/>
        <w:rPr>
          <w:rFonts w:eastAsiaTheme="minorHAnsi"/>
          <w:b/>
          <w:color w:val="auto"/>
          <w:szCs w:val="24"/>
          <w:lang w:val="en-US" w:eastAsia="en-US"/>
        </w:rPr>
      </w:pPr>
      <w:r w:rsidRPr="00BE78D8">
        <w:rPr>
          <w:rFonts w:eastAsiaTheme="minorHAnsi"/>
          <w:b/>
          <w:color w:val="auto"/>
          <w:szCs w:val="24"/>
          <w:lang w:val="en-US" w:eastAsia="en-US"/>
        </w:rPr>
        <w:t>PRECAUTIONS</w:t>
      </w:r>
    </w:p>
    <w:p w:rsidR="0064422E" w:rsidRPr="00BE78D8" w:rsidRDefault="0064422E" w:rsidP="0064422E">
      <w:pPr>
        <w:autoSpaceDE w:val="0"/>
        <w:autoSpaceDN w:val="0"/>
        <w:adjustRightInd w:val="0"/>
        <w:rPr>
          <w:rFonts w:eastAsiaTheme="minorHAnsi"/>
          <w:b/>
          <w:color w:val="auto"/>
          <w:szCs w:val="24"/>
          <w:lang w:val="en-US" w:eastAsia="en-US"/>
        </w:rPr>
      </w:pPr>
    </w:p>
    <w:p w:rsidR="0064422E" w:rsidRPr="00BE78D8" w:rsidRDefault="0064422E" w:rsidP="0064422E">
      <w:pPr>
        <w:autoSpaceDE w:val="0"/>
        <w:autoSpaceDN w:val="0"/>
        <w:adjustRightInd w:val="0"/>
        <w:rPr>
          <w:rFonts w:eastAsiaTheme="minorHAnsi"/>
          <w:szCs w:val="24"/>
          <w:u w:val="single"/>
          <w:lang w:val="en-US" w:eastAsia="en-US"/>
        </w:rPr>
      </w:pPr>
      <w:r w:rsidRPr="00BE78D8">
        <w:rPr>
          <w:rFonts w:eastAsiaTheme="minorHAnsi"/>
          <w:szCs w:val="24"/>
          <w:u w:val="single"/>
          <w:lang w:val="en-US" w:eastAsia="en-US"/>
        </w:rPr>
        <w:t>Hypertension</w:t>
      </w:r>
    </w:p>
    <w:p w:rsidR="0064422E" w:rsidRPr="00164F35" w:rsidRDefault="0064422E" w:rsidP="00E14350">
      <w:pPr>
        <w:autoSpaceDE w:val="0"/>
        <w:autoSpaceDN w:val="0"/>
        <w:adjustRightInd w:val="0"/>
        <w:rPr>
          <w:rFonts w:eastAsiaTheme="minorHAnsi"/>
          <w:szCs w:val="24"/>
          <w:lang w:val="en-US" w:eastAsia="en-US"/>
        </w:rPr>
      </w:pPr>
      <w:r w:rsidRPr="00BE78D8">
        <w:rPr>
          <w:rFonts w:eastAsiaTheme="minorHAnsi"/>
          <w:szCs w:val="24"/>
          <w:lang w:val="en-US" w:eastAsia="en-US"/>
        </w:rPr>
        <w:t xml:space="preserve">Hypertension has been reported in patients treated with lenvatinib, usually occurring early in the course of treatment </w:t>
      </w:r>
      <w:r w:rsidRPr="00240ADF">
        <w:rPr>
          <w:rFonts w:eastAsiaTheme="minorHAnsi"/>
          <w:szCs w:val="24"/>
          <w:lang w:val="en-US" w:eastAsia="en-US"/>
        </w:rPr>
        <w:t xml:space="preserve">(see </w:t>
      </w:r>
      <w:r w:rsidR="00240ADF" w:rsidRPr="00240ADF">
        <w:rPr>
          <w:rFonts w:eastAsiaTheme="minorHAnsi"/>
          <w:szCs w:val="24"/>
          <w:lang w:val="en-US" w:eastAsia="en-US"/>
        </w:rPr>
        <w:t>ADVERSE EFFECTS</w:t>
      </w:r>
      <w:r w:rsidRPr="00240ADF">
        <w:rPr>
          <w:rFonts w:eastAsiaTheme="minorHAnsi"/>
          <w:szCs w:val="24"/>
          <w:lang w:val="en-US" w:eastAsia="en-US"/>
        </w:rPr>
        <w:t>).</w:t>
      </w:r>
      <w:r w:rsidRPr="00BE78D8">
        <w:rPr>
          <w:rFonts w:eastAsiaTheme="minorHAnsi"/>
          <w:szCs w:val="24"/>
          <w:lang w:val="en-US" w:eastAsia="en-US"/>
        </w:rPr>
        <w:t xml:space="preserve"> Blood pressure should be well controlled prior to treatment with lenvatinib</w:t>
      </w:r>
      <w:r w:rsidR="00092849">
        <w:rPr>
          <w:rFonts w:eastAsiaTheme="minorHAnsi"/>
          <w:szCs w:val="24"/>
          <w:lang w:val="en-US" w:eastAsia="en-US"/>
        </w:rPr>
        <w:t xml:space="preserve"> and, if patients are known to be hypertensive they should be on a stable dose of an antihypertensive therapy for at least 1 week prior to treatment with lenvatinib</w:t>
      </w:r>
      <w:r w:rsidRPr="00BE78D8">
        <w:rPr>
          <w:rFonts w:eastAsiaTheme="minorHAnsi"/>
          <w:szCs w:val="24"/>
          <w:lang w:val="en-US" w:eastAsia="en-US"/>
        </w:rPr>
        <w:t xml:space="preserve">. The early detection and effective management of hypertension are important to minimise the need for lenvatinib dose interruptions and reductions. </w:t>
      </w:r>
      <w:r w:rsidR="00092849">
        <w:rPr>
          <w:rFonts w:eastAsiaTheme="minorHAnsi"/>
          <w:szCs w:val="24"/>
          <w:lang w:val="en-US" w:eastAsia="en-US"/>
        </w:rPr>
        <w:t xml:space="preserve">Antihypertensives should be started as soon as elevated BP is confirmed. </w:t>
      </w:r>
      <w:r w:rsidRPr="00BE78D8">
        <w:rPr>
          <w:rFonts w:eastAsiaTheme="minorHAnsi"/>
          <w:szCs w:val="24"/>
          <w:lang w:val="en-US" w:eastAsia="en-US"/>
        </w:rPr>
        <w:t xml:space="preserve">Blood pressure should be monitored after 1 week of treatment with lenvatinib, then every 2 weeks for the first 2 </w:t>
      </w:r>
      <w:proofErr w:type="gramStart"/>
      <w:r w:rsidRPr="00BE78D8">
        <w:rPr>
          <w:rFonts w:eastAsiaTheme="minorHAnsi"/>
          <w:szCs w:val="24"/>
          <w:lang w:val="en-US" w:eastAsia="en-US"/>
        </w:rPr>
        <w:t>months,</w:t>
      </w:r>
      <w:proofErr w:type="gramEnd"/>
      <w:r w:rsidRPr="00BE78D8">
        <w:rPr>
          <w:rFonts w:eastAsiaTheme="minorHAnsi"/>
          <w:szCs w:val="24"/>
          <w:lang w:val="en-US" w:eastAsia="en-US"/>
        </w:rPr>
        <w:t xml:space="preserve"> and monthly thereafter. </w:t>
      </w:r>
      <w:r w:rsidR="00092849">
        <w:rPr>
          <w:rFonts w:eastAsiaTheme="minorHAnsi"/>
          <w:szCs w:val="24"/>
          <w:lang w:val="en-US" w:eastAsia="en-US"/>
        </w:rPr>
        <w:t xml:space="preserve">The choice of antihypertensive treatment should be individualised to the patient’s clinical circumstances and follow standard medical practice. For previously normotensive subjects, monotherapy with one of the classes of antihypertensives should be started when elevated BP is observed. For those patients already on antihypertensive medication, the dose of the current agent may be increased, if appropriate, or one or more agents of a different </w:t>
      </w:r>
      <w:r w:rsidR="00092849">
        <w:rPr>
          <w:rFonts w:eastAsiaTheme="minorHAnsi"/>
          <w:szCs w:val="24"/>
          <w:lang w:val="en-US" w:eastAsia="en-US"/>
        </w:rPr>
        <w:lastRenderedPageBreak/>
        <w:t xml:space="preserve">class of antihypertensive should be added. For patients with hypertension and proteinuria, treatment with an angiotensin-converting enzyme inhibitor or angiotensin-II-receptor antagonist is preferred. </w:t>
      </w:r>
      <w:r w:rsidRPr="00BE78D8">
        <w:rPr>
          <w:rFonts w:eastAsiaTheme="minorHAnsi"/>
          <w:szCs w:val="24"/>
          <w:lang w:val="en-US" w:eastAsia="en-US"/>
        </w:rPr>
        <w:t xml:space="preserve">When necessary, manage hypertension as recommended in </w:t>
      </w:r>
      <w:r w:rsidRPr="009A1D5E">
        <w:rPr>
          <w:rFonts w:eastAsiaTheme="minorHAnsi"/>
          <w:color w:val="auto"/>
          <w:szCs w:val="24"/>
          <w:lang w:val="en-US" w:eastAsia="en-US"/>
        </w:rPr>
        <w:t>Table 2.</w:t>
      </w:r>
    </w:p>
    <w:p w:rsidR="0064422E" w:rsidRPr="00BE78D8" w:rsidRDefault="0064422E" w:rsidP="0064422E">
      <w:pPr>
        <w:autoSpaceDE w:val="0"/>
        <w:autoSpaceDN w:val="0"/>
        <w:adjustRightInd w:val="0"/>
        <w:rPr>
          <w:rFonts w:eastAsia="TimesNewRoman,Bold"/>
          <w:b/>
          <w:bCs/>
          <w:szCs w:val="24"/>
          <w:lang w:val="en-US" w:eastAsia="en-US"/>
        </w:rPr>
      </w:pPr>
    </w:p>
    <w:p w:rsidR="0064422E" w:rsidRPr="00BE78D8" w:rsidRDefault="0064422E" w:rsidP="0064422E">
      <w:pPr>
        <w:autoSpaceDE w:val="0"/>
        <w:autoSpaceDN w:val="0"/>
        <w:adjustRightInd w:val="0"/>
        <w:rPr>
          <w:rFonts w:eastAsia="TimesNewRoman,Bold"/>
          <w:b/>
          <w:bCs/>
          <w:szCs w:val="24"/>
          <w:lang w:val="en-US" w:eastAsia="en-US"/>
        </w:rPr>
      </w:pPr>
      <w:r w:rsidRPr="00BE78D8">
        <w:rPr>
          <w:rFonts w:eastAsia="TimesNewRoman,Bold"/>
          <w:b/>
          <w:bCs/>
          <w:szCs w:val="24"/>
          <w:lang w:val="en-US" w:eastAsia="en-US"/>
        </w:rPr>
        <w:t>Table 2 Recommended Management of Hypertension</w:t>
      </w:r>
    </w:p>
    <w:tbl>
      <w:tblPr>
        <w:tblStyle w:val="TableGrid"/>
        <w:tblW w:w="0" w:type="auto"/>
        <w:tblLook w:val="04A0" w:firstRow="1" w:lastRow="0" w:firstColumn="1" w:lastColumn="0" w:noHBand="0" w:noVBand="1"/>
      </w:tblPr>
      <w:tblGrid>
        <w:gridCol w:w="4621"/>
        <w:gridCol w:w="4621"/>
      </w:tblGrid>
      <w:tr w:rsidR="0064422E" w:rsidRPr="00BE78D8" w:rsidTr="0064422E">
        <w:tc>
          <w:tcPr>
            <w:tcW w:w="4621" w:type="dxa"/>
          </w:tcPr>
          <w:p w:rsidR="0064422E" w:rsidRPr="00BE78D8" w:rsidRDefault="0064422E" w:rsidP="0064422E">
            <w:pPr>
              <w:autoSpaceDE w:val="0"/>
              <w:autoSpaceDN w:val="0"/>
              <w:adjustRightInd w:val="0"/>
              <w:rPr>
                <w:rFonts w:eastAsiaTheme="minorHAnsi"/>
                <w:b/>
                <w:color w:val="auto"/>
                <w:szCs w:val="24"/>
                <w:lang w:val="en-US" w:eastAsia="en-US"/>
              </w:rPr>
            </w:pPr>
            <w:r w:rsidRPr="00BE78D8">
              <w:rPr>
                <w:rFonts w:eastAsiaTheme="minorHAnsi"/>
                <w:b/>
                <w:color w:val="auto"/>
                <w:szCs w:val="24"/>
                <w:lang w:val="en-US" w:eastAsia="en-US"/>
              </w:rPr>
              <w:t>Blood Pressure Level</w:t>
            </w:r>
          </w:p>
        </w:tc>
        <w:tc>
          <w:tcPr>
            <w:tcW w:w="4621" w:type="dxa"/>
          </w:tcPr>
          <w:p w:rsidR="0064422E" w:rsidRPr="00BE78D8" w:rsidRDefault="0064422E" w:rsidP="0064422E">
            <w:pPr>
              <w:autoSpaceDE w:val="0"/>
              <w:autoSpaceDN w:val="0"/>
              <w:adjustRightInd w:val="0"/>
              <w:rPr>
                <w:rFonts w:eastAsiaTheme="minorHAnsi"/>
                <w:b/>
                <w:color w:val="auto"/>
                <w:szCs w:val="24"/>
                <w:lang w:val="en-US" w:eastAsia="en-US"/>
              </w:rPr>
            </w:pPr>
            <w:r w:rsidRPr="00BE78D8">
              <w:rPr>
                <w:rFonts w:eastAsiaTheme="minorHAnsi"/>
                <w:b/>
                <w:color w:val="auto"/>
                <w:szCs w:val="24"/>
                <w:lang w:val="en-US" w:eastAsia="en-US"/>
              </w:rPr>
              <w:t>Recommended Action</w:t>
            </w:r>
          </w:p>
        </w:tc>
      </w:tr>
      <w:tr w:rsidR="0064422E" w:rsidRPr="00BE78D8" w:rsidTr="0064422E">
        <w:tc>
          <w:tcPr>
            <w:tcW w:w="4621" w:type="dxa"/>
          </w:tcPr>
          <w:p w:rsidR="0064422E" w:rsidRPr="00BE78D8" w:rsidRDefault="00EE4CD6" w:rsidP="0064422E">
            <w:pPr>
              <w:autoSpaceDE w:val="0"/>
              <w:autoSpaceDN w:val="0"/>
              <w:adjustRightInd w:val="0"/>
              <w:rPr>
                <w:rFonts w:eastAsiaTheme="minorHAnsi"/>
                <w:color w:val="auto"/>
                <w:szCs w:val="24"/>
                <w:lang w:val="en-US" w:eastAsia="en-US"/>
              </w:rPr>
            </w:pPr>
            <w:r w:rsidRPr="00BE78D8">
              <w:rPr>
                <w:rFonts w:eastAsiaTheme="minorHAnsi"/>
                <w:color w:val="auto"/>
                <w:szCs w:val="24"/>
                <w:lang w:val="en-US" w:eastAsia="en-US"/>
              </w:rPr>
              <w:t>Systolic BP ≥ 140 mmHg up to &lt;160 mmHg or</w:t>
            </w:r>
          </w:p>
          <w:p w:rsidR="00EE4CD6" w:rsidRPr="00BE78D8" w:rsidRDefault="00EE4CD6" w:rsidP="0064422E">
            <w:pPr>
              <w:autoSpaceDE w:val="0"/>
              <w:autoSpaceDN w:val="0"/>
              <w:adjustRightInd w:val="0"/>
              <w:rPr>
                <w:rFonts w:eastAsiaTheme="minorHAnsi"/>
                <w:color w:val="auto"/>
                <w:szCs w:val="24"/>
                <w:lang w:val="en-US" w:eastAsia="en-US"/>
              </w:rPr>
            </w:pPr>
            <w:r w:rsidRPr="00BE78D8">
              <w:rPr>
                <w:rFonts w:eastAsiaTheme="minorHAnsi"/>
                <w:color w:val="auto"/>
                <w:szCs w:val="24"/>
                <w:lang w:val="en-US" w:eastAsia="en-US"/>
              </w:rPr>
              <w:t>diastolic BP≥ 90 mmHg up to &lt;100 mmHg</w:t>
            </w:r>
          </w:p>
        </w:tc>
        <w:tc>
          <w:tcPr>
            <w:tcW w:w="4621" w:type="dxa"/>
          </w:tcPr>
          <w:p w:rsidR="0064422E" w:rsidRPr="00BE78D8" w:rsidRDefault="00EE4CD6" w:rsidP="0064422E">
            <w:pPr>
              <w:autoSpaceDE w:val="0"/>
              <w:autoSpaceDN w:val="0"/>
              <w:adjustRightInd w:val="0"/>
              <w:rPr>
                <w:rFonts w:eastAsiaTheme="minorHAnsi"/>
                <w:color w:val="auto"/>
                <w:szCs w:val="24"/>
                <w:lang w:val="en-US" w:eastAsia="en-US"/>
              </w:rPr>
            </w:pPr>
            <w:r w:rsidRPr="00BE78D8">
              <w:rPr>
                <w:rFonts w:eastAsiaTheme="minorHAnsi"/>
                <w:color w:val="auto"/>
                <w:szCs w:val="24"/>
                <w:lang w:val="en-US" w:eastAsia="en-US"/>
              </w:rPr>
              <w:t>Continue lenvatinib and initiate antihypertensive therapy, if not already receiving</w:t>
            </w:r>
          </w:p>
          <w:p w:rsidR="00EE4CD6" w:rsidRPr="00BE78D8" w:rsidRDefault="00EE4CD6" w:rsidP="00EE4CD6">
            <w:pPr>
              <w:autoSpaceDE w:val="0"/>
              <w:autoSpaceDN w:val="0"/>
              <w:adjustRightInd w:val="0"/>
              <w:jc w:val="center"/>
              <w:rPr>
                <w:rFonts w:eastAsiaTheme="minorHAnsi"/>
                <w:color w:val="auto"/>
                <w:szCs w:val="24"/>
                <w:lang w:val="en-US" w:eastAsia="en-US"/>
              </w:rPr>
            </w:pPr>
            <w:r w:rsidRPr="00BE78D8">
              <w:rPr>
                <w:rFonts w:eastAsiaTheme="minorHAnsi"/>
                <w:color w:val="auto"/>
                <w:szCs w:val="24"/>
                <w:lang w:val="en-US" w:eastAsia="en-US"/>
              </w:rPr>
              <w:t>OR</w:t>
            </w:r>
          </w:p>
          <w:p w:rsidR="00EE4CD6" w:rsidRPr="00BE78D8" w:rsidRDefault="00EE4CD6" w:rsidP="00EE4CD6">
            <w:pPr>
              <w:autoSpaceDE w:val="0"/>
              <w:autoSpaceDN w:val="0"/>
              <w:adjustRightInd w:val="0"/>
              <w:rPr>
                <w:rFonts w:eastAsiaTheme="minorHAnsi"/>
                <w:color w:val="auto"/>
                <w:szCs w:val="24"/>
                <w:lang w:val="en-US" w:eastAsia="en-US"/>
              </w:rPr>
            </w:pPr>
            <w:r w:rsidRPr="00BE78D8">
              <w:rPr>
                <w:rFonts w:eastAsiaTheme="minorHAnsi"/>
                <w:color w:val="auto"/>
                <w:szCs w:val="24"/>
                <w:lang w:val="en-US" w:eastAsia="en-US"/>
              </w:rPr>
              <w:t>Continue lenvatinib and increase the dose of the current antihypertensive therapy or initiate additional antihypertensive therapy</w:t>
            </w:r>
          </w:p>
        </w:tc>
      </w:tr>
      <w:tr w:rsidR="0064422E" w:rsidRPr="00BE78D8" w:rsidTr="0064422E">
        <w:tc>
          <w:tcPr>
            <w:tcW w:w="4621" w:type="dxa"/>
          </w:tcPr>
          <w:p w:rsidR="0064422E" w:rsidRPr="00BE78D8" w:rsidRDefault="00EE4CD6" w:rsidP="0064422E">
            <w:pPr>
              <w:autoSpaceDE w:val="0"/>
              <w:autoSpaceDN w:val="0"/>
              <w:adjustRightInd w:val="0"/>
              <w:rPr>
                <w:rFonts w:eastAsiaTheme="minorHAnsi"/>
                <w:color w:val="auto"/>
                <w:szCs w:val="24"/>
                <w:lang w:val="en-US" w:eastAsia="en-US"/>
              </w:rPr>
            </w:pPr>
            <w:r w:rsidRPr="00BE78D8">
              <w:rPr>
                <w:rFonts w:eastAsiaTheme="minorHAnsi"/>
                <w:color w:val="auto"/>
                <w:szCs w:val="24"/>
                <w:lang w:val="en-US" w:eastAsia="en-US"/>
              </w:rPr>
              <w:t>Systolic BP ≥160 mm Hg or</w:t>
            </w:r>
          </w:p>
          <w:p w:rsidR="00EE4CD6" w:rsidRPr="00BE78D8" w:rsidRDefault="00EE4CD6" w:rsidP="0064422E">
            <w:pPr>
              <w:autoSpaceDE w:val="0"/>
              <w:autoSpaceDN w:val="0"/>
              <w:adjustRightInd w:val="0"/>
              <w:rPr>
                <w:rFonts w:eastAsiaTheme="minorHAnsi"/>
                <w:color w:val="auto"/>
                <w:szCs w:val="24"/>
                <w:lang w:val="en-US" w:eastAsia="en-US"/>
              </w:rPr>
            </w:pPr>
            <w:r w:rsidRPr="00BE78D8">
              <w:rPr>
                <w:rFonts w:eastAsiaTheme="minorHAnsi"/>
                <w:color w:val="auto"/>
                <w:szCs w:val="24"/>
                <w:lang w:val="en-US" w:eastAsia="en-US"/>
              </w:rPr>
              <w:t>diastolic BP ≥100 mmHg</w:t>
            </w:r>
          </w:p>
          <w:p w:rsidR="00EE4CD6" w:rsidRPr="00BE78D8" w:rsidRDefault="00EE4CD6" w:rsidP="0064422E">
            <w:pPr>
              <w:autoSpaceDE w:val="0"/>
              <w:autoSpaceDN w:val="0"/>
              <w:adjustRightInd w:val="0"/>
              <w:rPr>
                <w:rFonts w:eastAsiaTheme="minorHAnsi"/>
                <w:color w:val="auto"/>
                <w:szCs w:val="24"/>
                <w:lang w:val="en-US" w:eastAsia="en-US"/>
              </w:rPr>
            </w:pPr>
            <w:r w:rsidRPr="00BE78D8">
              <w:rPr>
                <w:rFonts w:eastAsiaTheme="minorHAnsi"/>
                <w:color w:val="auto"/>
                <w:szCs w:val="24"/>
                <w:lang w:val="en-US" w:eastAsia="en-US"/>
              </w:rPr>
              <w:t>despite optimal antihypertensive therapy</w:t>
            </w:r>
          </w:p>
        </w:tc>
        <w:tc>
          <w:tcPr>
            <w:tcW w:w="4621" w:type="dxa"/>
          </w:tcPr>
          <w:p w:rsidR="0064422E" w:rsidRPr="00BE78D8" w:rsidRDefault="00EE4CD6" w:rsidP="0064422E">
            <w:pPr>
              <w:autoSpaceDE w:val="0"/>
              <w:autoSpaceDN w:val="0"/>
              <w:adjustRightInd w:val="0"/>
              <w:rPr>
                <w:rFonts w:eastAsiaTheme="minorHAnsi"/>
                <w:color w:val="auto"/>
                <w:szCs w:val="24"/>
                <w:lang w:val="en-US" w:eastAsia="en-US"/>
              </w:rPr>
            </w:pPr>
            <w:r w:rsidRPr="00BE78D8">
              <w:rPr>
                <w:rFonts w:eastAsiaTheme="minorHAnsi"/>
                <w:color w:val="auto"/>
                <w:szCs w:val="24"/>
                <w:lang w:val="en-US" w:eastAsia="en-US"/>
              </w:rPr>
              <w:t>1. Withhold lenvatinib</w:t>
            </w:r>
          </w:p>
          <w:p w:rsidR="00EE4CD6" w:rsidRPr="00BE78D8" w:rsidRDefault="00EE4CD6" w:rsidP="00A552CF">
            <w:pPr>
              <w:autoSpaceDE w:val="0"/>
              <w:autoSpaceDN w:val="0"/>
              <w:adjustRightInd w:val="0"/>
              <w:rPr>
                <w:rFonts w:eastAsiaTheme="minorHAnsi"/>
                <w:color w:val="auto"/>
                <w:szCs w:val="24"/>
                <w:lang w:val="en-US" w:eastAsia="en-US"/>
              </w:rPr>
            </w:pPr>
            <w:r w:rsidRPr="00BE78D8">
              <w:rPr>
                <w:rFonts w:eastAsiaTheme="minorHAnsi"/>
                <w:color w:val="auto"/>
                <w:szCs w:val="24"/>
                <w:lang w:val="en-US" w:eastAsia="en-US"/>
              </w:rPr>
              <w:t xml:space="preserve">2. When systolic BP ≤150 mmHg, diastolic BP ≤95 mmHg, and patient has been on a stable dose for at least 48 hours, resume lenvatinib at a reduced dose </w:t>
            </w:r>
          </w:p>
        </w:tc>
      </w:tr>
      <w:tr w:rsidR="0064422E" w:rsidRPr="00BE78D8" w:rsidTr="0064422E">
        <w:tc>
          <w:tcPr>
            <w:tcW w:w="4621" w:type="dxa"/>
          </w:tcPr>
          <w:p w:rsidR="0064422E" w:rsidRPr="00BE78D8" w:rsidRDefault="00EE4CD6" w:rsidP="0064422E">
            <w:pPr>
              <w:autoSpaceDE w:val="0"/>
              <w:autoSpaceDN w:val="0"/>
              <w:adjustRightInd w:val="0"/>
              <w:rPr>
                <w:rFonts w:eastAsiaTheme="minorHAnsi"/>
                <w:color w:val="auto"/>
                <w:szCs w:val="24"/>
                <w:lang w:val="en-US" w:eastAsia="en-US"/>
              </w:rPr>
            </w:pPr>
            <w:r w:rsidRPr="00BE78D8">
              <w:rPr>
                <w:rFonts w:eastAsiaTheme="minorHAnsi"/>
                <w:color w:val="auto"/>
                <w:szCs w:val="24"/>
                <w:lang w:val="en-US" w:eastAsia="en-US"/>
              </w:rPr>
              <w:t>Life-threatening consequences (malignant hypertension, neurological deficit, or hypertensive crisis)</w:t>
            </w:r>
          </w:p>
        </w:tc>
        <w:tc>
          <w:tcPr>
            <w:tcW w:w="4621" w:type="dxa"/>
          </w:tcPr>
          <w:p w:rsidR="0064422E" w:rsidRPr="00BE78D8" w:rsidRDefault="00EE4CD6" w:rsidP="0064422E">
            <w:pPr>
              <w:autoSpaceDE w:val="0"/>
              <w:autoSpaceDN w:val="0"/>
              <w:adjustRightInd w:val="0"/>
              <w:rPr>
                <w:rFonts w:eastAsiaTheme="minorHAnsi"/>
                <w:color w:val="auto"/>
                <w:szCs w:val="24"/>
                <w:lang w:val="en-US" w:eastAsia="en-US"/>
              </w:rPr>
            </w:pPr>
            <w:r w:rsidRPr="00BE78D8">
              <w:rPr>
                <w:rFonts w:eastAsiaTheme="minorHAnsi"/>
                <w:color w:val="auto"/>
                <w:szCs w:val="24"/>
                <w:lang w:val="en-US" w:eastAsia="en-US"/>
              </w:rPr>
              <w:t>Urgent intervention is indicated. Discontinue lenvatinib and institute appropriate medical management.</w:t>
            </w:r>
          </w:p>
        </w:tc>
      </w:tr>
    </w:tbl>
    <w:p w:rsidR="0064422E" w:rsidRPr="00BE78D8" w:rsidRDefault="00EE4CD6" w:rsidP="0064422E">
      <w:pPr>
        <w:autoSpaceDE w:val="0"/>
        <w:autoSpaceDN w:val="0"/>
        <w:adjustRightInd w:val="0"/>
        <w:rPr>
          <w:rFonts w:eastAsiaTheme="minorHAnsi"/>
          <w:color w:val="auto"/>
          <w:szCs w:val="24"/>
          <w:lang w:val="en-US" w:eastAsia="en-US"/>
        </w:rPr>
      </w:pPr>
      <w:r w:rsidRPr="00BE78D8">
        <w:rPr>
          <w:rFonts w:eastAsiaTheme="minorHAnsi"/>
          <w:color w:val="auto"/>
          <w:szCs w:val="24"/>
          <w:lang w:val="en-US" w:eastAsia="en-US"/>
        </w:rPr>
        <w:t>BP, blood pressure</w:t>
      </w:r>
    </w:p>
    <w:p w:rsidR="00D712C4" w:rsidRPr="00BE78D8" w:rsidRDefault="00D712C4" w:rsidP="0064422E">
      <w:pPr>
        <w:autoSpaceDE w:val="0"/>
        <w:autoSpaceDN w:val="0"/>
        <w:adjustRightInd w:val="0"/>
        <w:rPr>
          <w:rFonts w:eastAsiaTheme="minorHAnsi"/>
          <w:color w:val="auto"/>
          <w:szCs w:val="24"/>
          <w:lang w:val="en-US" w:eastAsia="en-US"/>
        </w:rPr>
      </w:pPr>
    </w:p>
    <w:p w:rsidR="00D712C4" w:rsidRPr="00BE78D8" w:rsidRDefault="00D712C4" w:rsidP="009A1D5E">
      <w:pPr>
        <w:keepNext/>
        <w:autoSpaceDE w:val="0"/>
        <w:autoSpaceDN w:val="0"/>
        <w:adjustRightInd w:val="0"/>
        <w:rPr>
          <w:rFonts w:eastAsiaTheme="minorHAnsi"/>
          <w:color w:val="auto"/>
          <w:szCs w:val="24"/>
          <w:u w:val="single"/>
          <w:lang w:val="en-US" w:eastAsia="en-US"/>
        </w:rPr>
      </w:pPr>
      <w:r w:rsidRPr="00BE78D8">
        <w:rPr>
          <w:rFonts w:eastAsiaTheme="minorHAnsi"/>
          <w:color w:val="auto"/>
          <w:szCs w:val="24"/>
          <w:u w:val="single"/>
          <w:lang w:val="en-US" w:eastAsia="en-US"/>
        </w:rPr>
        <w:t>Proteinuria</w:t>
      </w:r>
    </w:p>
    <w:p w:rsidR="00D712C4" w:rsidRPr="00BE78D8" w:rsidRDefault="00D712C4" w:rsidP="00D712C4">
      <w:pPr>
        <w:autoSpaceDE w:val="0"/>
        <w:autoSpaceDN w:val="0"/>
        <w:adjustRightInd w:val="0"/>
        <w:rPr>
          <w:rFonts w:eastAsiaTheme="minorHAnsi"/>
          <w:color w:val="auto"/>
          <w:szCs w:val="24"/>
          <w:lang w:val="en-US" w:eastAsia="en-US"/>
        </w:rPr>
      </w:pPr>
    </w:p>
    <w:p w:rsidR="00D712C4" w:rsidRPr="00BE78D8" w:rsidRDefault="00D712C4" w:rsidP="00D712C4">
      <w:pPr>
        <w:autoSpaceDE w:val="0"/>
        <w:autoSpaceDN w:val="0"/>
        <w:adjustRightInd w:val="0"/>
        <w:rPr>
          <w:rFonts w:eastAsiaTheme="minorHAnsi"/>
          <w:color w:val="auto"/>
          <w:szCs w:val="24"/>
          <w:lang w:val="en-US" w:eastAsia="en-US"/>
        </w:rPr>
      </w:pPr>
      <w:r w:rsidRPr="00BE78D8">
        <w:rPr>
          <w:rFonts w:eastAsiaTheme="minorHAnsi"/>
          <w:color w:val="auto"/>
          <w:szCs w:val="24"/>
          <w:lang w:val="en-US" w:eastAsia="en-US"/>
        </w:rPr>
        <w:t xml:space="preserve">Proteinuria has been reported in </w:t>
      </w:r>
      <w:r w:rsidRPr="00240ADF">
        <w:rPr>
          <w:rFonts w:eastAsiaTheme="minorHAnsi"/>
          <w:color w:val="auto"/>
          <w:szCs w:val="24"/>
          <w:lang w:val="en-US" w:eastAsia="en-US"/>
        </w:rPr>
        <w:t>patients treated with lenvatinib,</w:t>
      </w:r>
      <w:r w:rsidR="006F62F3">
        <w:rPr>
          <w:rFonts w:eastAsiaTheme="minorHAnsi"/>
          <w:color w:val="auto"/>
          <w:szCs w:val="24"/>
          <w:lang w:val="en-US" w:eastAsia="en-US"/>
        </w:rPr>
        <w:t xml:space="preserve"> usually occurring early in the course of the treatment</w:t>
      </w:r>
      <w:r w:rsidRPr="00240ADF">
        <w:rPr>
          <w:rFonts w:eastAsiaTheme="minorHAnsi"/>
          <w:color w:val="auto"/>
          <w:szCs w:val="24"/>
          <w:lang w:val="en-US" w:eastAsia="en-US"/>
        </w:rPr>
        <w:t xml:space="preserve"> </w:t>
      </w:r>
      <w:r w:rsidR="00240ADF" w:rsidRPr="00240ADF">
        <w:rPr>
          <w:rFonts w:eastAsiaTheme="minorHAnsi"/>
          <w:color w:val="auto"/>
          <w:szCs w:val="24"/>
          <w:lang w:val="en-US" w:eastAsia="en-US"/>
        </w:rPr>
        <w:t>(see ADVERSE EFFECTS</w:t>
      </w:r>
      <w:r w:rsidRPr="00240ADF">
        <w:rPr>
          <w:rFonts w:eastAsiaTheme="minorHAnsi"/>
          <w:color w:val="auto"/>
          <w:szCs w:val="24"/>
          <w:lang w:val="en-US" w:eastAsia="en-US"/>
        </w:rPr>
        <w:t>).</w:t>
      </w:r>
      <w:r w:rsidRPr="00BE78D8">
        <w:rPr>
          <w:rFonts w:eastAsiaTheme="minorHAnsi"/>
          <w:color w:val="auto"/>
          <w:szCs w:val="24"/>
          <w:lang w:val="en-US" w:eastAsia="en-US"/>
        </w:rPr>
        <w:t xml:space="preserve"> Monitor urine protein regularly. If urine dipstick proteinuria ≥2+ is detected, dose interruptions, adjustments, or discontinuation may be necessary </w:t>
      </w:r>
      <w:r w:rsidRPr="00240ADF">
        <w:rPr>
          <w:rFonts w:eastAsiaTheme="minorHAnsi"/>
          <w:color w:val="auto"/>
          <w:szCs w:val="24"/>
          <w:lang w:val="en-US" w:eastAsia="en-US"/>
        </w:rPr>
        <w:t xml:space="preserve">(see </w:t>
      </w:r>
      <w:r w:rsidR="00240ADF" w:rsidRPr="00240ADF">
        <w:rPr>
          <w:rFonts w:eastAsiaTheme="minorHAnsi"/>
          <w:color w:val="auto"/>
          <w:szCs w:val="24"/>
          <w:lang w:val="en-US" w:eastAsia="en-US"/>
        </w:rPr>
        <w:t>DOSAGE AND ADMINISTRATION</w:t>
      </w:r>
      <w:r w:rsidRPr="00240ADF">
        <w:rPr>
          <w:rFonts w:eastAsiaTheme="minorHAnsi"/>
          <w:color w:val="auto"/>
          <w:szCs w:val="24"/>
          <w:lang w:val="en-US" w:eastAsia="en-US"/>
        </w:rPr>
        <w:t>).</w:t>
      </w:r>
      <w:r w:rsidR="006F62F3">
        <w:rPr>
          <w:rFonts w:eastAsiaTheme="minorHAnsi"/>
          <w:color w:val="auto"/>
          <w:szCs w:val="24"/>
          <w:lang w:val="en-US" w:eastAsia="en-US"/>
        </w:rPr>
        <w:t xml:space="preserve"> Lenvima should be discontinued in the event of </w:t>
      </w:r>
      <w:r w:rsidR="009F4525">
        <w:rPr>
          <w:rFonts w:eastAsiaTheme="minorHAnsi"/>
          <w:color w:val="auto"/>
          <w:szCs w:val="24"/>
          <w:lang w:val="en-US" w:eastAsia="en-US"/>
        </w:rPr>
        <w:t xml:space="preserve">nephrotic </w:t>
      </w:r>
      <w:r w:rsidR="006F62F3">
        <w:rPr>
          <w:rFonts w:eastAsiaTheme="minorHAnsi"/>
          <w:color w:val="auto"/>
          <w:szCs w:val="24"/>
          <w:lang w:val="en-US" w:eastAsia="en-US"/>
        </w:rPr>
        <w:t>syndrome.</w:t>
      </w:r>
    </w:p>
    <w:p w:rsidR="00D712C4" w:rsidRPr="00BE78D8" w:rsidRDefault="00D712C4" w:rsidP="00D712C4">
      <w:pPr>
        <w:autoSpaceDE w:val="0"/>
        <w:autoSpaceDN w:val="0"/>
        <w:adjustRightInd w:val="0"/>
        <w:rPr>
          <w:rFonts w:eastAsiaTheme="minorHAnsi"/>
          <w:color w:val="auto"/>
          <w:szCs w:val="24"/>
          <w:lang w:val="en-US" w:eastAsia="en-US"/>
        </w:rPr>
      </w:pPr>
    </w:p>
    <w:p w:rsidR="00D712C4" w:rsidRPr="00BE78D8" w:rsidRDefault="00D712C4" w:rsidP="00D712C4">
      <w:pPr>
        <w:autoSpaceDE w:val="0"/>
        <w:autoSpaceDN w:val="0"/>
        <w:adjustRightInd w:val="0"/>
        <w:rPr>
          <w:rFonts w:eastAsiaTheme="minorHAnsi"/>
          <w:color w:val="auto"/>
          <w:szCs w:val="24"/>
          <w:u w:val="single"/>
          <w:lang w:val="en-US" w:eastAsia="en-US"/>
        </w:rPr>
      </w:pPr>
      <w:r w:rsidRPr="00BE78D8">
        <w:rPr>
          <w:rFonts w:eastAsiaTheme="minorHAnsi"/>
          <w:color w:val="auto"/>
          <w:szCs w:val="24"/>
          <w:u w:val="single"/>
          <w:lang w:val="en-US" w:eastAsia="en-US"/>
        </w:rPr>
        <w:t>Renal failure and impairment</w:t>
      </w:r>
    </w:p>
    <w:p w:rsidR="00D712C4" w:rsidRPr="00BE78D8" w:rsidRDefault="00D712C4" w:rsidP="00D712C4">
      <w:pPr>
        <w:autoSpaceDE w:val="0"/>
        <w:autoSpaceDN w:val="0"/>
        <w:adjustRightInd w:val="0"/>
        <w:rPr>
          <w:rFonts w:eastAsiaTheme="minorHAnsi"/>
          <w:color w:val="auto"/>
          <w:szCs w:val="24"/>
          <w:lang w:val="en-US" w:eastAsia="en-US"/>
        </w:rPr>
      </w:pPr>
    </w:p>
    <w:p w:rsidR="00D712C4" w:rsidRDefault="00D712C4" w:rsidP="00D712C4">
      <w:pPr>
        <w:autoSpaceDE w:val="0"/>
        <w:autoSpaceDN w:val="0"/>
        <w:adjustRightInd w:val="0"/>
        <w:rPr>
          <w:rFonts w:eastAsiaTheme="minorHAnsi"/>
          <w:color w:val="auto"/>
          <w:szCs w:val="24"/>
          <w:lang w:val="en-US" w:eastAsia="en-US"/>
        </w:rPr>
      </w:pPr>
      <w:r w:rsidRPr="00BE78D8">
        <w:rPr>
          <w:rFonts w:eastAsiaTheme="minorHAnsi"/>
          <w:color w:val="auto"/>
          <w:szCs w:val="24"/>
          <w:lang w:val="en-US" w:eastAsia="en-US"/>
        </w:rPr>
        <w:t xml:space="preserve">Events of renal impairment (including renal failure) have been reported in patients treated with lenvatinib </w:t>
      </w:r>
      <w:r w:rsidRPr="00240ADF">
        <w:rPr>
          <w:rFonts w:eastAsiaTheme="minorHAnsi"/>
          <w:color w:val="auto"/>
          <w:szCs w:val="24"/>
          <w:lang w:val="en-US" w:eastAsia="en-US"/>
        </w:rPr>
        <w:t xml:space="preserve">(see </w:t>
      </w:r>
      <w:r w:rsidR="00240ADF" w:rsidRPr="00240ADF">
        <w:rPr>
          <w:rFonts w:eastAsiaTheme="minorHAnsi"/>
          <w:color w:val="auto"/>
          <w:szCs w:val="24"/>
          <w:lang w:val="en-US" w:eastAsia="en-US"/>
        </w:rPr>
        <w:t>ADVERSE EFFECTS</w:t>
      </w:r>
      <w:r w:rsidRPr="00240ADF">
        <w:rPr>
          <w:rFonts w:eastAsiaTheme="minorHAnsi"/>
          <w:color w:val="auto"/>
          <w:szCs w:val="24"/>
          <w:lang w:val="en-US" w:eastAsia="en-US"/>
        </w:rPr>
        <w:t>).</w:t>
      </w:r>
      <w:r w:rsidRPr="00BE78D8">
        <w:rPr>
          <w:rFonts w:eastAsiaTheme="minorHAnsi"/>
          <w:color w:val="auto"/>
          <w:szCs w:val="24"/>
          <w:lang w:val="en-US" w:eastAsia="en-US"/>
        </w:rPr>
        <w:t xml:space="preserve"> The primary risk factor identified was dehydration and/or hypovolemia due to gastrointestinal toxicity. Gastrointestinal toxicity should be actively managed in order to reduce the risk of development of renal impairment or renal failure. Dose interruptions, adjustments, or discontinuation may be necessary </w:t>
      </w:r>
      <w:r w:rsidRPr="00240ADF">
        <w:rPr>
          <w:rFonts w:eastAsiaTheme="minorHAnsi"/>
          <w:color w:val="auto"/>
          <w:szCs w:val="24"/>
          <w:lang w:val="en-US" w:eastAsia="en-US"/>
        </w:rPr>
        <w:t xml:space="preserve">(see </w:t>
      </w:r>
      <w:r w:rsidR="00240ADF" w:rsidRPr="00240ADF">
        <w:rPr>
          <w:rFonts w:eastAsiaTheme="minorHAnsi"/>
          <w:color w:val="auto"/>
          <w:szCs w:val="24"/>
          <w:lang w:val="en-US" w:eastAsia="en-US"/>
        </w:rPr>
        <w:t>DOSAGE AND ADMINISTRATION</w:t>
      </w:r>
      <w:r w:rsidRPr="00240ADF">
        <w:rPr>
          <w:rFonts w:eastAsiaTheme="minorHAnsi"/>
          <w:color w:val="auto"/>
          <w:szCs w:val="24"/>
          <w:lang w:val="en-US" w:eastAsia="en-US"/>
        </w:rPr>
        <w:t>).</w:t>
      </w:r>
    </w:p>
    <w:p w:rsidR="00732AFF" w:rsidRDefault="00732AFF" w:rsidP="00D712C4">
      <w:pPr>
        <w:autoSpaceDE w:val="0"/>
        <w:autoSpaceDN w:val="0"/>
        <w:adjustRightInd w:val="0"/>
        <w:rPr>
          <w:rFonts w:eastAsiaTheme="minorHAnsi"/>
          <w:color w:val="auto"/>
          <w:szCs w:val="24"/>
          <w:lang w:val="en-US" w:eastAsia="en-US"/>
        </w:rPr>
      </w:pPr>
    </w:p>
    <w:p w:rsidR="00732AFF" w:rsidRPr="00BE78D8" w:rsidRDefault="00732AFF" w:rsidP="00D712C4">
      <w:pPr>
        <w:autoSpaceDE w:val="0"/>
        <w:autoSpaceDN w:val="0"/>
        <w:adjustRightInd w:val="0"/>
        <w:rPr>
          <w:rFonts w:eastAsiaTheme="minorHAnsi"/>
          <w:color w:val="auto"/>
          <w:szCs w:val="24"/>
          <w:lang w:val="en-US" w:eastAsia="en-US"/>
        </w:rPr>
      </w:pPr>
      <w:r>
        <w:rPr>
          <w:rFonts w:eastAsiaTheme="minorHAnsi"/>
          <w:color w:val="auto"/>
          <w:szCs w:val="24"/>
          <w:lang w:val="en-US" w:eastAsia="en-US"/>
        </w:rPr>
        <w:t>If patients have severe renal impairment, the initial dose of lenvatinib should be adjusted (See DO</w:t>
      </w:r>
      <w:r w:rsidR="00236B3C">
        <w:rPr>
          <w:rFonts w:eastAsiaTheme="minorHAnsi"/>
          <w:color w:val="auto"/>
          <w:szCs w:val="24"/>
          <w:lang w:val="en-US" w:eastAsia="en-US"/>
        </w:rPr>
        <w:t>S</w:t>
      </w:r>
      <w:r>
        <w:rPr>
          <w:rFonts w:eastAsiaTheme="minorHAnsi"/>
          <w:color w:val="auto"/>
          <w:szCs w:val="24"/>
          <w:lang w:val="en-US" w:eastAsia="en-US"/>
        </w:rPr>
        <w:t>AGE and ADMINISTRATION)</w:t>
      </w:r>
    </w:p>
    <w:p w:rsidR="00486AF6" w:rsidRDefault="00486AF6" w:rsidP="00D712C4">
      <w:pPr>
        <w:autoSpaceDE w:val="0"/>
        <w:autoSpaceDN w:val="0"/>
        <w:adjustRightInd w:val="0"/>
        <w:rPr>
          <w:rFonts w:eastAsiaTheme="minorHAnsi"/>
          <w:color w:val="auto"/>
          <w:szCs w:val="24"/>
          <w:u w:val="single"/>
          <w:lang w:val="en-US" w:eastAsia="en-US"/>
        </w:rPr>
      </w:pPr>
    </w:p>
    <w:p w:rsidR="00D712C4" w:rsidRPr="00BE78D8" w:rsidRDefault="00D712C4" w:rsidP="00D712C4">
      <w:pPr>
        <w:autoSpaceDE w:val="0"/>
        <w:autoSpaceDN w:val="0"/>
        <w:adjustRightInd w:val="0"/>
        <w:rPr>
          <w:rFonts w:eastAsiaTheme="minorHAnsi"/>
          <w:color w:val="auto"/>
          <w:szCs w:val="24"/>
          <w:u w:val="single"/>
          <w:lang w:val="en-US" w:eastAsia="en-US"/>
        </w:rPr>
      </w:pPr>
      <w:r w:rsidRPr="00BE78D8">
        <w:rPr>
          <w:rFonts w:eastAsiaTheme="minorHAnsi"/>
          <w:color w:val="auto"/>
          <w:szCs w:val="24"/>
          <w:u w:val="single"/>
          <w:lang w:val="en-US" w:eastAsia="en-US"/>
        </w:rPr>
        <w:t>Cardiac failure</w:t>
      </w:r>
    </w:p>
    <w:p w:rsidR="00D712C4" w:rsidRPr="00BE78D8" w:rsidRDefault="00D712C4" w:rsidP="00D712C4">
      <w:pPr>
        <w:autoSpaceDE w:val="0"/>
        <w:autoSpaceDN w:val="0"/>
        <w:adjustRightInd w:val="0"/>
        <w:rPr>
          <w:rFonts w:eastAsiaTheme="minorHAnsi"/>
          <w:color w:val="auto"/>
          <w:szCs w:val="24"/>
          <w:lang w:val="en-US" w:eastAsia="en-US"/>
        </w:rPr>
      </w:pPr>
    </w:p>
    <w:p w:rsidR="00D712C4" w:rsidRPr="00BE78D8" w:rsidRDefault="00D712C4" w:rsidP="00D712C4">
      <w:pPr>
        <w:autoSpaceDE w:val="0"/>
        <w:autoSpaceDN w:val="0"/>
        <w:adjustRightInd w:val="0"/>
        <w:rPr>
          <w:rFonts w:eastAsiaTheme="minorHAnsi"/>
          <w:color w:val="auto"/>
          <w:szCs w:val="24"/>
          <w:lang w:val="en-US" w:eastAsia="en-US"/>
        </w:rPr>
      </w:pPr>
      <w:r w:rsidRPr="00BE78D8">
        <w:rPr>
          <w:rFonts w:eastAsiaTheme="minorHAnsi"/>
          <w:color w:val="auto"/>
          <w:szCs w:val="24"/>
          <w:lang w:val="en-US" w:eastAsia="en-US"/>
        </w:rPr>
        <w:t>Cardiac failure (</w:t>
      </w:r>
      <w:r w:rsidR="009F4525">
        <w:rPr>
          <w:rFonts w:eastAsiaTheme="minorHAnsi"/>
          <w:color w:val="auto"/>
          <w:szCs w:val="24"/>
          <w:lang w:val="en-US" w:eastAsia="en-US"/>
        </w:rPr>
        <w:t xml:space="preserve">observed in </w:t>
      </w:r>
      <w:r w:rsidRPr="00BE78D8">
        <w:rPr>
          <w:rFonts w:eastAsiaTheme="minorHAnsi"/>
          <w:color w:val="auto"/>
          <w:szCs w:val="24"/>
          <w:lang w:val="en-US" w:eastAsia="en-US"/>
        </w:rPr>
        <w:t>&lt;1%</w:t>
      </w:r>
      <w:r w:rsidR="009F4525">
        <w:rPr>
          <w:rFonts w:eastAsiaTheme="minorHAnsi"/>
          <w:color w:val="auto"/>
          <w:szCs w:val="24"/>
          <w:lang w:val="en-US" w:eastAsia="en-US"/>
        </w:rPr>
        <w:t xml:space="preserve"> of patients</w:t>
      </w:r>
      <w:r w:rsidRPr="00BE78D8">
        <w:rPr>
          <w:rFonts w:eastAsiaTheme="minorHAnsi"/>
          <w:color w:val="auto"/>
          <w:szCs w:val="24"/>
          <w:lang w:val="en-US" w:eastAsia="en-US"/>
        </w:rPr>
        <w:t>) and decreased left ventricular ejection fraction have been reported in patients treated</w:t>
      </w:r>
      <w:r w:rsidR="00366E64">
        <w:rPr>
          <w:rFonts w:eastAsiaTheme="minorHAnsi"/>
          <w:color w:val="auto"/>
          <w:szCs w:val="24"/>
          <w:lang w:val="en-US" w:eastAsia="en-US"/>
        </w:rPr>
        <w:t xml:space="preserve"> </w:t>
      </w:r>
      <w:r w:rsidRPr="00BE78D8">
        <w:rPr>
          <w:rFonts w:eastAsiaTheme="minorHAnsi"/>
          <w:color w:val="auto"/>
          <w:szCs w:val="24"/>
          <w:lang w:val="en-US" w:eastAsia="en-US"/>
        </w:rPr>
        <w:t xml:space="preserve">with lenvatinib </w:t>
      </w:r>
      <w:r w:rsidRPr="00240ADF">
        <w:rPr>
          <w:rFonts w:eastAsiaTheme="minorHAnsi"/>
          <w:color w:val="auto"/>
          <w:szCs w:val="24"/>
          <w:lang w:val="en-US" w:eastAsia="en-US"/>
        </w:rPr>
        <w:t xml:space="preserve">(see </w:t>
      </w:r>
      <w:r w:rsidR="00240ADF">
        <w:rPr>
          <w:rFonts w:eastAsiaTheme="minorHAnsi"/>
          <w:color w:val="auto"/>
          <w:szCs w:val="24"/>
          <w:lang w:val="en-US" w:eastAsia="en-US"/>
        </w:rPr>
        <w:t>ADVERSE EFFECTS)</w:t>
      </w:r>
      <w:r w:rsidR="00BF7107">
        <w:rPr>
          <w:rFonts w:eastAsiaTheme="minorHAnsi"/>
          <w:color w:val="auto"/>
          <w:szCs w:val="24"/>
          <w:lang w:val="en-US" w:eastAsia="en-US"/>
        </w:rPr>
        <w:t xml:space="preserve">. </w:t>
      </w:r>
      <w:r w:rsidRPr="00BE78D8">
        <w:rPr>
          <w:rFonts w:eastAsiaTheme="minorHAnsi"/>
          <w:color w:val="auto"/>
          <w:szCs w:val="24"/>
          <w:lang w:val="en-US" w:eastAsia="en-US"/>
        </w:rPr>
        <w:t xml:space="preserve"> Patients should be monitored for clinical symptoms or signs of cardiac decompensation, as dose </w:t>
      </w:r>
      <w:r w:rsidRPr="00BE78D8">
        <w:rPr>
          <w:rFonts w:eastAsiaTheme="minorHAnsi"/>
          <w:color w:val="auto"/>
          <w:szCs w:val="24"/>
          <w:lang w:val="en-US" w:eastAsia="en-US"/>
        </w:rPr>
        <w:lastRenderedPageBreak/>
        <w:t xml:space="preserve">interruptions, adjustments, or discontinuation may be necessary </w:t>
      </w:r>
      <w:r w:rsidRPr="00240ADF">
        <w:rPr>
          <w:rFonts w:eastAsiaTheme="minorHAnsi"/>
          <w:color w:val="auto"/>
          <w:szCs w:val="24"/>
          <w:lang w:val="en-US" w:eastAsia="en-US"/>
        </w:rPr>
        <w:t xml:space="preserve">(see </w:t>
      </w:r>
      <w:r w:rsidR="00240ADF" w:rsidRPr="00240ADF">
        <w:rPr>
          <w:rFonts w:eastAsiaTheme="minorHAnsi"/>
          <w:color w:val="auto"/>
          <w:szCs w:val="24"/>
          <w:lang w:val="en-US" w:eastAsia="en-US"/>
        </w:rPr>
        <w:t>DOSAGE AND ADMINISTRATION</w:t>
      </w:r>
      <w:r w:rsidRPr="00240ADF">
        <w:rPr>
          <w:rFonts w:eastAsiaTheme="minorHAnsi"/>
          <w:color w:val="auto"/>
          <w:szCs w:val="24"/>
          <w:lang w:val="en-US" w:eastAsia="en-US"/>
        </w:rPr>
        <w:t>).</w:t>
      </w:r>
    </w:p>
    <w:p w:rsidR="00D712C4" w:rsidRPr="008B1A90" w:rsidRDefault="00D712C4" w:rsidP="00D712C4">
      <w:pPr>
        <w:autoSpaceDE w:val="0"/>
        <w:autoSpaceDN w:val="0"/>
        <w:adjustRightInd w:val="0"/>
        <w:rPr>
          <w:rFonts w:eastAsiaTheme="minorHAnsi"/>
          <w:color w:val="auto"/>
          <w:szCs w:val="24"/>
          <w:lang w:eastAsia="en-US"/>
        </w:rPr>
      </w:pPr>
    </w:p>
    <w:p w:rsidR="00D712C4" w:rsidRPr="008B1A90" w:rsidRDefault="00D712C4" w:rsidP="00D712C4">
      <w:pPr>
        <w:autoSpaceDE w:val="0"/>
        <w:autoSpaceDN w:val="0"/>
        <w:adjustRightInd w:val="0"/>
        <w:rPr>
          <w:rFonts w:eastAsiaTheme="minorHAnsi"/>
          <w:color w:val="auto"/>
          <w:szCs w:val="24"/>
          <w:u w:val="single"/>
          <w:lang w:eastAsia="en-US"/>
        </w:rPr>
      </w:pPr>
      <w:r w:rsidRPr="008B1A90">
        <w:rPr>
          <w:rFonts w:eastAsiaTheme="minorHAnsi"/>
          <w:color w:val="auto"/>
          <w:szCs w:val="24"/>
          <w:u w:val="single"/>
          <w:lang w:eastAsia="en-US"/>
        </w:rPr>
        <w:t>Posterior reversible encephalopathy syndrome (PRES) / Reversible Posterior Leucoencephalopathy Syndrome (RPLS)</w:t>
      </w:r>
    </w:p>
    <w:p w:rsidR="00D712C4" w:rsidRPr="00EE5DA3" w:rsidRDefault="00D712C4" w:rsidP="00D712C4">
      <w:pPr>
        <w:autoSpaceDE w:val="0"/>
        <w:autoSpaceDN w:val="0"/>
        <w:adjustRightInd w:val="0"/>
        <w:rPr>
          <w:rFonts w:eastAsiaTheme="minorHAnsi"/>
          <w:color w:val="auto"/>
          <w:szCs w:val="24"/>
          <w:lang w:val="fr-FR" w:eastAsia="en-US"/>
        </w:rPr>
      </w:pPr>
    </w:p>
    <w:p w:rsidR="00D712C4" w:rsidRPr="00BE78D8" w:rsidRDefault="00D712C4" w:rsidP="00D712C4">
      <w:pPr>
        <w:autoSpaceDE w:val="0"/>
        <w:autoSpaceDN w:val="0"/>
        <w:adjustRightInd w:val="0"/>
        <w:rPr>
          <w:rFonts w:eastAsiaTheme="minorHAnsi"/>
          <w:color w:val="auto"/>
          <w:szCs w:val="24"/>
          <w:lang w:val="en-US" w:eastAsia="en-US"/>
        </w:rPr>
      </w:pPr>
      <w:r w:rsidRPr="00BE78D8">
        <w:rPr>
          <w:rFonts w:eastAsiaTheme="minorHAnsi"/>
          <w:color w:val="auto"/>
          <w:szCs w:val="24"/>
          <w:lang w:val="en-US" w:eastAsia="en-US"/>
        </w:rPr>
        <w:t>Events of posterior reversible encephalopathy syndrome (PRES</w:t>
      </w:r>
      <w:r w:rsidR="00342C7D">
        <w:rPr>
          <w:rFonts w:eastAsiaTheme="minorHAnsi"/>
          <w:color w:val="auto"/>
          <w:szCs w:val="24"/>
          <w:lang w:val="en-US" w:eastAsia="en-US"/>
        </w:rPr>
        <w:t>, also known as RPLS</w:t>
      </w:r>
      <w:r w:rsidRPr="00BE78D8">
        <w:rPr>
          <w:rFonts w:eastAsiaTheme="minorHAnsi"/>
          <w:color w:val="auto"/>
          <w:szCs w:val="24"/>
          <w:lang w:val="en-US" w:eastAsia="en-US"/>
        </w:rPr>
        <w:t>) have been reported in patients treated with lenvatinib (</w:t>
      </w:r>
      <w:r w:rsidR="009F4525">
        <w:rPr>
          <w:rFonts w:eastAsiaTheme="minorHAnsi"/>
          <w:color w:val="auto"/>
          <w:szCs w:val="24"/>
          <w:lang w:val="en-US" w:eastAsia="en-US"/>
        </w:rPr>
        <w:t xml:space="preserve">observed in </w:t>
      </w:r>
      <w:r w:rsidRPr="00BE78D8">
        <w:rPr>
          <w:rFonts w:eastAsiaTheme="minorHAnsi"/>
          <w:color w:val="auto"/>
          <w:szCs w:val="24"/>
          <w:lang w:val="en-US" w:eastAsia="en-US"/>
        </w:rPr>
        <w:t>&lt;1%</w:t>
      </w:r>
      <w:r w:rsidR="009F4525">
        <w:rPr>
          <w:rFonts w:eastAsiaTheme="minorHAnsi"/>
          <w:color w:val="auto"/>
          <w:szCs w:val="24"/>
          <w:lang w:val="en-US" w:eastAsia="en-US"/>
        </w:rPr>
        <w:t xml:space="preserve"> or patients</w:t>
      </w:r>
      <w:r w:rsidRPr="00BE78D8">
        <w:rPr>
          <w:rFonts w:eastAsiaTheme="minorHAnsi"/>
          <w:color w:val="auto"/>
          <w:szCs w:val="24"/>
          <w:lang w:val="en-US" w:eastAsia="en-US"/>
        </w:rPr>
        <w:t xml:space="preserve">; </w:t>
      </w:r>
      <w:r w:rsidR="00240ADF">
        <w:rPr>
          <w:rFonts w:eastAsiaTheme="minorHAnsi"/>
          <w:color w:val="auto"/>
          <w:szCs w:val="24"/>
          <w:lang w:val="en-US" w:eastAsia="en-US"/>
        </w:rPr>
        <w:t>ADVERSE EFFECTS</w:t>
      </w:r>
      <w:r w:rsidRPr="00240ADF">
        <w:rPr>
          <w:rFonts w:eastAsiaTheme="minorHAnsi"/>
          <w:color w:val="auto"/>
          <w:szCs w:val="24"/>
          <w:lang w:val="en-US" w:eastAsia="en-US"/>
        </w:rPr>
        <w:t>).</w:t>
      </w:r>
      <w:r w:rsidRPr="00BE78D8">
        <w:rPr>
          <w:rFonts w:eastAsiaTheme="minorHAnsi"/>
          <w:color w:val="auto"/>
          <w:szCs w:val="24"/>
          <w:lang w:val="en-US" w:eastAsia="en-US"/>
        </w:rPr>
        <w:t xml:space="preserve"> PRES is a neurological disorder which can present with headache, seizure, lethargy, confusion, altered mental function, blindness, and other visual or neurological disturbances. Mild to severe hypertension may be present. Magnetic resonance imaging is necessary to confirm the diagnosis of PRES. Appropriate measures should be taken to control blood pressure (see</w:t>
      </w:r>
      <w:r w:rsidR="00BF7107">
        <w:rPr>
          <w:rFonts w:eastAsiaTheme="minorHAnsi"/>
          <w:color w:val="auto"/>
          <w:szCs w:val="24"/>
          <w:lang w:val="en-US" w:eastAsia="en-US"/>
        </w:rPr>
        <w:t xml:space="preserve"> </w:t>
      </w:r>
      <w:r w:rsidR="006123C4">
        <w:rPr>
          <w:rFonts w:eastAsiaTheme="minorHAnsi"/>
          <w:color w:val="auto"/>
          <w:szCs w:val="24"/>
          <w:lang w:val="en-US" w:eastAsia="en-US"/>
        </w:rPr>
        <w:t xml:space="preserve">Table 2 </w:t>
      </w:r>
      <w:r w:rsidR="006123C4" w:rsidRPr="006123C4">
        <w:rPr>
          <w:rFonts w:eastAsiaTheme="minorHAnsi"/>
          <w:bCs/>
          <w:color w:val="auto"/>
          <w:szCs w:val="24"/>
          <w:lang w:val="en-US" w:eastAsia="en-US"/>
        </w:rPr>
        <w:t>Recommended Management of Hypertension</w:t>
      </w:r>
      <w:r w:rsidRPr="00BE78D8">
        <w:rPr>
          <w:rFonts w:eastAsiaTheme="minorHAnsi"/>
          <w:color w:val="auto"/>
          <w:szCs w:val="24"/>
          <w:lang w:val="en-US" w:eastAsia="en-US"/>
        </w:rPr>
        <w:t>). In patients with signs or symptoms of PRES, dose interruptions, adjustments, or discontinuation may be</w:t>
      </w:r>
      <w:r w:rsidR="00366E64">
        <w:rPr>
          <w:rFonts w:eastAsiaTheme="minorHAnsi"/>
          <w:color w:val="auto"/>
          <w:szCs w:val="24"/>
          <w:lang w:val="en-US" w:eastAsia="en-US"/>
        </w:rPr>
        <w:t xml:space="preserve"> </w:t>
      </w:r>
      <w:r w:rsidRPr="00BE78D8">
        <w:rPr>
          <w:rFonts w:eastAsiaTheme="minorHAnsi"/>
          <w:color w:val="auto"/>
          <w:szCs w:val="24"/>
          <w:lang w:val="en-US" w:eastAsia="en-US"/>
        </w:rPr>
        <w:t xml:space="preserve">necessary (see </w:t>
      </w:r>
      <w:r w:rsidR="00240ADF">
        <w:rPr>
          <w:rFonts w:eastAsiaTheme="minorHAnsi"/>
          <w:color w:val="auto"/>
          <w:szCs w:val="24"/>
          <w:lang w:val="en-US" w:eastAsia="en-US"/>
        </w:rPr>
        <w:t>DOSAGE AND ADMINISTRATION</w:t>
      </w:r>
      <w:r w:rsidRPr="00BE78D8">
        <w:rPr>
          <w:rFonts w:eastAsiaTheme="minorHAnsi"/>
          <w:color w:val="auto"/>
          <w:szCs w:val="24"/>
          <w:lang w:val="en-US" w:eastAsia="en-US"/>
        </w:rPr>
        <w:t>).</w:t>
      </w:r>
    </w:p>
    <w:p w:rsidR="00D712C4" w:rsidRPr="00BE78D8" w:rsidRDefault="00D712C4" w:rsidP="00D712C4">
      <w:pPr>
        <w:autoSpaceDE w:val="0"/>
        <w:autoSpaceDN w:val="0"/>
        <w:adjustRightInd w:val="0"/>
        <w:rPr>
          <w:rFonts w:eastAsiaTheme="minorHAnsi"/>
          <w:color w:val="auto"/>
          <w:szCs w:val="24"/>
          <w:lang w:val="en-US" w:eastAsia="en-US"/>
        </w:rPr>
      </w:pPr>
    </w:p>
    <w:p w:rsidR="00D712C4" w:rsidRPr="00BE78D8" w:rsidRDefault="00D712C4" w:rsidP="00D712C4">
      <w:pPr>
        <w:autoSpaceDE w:val="0"/>
        <w:autoSpaceDN w:val="0"/>
        <w:adjustRightInd w:val="0"/>
        <w:rPr>
          <w:rFonts w:eastAsiaTheme="minorHAnsi"/>
          <w:color w:val="auto"/>
          <w:szCs w:val="24"/>
          <w:u w:val="single"/>
          <w:lang w:val="en-US" w:eastAsia="en-US"/>
        </w:rPr>
      </w:pPr>
      <w:r w:rsidRPr="00BE78D8">
        <w:rPr>
          <w:rFonts w:eastAsiaTheme="minorHAnsi"/>
          <w:color w:val="auto"/>
          <w:szCs w:val="24"/>
          <w:u w:val="single"/>
          <w:lang w:val="en-US" w:eastAsia="en-US"/>
        </w:rPr>
        <w:t>Hepatotoxicity</w:t>
      </w:r>
    </w:p>
    <w:p w:rsidR="00D712C4" w:rsidRPr="00BE78D8" w:rsidRDefault="00D712C4" w:rsidP="00D712C4">
      <w:pPr>
        <w:autoSpaceDE w:val="0"/>
        <w:autoSpaceDN w:val="0"/>
        <w:adjustRightInd w:val="0"/>
        <w:rPr>
          <w:rFonts w:eastAsiaTheme="minorHAnsi"/>
          <w:color w:val="auto"/>
          <w:szCs w:val="24"/>
          <w:lang w:val="en-US" w:eastAsia="en-US"/>
        </w:rPr>
      </w:pPr>
    </w:p>
    <w:p w:rsidR="00D712C4" w:rsidRDefault="00D712C4" w:rsidP="00D712C4">
      <w:pPr>
        <w:autoSpaceDE w:val="0"/>
        <w:autoSpaceDN w:val="0"/>
        <w:adjustRightInd w:val="0"/>
        <w:rPr>
          <w:rFonts w:eastAsiaTheme="minorHAnsi"/>
          <w:color w:val="auto"/>
          <w:szCs w:val="24"/>
          <w:lang w:val="en-US" w:eastAsia="en-US"/>
        </w:rPr>
      </w:pPr>
      <w:r w:rsidRPr="00BE78D8">
        <w:rPr>
          <w:rFonts w:eastAsiaTheme="minorHAnsi"/>
          <w:color w:val="auto"/>
          <w:szCs w:val="24"/>
          <w:lang w:val="en-US" w:eastAsia="en-US"/>
        </w:rPr>
        <w:t>Liver-related adverse reactions most commonly reported in patients treated with lenvatinib included increases in alanine aminotransferase, increases in aspartate aminotransferase, and increases in blood bilirubin</w:t>
      </w:r>
      <w:r w:rsidR="006123C4" w:rsidRPr="006123C4">
        <w:rPr>
          <w:rFonts w:eastAsiaTheme="minorHAnsi"/>
          <w:color w:val="auto"/>
          <w:szCs w:val="24"/>
          <w:lang w:val="en-US" w:eastAsia="en-US"/>
        </w:rPr>
        <w:t xml:space="preserve"> </w:t>
      </w:r>
      <w:r w:rsidR="006123C4">
        <w:rPr>
          <w:rFonts w:eastAsiaTheme="minorHAnsi"/>
          <w:color w:val="auto"/>
          <w:szCs w:val="24"/>
          <w:lang w:val="en-US" w:eastAsia="en-US"/>
        </w:rPr>
        <w:t>(</w:t>
      </w:r>
      <w:r w:rsidR="006123C4" w:rsidRPr="00BE78D8">
        <w:rPr>
          <w:rFonts w:eastAsiaTheme="minorHAnsi"/>
          <w:color w:val="auto"/>
          <w:szCs w:val="24"/>
          <w:lang w:val="en-US" w:eastAsia="en-US"/>
        </w:rPr>
        <w:t xml:space="preserve">see </w:t>
      </w:r>
      <w:r w:rsidR="006123C4">
        <w:rPr>
          <w:rFonts w:eastAsiaTheme="minorHAnsi"/>
          <w:color w:val="auto"/>
          <w:szCs w:val="24"/>
          <w:lang w:val="en-US" w:eastAsia="en-US"/>
        </w:rPr>
        <w:t>ADVERSE EFFECTS</w:t>
      </w:r>
      <w:r w:rsidR="006123C4" w:rsidRPr="00BE78D8">
        <w:rPr>
          <w:rFonts w:eastAsiaTheme="minorHAnsi"/>
          <w:color w:val="auto"/>
          <w:szCs w:val="24"/>
          <w:lang w:val="en-US" w:eastAsia="en-US"/>
        </w:rPr>
        <w:t>)</w:t>
      </w:r>
      <w:r w:rsidRPr="00BE78D8">
        <w:rPr>
          <w:rFonts w:eastAsiaTheme="minorHAnsi"/>
          <w:color w:val="auto"/>
          <w:szCs w:val="24"/>
          <w:lang w:val="en-US" w:eastAsia="en-US"/>
        </w:rPr>
        <w:t>. Hepatic failure and acute hepatitis (</w:t>
      </w:r>
      <w:r w:rsidR="00386878">
        <w:rPr>
          <w:rFonts w:eastAsiaTheme="minorHAnsi"/>
          <w:color w:val="auto"/>
          <w:szCs w:val="24"/>
          <w:lang w:val="en-US" w:eastAsia="en-US"/>
        </w:rPr>
        <w:t xml:space="preserve">observed in </w:t>
      </w:r>
      <w:r w:rsidRPr="00BE78D8">
        <w:rPr>
          <w:rFonts w:eastAsiaTheme="minorHAnsi"/>
          <w:color w:val="auto"/>
          <w:szCs w:val="24"/>
          <w:lang w:val="en-US" w:eastAsia="en-US"/>
        </w:rPr>
        <w:t>&lt;1%</w:t>
      </w:r>
      <w:r w:rsidR="00386878">
        <w:rPr>
          <w:rFonts w:eastAsiaTheme="minorHAnsi"/>
          <w:color w:val="auto"/>
          <w:szCs w:val="24"/>
          <w:lang w:val="en-US" w:eastAsia="en-US"/>
        </w:rPr>
        <w:t xml:space="preserve"> of patients</w:t>
      </w:r>
      <w:r w:rsidR="006123C4">
        <w:rPr>
          <w:rFonts w:eastAsiaTheme="minorHAnsi"/>
          <w:color w:val="auto"/>
          <w:szCs w:val="24"/>
          <w:lang w:val="en-US" w:eastAsia="en-US"/>
        </w:rPr>
        <w:t>)</w:t>
      </w:r>
      <w:r w:rsidRPr="00BE78D8">
        <w:rPr>
          <w:rFonts w:eastAsiaTheme="minorHAnsi"/>
          <w:color w:val="auto"/>
          <w:szCs w:val="24"/>
          <w:lang w:val="en-US" w:eastAsia="en-US"/>
        </w:rPr>
        <w:t xml:space="preserve"> have been reported in patients treated</w:t>
      </w:r>
      <w:r w:rsidR="00240ADF">
        <w:rPr>
          <w:rFonts w:eastAsiaTheme="minorHAnsi"/>
          <w:color w:val="auto"/>
          <w:szCs w:val="24"/>
          <w:lang w:val="en-US" w:eastAsia="en-US"/>
        </w:rPr>
        <w:t xml:space="preserve"> </w:t>
      </w:r>
      <w:r w:rsidRPr="00BE78D8">
        <w:rPr>
          <w:rFonts w:eastAsiaTheme="minorHAnsi"/>
          <w:color w:val="auto"/>
          <w:szCs w:val="24"/>
          <w:lang w:val="en-US" w:eastAsia="en-US"/>
        </w:rPr>
        <w:t xml:space="preserve">with lenvatinib. The hepatic failure events were generally reported in patients with progressive liver metastases. Liver function tests should be monitored before initiation of treatment, then every 2 weeks for the first 2 months and monthly thereafter during treatment. In the case of hepatotoxicity, dose interruptions, adjustments, or discontinuation may be necessary </w:t>
      </w:r>
      <w:r w:rsidR="00240ADF" w:rsidRPr="00240ADF">
        <w:rPr>
          <w:rFonts w:eastAsiaTheme="minorHAnsi"/>
          <w:color w:val="auto"/>
          <w:szCs w:val="24"/>
          <w:lang w:val="en-US" w:eastAsia="en-US"/>
        </w:rPr>
        <w:t>(see DOSAGE AND ADMINISTRATION</w:t>
      </w:r>
      <w:r w:rsidRPr="00240ADF">
        <w:rPr>
          <w:rFonts w:eastAsiaTheme="minorHAnsi"/>
          <w:color w:val="auto"/>
          <w:szCs w:val="24"/>
          <w:lang w:val="en-US" w:eastAsia="en-US"/>
        </w:rPr>
        <w:t>).</w:t>
      </w:r>
    </w:p>
    <w:p w:rsidR="00342C7D" w:rsidRDefault="00342C7D" w:rsidP="00D712C4">
      <w:pPr>
        <w:autoSpaceDE w:val="0"/>
        <w:autoSpaceDN w:val="0"/>
        <w:adjustRightInd w:val="0"/>
        <w:rPr>
          <w:rFonts w:eastAsiaTheme="minorHAnsi"/>
          <w:color w:val="auto"/>
          <w:szCs w:val="24"/>
          <w:lang w:val="en-US" w:eastAsia="en-US"/>
        </w:rPr>
      </w:pPr>
    </w:p>
    <w:p w:rsidR="00342C7D" w:rsidRPr="00BE78D8" w:rsidRDefault="00342C7D" w:rsidP="00D712C4">
      <w:pPr>
        <w:autoSpaceDE w:val="0"/>
        <w:autoSpaceDN w:val="0"/>
        <w:adjustRightInd w:val="0"/>
        <w:rPr>
          <w:rFonts w:eastAsiaTheme="minorHAnsi"/>
          <w:color w:val="auto"/>
          <w:szCs w:val="24"/>
          <w:lang w:val="en-US" w:eastAsia="en-US"/>
        </w:rPr>
      </w:pPr>
      <w:r>
        <w:rPr>
          <w:rFonts w:eastAsiaTheme="minorHAnsi"/>
          <w:color w:val="auto"/>
          <w:szCs w:val="24"/>
          <w:lang w:val="en-US" w:eastAsia="en-US"/>
        </w:rPr>
        <w:t>If patients have severe hepatic impairment, the initial dose of lenvatinib should be adjusted (see DOSAGE and ADMINISTRATION)</w:t>
      </w:r>
    </w:p>
    <w:p w:rsidR="00D712C4" w:rsidRPr="00BE78D8" w:rsidRDefault="00D712C4" w:rsidP="00D712C4">
      <w:pPr>
        <w:autoSpaceDE w:val="0"/>
        <w:autoSpaceDN w:val="0"/>
        <w:adjustRightInd w:val="0"/>
        <w:rPr>
          <w:rFonts w:eastAsiaTheme="minorHAnsi"/>
          <w:color w:val="auto"/>
          <w:szCs w:val="24"/>
          <w:lang w:val="en-US" w:eastAsia="en-US"/>
        </w:rPr>
      </w:pPr>
    </w:p>
    <w:p w:rsidR="00D712C4" w:rsidRPr="00357B61" w:rsidRDefault="00D712C4" w:rsidP="009A1D5E">
      <w:pPr>
        <w:keepNext/>
        <w:autoSpaceDE w:val="0"/>
        <w:autoSpaceDN w:val="0"/>
        <w:adjustRightInd w:val="0"/>
        <w:rPr>
          <w:rFonts w:eastAsiaTheme="minorHAnsi"/>
          <w:color w:val="auto"/>
          <w:szCs w:val="24"/>
          <w:u w:val="single"/>
          <w:lang w:val="en-AU" w:eastAsia="en-US"/>
        </w:rPr>
      </w:pPr>
      <w:r w:rsidRPr="00357B61">
        <w:rPr>
          <w:rFonts w:eastAsiaTheme="minorHAnsi"/>
          <w:color w:val="auto"/>
          <w:szCs w:val="24"/>
          <w:u w:val="single"/>
          <w:lang w:val="en-AU" w:eastAsia="en-US"/>
        </w:rPr>
        <w:t>Haemorrhagic events</w:t>
      </w:r>
    </w:p>
    <w:p w:rsidR="00D712C4" w:rsidRPr="00357B61" w:rsidRDefault="00D712C4" w:rsidP="00D712C4">
      <w:pPr>
        <w:autoSpaceDE w:val="0"/>
        <w:autoSpaceDN w:val="0"/>
        <w:adjustRightInd w:val="0"/>
        <w:rPr>
          <w:rFonts w:eastAsiaTheme="minorHAnsi"/>
          <w:color w:val="auto"/>
          <w:szCs w:val="24"/>
          <w:lang w:val="en-AU" w:eastAsia="en-US"/>
        </w:rPr>
      </w:pPr>
    </w:p>
    <w:p w:rsidR="00D712C4" w:rsidRPr="00BE78D8" w:rsidRDefault="00D712C4" w:rsidP="00D712C4">
      <w:pPr>
        <w:autoSpaceDE w:val="0"/>
        <w:autoSpaceDN w:val="0"/>
        <w:adjustRightInd w:val="0"/>
        <w:rPr>
          <w:rFonts w:eastAsiaTheme="minorHAnsi"/>
          <w:color w:val="auto"/>
          <w:szCs w:val="24"/>
          <w:lang w:val="en-US" w:eastAsia="en-US"/>
        </w:rPr>
      </w:pPr>
      <w:r w:rsidRPr="00357B61">
        <w:rPr>
          <w:rFonts w:eastAsiaTheme="minorHAnsi"/>
          <w:color w:val="auto"/>
          <w:szCs w:val="24"/>
          <w:lang w:val="en-AU" w:eastAsia="en-US"/>
        </w:rPr>
        <w:t>Serious haemorrhagic events have been reported in patients treated wi</w:t>
      </w:r>
      <w:r w:rsidR="001641B7" w:rsidRPr="00357B61">
        <w:rPr>
          <w:rFonts w:eastAsiaTheme="minorHAnsi"/>
          <w:color w:val="auto"/>
          <w:szCs w:val="24"/>
          <w:lang w:val="en-AU" w:eastAsia="en-US"/>
        </w:rPr>
        <w:t xml:space="preserve">th lenvatinib (see section </w:t>
      </w:r>
      <w:r w:rsidR="003F755A" w:rsidRPr="00357B61">
        <w:rPr>
          <w:rFonts w:eastAsiaTheme="minorHAnsi"/>
          <w:color w:val="auto"/>
          <w:szCs w:val="24"/>
          <w:lang w:val="en-AU" w:eastAsia="en-US"/>
        </w:rPr>
        <w:t>ADVERSE EFFECTS, Selected Adverse Effects</w:t>
      </w:r>
      <w:r w:rsidRPr="00357B61">
        <w:rPr>
          <w:rFonts w:eastAsiaTheme="minorHAnsi"/>
          <w:color w:val="auto"/>
          <w:szCs w:val="24"/>
          <w:lang w:val="en-AU" w:eastAsia="en-US"/>
        </w:rPr>
        <w:t>).</w:t>
      </w:r>
      <w:r w:rsidR="00342C7D">
        <w:rPr>
          <w:rFonts w:eastAsiaTheme="minorHAnsi"/>
          <w:color w:val="auto"/>
          <w:szCs w:val="24"/>
          <w:lang w:val="en-AU" w:eastAsia="en-US"/>
        </w:rPr>
        <w:t xml:space="preserve">Cases of fatal intracranial haemorrhage </w:t>
      </w:r>
      <w:proofErr w:type="gramStart"/>
      <w:r w:rsidR="00342C7D">
        <w:rPr>
          <w:rFonts w:eastAsiaTheme="minorHAnsi"/>
          <w:color w:val="auto"/>
          <w:szCs w:val="24"/>
          <w:lang w:val="en-AU" w:eastAsia="en-US"/>
        </w:rPr>
        <w:t>have</w:t>
      </w:r>
      <w:proofErr w:type="gramEnd"/>
      <w:r w:rsidR="00342C7D">
        <w:rPr>
          <w:rFonts w:eastAsiaTheme="minorHAnsi"/>
          <w:color w:val="auto"/>
          <w:szCs w:val="24"/>
          <w:lang w:val="en-AU" w:eastAsia="en-US"/>
        </w:rPr>
        <w:t xml:space="preserve"> been reported in some patients with brain </w:t>
      </w:r>
      <w:r w:rsidR="008A7BEC">
        <w:rPr>
          <w:rFonts w:eastAsiaTheme="minorHAnsi"/>
          <w:color w:val="auto"/>
          <w:szCs w:val="24"/>
          <w:lang w:val="en-AU" w:eastAsia="en-US"/>
        </w:rPr>
        <w:t>metastases</w:t>
      </w:r>
      <w:r w:rsidR="00342C7D">
        <w:rPr>
          <w:rFonts w:eastAsiaTheme="minorHAnsi"/>
          <w:color w:val="auto"/>
          <w:szCs w:val="24"/>
          <w:lang w:val="en-AU" w:eastAsia="en-US"/>
        </w:rPr>
        <w:t xml:space="preserve">. </w:t>
      </w:r>
      <w:r w:rsidRPr="00BE78D8">
        <w:rPr>
          <w:rFonts w:eastAsiaTheme="minorHAnsi"/>
          <w:color w:val="auto"/>
          <w:szCs w:val="24"/>
          <w:lang w:val="en-US" w:eastAsia="en-US"/>
        </w:rPr>
        <w:t xml:space="preserve">. In the case of bleeding, dose interruptions, adjustments, or discontinuation may be necessary (see </w:t>
      </w:r>
      <w:r w:rsidR="00240ADF">
        <w:rPr>
          <w:rFonts w:eastAsiaTheme="minorHAnsi"/>
          <w:color w:val="auto"/>
          <w:szCs w:val="24"/>
          <w:lang w:val="en-US" w:eastAsia="en-US"/>
        </w:rPr>
        <w:t>DOSAGE AND ADMINISTRATION</w:t>
      </w:r>
      <w:r w:rsidRPr="00BE78D8">
        <w:rPr>
          <w:rFonts w:eastAsiaTheme="minorHAnsi"/>
          <w:color w:val="auto"/>
          <w:szCs w:val="24"/>
          <w:lang w:val="en-US" w:eastAsia="en-US"/>
        </w:rPr>
        <w:t>).</w:t>
      </w:r>
    </w:p>
    <w:p w:rsidR="00D712C4" w:rsidRPr="00BE78D8" w:rsidRDefault="00D712C4" w:rsidP="00D712C4">
      <w:pPr>
        <w:autoSpaceDE w:val="0"/>
        <w:autoSpaceDN w:val="0"/>
        <w:adjustRightInd w:val="0"/>
        <w:rPr>
          <w:rFonts w:eastAsiaTheme="minorHAnsi"/>
          <w:color w:val="auto"/>
          <w:szCs w:val="24"/>
          <w:lang w:val="en-US" w:eastAsia="en-US"/>
        </w:rPr>
      </w:pPr>
    </w:p>
    <w:p w:rsidR="00D712C4" w:rsidRPr="00BE78D8" w:rsidRDefault="00D712C4" w:rsidP="00D712C4">
      <w:pPr>
        <w:autoSpaceDE w:val="0"/>
        <w:autoSpaceDN w:val="0"/>
        <w:adjustRightInd w:val="0"/>
        <w:rPr>
          <w:rFonts w:eastAsiaTheme="minorHAnsi"/>
          <w:color w:val="auto"/>
          <w:szCs w:val="24"/>
          <w:u w:val="single"/>
          <w:lang w:val="en-US" w:eastAsia="en-US"/>
        </w:rPr>
      </w:pPr>
      <w:r w:rsidRPr="00BE78D8">
        <w:rPr>
          <w:rFonts w:eastAsiaTheme="minorHAnsi"/>
          <w:color w:val="auto"/>
          <w:szCs w:val="24"/>
          <w:u w:val="single"/>
          <w:lang w:val="en-US" w:eastAsia="en-US"/>
        </w:rPr>
        <w:t>Arterial thromboembolic events</w:t>
      </w:r>
    </w:p>
    <w:p w:rsidR="00D712C4" w:rsidRPr="00BE78D8" w:rsidRDefault="00D712C4" w:rsidP="00D712C4">
      <w:pPr>
        <w:autoSpaceDE w:val="0"/>
        <w:autoSpaceDN w:val="0"/>
        <w:adjustRightInd w:val="0"/>
        <w:rPr>
          <w:rFonts w:eastAsiaTheme="minorHAnsi"/>
          <w:color w:val="auto"/>
          <w:szCs w:val="24"/>
          <w:lang w:val="en-US" w:eastAsia="en-US"/>
        </w:rPr>
      </w:pPr>
    </w:p>
    <w:p w:rsidR="00D712C4" w:rsidRPr="00BE78D8" w:rsidRDefault="00D712C4" w:rsidP="00D712C4">
      <w:pPr>
        <w:autoSpaceDE w:val="0"/>
        <w:autoSpaceDN w:val="0"/>
        <w:adjustRightInd w:val="0"/>
        <w:rPr>
          <w:rFonts w:eastAsiaTheme="minorHAnsi"/>
          <w:color w:val="auto"/>
          <w:szCs w:val="24"/>
          <w:lang w:val="en-US" w:eastAsia="en-US"/>
        </w:rPr>
      </w:pPr>
      <w:r w:rsidRPr="00BE78D8">
        <w:rPr>
          <w:rFonts w:eastAsiaTheme="minorHAnsi"/>
          <w:color w:val="auto"/>
          <w:szCs w:val="24"/>
          <w:lang w:val="en-US" w:eastAsia="en-US"/>
        </w:rPr>
        <w:t>Arterial thromboembolic events (cerebrovascular accident, transient ischaemic attack, and myocardial</w:t>
      </w:r>
      <w:r w:rsidR="00F631CA">
        <w:rPr>
          <w:rFonts w:eastAsiaTheme="minorHAnsi"/>
          <w:color w:val="auto"/>
          <w:szCs w:val="24"/>
          <w:lang w:val="en-US" w:eastAsia="en-US"/>
        </w:rPr>
        <w:t xml:space="preserve"> </w:t>
      </w:r>
      <w:r w:rsidRPr="00BE78D8">
        <w:rPr>
          <w:rFonts w:eastAsiaTheme="minorHAnsi"/>
          <w:color w:val="auto"/>
          <w:szCs w:val="24"/>
          <w:lang w:val="en-US" w:eastAsia="en-US"/>
        </w:rPr>
        <w:t xml:space="preserve">infarction) have been reported in patients treated with lenvatinib (see </w:t>
      </w:r>
      <w:r w:rsidR="00240ADF">
        <w:rPr>
          <w:rFonts w:eastAsiaTheme="minorHAnsi"/>
          <w:color w:val="auto"/>
          <w:szCs w:val="24"/>
          <w:lang w:val="en-US" w:eastAsia="en-US"/>
        </w:rPr>
        <w:t>ADVERSE EFFECTS</w:t>
      </w:r>
      <w:r w:rsidRPr="00BE78D8">
        <w:rPr>
          <w:rFonts w:eastAsiaTheme="minorHAnsi"/>
          <w:color w:val="auto"/>
          <w:szCs w:val="24"/>
          <w:lang w:val="en-US" w:eastAsia="en-US"/>
        </w:rPr>
        <w:t>). Lenvatinib has not been studied in patients who have had an arterial thromboembolic event within the previous 6 months</w:t>
      </w:r>
      <w:r w:rsidR="00342C7D">
        <w:rPr>
          <w:rFonts w:eastAsiaTheme="minorHAnsi"/>
          <w:color w:val="auto"/>
          <w:szCs w:val="24"/>
          <w:lang w:val="en-US" w:eastAsia="en-US"/>
        </w:rPr>
        <w:t xml:space="preserve"> and therefore should be used with caution in such patients</w:t>
      </w:r>
      <w:r w:rsidR="00F505C8">
        <w:rPr>
          <w:rFonts w:eastAsiaTheme="minorHAnsi"/>
          <w:color w:val="auto"/>
          <w:szCs w:val="24"/>
          <w:lang w:val="en-US" w:eastAsia="en-US"/>
        </w:rPr>
        <w:t>. A treatment decision should be made based upon an assessment of the individual patient</w:t>
      </w:r>
      <w:r w:rsidR="008B1A90">
        <w:rPr>
          <w:rFonts w:eastAsiaTheme="minorHAnsi"/>
          <w:color w:val="auto"/>
          <w:szCs w:val="24"/>
          <w:lang w:val="en-US" w:eastAsia="en-US"/>
        </w:rPr>
        <w:t>’</w:t>
      </w:r>
      <w:r w:rsidR="00F505C8">
        <w:rPr>
          <w:rFonts w:eastAsiaTheme="minorHAnsi"/>
          <w:color w:val="auto"/>
          <w:szCs w:val="24"/>
          <w:lang w:val="en-US" w:eastAsia="en-US"/>
        </w:rPr>
        <w:t xml:space="preserve">s benefit/risk Lenvima should be discontinued following an arterial </w:t>
      </w:r>
      <w:r w:rsidR="008B1A90">
        <w:rPr>
          <w:rFonts w:eastAsiaTheme="minorHAnsi"/>
          <w:color w:val="auto"/>
          <w:szCs w:val="24"/>
          <w:lang w:val="en-US" w:eastAsia="en-US"/>
        </w:rPr>
        <w:t>thrombotic</w:t>
      </w:r>
      <w:r w:rsidR="00F505C8">
        <w:rPr>
          <w:rFonts w:eastAsiaTheme="minorHAnsi"/>
          <w:color w:val="auto"/>
          <w:szCs w:val="24"/>
          <w:lang w:val="en-US" w:eastAsia="en-US"/>
        </w:rPr>
        <w:t xml:space="preserve"> event.</w:t>
      </w:r>
    </w:p>
    <w:p w:rsidR="00EC4E77" w:rsidRDefault="00EC4E77" w:rsidP="00D712C4">
      <w:pPr>
        <w:autoSpaceDE w:val="0"/>
        <w:autoSpaceDN w:val="0"/>
        <w:adjustRightInd w:val="0"/>
        <w:rPr>
          <w:rFonts w:eastAsiaTheme="minorHAnsi"/>
          <w:color w:val="auto"/>
          <w:szCs w:val="24"/>
          <w:u w:val="single"/>
          <w:lang w:val="en-US" w:eastAsia="en-US"/>
        </w:rPr>
      </w:pPr>
    </w:p>
    <w:p w:rsidR="00D712C4" w:rsidRPr="00BE78D8" w:rsidRDefault="00D712C4" w:rsidP="00D712C4">
      <w:pPr>
        <w:autoSpaceDE w:val="0"/>
        <w:autoSpaceDN w:val="0"/>
        <w:adjustRightInd w:val="0"/>
        <w:rPr>
          <w:rFonts w:eastAsiaTheme="minorHAnsi"/>
          <w:color w:val="auto"/>
          <w:szCs w:val="24"/>
          <w:u w:val="single"/>
          <w:lang w:val="en-US" w:eastAsia="en-US"/>
        </w:rPr>
      </w:pPr>
      <w:r w:rsidRPr="00BE78D8">
        <w:rPr>
          <w:rFonts w:eastAsiaTheme="minorHAnsi"/>
          <w:color w:val="auto"/>
          <w:szCs w:val="24"/>
          <w:u w:val="single"/>
          <w:lang w:val="en-US" w:eastAsia="en-US"/>
        </w:rPr>
        <w:lastRenderedPageBreak/>
        <w:t>Gastrointestinal perforation and fistula formation</w:t>
      </w:r>
    </w:p>
    <w:p w:rsidR="00D712C4" w:rsidRPr="00BE78D8" w:rsidRDefault="00D712C4" w:rsidP="00D712C4">
      <w:pPr>
        <w:autoSpaceDE w:val="0"/>
        <w:autoSpaceDN w:val="0"/>
        <w:adjustRightInd w:val="0"/>
        <w:rPr>
          <w:rFonts w:eastAsiaTheme="minorHAnsi"/>
          <w:color w:val="auto"/>
          <w:szCs w:val="24"/>
          <w:lang w:val="en-US" w:eastAsia="en-US"/>
        </w:rPr>
      </w:pPr>
    </w:p>
    <w:p w:rsidR="00D712C4" w:rsidRPr="00BE78D8" w:rsidRDefault="00D712C4" w:rsidP="00D712C4">
      <w:pPr>
        <w:autoSpaceDE w:val="0"/>
        <w:autoSpaceDN w:val="0"/>
        <w:adjustRightInd w:val="0"/>
        <w:rPr>
          <w:rFonts w:eastAsiaTheme="minorHAnsi"/>
          <w:color w:val="auto"/>
          <w:szCs w:val="24"/>
          <w:lang w:val="en-US" w:eastAsia="en-US"/>
        </w:rPr>
      </w:pPr>
      <w:r w:rsidRPr="00BE78D8">
        <w:rPr>
          <w:rFonts w:eastAsiaTheme="minorHAnsi"/>
          <w:color w:val="auto"/>
          <w:szCs w:val="24"/>
          <w:lang w:val="en-US" w:eastAsia="en-US"/>
        </w:rPr>
        <w:t xml:space="preserve">Events of gastrointestinal perforation or fistula have been reported in patients treated with lenvatinib (see </w:t>
      </w:r>
      <w:r w:rsidR="00240ADF">
        <w:rPr>
          <w:rFonts w:eastAsiaTheme="minorHAnsi"/>
          <w:color w:val="auto"/>
          <w:szCs w:val="24"/>
          <w:lang w:val="en-US" w:eastAsia="en-US"/>
        </w:rPr>
        <w:t>ADVERSE EFFECTS</w:t>
      </w:r>
      <w:r w:rsidRPr="00BE78D8">
        <w:rPr>
          <w:rFonts w:eastAsiaTheme="minorHAnsi"/>
          <w:color w:val="auto"/>
          <w:szCs w:val="24"/>
          <w:lang w:val="en-US" w:eastAsia="en-US"/>
        </w:rPr>
        <w:t xml:space="preserve">). In most cases, gastrointestinal perforation and fistulae occurred in patients with risk factors such as prior surgery or radiotherapy. In the case of a gastrointestinal perforation or fistula, dose interruptions, adjustments, or discontinuation may be necessary (see </w:t>
      </w:r>
      <w:r w:rsidR="00240ADF">
        <w:rPr>
          <w:rFonts w:eastAsiaTheme="minorHAnsi"/>
          <w:color w:val="auto"/>
          <w:szCs w:val="24"/>
          <w:lang w:val="en-US" w:eastAsia="en-US"/>
        </w:rPr>
        <w:t>DOSAGE AND ADMINISTRATION</w:t>
      </w:r>
      <w:r w:rsidRPr="00BE78D8">
        <w:rPr>
          <w:rFonts w:eastAsiaTheme="minorHAnsi"/>
          <w:color w:val="auto"/>
          <w:szCs w:val="24"/>
          <w:lang w:val="en-US" w:eastAsia="en-US"/>
        </w:rPr>
        <w:t>).</w:t>
      </w:r>
    </w:p>
    <w:p w:rsidR="00D712C4" w:rsidRPr="00BE78D8" w:rsidRDefault="00D712C4" w:rsidP="00D712C4">
      <w:pPr>
        <w:autoSpaceDE w:val="0"/>
        <w:autoSpaceDN w:val="0"/>
        <w:adjustRightInd w:val="0"/>
        <w:rPr>
          <w:rFonts w:eastAsiaTheme="minorHAnsi"/>
          <w:color w:val="auto"/>
          <w:szCs w:val="24"/>
          <w:lang w:val="en-US" w:eastAsia="en-US"/>
        </w:rPr>
      </w:pPr>
    </w:p>
    <w:p w:rsidR="00D712C4" w:rsidRPr="00BE78D8" w:rsidRDefault="00D712C4" w:rsidP="00D712C4">
      <w:pPr>
        <w:autoSpaceDE w:val="0"/>
        <w:autoSpaceDN w:val="0"/>
        <w:adjustRightInd w:val="0"/>
        <w:rPr>
          <w:rFonts w:eastAsiaTheme="minorHAnsi"/>
          <w:color w:val="auto"/>
          <w:szCs w:val="24"/>
          <w:u w:val="single"/>
          <w:lang w:val="en-US" w:eastAsia="en-US"/>
        </w:rPr>
      </w:pPr>
      <w:r w:rsidRPr="00BE78D8">
        <w:rPr>
          <w:rFonts w:eastAsiaTheme="minorHAnsi"/>
          <w:color w:val="auto"/>
          <w:szCs w:val="24"/>
          <w:u w:val="single"/>
          <w:lang w:val="en-US" w:eastAsia="en-US"/>
        </w:rPr>
        <w:t>QT interval prolongation</w:t>
      </w:r>
    </w:p>
    <w:p w:rsidR="00D712C4" w:rsidRPr="00BE78D8" w:rsidRDefault="00D712C4" w:rsidP="00D712C4">
      <w:pPr>
        <w:autoSpaceDE w:val="0"/>
        <w:autoSpaceDN w:val="0"/>
        <w:adjustRightInd w:val="0"/>
        <w:rPr>
          <w:rFonts w:eastAsiaTheme="minorHAnsi"/>
          <w:color w:val="auto"/>
          <w:szCs w:val="24"/>
          <w:lang w:val="en-US" w:eastAsia="en-US"/>
        </w:rPr>
      </w:pPr>
    </w:p>
    <w:p w:rsidR="00D712C4" w:rsidRPr="00BE78D8" w:rsidRDefault="00D712C4" w:rsidP="00D712C4">
      <w:pPr>
        <w:autoSpaceDE w:val="0"/>
        <w:autoSpaceDN w:val="0"/>
        <w:adjustRightInd w:val="0"/>
        <w:rPr>
          <w:rFonts w:eastAsiaTheme="minorHAnsi"/>
          <w:color w:val="auto"/>
          <w:szCs w:val="24"/>
          <w:lang w:val="en-US" w:eastAsia="en-US"/>
        </w:rPr>
      </w:pPr>
      <w:r w:rsidRPr="00BE78D8">
        <w:rPr>
          <w:rFonts w:eastAsiaTheme="minorHAnsi"/>
          <w:color w:val="auto"/>
          <w:szCs w:val="24"/>
          <w:lang w:val="en-US" w:eastAsia="en-US"/>
        </w:rPr>
        <w:t xml:space="preserve">The effect of a single 32-mg dose of lenvatinib on the QT/QTc interval was evaluated in a thorough QT study in healthy subjects. In this study lenvatinib did not prolong the QT/QTc interval. QT/QTc interval prolongation has been reported at a higher incidence in patients treated with lenvatinib than in patients treated with placebo (see </w:t>
      </w:r>
      <w:r w:rsidR="00240ADF">
        <w:rPr>
          <w:rFonts w:eastAsiaTheme="minorHAnsi"/>
          <w:color w:val="auto"/>
          <w:szCs w:val="24"/>
          <w:lang w:val="en-US" w:eastAsia="en-US"/>
        </w:rPr>
        <w:t>ADVERSE EFFECTS</w:t>
      </w:r>
      <w:r w:rsidRPr="00BE78D8">
        <w:rPr>
          <w:rFonts w:eastAsiaTheme="minorHAnsi"/>
          <w:color w:val="auto"/>
          <w:szCs w:val="24"/>
          <w:lang w:val="en-US" w:eastAsia="en-US"/>
        </w:rPr>
        <w:t xml:space="preserve">). Electrocardiograms should be monitored in patients with </w:t>
      </w:r>
      <w:r w:rsidR="00071E07">
        <w:rPr>
          <w:rFonts w:eastAsiaTheme="minorHAnsi"/>
          <w:color w:val="auto"/>
          <w:szCs w:val="24"/>
          <w:lang w:val="en-US" w:eastAsia="en-US"/>
        </w:rPr>
        <w:t xml:space="preserve">a special attention for those with </w:t>
      </w:r>
      <w:r w:rsidRPr="00BE78D8">
        <w:rPr>
          <w:rFonts w:eastAsiaTheme="minorHAnsi"/>
          <w:color w:val="auto"/>
          <w:szCs w:val="24"/>
          <w:lang w:val="en-US" w:eastAsia="en-US"/>
        </w:rPr>
        <w:t>congenital</w:t>
      </w:r>
      <w:r w:rsidR="00240ADF">
        <w:rPr>
          <w:rFonts w:eastAsiaTheme="minorHAnsi"/>
          <w:color w:val="auto"/>
          <w:szCs w:val="24"/>
          <w:lang w:val="en-US" w:eastAsia="en-US"/>
        </w:rPr>
        <w:t xml:space="preserve"> </w:t>
      </w:r>
      <w:r w:rsidRPr="00BE78D8">
        <w:rPr>
          <w:rFonts w:eastAsiaTheme="minorHAnsi"/>
          <w:color w:val="auto"/>
          <w:szCs w:val="24"/>
          <w:lang w:val="en-US" w:eastAsia="en-US"/>
        </w:rPr>
        <w:t xml:space="preserve">long QT syndrome, congestive heart failure, bradyarrhythmias, and those taking drugs known to prolong the QT interval, including Class </w:t>
      </w:r>
      <w:proofErr w:type="gramStart"/>
      <w:r w:rsidRPr="00BE78D8">
        <w:rPr>
          <w:rFonts w:eastAsiaTheme="minorHAnsi"/>
          <w:color w:val="auto"/>
          <w:szCs w:val="24"/>
          <w:lang w:val="en-US" w:eastAsia="en-US"/>
        </w:rPr>
        <w:t>Ia</w:t>
      </w:r>
      <w:proofErr w:type="gramEnd"/>
      <w:r w:rsidRPr="00BE78D8">
        <w:rPr>
          <w:rFonts w:eastAsiaTheme="minorHAnsi"/>
          <w:color w:val="auto"/>
          <w:szCs w:val="24"/>
          <w:lang w:val="en-US" w:eastAsia="en-US"/>
        </w:rPr>
        <w:t xml:space="preserve"> and III antiarrhythmics. Electrolyte </w:t>
      </w:r>
      <w:r w:rsidR="00071E07">
        <w:rPr>
          <w:rFonts w:eastAsiaTheme="minorHAnsi"/>
          <w:color w:val="auto"/>
          <w:szCs w:val="24"/>
          <w:lang w:val="en-US" w:eastAsia="en-US"/>
        </w:rPr>
        <w:t xml:space="preserve">disturbances such as hypokalaemia, hypocalcaemia, or hypomagnesaemia increase the risk of QT </w:t>
      </w:r>
      <w:proofErr w:type="gramStart"/>
      <w:r w:rsidR="00071E07">
        <w:rPr>
          <w:rFonts w:eastAsiaTheme="minorHAnsi"/>
          <w:color w:val="auto"/>
          <w:szCs w:val="24"/>
          <w:lang w:val="en-US" w:eastAsia="en-US"/>
        </w:rPr>
        <w:t>prolongation,</w:t>
      </w:r>
      <w:proofErr w:type="gramEnd"/>
      <w:r w:rsidR="00071E07">
        <w:rPr>
          <w:rFonts w:eastAsiaTheme="minorHAnsi"/>
          <w:color w:val="auto"/>
          <w:szCs w:val="24"/>
          <w:lang w:val="en-US" w:eastAsia="en-US"/>
        </w:rPr>
        <w:t xml:space="preserve"> therefore electrolyte abnormalities</w:t>
      </w:r>
      <w:r w:rsidR="00071E07" w:rsidRPr="00BE78D8">
        <w:rPr>
          <w:rFonts w:eastAsiaTheme="minorHAnsi"/>
          <w:color w:val="auto"/>
          <w:szCs w:val="24"/>
          <w:lang w:val="en-US" w:eastAsia="en-US"/>
        </w:rPr>
        <w:t xml:space="preserve"> </w:t>
      </w:r>
      <w:r w:rsidRPr="00BE78D8">
        <w:rPr>
          <w:rFonts w:eastAsiaTheme="minorHAnsi"/>
          <w:color w:val="auto"/>
          <w:szCs w:val="24"/>
          <w:lang w:val="en-US" w:eastAsia="en-US"/>
        </w:rPr>
        <w:t>should be monitored and corrected in all patients</w:t>
      </w:r>
      <w:r w:rsidR="00071E07">
        <w:rPr>
          <w:rFonts w:eastAsiaTheme="minorHAnsi"/>
          <w:color w:val="auto"/>
          <w:szCs w:val="24"/>
          <w:lang w:val="en-US" w:eastAsia="en-US"/>
        </w:rPr>
        <w:t xml:space="preserve"> before starting treatment. Periodic monitoring of ECG and electrolytes (magnesium, potassium and calcium) should be considered during treatment.</w:t>
      </w:r>
    </w:p>
    <w:p w:rsidR="00C6307C" w:rsidRDefault="00C6307C" w:rsidP="00D712C4">
      <w:pPr>
        <w:autoSpaceDE w:val="0"/>
        <w:autoSpaceDN w:val="0"/>
        <w:adjustRightInd w:val="0"/>
        <w:rPr>
          <w:rFonts w:eastAsiaTheme="minorHAnsi"/>
          <w:color w:val="auto"/>
          <w:szCs w:val="24"/>
          <w:lang w:val="en-US" w:eastAsia="en-US"/>
        </w:rPr>
      </w:pPr>
    </w:p>
    <w:p w:rsidR="00386878" w:rsidRPr="002F2CF9" w:rsidRDefault="00386878" w:rsidP="009A1D5E">
      <w:pPr>
        <w:keepNext/>
        <w:autoSpaceDE w:val="0"/>
        <w:autoSpaceDN w:val="0"/>
        <w:adjustRightInd w:val="0"/>
        <w:rPr>
          <w:rFonts w:eastAsiaTheme="minorHAnsi"/>
          <w:color w:val="auto"/>
          <w:szCs w:val="24"/>
          <w:u w:val="single"/>
          <w:lang w:val="en-US" w:eastAsia="en-US"/>
        </w:rPr>
      </w:pPr>
      <w:r w:rsidRPr="002F2CF9">
        <w:rPr>
          <w:rFonts w:eastAsiaTheme="minorHAnsi"/>
          <w:color w:val="auto"/>
          <w:szCs w:val="24"/>
          <w:u w:val="single"/>
          <w:lang w:val="en-US" w:eastAsia="en-US"/>
        </w:rPr>
        <w:t>Hypocalcaemia</w:t>
      </w:r>
    </w:p>
    <w:p w:rsidR="00386878" w:rsidRPr="00386878" w:rsidRDefault="00386878" w:rsidP="009A1D5E">
      <w:pPr>
        <w:keepNext/>
        <w:autoSpaceDE w:val="0"/>
        <w:autoSpaceDN w:val="0"/>
        <w:adjustRightInd w:val="0"/>
        <w:rPr>
          <w:rFonts w:eastAsiaTheme="minorHAnsi"/>
          <w:color w:val="auto"/>
          <w:szCs w:val="24"/>
          <w:lang w:val="en-US" w:eastAsia="en-US"/>
        </w:rPr>
      </w:pPr>
    </w:p>
    <w:p w:rsidR="00386878" w:rsidRDefault="00386878" w:rsidP="00386878">
      <w:pPr>
        <w:autoSpaceDE w:val="0"/>
        <w:autoSpaceDN w:val="0"/>
        <w:adjustRightInd w:val="0"/>
        <w:rPr>
          <w:rFonts w:eastAsiaTheme="minorHAnsi"/>
          <w:color w:val="auto"/>
          <w:szCs w:val="24"/>
          <w:lang w:val="en-US" w:eastAsia="en-US"/>
        </w:rPr>
      </w:pPr>
      <w:r>
        <w:rPr>
          <w:rFonts w:eastAsiaTheme="minorHAnsi"/>
          <w:color w:val="auto"/>
          <w:szCs w:val="24"/>
          <w:lang w:val="en-US" w:eastAsia="en-US"/>
        </w:rPr>
        <w:t>Hypocalcaemia was observed in patients taking LENVIMA during clinical studies</w:t>
      </w:r>
      <w:r w:rsidRPr="00386878">
        <w:rPr>
          <w:rFonts w:eastAsiaTheme="minorHAnsi"/>
          <w:color w:val="auto"/>
          <w:szCs w:val="24"/>
          <w:lang w:val="en-US" w:eastAsia="en-US"/>
        </w:rPr>
        <w:t xml:space="preserve"> (see ADVERSE EFFECTS)</w:t>
      </w:r>
      <w:r>
        <w:rPr>
          <w:rFonts w:eastAsiaTheme="minorHAnsi"/>
          <w:color w:val="auto"/>
          <w:szCs w:val="24"/>
          <w:lang w:val="en-US" w:eastAsia="en-US"/>
        </w:rPr>
        <w:t>. C</w:t>
      </w:r>
      <w:r w:rsidRPr="00386878">
        <w:rPr>
          <w:rFonts w:eastAsiaTheme="minorHAnsi"/>
          <w:color w:val="auto"/>
          <w:szCs w:val="24"/>
          <w:lang w:val="en-US" w:eastAsia="en-US"/>
        </w:rPr>
        <w:t>lose monitoring of bloo</w:t>
      </w:r>
      <w:r>
        <w:rPr>
          <w:rFonts w:eastAsiaTheme="minorHAnsi"/>
          <w:color w:val="auto"/>
          <w:szCs w:val="24"/>
          <w:lang w:val="en-US" w:eastAsia="en-US"/>
        </w:rPr>
        <w:t>d calcium level is recommended.</w:t>
      </w:r>
    </w:p>
    <w:p w:rsidR="00386878" w:rsidRDefault="00386878" w:rsidP="00386878">
      <w:pPr>
        <w:autoSpaceDE w:val="0"/>
        <w:autoSpaceDN w:val="0"/>
        <w:adjustRightInd w:val="0"/>
        <w:rPr>
          <w:rFonts w:eastAsiaTheme="minorHAnsi"/>
          <w:color w:val="auto"/>
          <w:szCs w:val="24"/>
          <w:lang w:val="en-US" w:eastAsia="en-US"/>
        </w:rPr>
      </w:pPr>
    </w:p>
    <w:p w:rsidR="0087779B" w:rsidRPr="004D4EB9" w:rsidRDefault="0087779B" w:rsidP="00D712C4">
      <w:pPr>
        <w:autoSpaceDE w:val="0"/>
        <w:autoSpaceDN w:val="0"/>
        <w:adjustRightInd w:val="0"/>
        <w:rPr>
          <w:rFonts w:eastAsiaTheme="minorHAnsi"/>
          <w:color w:val="auto"/>
          <w:szCs w:val="24"/>
          <w:u w:val="single"/>
          <w:lang w:val="en-US" w:eastAsia="en-US"/>
        </w:rPr>
      </w:pPr>
      <w:r w:rsidRPr="004D4EB9">
        <w:rPr>
          <w:rFonts w:eastAsiaTheme="minorHAnsi"/>
          <w:color w:val="auto"/>
          <w:szCs w:val="24"/>
          <w:u w:val="single"/>
          <w:lang w:val="en-US" w:eastAsia="en-US"/>
        </w:rPr>
        <w:t>Impairment of thyroid stimulating hormone suppression</w:t>
      </w:r>
    </w:p>
    <w:p w:rsidR="00BA1B54" w:rsidRDefault="00BA1B54" w:rsidP="00D712C4">
      <w:pPr>
        <w:autoSpaceDE w:val="0"/>
        <w:autoSpaceDN w:val="0"/>
        <w:adjustRightInd w:val="0"/>
        <w:rPr>
          <w:rFonts w:eastAsiaTheme="minorHAnsi"/>
          <w:color w:val="auto"/>
          <w:szCs w:val="24"/>
          <w:lang w:val="en-US" w:eastAsia="en-US"/>
        </w:rPr>
      </w:pPr>
    </w:p>
    <w:p w:rsidR="0087779B" w:rsidRDefault="0087779B" w:rsidP="00D712C4">
      <w:pPr>
        <w:autoSpaceDE w:val="0"/>
        <w:autoSpaceDN w:val="0"/>
        <w:adjustRightInd w:val="0"/>
        <w:rPr>
          <w:rFonts w:eastAsiaTheme="minorHAnsi"/>
          <w:color w:val="auto"/>
          <w:szCs w:val="24"/>
          <w:lang w:val="en-US" w:eastAsia="en-US"/>
        </w:rPr>
      </w:pPr>
      <w:r w:rsidRPr="0087779B">
        <w:rPr>
          <w:rFonts w:eastAsiaTheme="minorHAnsi"/>
          <w:color w:val="auto"/>
          <w:szCs w:val="24"/>
          <w:lang w:val="en-US" w:eastAsia="en-US"/>
        </w:rPr>
        <w:t>Lenvatinib impairs exogenous thyroid suppression (</w:t>
      </w:r>
      <w:r>
        <w:rPr>
          <w:rFonts w:eastAsiaTheme="minorHAnsi"/>
          <w:color w:val="auto"/>
          <w:szCs w:val="24"/>
          <w:lang w:val="en-US" w:eastAsia="en-US"/>
        </w:rPr>
        <w:t>see ADVERSE EFFECTS</w:t>
      </w:r>
      <w:r w:rsidRPr="0087779B">
        <w:rPr>
          <w:rFonts w:eastAsiaTheme="minorHAnsi"/>
          <w:color w:val="auto"/>
          <w:szCs w:val="24"/>
          <w:lang w:val="en-US" w:eastAsia="en-US"/>
        </w:rPr>
        <w:t>). Thyroid stimulating hormone (TSH) levels should be monitored on a regular basis and thyroid hormone administration should be adjusted to reach appropriate TSH levels, according to the patient's therapeutic target.</w:t>
      </w:r>
    </w:p>
    <w:p w:rsidR="00386878" w:rsidRDefault="00386878" w:rsidP="00D712C4">
      <w:pPr>
        <w:autoSpaceDE w:val="0"/>
        <w:autoSpaceDN w:val="0"/>
        <w:adjustRightInd w:val="0"/>
        <w:rPr>
          <w:rFonts w:eastAsiaTheme="minorHAnsi"/>
          <w:color w:val="auto"/>
          <w:szCs w:val="24"/>
          <w:lang w:val="en-US" w:eastAsia="en-US"/>
        </w:rPr>
      </w:pPr>
    </w:p>
    <w:p w:rsidR="0087779B" w:rsidRPr="00BE78D8" w:rsidRDefault="0087779B" w:rsidP="00D712C4">
      <w:pPr>
        <w:autoSpaceDE w:val="0"/>
        <w:autoSpaceDN w:val="0"/>
        <w:adjustRightInd w:val="0"/>
        <w:rPr>
          <w:rFonts w:eastAsiaTheme="minorHAnsi"/>
          <w:color w:val="auto"/>
          <w:szCs w:val="24"/>
          <w:lang w:val="en-US" w:eastAsia="en-US"/>
        </w:rPr>
      </w:pPr>
    </w:p>
    <w:p w:rsidR="006135FD" w:rsidRDefault="006135FD" w:rsidP="00D712C4">
      <w:pPr>
        <w:autoSpaceDE w:val="0"/>
        <w:autoSpaceDN w:val="0"/>
        <w:adjustRightInd w:val="0"/>
        <w:rPr>
          <w:rFonts w:eastAsiaTheme="minorHAnsi"/>
          <w:b/>
          <w:color w:val="auto"/>
          <w:szCs w:val="24"/>
          <w:lang w:val="en-US" w:eastAsia="en-US"/>
        </w:rPr>
      </w:pPr>
      <w:r>
        <w:rPr>
          <w:rFonts w:eastAsiaTheme="minorHAnsi"/>
          <w:b/>
          <w:color w:val="auto"/>
          <w:szCs w:val="24"/>
          <w:lang w:val="en-US" w:eastAsia="en-US"/>
        </w:rPr>
        <w:t>Special Populations</w:t>
      </w:r>
    </w:p>
    <w:p w:rsidR="00BA1B54" w:rsidRDefault="00BA1B54" w:rsidP="00D712C4">
      <w:pPr>
        <w:autoSpaceDE w:val="0"/>
        <w:autoSpaceDN w:val="0"/>
        <w:adjustRightInd w:val="0"/>
        <w:rPr>
          <w:rFonts w:eastAsiaTheme="minorHAnsi"/>
          <w:b/>
          <w:color w:val="auto"/>
          <w:szCs w:val="24"/>
          <w:lang w:val="en-US" w:eastAsia="en-US"/>
        </w:rPr>
      </w:pPr>
    </w:p>
    <w:p w:rsidR="006135FD" w:rsidRDefault="00527492" w:rsidP="006135FD">
      <w:pPr>
        <w:autoSpaceDE w:val="0"/>
        <w:autoSpaceDN w:val="0"/>
        <w:adjustRightInd w:val="0"/>
        <w:rPr>
          <w:rFonts w:eastAsiaTheme="minorHAnsi"/>
          <w:color w:val="auto"/>
          <w:szCs w:val="24"/>
          <w:lang w:val="en-US" w:eastAsia="en-US"/>
        </w:rPr>
      </w:pPr>
      <w:r w:rsidRPr="004D4EB9">
        <w:rPr>
          <w:rFonts w:eastAsiaTheme="minorHAnsi"/>
          <w:color w:val="auto"/>
          <w:szCs w:val="24"/>
          <w:lang w:val="en-US" w:eastAsia="en-US"/>
        </w:rPr>
        <w:t xml:space="preserve">Limited data are available for patients of ethnic origin other than Caucasian or Asian, and in patients aged ≥75 years. Lenvatinib should be used with caution in such patients, given the reduced tolerability of lenvatinib in Asian and elderly patients (see </w:t>
      </w:r>
      <w:r w:rsidR="0087779B">
        <w:rPr>
          <w:rFonts w:eastAsiaTheme="minorHAnsi"/>
          <w:color w:val="auto"/>
          <w:szCs w:val="24"/>
          <w:lang w:val="en-US" w:eastAsia="en-US"/>
        </w:rPr>
        <w:t>ADVERSE EFFECTS</w:t>
      </w:r>
      <w:r w:rsidRPr="004D4EB9">
        <w:rPr>
          <w:rFonts w:eastAsiaTheme="minorHAnsi"/>
          <w:color w:val="auto"/>
          <w:szCs w:val="24"/>
          <w:lang w:val="en-US" w:eastAsia="en-US"/>
        </w:rPr>
        <w:t>).</w:t>
      </w:r>
    </w:p>
    <w:p w:rsidR="005132D1" w:rsidRPr="004D4EB9" w:rsidRDefault="005132D1" w:rsidP="006135FD">
      <w:pPr>
        <w:autoSpaceDE w:val="0"/>
        <w:autoSpaceDN w:val="0"/>
        <w:adjustRightInd w:val="0"/>
        <w:rPr>
          <w:rFonts w:eastAsiaTheme="minorHAnsi"/>
          <w:color w:val="auto"/>
          <w:szCs w:val="24"/>
          <w:lang w:val="en-US" w:eastAsia="en-US"/>
        </w:rPr>
      </w:pPr>
    </w:p>
    <w:p w:rsidR="006135FD" w:rsidRPr="004D4EB9" w:rsidRDefault="00527492" w:rsidP="006135FD">
      <w:pPr>
        <w:autoSpaceDE w:val="0"/>
        <w:autoSpaceDN w:val="0"/>
        <w:adjustRightInd w:val="0"/>
        <w:rPr>
          <w:rFonts w:eastAsiaTheme="minorHAnsi"/>
          <w:color w:val="auto"/>
          <w:szCs w:val="24"/>
          <w:lang w:val="en-US" w:eastAsia="en-US"/>
        </w:rPr>
      </w:pPr>
      <w:r w:rsidRPr="004D4EB9">
        <w:rPr>
          <w:rFonts w:eastAsiaTheme="minorHAnsi"/>
          <w:color w:val="auto"/>
          <w:szCs w:val="24"/>
          <w:lang w:val="en-US" w:eastAsia="en-US"/>
        </w:rPr>
        <w:t>There are no data on the use of lenvatinib immediately following sorafenib or other anticancer treatments and there may be a potential risk for additive toxicities unless there is an adequate washout period between treatments. The minimal washout period in clinical trials was of 4 weeks.</w:t>
      </w:r>
    </w:p>
    <w:p w:rsidR="006135FD" w:rsidRDefault="006135FD" w:rsidP="00D712C4">
      <w:pPr>
        <w:autoSpaceDE w:val="0"/>
        <w:autoSpaceDN w:val="0"/>
        <w:adjustRightInd w:val="0"/>
        <w:rPr>
          <w:rFonts w:eastAsiaTheme="minorHAnsi"/>
          <w:b/>
          <w:color w:val="auto"/>
          <w:szCs w:val="24"/>
          <w:lang w:val="en-US" w:eastAsia="en-US"/>
        </w:rPr>
      </w:pPr>
    </w:p>
    <w:p w:rsidR="00303B57" w:rsidRPr="00BE78D8" w:rsidRDefault="00303B57" w:rsidP="00303B57">
      <w:pPr>
        <w:keepNext/>
        <w:autoSpaceDE w:val="0"/>
        <w:autoSpaceDN w:val="0"/>
        <w:adjustRightInd w:val="0"/>
        <w:rPr>
          <w:rFonts w:eastAsiaTheme="minorHAnsi"/>
          <w:b/>
          <w:color w:val="auto"/>
          <w:szCs w:val="24"/>
          <w:lang w:val="en-US" w:eastAsia="en-US"/>
        </w:rPr>
      </w:pPr>
      <w:r w:rsidRPr="00BE78D8">
        <w:rPr>
          <w:rFonts w:eastAsiaTheme="minorHAnsi"/>
          <w:b/>
          <w:color w:val="auto"/>
          <w:szCs w:val="24"/>
          <w:lang w:val="en-US" w:eastAsia="en-US"/>
        </w:rPr>
        <w:t>Effects on Fertility</w:t>
      </w:r>
    </w:p>
    <w:p w:rsidR="00303B57" w:rsidRPr="00BE78D8" w:rsidRDefault="00303B57" w:rsidP="00303B57">
      <w:pPr>
        <w:autoSpaceDE w:val="0"/>
        <w:autoSpaceDN w:val="0"/>
        <w:adjustRightInd w:val="0"/>
        <w:rPr>
          <w:rFonts w:eastAsiaTheme="minorHAnsi"/>
          <w:b/>
          <w:color w:val="auto"/>
          <w:szCs w:val="24"/>
          <w:lang w:val="en-US" w:eastAsia="en-US"/>
        </w:rPr>
      </w:pPr>
    </w:p>
    <w:p w:rsidR="00303B57" w:rsidRDefault="00303B57" w:rsidP="00303B57">
      <w:pPr>
        <w:autoSpaceDE w:val="0"/>
        <w:autoSpaceDN w:val="0"/>
        <w:adjustRightInd w:val="0"/>
        <w:rPr>
          <w:rFonts w:eastAsiaTheme="minorHAnsi"/>
          <w:color w:val="auto"/>
          <w:szCs w:val="24"/>
          <w:lang w:val="en-US" w:eastAsia="en-US"/>
        </w:rPr>
      </w:pPr>
      <w:r w:rsidRPr="00BE78D8">
        <w:rPr>
          <w:rFonts w:eastAsiaTheme="minorHAnsi"/>
          <w:color w:val="auto"/>
          <w:szCs w:val="24"/>
          <w:lang w:val="en-US" w:eastAsia="en-US"/>
        </w:rPr>
        <w:lastRenderedPageBreak/>
        <w:t xml:space="preserve">Effects in humans are unknown. However, testicular and ovarian toxicity has been observed in rats, dogs, and monkeys. </w:t>
      </w:r>
    </w:p>
    <w:p w:rsidR="00303B57" w:rsidRDefault="00303B57" w:rsidP="00303B57">
      <w:pPr>
        <w:autoSpaceDE w:val="0"/>
        <w:autoSpaceDN w:val="0"/>
        <w:adjustRightInd w:val="0"/>
        <w:rPr>
          <w:rFonts w:eastAsiaTheme="minorHAnsi"/>
          <w:color w:val="auto"/>
          <w:szCs w:val="24"/>
          <w:lang w:val="en-US" w:eastAsia="en-US"/>
        </w:rPr>
      </w:pPr>
    </w:p>
    <w:p w:rsidR="00303B57" w:rsidRPr="00BE78D8" w:rsidRDefault="00303B57" w:rsidP="00303B57">
      <w:pPr>
        <w:autoSpaceDE w:val="0"/>
        <w:autoSpaceDN w:val="0"/>
        <w:adjustRightInd w:val="0"/>
        <w:rPr>
          <w:rFonts w:eastAsiaTheme="minorHAnsi"/>
          <w:color w:val="auto"/>
          <w:szCs w:val="24"/>
          <w:lang w:val="en-US" w:eastAsia="en-US"/>
        </w:rPr>
      </w:pPr>
      <w:r w:rsidRPr="00BE78D8">
        <w:rPr>
          <w:rFonts w:eastAsiaTheme="minorHAnsi"/>
          <w:color w:val="auto"/>
          <w:szCs w:val="24"/>
          <w:lang w:val="en-US" w:eastAsia="en-US"/>
        </w:rPr>
        <w:t>No specific studies with lenvatinib have been conducted in animals to evaluate the effect on fertility.</w:t>
      </w:r>
      <w:r>
        <w:rPr>
          <w:rFonts w:eastAsiaTheme="minorHAnsi"/>
          <w:color w:val="auto"/>
          <w:szCs w:val="24"/>
          <w:lang w:val="en-US" w:eastAsia="en-US"/>
        </w:rPr>
        <w:t xml:space="preserve"> </w:t>
      </w:r>
      <w:r w:rsidRPr="00BE78D8">
        <w:rPr>
          <w:rFonts w:eastAsiaTheme="minorHAnsi"/>
          <w:color w:val="auto"/>
          <w:szCs w:val="24"/>
          <w:lang w:val="en-US" w:eastAsia="en-US"/>
        </w:rPr>
        <w:t xml:space="preserve">However, testicular and ovarian changes were observed in repeated-dose toxicity studies in animals at exposures </w:t>
      </w:r>
      <w:r>
        <w:rPr>
          <w:rFonts w:eastAsiaTheme="minorHAnsi"/>
          <w:color w:val="auto"/>
          <w:szCs w:val="24"/>
          <w:lang w:val="en-US" w:eastAsia="en-US"/>
        </w:rPr>
        <w:t>11 to 15 times (rat) or 0.6 to 7 times (monkey)</w:t>
      </w:r>
      <w:r w:rsidRPr="00BE78D8">
        <w:rPr>
          <w:rFonts w:eastAsiaTheme="minorHAnsi"/>
          <w:color w:val="auto"/>
          <w:szCs w:val="24"/>
          <w:lang w:val="en-US" w:eastAsia="en-US"/>
        </w:rPr>
        <w:t xml:space="preserve"> the anticipated clinical exposure (based on AUC) at the maximum </w:t>
      </w:r>
      <w:r>
        <w:rPr>
          <w:rFonts w:eastAsiaTheme="minorHAnsi"/>
          <w:color w:val="auto"/>
          <w:szCs w:val="24"/>
          <w:lang w:val="en-US" w:eastAsia="en-US"/>
        </w:rPr>
        <w:t xml:space="preserve">tolerated </w:t>
      </w:r>
      <w:r w:rsidRPr="00BE78D8">
        <w:rPr>
          <w:rFonts w:eastAsiaTheme="minorHAnsi"/>
          <w:color w:val="auto"/>
          <w:szCs w:val="24"/>
          <w:lang w:val="en-US" w:eastAsia="en-US"/>
        </w:rPr>
        <w:t>human dose.</w:t>
      </w:r>
      <w:r>
        <w:rPr>
          <w:rFonts w:eastAsiaTheme="minorHAnsi"/>
          <w:color w:val="auto"/>
          <w:szCs w:val="24"/>
          <w:lang w:val="en-US" w:eastAsia="en-US"/>
        </w:rPr>
        <w:t xml:space="preserve"> These findings were reversible at the end of a 4 –week recovery period.</w:t>
      </w:r>
    </w:p>
    <w:p w:rsidR="00303B57" w:rsidRDefault="00303B57" w:rsidP="00D712C4">
      <w:pPr>
        <w:autoSpaceDE w:val="0"/>
        <w:autoSpaceDN w:val="0"/>
        <w:adjustRightInd w:val="0"/>
        <w:rPr>
          <w:rFonts w:eastAsiaTheme="minorHAnsi"/>
          <w:b/>
          <w:color w:val="auto"/>
          <w:szCs w:val="24"/>
          <w:lang w:val="en-US" w:eastAsia="en-US"/>
        </w:rPr>
      </w:pPr>
    </w:p>
    <w:p w:rsidR="00C6307C" w:rsidRPr="00BE78D8" w:rsidRDefault="00C6307C" w:rsidP="00D712C4">
      <w:pPr>
        <w:autoSpaceDE w:val="0"/>
        <w:autoSpaceDN w:val="0"/>
        <w:adjustRightInd w:val="0"/>
        <w:rPr>
          <w:rFonts w:eastAsiaTheme="minorHAnsi"/>
          <w:color w:val="auto"/>
          <w:szCs w:val="24"/>
          <w:lang w:val="en-US" w:eastAsia="en-US"/>
        </w:rPr>
      </w:pPr>
      <w:r w:rsidRPr="00BE78D8">
        <w:rPr>
          <w:rFonts w:eastAsiaTheme="minorHAnsi"/>
          <w:b/>
          <w:color w:val="auto"/>
          <w:szCs w:val="24"/>
          <w:lang w:val="en-US" w:eastAsia="en-US"/>
        </w:rPr>
        <w:t>Use in Pregnancy</w:t>
      </w:r>
      <w:r w:rsidRPr="00BE78D8">
        <w:rPr>
          <w:rFonts w:eastAsiaTheme="minorHAnsi"/>
          <w:color w:val="auto"/>
          <w:szCs w:val="24"/>
          <w:lang w:val="en-US" w:eastAsia="en-US"/>
        </w:rPr>
        <w:t xml:space="preserve"> (Category D)</w:t>
      </w:r>
    </w:p>
    <w:p w:rsidR="00C6307C" w:rsidRPr="00BE78D8" w:rsidRDefault="00C6307C" w:rsidP="00D712C4">
      <w:pPr>
        <w:autoSpaceDE w:val="0"/>
        <w:autoSpaceDN w:val="0"/>
        <w:adjustRightInd w:val="0"/>
        <w:rPr>
          <w:rFonts w:eastAsiaTheme="minorHAnsi"/>
          <w:color w:val="auto"/>
          <w:szCs w:val="24"/>
          <w:lang w:val="en-US" w:eastAsia="en-US"/>
        </w:rPr>
      </w:pPr>
    </w:p>
    <w:p w:rsidR="00C6307C" w:rsidRPr="00BE78D8" w:rsidRDefault="00C6307C" w:rsidP="00C6307C">
      <w:pPr>
        <w:autoSpaceDE w:val="0"/>
        <w:autoSpaceDN w:val="0"/>
        <w:adjustRightInd w:val="0"/>
        <w:rPr>
          <w:rFonts w:eastAsiaTheme="minorHAnsi"/>
          <w:color w:val="auto"/>
          <w:szCs w:val="24"/>
          <w:lang w:val="en-US" w:eastAsia="en-US"/>
        </w:rPr>
      </w:pPr>
      <w:r w:rsidRPr="00BE78D8">
        <w:rPr>
          <w:rFonts w:eastAsiaTheme="minorHAnsi"/>
          <w:color w:val="auto"/>
          <w:szCs w:val="24"/>
          <w:lang w:val="en-US" w:eastAsia="en-US"/>
        </w:rPr>
        <w:t xml:space="preserve">There is insufficient information on the use of lenvatinib in pregnant women. Lenvatinib was </w:t>
      </w:r>
      <w:r w:rsidRPr="00EA041B">
        <w:rPr>
          <w:rFonts w:eastAsiaTheme="minorHAnsi"/>
          <w:color w:val="auto"/>
          <w:szCs w:val="24"/>
          <w:lang w:val="en-US" w:eastAsia="en-US"/>
        </w:rPr>
        <w:t>embryotoxic and teratogenic when administered to rats and rabbits</w:t>
      </w:r>
      <w:r w:rsidR="00EA041B" w:rsidRPr="00EA041B">
        <w:rPr>
          <w:rFonts w:ascii="Arial Narrow" w:eastAsiaTheme="minorEastAsia" w:hAnsi="Arial Narrow" w:cs="Cambria"/>
          <w:iCs/>
          <w:color w:val="auto"/>
          <w:sz w:val="20"/>
          <w:lang w:val="en-AU" w:eastAsia="en-US"/>
        </w:rPr>
        <w:t xml:space="preserve"> </w:t>
      </w:r>
      <w:r w:rsidR="00EA041B" w:rsidRPr="00EA041B">
        <w:rPr>
          <w:rFonts w:eastAsiaTheme="minorHAnsi"/>
          <w:iCs/>
          <w:color w:val="auto"/>
          <w:szCs w:val="24"/>
          <w:lang w:val="en-AU" w:eastAsia="en-US"/>
        </w:rPr>
        <w:t>during organogenesis at exposures below the clinical exposure (based on body surface area) at the maximum recommended human dose. Fetal anomalies included parietal oedema, cryptophthalmia, abnormal tail</w:t>
      </w:r>
      <w:r w:rsidR="00D52723">
        <w:rPr>
          <w:rFonts w:eastAsiaTheme="minorHAnsi"/>
          <w:iCs/>
          <w:color w:val="auto"/>
          <w:szCs w:val="24"/>
          <w:lang w:val="en-AU" w:eastAsia="en-US"/>
        </w:rPr>
        <w:t xml:space="preserve"> (rats)</w:t>
      </w:r>
      <w:r w:rsidR="00EA041B" w:rsidRPr="00EA041B">
        <w:rPr>
          <w:rFonts w:eastAsiaTheme="minorHAnsi"/>
          <w:iCs/>
          <w:color w:val="auto"/>
          <w:szCs w:val="24"/>
          <w:lang w:val="en-AU" w:eastAsia="en-US"/>
        </w:rPr>
        <w:t>, retroesophageal subclavian artery, fused ribs, and vertebral abnormalities</w:t>
      </w:r>
      <w:r w:rsidR="00D52723">
        <w:rPr>
          <w:rFonts w:eastAsiaTheme="minorHAnsi"/>
          <w:iCs/>
          <w:color w:val="auto"/>
          <w:szCs w:val="24"/>
          <w:lang w:val="en-AU" w:eastAsia="en-US"/>
        </w:rPr>
        <w:t xml:space="preserve"> (rabbits)</w:t>
      </w:r>
      <w:r w:rsidR="00EA041B" w:rsidRPr="00EA041B">
        <w:rPr>
          <w:rFonts w:eastAsiaTheme="minorHAnsi"/>
          <w:iCs/>
          <w:color w:val="auto"/>
          <w:szCs w:val="24"/>
          <w:lang w:val="en-AU" w:eastAsia="en-US"/>
        </w:rPr>
        <w:t>. These embryofetal findings are probably related to the pharmacologic activity of lenvatinib as an antiangiogenic agent</w:t>
      </w:r>
      <w:r w:rsidRPr="00EA041B">
        <w:rPr>
          <w:rFonts w:eastAsiaTheme="minorHAnsi"/>
          <w:color w:val="auto"/>
          <w:szCs w:val="24"/>
          <w:lang w:val="en-US" w:eastAsia="en-US"/>
        </w:rPr>
        <w:t>.</w:t>
      </w:r>
    </w:p>
    <w:p w:rsidR="00C6307C" w:rsidRPr="00BE78D8" w:rsidRDefault="00C6307C" w:rsidP="00C6307C">
      <w:pPr>
        <w:autoSpaceDE w:val="0"/>
        <w:autoSpaceDN w:val="0"/>
        <w:adjustRightInd w:val="0"/>
        <w:rPr>
          <w:rFonts w:eastAsiaTheme="minorHAnsi"/>
          <w:color w:val="auto"/>
          <w:szCs w:val="24"/>
          <w:lang w:val="en-US" w:eastAsia="en-US"/>
        </w:rPr>
      </w:pPr>
    </w:p>
    <w:p w:rsidR="00E84DC8" w:rsidRDefault="00C6307C" w:rsidP="00C6307C">
      <w:pPr>
        <w:autoSpaceDE w:val="0"/>
        <w:autoSpaceDN w:val="0"/>
        <w:adjustRightInd w:val="0"/>
        <w:rPr>
          <w:rFonts w:eastAsiaTheme="minorHAnsi"/>
          <w:color w:val="auto"/>
          <w:szCs w:val="24"/>
          <w:lang w:val="en-US" w:eastAsia="en-US"/>
        </w:rPr>
      </w:pPr>
      <w:r w:rsidRPr="00BE78D8">
        <w:rPr>
          <w:rFonts w:eastAsiaTheme="minorHAnsi"/>
          <w:color w:val="auto"/>
          <w:szCs w:val="24"/>
          <w:lang w:val="en-US" w:eastAsia="en-US"/>
        </w:rPr>
        <w:t>Lenvatinib should not be used during pregnanc</w:t>
      </w:r>
      <w:r w:rsidR="00366E64">
        <w:rPr>
          <w:rFonts w:eastAsiaTheme="minorHAnsi"/>
          <w:color w:val="auto"/>
          <w:szCs w:val="24"/>
          <w:lang w:val="en-US" w:eastAsia="en-US"/>
        </w:rPr>
        <w:t>y unless clearly necessary and a</w:t>
      </w:r>
      <w:r w:rsidRPr="00BE78D8">
        <w:rPr>
          <w:rFonts w:eastAsiaTheme="minorHAnsi"/>
          <w:color w:val="auto"/>
          <w:szCs w:val="24"/>
          <w:lang w:val="en-US" w:eastAsia="en-US"/>
        </w:rPr>
        <w:t>fter a careful consideration of</w:t>
      </w:r>
      <w:r w:rsidR="00366E64">
        <w:rPr>
          <w:rFonts w:eastAsiaTheme="minorHAnsi"/>
          <w:color w:val="auto"/>
          <w:szCs w:val="24"/>
          <w:lang w:val="en-US" w:eastAsia="en-US"/>
        </w:rPr>
        <w:t xml:space="preserve"> </w:t>
      </w:r>
      <w:r w:rsidRPr="00BE78D8">
        <w:rPr>
          <w:rFonts w:eastAsiaTheme="minorHAnsi"/>
          <w:color w:val="auto"/>
          <w:szCs w:val="24"/>
          <w:lang w:val="en-US" w:eastAsia="en-US"/>
        </w:rPr>
        <w:t xml:space="preserve">the needs of the mother and the risk to the foetus. </w:t>
      </w:r>
    </w:p>
    <w:p w:rsidR="00E84DC8" w:rsidRDefault="00E84DC8" w:rsidP="00C6307C">
      <w:pPr>
        <w:autoSpaceDE w:val="0"/>
        <w:autoSpaceDN w:val="0"/>
        <w:adjustRightInd w:val="0"/>
        <w:rPr>
          <w:rFonts w:eastAsiaTheme="minorHAnsi"/>
          <w:b/>
          <w:color w:val="auto"/>
          <w:szCs w:val="24"/>
          <w:lang w:val="en-US" w:eastAsia="en-US"/>
        </w:rPr>
      </w:pPr>
    </w:p>
    <w:p w:rsidR="00E84DC8" w:rsidRPr="00587B28" w:rsidRDefault="00527492" w:rsidP="009A1D5E">
      <w:pPr>
        <w:keepNext/>
        <w:autoSpaceDE w:val="0"/>
        <w:autoSpaceDN w:val="0"/>
        <w:adjustRightInd w:val="0"/>
        <w:rPr>
          <w:rFonts w:eastAsiaTheme="minorHAnsi"/>
          <w:i/>
          <w:color w:val="auto"/>
          <w:szCs w:val="24"/>
          <w:lang w:val="en-US" w:eastAsia="en-US"/>
        </w:rPr>
      </w:pPr>
      <w:r w:rsidRPr="00587B28">
        <w:rPr>
          <w:rFonts w:eastAsiaTheme="minorHAnsi"/>
          <w:i/>
          <w:color w:val="auto"/>
          <w:szCs w:val="24"/>
          <w:lang w:val="en-US" w:eastAsia="en-US"/>
        </w:rPr>
        <w:t>Women of childbearing potential</w:t>
      </w:r>
    </w:p>
    <w:p w:rsidR="00E84DC8" w:rsidRPr="00BE78D8" w:rsidRDefault="00E84DC8" w:rsidP="00C6307C">
      <w:pPr>
        <w:autoSpaceDE w:val="0"/>
        <w:autoSpaceDN w:val="0"/>
        <w:adjustRightInd w:val="0"/>
        <w:rPr>
          <w:rFonts w:eastAsiaTheme="minorHAnsi"/>
          <w:color w:val="auto"/>
          <w:szCs w:val="24"/>
          <w:lang w:val="en-US" w:eastAsia="en-US"/>
        </w:rPr>
      </w:pPr>
      <w:r>
        <w:rPr>
          <w:rFonts w:eastAsiaTheme="minorHAnsi"/>
          <w:color w:val="auto"/>
          <w:szCs w:val="24"/>
          <w:lang w:val="en-US" w:eastAsia="en-US"/>
        </w:rPr>
        <w:t>Women of childbearing potential should avoid becoming pregnant and use highly effective contraception while on treatment with lenvatinib and for at least one month after finishing treatment. It is currently unknown whether lenvatinib may reduce the effectiveness of hormonal contraceptives, and therefore women using oral hormonal contraceptives should add a barrier method.</w:t>
      </w:r>
    </w:p>
    <w:p w:rsidR="00C6307C" w:rsidRPr="00BE78D8" w:rsidRDefault="00C6307C" w:rsidP="00C6307C">
      <w:pPr>
        <w:autoSpaceDE w:val="0"/>
        <w:autoSpaceDN w:val="0"/>
        <w:adjustRightInd w:val="0"/>
        <w:rPr>
          <w:rFonts w:eastAsiaTheme="minorHAnsi"/>
          <w:color w:val="auto"/>
          <w:szCs w:val="24"/>
          <w:lang w:val="en-US" w:eastAsia="en-US"/>
        </w:rPr>
      </w:pPr>
    </w:p>
    <w:p w:rsidR="00C6307C" w:rsidRPr="00BE78D8" w:rsidRDefault="00C6307C" w:rsidP="004D4EB9">
      <w:pPr>
        <w:keepNext/>
        <w:autoSpaceDE w:val="0"/>
        <w:autoSpaceDN w:val="0"/>
        <w:adjustRightInd w:val="0"/>
        <w:rPr>
          <w:rFonts w:eastAsiaTheme="minorHAnsi"/>
          <w:b/>
          <w:color w:val="auto"/>
          <w:szCs w:val="24"/>
          <w:lang w:val="en-US" w:eastAsia="en-US"/>
        </w:rPr>
      </w:pPr>
      <w:r w:rsidRPr="00BE78D8">
        <w:rPr>
          <w:rFonts w:eastAsiaTheme="minorHAnsi"/>
          <w:b/>
          <w:color w:val="auto"/>
          <w:szCs w:val="24"/>
          <w:lang w:val="en-US" w:eastAsia="en-US"/>
        </w:rPr>
        <w:t xml:space="preserve">Use </w:t>
      </w:r>
      <w:proofErr w:type="gramStart"/>
      <w:r w:rsidRPr="00BE78D8">
        <w:rPr>
          <w:rFonts w:eastAsiaTheme="minorHAnsi"/>
          <w:b/>
          <w:color w:val="auto"/>
          <w:szCs w:val="24"/>
          <w:lang w:val="en-US" w:eastAsia="en-US"/>
        </w:rPr>
        <w:t>In</w:t>
      </w:r>
      <w:proofErr w:type="gramEnd"/>
      <w:r w:rsidRPr="00BE78D8">
        <w:rPr>
          <w:rFonts w:eastAsiaTheme="minorHAnsi"/>
          <w:b/>
          <w:color w:val="auto"/>
          <w:szCs w:val="24"/>
          <w:lang w:val="en-US" w:eastAsia="en-US"/>
        </w:rPr>
        <w:t xml:space="preserve"> Lactation</w:t>
      </w:r>
    </w:p>
    <w:p w:rsidR="00366E64" w:rsidRDefault="00366E64" w:rsidP="004D4EB9">
      <w:pPr>
        <w:keepNext/>
        <w:autoSpaceDE w:val="0"/>
        <w:autoSpaceDN w:val="0"/>
        <w:adjustRightInd w:val="0"/>
        <w:rPr>
          <w:rFonts w:eastAsiaTheme="minorHAnsi"/>
          <w:color w:val="auto"/>
          <w:szCs w:val="24"/>
          <w:lang w:val="en-US" w:eastAsia="en-US"/>
        </w:rPr>
      </w:pPr>
    </w:p>
    <w:p w:rsidR="00C6307C" w:rsidRPr="00BE78D8" w:rsidRDefault="00C6307C" w:rsidP="00C6307C">
      <w:pPr>
        <w:autoSpaceDE w:val="0"/>
        <w:autoSpaceDN w:val="0"/>
        <w:adjustRightInd w:val="0"/>
        <w:rPr>
          <w:rFonts w:eastAsiaTheme="minorHAnsi"/>
          <w:color w:val="auto"/>
          <w:szCs w:val="24"/>
          <w:lang w:val="en-US" w:eastAsia="en-US"/>
        </w:rPr>
      </w:pPr>
      <w:r w:rsidRPr="00BE78D8">
        <w:rPr>
          <w:rFonts w:eastAsiaTheme="minorHAnsi"/>
          <w:color w:val="auto"/>
          <w:szCs w:val="24"/>
          <w:lang w:val="en-US" w:eastAsia="en-US"/>
        </w:rPr>
        <w:t>It is not known whether lenvatinib is excreted in human milk. Lenvatinib and its metabolites are excreted in rat milk</w:t>
      </w:r>
      <w:r w:rsidR="00C92DDE">
        <w:rPr>
          <w:rFonts w:eastAsiaTheme="minorHAnsi"/>
          <w:color w:val="auto"/>
          <w:szCs w:val="24"/>
          <w:lang w:val="en-US" w:eastAsia="en-US"/>
        </w:rPr>
        <w:t xml:space="preserve"> and neonatal rats were more sensitive to the toxicity of lenvatinib compared to adults (See Paediatric Use below)</w:t>
      </w:r>
      <w:r w:rsidRPr="00BE78D8">
        <w:rPr>
          <w:rFonts w:eastAsiaTheme="minorHAnsi"/>
          <w:color w:val="auto"/>
          <w:szCs w:val="24"/>
          <w:lang w:val="en-US" w:eastAsia="en-US"/>
        </w:rPr>
        <w:t>.</w:t>
      </w:r>
      <w:r w:rsidR="00C92DDE">
        <w:rPr>
          <w:rFonts w:eastAsiaTheme="minorHAnsi"/>
          <w:color w:val="auto"/>
          <w:szCs w:val="24"/>
          <w:lang w:val="en-US" w:eastAsia="en-US"/>
        </w:rPr>
        <w:t xml:space="preserve"> Therefore, a</w:t>
      </w:r>
      <w:r w:rsidRPr="00BE78D8">
        <w:rPr>
          <w:rFonts w:eastAsiaTheme="minorHAnsi"/>
          <w:color w:val="auto"/>
          <w:szCs w:val="24"/>
          <w:lang w:val="en-US" w:eastAsia="en-US"/>
        </w:rPr>
        <w:t xml:space="preserve"> risk to newborns or infants cannot be excluded and lenvatinib should not be used during breastfeeding.</w:t>
      </w:r>
    </w:p>
    <w:p w:rsidR="00E51773" w:rsidRPr="00BE78D8" w:rsidRDefault="00E51773" w:rsidP="00C6307C">
      <w:pPr>
        <w:autoSpaceDE w:val="0"/>
        <w:autoSpaceDN w:val="0"/>
        <w:adjustRightInd w:val="0"/>
        <w:rPr>
          <w:rFonts w:eastAsiaTheme="minorHAnsi"/>
          <w:color w:val="auto"/>
          <w:szCs w:val="24"/>
          <w:lang w:val="en-US" w:eastAsia="en-US"/>
        </w:rPr>
      </w:pPr>
    </w:p>
    <w:p w:rsidR="00E51773" w:rsidRPr="00BE78D8" w:rsidRDefault="00E51773" w:rsidP="00E51773">
      <w:pPr>
        <w:autoSpaceDE w:val="0"/>
        <w:autoSpaceDN w:val="0"/>
        <w:adjustRightInd w:val="0"/>
        <w:rPr>
          <w:rFonts w:eastAsia="TimesNewRoman,Bold"/>
          <w:b/>
          <w:color w:val="auto"/>
          <w:szCs w:val="24"/>
          <w:lang w:val="en-US" w:eastAsia="en-US"/>
        </w:rPr>
      </w:pPr>
      <w:r w:rsidRPr="00BE78D8">
        <w:rPr>
          <w:rFonts w:eastAsia="TimesNewRoman,Bold"/>
          <w:b/>
          <w:color w:val="auto"/>
          <w:szCs w:val="24"/>
          <w:lang w:val="en-US" w:eastAsia="en-US"/>
        </w:rPr>
        <w:t xml:space="preserve">Paediatric </w:t>
      </w:r>
      <w:r w:rsidR="00C92DDE">
        <w:rPr>
          <w:rFonts w:eastAsia="TimesNewRoman,Bold"/>
          <w:b/>
          <w:color w:val="auto"/>
          <w:szCs w:val="24"/>
          <w:lang w:val="en-US" w:eastAsia="en-US"/>
        </w:rPr>
        <w:t>Use</w:t>
      </w:r>
    </w:p>
    <w:p w:rsidR="00E51773" w:rsidRPr="00BE78D8" w:rsidRDefault="00E51773" w:rsidP="00E51773">
      <w:pPr>
        <w:autoSpaceDE w:val="0"/>
        <w:autoSpaceDN w:val="0"/>
        <w:adjustRightInd w:val="0"/>
        <w:rPr>
          <w:rFonts w:eastAsia="TimesNewRoman,Bold"/>
          <w:b/>
          <w:color w:val="auto"/>
          <w:szCs w:val="24"/>
          <w:lang w:val="en-US" w:eastAsia="en-US"/>
        </w:rPr>
      </w:pPr>
    </w:p>
    <w:p w:rsidR="00E51773" w:rsidRDefault="00E51773" w:rsidP="00E51773">
      <w:pPr>
        <w:autoSpaceDE w:val="0"/>
        <w:autoSpaceDN w:val="0"/>
        <w:adjustRightInd w:val="0"/>
        <w:rPr>
          <w:rFonts w:eastAsiaTheme="minorHAnsi"/>
          <w:color w:val="auto"/>
          <w:szCs w:val="24"/>
          <w:lang w:val="en-US" w:eastAsia="en-US"/>
        </w:rPr>
      </w:pPr>
      <w:r w:rsidRPr="00912F98">
        <w:rPr>
          <w:rFonts w:eastAsiaTheme="minorHAnsi"/>
          <w:color w:val="auto"/>
          <w:szCs w:val="24"/>
          <w:lang w:val="en-US" w:eastAsia="en-US"/>
        </w:rPr>
        <w:t>Clinical data are not yet available in this population.</w:t>
      </w:r>
    </w:p>
    <w:p w:rsidR="00BA1B54" w:rsidRPr="00587B28" w:rsidRDefault="00BA1B54" w:rsidP="00FE621C">
      <w:pPr>
        <w:autoSpaceDE w:val="0"/>
        <w:autoSpaceDN w:val="0"/>
        <w:adjustRightInd w:val="0"/>
        <w:rPr>
          <w:rFonts w:eastAsiaTheme="minorHAnsi"/>
          <w:b/>
          <w:color w:val="auto"/>
          <w:szCs w:val="24"/>
          <w:lang w:val="en-US" w:eastAsia="en-US"/>
        </w:rPr>
      </w:pPr>
    </w:p>
    <w:p w:rsidR="00FE621C" w:rsidRPr="00BE78D8" w:rsidRDefault="00FE621C" w:rsidP="00645B48">
      <w:pPr>
        <w:autoSpaceDE w:val="0"/>
        <w:autoSpaceDN w:val="0"/>
        <w:adjustRightInd w:val="0"/>
        <w:rPr>
          <w:rFonts w:eastAsiaTheme="minorHAnsi"/>
          <w:color w:val="auto"/>
          <w:szCs w:val="24"/>
          <w:lang w:val="en-US" w:eastAsia="en-US"/>
        </w:rPr>
      </w:pPr>
      <w:r w:rsidRPr="00FE621C">
        <w:rPr>
          <w:rFonts w:eastAsiaTheme="minorHAnsi"/>
          <w:color w:val="auto"/>
          <w:szCs w:val="24"/>
          <w:lang w:val="en-US" w:eastAsia="en-US"/>
        </w:rPr>
        <w:t>Mortality was the dose-limiting toxicity in juvenile rats in which dosing was initiated on postnatal day (PND</w:t>
      </w:r>
      <w:r w:rsidR="00C92DDE">
        <w:rPr>
          <w:rFonts w:eastAsiaTheme="minorHAnsi"/>
          <w:color w:val="auto"/>
          <w:szCs w:val="24"/>
          <w:lang w:val="en-US" w:eastAsia="en-US"/>
        </w:rPr>
        <w:t xml:space="preserve">) </w:t>
      </w:r>
      <w:r w:rsidRPr="00FE621C">
        <w:rPr>
          <w:rFonts w:eastAsiaTheme="minorHAnsi"/>
          <w:color w:val="auto"/>
          <w:szCs w:val="24"/>
          <w:lang w:val="en-US" w:eastAsia="en-US"/>
        </w:rPr>
        <w:t>7 or PND21</w:t>
      </w:r>
      <w:r w:rsidR="00C92DDE">
        <w:rPr>
          <w:rFonts w:eastAsiaTheme="minorHAnsi"/>
          <w:color w:val="auto"/>
          <w:szCs w:val="24"/>
          <w:lang w:val="en-US" w:eastAsia="en-US"/>
        </w:rPr>
        <w:t>. Mortality occurred at lower doses in neonatal rats (dosing initiated on PND7), or after a shorter duration of treatment in juvenile rats (dosing initiated on PND21). The exposure (as AUC) to lenvatinib in juvenile rats was lower compared to adults, suggesting increased susceptibility to the toxic effects of lenvatinib in young animals.</w:t>
      </w:r>
      <w:r w:rsidRPr="00FE621C">
        <w:rPr>
          <w:rFonts w:eastAsiaTheme="minorHAnsi"/>
          <w:color w:val="auto"/>
          <w:szCs w:val="24"/>
          <w:lang w:val="en-US" w:eastAsia="en-US"/>
        </w:rPr>
        <w:t xml:space="preserve"> Growth retardation, secondary delay of physical development, and lesions attributable to pharmacologic effects (incisors, femur [epiphyseal growth plate], kidneys, adrenals, and duodenum) were also observed in juvenile rats.</w:t>
      </w:r>
    </w:p>
    <w:p w:rsidR="00CB2DC4" w:rsidRPr="00BE78D8" w:rsidRDefault="00CB2DC4" w:rsidP="00C6307C">
      <w:pPr>
        <w:autoSpaceDE w:val="0"/>
        <w:autoSpaceDN w:val="0"/>
        <w:adjustRightInd w:val="0"/>
        <w:rPr>
          <w:rFonts w:eastAsiaTheme="minorHAnsi"/>
          <w:color w:val="auto"/>
          <w:szCs w:val="24"/>
          <w:lang w:val="en-US" w:eastAsia="en-US"/>
        </w:rPr>
      </w:pPr>
    </w:p>
    <w:p w:rsidR="00CB2DC4" w:rsidRPr="00BE78D8" w:rsidRDefault="00CB2DC4" w:rsidP="00C6307C">
      <w:pPr>
        <w:autoSpaceDE w:val="0"/>
        <w:autoSpaceDN w:val="0"/>
        <w:adjustRightInd w:val="0"/>
        <w:rPr>
          <w:rFonts w:eastAsiaTheme="minorHAnsi"/>
          <w:b/>
          <w:color w:val="auto"/>
          <w:szCs w:val="24"/>
          <w:lang w:val="en-US" w:eastAsia="en-US"/>
        </w:rPr>
      </w:pPr>
      <w:r w:rsidRPr="00BE78D8">
        <w:rPr>
          <w:rFonts w:eastAsiaTheme="minorHAnsi"/>
          <w:b/>
          <w:color w:val="auto"/>
          <w:szCs w:val="24"/>
          <w:lang w:val="en-US" w:eastAsia="en-US"/>
        </w:rPr>
        <w:lastRenderedPageBreak/>
        <w:t>Carcinogenicity</w:t>
      </w:r>
    </w:p>
    <w:p w:rsidR="00CB2DC4" w:rsidRPr="00BE78D8" w:rsidRDefault="00CB2DC4" w:rsidP="00C6307C">
      <w:pPr>
        <w:autoSpaceDE w:val="0"/>
        <w:autoSpaceDN w:val="0"/>
        <w:adjustRightInd w:val="0"/>
        <w:rPr>
          <w:rFonts w:eastAsiaTheme="minorHAnsi"/>
          <w:b/>
          <w:color w:val="auto"/>
          <w:szCs w:val="24"/>
          <w:lang w:val="en-US" w:eastAsia="en-US"/>
        </w:rPr>
      </w:pPr>
    </w:p>
    <w:p w:rsidR="00CB2DC4" w:rsidRDefault="00CB2DC4" w:rsidP="00C6307C">
      <w:pPr>
        <w:autoSpaceDE w:val="0"/>
        <w:autoSpaceDN w:val="0"/>
        <w:adjustRightInd w:val="0"/>
        <w:rPr>
          <w:rFonts w:eastAsiaTheme="minorHAnsi"/>
          <w:color w:val="auto"/>
          <w:szCs w:val="24"/>
          <w:lang w:val="en-US" w:eastAsia="en-US"/>
        </w:rPr>
      </w:pPr>
      <w:r w:rsidRPr="00BE78D8">
        <w:rPr>
          <w:rFonts w:eastAsiaTheme="minorHAnsi"/>
          <w:color w:val="auto"/>
          <w:szCs w:val="24"/>
          <w:lang w:val="en-US" w:eastAsia="en-US"/>
        </w:rPr>
        <w:t>Carcinogenicity studies have not been conducted with lenvatinib.</w:t>
      </w:r>
    </w:p>
    <w:p w:rsidR="003F755A" w:rsidRDefault="003F755A" w:rsidP="00C6307C">
      <w:pPr>
        <w:autoSpaceDE w:val="0"/>
        <w:autoSpaceDN w:val="0"/>
        <w:adjustRightInd w:val="0"/>
        <w:rPr>
          <w:rFonts w:eastAsiaTheme="minorHAnsi"/>
          <w:color w:val="auto"/>
          <w:szCs w:val="24"/>
          <w:lang w:val="en-US" w:eastAsia="en-US"/>
        </w:rPr>
      </w:pPr>
    </w:p>
    <w:p w:rsidR="003F755A" w:rsidRDefault="003F755A" w:rsidP="00C6307C">
      <w:pPr>
        <w:autoSpaceDE w:val="0"/>
        <w:autoSpaceDN w:val="0"/>
        <w:adjustRightInd w:val="0"/>
        <w:rPr>
          <w:rFonts w:eastAsiaTheme="minorHAnsi"/>
          <w:b/>
          <w:color w:val="auto"/>
          <w:szCs w:val="24"/>
          <w:lang w:val="en-US" w:eastAsia="en-US"/>
        </w:rPr>
      </w:pPr>
      <w:r>
        <w:rPr>
          <w:rFonts w:eastAsiaTheme="minorHAnsi"/>
          <w:b/>
          <w:color w:val="auto"/>
          <w:szCs w:val="24"/>
          <w:lang w:val="en-US" w:eastAsia="en-US"/>
        </w:rPr>
        <w:t>Genotoxicity</w:t>
      </w:r>
    </w:p>
    <w:p w:rsidR="00366E64" w:rsidRDefault="00366E64" w:rsidP="00C6307C">
      <w:pPr>
        <w:autoSpaceDE w:val="0"/>
        <w:autoSpaceDN w:val="0"/>
        <w:adjustRightInd w:val="0"/>
        <w:rPr>
          <w:rFonts w:eastAsiaTheme="minorHAnsi"/>
          <w:color w:val="auto"/>
          <w:szCs w:val="24"/>
          <w:lang w:val="en-US" w:eastAsia="en-US"/>
        </w:rPr>
      </w:pPr>
    </w:p>
    <w:p w:rsidR="003F755A" w:rsidRPr="003F755A" w:rsidRDefault="003F755A" w:rsidP="00C6307C">
      <w:pPr>
        <w:autoSpaceDE w:val="0"/>
        <w:autoSpaceDN w:val="0"/>
        <w:adjustRightInd w:val="0"/>
        <w:rPr>
          <w:rFonts w:eastAsiaTheme="minorHAnsi"/>
          <w:color w:val="auto"/>
          <w:szCs w:val="24"/>
          <w:lang w:val="en-US" w:eastAsia="en-US"/>
        </w:rPr>
      </w:pPr>
      <w:r>
        <w:rPr>
          <w:rFonts w:eastAsiaTheme="minorHAnsi"/>
          <w:color w:val="auto"/>
          <w:szCs w:val="24"/>
          <w:lang w:val="en-US" w:eastAsia="en-US"/>
        </w:rPr>
        <w:t xml:space="preserve">Lenvatinib was not mutagenic in the </w:t>
      </w:r>
      <w:r>
        <w:rPr>
          <w:rFonts w:eastAsiaTheme="minorHAnsi"/>
          <w:i/>
          <w:color w:val="auto"/>
          <w:szCs w:val="24"/>
          <w:lang w:val="en-US" w:eastAsia="en-US"/>
        </w:rPr>
        <w:t>in vitro</w:t>
      </w:r>
      <w:r>
        <w:rPr>
          <w:rFonts w:eastAsiaTheme="minorHAnsi"/>
          <w:color w:val="auto"/>
          <w:szCs w:val="24"/>
          <w:lang w:val="en-US" w:eastAsia="en-US"/>
        </w:rPr>
        <w:t xml:space="preserve"> Ames and mouse lymphoma tests and not </w:t>
      </w:r>
      <w:r w:rsidR="00EA041B">
        <w:rPr>
          <w:rFonts w:eastAsiaTheme="minorHAnsi"/>
          <w:color w:val="auto"/>
          <w:szCs w:val="24"/>
          <w:lang w:val="en-US" w:eastAsia="en-US"/>
        </w:rPr>
        <w:t>clastogenic</w:t>
      </w:r>
      <w:r>
        <w:rPr>
          <w:rFonts w:eastAsiaTheme="minorHAnsi"/>
          <w:color w:val="auto"/>
          <w:szCs w:val="24"/>
          <w:lang w:val="en-US" w:eastAsia="en-US"/>
        </w:rPr>
        <w:t xml:space="preserve"> in an </w:t>
      </w:r>
      <w:r>
        <w:rPr>
          <w:rFonts w:eastAsiaTheme="minorHAnsi"/>
          <w:i/>
          <w:color w:val="auto"/>
          <w:szCs w:val="24"/>
          <w:lang w:val="en-US" w:eastAsia="en-US"/>
        </w:rPr>
        <w:t xml:space="preserve">in vivo </w:t>
      </w:r>
      <w:r>
        <w:rPr>
          <w:rFonts w:eastAsiaTheme="minorHAnsi"/>
          <w:color w:val="auto"/>
          <w:szCs w:val="24"/>
          <w:lang w:val="en-US" w:eastAsia="en-US"/>
        </w:rPr>
        <w:t>micronucleus assay in rats.</w:t>
      </w:r>
      <w:r w:rsidR="00EA041B">
        <w:rPr>
          <w:rFonts w:eastAsiaTheme="minorHAnsi"/>
          <w:color w:val="auto"/>
          <w:szCs w:val="24"/>
          <w:lang w:val="en-US" w:eastAsia="en-US"/>
        </w:rPr>
        <w:t xml:space="preserve"> </w:t>
      </w:r>
      <w:r w:rsidR="00EA041B" w:rsidRPr="00EA041B">
        <w:rPr>
          <w:rFonts w:eastAsiaTheme="minorHAnsi"/>
          <w:color w:val="auto"/>
          <w:szCs w:val="24"/>
          <w:lang w:val="en-US" w:eastAsia="en-US"/>
        </w:rPr>
        <w:t>These studies indicate a low genotoxic potential for lenvatinib.</w:t>
      </w:r>
    </w:p>
    <w:p w:rsidR="00CB2DC4" w:rsidRPr="00BE78D8" w:rsidRDefault="00CB2DC4" w:rsidP="00C6307C">
      <w:pPr>
        <w:autoSpaceDE w:val="0"/>
        <w:autoSpaceDN w:val="0"/>
        <w:adjustRightInd w:val="0"/>
        <w:rPr>
          <w:rFonts w:eastAsiaTheme="minorHAnsi"/>
          <w:color w:val="auto"/>
          <w:szCs w:val="24"/>
          <w:lang w:val="en-US" w:eastAsia="en-US"/>
        </w:rPr>
      </w:pPr>
    </w:p>
    <w:p w:rsidR="00CB2DC4" w:rsidRPr="00BE78D8" w:rsidRDefault="00CB2DC4" w:rsidP="00CB2DC4">
      <w:pPr>
        <w:autoSpaceDE w:val="0"/>
        <w:autoSpaceDN w:val="0"/>
        <w:adjustRightInd w:val="0"/>
        <w:rPr>
          <w:rFonts w:eastAsia="TimesNewRoman,Bold"/>
          <w:b/>
          <w:bCs/>
          <w:color w:val="auto"/>
          <w:szCs w:val="24"/>
          <w:lang w:val="en-US" w:eastAsia="en-US"/>
        </w:rPr>
      </w:pPr>
      <w:r w:rsidRPr="00BE78D8">
        <w:rPr>
          <w:rFonts w:eastAsia="TimesNewRoman,Bold"/>
          <w:b/>
          <w:bCs/>
          <w:color w:val="auto"/>
          <w:szCs w:val="24"/>
          <w:lang w:val="en-US" w:eastAsia="en-US"/>
        </w:rPr>
        <w:t>Effects on ability to drive and use machines</w:t>
      </w:r>
    </w:p>
    <w:p w:rsidR="00CB2DC4" w:rsidRPr="00BE78D8" w:rsidRDefault="00CB2DC4" w:rsidP="00CB2DC4">
      <w:pPr>
        <w:autoSpaceDE w:val="0"/>
        <w:autoSpaceDN w:val="0"/>
        <w:adjustRightInd w:val="0"/>
        <w:rPr>
          <w:rFonts w:eastAsia="TimesNewRoman,Bold"/>
          <w:color w:val="auto"/>
          <w:szCs w:val="24"/>
          <w:lang w:val="en-US" w:eastAsia="en-US"/>
        </w:rPr>
      </w:pPr>
    </w:p>
    <w:p w:rsidR="00CB2DC4" w:rsidRPr="00BE78D8" w:rsidRDefault="00CB2DC4" w:rsidP="00CB2DC4">
      <w:pPr>
        <w:autoSpaceDE w:val="0"/>
        <w:autoSpaceDN w:val="0"/>
        <w:adjustRightInd w:val="0"/>
        <w:rPr>
          <w:rFonts w:eastAsia="TimesNewRoman,Bold"/>
          <w:color w:val="auto"/>
          <w:szCs w:val="24"/>
          <w:lang w:val="en-US" w:eastAsia="en-US"/>
        </w:rPr>
      </w:pPr>
      <w:r w:rsidRPr="00BE78D8">
        <w:rPr>
          <w:rFonts w:eastAsia="TimesNewRoman,Bold"/>
          <w:color w:val="auto"/>
          <w:szCs w:val="24"/>
          <w:lang w:val="en-US" w:eastAsia="en-US"/>
        </w:rPr>
        <w:t>No studies on the effects on the ability to drive and use machines have been performed. Lenvatinib may cause side effects such as fatigue and dizziness. Patients who experience these symptoms should use caution when driving or operating machines.</w:t>
      </w:r>
    </w:p>
    <w:p w:rsidR="00CB2DC4" w:rsidRPr="00BE78D8" w:rsidRDefault="00CB2DC4" w:rsidP="00CB2DC4">
      <w:pPr>
        <w:autoSpaceDE w:val="0"/>
        <w:autoSpaceDN w:val="0"/>
        <w:adjustRightInd w:val="0"/>
        <w:rPr>
          <w:rFonts w:eastAsia="TimesNewRoman,Bold"/>
          <w:color w:val="auto"/>
          <w:szCs w:val="24"/>
          <w:lang w:val="en-US" w:eastAsia="en-US"/>
        </w:rPr>
      </w:pPr>
    </w:p>
    <w:p w:rsidR="00CB2DC4" w:rsidRPr="00BE78D8" w:rsidRDefault="00CB2DC4" w:rsidP="009A1D5E">
      <w:pPr>
        <w:keepNext/>
        <w:autoSpaceDE w:val="0"/>
        <w:autoSpaceDN w:val="0"/>
        <w:adjustRightInd w:val="0"/>
        <w:rPr>
          <w:rFonts w:eastAsia="TimesNewRoman,Bold"/>
          <w:b/>
          <w:color w:val="auto"/>
          <w:szCs w:val="24"/>
          <w:lang w:val="en-US" w:eastAsia="en-US"/>
        </w:rPr>
      </w:pPr>
      <w:r w:rsidRPr="00BE78D8">
        <w:rPr>
          <w:rFonts w:eastAsia="TimesNewRoman,Bold"/>
          <w:b/>
          <w:color w:val="auto"/>
          <w:szCs w:val="24"/>
          <w:lang w:val="en-US" w:eastAsia="en-US"/>
        </w:rPr>
        <w:t>INTERACTIONS WITH OTHER MEDICINES</w:t>
      </w:r>
    </w:p>
    <w:p w:rsidR="00110D34" w:rsidRPr="00BE78D8" w:rsidRDefault="00110D34" w:rsidP="009A1D5E">
      <w:pPr>
        <w:keepNext/>
        <w:autoSpaceDE w:val="0"/>
        <w:autoSpaceDN w:val="0"/>
        <w:adjustRightInd w:val="0"/>
        <w:rPr>
          <w:rFonts w:eastAsia="TimesNewRoman,Bold"/>
          <w:b/>
          <w:color w:val="auto"/>
          <w:szCs w:val="24"/>
          <w:lang w:val="en-US" w:eastAsia="en-US"/>
        </w:rPr>
      </w:pPr>
    </w:p>
    <w:p w:rsidR="00110D34" w:rsidRPr="00BE78D8" w:rsidRDefault="00110D34" w:rsidP="009A1D5E">
      <w:pPr>
        <w:keepNext/>
        <w:autoSpaceDE w:val="0"/>
        <w:autoSpaceDN w:val="0"/>
        <w:adjustRightInd w:val="0"/>
        <w:rPr>
          <w:rFonts w:eastAsia="TimesNewRoman,Bold"/>
          <w:b/>
          <w:color w:val="auto"/>
          <w:szCs w:val="24"/>
          <w:lang w:val="en-US" w:eastAsia="en-US"/>
        </w:rPr>
      </w:pPr>
      <w:r w:rsidRPr="00BE78D8">
        <w:rPr>
          <w:rFonts w:eastAsia="TimesNewRoman,Bold"/>
          <w:b/>
          <w:color w:val="auto"/>
          <w:szCs w:val="24"/>
          <w:lang w:val="en-US" w:eastAsia="en-US"/>
        </w:rPr>
        <w:t>Drug Interaction Studies</w:t>
      </w:r>
    </w:p>
    <w:p w:rsidR="00CB2DC4" w:rsidRPr="00BE78D8" w:rsidRDefault="00CB2DC4" w:rsidP="009A1D5E">
      <w:pPr>
        <w:keepNext/>
        <w:autoSpaceDE w:val="0"/>
        <w:autoSpaceDN w:val="0"/>
        <w:adjustRightInd w:val="0"/>
        <w:rPr>
          <w:rFonts w:eastAsia="TimesNewRoman,Bold"/>
          <w:b/>
          <w:color w:val="auto"/>
          <w:szCs w:val="24"/>
          <w:lang w:val="en-US" w:eastAsia="en-US"/>
        </w:rPr>
      </w:pPr>
    </w:p>
    <w:p w:rsidR="00CB2DC4" w:rsidRPr="00BE78D8" w:rsidRDefault="00CB2DC4" w:rsidP="009A1D5E">
      <w:pPr>
        <w:keepNext/>
        <w:autoSpaceDE w:val="0"/>
        <w:autoSpaceDN w:val="0"/>
        <w:adjustRightInd w:val="0"/>
        <w:rPr>
          <w:rFonts w:eastAsiaTheme="minorHAnsi"/>
          <w:color w:val="auto"/>
          <w:szCs w:val="24"/>
          <w:u w:val="single"/>
          <w:lang w:val="en-US" w:eastAsia="en-US"/>
        </w:rPr>
      </w:pPr>
      <w:r w:rsidRPr="00BE78D8">
        <w:rPr>
          <w:rFonts w:eastAsiaTheme="minorHAnsi"/>
          <w:color w:val="auto"/>
          <w:szCs w:val="24"/>
          <w:u w:val="single"/>
          <w:lang w:val="en-US" w:eastAsia="en-US"/>
        </w:rPr>
        <w:t>Effect of other medicinal products on lenvatinib</w:t>
      </w:r>
    </w:p>
    <w:p w:rsidR="00CB2DC4" w:rsidRPr="00BE78D8" w:rsidRDefault="00CB2DC4" w:rsidP="009A1D5E">
      <w:pPr>
        <w:keepNext/>
        <w:autoSpaceDE w:val="0"/>
        <w:autoSpaceDN w:val="0"/>
        <w:adjustRightInd w:val="0"/>
        <w:rPr>
          <w:rFonts w:eastAsiaTheme="minorHAnsi"/>
          <w:i/>
          <w:iCs/>
          <w:color w:val="auto"/>
          <w:szCs w:val="24"/>
          <w:lang w:val="en-US" w:eastAsia="en-US"/>
        </w:rPr>
      </w:pPr>
    </w:p>
    <w:p w:rsidR="00CB2DC4" w:rsidRPr="002F5578" w:rsidRDefault="00AC5478" w:rsidP="009A1D5E">
      <w:pPr>
        <w:keepNext/>
        <w:autoSpaceDE w:val="0"/>
        <w:autoSpaceDN w:val="0"/>
        <w:adjustRightInd w:val="0"/>
        <w:rPr>
          <w:rFonts w:eastAsiaTheme="minorHAnsi"/>
          <w:i/>
          <w:iCs/>
          <w:color w:val="auto"/>
          <w:szCs w:val="24"/>
          <w:lang w:val="en-US" w:eastAsia="en-US"/>
        </w:rPr>
      </w:pPr>
      <w:r w:rsidRPr="002F5578">
        <w:rPr>
          <w:rFonts w:eastAsiaTheme="minorHAnsi"/>
          <w:i/>
          <w:iCs/>
          <w:color w:val="auto"/>
          <w:szCs w:val="24"/>
          <w:lang w:val="en-US" w:eastAsia="en-US"/>
        </w:rPr>
        <w:t xml:space="preserve">CYP3A, P-gp, and BCRP </w:t>
      </w:r>
      <w:r w:rsidR="003641D5">
        <w:rPr>
          <w:rFonts w:eastAsiaTheme="minorHAnsi"/>
          <w:i/>
          <w:iCs/>
          <w:color w:val="auto"/>
          <w:szCs w:val="24"/>
          <w:lang w:val="en-US" w:eastAsia="en-US"/>
        </w:rPr>
        <w:t>inhibitors or inducers</w:t>
      </w:r>
    </w:p>
    <w:p w:rsidR="00920EBA" w:rsidRPr="00BA1B54" w:rsidRDefault="00920EBA" w:rsidP="00920EBA">
      <w:pPr>
        <w:rPr>
          <w:szCs w:val="24"/>
        </w:rPr>
      </w:pPr>
      <w:r w:rsidRPr="00BA1B54">
        <w:rPr>
          <w:szCs w:val="24"/>
        </w:rPr>
        <w:t>LENVIMA may be administered regardless of co-administration with CYP3A, P-gp, and BCRP inhibitors.  In healthy subjects, ketoconazole (400 mg for 18 days) increased lenvatinib (administered as a single dose on Day 5) AUC</w:t>
      </w:r>
      <w:r w:rsidRPr="00BA1B54">
        <w:rPr>
          <w:szCs w:val="24"/>
          <w:vertAlign w:val="subscript"/>
        </w:rPr>
        <w:t>0-inf</w:t>
      </w:r>
      <w:r w:rsidRPr="00BA1B54">
        <w:rPr>
          <w:szCs w:val="24"/>
        </w:rPr>
        <w:t xml:space="preserve"> and AUC</w:t>
      </w:r>
      <w:r w:rsidRPr="00BA1B54">
        <w:rPr>
          <w:szCs w:val="24"/>
          <w:vertAlign w:val="subscript"/>
        </w:rPr>
        <w:t>0-t</w:t>
      </w:r>
      <w:r w:rsidRPr="00BA1B54">
        <w:rPr>
          <w:szCs w:val="24"/>
        </w:rPr>
        <w:t xml:space="preserve"> approximately 15% while C</w:t>
      </w:r>
      <w:r w:rsidRPr="00BA1B54">
        <w:rPr>
          <w:szCs w:val="24"/>
          <w:vertAlign w:val="subscript"/>
        </w:rPr>
        <w:t>max</w:t>
      </w:r>
      <w:r w:rsidRPr="00BA1B54">
        <w:rPr>
          <w:szCs w:val="24"/>
        </w:rPr>
        <w:t xml:space="preserve"> increased 19%.  This is supported by a population PK analysis which found CYP3A4 inhibitors decreased Cl/F by 7.8%.</w:t>
      </w:r>
    </w:p>
    <w:p w:rsidR="00920EBA" w:rsidRPr="00BA1B54" w:rsidRDefault="00920EBA" w:rsidP="00920EBA">
      <w:pPr>
        <w:rPr>
          <w:szCs w:val="24"/>
        </w:rPr>
      </w:pPr>
    </w:p>
    <w:p w:rsidR="00920EBA" w:rsidRPr="004D4EB9" w:rsidRDefault="00920EBA" w:rsidP="00920EBA">
      <w:pPr>
        <w:rPr>
          <w:szCs w:val="24"/>
        </w:rPr>
      </w:pPr>
      <w:r w:rsidRPr="00BA1B54">
        <w:rPr>
          <w:szCs w:val="24"/>
        </w:rPr>
        <w:t>LENVIMA may be co-administered without dose adjustment with CYP3A and P-gp inducers, based on a study in which healthy subjects were administered repeated doses of rifampicin (600 mg for 21 days) and a single dose of lenvatinib (24 mg, Day 15).  AUC</w:t>
      </w:r>
      <w:r w:rsidRPr="00BA1B54">
        <w:rPr>
          <w:szCs w:val="24"/>
          <w:vertAlign w:val="subscript"/>
        </w:rPr>
        <w:t>0-inf</w:t>
      </w:r>
      <w:r w:rsidRPr="00BA1B54">
        <w:rPr>
          <w:szCs w:val="24"/>
        </w:rPr>
        <w:t xml:space="preserve"> and AUC</w:t>
      </w:r>
      <w:r w:rsidRPr="00BA1B54">
        <w:rPr>
          <w:szCs w:val="24"/>
          <w:vertAlign w:val="subscript"/>
        </w:rPr>
        <w:t>0-t</w:t>
      </w:r>
      <w:r w:rsidRPr="00BA1B54">
        <w:rPr>
          <w:szCs w:val="24"/>
        </w:rPr>
        <w:t xml:space="preserve"> decreased approximately 18% while C</w:t>
      </w:r>
      <w:r w:rsidRPr="00BA1B54">
        <w:rPr>
          <w:szCs w:val="24"/>
          <w:vertAlign w:val="subscript"/>
        </w:rPr>
        <w:t>max</w:t>
      </w:r>
      <w:r w:rsidRPr="00BA1B54">
        <w:rPr>
          <w:szCs w:val="24"/>
        </w:rPr>
        <w:t xml:space="preserve"> did not change.  The effect of CYP3A induction alone was estimated by comparing the PK parameters for lenvatinib following single and multiple doses of rifampicin.  Lenvatinib AUC and C</w:t>
      </w:r>
      <w:r w:rsidRPr="00BA1B54">
        <w:rPr>
          <w:szCs w:val="24"/>
          <w:vertAlign w:val="subscript"/>
        </w:rPr>
        <w:t>max</w:t>
      </w:r>
      <w:r w:rsidRPr="00BA1B54">
        <w:rPr>
          <w:szCs w:val="24"/>
        </w:rPr>
        <w:t xml:space="preserve"> were predicted to decrease by 30% and 15%, respectively, after strong induction in the absence of acute P-gp inhibition.  This is supported by a population PK analysis which found CYP3A4 inducers increased Cl/F by 30</w:t>
      </w:r>
      <w:r w:rsidRPr="004D4EB9">
        <w:rPr>
          <w:szCs w:val="24"/>
        </w:rPr>
        <w:t>%.</w:t>
      </w:r>
    </w:p>
    <w:p w:rsidR="00CB2DC4" w:rsidRPr="00BE78D8" w:rsidRDefault="00CB2DC4" w:rsidP="00CB2DC4">
      <w:pPr>
        <w:autoSpaceDE w:val="0"/>
        <w:autoSpaceDN w:val="0"/>
        <w:adjustRightInd w:val="0"/>
        <w:rPr>
          <w:rFonts w:eastAsiaTheme="minorHAnsi"/>
          <w:i/>
          <w:iCs/>
          <w:color w:val="auto"/>
          <w:szCs w:val="24"/>
          <w:lang w:val="en-US" w:eastAsia="en-US"/>
        </w:rPr>
      </w:pPr>
    </w:p>
    <w:p w:rsidR="00CB2DC4" w:rsidRPr="00BE78D8" w:rsidRDefault="00CB2DC4" w:rsidP="00CB2DC4">
      <w:pPr>
        <w:autoSpaceDE w:val="0"/>
        <w:autoSpaceDN w:val="0"/>
        <w:adjustRightInd w:val="0"/>
        <w:rPr>
          <w:rFonts w:eastAsiaTheme="minorHAnsi"/>
          <w:i/>
          <w:iCs/>
          <w:color w:val="auto"/>
          <w:szCs w:val="24"/>
          <w:lang w:val="en-US" w:eastAsia="en-US"/>
        </w:rPr>
      </w:pPr>
      <w:r w:rsidRPr="00BE78D8">
        <w:rPr>
          <w:rFonts w:eastAsiaTheme="minorHAnsi"/>
          <w:i/>
          <w:iCs/>
          <w:color w:val="auto"/>
          <w:szCs w:val="24"/>
          <w:lang w:val="en-US" w:eastAsia="en-US"/>
        </w:rPr>
        <w:t>Gastric pH-altering agents</w:t>
      </w:r>
    </w:p>
    <w:p w:rsidR="00CB2DC4" w:rsidRPr="00BE78D8" w:rsidRDefault="00CB2DC4" w:rsidP="00CB2DC4">
      <w:pPr>
        <w:autoSpaceDE w:val="0"/>
        <w:autoSpaceDN w:val="0"/>
        <w:adjustRightInd w:val="0"/>
        <w:rPr>
          <w:rFonts w:eastAsiaTheme="minorHAnsi"/>
          <w:color w:val="auto"/>
          <w:szCs w:val="24"/>
          <w:lang w:val="en-US" w:eastAsia="en-US"/>
        </w:rPr>
      </w:pPr>
      <w:r w:rsidRPr="00BE78D8">
        <w:rPr>
          <w:rFonts w:eastAsiaTheme="minorHAnsi"/>
          <w:color w:val="auto"/>
          <w:szCs w:val="24"/>
          <w:lang w:val="en-US" w:eastAsia="en-US"/>
        </w:rPr>
        <w:t>In a population pharmacokinetic analysis of patients receiving lenvatinib up to 24 mg once daily, agents which increase gastric pH (H2 receptor blockers, proton pump inhibitors, antacids) did not have a significant effect on lenvatinib exposure.</w:t>
      </w:r>
    </w:p>
    <w:p w:rsidR="00CB2DC4" w:rsidRPr="00BE78D8" w:rsidRDefault="00CB2DC4" w:rsidP="00CB2DC4">
      <w:pPr>
        <w:autoSpaceDE w:val="0"/>
        <w:autoSpaceDN w:val="0"/>
        <w:adjustRightInd w:val="0"/>
        <w:rPr>
          <w:rFonts w:eastAsiaTheme="minorHAnsi"/>
          <w:color w:val="auto"/>
          <w:szCs w:val="24"/>
          <w:lang w:val="en-US" w:eastAsia="en-US"/>
        </w:rPr>
      </w:pPr>
    </w:p>
    <w:p w:rsidR="00CB2DC4" w:rsidRPr="00BE78D8" w:rsidRDefault="00CB2DC4" w:rsidP="00CB2DC4">
      <w:pPr>
        <w:autoSpaceDE w:val="0"/>
        <w:autoSpaceDN w:val="0"/>
        <w:adjustRightInd w:val="0"/>
        <w:rPr>
          <w:rFonts w:eastAsiaTheme="minorHAnsi"/>
          <w:color w:val="auto"/>
          <w:szCs w:val="24"/>
          <w:u w:val="single"/>
          <w:lang w:val="en-US" w:eastAsia="en-US"/>
        </w:rPr>
      </w:pPr>
      <w:r w:rsidRPr="00BE78D8">
        <w:rPr>
          <w:rFonts w:eastAsiaTheme="minorHAnsi"/>
          <w:color w:val="auto"/>
          <w:szCs w:val="24"/>
          <w:u w:val="single"/>
          <w:lang w:val="en-US" w:eastAsia="en-US"/>
        </w:rPr>
        <w:t>Other chemotherapeutic agents</w:t>
      </w:r>
    </w:p>
    <w:p w:rsidR="00CB2DC4" w:rsidRPr="00BE78D8" w:rsidRDefault="00CB2DC4" w:rsidP="00CB2DC4">
      <w:pPr>
        <w:autoSpaceDE w:val="0"/>
        <w:autoSpaceDN w:val="0"/>
        <w:adjustRightInd w:val="0"/>
        <w:rPr>
          <w:rFonts w:eastAsiaTheme="minorHAnsi"/>
          <w:color w:val="auto"/>
          <w:szCs w:val="24"/>
          <w:lang w:val="en-US" w:eastAsia="en-US"/>
        </w:rPr>
      </w:pPr>
    </w:p>
    <w:p w:rsidR="00CB2DC4" w:rsidRPr="00BE78D8" w:rsidRDefault="00CB2DC4" w:rsidP="00CB2DC4">
      <w:pPr>
        <w:autoSpaceDE w:val="0"/>
        <w:autoSpaceDN w:val="0"/>
        <w:adjustRightInd w:val="0"/>
        <w:rPr>
          <w:rFonts w:eastAsiaTheme="minorHAnsi"/>
          <w:color w:val="auto"/>
          <w:szCs w:val="24"/>
          <w:lang w:val="en-US" w:eastAsia="en-US"/>
        </w:rPr>
      </w:pPr>
      <w:r w:rsidRPr="00BE78D8">
        <w:rPr>
          <w:rFonts w:eastAsiaTheme="minorHAnsi"/>
          <w:color w:val="auto"/>
          <w:szCs w:val="24"/>
          <w:lang w:val="en-US" w:eastAsia="en-US"/>
        </w:rPr>
        <w:t xml:space="preserve">Concomitant administration of lenvatinib, carboplatin, and paclitaxel </w:t>
      </w:r>
      <w:r w:rsidR="00BF7107">
        <w:rPr>
          <w:rFonts w:eastAsiaTheme="minorHAnsi"/>
          <w:color w:val="auto"/>
          <w:szCs w:val="24"/>
          <w:lang w:val="en-US" w:eastAsia="en-US"/>
        </w:rPr>
        <w:t>had</w:t>
      </w:r>
      <w:r w:rsidR="00BF7107" w:rsidRPr="00BE78D8">
        <w:rPr>
          <w:rFonts w:eastAsiaTheme="minorHAnsi"/>
          <w:color w:val="auto"/>
          <w:szCs w:val="24"/>
          <w:lang w:val="en-US" w:eastAsia="en-US"/>
        </w:rPr>
        <w:t xml:space="preserve"> </w:t>
      </w:r>
      <w:r w:rsidRPr="00BE78D8">
        <w:rPr>
          <w:rFonts w:eastAsiaTheme="minorHAnsi"/>
          <w:color w:val="auto"/>
          <w:szCs w:val="24"/>
          <w:lang w:val="en-US" w:eastAsia="en-US"/>
        </w:rPr>
        <w:t>no significant impact on the pharmacokinetics of any of these 3 drugs.</w:t>
      </w:r>
    </w:p>
    <w:p w:rsidR="00CB2DC4" w:rsidRPr="00BE78D8" w:rsidRDefault="00CB2DC4" w:rsidP="00CB2DC4">
      <w:pPr>
        <w:autoSpaceDE w:val="0"/>
        <w:autoSpaceDN w:val="0"/>
        <w:adjustRightInd w:val="0"/>
        <w:rPr>
          <w:rFonts w:eastAsiaTheme="minorHAnsi"/>
          <w:color w:val="auto"/>
          <w:szCs w:val="24"/>
          <w:lang w:val="en-US" w:eastAsia="en-US"/>
        </w:rPr>
      </w:pPr>
    </w:p>
    <w:p w:rsidR="00CB2DC4" w:rsidRPr="00BE78D8" w:rsidRDefault="00CB2DC4" w:rsidP="00CB2DC4">
      <w:pPr>
        <w:autoSpaceDE w:val="0"/>
        <w:autoSpaceDN w:val="0"/>
        <w:adjustRightInd w:val="0"/>
        <w:rPr>
          <w:rFonts w:eastAsiaTheme="minorHAnsi"/>
          <w:color w:val="auto"/>
          <w:szCs w:val="24"/>
          <w:u w:val="single"/>
          <w:lang w:val="en-US" w:eastAsia="en-US"/>
        </w:rPr>
      </w:pPr>
      <w:r w:rsidRPr="00BE78D8">
        <w:rPr>
          <w:rFonts w:eastAsiaTheme="minorHAnsi"/>
          <w:color w:val="auto"/>
          <w:szCs w:val="24"/>
          <w:u w:val="single"/>
          <w:lang w:val="en-US" w:eastAsia="en-US"/>
        </w:rPr>
        <w:lastRenderedPageBreak/>
        <w:t>Effect of lenvatinib on other medicinal products</w:t>
      </w:r>
    </w:p>
    <w:p w:rsidR="00CB2DC4" w:rsidRPr="00BE78D8" w:rsidRDefault="00CB2DC4" w:rsidP="00CB2DC4">
      <w:pPr>
        <w:autoSpaceDE w:val="0"/>
        <w:autoSpaceDN w:val="0"/>
        <w:adjustRightInd w:val="0"/>
        <w:rPr>
          <w:rFonts w:eastAsiaTheme="minorHAnsi"/>
          <w:i/>
          <w:iCs/>
          <w:color w:val="auto"/>
          <w:szCs w:val="24"/>
          <w:lang w:val="en-US" w:eastAsia="en-US"/>
        </w:rPr>
      </w:pPr>
    </w:p>
    <w:p w:rsidR="00CB2DC4" w:rsidRPr="00BE78D8" w:rsidRDefault="00CB2DC4" w:rsidP="00CB2DC4">
      <w:pPr>
        <w:autoSpaceDE w:val="0"/>
        <w:autoSpaceDN w:val="0"/>
        <w:adjustRightInd w:val="0"/>
        <w:rPr>
          <w:rFonts w:eastAsiaTheme="minorHAnsi"/>
          <w:i/>
          <w:iCs/>
          <w:color w:val="auto"/>
          <w:szCs w:val="24"/>
          <w:lang w:val="en-US" w:eastAsia="en-US"/>
        </w:rPr>
      </w:pPr>
      <w:r w:rsidRPr="00BE78D8">
        <w:rPr>
          <w:rFonts w:eastAsiaTheme="minorHAnsi"/>
          <w:i/>
          <w:iCs/>
          <w:color w:val="auto"/>
          <w:szCs w:val="24"/>
          <w:lang w:val="en-US" w:eastAsia="en-US"/>
        </w:rPr>
        <w:t>Cytochrome P450 or UGT enzyme substrates</w:t>
      </w:r>
    </w:p>
    <w:p w:rsidR="00CB2DC4" w:rsidRPr="00BE78D8" w:rsidRDefault="00CB2DC4" w:rsidP="00CB2DC4">
      <w:pPr>
        <w:autoSpaceDE w:val="0"/>
        <w:autoSpaceDN w:val="0"/>
        <w:adjustRightInd w:val="0"/>
        <w:rPr>
          <w:rFonts w:eastAsiaTheme="minorHAnsi"/>
          <w:color w:val="auto"/>
          <w:szCs w:val="24"/>
          <w:lang w:val="en-US" w:eastAsia="en-US"/>
        </w:rPr>
      </w:pPr>
      <w:r w:rsidRPr="00BE78D8">
        <w:rPr>
          <w:rFonts w:eastAsiaTheme="minorHAnsi"/>
          <w:color w:val="auto"/>
          <w:szCs w:val="24"/>
          <w:lang w:val="en-US" w:eastAsia="en-US"/>
        </w:rPr>
        <w:t xml:space="preserve">Lenvatinib is considered neither a strong inhibitor nor </w:t>
      </w:r>
      <w:r w:rsidR="00D61A3B">
        <w:rPr>
          <w:rFonts w:eastAsiaTheme="minorHAnsi"/>
          <w:color w:val="auto"/>
          <w:szCs w:val="24"/>
          <w:lang w:val="en-US" w:eastAsia="en-US"/>
        </w:rPr>
        <w:t xml:space="preserve">an </w:t>
      </w:r>
      <w:r w:rsidRPr="00BE78D8">
        <w:rPr>
          <w:rFonts w:eastAsiaTheme="minorHAnsi"/>
          <w:color w:val="auto"/>
          <w:szCs w:val="24"/>
          <w:lang w:val="en-US" w:eastAsia="en-US"/>
        </w:rPr>
        <w:t>inducer of cytochrome P450 or uridine 5’-diphosphoglucuronosyl transferase (UGT) enzymes.</w:t>
      </w:r>
    </w:p>
    <w:p w:rsidR="00CB2DC4" w:rsidRPr="00BE78D8" w:rsidRDefault="00CB2DC4" w:rsidP="00CB2DC4">
      <w:pPr>
        <w:autoSpaceDE w:val="0"/>
        <w:autoSpaceDN w:val="0"/>
        <w:adjustRightInd w:val="0"/>
        <w:rPr>
          <w:rFonts w:eastAsiaTheme="minorHAnsi"/>
          <w:i/>
          <w:iCs/>
          <w:color w:val="auto"/>
          <w:szCs w:val="24"/>
          <w:lang w:val="en-US" w:eastAsia="en-US"/>
        </w:rPr>
      </w:pPr>
    </w:p>
    <w:p w:rsidR="00CB2DC4" w:rsidRPr="00BE78D8" w:rsidRDefault="00CB2DC4" w:rsidP="00CB2DC4">
      <w:pPr>
        <w:autoSpaceDE w:val="0"/>
        <w:autoSpaceDN w:val="0"/>
        <w:adjustRightInd w:val="0"/>
        <w:rPr>
          <w:rFonts w:eastAsiaTheme="minorHAnsi"/>
          <w:i/>
          <w:iCs/>
          <w:color w:val="auto"/>
          <w:szCs w:val="24"/>
          <w:lang w:val="en-US" w:eastAsia="en-US"/>
        </w:rPr>
      </w:pPr>
      <w:r w:rsidRPr="00BE78D8">
        <w:rPr>
          <w:rFonts w:eastAsiaTheme="minorHAnsi"/>
          <w:i/>
          <w:iCs/>
          <w:color w:val="auto"/>
          <w:szCs w:val="24"/>
          <w:lang w:val="en-US" w:eastAsia="en-US"/>
        </w:rPr>
        <w:t>P-gp and BCRP substrates</w:t>
      </w:r>
    </w:p>
    <w:p w:rsidR="00CB2DC4" w:rsidRPr="00BE78D8" w:rsidRDefault="00CB2DC4" w:rsidP="00CB2DC4">
      <w:pPr>
        <w:autoSpaceDE w:val="0"/>
        <w:autoSpaceDN w:val="0"/>
        <w:adjustRightInd w:val="0"/>
        <w:rPr>
          <w:rFonts w:eastAsiaTheme="minorHAnsi"/>
          <w:color w:val="auto"/>
          <w:szCs w:val="24"/>
          <w:lang w:val="en-US" w:eastAsia="en-US"/>
        </w:rPr>
      </w:pPr>
      <w:r w:rsidRPr="00BE78D8">
        <w:rPr>
          <w:rFonts w:eastAsiaTheme="minorHAnsi"/>
          <w:color w:val="auto"/>
          <w:szCs w:val="24"/>
          <w:lang w:val="en-US" w:eastAsia="en-US"/>
        </w:rPr>
        <w:t>Lenvatinib showed minimal inhibitory activities toward P-gp-mediated and BCRP-mediated transport activities. Similarly, no induction of P-gp mRNA expression was observed.</w:t>
      </w:r>
    </w:p>
    <w:p w:rsidR="00366E64" w:rsidRDefault="00366E64" w:rsidP="00CB2DC4">
      <w:pPr>
        <w:autoSpaceDE w:val="0"/>
        <w:autoSpaceDN w:val="0"/>
        <w:adjustRightInd w:val="0"/>
        <w:rPr>
          <w:rFonts w:eastAsiaTheme="minorHAnsi"/>
          <w:i/>
          <w:iCs/>
          <w:color w:val="auto"/>
          <w:szCs w:val="24"/>
          <w:lang w:val="en-US" w:eastAsia="en-US"/>
        </w:rPr>
      </w:pPr>
    </w:p>
    <w:p w:rsidR="00CB2DC4" w:rsidRPr="00BE78D8" w:rsidRDefault="00CB2DC4" w:rsidP="00CB2DC4">
      <w:pPr>
        <w:autoSpaceDE w:val="0"/>
        <w:autoSpaceDN w:val="0"/>
        <w:adjustRightInd w:val="0"/>
        <w:rPr>
          <w:rFonts w:eastAsiaTheme="minorHAnsi"/>
          <w:i/>
          <w:iCs/>
          <w:color w:val="auto"/>
          <w:szCs w:val="24"/>
          <w:lang w:val="en-US" w:eastAsia="en-US"/>
        </w:rPr>
      </w:pPr>
      <w:r w:rsidRPr="00BE78D8">
        <w:rPr>
          <w:rFonts w:eastAsiaTheme="minorHAnsi"/>
          <w:i/>
          <w:iCs/>
          <w:color w:val="auto"/>
          <w:szCs w:val="24"/>
          <w:lang w:val="en-US" w:eastAsia="en-US"/>
        </w:rPr>
        <w:t>OAT, OCT, OATP, BSEP, and aldehyde oxidase substrates</w:t>
      </w:r>
    </w:p>
    <w:p w:rsidR="00CB2DC4" w:rsidRPr="00BE78D8" w:rsidRDefault="00CB2DC4" w:rsidP="00CB2DC4">
      <w:pPr>
        <w:autoSpaceDE w:val="0"/>
        <w:autoSpaceDN w:val="0"/>
        <w:adjustRightInd w:val="0"/>
        <w:rPr>
          <w:rFonts w:eastAsiaTheme="minorHAnsi"/>
          <w:color w:val="auto"/>
          <w:szCs w:val="24"/>
          <w:lang w:val="en-US" w:eastAsia="en-US"/>
        </w:rPr>
      </w:pPr>
      <w:r w:rsidRPr="00BE78D8">
        <w:rPr>
          <w:rFonts w:eastAsiaTheme="minorHAnsi"/>
          <w:color w:val="auto"/>
          <w:szCs w:val="24"/>
          <w:lang w:val="en-US" w:eastAsia="en-US"/>
        </w:rPr>
        <w:t>Lenvatinib showed inhibitory effects on organic anion transporter (OAT</w:t>
      </w:r>
      <w:proofErr w:type="gramStart"/>
      <w:r w:rsidRPr="00BE78D8">
        <w:rPr>
          <w:rFonts w:eastAsiaTheme="minorHAnsi"/>
          <w:color w:val="auto"/>
          <w:szCs w:val="24"/>
          <w:lang w:val="en-US" w:eastAsia="en-US"/>
        </w:rPr>
        <w:t>)1</w:t>
      </w:r>
      <w:proofErr w:type="gramEnd"/>
      <w:r w:rsidRPr="00BE78D8">
        <w:rPr>
          <w:rFonts w:eastAsiaTheme="minorHAnsi"/>
          <w:color w:val="auto"/>
          <w:szCs w:val="24"/>
          <w:lang w:val="en-US" w:eastAsia="en-US"/>
        </w:rPr>
        <w:t>, OAT3, organic cation transporter</w:t>
      </w:r>
      <w:r w:rsidR="00984B4D">
        <w:rPr>
          <w:rFonts w:eastAsiaTheme="minorHAnsi"/>
          <w:color w:val="auto"/>
          <w:szCs w:val="24"/>
          <w:lang w:val="en-US" w:eastAsia="en-US"/>
        </w:rPr>
        <w:t xml:space="preserve"> </w:t>
      </w:r>
      <w:r w:rsidRPr="00BE78D8">
        <w:rPr>
          <w:rFonts w:eastAsiaTheme="minorHAnsi"/>
          <w:color w:val="auto"/>
          <w:szCs w:val="24"/>
          <w:lang w:val="en-US" w:eastAsia="en-US"/>
        </w:rPr>
        <w:t>(OCT)1, OCT2, organic anion transporting polypeptide (OATP)1B1, and bile salt export pump (BSEP), but minimal or no inhibitory effect on OATP1B3. In human liver cytosol, lenvatinib did not inhibit aldehyde oxidase activity.</w:t>
      </w:r>
    </w:p>
    <w:p w:rsidR="00026C88" w:rsidRPr="00BE78D8" w:rsidRDefault="00026C88" w:rsidP="00CB2DC4">
      <w:pPr>
        <w:autoSpaceDE w:val="0"/>
        <w:autoSpaceDN w:val="0"/>
        <w:adjustRightInd w:val="0"/>
        <w:rPr>
          <w:rFonts w:eastAsiaTheme="minorHAnsi"/>
          <w:color w:val="auto"/>
          <w:szCs w:val="24"/>
          <w:lang w:val="en-US" w:eastAsia="en-US"/>
        </w:rPr>
      </w:pPr>
    </w:p>
    <w:p w:rsidR="00026C88" w:rsidRPr="00BE78D8" w:rsidRDefault="00026C88" w:rsidP="009A1D5E">
      <w:pPr>
        <w:keepNext/>
        <w:spacing w:after="240" w:line="276" w:lineRule="auto"/>
        <w:ind w:right="-1015"/>
        <w:jc w:val="both"/>
        <w:rPr>
          <w:b/>
          <w:szCs w:val="24"/>
        </w:rPr>
      </w:pPr>
      <w:r w:rsidRPr="00BE78D8">
        <w:rPr>
          <w:b/>
          <w:szCs w:val="24"/>
        </w:rPr>
        <w:t>ADVERSE EFFECTS</w:t>
      </w:r>
    </w:p>
    <w:p w:rsidR="00026C88" w:rsidRPr="00BE78D8" w:rsidRDefault="00026C88" w:rsidP="00026C88">
      <w:pPr>
        <w:autoSpaceDE w:val="0"/>
        <w:autoSpaceDN w:val="0"/>
        <w:adjustRightInd w:val="0"/>
        <w:ind w:right="127"/>
        <w:rPr>
          <w:rFonts w:eastAsia="MS Mincho"/>
          <w:b/>
          <w:szCs w:val="24"/>
          <w:u w:val="single"/>
          <w:lang w:val="en-US" w:eastAsia="en-US"/>
        </w:rPr>
      </w:pPr>
      <w:r w:rsidRPr="00BE78D8">
        <w:rPr>
          <w:rFonts w:eastAsia="MS Mincho"/>
          <w:b/>
          <w:szCs w:val="24"/>
          <w:u w:val="single"/>
          <w:lang w:val="en-US" w:eastAsia="en-US"/>
        </w:rPr>
        <w:t>Clinical Trials</w:t>
      </w:r>
    </w:p>
    <w:p w:rsidR="00026C88" w:rsidRPr="00BE78D8" w:rsidRDefault="00026C88" w:rsidP="00026C88">
      <w:pPr>
        <w:autoSpaceDE w:val="0"/>
        <w:autoSpaceDN w:val="0"/>
        <w:adjustRightInd w:val="0"/>
        <w:ind w:right="127"/>
        <w:rPr>
          <w:rFonts w:eastAsia="MS Mincho"/>
          <w:b/>
          <w:szCs w:val="24"/>
          <w:u w:val="single"/>
          <w:lang w:val="en-US" w:eastAsia="en-US"/>
        </w:rPr>
      </w:pPr>
    </w:p>
    <w:p w:rsidR="00026C88" w:rsidRPr="00BE78D8" w:rsidRDefault="00026C88" w:rsidP="00026C88">
      <w:pPr>
        <w:autoSpaceDE w:val="0"/>
        <w:autoSpaceDN w:val="0"/>
        <w:adjustRightInd w:val="0"/>
        <w:spacing w:after="240"/>
        <w:ind w:right="125"/>
        <w:rPr>
          <w:szCs w:val="24"/>
          <w:u w:val="single"/>
        </w:rPr>
      </w:pPr>
      <w:r w:rsidRPr="00BE78D8">
        <w:rPr>
          <w:szCs w:val="24"/>
          <w:u w:val="single"/>
        </w:rPr>
        <w:t>Summary of safety profile</w:t>
      </w:r>
    </w:p>
    <w:p w:rsidR="00026C88" w:rsidRPr="00BE78D8" w:rsidRDefault="00026C88" w:rsidP="00026C88">
      <w:pPr>
        <w:autoSpaceDE w:val="0"/>
        <w:autoSpaceDN w:val="0"/>
        <w:adjustRightInd w:val="0"/>
        <w:rPr>
          <w:rFonts w:eastAsiaTheme="minorHAnsi"/>
          <w:color w:val="auto"/>
          <w:szCs w:val="24"/>
          <w:lang w:val="en-US" w:eastAsia="en-US"/>
        </w:rPr>
      </w:pPr>
      <w:r w:rsidRPr="00BE78D8">
        <w:rPr>
          <w:rFonts w:eastAsiaTheme="minorHAnsi"/>
          <w:color w:val="auto"/>
          <w:szCs w:val="24"/>
          <w:lang w:val="en-US" w:eastAsia="en-US"/>
        </w:rPr>
        <w:t xml:space="preserve">The safety profile of lenvatinib is based on a pooled analysis of safety data from clinical trials in which 1108 patients were treated with lenvatinib including 452 patients with </w:t>
      </w:r>
      <w:r w:rsidR="00910A3E" w:rsidRPr="005073FE">
        <w:t>radioactive iodine refractory differentiated thyroid cancer</w:t>
      </w:r>
      <w:r w:rsidR="00910A3E">
        <w:t xml:space="preserve"> </w:t>
      </w:r>
      <w:r w:rsidR="00910A3E" w:rsidRPr="00725905">
        <w:t>(RAI - Refractory DTC)</w:t>
      </w:r>
      <w:r w:rsidR="00221E35">
        <w:rPr>
          <w:rFonts w:eastAsiaTheme="minorHAnsi"/>
          <w:color w:val="auto"/>
          <w:szCs w:val="24"/>
          <w:lang w:val="en-US" w:eastAsia="en-US"/>
        </w:rPr>
        <w:t>,</w:t>
      </w:r>
      <w:r w:rsidRPr="00BE78D8">
        <w:rPr>
          <w:rFonts w:eastAsiaTheme="minorHAnsi"/>
          <w:color w:val="auto"/>
          <w:szCs w:val="24"/>
          <w:lang w:val="en-US" w:eastAsia="en-US"/>
        </w:rPr>
        <w:t xml:space="preserve"> who received the recommended dose in the pivotal Phase 3 SELECT trial and two Phase 2 clinical trials</w:t>
      </w:r>
      <w:r w:rsidR="0098196D">
        <w:rPr>
          <w:rFonts w:eastAsiaTheme="minorHAnsi"/>
          <w:color w:val="auto"/>
          <w:szCs w:val="24"/>
          <w:lang w:val="en-US" w:eastAsia="en-US"/>
        </w:rPr>
        <w:t>,</w:t>
      </w:r>
      <w:r w:rsidRPr="00BE78D8">
        <w:rPr>
          <w:rFonts w:eastAsiaTheme="minorHAnsi"/>
          <w:color w:val="auto"/>
          <w:szCs w:val="24"/>
          <w:lang w:val="en-US" w:eastAsia="en-US"/>
        </w:rPr>
        <w:t xml:space="preserve"> and 656 patients with other cancer types.</w:t>
      </w:r>
    </w:p>
    <w:p w:rsidR="00026C88" w:rsidRPr="00BE78D8" w:rsidRDefault="00026C88" w:rsidP="00026C88">
      <w:pPr>
        <w:autoSpaceDE w:val="0"/>
        <w:autoSpaceDN w:val="0"/>
        <w:adjustRightInd w:val="0"/>
        <w:rPr>
          <w:rFonts w:eastAsiaTheme="minorHAnsi"/>
          <w:color w:val="auto"/>
          <w:szCs w:val="24"/>
          <w:lang w:val="en-US" w:eastAsia="en-US"/>
        </w:rPr>
      </w:pPr>
    </w:p>
    <w:p w:rsidR="00026C88" w:rsidRPr="00BE78D8" w:rsidRDefault="00026C88" w:rsidP="00026C88">
      <w:pPr>
        <w:autoSpaceDE w:val="0"/>
        <w:autoSpaceDN w:val="0"/>
        <w:adjustRightInd w:val="0"/>
        <w:rPr>
          <w:rFonts w:eastAsiaTheme="minorHAnsi"/>
          <w:color w:val="auto"/>
          <w:szCs w:val="24"/>
          <w:lang w:val="en-US" w:eastAsia="en-US"/>
        </w:rPr>
      </w:pPr>
      <w:r w:rsidRPr="00BE78D8">
        <w:rPr>
          <w:rFonts w:eastAsiaTheme="minorHAnsi"/>
          <w:color w:val="auto"/>
          <w:szCs w:val="24"/>
          <w:lang w:val="en-US" w:eastAsia="en-US"/>
        </w:rPr>
        <w:t xml:space="preserve">The most frequently reported adverse reactions in 452 patients with </w:t>
      </w:r>
      <w:r w:rsidR="00B27DF9" w:rsidRPr="00725905">
        <w:t>RAI - Refractory DTC</w:t>
      </w:r>
      <w:r w:rsidR="00B27DF9" w:rsidRPr="00BE78D8" w:rsidDel="00B27DF9">
        <w:rPr>
          <w:rFonts w:eastAsiaTheme="minorHAnsi"/>
          <w:color w:val="auto"/>
          <w:szCs w:val="24"/>
          <w:lang w:val="en-US" w:eastAsia="en-US"/>
        </w:rPr>
        <w:t xml:space="preserve"> </w:t>
      </w:r>
      <w:r w:rsidRPr="00BE78D8">
        <w:rPr>
          <w:rFonts w:eastAsiaTheme="minorHAnsi"/>
          <w:color w:val="auto"/>
          <w:szCs w:val="24"/>
          <w:lang w:val="en-US" w:eastAsia="en-US"/>
        </w:rPr>
        <w:t xml:space="preserve">(occurring in ≥30% of patients) were hypertension, diarrhoea, decreased appetite, weight decreased, fatigue, nausea, proteinuria, stomatitis, vomiting, dysphonia, headache, and palmar-plantar erythrodysaesthesia syndrome (PPE). Hypertension and proteinuria tend to occur early during lenvatinib treatment (see </w:t>
      </w:r>
      <w:r w:rsidR="00240ADF">
        <w:rPr>
          <w:rFonts w:eastAsiaTheme="minorHAnsi"/>
          <w:color w:val="auto"/>
          <w:szCs w:val="24"/>
          <w:lang w:val="en-US" w:eastAsia="en-US"/>
        </w:rPr>
        <w:t xml:space="preserve">Selected Adverse </w:t>
      </w:r>
      <w:r w:rsidR="00AA031C">
        <w:rPr>
          <w:rFonts w:eastAsiaTheme="minorHAnsi"/>
          <w:color w:val="auto"/>
          <w:szCs w:val="24"/>
          <w:lang w:val="en-US" w:eastAsia="en-US"/>
        </w:rPr>
        <w:t>Reactions</w:t>
      </w:r>
      <w:r w:rsidRPr="00BE78D8">
        <w:rPr>
          <w:rFonts w:eastAsiaTheme="minorHAnsi"/>
          <w:color w:val="auto"/>
          <w:szCs w:val="24"/>
          <w:lang w:val="en-US" w:eastAsia="en-US"/>
        </w:rPr>
        <w:t xml:space="preserve">). The majority of Grade 3 </w:t>
      </w:r>
      <w:r w:rsidR="0098196D">
        <w:rPr>
          <w:rFonts w:eastAsiaTheme="minorHAnsi"/>
          <w:color w:val="auto"/>
          <w:szCs w:val="24"/>
          <w:lang w:val="en-US" w:eastAsia="en-US"/>
        </w:rPr>
        <w:t>or</w:t>
      </w:r>
      <w:r w:rsidR="0098196D" w:rsidRPr="00BE78D8">
        <w:rPr>
          <w:rFonts w:eastAsiaTheme="minorHAnsi"/>
          <w:color w:val="auto"/>
          <w:szCs w:val="24"/>
          <w:lang w:val="en-US" w:eastAsia="en-US"/>
        </w:rPr>
        <w:t xml:space="preserve"> </w:t>
      </w:r>
      <w:r w:rsidRPr="00BE78D8">
        <w:rPr>
          <w:rFonts w:eastAsiaTheme="minorHAnsi"/>
          <w:color w:val="auto"/>
          <w:szCs w:val="24"/>
          <w:lang w:val="en-US" w:eastAsia="en-US"/>
        </w:rPr>
        <w:t>4 adverse reactions occurred during the first 6 months of treatment except for</w:t>
      </w:r>
      <w:r w:rsidRPr="009A1D5E">
        <w:rPr>
          <w:rFonts w:eastAsiaTheme="minorHAnsi"/>
          <w:color w:val="auto"/>
          <w:szCs w:val="24"/>
          <w:lang w:eastAsia="en-US"/>
        </w:rPr>
        <w:t xml:space="preserve"> diarrhoea</w:t>
      </w:r>
      <w:r w:rsidRPr="00BE78D8">
        <w:rPr>
          <w:rFonts w:eastAsiaTheme="minorHAnsi"/>
          <w:color w:val="auto"/>
          <w:szCs w:val="24"/>
          <w:lang w:val="en-US" w:eastAsia="en-US"/>
        </w:rPr>
        <w:t>, which occurred throughout treatment, and weight loss, which tended to be cumulative over time.</w:t>
      </w:r>
    </w:p>
    <w:p w:rsidR="00026C88" w:rsidRPr="00BE78D8" w:rsidRDefault="00026C88" w:rsidP="00026C88">
      <w:pPr>
        <w:autoSpaceDE w:val="0"/>
        <w:autoSpaceDN w:val="0"/>
        <w:adjustRightInd w:val="0"/>
        <w:rPr>
          <w:rFonts w:eastAsiaTheme="minorHAnsi"/>
          <w:color w:val="auto"/>
          <w:szCs w:val="24"/>
          <w:lang w:val="en-US" w:eastAsia="en-US"/>
        </w:rPr>
      </w:pPr>
      <w:r w:rsidRPr="00BE78D8">
        <w:rPr>
          <w:rFonts w:eastAsiaTheme="minorHAnsi"/>
          <w:color w:val="auto"/>
          <w:szCs w:val="24"/>
          <w:lang w:val="en-US" w:eastAsia="en-US"/>
        </w:rPr>
        <w:t xml:space="preserve">Adverse events led to dose reductions in 63.1% and discontinuations in 19.5% of 452 patients with </w:t>
      </w:r>
      <w:r w:rsidR="00B27DF9" w:rsidRPr="00725905">
        <w:t>RAI - Refractory DTC</w:t>
      </w:r>
      <w:r w:rsidRPr="00BE78D8">
        <w:rPr>
          <w:rFonts w:eastAsiaTheme="minorHAnsi"/>
          <w:color w:val="auto"/>
          <w:szCs w:val="24"/>
          <w:lang w:val="en-US" w:eastAsia="en-US"/>
        </w:rPr>
        <w:t>.</w:t>
      </w:r>
      <w:r w:rsidR="0098196D">
        <w:rPr>
          <w:rFonts w:eastAsiaTheme="minorHAnsi"/>
          <w:color w:val="auto"/>
          <w:szCs w:val="24"/>
          <w:lang w:val="en-US" w:eastAsia="en-US"/>
        </w:rPr>
        <w:t xml:space="preserve"> </w:t>
      </w:r>
    </w:p>
    <w:p w:rsidR="00204FD1" w:rsidRDefault="00204FD1" w:rsidP="00026C88">
      <w:pPr>
        <w:autoSpaceDE w:val="0"/>
        <w:autoSpaceDN w:val="0"/>
        <w:adjustRightInd w:val="0"/>
        <w:rPr>
          <w:rFonts w:eastAsiaTheme="minorHAnsi"/>
          <w:color w:val="auto"/>
          <w:szCs w:val="24"/>
          <w:lang w:val="en-US" w:eastAsia="en-US"/>
        </w:rPr>
      </w:pPr>
    </w:p>
    <w:p w:rsidR="00026C88" w:rsidRDefault="00026C88" w:rsidP="00026C88">
      <w:pPr>
        <w:autoSpaceDE w:val="0"/>
        <w:autoSpaceDN w:val="0"/>
        <w:adjustRightInd w:val="0"/>
        <w:rPr>
          <w:rFonts w:eastAsiaTheme="minorHAnsi"/>
          <w:color w:val="auto"/>
          <w:szCs w:val="24"/>
          <w:lang w:val="en-US" w:eastAsia="en-US"/>
        </w:rPr>
      </w:pPr>
      <w:r w:rsidRPr="00BE78D8">
        <w:rPr>
          <w:rFonts w:eastAsiaTheme="minorHAnsi"/>
          <w:color w:val="auto"/>
          <w:szCs w:val="24"/>
          <w:lang w:val="en-US" w:eastAsia="en-US"/>
        </w:rPr>
        <w:t>Adverse reactions that most commonly led to dose reductions (in ≥5% of patients) were hypertension, proteinuria,</w:t>
      </w:r>
      <w:r w:rsidRPr="009A1D5E">
        <w:rPr>
          <w:rFonts w:eastAsiaTheme="minorHAnsi"/>
          <w:color w:val="auto"/>
          <w:szCs w:val="24"/>
          <w:lang w:eastAsia="en-US"/>
        </w:rPr>
        <w:t xml:space="preserve"> diarrhoea</w:t>
      </w:r>
      <w:r w:rsidRPr="00BE78D8">
        <w:rPr>
          <w:rFonts w:eastAsiaTheme="minorHAnsi"/>
          <w:color w:val="auto"/>
          <w:szCs w:val="24"/>
          <w:lang w:val="en-US" w:eastAsia="en-US"/>
        </w:rPr>
        <w:t xml:space="preserve">, fatigue, </w:t>
      </w:r>
      <w:proofErr w:type="gramStart"/>
      <w:r w:rsidRPr="00BE78D8">
        <w:rPr>
          <w:rFonts w:eastAsiaTheme="minorHAnsi"/>
          <w:color w:val="auto"/>
          <w:szCs w:val="24"/>
          <w:lang w:val="en-US" w:eastAsia="en-US"/>
        </w:rPr>
        <w:t>PPE,</w:t>
      </w:r>
      <w:proofErr w:type="gramEnd"/>
      <w:r w:rsidRPr="00BE78D8">
        <w:rPr>
          <w:rFonts w:eastAsiaTheme="minorHAnsi"/>
          <w:color w:val="auto"/>
          <w:szCs w:val="24"/>
          <w:lang w:val="en-US" w:eastAsia="en-US"/>
        </w:rPr>
        <w:t xml:space="preserve"> weight decreased, and decreased appetite. Adverse reactions that most commonly led to discontinuation of lenvatinib were proteinuria, asthenia, hypertension, cerebrovascular accident,</w:t>
      </w:r>
      <w:r w:rsidRPr="009A1D5E">
        <w:rPr>
          <w:rFonts w:eastAsiaTheme="minorHAnsi"/>
          <w:color w:val="auto"/>
          <w:szCs w:val="24"/>
          <w:lang w:eastAsia="en-US"/>
        </w:rPr>
        <w:t xml:space="preserve"> diarrhoea</w:t>
      </w:r>
      <w:r w:rsidRPr="00BE78D8">
        <w:rPr>
          <w:rFonts w:eastAsiaTheme="minorHAnsi"/>
          <w:color w:val="auto"/>
          <w:szCs w:val="24"/>
          <w:lang w:val="en-US" w:eastAsia="en-US"/>
        </w:rPr>
        <w:t>, and pulmonary embolism.</w:t>
      </w:r>
    </w:p>
    <w:p w:rsidR="007739E4" w:rsidRDefault="007739E4" w:rsidP="00026C88">
      <w:pPr>
        <w:autoSpaceDE w:val="0"/>
        <w:autoSpaceDN w:val="0"/>
        <w:adjustRightInd w:val="0"/>
        <w:rPr>
          <w:rFonts w:eastAsiaTheme="minorHAnsi"/>
          <w:color w:val="auto"/>
          <w:szCs w:val="24"/>
          <w:lang w:val="en-US" w:eastAsia="en-US"/>
        </w:rPr>
      </w:pPr>
    </w:p>
    <w:p w:rsidR="007739E4" w:rsidRPr="007739E4" w:rsidRDefault="00386878" w:rsidP="007739E4">
      <w:pPr>
        <w:autoSpaceDE w:val="0"/>
        <w:autoSpaceDN w:val="0"/>
        <w:adjustRightInd w:val="0"/>
        <w:rPr>
          <w:rFonts w:eastAsiaTheme="minorHAnsi"/>
          <w:color w:val="auto"/>
          <w:szCs w:val="24"/>
          <w:lang w:eastAsia="en-US"/>
        </w:rPr>
      </w:pPr>
      <w:r>
        <w:t xml:space="preserve">Table 3 </w:t>
      </w:r>
      <w:r w:rsidR="007739E4" w:rsidRPr="007739E4">
        <w:rPr>
          <w:rFonts w:eastAsiaTheme="minorHAnsi"/>
          <w:color w:val="auto"/>
          <w:szCs w:val="24"/>
          <w:lang w:eastAsia="en-US"/>
        </w:rPr>
        <w:t xml:space="preserve">shows the incidence rates of adverse reactions observed in 452 patients with </w:t>
      </w:r>
      <w:r w:rsidR="00B27DF9" w:rsidRPr="00725905">
        <w:t>RAI - Refractory DTC</w:t>
      </w:r>
      <w:r w:rsidR="007739E4" w:rsidRPr="007739E4">
        <w:rPr>
          <w:rFonts w:eastAsiaTheme="minorHAnsi"/>
          <w:color w:val="auto"/>
          <w:szCs w:val="24"/>
          <w:lang w:eastAsia="en-US"/>
        </w:rPr>
        <w:t xml:space="preserve"> who received the recommended dose in the pivotal Phase 3 SELECT trial and two Phase 2 clinical trials.</w:t>
      </w:r>
    </w:p>
    <w:p w:rsidR="007739E4" w:rsidRDefault="007739E4" w:rsidP="007739E4">
      <w:pPr>
        <w:autoSpaceDE w:val="0"/>
        <w:autoSpaceDN w:val="0"/>
        <w:adjustRightInd w:val="0"/>
        <w:rPr>
          <w:rFonts w:eastAsiaTheme="minorHAnsi"/>
          <w:color w:val="auto"/>
          <w:szCs w:val="24"/>
          <w:lang w:eastAsia="en-US"/>
        </w:rPr>
      </w:pPr>
    </w:p>
    <w:p w:rsidR="007739E4" w:rsidRPr="007739E4" w:rsidRDefault="007739E4" w:rsidP="007739E4">
      <w:pPr>
        <w:autoSpaceDE w:val="0"/>
        <w:autoSpaceDN w:val="0"/>
        <w:adjustRightInd w:val="0"/>
        <w:rPr>
          <w:rFonts w:eastAsiaTheme="minorHAnsi"/>
          <w:color w:val="auto"/>
          <w:szCs w:val="24"/>
          <w:lang w:eastAsia="en-US"/>
        </w:rPr>
      </w:pPr>
      <w:r w:rsidRPr="007739E4">
        <w:rPr>
          <w:rFonts w:eastAsiaTheme="minorHAnsi"/>
          <w:color w:val="auto"/>
          <w:szCs w:val="24"/>
          <w:lang w:eastAsia="en-US"/>
        </w:rPr>
        <w:t>Frequencies are defined as:</w:t>
      </w:r>
    </w:p>
    <w:p w:rsidR="007739E4" w:rsidRPr="007739E4" w:rsidRDefault="007739E4" w:rsidP="007739E4">
      <w:pPr>
        <w:numPr>
          <w:ilvl w:val="0"/>
          <w:numId w:val="1"/>
        </w:numPr>
        <w:autoSpaceDE w:val="0"/>
        <w:autoSpaceDN w:val="0"/>
        <w:adjustRightInd w:val="0"/>
        <w:rPr>
          <w:rFonts w:eastAsiaTheme="minorHAnsi"/>
          <w:color w:val="auto"/>
          <w:szCs w:val="24"/>
          <w:lang w:eastAsia="en-US"/>
        </w:rPr>
      </w:pPr>
      <w:r w:rsidRPr="007739E4">
        <w:rPr>
          <w:rFonts w:eastAsiaTheme="minorHAnsi"/>
          <w:color w:val="auto"/>
          <w:szCs w:val="24"/>
          <w:lang w:eastAsia="en-US"/>
        </w:rPr>
        <w:lastRenderedPageBreak/>
        <w:t>Very common</w:t>
      </w:r>
      <w:r w:rsidRPr="007739E4">
        <w:rPr>
          <w:rFonts w:eastAsiaTheme="minorHAnsi"/>
          <w:color w:val="auto"/>
          <w:szCs w:val="24"/>
          <w:lang w:eastAsia="en-US"/>
        </w:rPr>
        <w:tab/>
        <w:t>(≥1/10)</w:t>
      </w:r>
    </w:p>
    <w:p w:rsidR="007739E4" w:rsidRPr="007739E4" w:rsidRDefault="007739E4" w:rsidP="007739E4">
      <w:pPr>
        <w:numPr>
          <w:ilvl w:val="0"/>
          <w:numId w:val="1"/>
        </w:numPr>
        <w:autoSpaceDE w:val="0"/>
        <w:autoSpaceDN w:val="0"/>
        <w:adjustRightInd w:val="0"/>
        <w:rPr>
          <w:rFonts w:eastAsiaTheme="minorHAnsi"/>
          <w:color w:val="auto"/>
          <w:szCs w:val="24"/>
          <w:lang w:eastAsia="en-US"/>
        </w:rPr>
      </w:pPr>
      <w:r w:rsidRPr="007739E4">
        <w:rPr>
          <w:rFonts w:eastAsiaTheme="minorHAnsi"/>
          <w:color w:val="auto"/>
          <w:szCs w:val="24"/>
          <w:lang w:eastAsia="en-US"/>
        </w:rPr>
        <w:t>Common</w:t>
      </w:r>
      <w:r w:rsidRPr="007739E4">
        <w:rPr>
          <w:rFonts w:eastAsiaTheme="minorHAnsi"/>
          <w:color w:val="auto"/>
          <w:szCs w:val="24"/>
          <w:lang w:eastAsia="en-US"/>
        </w:rPr>
        <w:tab/>
        <w:t>(≥1/100 to &lt;1/10)</w:t>
      </w:r>
    </w:p>
    <w:p w:rsidR="007739E4" w:rsidRPr="007739E4" w:rsidRDefault="007739E4" w:rsidP="007739E4">
      <w:pPr>
        <w:numPr>
          <w:ilvl w:val="0"/>
          <w:numId w:val="1"/>
        </w:numPr>
        <w:autoSpaceDE w:val="0"/>
        <w:autoSpaceDN w:val="0"/>
        <w:adjustRightInd w:val="0"/>
        <w:rPr>
          <w:rFonts w:eastAsiaTheme="minorHAnsi"/>
          <w:color w:val="auto"/>
          <w:szCs w:val="24"/>
          <w:lang w:eastAsia="en-US"/>
        </w:rPr>
      </w:pPr>
      <w:r w:rsidRPr="007739E4">
        <w:rPr>
          <w:rFonts w:eastAsiaTheme="minorHAnsi"/>
          <w:color w:val="auto"/>
          <w:szCs w:val="24"/>
          <w:lang w:eastAsia="en-US"/>
        </w:rPr>
        <w:t>Uncommon</w:t>
      </w:r>
      <w:r w:rsidRPr="007739E4">
        <w:rPr>
          <w:rFonts w:eastAsiaTheme="minorHAnsi"/>
          <w:color w:val="auto"/>
          <w:szCs w:val="24"/>
          <w:lang w:eastAsia="en-US"/>
        </w:rPr>
        <w:tab/>
        <w:t>(≥1/1,000 to &lt;1/100)</w:t>
      </w:r>
    </w:p>
    <w:p w:rsidR="007739E4" w:rsidRPr="007739E4" w:rsidRDefault="007739E4" w:rsidP="007739E4">
      <w:pPr>
        <w:autoSpaceDE w:val="0"/>
        <w:autoSpaceDN w:val="0"/>
        <w:adjustRightInd w:val="0"/>
        <w:rPr>
          <w:rFonts w:eastAsiaTheme="minorHAnsi"/>
          <w:color w:val="auto"/>
          <w:szCs w:val="24"/>
          <w:lang w:eastAsia="en-US"/>
        </w:rPr>
      </w:pPr>
    </w:p>
    <w:p w:rsidR="007739E4" w:rsidRPr="007739E4" w:rsidRDefault="007739E4" w:rsidP="007739E4">
      <w:pPr>
        <w:autoSpaceDE w:val="0"/>
        <w:autoSpaceDN w:val="0"/>
        <w:adjustRightInd w:val="0"/>
        <w:rPr>
          <w:rFonts w:eastAsiaTheme="minorHAnsi"/>
          <w:color w:val="auto"/>
          <w:szCs w:val="24"/>
          <w:lang w:eastAsia="en-US"/>
        </w:rPr>
      </w:pPr>
      <w:r w:rsidRPr="007739E4">
        <w:rPr>
          <w:rFonts w:eastAsiaTheme="minorHAnsi"/>
          <w:color w:val="auto"/>
          <w:szCs w:val="24"/>
          <w:lang w:eastAsia="en-US"/>
        </w:rPr>
        <w:t>Within each category, undesirable effects are presented in order of decreasing severity.</w:t>
      </w:r>
    </w:p>
    <w:p w:rsidR="00026C88" w:rsidRDefault="00026C88" w:rsidP="00026C88">
      <w:pPr>
        <w:autoSpaceDE w:val="0"/>
        <w:autoSpaceDN w:val="0"/>
        <w:adjustRightInd w:val="0"/>
        <w:rPr>
          <w:rFonts w:eastAsiaTheme="minorHAnsi"/>
          <w:color w:val="auto"/>
          <w:szCs w:val="24"/>
          <w:lang w:val="en-US" w:eastAsia="en-US"/>
        </w:rPr>
      </w:pPr>
    </w:p>
    <w:p w:rsidR="007B31D9" w:rsidRDefault="007B31D9" w:rsidP="00026C88">
      <w:pPr>
        <w:autoSpaceDE w:val="0"/>
        <w:autoSpaceDN w:val="0"/>
        <w:adjustRightInd w:val="0"/>
        <w:rPr>
          <w:rFonts w:eastAsiaTheme="minorHAnsi"/>
          <w:color w:val="auto"/>
          <w:szCs w:val="24"/>
          <w:lang w:val="en-US" w:eastAsia="en-US"/>
        </w:rPr>
      </w:pPr>
    </w:p>
    <w:p w:rsidR="007B31D9" w:rsidRPr="008071A7" w:rsidRDefault="007B31D9" w:rsidP="007B31D9">
      <w:pPr>
        <w:pStyle w:val="Caption"/>
        <w:keepNext/>
        <w:keepLines/>
        <w:tabs>
          <w:tab w:val="clear" w:pos="567"/>
        </w:tabs>
        <w:spacing w:line="240" w:lineRule="auto"/>
        <w:ind w:left="993" w:hanging="993"/>
        <w:rPr>
          <w:sz w:val="22"/>
          <w:szCs w:val="22"/>
        </w:rPr>
      </w:pPr>
      <w:bookmarkStart w:id="0" w:name="_Ref393978071"/>
      <w:r w:rsidRPr="008071A7">
        <w:rPr>
          <w:sz w:val="22"/>
          <w:szCs w:val="22"/>
        </w:rPr>
        <w:t>Table</w:t>
      </w:r>
      <w:r w:rsidR="00386878">
        <w:rPr>
          <w:sz w:val="22"/>
          <w:szCs w:val="22"/>
        </w:rPr>
        <w:t xml:space="preserve"> 3</w:t>
      </w:r>
      <w:bookmarkEnd w:id="0"/>
      <w:r w:rsidRPr="008071A7">
        <w:rPr>
          <w:sz w:val="22"/>
          <w:szCs w:val="22"/>
        </w:rPr>
        <w:tab/>
        <w:t>Adverse reactions reported in patients in clinical trials</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693"/>
        <w:gridCol w:w="2410"/>
        <w:gridCol w:w="2694"/>
      </w:tblGrid>
      <w:tr w:rsidR="007B31D9" w:rsidRPr="008071A7" w:rsidTr="004D4EB9">
        <w:trPr>
          <w:tblHeader/>
        </w:trPr>
        <w:tc>
          <w:tcPr>
            <w:tcW w:w="1951" w:type="dxa"/>
            <w:vAlign w:val="center"/>
          </w:tcPr>
          <w:p w:rsidR="007B31D9" w:rsidRPr="008071A7" w:rsidRDefault="007B31D9" w:rsidP="00EE5DA3">
            <w:pPr>
              <w:keepNext/>
              <w:keepLines/>
              <w:rPr>
                <w:b/>
                <w:bCs/>
                <w:szCs w:val="22"/>
              </w:rPr>
            </w:pPr>
            <w:r w:rsidRPr="008071A7">
              <w:rPr>
                <w:szCs w:val="22"/>
              </w:rPr>
              <w:br w:type="page"/>
            </w:r>
            <w:r w:rsidRPr="008071A7">
              <w:rPr>
                <w:szCs w:val="22"/>
              </w:rPr>
              <w:br w:type="page"/>
            </w:r>
            <w:r w:rsidRPr="008071A7">
              <w:rPr>
                <w:b/>
                <w:bCs/>
                <w:szCs w:val="22"/>
              </w:rPr>
              <w:t>System Organ Class</w:t>
            </w:r>
          </w:p>
          <w:p w:rsidR="007B31D9" w:rsidRPr="008071A7" w:rsidRDefault="007B31D9" w:rsidP="00EE5DA3">
            <w:pPr>
              <w:pStyle w:val="Paragraph"/>
            </w:pPr>
            <w:r w:rsidRPr="008071A7">
              <w:rPr>
                <w:rFonts w:eastAsia="Arial Unicode MS"/>
                <w:szCs w:val="22"/>
              </w:rPr>
              <w:t>(MedDRA terminology</w:t>
            </w:r>
            <w:r w:rsidRPr="008071A7">
              <w:rPr>
                <w:vertAlign w:val="superscript"/>
              </w:rPr>
              <w:t>*</w:t>
            </w:r>
            <w:r w:rsidRPr="008071A7">
              <w:rPr>
                <w:rFonts w:eastAsia="Arial Unicode MS"/>
                <w:szCs w:val="22"/>
              </w:rPr>
              <w:t>)</w:t>
            </w:r>
          </w:p>
        </w:tc>
        <w:tc>
          <w:tcPr>
            <w:tcW w:w="2693" w:type="dxa"/>
            <w:vAlign w:val="center"/>
          </w:tcPr>
          <w:p w:rsidR="007B31D9" w:rsidRPr="008071A7" w:rsidRDefault="007B31D9" w:rsidP="00EE5DA3">
            <w:pPr>
              <w:keepNext/>
              <w:keepLines/>
              <w:jc w:val="center"/>
              <w:rPr>
                <w:b/>
                <w:bCs/>
                <w:szCs w:val="22"/>
              </w:rPr>
            </w:pPr>
            <w:r w:rsidRPr="008071A7">
              <w:rPr>
                <w:b/>
                <w:bCs/>
                <w:szCs w:val="22"/>
              </w:rPr>
              <w:t>Very Common</w:t>
            </w:r>
          </w:p>
        </w:tc>
        <w:tc>
          <w:tcPr>
            <w:tcW w:w="2410" w:type="dxa"/>
            <w:vAlign w:val="center"/>
          </w:tcPr>
          <w:p w:rsidR="007B31D9" w:rsidRPr="008071A7" w:rsidRDefault="007B31D9" w:rsidP="00EE5DA3">
            <w:pPr>
              <w:keepNext/>
              <w:keepLines/>
              <w:jc w:val="center"/>
              <w:rPr>
                <w:b/>
                <w:bCs/>
                <w:szCs w:val="22"/>
              </w:rPr>
            </w:pPr>
            <w:r w:rsidRPr="008071A7">
              <w:rPr>
                <w:b/>
                <w:bCs/>
                <w:szCs w:val="22"/>
              </w:rPr>
              <w:t>Common</w:t>
            </w:r>
          </w:p>
        </w:tc>
        <w:tc>
          <w:tcPr>
            <w:tcW w:w="2694" w:type="dxa"/>
            <w:vAlign w:val="center"/>
          </w:tcPr>
          <w:p w:rsidR="007B31D9" w:rsidRPr="008071A7" w:rsidRDefault="007B31D9" w:rsidP="00EE5DA3">
            <w:pPr>
              <w:keepNext/>
              <w:keepLines/>
              <w:jc w:val="center"/>
              <w:rPr>
                <w:b/>
                <w:bCs/>
                <w:szCs w:val="22"/>
              </w:rPr>
            </w:pPr>
            <w:r w:rsidRPr="008071A7">
              <w:rPr>
                <w:b/>
                <w:bCs/>
                <w:szCs w:val="22"/>
              </w:rPr>
              <w:t>Uncommon</w:t>
            </w:r>
          </w:p>
        </w:tc>
      </w:tr>
      <w:tr w:rsidR="007B31D9" w:rsidRPr="008071A7" w:rsidTr="004D4EB9">
        <w:tc>
          <w:tcPr>
            <w:tcW w:w="1951" w:type="dxa"/>
          </w:tcPr>
          <w:p w:rsidR="007B31D9" w:rsidRPr="008071A7" w:rsidRDefault="007B31D9" w:rsidP="00EE5DA3">
            <w:pPr>
              <w:keepNext/>
              <w:keepLines/>
              <w:rPr>
                <w:bCs/>
                <w:szCs w:val="22"/>
              </w:rPr>
            </w:pPr>
            <w:r w:rsidRPr="008071A7">
              <w:rPr>
                <w:bCs/>
                <w:szCs w:val="22"/>
              </w:rPr>
              <w:t>Infections and infestation</w:t>
            </w:r>
          </w:p>
        </w:tc>
        <w:tc>
          <w:tcPr>
            <w:tcW w:w="2693" w:type="dxa"/>
          </w:tcPr>
          <w:p w:rsidR="007B31D9" w:rsidRPr="008071A7" w:rsidRDefault="007B31D9" w:rsidP="00EE5DA3">
            <w:pPr>
              <w:keepNext/>
              <w:keepLines/>
              <w:jc w:val="center"/>
              <w:rPr>
                <w:szCs w:val="22"/>
              </w:rPr>
            </w:pPr>
            <w:r w:rsidRPr="008071A7">
              <w:rPr>
                <w:szCs w:val="22"/>
              </w:rPr>
              <w:t>Urinary tract infection</w:t>
            </w:r>
          </w:p>
        </w:tc>
        <w:tc>
          <w:tcPr>
            <w:tcW w:w="2410" w:type="dxa"/>
          </w:tcPr>
          <w:p w:rsidR="007B31D9" w:rsidRPr="008071A7" w:rsidRDefault="007B31D9" w:rsidP="00EE5DA3">
            <w:pPr>
              <w:keepNext/>
              <w:keepLines/>
              <w:jc w:val="center"/>
              <w:rPr>
                <w:szCs w:val="22"/>
              </w:rPr>
            </w:pPr>
          </w:p>
        </w:tc>
        <w:tc>
          <w:tcPr>
            <w:tcW w:w="2694" w:type="dxa"/>
          </w:tcPr>
          <w:p w:rsidR="007B31D9" w:rsidRPr="008071A7" w:rsidRDefault="007B31D9" w:rsidP="00EE5DA3">
            <w:pPr>
              <w:keepNext/>
              <w:keepLines/>
              <w:jc w:val="center"/>
              <w:rPr>
                <w:szCs w:val="22"/>
              </w:rPr>
            </w:pPr>
            <w:r w:rsidRPr="008071A7">
              <w:rPr>
                <w:szCs w:val="22"/>
              </w:rPr>
              <w:t xml:space="preserve">Perineal abscess </w:t>
            </w:r>
          </w:p>
        </w:tc>
      </w:tr>
      <w:tr w:rsidR="007B31D9" w:rsidRPr="008071A7" w:rsidTr="004D4EB9">
        <w:tc>
          <w:tcPr>
            <w:tcW w:w="1951" w:type="dxa"/>
          </w:tcPr>
          <w:p w:rsidR="007B31D9" w:rsidRPr="008B1A90" w:rsidRDefault="007B31D9" w:rsidP="00EE5DA3">
            <w:pPr>
              <w:rPr>
                <w:bCs/>
                <w:szCs w:val="22"/>
              </w:rPr>
            </w:pPr>
            <w:r w:rsidRPr="002C26E6">
              <w:rPr>
                <w:bCs/>
                <w:szCs w:val="22"/>
              </w:rPr>
              <w:t>Blood and lymphatic disorders</w:t>
            </w:r>
          </w:p>
        </w:tc>
        <w:tc>
          <w:tcPr>
            <w:tcW w:w="2693" w:type="dxa"/>
          </w:tcPr>
          <w:p w:rsidR="007B31D9" w:rsidRPr="002C26E6" w:rsidRDefault="007B31D9" w:rsidP="00EE5DA3">
            <w:pPr>
              <w:jc w:val="center"/>
              <w:rPr>
                <w:szCs w:val="22"/>
              </w:rPr>
            </w:pPr>
            <w:r w:rsidRPr="008B1A90">
              <w:rPr>
                <w:szCs w:val="22"/>
              </w:rPr>
              <w:t>Thrombocytopenia</w:t>
            </w:r>
            <w:r w:rsidRPr="008B1A90">
              <w:rPr>
                <w:szCs w:val="22"/>
                <w:vertAlign w:val="superscript"/>
              </w:rPr>
              <w:t>a</w:t>
            </w:r>
            <w:r w:rsidRPr="002C26E6">
              <w:rPr>
                <w:szCs w:val="22"/>
              </w:rPr>
              <w:t xml:space="preserve"> </w:t>
            </w:r>
          </w:p>
        </w:tc>
        <w:tc>
          <w:tcPr>
            <w:tcW w:w="2410" w:type="dxa"/>
          </w:tcPr>
          <w:p w:rsidR="007B31D9" w:rsidRPr="002C26E6" w:rsidRDefault="007B31D9" w:rsidP="00EE5DA3">
            <w:pPr>
              <w:jc w:val="center"/>
              <w:rPr>
                <w:strike/>
                <w:szCs w:val="22"/>
              </w:rPr>
            </w:pPr>
            <w:r w:rsidRPr="002C26E6">
              <w:rPr>
                <w:szCs w:val="22"/>
              </w:rPr>
              <w:t>Lymphopenia</w:t>
            </w:r>
            <w:r w:rsidRPr="002C26E6">
              <w:rPr>
                <w:szCs w:val="22"/>
                <w:vertAlign w:val="superscript"/>
              </w:rPr>
              <w:t>a</w:t>
            </w:r>
          </w:p>
        </w:tc>
        <w:tc>
          <w:tcPr>
            <w:tcW w:w="2694" w:type="dxa"/>
          </w:tcPr>
          <w:p w:rsidR="007B31D9" w:rsidRPr="008071A7" w:rsidRDefault="007B31D9" w:rsidP="00EE5DA3">
            <w:pPr>
              <w:jc w:val="center"/>
              <w:rPr>
                <w:szCs w:val="22"/>
              </w:rPr>
            </w:pPr>
            <w:r w:rsidRPr="002C26E6">
              <w:rPr>
                <w:szCs w:val="22"/>
              </w:rPr>
              <w:t>Splenic infarction</w:t>
            </w:r>
          </w:p>
        </w:tc>
      </w:tr>
      <w:tr w:rsidR="007B31D9" w:rsidRPr="008071A7" w:rsidTr="004D4EB9">
        <w:tc>
          <w:tcPr>
            <w:tcW w:w="1951" w:type="dxa"/>
          </w:tcPr>
          <w:p w:rsidR="007B31D9" w:rsidRPr="008071A7" w:rsidRDefault="007B31D9" w:rsidP="00EE5DA3">
            <w:pPr>
              <w:rPr>
                <w:bCs/>
                <w:szCs w:val="22"/>
              </w:rPr>
            </w:pPr>
            <w:r w:rsidRPr="008071A7">
              <w:rPr>
                <w:bCs/>
                <w:szCs w:val="22"/>
              </w:rPr>
              <w:t>Endocrine disorders</w:t>
            </w:r>
          </w:p>
        </w:tc>
        <w:tc>
          <w:tcPr>
            <w:tcW w:w="2693" w:type="dxa"/>
          </w:tcPr>
          <w:p w:rsidR="007B31D9" w:rsidRPr="008071A7" w:rsidRDefault="007B31D9" w:rsidP="00EE5DA3">
            <w:pPr>
              <w:jc w:val="center"/>
              <w:rPr>
                <w:szCs w:val="22"/>
              </w:rPr>
            </w:pPr>
          </w:p>
        </w:tc>
        <w:tc>
          <w:tcPr>
            <w:tcW w:w="2410" w:type="dxa"/>
          </w:tcPr>
          <w:p w:rsidR="007B31D9" w:rsidRPr="008071A7" w:rsidRDefault="007B31D9" w:rsidP="00EE5DA3">
            <w:pPr>
              <w:jc w:val="center"/>
              <w:rPr>
                <w:szCs w:val="22"/>
              </w:rPr>
            </w:pPr>
            <w:r w:rsidRPr="008071A7">
              <w:rPr>
                <w:szCs w:val="22"/>
              </w:rPr>
              <w:t>Blood thyroid stimulating hormone increased</w:t>
            </w:r>
          </w:p>
          <w:p w:rsidR="007B31D9" w:rsidRPr="008071A7" w:rsidRDefault="007B31D9" w:rsidP="00EE5DA3">
            <w:pPr>
              <w:jc w:val="center"/>
              <w:rPr>
                <w:szCs w:val="22"/>
              </w:rPr>
            </w:pPr>
            <w:r w:rsidRPr="008071A7">
              <w:rPr>
                <w:szCs w:val="22"/>
              </w:rPr>
              <w:t>Hypothyroidism</w:t>
            </w:r>
          </w:p>
        </w:tc>
        <w:tc>
          <w:tcPr>
            <w:tcW w:w="2694" w:type="dxa"/>
          </w:tcPr>
          <w:p w:rsidR="007B31D9" w:rsidRPr="008071A7" w:rsidRDefault="007B31D9" w:rsidP="00EE5DA3">
            <w:pPr>
              <w:jc w:val="center"/>
              <w:rPr>
                <w:szCs w:val="22"/>
              </w:rPr>
            </w:pPr>
          </w:p>
        </w:tc>
      </w:tr>
      <w:tr w:rsidR="007B31D9" w:rsidRPr="008071A7" w:rsidTr="004D4EB9">
        <w:trPr>
          <w:trHeight w:val="545"/>
        </w:trPr>
        <w:tc>
          <w:tcPr>
            <w:tcW w:w="1951" w:type="dxa"/>
          </w:tcPr>
          <w:p w:rsidR="007B31D9" w:rsidRPr="008071A7" w:rsidRDefault="007B31D9" w:rsidP="00EE5DA3">
            <w:pPr>
              <w:rPr>
                <w:bCs/>
                <w:szCs w:val="22"/>
              </w:rPr>
            </w:pPr>
            <w:r w:rsidRPr="008071A7">
              <w:rPr>
                <w:bCs/>
                <w:szCs w:val="22"/>
              </w:rPr>
              <w:t>Metabolism and nutrition disorders</w:t>
            </w:r>
          </w:p>
        </w:tc>
        <w:tc>
          <w:tcPr>
            <w:tcW w:w="2693" w:type="dxa"/>
          </w:tcPr>
          <w:p w:rsidR="007B31D9" w:rsidRPr="008071A7" w:rsidRDefault="007B31D9" w:rsidP="00EE5DA3">
            <w:pPr>
              <w:jc w:val="center"/>
              <w:rPr>
                <w:szCs w:val="22"/>
              </w:rPr>
            </w:pPr>
            <w:r w:rsidRPr="008071A7">
              <w:rPr>
                <w:szCs w:val="22"/>
              </w:rPr>
              <w:t>Decreased appetite</w:t>
            </w:r>
          </w:p>
          <w:p w:rsidR="007B31D9" w:rsidRPr="008071A7" w:rsidRDefault="007B31D9" w:rsidP="00EE5DA3">
            <w:pPr>
              <w:jc w:val="center"/>
              <w:rPr>
                <w:szCs w:val="22"/>
              </w:rPr>
            </w:pPr>
            <w:r w:rsidRPr="008071A7">
              <w:rPr>
                <w:szCs w:val="22"/>
              </w:rPr>
              <w:t>Weight decreased</w:t>
            </w:r>
          </w:p>
          <w:p w:rsidR="007B31D9" w:rsidRPr="008071A7" w:rsidRDefault="007B31D9" w:rsidP="00EE5DA3">
            <w:pPr>
              <w:jc w:val="center"/>
              <w:rPr>
                <w:szCs w:val="22"/>
                <w:vertAlign w:val="superscript"/>
              </w:rPr>
            </w:pPr>
            <w:r w:rsidRPr="008071A7">
              <w:rPr>
                <w:szCs w:val="22"/>
              </w:rPr>
              <w:t>Hypocalcaemia‡</w:t>
            </w:r>
          </w:p>
          <w:p w:rsidR="007B31D9" w:rsidRPr="008071A7" w:rsidRDefault="007B31D9" w:rsidP="00EE5DA3">
            <w:pPr>
              <w:jc w:val="center"/>
              <w:rPr>
                <w:szCs w:val="22"/>
              </w:rPr>
            </w:pPr>
            <w:r w:rsidRPr="008071A7">
              <w:rPr>
                <w:szCs w:val="22"/>
              </w:rPr>
              <w:t>Hypokalaemia</w:t>
            </w:r>
          </w:p>
        </w:tc>
        <w:tc>
          <w:tcPr>
            <w:tcW w:w="2410" w:type="dxa"/>
          </w:tcPr>
          <w:p w:rsidR="007B31D9" w:rsidRPr="0066496C" w:rsidRDefault="007B31D9" w:rsidP="00EE5DA3">
            <w:pPr>
              <w:jc w:val="center"/>
              <w:rPr>
                <w:szCs w:val="22"/>
              </w:rPr>
            </w:pPr>
            <w:r w:rsidRPr="0066496C">
              <w:rPr>
                <w:szCs w:val="22"/>
              </w:rPr>
              <w:t>Dehydration</w:t>
            </w:r>
          </w:p>
          <w:p w:rsidR="007B31D9" w:rsidRPr="0066496C" w:rsidRDefault="007B31D9" w:rsidP="00EE5DA3">
            <w:pPr>
              <w:jc w:val="center"/>
              <w:rPr>
                <w:szCs w:val="22"/>
                <w:vertAlign w:val="superscript"/>
              </w:rPr>
            </w:pPr>
            <w:r w:rsidRPr="0066496C">
              <w:rPr>
                <w:szCs w:val="22"/>
              </w:rPr>
              <w:t>Hypomagnesaemia</w:t>
            </w:r>
            <w:r w:rsidRPr="0066496C">
              <w:rPr>
                <w:szCs w:val="22"/>
                <w:vertAlign w:val="superscript"/>
              </w:rPr>
              <w:t>b</w:t>
            </w:r>
          </w:p>
          <w:p w:rsidR="007B31D9" w:rsidRPr="0066496C" w:rsidRDefault="007B31D9" w:rsidP="00EE5DA3">
            <w:pPr>
              <w:jc w:val="center"/>
              <w:rPr>
                <w:szCs w:val="22"/>
                <w:vertAlign w:val="superscript"/>
              </w:rPr>
            </w:pPr>
            <w:r w:rsidRPr="0066496C">
              <w:rPr>
                <w:szCs w:val="22"/>
              </w:rPr>
              <w:t>Hypercholesterolaemia</w:t>
            </w:r>
            <w:r w:rsidRPr="0066496C">
              <w:rPr>
                <w:szCs w:val="22"/>
                <w:vertAlign w:val="superscript"/>
              </w:rPr>
              <w:t>b</w:t>
            </w:r>
          </w:p>
        </w:tc>
        <w:tc>
          <w:tcPr>
            <w:tcW w:w="2694" w:type="dxa"/>
          </w:tcPr>
          <w:p w:rsidR="007B31D9" w:rsidRPr="0066496C" w:rsidRDefault="007B31D9" w:rsidP="00EE5DA3">
            <w:pPr>
              <w:jc w:val="center"/>
              <w:rPr>
                <w:szCs w:val="22"/>
              </w:rPr>
            </w:pPr>
          </w:p>
        </w:tc>
      </w:tr>
      <w:tr w:rsidR="007B31D9" w:rsidRPr="008071A7" w:rsidTr="004D4EB9">
        <w:tc>
          <w:tcPr>
            <w:tcW w:w="1951" w:type="dxa"/>
          </w:tcPr>
          <w:p w:rsidR="007B31D9" w:rsidRPr="008071A7" w:rsidRDefault="007B31D9" w:rsidP="00EE5DA3">
            <w:pPr>
              <w:rPr>
                <w:bCs/>
                <w:szCs w:val="22"/>
              </w:rPr>
            </w:pPr>
            <w:r w:rsidRPr="008071A7">
              <w:rPr>
                <w:bCs/>
                <w:szCs w:val="22"/>
              </w:rPr>
              <w:t>Psychiatric disorders</w:t>
            </w:r>
          </w:p>
        </w:tc>
        <w:tc>
          <w:tcPr>
            <w:tcW w:w="2693" w:type="dxa"/>
          </w:tcPr>
          <w:p w:rsidR="007B31D9" w:rsidRPr="008071A7" w:rsidRDefault="007B31D9" w:rsidP="00EE5DA3">
            <w:pPr>
              <w:jc w:val="center"/>
              <w:rPr>
                <w:szCs w:val="22"/>
              </w:rPr>
            </w:pPr>
            <w:r w:rsidRPr="008071A7">
              <w:rPr>
                <w:szCs w:val="22"/>
              </w:rPr>
              <w:t>Insomnia</w:t>
            </w:r>
          </w:p>
        </w:tc>
        <w:tc>
          <w:tcPr>
            <w:tcW w:w="2410" w:type="dxa"/>
          </w:tcPr>
          <w:p w:rsidR="007B31D9" w:rsidRPr="0066496C" w:rsidRDefault="007B31D9" w:rsidP="00EE5DA3">
            <w:pPr>
              <w:jc w:val="center"/>
              <w:rPr>
                <w:szCs w:val="22"/>
              </w:rPr>
            </w:pPr>
          </w:p>
        </w:tc>
        <w:tc>
          <w:tcPr>
            <w:tcW w:w="2694" w:type="dxa"/>
          </w:tcPr>
          <w:p w:rsidR="007B31D9" w:rsidRPr="0066496C" w:rsidRDefault="007B31D9" w:rsidP="00EE5DA3">
            <w:pPr>
              <w:jc w:val="center"/>
              <w:rPr>
                <w:szCs w:val="22"/>
              </w:rPr>
            </w:pPr>
          </w:p>
        </w:tc>
      </w:tr>
      <w:tr w:rsidR="007B31D9" w:rsidRPr="008071A7" w:rsidTr="004D4EB9">
        <w:tc>
          <w:tcPr>
            <w:tcW w:w="1951" w:type="dxa"/>
          </w:tcPr>
          <w:p w:rsidR="007B31D9" w:rsidRPr="008071A7" w:rsidRDefault="007B31D9" w:rsidP="00EE5DA3">
            <w:pPr>
              <w:rPr>
                <w:bCs/>
                <w:szCs w:val="22"/>
              </w:rPr>
            </w:pPr>
            <w:r w:rsidRPr="008071A7">
              <w:rPr>
                <w:bCs/>
                <w:szCs w:val="22"/>
              </w:rPr>
              <w:t>Nervous system disorders</w:t>
            </w:r>
          </w:p>
        </w:tc>
        <w:tc>
          <w:tcPr>
            <w:tcW w:w="2693" w:type="dxa"/>
          </w:tcPr>
          <w:p w:rsidR="007B31D9" w:rsidRPr="008071A7" w:rsidRDefault="007B31D9" w:rsidP="00EE5DA3">
            <w:pPr>
              <w:jc w:val="center"/>
              <w:rPr>
                <w:szCs w:val="22"/>
              </w:rPr>
            </w:pPr>
            <w:r w:rsidRPr="008071A7">
              <w:rPr>
                <w:szCs w:val="22"/>
              </w:rPr>
              <w:t>Headache</w:t>
            </w:r>
          </w:p>
          <w:p w:rsidR="007B31D9" w:rsidRPr="008071A7" w:rsidRDefault="007B31D9" w:rsidP="00EE5DA3">
            <w:pPr>
              <w:jc w:val="center"/>
              <w:rPr>
                <w:szCs w:val="22"/>
              </w:rPr>
            </w:pPr>
            <w:r w:rsidRPr="008071A7">
              <w:rPr>
                <w:szCs w:val="22"/>
              </w:rPr>
              <w:t>Dizziness</w:t>
            </w:r>
          </w:p>
          <w:p w:rsidR="007B31D9" w:rsidRPr="008071A7" w:rsidRDefault="007B31D9" w:rsidP="00EE5DA3">
            <w:pPr>
              <w:jc w:val="center"/>
              <w:rPr>
                <w:szCs w:val="22"/>
              </w:rPr>
            </w:pPr>
            <w:r w:rsidRPr="008071A7">
              <w:rPr>
                <w:szCs w:val="22"/>
              </w:rPr>
              <w:t>Dysgeusia</w:t>
            </w:r>
          </w:p>
        </w:tc>
        <w:tc>
          <w:tcPr>
            <w:tcW w:w="2410" w:type="dxa"/>
          </w:tcPr>
          <w:p w:rsidR="007B31D9" w:rsidRPr="008071A7" w:rsidRDefault="007B31D9" w:rsidP="00EE5DA3">
            <w:pPr>
              <w:jc w:val="center"/>
              <w:rPr>
                <w:szCs w:val="22"/>
              </w:rPr>
            </w:pPr>
            <w:r w:rsidRPr="008071A7">
              <w:rPr>
                <w:szCs w:val="22"/>
              </w:rPr>
              <w:t xml:space="preserve">Cerebrovascular accident </w:t>
            </w:r>
          </w:p>
        </w:tc>
        <w:tc>
          <w:tcPr>
            <w:tcW w:w="2694" w:type="dxa"/>
          </w:tcPr>
          <w:p w:rsidR="007B31D9" w:rsidRPr="008071A7" w:rsidRDefault="007B31D9" w:rsidP="00EE5DA3">
            <w:pPr>
              <w:jc w:val="center"/>
              <w:rPr>
                <w:szCs w:val="22"/>
              </w:rPr>
            </w:pPr>
            <w:r w:rsidRPr="008071A7">
              <w:rPr>
                <w:szCs w:val="22"/>
              </w:rPr>
              <w:t>Monoparesis</w:t>
            </w:r>
          </w:p>
          <w:p w:rsidR="007B31D9" w:rsidRPr="008071A7" w:rsidRDefault="007B31D9" w:rsidP="00EE5DA3">
            <w:pPr>
              <w:jc w:val="center"/>
              <w:rPr>
                <w:szCs w:val="22"/>
              </w:rPr>
            </w:pPr>
            <w:r w:rsidRPr="008071A7">
              <w:rPr>
                <w:szCs w:val="22"/>
              </w:rPr>
              <w:t>Transient ischaemic attack</w:t>
            </w:r>
          </w:p>
          <w:p w:rsidR="007B31D9" w:rsidRPr="008071A7" w:rsidRDefault="007B31D9" w:rsidP="00EE5DA3">
            <w:pPr>
              <w:jc w:val="center"/>
              <w:rPr>
                <w:szCs w:val="22"/>
              </w:rPr>
            </w:pPr>
            <w:r w:rsidRPr="008071A7">
              <w:rPr>
                <w:szCs w:val="22"/>
              </w:rPr>
              <w:t>Posterior reversible encephalopathy syndrome</w:t>
            </w:r>
          </w:p>
        </w:tc>
      </w:tr>
      <w:tr w:rsidR="007B31D9" w:rsidRPr="008071A7" w:rsidTr="004D4EB9">
        <w:tc>
          <w:tcPr>
            <w:tcW w:w="1951" w:type="dxa"/>
          </w:tcPr>
          <w:p w:rsidR="007B31D9" w:rsidRPr="008071A7" w:rsidRDefault="007B31D9" w:rsidP="00EE5DA3">
            <w:pPr>
              <w:rPr>
                <w:bCs/>
                <w:szCs w:val="22"/>
              </w:rPr>
            </w:pPr>
            <w:r w:rsidRPr="008071A7">
              <w:rPr>
                <w:bCs/>
                <w:szCs w:val="22"/>
              </w:rPr>
              <w:t>Cardiac disorders</w:t>
            </w:r>
          </w:p>
        </w:tc>
        <w:tc>
          <w:tcPr>
            <w:tcW w:w="2693" w:type="dxa"/>
          </w:tcPr>
          <w:p w:rsidR="007B31D9" w:rsidRPr="008071A7" w:rsidRDefault="007B31D9" w:rsidP="00EE5DA3">
            <w:pPr>
              <w:jc w:val="center"/>
              <w:rPr>
                <w:szCs w:val="22"/>
              </w:rPr>
            </w:pPr>
          </w:p>
        </w:tc>
        <w:tc>
          <w:tcPr>
            <w:tcW w:w="2410" w:type="dxa"/>
          </w:tcPr>
          <w:p w:rsidR="007B31D9" w:rsidRPr="008071A7" w:rsidRDefault="007B31D9" w:rsidP="00EE5DA3">
            <w:pPr>
              <w:jc w:val="center"/>
              <w:rPr>
                <w:szCs w:val="22"/>
              </w:rPr>
            </w:pPr>
            <w:r w:rsidRPr="008071A7">
              <w:rPr>
                <w:szCs w:val="22"/>
              </w:rPr>
              <w:t>Electrocardiogram QT prolonged</w:t>
            </w:r>
          </w:p>
          <w:p w:rsidR="007B31D9" w:rsidRPr="008071A7" w:rsidRDefault="007B31D9" w:rsidP="00EE5DA3">
            <w:pPr>
              <w:jc w:val="center"/>
              <w:rPr>
                <w:szCs w:val="22"/>
              </w:rPr>
            </w:pPr>
            <w:r w:rsidRPr="008071A7">
              <w:rPr>
                <w:szCs w:val="22"/>
              </w:rPr>
              <w:t>Ejection fraction decreased</w:t>
            </w:r>
          </w:p>
          <w:p w:rsidR="007B31D9" w:rsidRPr="008071A7" w:rsidRDefault="007B31D9" w:rsidP="00EE5DA3">
            <w:pPr>
              <w:jc w:val="center"/>
              <w:rPr>
                <w:szCs w:val="22"/>
              </w:rPr>
            </w:pPr>
            <w:r w:rsidRPr="008071A7">
              <w:rPr>
                <w:szCs w:val="22"/>
              </w:rPr>
              <w:t>Cardiac failure</w:t>
            </w:r>
          </w:p>
          <w:p w:rsidR="007B31D9" w:rsidRPr="008071A7" w:rsidRDefault="007B31D9" w:rsidP="00EE5DA3">
            <w:pPr>
              <w:jc w:val="center"/>
              <w:rPr>
                <w:szCs w:val="22"/>
                <w:vertAlign w:val="superscript"/>
              </w:rPr>
            </w:pPr>
            <w:r w:rsidRPr="008071A7">
              <w:rPr>
                <w:szCs w:val="22"/>
              </w:rPr>
              <w:t>Myocardial infarction</w:t>
            </w:r>
            <w:r w:rsidRPr="008071A7">
              <w:rPr>
                <w:szCs w:val="22"/>
                <w:vertAlign w:val="superscript"/>
              </w:rPr>
              <w:t>c,†</w:t>
            </w:r>
          </w:p>
        </w:tc>
        <w:tc>
          <w:tcPr>
            <w:tcW w:w="2694" w:type="dxa"/>
          </w:tcPr>
          <w:p w:rsidR="007B31D9" w:rsidRPr="008071A7" w:rsidRDefault="007B31D9" w:rsidP="00EE5DA3">
            <w:pPr>
              <w:jc w:val="center"/>
              <w:rPr>
                <w:szCs w:val="22"/>
              </w:rPr>
            </w:pPr>
          </w:p>
        </w:tc>
      </w:tr>
      <w:tr w:rsidR="007B31D9" w:rsidRPr="008071A7" w:rsidTr="004D4EB9">
        <w:tc>
          <w:tcPr>
            <w:tcW w:w="1951" w:type="dxa"/>
          </w:tcPr>
          <w:p w:rsidR="007B31D9" w:rsidRPr="008071A7" w:rsidRDefault="007B31D9" w:rsidP="00EE5DA3">
            <w:pPr>
              <w:rPr>
                <w:bCs/>
                <w:szCs w:val="22"/>
              </w:rPr>
            </w:pPr>
            <w:r w:rsidRPr="008071A7">
              <w:rPr>
                <w:bCs/>
                <w:szCs w:val="22"/>
              </w:rPr>
              <w:t>Vascular disorders</w:t>
            </w:r>
          </w:p>
        </w:tc>
        <w:tc>
          <w:tcPr>
            <w:tcW w:w="2693" w:type="dxa"/>
          </w:tcPr>
          <w:p w:rsidR="007B31D9" w:rsidRPr="008071A7" w:rsidRDefault="007B31D9" w:rsidP="00EE5DA3">
            <w:pPr>
              <w:jc w:val="center"/>
              <w:rPr>
                <w:szCs w:val="22"/>
                <w:vertAlign w:val="superscript"/>
              </w:rPr>
            </w:pPr>
            <w:r w:rsidRPr="008071A7">
              <w:rPr>
                <w:szCs w:val="22"/>
              </w:rPr>
              <w:t>Hypertension</w:t>
            </w:r>
            <w:r w:rsidRPr="008071A7">
              <w:rPr>
                <w:szCs w:val="22"/>
                <w:vertAlign w:val="superscript"/>
              </w:rPr>
              <w:t>d,‡</w:t>
            </w:r>
          </w:p>
          <w:p w:rsidR="007B31D9" w:rsidRPr="008071A7" w:rsidRDefault="007B31D9" w:rsidP="00EE5DA3">
            <w:pPr>
              <w:jc w:val="center"/>
              <w:rPr>
                <w:szCs w:val="22"/>
              </w:rPr>
            </w:pPr>
            <w:r w:rsidRPr="008071A7">
              <w:rPr>
                <w:szCs w:val="22"/>
              </w:rPr>
              <w:t>Hypotension</w:t>
            </w:r>
          </w:p>
          <w:p w:rsidR="007B31D9" w:rsidRPr="008071A7" w:rsidRDefault="007B31D9" w:rsidP="00EE5DA3">
            <w:pPr>
              <w:jc w:val="center"/>
              <w:rPr>
                <w:szCs w:val="22"/>
              </w:rPr>
            </w:pPr>
            <w:r w:rsidRPr="008071A7">
              <w:rPr>
                <w:szCs w:val="22"/>
              </w:rPr>
              <w:t>Haemorrhage</w:t>
            </w:r>
            <w:r w:rsidRPr="008071A7">
              <w:rPr>
                <w:szCs w:val="22"/>
                <w:vertAlign w:val="superscript"/>
              </w:rPr>
              <w:t>e, †,‡</w:t>
            </w:r>
          </w:p>
        </w:tc>
        <w:tc>
          <w:tcPr>
            <w:tcW w:w="2410" w:type="dxa"/>
          </w:tcPr>
          <w:p w:rsidR="007B31D9" w:rsidRPr="008071A7" w:rsidRDefault="007B31D9" w:rsidP="00EE5DA3">
            <w:pPr>
              <w:jc w:val="center"/>
              <w:rPr>
                <w:szCs w:val="22"/>
              </w:rPr>
            </w:pPr>
          </w:p>
        </w:tc>
        <w:tc>
          <w:tcPr>
            <w:tcW w:w="2694" w:type="dxa"/>
          </w:tcPr>
          <w:p w:rsidR="007B31D9" w:rsidRPr="008071A7" w:rsidRDefault="007B31D9" w:rsidP="00EE5DA3">
            <w:pPr>
              <w:jc w:val="center"/>
              <w:rPr>
                <w:szCs w:val="22"/>
              </w:rPr>
            </w:pPr>
          </w:p>
        </w:tc>
      </w:tr>
      <w:tr w:rsidR="007B31D9" w:rsidRPr="008071A7" w:rsidTr="004D4EB9">
        <w:tc>
          <w:tcPr>
            <w:tcW w:w="1951" w:type="dxa"/>
          </w:tcPr>
          <w:p w:rsidR="007B31D9" w:rsidRPr="008071A7" w:rsidRDefault="007B31D9" w:rsidP="00EE5DA3">
            <w:pPr>
              <w:rPr>
                <w:bCs/>
                <w:szCs w:val="22"/>
              </w:rPr>
            </w:pPr>
            <w:r w:rsidRPr="008071A7">
              <w:rPr>
                <w:bCs/>
                <w:szCs w:val="22"/>
              </w:rPr>
              <w:t>Respiratory, thoracic and mediastinal disorders</w:t>
            </w:r>
          </w:p>
        </w:tc>
        <w:tc>
          <w:tcPr>
            <w:tcW w:w="2693" w:type="dxa"/>
          </w:tcPr>
          <w:p w:rsidR="007B31D9" w:rsidRPr="008071A7" w:rsidRDefault="007B31D9" w:rsidP="00EE5DA3">
            <w:pPr>
              <w:jc w:val="center"/>
              <w:rPr>
                <w:szCs w:val="22"/>
              </w:rPr>
            </w:pPr>
            <w:r w:rsidRPr="008071A7">
              <w:rPr>
                <w:szCs w:val="22"/>
              </w:rPr>
              <w:t>Dysphonia</w:t>
            </w:r>
          </w:p>
          <w:p w:rsidR="007B31D9" w:rsidRPr="008071A7" w:rsidRDefault="007B31D9" w:rsidP="00EE5DA3">
            <w:pPr>
              <w:jc w:val="center"/>
              <w:rPr>
                <w:szCs w:val="22"/>
              </w:rPr>
            </w:pPr>
            <w:r w:rsidRPr="008071A7">
              <w:rPr>
                <w:szCs w:val="22"/>
              </w:rPr>
              <w:t>Cough</w:t>
            </w:r>
          </w:p>
        </w:tc>
        <w:tc>
          <w:tcPr>
            <w:tcW w:w="2410" w:type="dxa"/>
          </w:tcPr>
          <w:p w:rsidR="007B31D9" w:rsidRPr="008071A7" w:rsidRDefault="007B31D9" w:rsidP="00EE5DA3">
            <w:pPr>
              <w:jc w:val="center"/>
              <w:rPr>
                <w:szCs w:val="22"/>
                <w:vertAlign w:val="superscript"/>
              </w:rPr>
            </w:pPr>
            <w:r w:rsidRPr="008071A7">
              <w:rPr>
                <w:szCs w:val="22"/>
              </w:rPr>
              <w:t>Pulmonary embolism</w:t>
            </w:r>
            <w:r w:rsidRPr="008071A7">
              <w:rPr>
                <w:szCs w:val="22"/>
                <w:vertAlign w:val="superscript"/>
              </w:rPr>
              <w:t>†</w:t>
            </w:r>
          </w:p>
        </w:tc>
        <w:tc>
          <w:tcPr>
            <w:tcW w:w="2694" w:type="dxa"/>
          </w:tcPr>
          <w:p w:rsidR="007B31D9" w:rsidRPr="008071A7" w:rsidRDefault="007B31D9" w:rsidP="00EE5DA3">
            <w:pPr>
              <w:jc w:val="center"/>
              <w:rPr>
                <w:szCs w:val="22"/>
              </w:rPr>
            </w:pPr>
          </w:p>
        </w:tc>
      </w:tr>
      <w:tr w:rsidR="007B31D9" w:rsidRPr="008071A7" w:rsidTr="004D4EB9">
        <w:tc>
          <w:tcPr>
            <w:tcW w:w="1951" w:type="dxa"/>
          </w:tcPr>
          <w:p w:rsidR="007B31D9" w:rsidRPr="008071A7" w:rsidRDefault="007B31D9" w:rsidP="00EE5DA3">
            <w:pPr>
              <w:rPr>
                <w:bCs/>
                <w:szCs w:val="22"/>
              </w:rPr>
            </w:pPr>
            <w:r w:rsidRPr="008071A7">
              <w:rPr>
                <w:bCs/>
                <w:szCs w:val="22"/>
              </w:rPr>
              <w:lastRenderedPageBreak/>
              <w:t>Gastrointestinal disorders</w:t>
            </w:r>
          </w:p>
        </w:tc>
        <w:tc>
          <w:tcPr>
            <w:tcW w:w="2693" w:type="dxa"/>
          </w:tcPr>
          <w:p w:rsidR="007B31D9" w:rsidRPr="008071A7" w:rsidRDefault="007B31D9" w:rsidP="00EE5DA3">
            <w:pPr>
              <w:jc w:val="center"/>
              <w:rPr>
                <w:szCs w:val="22"/>
              </w:rPr>
            </w:pPr>
            <w:r w:rsidRPr="008071A7">
              <w:rPr>
                <w:szCs w:val="22"/>
              </w:rPr>
              <w:t>Diarrhoea</w:t>
            </w:r>
          </w:p>
          <w:p w:rsidR="007B31D9" w:rsidRPr="008071A7" w:rsidRDefault="007B31D9" w:rsidP="00EE5DA3">
            <w:pPr>
              <w:jc w:val="center"/>
              <w:rPr>
                <w:szCs w:val="22"/>
                <w:vertAlign w:val="superscript"/>
              </w:rPr>
            </w:pPr>
            <w:r w:rsidRPr="008071A7">
              <w:rPr>
                <w:szCs w:val="22"/>
              </w:rPr>
              <w:t>Oral inflammation</w:t>
            </w:r>
            <w:r w:rsidRPr="008071A7">
              <w:rPr>
                <w:szCs w:val="22"/>
                <w:vertAlign w:val="superscript"/>
              </w:rPr>
              <w:t>f</w:t>
            </w:r>
          </w:p>
          <w:p w:rsidR="007B31D9" w:rsidRPr="008071A7" w:rsidRDefault="007B31D9" w:rsidP="00EE5DA3">
            <w:pPr>
              <w:jc w:val="center"/>
              <w:rPr>
                <w:szCs w:val="22"/>
                <w:vertAlign w:val="superscript"/>
              </w:rPr>
            </w:pPr>
            <w:r w:rsidRPr="008071A7">
              <w:rPr>
                <w:szCs w:val="22"/>
              </w:rPr>
              <w:t>Gastrointestinal and abdominal pains</w:t>
            </w:r>
            <w:r w:rsidRPr="008071A7">
              <w:rPr>
                <w:szCs w:val="22"/>
                <w:vertAlign w:val="superscript"/>
              </w:rPr>
              <w:t>g</w:t>
            </w:r>
          </w:p>
          <w:p w:rsidR="007B31D9" w:rsidRPr="008071A7" w:rsidRDefault="007B31D9" w:rsidP="00EE5DA3">
            <w:pPr>
              <w:jc w:val="center"/>
              <w:rPr>
                <w:szCs w:val="22"/>
              </w:rPr>
            </w:pPr>
            <w:r w:rsidRPr="008071A7">
              <w:rPr>
                <w:szCs w:val="22"/>
              </w:rPr>
              <w:t>Vomiting</w:t>
            </w:r>
          </w:p>
          <w:p w:rsidR="007B31D9" w:rsidRPr="008071A7" w:rsidRDefault="007B31D9" w:rsidP="00EE5DA3">
            <w:pPr>
              <w:jc w:val="center"/>
              <w:rPr>
                <w:szCs w:val="22"/>
              </w:rPr>
            </w:pPr>
            <w:r w:rsidRPr="008071A7">
              <w:rPr>
                <w:szCs w:val="22"/>
              </w:rPr>
              <w:t>Nausea</w:t>
            </w:r>
          </w:p>
          <w:p w:rsidR="007B31D9" w:rsidRPr="008071A7" w:rsidRDefault="007B31D9" w:rsidP="00EE5DA3">
            <w:pPr>
              <w:jc w:val="center"/>
              <w:rPr>
                <w:szCs w:val="22"/>
              </w:rPr>
            </w:pPr>
            <w:r w:rsidRPr="008071A7">
              <w:rPr>
                <w:szCs w:val="22"/>
              </w:rPr>
              <w:t>Oral pain</w:t>
            </w:r>
            <w:r w:rsidRPr="008071A7">
              <w:rPr>
                <w:szCs w:val="22"/>
                <w:vertAlign w:val="superscript"/>
              </w:rPr>
              <w:t>h</w:t>
            </w:r>
          </w:p>
          <w:p w:rsidR="007B31D9" w:rsidRPr="008071A7" w:rsidRDefault="007B31D9" w:rsidP="00EE5DA3">
            <w:pPr>
              <w:jc w:val="center"/>
              <w:rPr>
                <w:szCs w:val="22"/>
              </w:rPr>
            </w:pPr>
            <w:r w:rsidRPr="008071A7">
              <w:rPr>
                <w:szCs w:val="22"/>
              </w:rPr>
              <w:t>Constipation</w:t>
            </w:r>
          </w:p>
          <w:p w:rsidR="007B31D9" w:rsidRPr="008071A7" w:rsidRDefault="007B31D9" w:rsidP="00EE5DA3">
            <w:pPr>
              <w:jc w:val="center"/>
              <w:rPr>
                <w:szCs w:val="22"/>
              </w:rPr>
            </w:pPr>
            <w:r w:rsidRPr="008071A7">
              <w:rPr>
                <w:szCs w:val="22"/>
              </w:rPr>
              <w:t>Dyspepsia</w:t>
            </w:r>
          </w:p>
          <w:p w:rsidR="007B31D9" w:rsidRPr="008071A7" w:rsidRDefault="007B31D9" w:rsidP="00EE5DA3">
            <w:pPr>
              <w:jc w:val="center"/>
              <w:rPr>
                <w:szCs w:val="22"/>
              </w:rPr>
            </w:pPr>
            <w:r w:rsidRPr="008071A7">
              <w:rPr>
                <w:szCs w:val="22"/>
              </w:rPr>
              <w:t>Dry mouth</w:t>
            </w:r>
          </w:p>
        </w:tc>
        <w:tc>
          <w:tcPr>
            <w:tcW w:w="2410" w:type="dxa"/>
          </w:tcPr>
          <w:p w:rsidR="007B31D9" w:rsidRPr="008071A7" w:rsidRDefault="007B31D9" w:rsidP="00EE5DA3">
            <w:pPr>
              <w:jc w:val="center"/>
              <w:rPr>
                <w:szCs w:val="22"/>
              </w:rPr>
            </w:pPr>
            <w:r w:rsidRPr="008071A7">
              <w:rPr>
                <w:szCs w:val="22"/>
              </w:rPr>
              <w:t>Anal fistula</w:t>
            </w:r>
          </w:p>
          <w:p w:rsidR="007B31D9" w:rsidRPr="008071A7" w:rsidRDefault="007B31D9" w:rsidP="00EE5DA3">
            <w:pPr>
              <w:jc w:val="center"/>
              <w:rPr>
                <w:szCs w:val="22"/>
              </w:rPr>
            </w:pPr>
            <w:r w:rsidRPr="008071A7">
              <w:rPr>
                <w:szCs w:val="22"/>
              </w:rPr>
              <w:t>Flatulence</w:t>
            </w:r>
          </w:p>
        </w:tc>
        <w:tc>
          <w:tcPr>
            <w:tcW w:w="2694" w:type="dxa"/>
          </w:tcPr>
          <w:p w:rsidR="007B31D9" w:rsidRPr="008071A7" w:rsidRDefault="007B31D9" w:rsidP="00EE5DA3">
            <w:pPr>
              <w:jc w:val="center"/>
              <w:rPr>
                <w:szCs w:val="22"/>
              </w:rPr>
            </w:pPr>
          </w:p>
        </w:tc>
      </w:tr>
      <w:tr w:rsidR="007B31D9" w:rsidRPr="008071A7" w:rsidTr="004D4EB9">
        <w:tc>
          <w:tcPr>
            <w:tcW w:w="1951" w:type="dxa"/>
          </w:tcPr>
          <w:p w:rsidR="007B31D9" w:rsidRPr="008071A7" w:rsidRDefault="007B31D9" w:rsidP="00EE5DA3">
            <w:pPr>
              <w:rPr>
                <w:bCs/>
                <w:szCs w:val="22"/>
                <w:vertAlign w:val="superscript"/>
              </w:rPr>
            </w:pPr>
            <w:r w:rsidRPr="008071A7">
              <w:rPr>
                <w:bCs/>
                <w:szCs w:val="22"/>
              </w:rPr>
              <w:t>Hepatobiliary disorders</w:t>
            </w:r>
          </w:p>
        </w:tc>
        <w:tc>
          <w:tcPr>
            <w:tcW w:w="2693" w:type="dxa"/>
          </w:tcPr>
          <w:p w:rsidR="007B31D9" w:rsidRPr="008071A7" w:rsidRDefault="007B31D9" w:rsidP="00EE5DA3">
            <w:pPr>
              <w:jc w:val="center"/>
              <w:rPr>
                <w:szCs w:val="22"/>
              </w:rPr>
            </w:pPr>
          </w:p>
        </w:tc>
        <w:tc>
          <w:tcPr>
            <w:tcW w:w="2410" w:type="dxa"/>
          </w:tcPr>
          <w:p w:rsidR="007B31D9" w:rsidRPr="008071A7" w:rsidRDefault="007B31D9" w:rsidP="00EE5DA3">
            <w:pPr>
              <w:jc w:val="center"/>
              <w:rPr>
                <w:szCs w:val="22"/>
              </w:rPr>
            </w:pPr>
            <w:r w:rsidRPr="008071A7">
              <w:rPr>
                <w:szCs w:val="22"/>
              </w:rPr>
              <w:t>Aspartate aminotransferase increased</w:t>
            </w:r>
            <w:r w:rsidRPr="008071A7">
              <w:rPr>
                <w:bCs/>
                <w:szCs w:val="22"/>
                <w:vertAlign w:val="superscript"/>
              </w:rPr>
              <w:t>‡</w:t>
            </w:r>
          </w:p>
          <w:p w:rsidR="007B31D9" w:rsidRPr="008071A7" w:rsidRDefault="007B31D9" w:rsidP="00EE5DA3">
            <w:pPr>
              <w:jc w:val="center"/>
              <w:rPr>
                <w:szCs w:val="22"/>
              </w:rPr>
            </w:pPr>
            <w:r w:rsidRPr="008071A7">
              <w:rPr>
                <w:szCs w:val="22"/>
              </w:rPr>
              <w:t>Hypoalbuminaemia</w:t>
            </w:r>
            <w:r w:rsidRPr="008071A7">
              <w:rPr>
                <w:bCs/>
                <w:szCs w:val="22"/>
                <w:vertAlign w:val="superscript"/>
              </w:rPr>
              <w:t>‡</w:t>
            </w:r>
          </w:p>
          <w:p w:rsidR="007B31D9" w:rsidRPr="008071A7" w:rsidRDefault="007B31D9" w:rsidP="00EE5DA3">
            <w:pPr>
              <w:jc w:val="center"/>
              <w:rPr>
                <w:szCs w:val="22"/>
              </w:rPr>
            </w:pPr>
            <w:r w:rsidRPr="008071A7">
              <w:rPr>
                <w:szCs w:val="22"/>
              </w:rPr>
              <w:t>Alanine aminotransferase increased</w:t>
            </w:r>
            <w:r w:rsidRPr="008071A7">
              <w:rPr>
                <w:bCs/>
                <w:szCs w:val="22"/>
                <w:vertAlign w:val="superscript"/>
              </w:rPr>
              <w:t>‡</w:t>
            </w:r>
          </w:p>
          <w:p w:rsidR="007B31D9" w:rsidRPr="008071A7" w:rsidRDefault="007B31D9" w:rsidP="00EE5DA3">
            <w:pPr>
              <w:jc w:val="center"/>
              <w:rPr>
                <w:szCs w:val="22"/>
              </w:rPr>
            </w:pPr>
            <w:r w:rsidRPr="008071A7">
              <w:rPr>
                <w:szCs w:val="22"/>
              </w:rPr>
              <w:t>Blood alkaline phosphatase increased</w:t>
            </w:r>
          </w:p>
          <w:p w:rsidR="007B31D9" w:rsidRPr="008071A7" w:rsidRDefault="007B31D9" w:rsidP="00EE5DA3">
            <w:pPr>
              <w:jc w:val="center"/>
              <w:rPr>
                <w:szCs w:val="22"/>
              </w:rPr>
            </w:pPr>
            <w:r w:rsidRPr="008071A7">
              <w:rPr>
                <w:szCs w:val="22"/>
              </w:rPr>
              <w:t>Hepatic function abnormal</w:t>
            </w:r>
          </w:p>
          <w:p w:rsidR="007B31D9" w:rsidRPr="008071A7" w:rsidRDefault="007B31D9" w:rsidP="00EE5DA3">
            <w:pPr>
              <w:jc w:val="center"/>
              <w:rPr>
                <w:szCs w:val="22"/>
              </w:rPr>
            </w:pPr>
            <w:r w:rsidRPr="008071A7">
              <w:rPr>
                <w:szCs w:val="22"/>
              </w:rPr>
              <w:t>Gamma-glutamyltransferase increased</w:t>
            </w:r>
          </w:p>
          <w:p w:rsidR="007B31D9" w:rsidRPr="008071A7" w:rsidRDefault="007B31D9" w:rsidP="00EE5DA3">
            <w:pPr>
              <w:jc w:val="center"/>
              <w:rPr>
                <w:szCs w:val="22"/>
              </w:rPr>
            </w:pPr>
            <w:r w:rsidRPr="008071A7">
              <w:rPr>
                <w:szCs w:val="22"/>
              </w:rPr>
              <w:t>Blood bilirubin increased</w:t>
            </w:r>
            <w:r w:rsidRPr="008071A7">
              <w:rPr>
                <w:bCs/>
                <w:szCs w:val="22"/>
                <w:vertAlign w:val="superscript"/>
              </w:rPr>
              <w:t>‡</w:t>
            </w:r>
          </w:p>
        </w:tc>
        <w:tc>
          <w:tcPr>
            <w:tcW w:w="2694" w:type="dxa"/>
          </w:tcPr>
          <w:p w:rsidR="007B31D9" w:rsidRPr="0066496C" w:rsidRDefault="007B31D9" w:rsidP="00EE5DA3">
            <w:pPr>
              <w:jc w:val="center"/>
              <w:rPr>
                <w:szCs w:val="22"/>
                <w:vertAlign w:val="superscript"/>
              </w:rPr>
            </w:pPr>
            <w:r w:rsidRPr="008071A7">
              <w:rPr>
                <w:szCs w:val="22"/>
              </w:rPr>
              <w:t>Hepatocellular damage/hepatitis</w:t>
            </w:r>
            <w:r w:rsidRPr="008071A7">
              <w:rPr>
                <w:szCs w:val="22"/>
                <w:vertAlign w:val="superscript"/>
              </w:rPr>
              <w:t>i</w:t>
            </w:r>
          </w:p>
        </w:tc>
      </w:tr>
      <w:tr w:rsidR="007B31D9" w:rsidRPr="008071A7" w:rsidTr="004D4EB9">
        <w:tc>
          <w:tcPr>
            <w:tcW w:w="1951" w:type="dxa"/>
          </w:tcPr>
          <w:p w:rsidR="007B31D9" w:rsidRPr="008071A7" w:rsidRDefault="007B31D9" w:rsidP="00EE5DA3">
            <w:pPr>
              <w:rPr>
                <w:bCs/>
                <w:szCs w:val="22"/>
              </w:rPr>
            </w:pPr>
            <w:r w:rsidRPr="008071A7">
              <w:rPr>
                <w:bCs/>
                <w:szCs w:val="22"/>
              </w:rPr>
              <w:t>Skin and subcutaneous tissue disorders</w:t>
            </w:r>
          </w:p>
        </w:tc>
        <w:tc>
          <w:tcPr>
            <w:tcW w:w="2693" w:type="dxa"/>
          </w:tcPr>
          <w:p w:rsidR="007B31D9" w:rsidRPr="008071A7" w:rsidRDefault="007B31D9" w:rsidP="00EE5DA3">
            <w:pPr>
              <w:jc w:val="center"/>
              <w:rPr>
                <w:szCs w:val="22"/>
                <w:lang w:val="pt-BR"/>
              </w:rPr>
            </w:pPr>
            <w:r w:rsidRPr="008071A7">
              <w:rPr>
                <w:szCs w:val="22"/>
                <w:lang w:val="pt-BR"/>
              </w:rPr>
              <w:t>Palmar-plantar erythrodysaesthesia syndrome</w:t>
            </w:r>
          </w:p>
          <w:p w:rsidR="007B31D9" w:rsidRPr="008071A7" w:rsidRDefault="007B31D9" w:rsidP="00EE5DA3">
            <w:pPr>
              <w:jc w:val="center"/>
              <w:rPr>
                <w:szCs w:val="22"/>
                <w:lang w:val="pt-BR"/>
              </w:rPr>
            </w:pPr>
            <w:r w:rsidRPr="008071A7">
              <w:rPr>
                <w:szCs w:val="22"/>
                <w:lang w:val="pt-BR"/>
              </w:rPr>
              <w:t>Rash</w:t>
            </w:r>
          </w:p>
          <w:p w:rsidR="007B31D9" w:rsidRPr="008071A7" w:rsidRDefault="007B31D9" w:rsidP="00EE5DA3">
            <w:pPr>
              <w:jc w:val="center"/>
              <w:rPr>
                <w:szCs w:val="22"/>
                <w:lang w:val="pt-BR"/>
              </w:rPr>
            </w:pPr>
            <w:r w:rsidRPr="008071A7">
              <w:rPr>
                <w:szCs w:val="22"/>
                <w:lang w:val="pt-BR"/>
              </w:rPr>
              <w:t>Alopecia</w:t>
            </w:r>
          </w:p>
        </w:tc>
        <w:tc>
          <w:tcPr>
            <w:tcW w:w="2410" w:type="dxa"/>
          </w:tcPr>
          <w:p w:rsidR="007B31D9" w:rsidRPr="008071A7" w:rsidRDefault="007B31D9" w:rsidP="00EE5DA3">
            <w:pPr>
              <w:jc w:val="center"/>
              <w:rPr>
                <w:szCs w:val="22"/>
              </w:rPr>
            </w:pPr>
            <w:r w:rsidRPr="008071A7">
              <w:rPr>
                <w:szCs w:val="22"/>
              </w:rPr>
              <w:t>Hyperkeratosis</w:t>
            </w:r>
          </w:p>
        </w:tc>
        <w:tc>
          <w:tcPr>
            <w:tcW w:w="2694" w:type="dxa"/>
          </w:tcPr>
          <w:p w:rsidR="007B31D9" w:rsidRPr="008071A7" w:rsidRDefault="007B31D9" w:rsidP="00EE5DA3">
            <w:pPr>
              <w:jc w:val="center"/>
              <w:rPr>
                <w:szCs w:val="22"/>
              </w:rPr>
            </w:pPr>
          </w:p>
        </w:tc>
      </w:tr>
      <w:tr w:rsidR="007B31D9" w:rsidRPr="008071A7" w:rsidTr="004D4EB9">
        <w:tc>
          <w:tcPr>
            <w:tcW w:w="1951" w:type="dxa"/>
          </w:tcPr>
          <w:p w:rsidR="007B31D9" w:rsidRPr="008071A7" w:rsidRDefault="007B31D9" w:rsidP="00EE5DA3">
            <w:pPr>
              <w:rPr>
                <w:bCs/>
                <w:szCs w:val="22"/>
              </w:rPr>
            </w:pPr>
            <w:r w:rsidRPr="008071A7">
              <w:rPr>
                <w:bCs/>
                <w:szCs w:val="22"/>
              </w:rPr>
              <w:t>Musculoskeletal and connective tissue disorders</w:t>
            </w:r>
          </w:p>
        </w:tc>
        <w:tc>
          <w:tcPr>
            <w:tcW w:w="2693" w:type="dxa"/>
          </w:tcPr>
          <w:p w:rsidR="007B31D9" w:rsidRPr="008071A7" w:rsidRDefault="007B31D9" w:rsidP="00EE5DA3">
            <w:pPr>
              <w:jc w:val="center"/>
              <w:rPr>
                <w:szCs w:val="22"/>
              </w:rPr>
            </w:pPr>
            <w:r w:rsidRPr="008071A7">
              <w:rPr>
                <w:szCs w:val="22"/>
              </w:rPr>
              <w:t>Back pain</w:t>
            </w:r>
          </w:p>
          <w:p w:rsidR="007B31D9" w:rsidRPr="008071A7" w:rsidRDefault="007B31D9" w:rsidP="00EE5DA3">
            <w:pPr>
              <w:jc w:val="center"/>
              <w:rPr>
                <w:szCs w:val="22"/>
              </w:rPr>
            </w:pPr>
            <w:r w:rsidRPr="008071A7">
              <w:rPr>
                <w:szCs w:val="22"/>
              </w:rPr>
              <w:t>Arthralgia</w:t>
            </w:r>
          </w:p>
          <w:p w:rsidR="007B31D9" w:rsidRPr="008071A7" w:rsidRDefault="007B31D9" w:rsidP="00EE5DA3">
            <w:pPr>
              <w:jc w:val="center"/>
              <w:rPr>
                <w:szCs w:val="22"/>
              </w:rPr>
            </w:pPr>
            <w:r w:rsidRPr="008071A7">
              <w:rPr>
                <w:szCs w:val="22"/>
              </w:rPr>
              <w:t>Myalgia</w:t>
            </w:r>
          </w:p>
          <w:p w:rsidR="007B31D9" w:rsidRPr="008071A7" w:rsidRDefault="007B31D9" w:rsidP="00EE5DA3">
            <w:pPr>
              <w:jc w:val="center"/>
              <w:rPr>
                <w:szCs w:val="22"/>
              </w:rPr>
            </w:pPr>
            <w:r w:rsidRPr="008071A7">
              <w:rPr>
                <w:szCs w:val="22"/>
              </w:rPr>
              <w:t>Pain in extremity</w:t>
            </w:r>
          </w:p>
          <w:p w:rsidR="007B31D9" w:rsidRPr="008071A7" w:rsidRDefault="007B31D9" w:rsidP="00EE5DA3">
            <w:pPr>
              <w:jc w:val="center"/>
              <w:rPr>
                <w:szCs w:val="22"/>
              </w:rPr>
            </w:pPr>
            <w:r w:rsidRPr="008071A7">
              <w:rPr>
                <w:szCs w:val="22"/>
              </w:rPr>
              <w:t>Musculoskeletal pain</w:t>
            </w:r>
          </w:p>
        </w:tc>
        <w:tc>
          <w:tcPr>
            <w:tcW w:w="2410" w:type="dxa"/>
          </w:tcPr>
          <w:p w:rsidR="007B31D9" w:rsidRPr="008071A7" w:rsidRDefault="007B31D9" w:rsidP="00EE5DA3">
            <w:pPr>
              <w:jc w:val="center"/>
              <w:rPr>
                <w:szCs w:val="22"/>
              </w:rPr>
            </w:pPr>
          </w:p>
        </w:tc>
        <w:tc>
          <w:tcPr>
            <w:tcW w:w="2694" w:type="dxa"/>
          </w:tcPr>
          <w:p w:rsidR="007B31D9" w:rsidRPr="008071A7" w:rsidRDefault="007B31D9" w:rsidP="00EE5DA3">
            <w:pPr>
              <w:jc w:val="center"/>
              <w:rPr>
                <w:szCs w:val="22"/>
              </w:rPr>
            </w:pPr>
          </w:p>
        </w:tc>
      </w:tr>
      <w:tr w:rsidR="007B31D9" w:rsidRPr="008071A7" w:rsidTr="004D4EB9">
        <w:tc>
          <w:tcPr>
            <w:tcW w:w="1951" w:type="dxa"/>
          </w:tcPr>
          <w:p w:rsidR="007B31D9" w:rsidRPr="008071A7" w:rsidRDefault="007B31D9" w:rsidP="00EE5DA3">
            <w:pPr>
              <w:rPr>
                <w:bCs/>
                <w:szCs w:val="22"/>
              </w:rPr>
            </w:pPr>
            <w:r w:rsidRPr="008071A7">
              <w:rPr>
                <w:bCs/>
                <w:szCs w:val="22"/>
              </w:rPr>
              <w:t>Renal and urinary disorders</w:t>
            </w:r>
          </w:p>
        </w:tc>
        <w:tc>
          <w:tcPr>
            <w:tcW w:w="2693" w:type="dxa"/>
          </w:tcPr>
          <w:p w:rsidR="007B31D9" w:rsidRPr="008071A7" w:rsidRDefault="007B31D9" w:rsidP="00EE5DA3">
            <w:pPr>
              <w:jc w:val="center"/>
              <w:rPr>
                <w:szCs w:val="22"/>
              </w:rPr>
            </w:pPr>
            <w:r w:rsidRPr="008071A7">
              <w:rPr>
                <w:szCs w:val="22"/>
              </w:rPr>
              <w:t>Proteinuria</w:t>
            </w:r>
            <w:r w:rsidRPr="008071A7">
              <w:rPr>
                <w:szCs w:val="22"/>
                <w:vertAlign w:val="superscript"/>
              </w:rPr>
              <w:t>‡</w:t>
            </w:r>
          </w:p>
        </w:tc>
        <w:tc>
          <w:tcPr>
            <w:tcW w:w="2410" w:type="dxa"/>
          </w:tcPr>
          <w:p w:rsidR="007B31D9" w:rsidRPr="008071A7" w:rsidRDefault="007B31D9" w:rsidP="00EE5DA3">
            <w:pPr>
              <w:jc w:val="center"/>
              <w:rPr>
                <w:szCs w:val="22"/>
                <w:vertAlign w:val="superscript"/>
              </w:rPr>
            </w:pPr>
            <w:r w:rsidRPr="008071A7">
              <w:rPr>
                <w:szCs w:val="22"/>
              </w:rPr>
              <w:t>Renal failure events</w:t>
            </w:r>
            <w:r w:rsidRPr="008071A7">
              <w:rPr>
                <w:szCs w:val="22"/>
                <w:vertAlign w:val="superscript"/>
              </w:rPr>
              <w:t>j, †</w:t>
            </w:r>
          </w:p>
          <w:p w:rsidR="007B31D9" w:rsidRPr="008071A7" w:rsidRDefault="007B31D9" w:rsidP="00EE5DA3">
            <w:pPr>
              <w:jc w:val="center"/>
              <w:rPr>
                <w:szCs w:val="22"/>
              </w:rPr>
            </w:pPr>
            <w:r w:rsidRPr="008071A7">
              <w:rPr>
                <w:szCs w:val="22"/>
              </w:rPr>
              <w:t>Renal impairment</w:t>
            </w:r>
          </w:p>
          <w:p w:rsidR="007B31D9" w:rsidRPr="008071A7" w:rsidRDefault="007B31D9" w:rsidP="00EE5DA3">
            <w:pPr>
              <w:jc w:val="center"/>
              <w:rPr>
                <w:szCs w:val="22"/>
              </w:rPr>
            </w:pPr>
            <w:r w:rsidRPr="008071A7">
              <w:rPr>
                <w:szCs w:val="22"/>
              </w:rPr>
              <w:t>Blood creatinine increased</w:t>
            </w:r>
          </w:p>
          <w:p w:rsidR="007B31D9" w:rsidRPr="008071A7" w:rsidRDefault="007B31D9" w:rsidP="00EE5DA3">
            <w:pPr>
              <w:jc w:val="center"/>
              <w:rPr>
                <w:szCs w:val="22"/>
              </w:rPr>
            </w:pPr>
            <w:r w:rsidRPr="008071A7">
              <w:rPr>
                <w:szCs w:val="22"/>
              </w:rPr>
              <w:t>Blood urea increased</w:t>
            </w:r>
          </w:p>
        </w:tc>
        <w:tc>
          <w:tcPr>
            <w:tcW w:w="2694" w:type="dxa"/>
          </w:tcPr>
          <w:p w:rsidR="007B31D9" w:rsidRPr="008071A7" w:rsidRDefault="007B31D9" w:rsidP="00EE5DA3">
            <w:pPr>
              <w:jc w:val="center"/>
              <w:rPr>
                <w:szCs w:val="22"/>
                <w:lang w:val="fr-FR"/>
              </w:rPr>
            </w:pPr>
          </w:p>
        </w:tc>
      </w:tr>
      <w:tr w:rsidR="007B31D9" w:rsidRPr="008071A7" w:rsidTr="004D4EB9">
        <w:tc>
          <w:tcPr>
            <w:tcW w:w="1951" w:type="dxa"/>
          </w:tcPr>
          <w:p w:rsidR="007B31D9" w:rsidRPr="008071A7" w:rsidRDefault="007B31D9" w:rsidP="00EE5DA3">
            <w:pPr>
              <w:rPr>
                <w:bCs/>
                <w:szCs w:val="22"/>
              </w:rPr>
            </w:pPr>
            <w:r w:rsidRPr="008071A7">
              <w:rPr>
                <w:bCs/>
                <w:szCs w:val="22"/>
              </w:rPr>
              <w:t xml:space="preserve">General disorders and </w:t>
            </w:r>
            <w:r w:rsidRPr="008071A7">
              <w:rPr>
                <w:bCs/>
                <w:szCs w:val="22"/>
              </w:rPr>
              <w:lastRenderedPageBreak/>
              <w:t>administration site conditions</w:t>
            </w:r>
          </w:p>
        </w:tc>
        <w:tc>
          <w:tcPr>
            <w:tcW w:w="2693" w:type="dxa"/>
          </w:tcPr>
          <w:p w:rsidR="007B31D9" w:rsidRPr="008071A7" w:rsidRDefault="007B31D9" w:rsidP="00EE5DA3">
            <w:pPr>
              <w:jc w:val="center"/>
              <w:rPr>
                <w:szCs w:val="22"/>
              </w:rPr>
            </w:pPr>
            <w:r w:rsidRPr="008071A7">
              <w:rPr>
                <w:szCs w:val="22"/>
              </w:rPr>
              <w:lastRenderedPageBreak/>
              <w:t>Fatigue</w:t>
            </w:r>
          </w:p>
          <w:p w:rsidR="007B31D9" w:rsidRPr="008071A7" w:rsidRDefault="007B31D9" w:rsidP="00EE5DA3">
            <w:pPr>
              <w:jc w:val="center"/>
              <w:rPr>
                <w:szCs w:val="22"/>
              </w:rPr>
            </w:pPr>
            <w:r w:rsidRPr="008071A7">
              <w:rPr>
                <w:szCs w:val="22"/>
              </w:rPr>
              <w:t>Asthenia</w:t>
            </w:r>
          </w:p>
          <w:p w:rsidR="007B31D9" w:rsidRPr="008071A7" w:rsidRDefault="007B31D9" w:rsidP="00EE5DA3">
            <w:pPr>
              <w:jc w:val="center"/>
              <w:rPr>
                <w:szCs w:val="22"/>
              </w:rPr>
            </w:pPr>
            <w:r w:rsidRPr="008071A7">
              <w:rPr>
                <w:szCs w:val="22"/>
              </w:rPr>
              <w:lastRenderedPageBreak/>
              <w:t>Oedema peripheral</w:t>
            </w:r>
          </w:p>
        </w:tc>
        <w:tc>
          <w:tcPr>
            <w:tcW w:w="2410" w:type="dxa"/>
          </w:tcPr>
          <w:p w:rsidR="007B31D9" w:rsidRPr="008071A7" w:rsidRDefault="007B31D9" w:rsidP="00EE5DA3">
            <w:pPr>
              <w:jc w:val="center"/>
              <w:rPr>
                <w:szCs w:val="22"/>
              </w:rPr>
            </w:pPr>
            <w:r w:rsidRPr="008071A7">
              <w:rPr>
                <w:szCs w:val="22"/>
              </w:rPr>
              <w:lastRenderedPageBreak/>
              <w:t>Malaise</w:t>
            </w:r>
          </w:p>
        </w:tc>
        <w:tc>
          <w:tcPr>
            <w:tcW w:w="2694" w:type="dxa"/>
          </w:tcPr>
          <w:p w:rsidR="007B31D9" w:rsidRPr="008071A7" w:rsidRDefault="007B31D9" w:rsidP="00EE5DA3">
            <w:pPr>
              <w:jc w:val="center"/>
              <w:rPr>
                <w:szCs w:val="22"/>
              </w:rPr>
            </w:pPr>
          </w:p>
        </w:tc>
      </w:tr>
    </w:tbl>
    <w:p w:rsidR="007B31D9" w:rsidRPr="008071A7" w:rsidRDefault="007B31D9" w:rsidP="007B31D9">
      <w:pPr>
        <w:autoSpaceDE w:val="0"/>
        <w:autoSpaceDN w:val="0"/>
        <w:adjustRightInd w:val="0"/>
        <w:ind w:left="284" w:hanging="284"/>
        <w:rPr>
          <w:strike/>
          <w:noProof/>
          <w:szCs w:val="22"/>
        </w:rPr>
      </w:pPr>
      <w:r w:rsidRPr="008071A7">
        <w:rPr>
          <w:vertAlign w:val="superscript"/>
        </w:rPr>
        <w:lastRenderedPageBreak/>
        <w:t>*</w:t>
      </w:r>
      <w:r w:rsidRPr="008071A7">
        <w:rPr>
          <w:noProof/>
          <w:szCs w:val="22"/>
        </w:rPr>
        <w:t xml:space="preserve">: </w:t>
      </w:r>
      <w:r w:rsidRPr="008071A7">
        <w:rPr>
          <w:noProof/>
          <w:szCs w:val="22"/>
        </w:rPr>
        <w:tab/>
        <w:t>Medical Dictionary for Regulatory Activities (MedDRA) version 16.1.  Preferred terms have been reassigned to the SOC most relevant to the target organ.</w:t>
      </w:r>
    </w:p>
    <w:p w:rsidR="007B31D9" w:rsidRPr="008071A7" w:rsidRDefault="007B31D9" w:rsidP="007B31D9">
      <w:pPr>
        <w:autoSpaceDE w:val="0"/>
        <w:autoSpaceDN w:val="0"/>
        <w:adjustRightInd w:val="0"/>
        <w:ind w:left="284" w:hanging="284"/>
        <w:rPr>
          <w:noProof/>
          <w:szCs w:val="22"/>
        </w:rPr>
      </w:pPr>
      <w:r w:rsidRPr="008071A7">
        <w:rPr>
          <w:szCs w:val="22"/>
          <w:vertAlign w:val="superscript"/>
        </w:rPr>
        <w:t>†</w:t>
      </w:r>
      <w:r w:rsidRPr="008071A7">
        <w:rPr>
          <w:noProof/>
          <w:szCs w:val="22"/>
        </w:rPr>
        <w:t>:</w:t>
      </w:r>
      <w:r w:rsidRPr="008071A7">
        <w:rPr>
          <w:noProof/>
          <w:szCs w:val="22"/>
        </w:rPr>
        <w:tab/>
        <w:t>Includes events with a fatal outcome.</w:t>
      </w:r>
    </w:p>
    <w:p w:rsidR="007B31D9" w:rsidRDefault="007B31D9" w:rsidP="007B31D9">
      <w:pPr>
        <w:autoSpaceDE w:val="0"/>
        <w:autoSpaceDN w:val="0"/>
        <w:adjustRightInd w:val="0"/>
        <w:ind w:left="284" w:hanging="284"/>
        <w:rPr>
          <w:noProof/>
          <w:szCs w:val="22"/>
        </w:rPr>
      </w:pPr>
      <w:r w:rsidRPr="008071A7">
        <w:rPr>
          <w:noProof/>
          <w:szCs w:val="22"/>
        </w:rPr>
        <w:t>‡:</w:t>
      </w:r>
      <w:r w:rsidRPr="008071A7">
        <w:rPr>
          <w:noProof/>
          <w:szCs w:val="22"/>
        </w:rPr>
        <w:tab/>
        <w:t xml:space="preserve">See </w:t>
      </w:r>
      <w:r w:rsidR="00AA031C" w:rsidRPr="00BE78D8">
        <w:rPr>
          <w:rFonts w:eastAsiaTheme="minorHAnsi"/>
          <w:color w:val="auto"/>
          <w:szCs w:val="24"/>
          <w:lang w:val="en-US" w:eastAsia="en-US"/>
        </w:rPr>
        <w:t xml:space="preserve">see </w:t>
      </w:r>
      <w:r w:rsidR="00AA031C">
        <w:rPr>
          <w:rFonts w:eastAsiaTheme="minorHAnsi"/>
          <w:color w:val="auto"/>
          <w:szCs w:val="24"/>
          <w:lang w:val="en-US" w:eastAsia="en-US"/>
        </w:rPr>
        <w:t>Selected Adverse Reactions</w:t>
      </w:r>
      <w:r w:rsidR="00AA031C" w:rsidRPr="008071A7" w:rsidDel="00AA031C">
        <w:rPr>
          <w:noProof/>
          <w:szCs w:val="22"/>
        </w:rPr>
        <w:t xml:space="preserve"> </w:t>
      </w:r>
      <w:r w:rsidRPr="008071A7">
        <w:rPr>
          <w:noProof/>
          <w:szCs w:val="22"/>
        </w:rPr>
        <w:t>for further characterisation.</w:t>
      </w:r>
    </w:p>
    <w:p w:rsidR="007B31D9" w:rsidRPr="008071A7" w:rsidRDefault="007B31D9" w:rsidP="007B31D9">
      <w:pPr>
        <w:autoSpaceDE w:val="0"/>
        <w:autoSpaceDN w:val="0"/>
        <w:adjustRightInd w:val="0"/>
        <w:ind w:left="284" w:hanging="284"/>
        <w:rPr>
          <w:noProof/>
          <w:szCs w:val="22"/>
        </w:rPr>
      </w:pPr>
      <w:r w:rsidRPr="0066496C">
        <w:rPr>
          <w:noProof/>
          <w:szCs w:val="22"/>
        </w:rPr>
        <w:t>The following terms have been combined:</w:t>
      </w:r>
    </w:p>
    <w:p w:rsidR="007B31D9" w:rsidRPr="00387F40" w:rsidRDefault="007B31D9" w:rsidP="007B31D9">
      <w:pPr>
        <w:autoSpaceDE w:val="0"/>
        <w:autoSpaceDN w:val="0"/>
        <w:adjustRightInd w:val="0"/>
        <w:ind w:left="284" w:hanging="284"/>
        <w:rPr>
          <w:strike/>
          <w:noProof/>
          <w:szCs w:val="22"/>
        </w:rPr>
      </w:pPr>
      <w:r w:rsidRPr="008071A7">
        <w:rPr>
          <w:noProof/>
          <w:szCs w:val="22"/>
        </w:rPr>
        <w:t>a:</w:t>
      </w:r>
      <w:r w:rsidRPr="008071A7">
        <w:rPr>
          <w:noProof/>
          <w:szCs w:val="22"/>
        </w:rPr>
        <w:tab/>
        <w:t>Thrombocytopenia</w:t>
      </w:r>
      <w:r w:rsidRPr="008071A7">
        <w:rPr>
          <w:szCs w:val="22"/>
        </w:rPr>
        <w:t xml:space="preserve"> includes t</w:t>
      </w:r>
      <w:r w:rsidRPr="008071A7">
        <w:rPr>
          <w:noProof/>
          <w:szCs w:val="22"/>
        </w:rPr>
        <w:t xml:space="preserve">hrombocytopenia and platelet count decreased.  Lymphopenia includes lymphopenia </w:t>
      </w:r>
      <w:r>
        <w:rPr>
          <w:noProof/>
          <w:szCs w:val="22"/>
        </w:rPr>
        <w:t>and lymphocyte count decreased.</w:t>
      </w:r>
    </w:p>
    <w:p w:rsidR="007B31D9" w:rsidRPr="008071A7" w:rsidRDefault="007B31D9" w:rsidP="007B31D9">
      <w:pPr>
        <w:autoSpaceDE w:val="0"/>
        <w:autoSpaceDN w:val="0"/>
        <w:adjustRightInd w:val="0"/>
        <w:ind w:left="284" w:hanging="284"/>
        <w:rPr>
          <w:noProof/>
          <w:szCs w:val="22"/>
        </w:rPr>
      </w:pPr>
      <w:r w:rsidRPr="0066496C">
        <w:rPr>
          <w:noProof/>
          <w:szCs w:val="22"/>
        </w:rPr>
        <w:t>b:</w:t>
      </w:r>
      <w:r w:rsidRPr="0066496C">
        <w:rPr>
          <w:noProof/>
          <w:szCs w:val="22"/>
        </w:rPr>
        <w:tab/>
        <w:t xml:space="preserve">Hypomagnesaemia includes hypomagnesaemia and blood magnesium decreased.  Hypercholesterolaemia includes </w:t>
      </w:r>
      <w:r w:rsidRPr="0066496C">
        <w:rPr>
          <w:szCs w:val="22"/>
        </w:rPr>
        <w:t>hypercholesterolaemia and blood cholesterol increased.</w:t>
      </w:r>
    </w:p>
    <w:p w:rsidR="007B31D9" w:rsidRPr="008071A7" w:rsidRDefault="007B31D9" w:rsidP="007B31D9">
      <w:pPr>
        <w:autoSpaceDE w:val="0"/>
        <w:autoSpaceDN w:val="0"/>
        <w:adjustRightInd w:val="0"/>
        <w:ind w:left="284" w:hanging="284"/>
        <w:jc w:val="both"/>
        <w:rPr>
          <w:noProof/>
          <w:szCs w:val="22"/>
        </w:rPr>
      </w:pPr>
      <w:r w:rsidRPr="008071A7">
        <w:rPr>
          <w:noProof/>
          <w:szCs w:val="22"/>
        </w:rPr>
        <w:t>c:</w:t>
      </w:r>
      <w:r w:rsidRPr="008071A7">
        <w:rPr>
          <w:noProof/>
          <w:szCs w:val="22"/>
        </w:rPr>
        <w:tab/>
        <w:t>Myocardial infarction includes myocardial infarction and acute myocardial infarction.</w:t>
      </w:r>
    </w:p>
    <w:p w:rsidR="007B31D9" w:rsidRPr="008071A7" w:rsidRDefault="007B31D9" w:rsidP="007B31D9">
      <w:pPr>
        <w:autoSpaceDE w:val="0"/>
        <w:autoSpaceDN w:val="0"/>
        <w:adjustRightInd w:val="0"/>
        <w:ind w:left="284" w:hanging="284"/>
        <w:jc w:val="both"/>
        <w:rPr>
          <w:noProof/>
          <w:szCs w:val="22"/>
        </w:rPr>
      </w:pPr>
      <w:r w:rsidRPr="008071A7">
        <w:rPr>
          <w:noProof/>
          <w:szCs w:val="22"/>
        </w:rPr>
        <w:t>d:</w:t>
      </w:r>
      <w:r w:rsidRPr="008071A7">
        <w:rPr>
          <w:noProof/>
          <w:szCs w:val="22"/>
        </w:rPr>
        <w:tab/>
        <w:t>Hypertension includes: hypertension, hypertensive crisis, blood pressure diastolic increased, and blood pressure increased.</w:t>
      </w:r>
    </w:p>
    <w:p w:rsidR="007B31D9" w:rsidRPr="008071A7" w:rsidRDefault="007B31D9" w:rsidP="007B31D9">
      <w:pPr>
        <w:autoSpaceDE w:val="0"/>
        <w:autoSpaceDN w:val="0"/>
        <w:adjustRightInd w:val="0"/>
        <w:ind w:left="284" w:hanging="284"/>
        <w:rPr>
          <w:noProof/>
          <w:szCs w:val="22"/>
        </w:rPr>
      </w:pPr>
      <w:r w:rsidRPr="008071A7">
        <w:rPr>
          <w:noProof/>
          <w:szCs w:val="22"/>
        </w:rPr>
        <w:t>e:</w:t>
      </w:r>
      <w:r w:rsidRPr="008071A7">
        <w:rPr>
          <w:noProof/>
          <w:szCs w:val="22"/>
        </w:rPr>
        <w:tab/>
        <w:t>Haemorrhage includes: epistaxis, haemoptysis, haematuria, contusion, haematochezia, gingival bleeding, petechiae, pulmonary haemorrhage, rectal haemorrhage, blood urine present, haematoma, vaginal haemorrhage, conjunctival haemorrhage, haemorrhoidal haemorrhage, intracranial tumour haemorrhage, laryngeal haemorrhage, ecchymosis, increased tendency to bruise, post procedural haemorrhage, purpura, skin haemorrhage, aneurysm ruptured, arterial haemorrhage, eye haemorrhage, gastric haemorrhage, gastroduodenitis haemorrhagic, gastrointestinal haemorrhage, haematemesis, haemorrhage, haemorrhagic stroke, melaena, metrorrhagia, nail bed bleeding, pleural haemorrhage, postmenopausal haemorrhage, proctitis haemorrhagic, renal haematoma, splenic haemorrhage, splinter haemorrhages, subarachnoid haemorrhage, tracheal haemorrhage, tumour haemorrhage.</w:t>
      </w:r>
    </w:p>
    <w:p w:rsidR="007B31D9" w:rsidRPr="008071A7" w:rsidRDefault="007B31D9" w:rsidP="007B31D9">
      <w:pPr>
        <w:autoSpaceDE w:val="0"/>
        <w:autoSpaceDN w:val="0"/>
        <w:adjustRightInd w:val="0"/>
        <w:ind w:left="284" w:hanging="284"/>
        <w:rPr>
          <w:noProof/>
          <w:szCs w:val="22"/>
        </w:rPr>
      </w:pPr>
      <w:r w:rsidRPr="008071A7">
        <w:rPr>
          <w:noProof/>
          <w:szCs w:val="22"/>
        </w:rPr>
        <w:t>f:</w:t>
      </w:r>
      <w:r w:rsidRPr="008071A7">
        <w:rPr>
          <w:noProof/>
          <w:szCs w:val="22"/>
        </w:rPr>
        <w:tab/>
        <w:t xml:space="preserve">Oral inflammation includes: aphthous stomatitis, stomatitis, glossitis, mouth ulceration, and mucosal inflammation. </w:t>
      </w:r>
    </w:p>
    <w:p w:rsidR="007B31D9" w:rsidRPr="008071A7" w:rsidRDefault="007B31D9" w:rsidP="007B31D9">
      <w:pPr>
        <w:autoSpaceDE w:val="0"/>
        <w:autoSpaceDN w:val="0"/>
        <w:adjustRightInd w:val="0"/>
        <w:ind w:left="284" w:hanging="284"/>
        <w:rPr>
          <w:noProof/>
          <w:szCs w:val="22"/>
        </w:rPr>
      </w:pPr>
      <w:r w:rsidRPr="008071A7">
        <w:rPr>
          <w:noProof/>
          <w:szCs w:val="22"/>
        </w:rPr>
        <w:t>g:</w:t>
      </w:r>
      <w:r w:rsidRPr="008071A7">
        <w:rPr>
          <w:noProof/>
          <w:szCs w:val="22"/>
        </w:rPr>
        <w:tab/>
        <w:t>Gastrointestinal and abdominal pain includes: abdominal discomfort, abdominal pain, abdominal pain lower, abdominal pain upper, abdominal tenderness, epigastric discomfort, and gastrointestinal pain.</w:t>
      </w:r>
    </w:p>
    <w:p w:rsidR="007B31D9" w:rsidRPr="008071A7" w:rsidRDefault="007B31D9" w:rsidP="007B31D9">
      <w:pPr>
        <w:autoSpaceDE w:val="0"/>
        <w:autoSpaceDN w:val="0"/>
        <w:adjustRightInd w:val="0"/>
        <w:ind w:left="284" w:hanging="284"/>
        <w:jc w:val="both"/>
        <w:rPr>
          <w:noProof/>
          <w:szCs w:val="22"/>
        </w:rPr>
      </w:pPr>
      <w:r w:rsidRPr="008071A7">
        <w:rPr>
          <w:noProof/>
          <w:szCs w:val="22"/>
        </w:rPr>
        <w:t>h:</w:t>
      </w:r>
      <w:r w:rsidRPr="008071A7">
        <w:rPr>
          <w:noProof/>
          <w:szCs w:val="22"/>
        </w:rPr>
        <w:tab/>
        <w:t>Oral pain includes: oral pain, glossodynia, and oropharyngeal pain.</w:t>
      </w:r>
    </w:p>
    <w:p w:rsidR="007B31D9" w:rsidRPr="008071A7" w:rsidRDefault="007B31D9" w:rsidP="007B31D9">
      <w:pPr>
        <w:autoSpaceDE w:val="0"/>
        <w:autoSpaceDN w:val="0"/>
        <w:adjustRightInd w:val="0"/>
        <w:ind w:left="284" w:hanging="284"/>
        <w:rPr>
          <w:noProof/>
          <w:szCs w:val="22"/>
        </w:rPr>
      </w:pPr>
      <w:r w:rsidRPr="008071A7">
        <w:rPr>
          <w:noProof/>
          <w:szCs w:val="22"/>
        </w:rPr>
        <w:t>i:</w:t>
      </w:r>
      <w:r w:rsidRPr="008071A7">
        <w:rPr>
          <w:noProof/>
          <w:szCs w:val="22"/>
        </w:rPr>
        <w:tab/>
        <w:t>Hepatocellular damage and hepatitis includes: drug-induced liver injury, hepatic steatosis, and cholestatic liver injury.</w:t>
      </w:r>
    </w:p>
    <w:p w:rsidR="007B31D9" w:rsidRPr="008071A7" w:rsidRDefault="007B31D9" w:rsidP="007B31D9">
      <w:pPr>
        <w:autoSpaceDE w:val="0"/>
        <w:autoSpaceDN w:val="0"/>
        <w:adjustRightInd w:val="0"/>
        <w:ind w:left="284" w:hanging="284"/>
        <w:rPr>
          <w:noProof/>
          <w:szCs w:val="22"/>
        </w:rPr>
      </w:pPr>
      <w:r w:rsidRPr="008071A7">
        <w:rPr>
          <w:noProof/>
          <w:szCs w:val="22"/>
        </w:rPr>
        <w:t>j:</w:t>
      </w:r>
      <w:r w:rsidRPr="008071A7">
        <w:rPr>
          <w:noProof/>
          <w:szCs w:val="22"/>
        </w:rPr>
        <w:tab/>
        <w:t>Renal failure events includes: acute prerenal failure, renal failure, renal failure acute, and renal tubular necrosis.</w:t>
      </w:r>
    </w:p>
    <w:p w:rsidR="002178CE" w:rsidRPr="00BE78D8" w:rsidRDefault="002178CE" w:rsidP="00026C88">
      <w:pPr>
        <w:autoSpaceDE w:val="0"/>
        <w:autoSpaceDN w:val="0"/>
        <w:adjustRightInd w:val="0"/>
        <w:rPr>
          <w:rFonts w:eastAsiaTheme="minorHAnsi"/>
          <w:color w:val="auto"/>
          <w:szCs w:val="24"/>
          <w:lang w:val="en-US" w:eastAsia="en-US"/>
        </w:rPr>
      </w:pPr>
    </w:p>
    <w:p w:rsidR="00026C88" w:rsidRPr="00BE78D8" w:rsidRDefault="002178CE" w:rsidP="00026C88">
      <w:pPr>
        <w:autoSpaceDE w:val="0"/>
        <w:autoSpaceDN w:val="0"/>
        <w:adjustRightInd w:val="0"/>
        <w:rPr>
          <w:rFonts w:eastAsiaTheme="minorHAnsi"/>
          <w:color w:val="auto"/>
          <w:szCs w:val="24"/>
          <w:lang w:val="en-US" w:eastAsia="en-US"/>
        </w:rPr>
      </w:pPr>
      <w:r w:rsidRPr="00D665C0">
        <w:t xml:space="preserve">Table </w:t>
      </w:r>
      <w:r w:rsidR="002725D4">
        <w:t>4</w:t>
      </w:r>
      <w:r w:rsidRPr="00D665C0">
        <w:t xml:space="preserve"> presents the incidence rates of treatment-emergent adverse events observed in the double blind phase of the DTC study. All adverse events occurring with a treatment difference of at least 5% over placebo are included in the Table. Clinically significant events (CSEs) that were observed more frequently than placebo are also included based on an assessment of the known pharmacology of lenvatinib and class effects</w:t>
      </w:r>
    </w:p>
    <w:p w:rsidR="00ED7231" w:rsidRDefault="00ED7231" w:rsidP="00026C88">
      <w:pPr>
        <w:autoSpaceDE w:val="0"/>
        <w:autoSpaceDN w:val="0"/>
        <w:adjustRightInd w:val="0"/>
        <w:rPr>
          <w:rFonts w:eastAsiaTheme="minorHAnsi"/>
          <w:color w:val="auto"/>
          <w:szCs w:val="24"/>
          <w:lang w:val="en-US" w:eastAsia="en-US"/>
        </w:rPr>
      </w:pPr>
    </w:p>
    <w:tbl>
      <w:tblPr>
        <w:tblW w:w="0" w:type="auto"/>
        <w:jc w:val="center"/>
        <w:tblLayout w:type="fixed"/>
        <w:tblLook w:val="0000" w:firstRow="0" w:lastRow="0" w:firstColumn="0" w:lastColumn="0" w:noHBand="0" w:noVBand="0"/>
      </w:tblPr>
      <w:tblGrid>
        <w:gridCol w:w="3978"/>
        <w:gridCol w:w="1350"/>
        <w:gridCol w:w="1260"/>
        <w:gridCol w:w="1350"/>
        <w:gridCol w:w="1278"/>
      </w:tblGrid>
      <w:tr w:rsidR="002178CE" w:rsidTr="002178CE">
        <w:trPr>
          <w:tblHeader/>
          <w:jc w:val="center"/>
        </w:trPr>
        <w:tc>
          <w:tcPr>
            <w:tcW w:w="9216" w:type="dxa"/>
            <w:gridSpan w:val="5"/>
            <w:tcBorders>
              <w:bottom w:val="single" w:sz="4" w:space="0" w:color="auto"/>
            </w:tcBorders>
            <w:shd w:val="clear" w:color="auto" w:fill="auto"/>
          </w:tcPr>
          <w:p w:rsidR="002178CE" w:rsidRPr="00495961" w:rsidRDefault="002178CE" w:rsidP="002178CE">
            <w:pPr>
              <w:pStyle w:val="TableTitle"/>
              <w:rPr>
                <w:highlight w:val="yellow"/>
              </w:rPr>
            </w:pPr>
            <w:r w:rsidRPr="00C84977">
              <w:lastRenderedPageBreak/>
              <w:t>Table </w:t>
            </w:r>
            <w:r w:rsidR="002725D4">
              <w:t>4</w:t>
            </w:r>
            <w:r w:rsidRPr="00C84977">
              <w:tab/>
              <w:t>Treatment</w:t>
            </w:r>
            <w:r w:rsidRPr="00364174">
              <w:t xml:space="preserve">-Emergent Adverse Events </w:t>
            </w:r>
            <w:r>
              <w:t>reported for</w:t>
            </w:r>
            <w:r w:rsidRPr="00364174">
              <w:t xml:space="preserve"> Lenvatinib in the double-blind phase of the </w:t>
            </w:r>
            <w:r w:rsidRPr="00ED43D6">
              <w:t>DTC Study</w:t>
            </w:r>
            <w:r>
              <w:t>*</w:t>
            </w:r>
            <w:r w:rsidRPr="00ED43D6">
              <w:t xml:space="preserve"> </w:t>
            </w:r>
          </w:p>
        </w:tc>
      </w:tr>
      <w:tr w:rsidR="002178CE" w:rsidTr="002178CE">
        <w:trPr>
          <w:trHeight w:val="169"/>
          <w:tblHeader/>
          <w:jc w:val="center"/>
        </w:trPr>
        <w:tc>
          <w:tcPr>
            <w:tcW w:w="3978" w:type="dxa"/>
            <w:vMerge w:val="restart"/>
            <w:tcBorders>
              <w:top w:val="single" w:sz="4" w:space="0" w:color="auto"/>
              <w:left w:val="single" w:sz="4" w:space="0" w:color="auto"/>
              <w:right w:val="single" w:sz="4" w:space="0" w:color="auto"/>
            </w:tcBorders>
            <w:shd w:val="clear" w:color="auto" w:fill="auto"/>
            <w:vAlign w:val="bottom"/>
          </w:tcPr>
          <w:p w:rsidR="002178CE" w:rsidRPr="00495961" w:rsidRDefault="002178CE" w:rsidP="002178CE">
            <w:pPr>
              <w:pStyle w:val="TableHead"/>
              <w:spacing w:before="0" w:after="0"/>
              <w:jc w:val="left"/>
              <w:rPr>
                <w:szCs w:val="22"/>
              </w:rPr>
            </w:pPr>
            <w:r w:rsidRPr="00495961">
              <w:rPr>
                <w:sz w:val="22"/>
                <w:szCs w:val="22"/>
              </w:rPr>
              <w:t>System Organ Class</w:t>
            </w:r>
          </w:p>
          <w:p w:rsidR="002178CE" w:rsidRPr="00495961" w:rsidRDefault="002178CE" w:rsidP="002178CE">
            <w:pPr>
              <w:pStyle w:val="TableHead"/>
              <w:spacing w:before="0" w:after="0"/>
              <w:ind w:left="360"/>
              <w:jc w:val="left"/>
              <w:rPr>
                <w:szCs w:val="22"/>
              </w:rPr>
            </w:pPr>
            <w:r w:rsidRPr="00495961">
              <w:rPr>
                <w:sz w:val="22"/>
                <w:szCs w:val="22"/>
              </w:rPr>
              <w:t>Preferred Term</w:t>
            </w:r>
            <w:r>
              <w:rPr>
                <w:sz w:val="22"/>
                <w:szCs w:val="22"/>
              </w:rPr>
              <w:t xml:space="preserve"> </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178CE" w:rsidRPr="00495961" w:rsidRDefault="002178CE" w:rsidP="002178CE">
            <w:pPr>
              <w:pStyle w:val="TableHead"/>
              <w:spacing w:before="0" w:after="0"/>
              <w:rPr>
                <w:szCs w:val="22"/>
              </w:rPr>
            </w:pPr>
            <w:r w:rsidRPr="00495961">
              <w:rPr>
                <w:sz w:val="22"/>
                <w:szCs w:val="22"/>
              </w:rPr>
              <w:t>LENVIMA 24 mg</w:t>
            </w:r>
          </w:p>
          <w:p w:rsidR="002178CE" w:rsidRPr="00495961" w:rsidRDefault="002178CE" w:rsidP="002178CE">
            <w:pPr>
              <w:pStyle w:val="TableHead"/>
              <w:spacing w:before="0" w:after="0"/>
              <w:rPr>
                <w:szCs w:val="22"/>
              </w:rPr>
            </w:pPr>
            <w:r w:rsidRPr="00495961">
              <w:rPr>
                <w:sz w:val="22"/>
                <w:szCs w:val="22"/>
              </w:rPr>
              <w:t>N=261</w:t>
            </w:r>
          </w:p>
        </w:tc>
        <w:tc>
          <w:tcPr>
            <w:tcW w:w="262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178CE" w:rsidRPr="00495961" w:rsidRDefault="002178CE" w:rsidP="002178CE">
            <w:pPr>
              <w:pStyle w:val="TableHead"/>
              <w:spacing w:before="0" w:after="0"/>
              <w:rPr>
                <w:szCs w:val="22"/>
              </w:rPr>
            </w:pPr>
            <w:r w:rsidRPr="00495961">
              <w:rPr>
                <w:sz w:val="22"/>
                <w:szCs w:val="22"/>
              </w:rPr>
              <w:t>Placebo</w:t>
            </w:r>
          </w:p>
          <w:p w:rsidR="002178CE" w:rsidRPr="00495961" w:rsidRDefault="002178CE" w:rsidP="002178CE">
            <w:pPr>
              <w:pStyle w:val="TableHead"/>
              <w:spacing w:before="0" w:after="0"/>
              <w:rPr>
                <w:szCs w:val="22"/>
              </w:rPr>
            </w:pPr>
            <w:r w:rsidRPr="00495961">
              <w:rPr>
                <w:sz w:val="22"/>
                <w:szCs w:val="22"/>
              </w:rPr>
              <w:t>N=131</w:t>
            </w:r>
          </w:p>
        </w:tc>
      </w:tr>
      <w:tr w:rsidR="002178CE" w:rsidTr="002178CE">
        <w:trPr>
          <w:trHeight w:val="168"/>
          <w:tblHeader/>
          <w:jc w:val="center"/>
        </w:trPr>
        <w:tc>
          <w:tcPr>
            <w:tcW w:w="3978" w:type="dxa"/>
            <w:vMerge/>
            <w:tcBorders>
              <w:left w:val="single" w:sz="4" w:space="0" w:color="auto"/>
              <w:bottom w:val="single" w:sz="4" w:space="0" w:color="auto"/>
              <w:right w:val="single" w:sz="4" w:space="0" w:color="auto"/>
            </w:tcBorders>
            <w:shd w:val="clear" w:color="auto" w:fill="auto"/>
            <w:vAlign w:val="bottom"/>
          </w:tcPr>
          <w:p w:rsidR="002178CE" w:rsidRPr="00495961" w:rsidRDefault="002178CE" w:rsidP="002178CE">
            <w:pPr>
              <w:pStyle w:val="TableHead"/>
              <w:spacing w:before="0" w:after="0"/>
              <w:rPr>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rsidR="002178CE" w:rsidRPr="00495961" w:rsidRDefault="002178CE" w:rsidP="002178CE">
            <w:pPr>
              <w:pStyle w:val="TableHead"/>
              <w:spacing w:before="0" w:after="0"/>
              <w:rPr>
                <w:szCs w:val="22"/>
              </w:rPr>
            </w:pPr>
            <w:r w:rsidRPr="00495961">
              <w:rPr>
                <w:sz w:val="22"/>
                <w:szCs w:val="22"/>
              </w:rPr>
              <w:t>All Grades</w:t>
            </w:r>
          </w:p>
          <w:p w:rsidR="002178CE" w:rsidRPr="00495961" w:rsidRDefault="002178CE" w:rsidP="002178CE">
            <w:pPr>
              <w:pStyle w:val="TableHead"/>
              <w:spacing w:before="0" w:after="0"/>
              <w:rPr>
                <w:szCs w:val="22"/>
              </w:rPr>
            </w:pPr>
            <w:r w:rsidRPr="00495961">
              <w:rPr>
                <w:sz w:val="22"/>
                <w:szCs w:val="22"/>
              </w:rPr>
              <w: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2178CE" w:rsidRPr="00495961" w:rsidRDefault="002178CE" w:rsidP="002178CE">
            <w:pPr>
              <w:pStyle w:val="TableHead"/>
              <w:spacing w:before="0" w:after="0"/>
              <w:rPr>
                <w:szCs w:val="22"/>
              </w:rPr>
            </w:pPr>
            <w:r w:rsidRPr="00495961">
              <w:rPr>
                <w:sz w:val="22"/>
                <w:szCs w:val="22"/>
              </w:rPr>
              <w:t>Grades 3-4</w:t>
            </w:r>
          </w:p>
          <w:p w:rsidR="002178CE" w:rsidRPr="00495961" w:rsidRDefault="002178CE" w:rsidP="002178CE">
            <w:pPr>
              <w:pStyle w:val="TableHead"/>
              <w:spacing w:before="0" w:after="0"/>
              <w:rPr>
                <w:szCs w:val="22"/>
              </w:rPr>
            </w:pPr>
            <w:r w:rsidRPr="00495961">
              <w:rPr>
                <w:sz w:val="22"/>
                <w:szCs w:val="22"/>
              </w:rPr>
              <w:t>(%)</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rsidR="002178CE" w:rsidRPr="00495961" w:rsidRDefault="002178CE" w:rsidP="002178CE">
            <w:pPr>
              <w:pStyle w:val="TableHead"/>
              <w:spacing w:before="0" w:after="0"/>
              <w:rPr>
                <w:szCs w:val="22"/>
              </w:rPr>
            </w:pPr>
            <w:r w:rsidRPr="00495961">
              <w:rPr>
                <w:sz w:val="22"/>
                <w:szCs w:val="22"/>
              </w:rPr>
              <w:t>All Grades</w:t>
            </w:r>
          </w:p>
          <w:p w:rsidR="002178CE" w:rsidRPr="00495961" w:rsidRDefault="002178CE" w:rsidP="002178CE">
            <w:pPr>
              <w:pStyle w:val="TableHead"/>
              <w:spacing w:before="0" w:after="0"/>
              <w:rPr>
                <w:szCs w:val="22"/>
              </w:rPr>
            </w:pPr>
            <w:r w:rsidRPr="00495961">
              <w:rPr>
                <w:sz w:val="22"/>
                <w:szCs w:val="22"/>
              </w:rPr>
              <w:t>(%)</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bottom"/>
          </w:tcPr>
          <w:p w:rsidR="002178CE" w:rsidRPr="00495961" w:rsidRDefault="002178CE" w:rsidP="002178CE">
            <w:pPr>
              <w:pStyle w:val="TableHead"/>
              <w:spacing w:before="0" w:after="0"/>
              <w:rPr>
                <w:szCs w:val="22"/>
              </w:rPr>
            </w:pPr>
            <w:r w:rsidRPr="00495961">
              <w:rPr>
                <w:sz w:val="22"/>
                <w:szCs w:val="22"/>
              </w:rPr>
              <w:t>Grades 3-4</w:t>
            </w:r>
          </w:p>
          <w:p w:rsidR="002178CE" w:rsidRPr="00495961" w:rsidRDefault="002178CE" w:rsidP="002178CE">
            <w:pPr>
              <w:pStyle w:val="TableHead"/>
              <w:spacing w:before="0" w:after="0"/>
              <w:rPr>
                <w:szCs w:val="22"/>
              </w:rPr>
            </w:pPr>
            <w:r w:rsidRPr="00495961">
              <w:rPr>
                <w:sz w:val="22"/>
                <w:szCs w:val="22"/>
              </w:rPr>
              <w:t>(%)</w:t>
            </w:r>
          </w:p>
        </w:tc>
      </w:tr>
      <w:tr w:rsidR="002178CE" w:rsidTr="002178CE">
        <w:trPr>
          <w:jc w:val="center"/>
        </w:trPr>
        <w:tc>
          <w:tcPr>
            <w:tcW w:w="9216" w:type="dxa"/>
            <w:gridSpan w:val="5"/>
            <w:tcBorders>
              <w:top w:val="single" w:sz="4" w:space="0" w:color="auto"/>
              <w:left w:val="single" w:sz="4" w:space="0" w:color="auto"/>
              <w:bottom w:val="single" w:sz="4" w:space="0" w:color="auto"/>
              <w:right w:val="single" w:sz="4" w:space="0" w:color="auto"/>
            </w:tcBorders>
            <w:shd w:val="clear" w:color="auto" w:fill="auto"/>
          </w:tcPr>
          <w:p w:rsidR="002178CE" w:rsidRPr="00495961" w:rsidRDefault="002178CE" w:rsidP="002178CE">
            <w:pPr>
              <w:pStyle w:val="TableCenter"/>
              <w:spacing w:before="0" w:after="0"/>
              <w:jc w:val="left"/>
              <w:rPr>
                <w:b/>
                <w:szCs w:val="22"/>
                <w:highlight w:val="yellow"/>
              </w:rPr>
            </w:pPr>
            <w:r w:rsidRPr="00495961">
              <w:rPr>
                <w:b/>
                <w:sz w:val="22"/>
                <w:szCs w:val="22"/>
              </w:rPr>
              <w:t xml:space="preserve">Blood &amp; Lymphatic </w:t>
            </w:r>
            <w:r>
              <w:rPr>
                <w:b/>
                <w:sz w:val="22"/>
                <w:szCs w:val="22"/>
              </w:rPr>
              <w:t xml:space="preserve">System </w:t>
            </w:r>
            <w:r w:rsidRPr="00495961">
              <w:rPr>
                <w:b/>
                <w:sz w:val="22"/>
                <w:szCs w:val="22"/>
              </w:rPr>
              <w:t>Disorders</w:t>
            </w:r>
          </w:p>
        </w:tc>
      </w:tr>
      <w:tr w:rsidR="002178CE" w:rsidTr="002178CE">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rsidR="002178CE" w:rsidRPr="00971623" w:rsidRDefault="002178CE" w:rsidP="002178CE">
            <w:pPr>
              <w:pStyle w:val="TableCenter"/>
              <w:spacing w:before="0" w:after="0"/>
              <w:ind w:left="360"/>
              <w:jc w:val="both"/>
              <w:rPr>
                <w:szCs w:val="22"/>
              </w:rPr>
            </w:pPr>
            <w:r w:rsidRPr="00971623">
              <w:rPr>
                <w:sz w:val="22"/>
                <w:szCs w:val="22"/>
              </w:rPr>
              <w:t>Thrombocytopenia</w:t>
            </w:r>
            <w:r w:rsidRPr="00EC031A">
              <w:rPr>
                <w:sz w:val="22"/>
                <w:szCs w:val="22"/>
                <w:vertAlign w:val="superscript"/>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676E98" w:rsidRDefault="002178CE" w:rsidP="002178CE">
            <w:pPr>
              <w:pStyle w:val="TableCenter"/>
              <w:spacing w:before="0" w:after="0"/>
              <w:rPr>
                <w:szCs w:val="22"/>
              </w:rPr>
            </w:pPr>
            <w:r w:rsidRPr="00676E98">
              <w:rPr>
                <w:sz w:val="22"/>
                <w:szCs w:val="22"/>
              </w:rPr>
              <w:t>13.8</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178CE" w:rsidRPr="00676E98" w:rsidRDefault="002178CE" w:rsidP="002178CE">
            <w:pPr>
              <w:pStyle w:val="TableCenter"/>
              <w:spacing w:before="0" w:after="0"/>
              <w:rPr>
                <w:szCs w:val="22"/>
              </w:rPr>
            </w:pPr>
            <w:r w:rsidRPr="00676E98">
              <w:rPr>
                <w:sz w:val="22"/>
                <w:szCs w:val="22"/>
              </w:rPr>
              <w:t>1.9</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676E98" w:rsidRDefault="002178CE" w:rsidP="002178CE">
            <w:pPr>
              <w:pStyle w:val="TableCenter"/>
              <w:spacing w:before="0" w:after="0"/>
              <w:rPr>
                <w:szCs w:val="22"/>
              </w:rPr>
            </w:pPr>
            <w:r w:rsidRPr="00676E98">
              <w:rPr>
                <w:sz w:val="22"/>
                <w:szCs w:val="22"/>
              </w:rPr>
              <w:t>2.3</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178CE" w:rsidRPr="00676E98" w:rsidRDefault="002178CE" w:rsidP="002178CE">
            <w:pPr>
              <w:pStyle w:val="TableCenter"/>
              <w:spacing w:before="0" w:after="0"/>
              <w:rPr>
                <w:szCs w:val="22"/>
              </w:rPr>
            </w:pPr>
            <w:r w:rsidRPr="00676E98">
              <w:rPr>
                <w:sz w:val="22"/>
                <w:szCs w:val="22"/>
              </w:rPr>
              <w:t>0</w:t>
            </w:r>
          </w:p>
        </w:tc>
      </w:tr>
      <w:tr w:rsidR="002178CE" w:rsidTr="002178CE">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rsidR="002178CE" w:rsidRPr="00971623" w:rsidRDefault="002178CE" w:rsidP="002178CE">
            <w:pPr>
              <w:pStyle w:val="TableCenter"/>
              <w:spacing w:before="0" w:after="0"/>
              <w:ind w:left="360"/>
              <w:jc w:val="both"/>
              <w:rPr>
                <w:szCs w:val="22"/>
              </w:rPr>
            </w:pPr>
            <w:r w:rsidRPr="00971623">
              <w:rPr>
                <w:sz w:val="22"/>
                <w:szCs w:val="22"/>
              </w:rPr>
              <w:t>Lymphopenia</w:t>
            </w:r>
            <w:r w:rsidRPr="00461662">
              <w:rPr>
                <w:sz w:val="22"/>
                <w:szCs w:val="22"/>
                <w:vertAlign w:val="superscript"/>
              </w:rPr>
              <w:t>2</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676E98" w:rsidRDefault="002178CE" w:rsidP="002178CE">
            <w:pPr>
              <w:pStyle w:val="TableCenter"/>
              <w:spacing w:before="0" w:after="0"/>
              <w:rPr>
                <w:szCs w:val="22"/>
              </w:rPr>
            </w:pPr>
            <w:r>
              <w:rPr>
                <w:sz w:val="22"/>
                <w:szCs w:val="22"/>
              </w:rPr>
              <w:t>10.7</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178CE" w:rsidRPr="00676E98" w:rsidRDefault="002178CE" w:rsidP="002178CE">
            <w:pPr>
              <w:pStyle w:val="TableCenter"/>
              <w:spacing w:before="0" w:after="0"/>
              <w:rPr>
                <w:szCs w:val="22"/>
              </w:rPr>
            </w:pPr>
            <w:r>
              <w:rPr>
                <w:sz w:val="22"/>
                <w:szCs w:val="22"/>
              </w:rPr>
              <w:t>2.3</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676E98" w:rsidRDefault="002178CE" w:rsidP="002178CE">
            <w:pPr>
              <w:pStyle w:val="TableCenter"/>
              <w:spacing w:before="0" w:after="0"/>
              <w:rPr>
                <w:szCs w:val="22"/>
              </w:rPr>
            </w:pPr>
            <w:r>
              <w:rPr>
                <w:sz w:val="22"/>
                <w:szCs w:val="22"/>
              </w:rPr>
              <w:t>4.6</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178CE" w:rsidRPr="00676E98" w:rsidRDefault="002178CE" w:rsidP="002178CE">
            <w:pPr>
              <w:pStyle w:val="TableCenter"/>
              <w:spacing w:before="0" w:after="0"/>
              <w:rPr>
                <w:szCs w:val="22"/>
              </w:rPr>
            </w:pPr>
            <w:r w:rsidRPr="00676E98">
              <w:rPr>
                <w:sz w:val="22"/>
                <w:szCs w:val="22"/>
              </w:rPr>
              <w:t>0</w:t>
            </w:r>
            <w:r>
              <w:rPr>
                <w:sz w:val="22"/>
                <w:szCs w:val="22"/>
              </w:rPr>
              <w:t>.8</w:t>
            </w:r>
          </w:p>
        </w:tc>
      </w:tr>
      <w:tr w:rsidR="002178CE" w:rsidTr="002178CE">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rsidR="002178CE" w:rsidRPr="00971623" w:rsidRDefault="002178CE" w:rsidP="002178CE">
            <w:pPr>
              <w:pStyle w:val="TableCenter"/>
              <w:spacing w:before="0" w:after="0"/>
              <w:ind w:left="360"/>
              <w:jc w:val="both"/>
              <w:rPr>
                <w:b/>
                <w:szCs w:val="22"/>
              </w:rPr>
            </w:pPr>
            <w:r w:rsidRPr="00971623">
              <w:rPr>
                <w:sz w:val="22"/>
                <w:szCs w:val="22"/>
              </w:rPr>
              <w:t>Splenic infarction</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676E98" w:rsidRDefault="002178CE" w:rsidP="002178CE">
            <w:pPr>
              <w:pStyle w:val="TableCenter"/>
              <w:spacing w:before="0" w:after="0"/>
              <w:rPr>
                <w:szCs w:val="22"/>
              </w:rPr>
            </w:pPr>
            <w:r w:rsidRPr="00676E98">
              <w:rPr>
                <w:sz w:val="22"/>
                <w:szCs w:val="22"/>
              </w:rPr>
              <w:t>0.8</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178CE" w:rsidRPr="00676E98" w:rsidRDefault="002178CE" w:rsidP="002178CE">
            <w:pPr>
              <w:pStyle w:val="TableCenter"/>
              <w:spacing w:before="0" w:after="0"/>
              <w:rPr>
                <w:szCs w:val="22"/>
              </w:rPr>
            </w:pPr>
            <w:r w:rsidRPr="00676E98">
              <w:rPr>
                <w:sz w:val="22"/>
                <w:szCs w:val="22"/>
              </w:rPr>
              <w:t>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676E98" w:rsidRDefault="002178CE" w:rsidP="002178CE">
            <w:pPr>
              <w:pStyle w:val="TableCenter"/>
              <w:spacing w:before="0" w:after="0"/>
              <w:rPr>
                <w:szCs w:val="22"/>
              </w:rPr>
            </w:pPr>
            <w:r w:rsidRPr="00676E98">
              <w:rPr>
                <w:sz w:val="22"/>
                <w:szCs w:val="22"/>
              </w:rPr>
              <w:t>0</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178CE" w:rsidRPr="00676E98" w:rsidRDefault="002178CE" w:rsidP="002178CE">
            <w:pPr>
              <w:pStyle w:val="TableCenter"/>
              <w:spacing w:before="0" w:after="0"/>
              <w:rPr>
                <w:szCs w:val="22"/>
              </w:rPr>
            </w:pPr>
            <w:r w:rsidRPr="00676E98">
              <w:rPr>
                <w:sz w:val="22"/>
                <w:szCs w:val="22"/>
              </w:rPr>
              <w:t>0</w:t>
            </w:r>
          </w:p>
        </w:tc>
      </w:tr>
      <w:tr w:rsidR="002178CE" w:rsidTr="002178CE">
        <w:trPr>
          <w:jc w:val="center"/>
        </w:trPr>
        <w:tc>
          <w:tcPr>
            <w:tcW w:w="9216" w:type="dxa"/>
            <w:gridSpan w:val="5"/>
            <w:tcBorders>
              <w:top w:val="single" w:sz="4" w:space="0" w:color="auto"/>
              <w:left w:val="single" w:sz="4" w:space="0" w:color="auto"/>
              <w:bottom w:val="single" w:sz="4" w:space="0" w:color="auto"/>
              <w:right w:val="single" w:sz="4" w:space="0" w:color="auto"/>
            </w:tcBorders>
            <w:shd w:val="clear" w:color="auto" w:fill="auto"/>
          </w:tcPr>
          <w:p w:rsidR="002178CE" w:rsidRPr="00971623" w:rsidRDefault="002178CE" w:rsidP="002178CE">
            <w:pPr>
              <w:pStyle w:val="TableCenter"/>
              <w:spacing w:before="0" w:after="0"/>
              <w:jc w:val="left"/>
              <w:rPr>
                <w:b/>
                <w:szCs w:val="22"/>
              </w:rPr>
            </w:pPr>
            <w:r w:rsidRPr="00971623">
              <w:rPr>
                <w:b/>
                <w:sz w:val="22"/>
                <w:szCs w:val="22"/>
              </w:rPr>
              <w:t>Cardiac Disorders</w:t>
            </w:r>
          </w:p>
        </w:tc>
      </w:tr>
      <w:tr w:rsidR="002178CE" w:rsidTr="002178CE">
        <w:trPr>
          <w:trHeight w:val="260"/>
          <w:jc w:val="center"/>
        </w:trPr>
        <w:tc>
          <w:tcPr>
            <w:tcW w:w="3978" w:type="dxa"/>
            <w:tcBorders>
              <w:top w:val="single" w:sz="4" w:space="0" w:color="auto"/>
              <w:left w:val="single" w:sz="4" w:space="0" w:color="auto"/>
              <w:right w:val="single" w:sz="4" w:space="0" w:color="auto"/>
            </w:tcBorders>
            <w:shd w:val="clear" w:color="auto" w:fill="auto"/>
          </w:tcPr>
          <w:p w:rsidR="002178CE" w:rsidRPr="00971623" w:rsidRDefault="002178CE" w:rsidP="002178CE">
            <w:pPr>
              <w:pStyle w:val="TableCenter"/>
              <w:spacing w:before="0" w:after="0"/>
              <w:ind w:left="360"/>
              <w:jc w:val="both"/>
              <w:rPr>
                <w:szCs w:val="22"/>
              </w:rPr>
            </w:pPr>
            <w:r w:rsidRPr="00971623">
              <w:rPr>
                <w:sz w:val="22"/>
                <w:szCs w:val="22"/>
              </w:rPr>
              <w:t>Ejection fraction decreased</w:t>
            </w:r>
          </w:p>
        </w:tc>
        <w:tc>
          <w:tcPr>
            <w:tcW w:w="1350" w:type="dxa"/>
            <w:tcBorders>
              <w:top w:val="single" w:sz="4" w:space="0" w:color="auto"/>
              <w:left w:val="single" w:sz="4" w:space="0" w:color="auto"/>
              <w:right w:val="single" w:sz="4" w:space="0" w:color="auto"/>
            </w:tcBorders>
            <w:shd w:val="clear" w:color="auto" w:fill="auto"/>
          </w:tcPr>
          <w:p w:rsidR="002178CE" w:rsidRPr="0043081F" w:rsidRDefault="002178CE" w:rsidP="002178CE">
            <w:pPr>
              <w:pStyle w:val="TableCenter"/>
              <w:spacing w:before="0" w:after="0"/>
              <w:rPr>
                <w:szCs w:val="22"/>
              </w:rPr>
            </w:pPr>
            <w:r w:rsidRPr="0043081F">
              <w:rPr>
                <w:sz w:val="22"/>
                <w:szCs w:val="22"/>
              </w:rPr>
              <w:t>5.4</w:t>
            </w:r>
          </w:p>
        </w:tc>
        <w:tc>
          <w:tcPr>
            <w:tcW w:w="1260" w:type="dxa"/>
            <w:tcBorders>
              <w:top w:val="single" w:sz="4" w:space="0" w:color="auto"/>
              <w:left w:val="single" w:sz="4" w:space="0" w:color="auto"/>
              <w:right w:val="single" w:sz="4" w:space="0" w:color="auto"/>
            </w:tcBorders>
            <w:shd w:val="clear" w:color="auto" w:fill="auto"/>
          </w:tcPr>
          <w:p w:rsidR="002178CE" w:rsidRPr="0043081F" w:rsidRDefault="002178CE" w:rsidP="002178CE">
            <w:pPr>
              <w:pStyle w:val="TableCenter"/>
              <w:spacing w:before="0" w:after="0"/>
              <w:rPr>
                <w:szCs w:val="22"/>
              </w:rPr>
            </w:pPr>
            <w:r w:rsidRPr="0043081F">
              <w:rPr>
                <w:sz w:val="22"/>
                <w:szCs w:val="22"/>
              </w:rPr>
              <w:t>1.1</w:t>
            </w:r>
          </w:p>
        </w:tc>
        <w:tc>
          <w:tcPr>
            <w:tcW w:w="1350" w:type="dxa"/>
            <w:tcBorders>
              <w:top w:val="single" w:sz="4" w:space="0" w:color="auto"/>
              <w:left w:val="single" w:sz="4" w:space="0" w:color="auto"/>
              <w:right w:val="single" w:sz="4" w:space="0" w:color="auto"/>
            </w:tcBorders>
            <w:shd w:val="clear" w:color="auto" w:fill="auto"/>
          </w:tcPr>
          <w:p w:rsidR="002178CE" w:rsidRPr="0043081F" w:rsidRDefault="002178CE" w:rsidP="002178CE">
            <w:pPr>
              <w:pStyle w:val="TableCenter"/>
              <w:spacing w:before="0" w:after="0"/>
              <w:rPr>
                <w:szCs w:val="22"/>
              </w:rPr>
            </w:pPr>
            <w:r w:rsidRPr="0043081F">
              <w:rPr>
                <w:sz w:val="22"/>
                <w:szCs w:val="22"/>
              </w:rPr>
              <w:t>0.8</w:t>
            </w:r>
          </w:p>
        </w:tc>
        <w:tc>
          <w:tcPr>
            <w:tcW w:w="1278" w:type="dxa"/>
            <w:tcBorders>
              <w:top w:val="single" w:sz="4" w:space="0" w:color="auto"/>
              <w:left w:val="single" w:sz="4" w:space="0" w:color="auto"/>
              <w:right w:val="single" w:sz="4" w:space="0" w:color="auto"/>
            </w:tcBorders>
            <w:shd w:val="clear" w:color="auto" w:fill="auto"/>
          </w:tcPr>
          <w:p w:rsidR="002178CE" w:rsidRPr="0043081F" w:rsidRDefault="002178CE" w:rsidP="002178CE">
            <w:pPr>
              <w:pStyle w:val="TableCenter"/>
              <w:spacing w:before="0" w:after="0"/>
              <w:rPr>
                <w:szCs w:val="22"/>
              </w:rPr>
            </w:pPr>
            <w:r w:rsidRPr="0043081F">
              <w:rPr>
                <w:sz w:val="22"/>
                <w:szCs w:val="22"/>
              </w:rPr>
              <w:t>0</w:t>
            </w:r>
          </w:p>
        </w:tc>
      </w:tr>
      <w:tr w:rsidR="002178CE" w:rsidTr="002178CE">
        <w:trPr>
          <w:trHeight w:val="260"/>
          <w:jc w:val="center"/>
        </w:trPr>
        <w:tc>
          <w:tcPr>
            <w:tcW w:w="3978" w:type="dxa"/>
            <w:tcBorders>
              <w:top w:val="single" w:sz="4" w:space="0" w:color="auto"/>
              <w:left w:val="single" w:sz="4" w:space="0" w:color="auto"/>
              <w:right w:val="single" w:sz="4" w:space="0" w:color="auto"/>
            </w:tcBorders>
            <w:shd w:val="clear" w:color="auto" w:fill="auto"/>
          </w:tcPr>
          <w:p w:rsidR="002178CE" w:rsidRPr="00971623" w:rsidRDefault="002178CE" w:rsidP="002178CE">
            <w:pPr>
              <w:pStyle w:val="TableCenter"/>
              <w:spacing w:before="0" w:after="0"/>
              <w:ind w:left="360"/>
              <w:jc w:val="both"/>
              <w:rPr>
                <w:szCs w:val="22"/>
              </w:rPr>
            </w:pPr>
            <w:r w:rsidRPr="00971623">
              <w:rPr>
                <w:sz w:val="22"/>
                <w:szCs w:val="22"/>
              </w:rPr>
              <w:t>Myocardial infarction</w:t>
            </w:r>
            <w:r>
              <w:rPr>
                <w:sz w:val="22"/>
                <w:szCs w:val="22"/>
                <w:vertAlign w:val="superscript"/>
              </w:rPr>
              <w:t>3,4</w:t>
            </w:r>
          </w:p>
        </w:tc>
        <w:tc>
          <w:tcPr>
            <w:tcW w:w="1350" w:type="dxa"/>
            <w:tcBorders>
              <w:top w:val="single" w:sz="4" w:space="0" w:color="auto"/>
              <w:left w:val="single" w:sz="4" w:space="0" w:color="auto"/>
              <w:right w:val="single" w:sz="4" w:space="0" w:color="auto"/>
            </w:tcBorders>
            <w:shd w:val="clear" w:color="auto" w:fill="auto"/>
          </w:tcPr>
          <w:p w:rsidR="002178CE" w:rsidRPr="0043081F" w:rsidRDefault="002178CE" w:rsidP="002178CE">
            <w:pPr>
              <w:pStyle w:val="TableCenter"/>
              <w:spacing w:before="0" w:after="0"/>
              <w:rPr>
                <w:szCs w:val="22"/>
              </w:rPr>
            </w:pPr>
            <w:r w:rsidRPr="0043081F">
              <w:rPr>
                <w:sz w:val="22"/>
                <w:szCs w:val="22"/>
              </w:rPr>
              <w:t>1.1</w:t>
            </w:r>
          </w:p>
        </w:tc>
        <w:tc>
          <w:tcPr>
            <w:tcW w:w="1260" w:type="dxa"/>
            <w:tcBorders>
              <w:top w:val="single" w:sz="4" w:space="0" w:color="auto"/>
              <w:left w:val="single" w:sz="4" w:space="0" w:color="auto"/>
              <w:right w:val="single" w:sz="4" w:space="0" w:color="auto"/>
            </w:tcBorders>
            <w:shd w:val="clear" w:color="auto" w:fill="auto"/>
          </w:tcPr>
          <w:p w:rsidR="002178CE" w:rsidRPr="0043081F" w:rsidRDefault="002178CE" w:rsidP="002178CE">
            <w:pPr>
              <w:pStyle w:val="TableCenter"/>
              <w:spacing w:before="0" w:after="0"/>
              <w:rPr>
                <w:szCs w:val="22"/>
              </w:rPr>
            </w:pPr>
            <w:r w:rsidRPr="0043081F">
              <w:rPr>
                <w:sz w:val="22"/>
                <w:szCs w:val="22"/>
              </w:rPr>
              <w:t>1.1</w:t>
            </w:r>
          </w:p>
        </w:tc>
        <w:tc>
          <w:tcPr>
            <w:tcW w:w="1350" w:type="dxa"/>
            <w:tcBorders>
              <w:top w:val="single" w:sz="4" w:space="0" w:color="auto"/>
              <w:left w:val="single" w:sz="4" w:space="0" w:color="auto"/>
              <w:right w:val="single" w:sz="4" w:space="0" w:color="auto"/>
            </w:tcBorders>
            <w:shd w:val="clear" w:color="auto" w:fill="auto"/>
          </w:tcPr>
          <w:p w:rsidR="002178CE" w:rsidRPr="0043081F" w:rsidRDefault="002178CE" w:rsidP="002178CE">
            <w:pPr>
              <w:pStyle w:val="TableCenter"/>
              <w:spacing w:before="0" w:after="0"/>
              <w:rPr>
                <w:szCs w:val="22"/>
              </w:rPr>
            </w:pPr>
            <w:r w:rsidRPr="0043081F">
              <w:rPr>
                <w:sz w:val="22"/>
                <w:szCs w:val="22"/>
              </w:rPr>
              <w:t>0.8</w:t>
            </w:r>
          </w:p>
        </w:tc>
        <w:tc>
          <w:tcPr>
            <w:tcW w:w="1278" w:type="dxa"/>
            <w:tcBorders>
              <w:top w:val="single" w:sz="4" w:space="0" w:color="auto"/>
              <w:left w:val="single" w:sz="4" w:space="0" w:color="auto"/>
              <w:right w:val="single" w:sz="4" w:space="0" w:color="auto"/>
            </w:tcBorders>
            <w:shd w:val="clear" w:color="auto" w:fill="auto"/>
          </w:tcPr>
          <w:p w:rsidR="002178CE" w:rsidRPr="0043081F" w:rsidRDefault="002178CE" w:rsidP="002178CE">
            <w:pPr>
              <w:pStyle w:val="TableCenter"/>
              <w:spacing w:before="0" w:after="0"/>
              <w:rPr>
                <w:szCs w:val="22"/>
              </w:rPr>
            </w:pPr>
            <w:r w:rsidRPr="0043081F">
              <w:rPr>
                <w:sz w:val="22"/>
                <w:szCs w:val="22"/>
              </w:rPr>
              <w:t>0</w:t>
            </w:r>
            <w:r>
              <w:rPr>
                <w:sz w:val="22"/>
                <w:szCs w:val="22"/>
              </w:rPr>
              <w:t>.8</w:t>
            </w:r>
          </w:p>
        </w:tc>
      </w:tr>
      <w:tr w:rsidR="002178CE" w:rsidTr="002178CE">
        <w:trPr>
          <w:trHeight w:val="260"/>
          <w:jc w:val="center"/>
        </w:trPr>
        <w:tc>
          <w:tcPr>
            <w:tcW w:w="3978" w:type="dxa"/>
            <w:tcBorders>
              <w:top w:val="single" w:sz="4" w:space="0" w:color="auto"/>
              <w:left w:val="single" w:sz="4" w:space="0" w:color="auto"/>
              <w:right w:val="single" w:sz="4" w:space="0" w:color="auto"/>
            </w:tcBorders>
            <w:shd w:val="clear" w:color="auto" w:fill="auto"/>
          </w:tcPr>
          <w:p w:rsidR="002178CE" w:rsidRPr="00971623" w:rsidRDefault="002178CE" w:rsidP="002178CE">
            <w:pPr>
              <w:pStyle w:val="TableCenter"/>
              <w:spacing w:before="0" w:after="0"/>
              <w:ind w:left="360"/>
              <w:jc w:val="both"/>
              <w:rPr>
                <w:szCs w:val="22"/>
              </w:rPr>
            </w:pPr>
            <w:r w:rsidRPr="00971623">
              <w:rPr>
                <w:sz w:val="22"/>
                <w:szCs w:val="22"/>
              </w:rPr>
              <w:t>Cardiac failure</w:t>
            </w:r>
          </w:p>
        </w:tc>
        <w:tc>
          <w:tcPr>
            <w:tcW w:w="1350" w:type="dxa"/>
            <w:tcBorders>
              <w:top w:val="single" w:sz="4" w:space="0" w:color="auto"/>
              <w:left w:val="single" w:sz="4" w:space="0" w:color="auto"/>
              <w:right w:val="single" w:sz="4" w:space="0" w:color="auto"/>
            </w:tcBorders>
            <w:shd w:val="clear" w:color="auto" w:fill="auto"/>
          </w:tcPr>
          <w:p w:rsidR="002178CE" w:rsidRPr="0043081F" w:rsidRDefault="002178CE" w:rsidP="002178CE">
            <w:pPr>
              <w:pStyle w:val="TableCenter"/>
              <w:spacing w:before="0" w:after="0"/>
              <w:rPr>
                <w:szCs w:val="22"/>
              </w:rPr>
            </w:pPr>
            <w:r w:rsidRPr="0043081F">
              <w:rPr>
                <w:sz w:val="22"/>
                <w:szCs w:val="22"/>
              </w:rPr>
              <w:t>0.8</w:t>
            </w:r>
          </w:p>
        </w:tc>
        <w:tc>
          <w:tcPr>
            <w:tcW w:w="1260" w:type="dxa"/>
            <w:tcBorders>
              <w:top w:val="single" w:sz="4" w:space="0" w:color="auto"/>
              <w:left w:val="single" w:sz="4" w:space="0" w:color="auto"/>
              <w:right w:val="single" w:sz="4" w:space="0" w:color="auto"/>
            </w:tcBorders>
            <w:shd w:val="clear" w:color="auto" w:fill="auto"/>
          </w:tcPr>
          <w:p w:rsidR="002178CE" w:rsidRPr="0043081F" w:rsidRDefault="002178CE" w:rsidP="002178CE">
            <w:pPr>
              <w:pStyle w:val="TableCenter"/>
              <w:spacing w:before="0" w:after="0"/>
              <w:rPr>
                <w:szCs w:val="22"/>
              </w:rPr>
            </w:pPr>
            <w:r w:rsidRPr="0043081F">
              <w:rPr>
                <w:sz w:val="22"/>
                <w:szCs w:val="22"/>
              </w:rPr>
              <w:t>0</w:t>
            </w:r>
          </w:p>
        </w:tc>
        <w:tc>
          <w:tcPr>
            <w:tcW w:w="1350" w:type="dxa"/>
            <w:tcBorders>
              <w:top w:val="single" w:sz="4" w:space="0" w:color="auto"/>
              <w:left w:val="single" w:sz="4" w:space="0" w:color="auto"/>
              <w:right w:val="single" w:sz="4" w:space="0" w:color="auto"/>
            </w:tcBorders>
            <w:shd w:val="clear" w:color="auto" w:fill="auto"/>
          </w:tcPr>
          <w:p w:rsidR="002178CE" w:rsidRPr="0043081F" w:rsidRDefault="002178CE" w:rsidP="002178CE">
            <w:pPr>
              <w:pStyle w:val="TableCenter"/>
              <w:spacing w:before="0" w:after="0"/>
              <w:rPr>
                <w:szCs w:val="22"/>
              </w:rPr>
            </w:pPr>
            <w:r w:rsidRPr="0043081F">
              <w:rPr>
                <w:sz w:val="22"/>
                <w:szCs w:val="22"/>
              </w:rPr>
              <w:t>0</w:t>
            </w:r>
          </w:p>
        </w:tc>
        <w:tc>
          <w:tcPr>
            <w:tcW w:w="1278" w:type="dxa"/>
            <w:tcBorders>
              <w:top w:val="single" w:sz="4" w:space="0" w:color="auto"/>
              <w:left w:val="single" w:sz="4" w:space="0" w:color="auto"/>
              <w:right w:val="single" w:sz="4" w:space="0" w:color="auto"/>
            </w:tcBorders>
            <w:shd w:val="clear" w:color="auto" w:fill="auto"/>
          </w:tcPr>
          <w:p w:rsidR="002178CE" w:rsidRPr="0043081F" w:rsidRDefault="002178CE" w:rsidP="002178CE">
            <w:pPr>
              <w:pStyle w:val="TableCenter"/>
              <w:spacing w:before="0" w:after="0"/>
              <w:rPr>
                <w:szCs w:val="22"/>
              </w:rPr>
            </w:pPr>
            <w:r w:rsidRPr="0043081F">
              <w:rPr>
                <w:sz w:val="22"/>
                <w:szCs w:val="22"/>
              </w:rPr>
              <w:t>0</w:t>
            </w:r>
          </w:p>
        </w:tc>
      </w:tr>
      <w:tr w:rsidR="002178CE" w:rsidTr="002178CE">
        <w:trPr>
          <w:jc w:val="center"/>
        </w:trPr>
        <w:tc>
          <w:tcPr>
            <w:tcW w:w="9216" w:type="dxa"/>
            <w:gridSpan w:val="5"/>
            <w:tcBorders>
              <w:top w:val="single" w:sz="4" w:space="0" w:color="auto"/>
              <w:left w:val="single" w:sz="4" w:space="0" w:color="auto"/>
              <w:bottom w:val="single" w:sz="4" w:space="0" w:color="auto"/>
              <w:right w:val="single" w:sz="4" w:space="0" w:color="auto"/>
            </w:tcBorders>
            <w:shd w:val="clear" w:color="auto" w:fill="auto"/>
          </w:tcPr>
          <w:p w:rsidR="002178CE" w:rsidRPr="00971623" w:rsidRDefault="002178CE" w:rsidP="002178CE">
            <w:pPr>
              <w:pStyle w:val="TableCenter"/>
              <w:spacing w:before="0" w:after="0"/>
              <w:jc w:val="left"/>
              <w:rPr>
                <w:b/>
                <w:szCs w:val="22"/>
              </w:rPr>
            </w:pPr>
            <w:r w:rsidRPr="00971623">
              <w:rPr>
                <w:b/>
                <w:sz w:val="22"/>
                <w:szCs w:val="22"/>
              </w:rPr>
              <w:t>Endocrine Disorder</w:t>
            </w:r>
            <w:r>
              <w:rPr>
                <w:b/>
                <w:sz w:val="22"/>
                <w:szCs w:val="22"/>
              </w:rPr>
              <w:t>s</w:t>
            </w:r>
          </w:p>
        </w:tc>
      </w:tr>
      <w:tr w:rsidR="002178CE" w:rsidTr="002178CE">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rsidR="002178CE" w:rsidRPr="00971623" w:rsidRDefault="002178CE" w:rsidP="002178CE">
            <w:pPr>
              <w:pStyle w:val="TableCenter"/>
              <w:spacing w:before="0" w:after="0"/>
              <w:ind w:left="360"/>
              <w:jc w:val="both"/>
              <w:rPr>
                <w:szCs w:val="22"/>
              </w:rPr>
            </w:pPr>
            <w:r w:rsidRPr="00971623">
              <w:rPr>
                <w:sz w:val="22"/>
                <w:szCs w:val="22"/>
              </w:rPr>
              <w:t>Hypothyroidism</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43081F" w:rsidRDefault="002178CE" w:rsidP="002178CE">
            <w:pPr>
              <w:pStyle w:val="TableCenter"/>
              <w:spacing w:before="0" w:after="0"/>
              <w:rPr>
                <w:szCs w:val="22"/>
              </w:rPr>
            </w:pPr>
            <w:r w:rsidRPr="0043081F">
              <w:rPr>
                <w:sz w:val="22"/>
                <w:szCs w:val="22"/>
              </w:rPr>
              <w:t>5.4</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178CE" w:rsidRPr="0043081F" w:rsidRDefault="002178CE" w:rsidP="002178CE">
            <w:pPr>
              <w:pStyle w:val="TableCenter"/>
              <w:spacing w:before="0" w:after="0"/>
              <w:rPr>
                <w:szCs w:val="22"/>
              </w:rPr>
            </w:pPr>
            <w:r w:rsidRPr="0043081F">
              <w:rPr>
                <w:sz w:val="22"/>
                <w:szCs w:val="22"/>
              </w:rPr>
              <w:t>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43081F" w:rsidRDefault="002178CE" w:rsidP="002178CE">
            <w:pPr>
              <w:pStyle w:val="TableCenter"/>
              <w:spacing w:before="0" w:after="0"/>
              <w:rPr>
                <w:szCs w:val="22"/>
              </w:rPr>
            </w:pPr>
            <w:r w:rsidRPr="0043081F">
              <w:rPr>
                <w:sz w:val="22"/>
                <w:szCs w:val="22"/>
              </w:rPr>
              <w:t>0</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178CE" w:rsidRPr="0043081F" w:rsidRDefault="002178CE" w:rsidP="002178CE">
            <w:pPr>
              <w:pStyle w:val="TableCenter"/>
              <w:spacing w:before="0" w:after="0"/>
              <w:rPr>
                <w:szCs w:val="22"/>
              </w:rPr>
            </w:pPr>
            <w:r w:rsidRPr="0043081F">
              <w:rPr>
                <w:sz w:val="22"/>
                <w:szCs w:val="22"/>
              </w:rPr>
              <w:t>0</w:t>
            </w:r>
          </w:p>
        </w:tc>
      </w:tr>
      <w:tr w:rsidR="002178CE" w:rsidTr="002178CE">
        <w:trPr>
          <w:jc w:val="center"/>
        </w:trPr>
        <w:tc>
          <w:tcPr>
            <w:tcW w:w="9216" w:type="dxa"/>
            <w:gridSpan w:val="5"/>
            <w:tcBorders>
              <w:top w:val="single" w:sz="4" w:space="0" w:color="auto"/>
              <w:left w:val="single" w:sz="4" w:space="0" w:color="auto"/>
              <w:bottom w:val="single" w:sz="4" w:space="0" w:color="auto"/>
              <w:right w:val="single" w:sz="4" w:space="0" w:color="auto"/>
            </w:tcBorders>
            <w:shd w:val="clear" w:color="auto" w:fill="auto"/>
          </w:tcPr>
          <w:p w:rsidR="002178CE" w:rsidRPr="00971623" w:rsidRDefault="002178CE" w:rsidP="002178CE">
            <w:pPr>
              <w:pStyle w:val="TableCenter"/>
              <w:spacing w:before="0" w:after="0"/>
              <w:jc w:val="both"/>
              <w:rPr>
                <w:b/>
                <w:szCs w:val="22"/>
              </w:rPr>
            </w:pPr>
            <w:r w:rsidRPr="00971623">
              <w:rPr>
                <w:b/>
                <w:sz w:val="22"/>
                <w:szCs w:val="22"/>
              </w:rPr>
              <w:t>Gastrointestinal Disorders</w:t>
            </w:r>
          </w:p>
        </w:tc>
      </w:tr>
      <w:tr w:rsidR="002178CE" w:rsidTr="002178CE">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rsidR="002178CE" w:rsidRPr="00971623" w:rsidRDefault="002178CE" w:rsidP="002178CE">
            <w:pPr>
              <w:pStyle w:val="TableCenter"/>
              <w:spacing w:before="0" w:after="0"/>
              <w:ind w:left="360"/>
              <w:jc w:val="both"/>
              <w:rPr>
                <w:szCs w:val="22"/>
              </w:rPr>
            </w:pPr>
            <w:r w:rsidRPr="00971623">
              <w:rPr>
                <w:sz w:val="22"/>
                <w:szCs w:val="22"/>
              </w:rPr>
              <w:t>Diarrhea</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9672BA" w:rsidRDefault="002178CE" w:rsidP="002178CE">
            <w:pPr>
              <w:pStyle w:val="TableCenter"/>
              <w:spacing w:before="0" w:after="0"/>
              <w:rPr>
                <w:szCs w:val="22"/>
              </w:rPr>
            </w:pPr>
            <w:r w:rsidRPr="009672BA">
              <w:rPr>
                <w:sz w:val="22"/>
                <w:szCs w:val="22"/>
              </w:rPr>
              <w:t>67.4</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178CE" w:rsidRPr="009672BA" w:rsidRDefault="002178CE" w:rsidP="002178CE">
            <w:pPr>
              <w:pStyle w:val="TableCenter"/>
              <w:spacing w:before="0" w:after="0"/>
              <w:rPr>
                <w:szCs w:val="22"/>
              </w:rPr>
            </w:pPr>
            <w:r w:rsidRPr="009672BA">
              <w:rPr>
                <w:sz w:val="22"/>
                <w:szCs w:val="22"/>
              </w:rPr>
              <w:t>9.2</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9672BA" w:rsidRDefault="002178CE" w:rsidP="002178CE">
            <w:pPr>
              <w:pStyle w:val="TableCenter"/>
              <w:spacing w:before="0" w:after="0"/>
              <w:rPr>
                <w:szCs w:val="22"/>
              </w:rPr>
            </w:pPr>
            <w:r w:rsidRPr="009672BA">
              <w:rPr>
                <w:sz w:val="22"/>
                <w:szCs w:val="22"/>
              </w:rPr>
              <w:t>16.8</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178CE" w:rsidRPr="009672BA" w:rsidRDefault="002178CE" w:rsidP="002178CE">
            <w:pPr>
              <w:pStyle w:val="TableCenter"/>
              <w:spacing w:before="0" w:after="0"/>
              <w:rPr>
                <w:szCs w:val="22"/>
              </w:rPr>
            </w:pPr>
            <w:r w:rsidRPr="009672BA">
              <w:rPr>
                <w:sz w:val="22"/>
                <w:szCs w:val="22"/>
              </w:rPr>
              <w:t>0</w:t>
            </w:r>
          </w:p>
        </w:tc>
      </w:tr>
      <w:tr w:rsidR="002178CE" w:rsidTr="002178CE">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rsidR="002178CE" w:rsidRPr="00971623" w:rsidRDefault="002178CE" w:rsidP="002178CE">
            <w:pPr>
              <w:pStyle w:val="TableCenter"/>
              <w:spacing w:before="0" w:after="0"/>
              <w:ind w:left="360"/>
              <w:jc w:val="both"/>
              <w:rPr>
                <w:szCs w:val="22"/>
              </w:rPr>
            </w:pPr>
            <w:r w:rsidRPr="00971623">
              <w:rPr>
                <w:sz w:val="22"/>
                <w:szCs w:val="22"/>
              </w:rPr>
              <w:t>Nausea</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9672BA" w:rsidRDefault="002178CE" w:rsidP="002178CE">
            <w:pPr>
              <w:pStyle w:val="TableCenter"/>
              <w:spacing w:before="0" w:after="0"/>
              <w:rPr>
                <w:szCs w:val="22"/>
              </w:rPr>
            </w:pPr>
            <w:r w:rsidRPr="00216D1C">
              <w:rPr>
                <w:sz w:val="22"/>
                <w:szCs w:val="22"/>
              </w:rPr>
              <w:t>46.7</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178CE" w:rsidRPr="009672BA" w:rsidRDefault="002178CE" w:rsidP="002178CE">
            <w:pPr>
              <w:pStyle w:val="TableCenter"/>
              <w:spacing w:before="0" w:after="0"/>
              <w:rPr>
                <w:szCs w:val="22"/>
              </w:rPr>
            </w:pPr>
            <w:r w:rsidRPr="00216D1C">
              <w:rPr>
                <w:sz w:val="22"/>
                <w:szCs w:val="22"/>
              </w:rPr>
              <w:t>2.3</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9672BA" w:rsidRDefault="002178CE" w:rsidP="002178CE">
            <w:pPr>
              <w:pStyle w:val="TableCenter"/>
              <w:spacing w:before="0" w:after="0"/>
              <w:rPr>
                <w:szCs w:val="22"/>
              </w:rPr>
            </w:pPr>
            <w:r w:rsidRPr="00216D1C">
              <w:rPr>
                <w:sz w:val="22"/>
                <w:szCs w:val="22"/>
              </w:rPr>
              <w:t>25.2</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178CE" w:rsidRPr="009672BA" w:rsidRDefault="002178CE" w:rsidP="002178CE">
            <w:pPr>
              <w:pStyle w:val="TableCenter"/>
              <w:spacing w:before="0" w:after="0"/>
              <w:rPr>
                <w:szCs w:val="22"/>
              </w:rPr>
            </w:pPr>
            <w:r w:rsidRPr="00216D1C">
              <w:rPr>
                <w:sz w:val="22"/>
                <w:szCs w:val="22"/>
              </w:rPr>
              <w:t>0.8</w:t>
            </w:r>
          </w:p>
        </w:tc>
      </w:tr>
      <w:tr w:rsidR="002178CE" w:rsidTr="002178CE">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rsidR="002178CE" w:rsidRPr="00033033" w:rsidRDefault="002178CE" w:rsidP="002178CE">
            <w:pPr>
              <w:pStyle w:val="TableCenter"/>
              <w:spacing w:before="0" w:after="0"/>
              <w:ind w:left="360"/>
              <w:jc w:val="both"/>
              <w:rPr>
                <w:szCs w:val="22"/>
              </w:rPr>
            </w:pPr>
            <w:r>
              <w:rPr>
                <w:sz w:val="22"/>
                <w:szCs w:val="22"/>
              </w:rPr>
              <w:t>Stomatitis</w:t>
            </w:r>
            <w:r>
              <w:rPr>
                <w:sz w:val="22"/>
                <w:szCs w:val="22"/>
                <w:vertAlign w:val="superscript"/>
              </w:rPr>
              <w:t>5</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9672BA" w:rsidRDefault="002178CE" w:rsidP="002178CE">
            <w:pPr>
              <w:pStyle w:val="TableCenter"/>
              <w:spacing w:before="0" w:after="0"/>
              <w:rPr>
                <w:szCs w:val="22"/>
              </w:rPr>
            </w:pPr>
            <w:r w:rsidRPr="00216D1C">
              <w:rPr>
                <w:sz w:val="22"/>
                <w:szCs w:val="22"/>
              </w:rPr>
              <w:t>41.0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178CE" w:rsidRPr="009672BA" w:rsidRDefault="002178CE" w:rsidP="002178CE">
            <w:pPr>
              <w:pStyle w:val="TableCenter"/>
              <w:spacing w:before="0" w:after="0"/>
              <w:rPr>
                <w:szCs w:val="22"/>
              </w:rPr>
            </w:pPr>
            <w:r w:rsidRPr="00216D1C">
              <w:rPr>
                <w:sz w:val="22"/>
                <w:szCs w:val="22"/>
              </w:rPr>
              <w:t>4.6</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9672BA" w:rsidRDefault="002178CE" w:rsidP="002178CE">
            <w:pPr>
              <w:pStyle w:val="TableCenter"/>
              <w:spacing w:before="0" w:after="0"/>
              <w:rPr>
                <w:szCs w:val="22"/>
              </w:rPr>
            </w:pPr>
            <w:r w:rsidRPr="00216D1C">
              <w:rPr>
                <w:sz w:val="22"/>
                <w:szCs w:val="22"/>
              </w:rPr>
              <w:t>8.4</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178CE" w:rsidRPr="009672BA" w:rsidRDefault="002178CE" w:rsidP="002178CE">
            <w:pPr>
              <w:pStyle w:val="TableCenter"/>
              <w:spacing w:before="0" w:after="0"/>
              <w:rPr>
                <w:szCs w:val="22"/>
              </w:rPr>
            </w:pPr>
            <w:r w:rsidRPr="00216D1C">
              <w:rPr>
                <w:sz w:val="22"/>
                <w:szCs w:val="22"/>
              </w:rPr>
              <w:t>0</w:t>
            </w:r>
          </w:p>
        </w:tc>
      </w:tr>
      <w:tr w:rsidR="002178CE" w:rsidTr="002178CE">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rsidR="002178CE" w:rsidRPr="00033033" w:rsidRDefault="002178CE" w:rsidP="002178CE">
            <w:pPr>
              <w:pStyle w:val="TableCenter"/>
              <w:spacing w:before="0" w:after="0"/>
              <w:ind w:left="360"/>
              <w:jc w:val="both"/>
              <w:rPr>
                <w:szCs w:val="22"/>
              </w:rPr>
            </w:pPr>
            <w:r w:rsidRPr="00033033">
              <w:rPr>
                <w:sz w:val="22"/>
                <w:szCs w:val="22"/>
              </w:rPr>
              <w:t>Vomiting</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9672BA" w:rsidRDefault="002178CE" w:rsidP="002178CE">
            <w:pPr>
              <w:pStyle w:val="TableCenter"/>
              <w:spacing w:before="0" w:after="0"/>
              <w:rPr>
                <w:szCs w:val="22"/>
              </w:rPr>
            </w:pPr>
            <w:r w:rsidRPr="00216D1C">
              <w:rPr>
                <w:sz w:val="22"/>
                <w:szCs w:val="22"/>
              </w:rPr>
              <w:t>35.6</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178CE" w:rsidRPr="009672BA" w:rsidRDefault="002178CE" w:rsidP="002178CE">
            <w:pPr>
              <w:pStyle w:val="TableCenter"/>
              <w:spacing w:before="0" w:after="0"/>
              <w:rPr>
                <w:szCs w:val="22"/>
              </w:rPr>
            </w:pPr>
            <w:r w:rsidRPr="00216D1C">
              <w:rPr>
                <w:sz w:val="22"/>
                <w:szCs w:val="22"/>
              </w:rPr>
              <w:t>1.9</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9672BA" w:rsidRDefault="002178CE" w:rsidP="002178CE">
            <w:pPr>
              <w:pStyle w:val="TableCenter"/>
              <w:spacing w:before="0" w:after="0"/>
              <w:rPr>
                <w:szCs w:val="22"/>
              </w:rPr>
            </w:pPr>
            <w:r w:rsidRPr="00216D1C">
              <w:rPr>
                <w:sz w:val="22"/>
                <w:szCs w:val="22"/>
              </w:rPr>
              <w:t>14.5</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178CE" w:rsidRPr="009672BA" w:rsidRDefault="002178CE" w:rsidP="002178CE">
            <w:pPr>
              <w:pStyle w:val="TableCenter"/>
              <w:spacing w:before="0" w:after="0"/>
              <w:rPr>
                <w:szCs w:val="22"/>
              </w:rPr>
            </w:pPr>
            <w:r w:rsidRPr="00216D1C">
              <w:rPr>
                <w:sz w:val="22"/>
                <w:szCs w:val="22"/>
              </w:rPr>
              <w:t>0</w:t>
            </w:r>
          </w:p>
        </w:tc>
      </w:tr>
      <w:tr w:rsidR="002178CE" w:rsidTr="002178CE">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rsidR="002178CE" w:rsidRPr="00033033" w:rsidRDefault="002178CE" w:rsidP="002178CE">
            <w:pPr>
              <w:pStyle w:val="TableCenter"/>
              <w:spacing w:before="0" w:after="0"/>
              <w:ind w:left="360"/>
              <w:jc w:val="both"/>
              <w:rPr>
                <w:szCs w:val="22"/>
              </w:rPr>
            </w:pPr>
            <w:r>
              <w:rPr>
                <w:sz w:val="22"/>
                <w:szCs w:val="22"/>
              </w:rPr>
              <w:t>A</w:t>
            </w:r>
            <w:r w:rsidRPr="00033033">
              <w:rPr>
                <w:sz w:val="22"/>
                <w:szCs w:val="22"/>
              </w:rPr>
              <w:t>bdominal pain</w:t>
            </w:r>
            <w:r>
              <w:rPr>
                <w:sz w:val="22"/>
                <w:szCs w:val="22"/>
                <w:vertAlign w:val="superscript"/>
              </w:rPr>
              <w:t>6</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2178CE" w:rsidRPr="009672BA" w:rsidRDefault="002178CE" w:rsidP="002178CE">
            <w:pPr>
              <w:pStyle w:val="TableCenter"/>
              <w:spacing w:before="0" w:after="0"/>
              <w:rPr>
                <w:szCs w:val="22"/>
              </w:rPr>
            </w:pPr>
            <w:r w:rsidRPr="00503795">
              <w:rPr>
                <w:sz w:val="22"/>
                <w:szCs w:val="22"/>
              </w:rPr>
              <w:t>31.4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2178CE" w:rsidRPr="009672BA" w:rsidRDefault="002178CE" w:rsidP="002178CE">
            <w:pPr>
              <w:pStyle w:val="TableCenter"/>
              <w:spacing w:before="0" w:after="0"/>
              <w:rPr>
                <w:szCs w:val="22"/>
              </w:rPr>
            </w:pPr>
            <w:r w:rsidRPr="00503795">
              <w:rPr>
                <w:sz w:val="22"/>
                <w:szCs w:val="22"/>
              </w:rPr>
              <w:t>2.3</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2178CE" w:rsidRPr="009672BA" w:rsidRDefault="002178CE" w:rsidP="002178CE">
            <w:pPr>
              <w:pStyle w:val="TableCenter"/>
              <w:spacing w:before="0" w:after="0"/>
              <w:rPr>
                <w:szCs w:val="22"/>
              </w:rPr>
            </w:pPr>
            <w:r w:rsidRPr="00503795">
              <w:rPr>
                <w:sz w:val="22"/>
                <w:szCs w:val="22"/>
              </w:rPr>
              <w:t>10.7</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178CE" w:rsidRPr="009672BA" w:rsidRDefault="002178CE" w:rsidP="002178CE">
            <w:pPr>
              <w:pStyle w:val="TableCenter"/>
              <w:spacing w:before="0" w:after="0"/>
              <w:rPr>
                <w:szCs w:val="22"/>
              </w:rPr>
            </w:pPr>
            <w:r w:rsidRPr="00503795">
              <w:rPr>
                <w:sz w:val="22"/>
                <w:szCs w:val="22"/>
              </w:rPr>
              <w:t>0.8</w:t>
            </w:r>
          </w:p>
        </w:tc>
      </w:tr>
      <w:tr w:rsidR="002178CE" w:rsidTr="002178CE">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rsidR="002178CE" w:rsidRPr="00033033" w:rsidRDefault="002178CE" w:rsidP="002178CE">
            <w:pPr>
              <w:pStyle w:val="TableCenter"/>
              <w:spacing w:before="0" w:after="0"/>
              <w:ind w:left="360"/>
              <w:jc w:val="both"/>
              <w:rPr>
                <w:szCs w:val="22"/>
              </w:rPr>
            </w:pPr>
            <w:r w:rsidRPr="00033033">
              <w:rPr>
                <w:sz w:val="22"/>
                <w:szCs w:val="22"/>
              </w:rPr>
              <w:t>Constipation</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9672BA" w:rsidRDefault="002178CE" w:rsidP="002178CE">
            <w:pPr>
              <w:pStyle w:val="TableCenter"/>
              <w:spacing w:before="0" w:after="0"/>
              <w:rPr>
                <w:szCs w:val="22"/>
              </w:rPr>
            </w:pPr>
            <w:r w:rsidRPr="00A04C72">
              <w:rPr>
                <w:sz w:val="22"/>
                <w:szCs w:val="22"/>
              </w:rPr>
              <w:t>28.7</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178CE" w:rsidRPr="009672BA" w:rsidRDefault="002178CE" w:rsidP="002178CE">
            <w:pPr>
              <w:pStyle w:val="TableCenter"/>
              <w:spacing w:before="0" w:after="0"/>
              <w:rPr>
                <w:szCs w:val="22"/>
              </w:rPr>
            </w:pPr>
            <w:r w:rsidRPr="00A04C72">
              <w:rPr>
                <w:sz w:val="22"/>
                <w:szCs w:val="22"/>
              </w:rPr>
              <w:t>0.4</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9672BA" w:rsidRDefault="002178CE" w:rsidP="002178CE">
            <w:pPr>
              <w:pStyle w:val="TableCenter"/>
              <w:spacing w:before="0" w:after="0"/>
              <w:rPr>
                <w:szCs w:val="22"/>
              </w:rPr>
            </w:pPr>
            <w:r w:rsidRPr="00A04C72">
              <w:rPr>
                <w:sz w:val="22"/>
                <w:szCs w:val="22"/>
              </w:rPr>
              <w:t>15.3</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178CE" w:rsidRPr="009672BA" w:rsidRDefault="002178CE" w:rsidP="002178CE">
            <w:pPr>
              <w:pStyle w:val="TableCenter"/>
              <w:spacing w:before="0" w:after="0"/>
              <w:rPr>
                <w:szCs w:val="22"/>
              </w:rPr>
            </w:pPr>
            <w:r w:rsidRPr="00A04C72">
              <w:rPr>
                <w:sz w:val="22"/>
                <w:szCs w:val="22"/>
              </w:rPr>
              <w:t>0.8</w:t>
            </w:r>
          </w:p>
        </w:tc>
      </w:tr>
      <w:tr w:rsidR="002178CE" w:rsidTr="002178CE">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rsidR="002178CE" w:rsidRPr="00971623" w:rsidRDefault="002178CE" w:rsidP="002178CE">
            <w:pPr>
              <w:pStyle w:val="TableCenter"/>
              <w:spacing w:before="0" w:after="0"/>
              <w:ind w:left="360"/>
              <w:jc w:val="both"/>
              <w:rPr>
                <w:szCs w:val="22"/>
              </w:rPr>
            </w:pPr>
            <w:r w:rsidRPr="007B68A2">
              <w:rPr>
                <w:sz w:val="22"/>
                <w:szCs w:val="22"/>
              </w:rPr>
              <w:t>Oral pain</w:t>
            </w:r>
            <w:r>
              <w:rPr>
                <w:sz w:val="22"/>
                <w:szCs w:val="22"/>
                <w:vertAlign w:val="superscript"/>
              </w:rPr>
              <w:t>7</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9672BA" w:rsidRDefault="002178CE" w:rsidP="002178CE">
            <w:pPr>
              <w:pStyle w:val="TableCenter"/>
              <w:spacing w:before="0" w:after="0"/>
              <w:rPr>
                <w:szCs w:val="22"/>
              </w:rPr>
            </w:pPr>
            <w:r w:rsidRPr="00216D1C">
              <w:rPr>
                <w:sz w:val="22"/>
                <w:szCs w:val="22"/>
              </w:rPr>
              <w:t>24.9</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178CE" w:rsidRPr="009672BA" w:rsidRDefault="002178CE" w:rsidP="002178CE">
            <w:pPr>
              <w:pStyle w:val="TableCenter"/>
              <w:spacing w:before="0" w:after="0"/>
              <w:rPr>
                <w:szCs w:val="22"/>
              </w:rPr>
            </w:pPr>
            <w:r w:rsidRPr="00216D1C">
              <w:rPr>
                <w:sz w:val="22"/>
                <w:szCs w:val="22"/>
              </w:rPr>
              <w:t>1.1</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9672BA" w:rsidRDefault="002178CE" w:rsidP="002178CE">
            <w:pPr>
              <w:pStyle w:val="TableCenter"/>
              <w:spacing w:before="0" w:after="0"/>
              <w:rPr>
                <w:szCs w:val="22"/>
              </w:rPr>
            </w:pPr>
            <w:r w:rsidRPr="00216D1C">
              <w:rPr>
                <w:sz w:val="22"/>
                <w:szCs w:val="22"/>
              </w:rPr>
              <w:t>2.3</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178CE" w:rsidRPr="009672BA" w:rsidRDefault="002178CE" w:rsidP="002178CE">
            <w:pPr>
              <w:pStyle w:val="TableCenter"/>
              <w:spacing w:before="0" w:after="0"/>
              <w:rPr>
                <w:szCs w:val="22"/>
              </w:rPr>
            </w:pPr>
            <w:r w:rsidRPr="00216D1C">
              <w:rPr>
                <w:sz w:val="22"/>
                <w:szCs w:val="22"/>
              </w:rPr>
              <w:t>0</w:t>
            </w:r>
          </w:p>
        </w:tc>
      </w:tr>
      <w:tr w:rsidR="002178CE" w:rsidRPr="009672BA" w:rsidTr="002178CE">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rsidR="002178CE" w:rsidRPr="00971623" w:rsidRDefault="002178CE" w:rsidP="002178CE">
            <w:pPr>
              <w:pStyle w:val="TableCenter"/>
              <w:spacing w:before="0" w:after="0"/>
              <w:ind w:left="360"/>
              <w:jc w:val="both"/>
              <w:rPr>
                <w:szCs w:val="22"/>
              </w:rPr>
            </w:pPr>
            <w:r w:rsidRPr="00971623">
              <w:rPr>
                <w:sz w:val="22"/>
                <w:szCs w:val="22"/>
              </w:rPr>
              <w:t>Dry mouth</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9672BA" w:rsidRDefault="002178CE" w:rsidP="002178CE">
            <w:pPr>
              <w:pStyle w:val="TableCenter"/>
              <w:spacing w:before="0" w:after="0"/>
              <w:rPr>
                <w:szCs w:val="22"/>
              </w:rPr>
            </w:pPr>
            <w:r w:rsidRPr="009672BA">
              <w:rPr>
                <w:sz w:val="22"/>
                <w:szCs w:val="22"/>
              </w:rPr>
              <w:t>16.9</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178CE" w:rsidRPr="009672BA" w:rsidRDefault="002178CE" w:rsidP="002178CE">
            <w:pPr>
              <w:pStyle w:val="TableCenter"/>
              <w:spacing w:before="0" w:after="0"/>
              <w:rPr>
                <w:szCs w:val="22"/>
              </w:rPr>
            </w:pPr>
            <w:r w:rsidRPr="009672BA">
              <w:rPr>
                <w:sz w:val="22"/>
                <w:szCs w:val="22"/>
              </w:rPr>
              <w:t>0.4</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9672BA" w:rsidRDefault="002178CE" w:rsidP="002178CE">
            <w:pPr>
              <w:pStyle w:val="TableCenter"/>
              <w:spacing w:before="0" w:after="0"/>
              <w:rPr>
                <w:szCs w:val="22"/>
              </w:rPr>
            </w:pPr>
            <w:r w:rsidRPr="009672BA">
              <w:rPr>
                <w:sz w:val="22"/>
                <w:szCs w:val="22"/>
              </w:rPr>
              <w:t>8.4</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178CE" w:rsidRPr="009672BA" w:rsidRDefault="002178CE" w:rsidP="002178CE">
            <w:pPr>
              <w:pStyle w:val="TableCenter"/>
              <w:spacing w:before="0" w:after="0"/>
              <w:rPr>
                <w:szCs w:val="22"/>
              </w:rPr>
            </w:pPr>
            <w:r w:rsidRPr="009672BA">
              <w:rPr>
                <w:sz w:val="22"/>
                <w:szCs w:val="22"/>
              </w:rPr>
              <w:t>0</w:t>
            </w:r>
          </w:p>
        </w:tc>
      </w:tr>
      <w:tr w:rsidR="002178CE" w:rsidTr="002178CE">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rsidR="002178CE" w:rsidRPr="00971623" w:rsidRDefault="002178CE" w:rsidP="002178CE">
            <w:pPr>
              <w:pStyle w:val="TableCenter"/>
              <w:spacing w:before="0" w:after="0"/>
              <w:ind w:left="360"/>
              <w:jc w:val="both"/>
              <w:rPr>
                <w:szCs w:val="22"/>
              </w:rPr>
            </w:pPr>
            <w:r w:rsidRPr="00971623">
              <w:rPr>
                <w:sz w:val="22"/>
                <w:szCs w:val="22"/>
              </w:rPr>
              <w:t>Dyspepsia</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9672BA" w:rsidRDefault="002178CE" w:rsidP="002178CE">
            <w:pPr>
              <w:pStyle w:val="TableCenter"/>
              <w:spacing w:before="0" w:after="0"/>
              <w:rPr>
                <w:szCs w:val="22"/>
              </w:rPr>
            </w:pPr>
            <w:r w:rsidRPr="009672BA">
              <w:rPr>
                <w:sz w:val="22"/>
                <w:szCs w:val="22"/>
              </w:rPr>
              <w:t>13.0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178CE" w:rsidRPr="009672BA" w:rsidRDefault="002178CE" w:rsidP="002178CE">
            <w:pPr>
              <w:pStyle w:val="TableCenter"/>
              <w:spacing w:before="0" w:after="0"/>
              <w:rPr>
                <w:szCs w:val="22"/>
              </w:rPr>
            </w:pPr>
            <w:r w:rsidRPr="009672BA">
              <w:rPr>
                <w:sz w:val="22"/>
                <w:szCs w:val="22"/>
              </w:rPr>
              <w:t>0.4</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9672BA" w:rsidRDefault="002178CE" w:rsidP="002178CE">
            <w:pPr>
              <w:pStyle w:val="TableCenter"/>
              <w:spacing w:before="0" w:after="0"/>
              <w:rPr>
                <w:szCs w:val="22"/>
              </w:rPr>
            </w:pPr>
            <w:r w:rsidRPr="009672BA">
              <w:rPr>
                <w:sz w:val="22"/>
                <w:szCs w:val="22"/>
              </w:rPr>
              <w:t>3.8</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178CE" w:rsidRPr="009672BA" w:rsidRDefault="002178CE" w:rsidP="002178CE">
            <w:pPr>
              <w:pStyle w:val="TableCenter"/>
              <w:spacing w:before="0" w:after="0"/>
              <w:rPr>
                <w:szCs w:val="22"/>
              </w:rPr>
            </w:pPr>
            <w:r w:rsidRPr="009672BA">
              <w:rPr>
                <w:sz w:val="22"/>
                <w:szCs w:val="22"/>
              </w:rPr>
              <w:t>0</w:t>
            </w:r>
          </w:p>
        </w:tc>
      </w:tr>
      <w:tr w:rsidR="002178CE" w:rsidTr="002178CE">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rsidR="002178CE" w:rsidRPr="00971623" w:rsidRDefault="002178CE" w:rsidP="002178CE">
            <w:pPr>
              <w:pStyle w:val="TableCenter"/>
              <w:spacing w:before="0" w:after="0"/>
              <w:ind w:left="360"/>
              <w:jc w:val="both"/>
              <w:rPr>
                <w:szCs w:val="22"/>
              </w:rPr>
            </w:pPr>
            <w:r w:rsidRPr="00971623">
              <w:rPr>
                <w:sz w:val="22"/>
                <w:szCs w:val="22"/>
              </w:rPr>
              <w:t>Flatulence</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503795" w:rsidRDefault="002178CE" w:rsidP="002178CE">
            <w:pPr>
              <w:pStyle w:val="TableCenter"/>
              <w:spacing w:before="0" w:after="0"/>
              <w:rPr>
                <w:szCs w:val="22"/>
              </w:rPr>
            </w:pPr>
            <w:r w:rsidRPr="00503795">
              <w:rPr>
                <w:sz w:val="22"/>
                <w:szCs w:val="22"/>
              </w:rPr>
              <w:t>6.1</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178CE" w:rsidRPr="00503795" w:rsidRDefault="002178CE" w:rsidP="002178CE">
            <w:pPr>
              <w:pStyle w:val="TableCenter"/>
              <w:spacing w:before="0" w:after="0"/>
              <w:rPr>
                <w:szCs w:val="22"/>
              </w:rPr>
            </w:pPr>
            <w:r w:rsidRPr="00503795">
              <w:rPr>
                <w:sz w:val="22"/>
                <w:szCs w:val="22"/>
              </w:rPr>
              <w:t>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503795" w:rsidRDefault="002178CE" w:rsidP="002178CE">
            <w:pPr>
              <w:pStyle w:val="TableCenter"/>
              <w:spacing w:before="0" w:after="0"/>
              <w:rPr>
                <w:szCs w:val="22"/>
              </w:rPr>
            </w:pPr>
            <w:r w:rsidRPr="00503795">
              <w:rPr>
                <w:sz w:val="22"/>
                <w:szCs w:val="22"/>
              </w:rPr>
              <w:t>0.8</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178CE" w:rsidRPr="00503795" w:rsidRDefault="002178CE" w:rsidP="002178CE">
            <w:pPr>
              <w:pStyle w:val="TableCenter"/>
              <w:spacing w:before="0" w:after="0"/>
              <w:rPr>
                <w:szCs w:val="22"/>
              </w:rPr>
            </w:pPr>
            <w:r w:rsidRPr="00503795">
              <w:rPr>
                <w:sz w:val="22"/>
                <w:szCs w:val="22"/>
              </w:rPr>
              <w:t>0</w:t>
            </w:r>
          </w:p>
        </w:tc>
      </w:tr>
      <w:tr w:rsidR="002178CE" w:rsidTr="002178CE">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rsidR="002178CE" w:rsidRPr="00971623" w:rsidRDefault="002178CE" w:rsidP="002178CE">
            <w:pPr>
              <w:pStyle w:val="TableCenter"/>
              <w:spacing w:before="0" w:after="0"/>
              <w:ind w:left="360"/>
              <w:jc w:val="both"/>
              <w:rPr>
                <w:szCs w:val="22"/>
              </w:rPr>
            </w:pPr>
            <w:r w:rsidRPr="00971623">
              <w:rPr>
                <w:sz w:val="22"/>
                <w:szCs w:val="22"/>
              </w:rPr>
              <w:t>Anal fistula</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503795" w:rsidRDefault="002178CE" w:rsidP="002178CE">
            <w:pPr>
              <w:pStyle w:val="TableCenter"/>
              <w:spacing w:before="0" w:after="0"/>
              <w:rPr>
                <w:szCs w:val="22"/>
              </w:rPr>
            </w:pPr>
            <w:r w:rsidRPr="00A04C72">
              <w:rPr>
                <w:sz w:val="22"/>
                <w:szCs w:val="22"/>
              </w:rPr>
              <w:t>1.1</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178CE" w:rsidRPr="00503795" w:rsidRDefault="002178CE" w:rsidP="002178CE">
            <w:pPr>
              <w:pStyle w:val="TableCenter"/>
              <w:spacing w:before="0" w:after="0"/>
              <w:rPr>
                <w:szCs w:val="22"/>
              </w:rPr>
            </w:pPr>
            <w:r w:rsidRPr="00A04C72">
              <w:rPr>
                <w:sz w:val="22"/>
                <w:szCs w:val="22"/>
              </w:rPr>
              <w:t>0.4</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503795" w:rsidRDefault="002178CE" w:rsidP="002178CE">
            <w:pPr>
              <w:pStyle w:val="TableCenter"/>
              <w:spacing w:before="0" w:after="0"/>
              <w:rPr>
                <w:szCs w:val="22"/>
              </w:rPr>
            </w:pPr>
            <w:r w:rsidRPr="00A04C72">
              <w:rPr>
                <w:sz w:val="22"/>
                <w:szCs w:val="22"/>
              </w:rPr>
              <w:t>0</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178CE" w:rsidRPr="00503795" w:rsidRDefault="002178CE" w:rsidP="002178CE">
            <w:pPr>
              <w:pStyle w:val="TableCenter"/>
              <w:spacing w:before="0" w:after="0"/>
              <w:rPr>
                <w:szCs w:val="22"/>
              </w:rPr>
            </w:pPr>
            <w:r w:rsidRPr="00A04C72">
              <w:rPr>
                <w:sz w:val="22"/>
                <w:szCs w:val="22"/>
              </w:rPr>
              <w:t>0</w:t>
            </w:r>
          </w:p>
        </w:tc>
      </w:tr>
      <w:tr w:rsidR="002178CE" w:rsidTr="002178CE">
        <w:trPr>
          <w:jc w:val="center"/>
        </w:trPr>
        <w:tc>
          <w:tcPr>
            <w:tcW w:w="9216" w:type="dxa"/>
            <w:gridSpan w:val="5"/>
            <w:tcBorders>
              <w:top w:val="single" w:sz="4" w:space="0" w:color="auto"/>
              <w:left w:val="single" w:sz="4" w:space="0" w:color="auto"/>
              <w:bottom w:val="single" w:sz="4" w:space="0" w:color="auto"/>
              <w:right w:val="single" w:sz="4" w:space="0" w:color="auto"/>
            </w:tcBorders>
            <w:shd w:val="clear" w:color="auto" w:fill="auto"/>
          </w:tcPr>
          <w:p w:rsidR="002178CE" w:rsidRPr="00971623" w:rsidRDefault="002178CE" w:rsidP="002178CE">
            <w:pPr>
              <w:pStyle w:val="TableCenter"/>
              <w:spacing w:before="0" w:after="0"/>
              <w:jc w:val="left"/>
              <w:rPr>
                <w:b/>
                <w:szCs w:val="22"/>
              </w:rPr>
            </w:pPr>
            <w:r w:rsidRPr="00971623">
              <w:rPr>
                <w:b/>
                <w:sz w:val="22"/>
                <w:szCs w:val="22"/>
              </w:rPr>
              <w:t>General Disorders and Administration Site Conditions</w:t>
            </w:r>
          </w:p>
        </w:tc>
      </w:tr>
      <w:tr w:rsidR="002178CE" w:rsidTr="002178CE">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rsidR="002178CE" w:rsidRPr="00971623" w:rsidRDefault="002178CE" w:rsidP="002178CE">
            <w:pPr>
              <w:pStyle w:val="TableCenter"/>
              <w:spacing w:before="0" w:after="0"/>
              <w:ind w:left="360"/>
              <w:jc w:val="left"/>
              <w:rPr>
                <w:szCs w:val="22"/>
              </w:rPr>
            </w:pPr>
            <w:r w:rsidRPr="00971623">
              <w:rPr>
                <w:sz w:val="22"/>
                <w:szCs w:val="22"/>
              </w:rPr>
              <w:t>Fatigue</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E43C35" w:rsidRDefault="002178CE" w:rsidP="002178CE">
            <w:pPr>
              <w:pStyle w:val="TableCenter"/>
              <w:spacing w:before="0" w:after="0"/>
              <w:rPr>
                <w:szCs w:val="22"/>
              </w:rPr>
            </w:pPr>
            <w:r w:rsidRPr="00E43C35">
              <w:rPr>
                <w:sz w:val="22"/>
                <w:szCs w:val="22"/>
              </w:rPr>
              <w:t>42.5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178CE" w:rsidRPr="00E43C35" w:rsidRDefault="002178CE" w:rsidP="002178CE">
            <w:pPr>
              <w:pStyle w:val="TableCenter"/>
              <w:spacing w:before="0" w:after="0"/>
              <w:rPr>
                <w:szCs w:val="22"/>
              </w:rPr>
            </w:pPr>
            <w:r w:rsidRPr="00E43C35">
              <w:rPr>
                <w:sz w:val="22"/>
                <w:szCs w:val="22"/>
              </w:rPr>
              <w:t>4.6</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E43C35" w:rsidRDefault="002178CE" w:rsidP="002178CE">
            <w:pPr>
              <w:pStyle w:val="TableCenter"/>
              <w:spacing w:before="0" w:after="0"/>
              <w:rPr>
                <w:szCs w:val="22"/>
              </w:rPr>
            </w:pPr>
            <w:r w:rsidRPr="00E43C35">
              <w:rPr>
                <w:sz w:val="22"/>
                <w:szCs w:val="22"/>
              </w:rPr>
              <w:t>24.4</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178CE" w:rsidRPr="00E43C35" w:rsidRDefault="002178CE" w:rsidP="002178CE">
            <w:pPr>
              <w:pStyle w:val="TableCenter"/>
              <w:spacing w:before="0" w:after="0"/>
              <w:rPr>
                <w:szCs w:val="22"/>
              </w:rPr>
            </w:pPr>
            <w:r w:rsidRPr="00E43C35">
              <w:rPr>
                <w:sz w:val="22"/>
                <w:szCs w:val="22"/>
              </w:rPr>
              <w:t>1.5</w:t>
            </w:r>
          </w:p>
        </w:tc>
      </w:tr>
      <w:tr w:rsidR="002178CE" w:rsidTr="002178CE">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rsidR="002178CE" w:rsidRPr="00971623" w:rsidRDefault="002178CE" w:rsidP="002178CE">
            <w:pPr>
              <w:pStyle w:val="TableCenter"/>
              <w:spacing w:before="0" w:after="0"/>
              <w:ind w:left="360"/>
              <w:jc w:val="left"/>
              <w:rPr>
                <w:szCs w:val="22"/>
              </w:rPr>
            </w:pPr>
            <w:r w:rsidRPr="00971623">
              <w:rPr>
                <w:sz w:val="22"/>
                <w:szCs w:val="22"/>
              </w:rPr>
              <w:t>Asthenia</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E43C35" w:rsidRDefault="002178CE" w:rsidP="002178CE">
            <w:pPr>
              <w:pStyle w:val="TableCenter"/>
              <w:spacing w:before="0" w:after="0"/>
              <w:rPr>
                <w:szCs w:val="22"/>
              </w:rPr>
            </w:pPr>
            <w:r w:rsidRPr="00E43C35">
              <w:rPr>
                <w:sz w:val="22"/>
                <w:szCs w:val="22"/>
              </w:rPr>
              <w:t>25.3</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178CE" w:rsidRPr="00E43C35" w:rsidRDefault="002178CE" w:rsidP="002178CE">
            <w:pPr>
              <w:pStyle w:val="TableCenter"/>
              <w:spacing w:before="0" w:after="0"/>
              <w:rPr>
                <w:szCs w:val="22"/>
              </w:rPr>
            </w:pPr>
            <w:r w:rsidRPr="00E43C35">
              <w:rPr>
                <w:sz w:val="22"/>
                <w:szCs w:val="22"/>
              </w:rPr>
              <w:t>6.1</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E43C35" w:rsidRDefault="002178CE" w:rsidP="002178CE">
            <w:pPr>
              <w:pStyle w:val="TableCenter"/>
              <w:spacing w:before="0" w:after="0"/>
              <w:rPr>
                <w:szCs w:val="22"/>
              </w:rPr>
            </w:pPr>
            <w:r w:rsidRPr="00E43C35">
              <w:rPr>
                <w:sz w:val="22"/>
                <w:szCs w:val="22"/>
              </w:rPr>
              <w:t>13.0</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178CE" w:rsidRPr="00E43C35" w:rsidRDefault="002178CE" w:rsidP="002178CE">
            <w:pPr>
              <w:pStyle w:val="TableCenter"/>
              <w:spacing w:before="0" w:after="0"/>
              <w:rPr>
                <w:szCs w:val="22"/>
              </w:rPr>
            </w:pPr>
            <w:r w:rsidRPr="00E43C35">
              <w:rPr>
                <w:sz w:val="22"/>
                <w:szCs w:val="22"/>
              </w:rPr>
              <w:t>2.3</w:t>
            </w:r>
          </w:p>
        </w:tc>
      </w:tr>
      <w:tr w:rsidR="002178CE" w:rsidTr="002178CE">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rsidR="002178CE" w:rsidRPr="00971623" w:rsidRDefault="002178CE" w:rsidP="002178CE">
            <w:pPr>
              <w:pStyle w:val="TableCenter"/>
              <w:spacing w:before="0" w:after="0"/>
              <w:ind w:left="360"/>
              <w:jc w:val="left"/>
              <w:rPr>
                <w:szCs w:val="22"/>
              </w:rPr>
            </w:pPr>
            <w:r w:rsidRPr="00971623">
              <w:rPr>
                <w:sz w:val="22"/>
                <w:szCs w:val="22"/>
              </w:rPr>
              <w:t>Edema peripheral</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E43C35" w:rsidRDefault="002178CE" w:rsidP="002178CE">
            <w:pPr>
              <w:pStyle w:val="TableCenter"/>
              <w:spacing w:before="0" w:after="0"/>
              <w:rPr>
                <w:szCs w:val="22"/>
                <w:vertAlign w:val="superscript"/>
              </w:rPr>
            </w:pPr>
            <w:r w:rsidRPr="00E43C35">
              <w:rPr>
                <w:sz w:val="22"/>
                <w:szCs w:val="22"/>
              </w:rPr>
              <w:t>20.7</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178CE" w:rsidRPr="00E43C35" w:rsidRDefault="002178CE" w:rsidP="002178CE">
            <w:pPr>
              <w:pStyle w:val="TableCenter"/>
              <w:spacing w:before="0" w:after="0"/>
              <w:rPr>
                <w:szCs w:val="22"/>
              </w:rPr>
            </w:pPr>
            <w:r w:rsidRPr="00E43C35">
              <w:rPr>
                <w:sz w:val="22"/>
                <w:szCs w:val="22"/>
              </w:rPr>
              <w:t>0.4</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E43C35" w:rsidRDefault="002178CE" w:rsidP="002178CE">
            <w:pPr>
              <w:pStyle w:val="TableCenter"/>
              <w:spacing w:before="0" w:after="0"/>
              <w:rPr>
                <w:szCs w:val="22"/>
              </w:rPr>
            </w:pPr>
            <w:r w:rsidRPr="00E43C35">
              <w:rPr>
                <w:sz w:val="22"/>
                <w:szCs w:val="22"/>
              </w:rPr>
              <w:t>7.6</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178CE" w:rsidRPr="00E43C35" w:rsidRDefault="002178CE" w:rsidP="002178CE">
            <w:pPr>
              <w:pStyle w:val="TableCenter"/>
              <w:spacing w:before="0" w:after="0"/>
              <w:rPr>
                <w:szCs w:val="22"/>
              </w:rPr>
            </w:pPr>
            <w:r w:rsidRPr="00E43C35">
              <w:rPr>
                <w:sz w:val="22"/>
                <w:szCs w:val="22"/>
              </w:rPr>
              <w:t>0</w:t>
            </w:r>
          </w:p>
        </w:tc>
      </w:tr>
      <w:tr w:rsidR="002178CE" w:rsidTr="002178CE">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rsidR="002178CE" w:rsidRPr="00971623" w:rsidRDefault="002178CE" w:rsidP="002178CE">
            <w:pPr>
              <w:pStyle w:val="TableCenter"/>
              <w:spacing w:before="0" w:after="0"/>
              <w:ind w:left="360"/>
              <w:jc w:val="left"/>
              <w:rPr>
                <w:szCs w:val="22"/>
              </w:rPr>
            </w:pPr>
            <w:r w:rsidRPr="00971623">
              <w:rPr>
                <w:sz w:val="22"/>
                <w:szCs w:val="22"/>
              </w:rPr>
              <w:t>Malaise</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E43C35" w:rsidRDefault="002178CE" w:rsidP="002178CE">
            <w:pPr>
              <w:pStyle w:val="TableCenter"/>
              <w:spacing w:before="0" w:after="0"/>
              <w:rPr>
                <w:szCs w:val="22"/>
              </w:rPr>
            </w:pPr>
            <w:r w:rsidRPr="00E43C35">
              <w:rPr>
                <w:sz w:val="22"/>
                <w:szCs w:val="22"/>
              </w:rPr>
              <w:t>5.4</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178CE" w:rsidRPr="00E43C35" w:rsidRDefault="002178CE" w:rsidP="002178CE">
            <w:pPr>
              <w:pStyle w:val="TableCenter"/>
              <w:spacing w:before="0" w:after="0"/>
              <w:rPr>
                <w:szCs w:val="22"/>
              </w:rPr>
            </w:pPr>
            <w:r w:rsidRPr="00E43C35">
              <w:rPr>
                <w:sz w:val="22"/>
                <w:szCs w:val="22"/>
              </w:rPr>
              <w:t>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E43C35" w:rsidRDefault="002178CE" w:rsidP="002178CE">
            <w:pPr>
              <w:pStyle w:val="TableCenter"/>
              <w:spacing w:before="0" w:after="0"/>
              <w:rPr>
                <w:szCs w:val="22"/>
              </w:rPr>
            </w:pPr>
            <w:r w:rsidRPr="00E43C35">
              <w:rPr>
                <w:sz w:val="22"/>
                <w:szCs w:val="22"/>
              </w:rPr>
              <w:t>0</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178CE" w:rsidRPr="00E43C35" w:rsidRDefault="002178CE" w:rsidP="002178CE">
            <w:pPr>
              <w:pStyle w:val="TableCenter"/>
              <w:spacing w:before="0" w:after="0"/>
              <w:rPr>
                <w:szCs w:val="22"/>
              </w:rPr>
            </w:pPr>
            <w:r w:rsidRPr="00E43C35">
              <w:rPr>
                <w:sz w:val="22"/>
                <w:szCs w:val="22"/>
              </w:rPr>
              <w:t>0</w:t>
            </w:r>
          </w:p>
        </w:tc>
      </w:tr>
      <w:tr w:rsidR="002178CE" w:rsidTr="002178CE">
        <w:trPr>
          <w:jc w:val="center"/>
        </w:trPr>
        <w:tc>
          <w:tcPr>
            <w:tcW w:w="9216" w:type="dxa"/>
            <w:gridSpan w:val="5"/>
            <w:tcBorders>
              <w:top w:val="single" w:sz="4" w:space="0" w:color="auto"/>
              <w:left w:val="single" w:sz="4" w:space="0" w:color="auto"/>
              <w:bottom w:val="single" w:sz="4" w:space="0" w:color="auto"/>
              <w:right w:val="single" w:sz="4" w:space="0" w:color="auto"/>
            </w:tcBorders>
            <w:shd w:val="clear" w:color="auto" w:fill="auto"/>
          </w:tcPr>
          <w:p w:rsidR="002178CE" w:rsidRPr="00971623" w:rsidRDefault="002178CE" w:rsidP="004D4EB9">
            <w:pPr>
              <w:pStyle w:val="TableCenter"/>
              <w:keepNext/>
              <w:spacing w:before="0" w:after="0"/>
              <w:jc w:val="left"/>
              <w:rPr>
                <w:b/>
                <w:szCs w:val="22"/>
              </w:rPr>
            </w:pPr>
            <w:r w:rsidRPr="00E04C75">
              <w:rPr>
                <w:b/>
                <w:sz w:val="22"/>
                <w:szCs w:val="22"/>
              </w:rPr>
              <w:t>Hepatobiliary Disorders</w:t>
            </w:r>
          </w:p>
        </w:tc>
      </w:tr>
      <w:tr w:rsidR="002178CE" w:rsidTr="002178CE">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rsidR="002178CE" w:rsidRPr="00971623" w:rsidRDefault="002178CE" w:rsidP="002178CE">
            <w:pPr>
              <w:pStyle w:val="TableCenter"/>
              <w:spacing w:before="0" w:after="0"/>
              <w:ind w:left="360"/>
              <w:jc w:val="left"/>
              <w:rPr>
                <w:b/>
                <w:szCs w:val="22"/>
              </w:rPr>
            </w:pPr>
            <w:r w:rsidRPr="003E2C2E">
              <w:rPr>
                <w:sz w:val="22"/>
                <w:szCs w:val="22"/>
              </w:rPr>
              <w:t>Hepatocellular damage / hepatitis</w:t>
            </w:r>
            <w:r>
              <w:rPr>
                <w:sz w:val="22"/>
                <w:szCs w:val="22"/>
                <w:vertAlign w:val="superscript"/>
              </w:rPr>
              <w:t>8</w:t>
            </w:r>
            <w:r w:rsidRPr="003E2C2E">
              <w:rPr>
                <w:sz w:val="22"/>
                <w:szCs w:val="22"/>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E04C75" w:rsidRDefault="002178CE" w:rsidP="002178CE">
            <w:pPr>
              <w:pStyle w:val="TableCenter"/>
              <w:spacing w:before="0" w:after="0"/>
              <w:rPr>
                <w:szCs w:val="22"/>
              </w:rPr>
            </w:pPr>
            <w:r w:rsidRPr="00E04C75">
              <w:rPr>
                <w:sz w:val="22"/>
                <w:szCs w:val="22"/>
              </w:rPr>
              <w:t>1.1</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178CE" w:rsidRPr="00E04C75" w:rsidRDefault="002178CE" w:rsidP="002178CE">
            <w:pPr>
              <w:pStyle w:val="TableCenter"/>
              <w:spacing w:before="0" w:after="0"/>
              <w:rPr>
                <w:szCs w:val="22"/>
              </w:rPr>
            </w:pPr>
            <w:r w:rsidRPr="00E04C75">
              <w:rPr>
                <w:sz w:val="22"/>
                <w:szCs w:val="22"/>
              </w:rPr>
              <w:t>0.8</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E04C75" w:rsidRDefault="002178CE" w:rsidP="002178CE">
            <w:pPr>
              <w:pStyle w:val="TableCenter"/>
              <w:spacing w:before="0" w:after="0"/>
              <w:rPr>
                <w:szCs w:val="22"/>
              </w:rPr>
            </w:pPr>
            <w:r w:rsidRPr="00E04C75">
              <w:rPr>
                <w:sz w:val="22"/>
                <w:szCs w:val="22"/>
              </w:rPr>
              <w:t>0</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178CE" w:rsidRPr="00E04C75" w:rsidRDefault="002178CE" w:rsidP="002178CE">
            <w:pPr>
              <w:pStyle w:val="TableCenter"/>
              <w:spacing w:before="0" w:after="0"/>
              <w:rPr>
                <w:szCs w:val="22"/>
              </w:rPr>
            </w:pPr>
            <w:r w:rsidRPr="00E04C75">
              <w:rPr>
                <w:sz w:val="22"/>
                <w:szCs w:val="22"/>
              </w:rPr>
              <w:t>0</w:t>
            </w:r>
          </w:p>
        </w:tc>
      </w:tr>
      <w:tr w:rsidR="002178CE" w:rsidTr="002178CE">
        <w:trPr>
          <w:jc w:val="center"/>
        </w:trPr>
        <w:tc>
          <w:tcPr>
            <w:tcW w:w="9216" w:type="dxa"/>
            <w:gridSpan w:val="5"/>
            <w:tcBorders>
              <w:top w:val="single" w:sz="4" w:space="0" w:color="auto"/>
              <w:left w:val="single" w:sz="4" w:space="0" w:color="auto"/>
              <w:bottom w:val="single" w:sz="4" w:space="0" w:color="auto"/>
              <w:right w:val="single" w:sz="4" w:space="0" w:color="auto"/>
            </w:tcBorders>
            <w:shd w:val="clear" w:color="auto" w:fill="auto"/>
          </w:tcPr>
          <w:p w:rsidR="002178CE" w:rsidRPr="00971623" w:rsidRDefault="002178CE" w:rsidP="002178CE">
            <w:pPr>
              <w:pStyle w:val="TableCenter"/>
              <w:spacing w:before="0" w:after="0"/>
              <w:jc w:val="left"/>
              <w:rPr>
                <w:b/>
                <w:szCs w:val="22"/>
              </w:rPr>
            </w:pPr>
            <w:r w:rsidRPr="00971623">
              <w:rPr>
                <w:b/>
                <w:sz w:val="22"/>
                <w:szCs w:val="22"/>
              </w:rPr>
              <w:t>Infections and Infestations</w:t>
            </w:r>
          </w:p>
        </w:tc>
      </w:tr>
      <w:tr w:rsidR="002178CE" w:rsidTr="002178CE">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rsidR="002178CE" w:rsidRPr="00971623" w:rsidRDefault="002178CE" w:rsidP="002178CE">
            <w:pPr>
              <w:pStyle w:val="TableCenter"/>
              <w:spacing w:before="0" w:after="0"/>
              <w:ind w:left="360"/>
              <w:jc w:val="left"/>
              <w:rPr>
                <w:szCs w:val="22"/>
              </w:rPr>
            </w:pPr>
            <w:r w:rsidRPr="00971623">
              <w:rPr>
                <w:sz w:val="22"/>
                <w:szCs w:val="22"/>
              </w:rPr>
              <w:t>Urinary tract infection</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2F7D01" w:rsidRDefault="002178CE" w:rsidP="002178CE">
            <w:pPr>
              <w:pStyle w:val="TableCenter"/>
              <w:spacing w:before="0" w:after="0"/>
              <w:rPr>
                <w:szCs w:val="22"/>
              </w:rPr>
            </w:pPr>
            <w:r w:rsidRPr="002F7D01">
              <w:rPr>
                <w:sz w:val="22"/>
                <w:szCs w:val="22"/>
              </w:rPr>
              <w:t>11.5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178CE" w:rsidRPr="002F7D01" w:rsidRDefault="002178CE" w:rsidP="002178CE">
            <w:pPr>
              <w:pStyle w:val="TableCenter"/>
              <w:spacing w:before="0" w:after="0"/>
              <w:rPr>
                <w:szCs w:val="22"/>
              </w:rPr>
            </w:pPr>
            <w:r w:rsidRPr="002F7D01">
              <w:rPr>
                <w:sz w:val="22"/>
                <w:szCs w:val="22"/>
              </w:rPr>
              <w:t>1.1</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2F7D01" w:rsidRDefault="002178CE" w:rsidP="002178CE">
            <w:pPr>
              <w:pStyle w:val="TableCenter"/>
              <w:spacing w:before="0" w:after="0"/>
              <w:rPr>
                <w:szCs w:val="22"/>
              </w:rPr>
            </w:pPr>
            <w:r w:rsidRPr="002F7D01">
              <w:rPr>
                <w:sz w:val="22"/>
                <w:szCs w:val="22"/>
              </w:rPr>
              <w:t>5.3</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178CE" w:rsidRPr="002F7D01" w:rsidRDefault="002178CE" w:rsidP="002178CE">
            <w:pPr>
              <w:pStyle w:val="TableCenter"/>
              <w:spacing w:before="0" w:after="0"/>
              <w:rPr>
                <w:szCs w:val="22"/>
              </w:rPr>
            </w:pPr>
            <w:r w:rsidRPr="002F7D01">
              <w:rPr>
                <w:sz w:val="22"/>
                <w:szCs w:val="22"/>
              </w:rPr>
              <w:t>0</w:t>
            </w:r>
          </w:p>
        </w:tc>
      </w:tr>
      <w:tr w:rsidR="002178CE" w:rsidTr="002178CE">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rsidR="002178CE" w:rsidRPr="00971623" w:rsidRDefault="002178CE" w:rsidP="002178CE">
            <w:pPr>
              <w:pStyle w:val="TableCenter"/>
              <w:spacing w:before="0" w:after="0"/>
              <w:ind w:left="360"/>
              <w:jc w:val="left"/>
              <w:rPr>
                <w:szCs w:val="22"/>
              </w:rPr>
            </w:pPr>
            <w:r w:rsidRPr="00971623">
              <w:rPr>
                <w:sz w:val="22"/>
                <w:szCs w:val="22"/>
              </w:rPr>
              <w:t>Perineal abscess</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2F7D01" w:rsidRDefault="002178CE" w:rsidP="002178CE">
            <w:pPr>
              <w:pStyle w:val="TableCenter"/>
              <w:spacing w:before="0" w:after="0"/>
              <w:rPr>
                <w:szCs w:val="22"/>
              </w:rPr>
            </w:pPr>
            <w:r>
              <w:rPr>
                <w:sz w:val="22"/>
                <w:szCs w:val="22"/>
              </w:rPr>
              <w:t>0.8</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178CE" w:rsidRPr="002F7D01" w:rsidRDefault="002178CE" w:rsidP="002178CE">
            <w:pPr>
              <w:pStyle w:val="TableCenter"/>
              <w:spacing w:before="0" w:after="0"/>
              <w:rPr>
                <w:szCs w:val="22"/>
              </w:rPr>
            </w:pPr>
            <w:r>
              <w:rPr>
                <w:sz w:val="22"/>
                <w:szCs w:val="22"/>
              </w:rPr>
              <w:t>0.8</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2F7D01" w:rsidRDefault="002178CE" w:rsidP="002178CE">
            <w:pPr>
              <w:pStyle w:val="TableCenter"/>
              <w:spacing w:before="0" w:after="0"/>
              <w:rPr>
                <w:szCs w:val="22"/>
              </w:rPr>
            </w:pPr>
            <w:r>
              <w:rPr>
                <w:sz w:val="22"/>
                <w:szCs w:val="22"/>
              </w:rPr>
              <w:t>0</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178CE" w:rsidRPr="002F7D01" w:rsidRDefault="002178CE" w:rsidP="002178CE">
            <w:pPr>
              <w:pStyle w:val="TableCenter"/>
              <w:spacing w:before="0" w:after="0"/>
              <w:rPr>
                <w:szCs w:val="22"/>
              </w:rPr>
            </w:pPr>
            <w:r>
              <w:rPr>
                <w:sz w:val="22"/>
                <w:szCs w:val="22"/>
              </w:rPr>
              <w:t>0</w:t>
            </w:r>
          </w:p>
        </w:tc>
      </w:tr>
      <w:tr w:rsidR="002178CE" w:rsidTr="002178CE">
        <w:trPr>
          <w:jc w:val="center"/>
        </w:trPr>
        <w:tc>
          <w:tcPr>
            <w:tcW w:w="9216" w:type="dxa"/>
            <w:gridSpan w:val="5"/>
            <w:tcBorders>
              <w:top w:val="single" w:sz="4" w:space="0" w:color="auto"/>
              <w:left w:val="single" w:sz="4" w:space="0" w:color="auto"/>
              <w:bottom w:val="single" w:sz="4" w:space="0" w:color="auto"/>
              <w:right w:val="single" w:sz="4" w:space="0" w:color="auto"/>
            </w:tcBorders>
            <w:shd w:val="clear" w:color="auto" w:fill="auto"/>
          </w:tcPr>
          <w:p w:rsidR="002178CE" w:rsidRPr="00971623" w:rsidRDefault="002178CE" w:rsidP="002178CE">
            <w:pPr>
              <w:pStyle w:val="TableCenter"/>
              <w:spacing w:before="0" w:after="0"/>
              <w:jc w:val="left"/>
              <w:rPr>
                <w:szCs w:val="22"/>
              </w:rPr>
            </w:pPr>
            <w:r w:rsidRPr="00971623">
              <w:rPr>
                <w:b/>
                <w:sz w:val="22"/>
                <w:szCs w:val="22"/>
              </w:rPr>
              <w:t>Investigations</w:t>
            </w:r>
          </w:p>
        </w:tc>
      </w:tr>
      <w:tr w:rsidR="002178CE" w:rsidTr="002178CE">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rsidR="002178CE" w:rsidRPr="00971623" w:rsidRDefault="002178CE" w:rsidP="002178CE">
            <w:pPr>
              <w:pStyle w:val="TableCenter"/>
              <w:spacing w:before="0" w:after="0"/>
              <w:ind w:left="360"/>
              <w:jc w:val="left"/>
              <w:rPr>
                <w:szCs w:val="22"/>
              </w:rPr>
            </w:pPr>
            <w:r w:rsidRPr="00971623">
              <w:rPr>
                <w:sz w:val="22"/>
                <w:szCs w:val="22"/>
              </w:rPr>
              <w:t>Weight decreased</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AF3B5A" w:rsidRDefault="002178CE" w:rsidP="002178CE">
            <w:pPr>
              <w:pStyle w:val="TableCenter"/>
              <w:spacing w:before="0" w:after="0"/>
              <w:rPr>
                <w:szCs w:val="22"/>
              </w:rPr>
            </w:pPr>
            <w:r w:rsidRPr="00BB6B49">
              <w:rPr>
                <w:sz w:val="22"/>
                <w:szCs w:val="22"/>
              </w:rPr>
              <w:t>51.3</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178CE" w:rsidRPr="00AF3B5A" w:rsidRDefault="002178CE" w:rsidP="002178CE">
            <w:pPr>
              <w:pStyle w:val="TableCenter"/>
              <w:spacing w:before="0" w:after="0"/>
              <w:rPr>
                <w:szCs w:val="22"/>
              </w:rPr>
            </w:pPr>
            <w:r w:rsidRPr="00BB6B49">
              <w:rPr>
                <w:sz w:val="22"/>
                <w:szCs w:val="22"/>
              </w:rPr>
              <w:t>13.4</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AF3B5A" w:rsidRDefault="002178CE" w:rsidP="002178CE">
            <w:pPr>
              <w:pStyle w:val="TableCenter"/>
              <w:spacing w:before="0" w:after="0"/>
              <w:rPr>
                <w:szCs w:val="22"/>
              </w:rPr>
            </w:pPr>
            <w:r w:rsidRPr="00BB6B49">
              <w:rPr>
                <w:sz w:val="22"/>
                <w:szCs w:val="22"/>
              </w:rPr>
              <w:t>14.5</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178CE" w:rsidRPr="00AF3B5A" w:rsidRDefault="002178CE" w:rsidP="002178CE">
            <w:pPr>
              <w:pStyle w:val="TableCenter"/>
              <w:spacing w:before="0" w:after="0"/>
              <w:rPr>
                <w:szCs w:val="22"/>
              </w:rPr>
            </w:pPr>
            <w:r w:rsidRPr="00BB6B49">
              <w:rPr>
                <w:sz w:val="22"/>
                <w:szCs w:val="22"/>
              </w:rPr>
              <w:t>0.8</w:t>
            </w:r>
          </w:p>
        </w:tc>
      </w:tr>
      <w:tr w:rsidR="002178CE" w:rsidTr="002178CE">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rsidR="002178CE" w:rsidRPr="00971623" w:rsidRDefault="002178CE" w:rsidP="002178CE">
            <w:pPr>
              <w:pStyle w:val="TableCenter"/>
              <w:spacing w:before="0" w:after="0"/>
              <w:ind w:left="360"/>
              <w:jc w:val="left"/>
              <w:rPr>
                <w:szCs w:val="22"/>
              </w:rPr>
            </w:pPr>
            <w:r w:rsidRPr="00971623">
              <w:rPr>
                <w:sz w:val="22"/>
                <w:szCs w:val="22"/>
              </w:rPr>
              <w:t>Electrocardiogram QT prolonged</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6E3258" w:rsidRDefault="002178CE" w:rsidP="002178CE">
            <w:pPr>
              <w:pStyle w:val="TableCenter"/>
              <w:spacing w:before="0" w:after="0"/>
              <w:rPr>
                <w:szCs w:val="22"/>
              </w:rPr>
            </w:pPr>
            <w:r w:rsidRPr="00AF3B5A">
              <w:rPr>
                <w:sz w:val="22"/>
                <w:szCs w:val="22"/>
              </w:rPr>
              <w:t>8.8</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178CE" w:rsidRPr="006E3258" w:rsidRDefault="002178CE" w:rsidP="002178CE">
            <w:pPr>
              <w:pStyle w:val="TableCenter"/>
              <w:spacing w:before="0" w:after="0"/>
              <w:rPr>
                <w:szCs w:val="22"/>
              </w:rPr>
            </w:pPr>
            <w:r w:rsidRPr="00AF3B5A">
              <w:rPr>
                <w:sz w:val="22"/>
                <w:szCs w:val="22"/>
              </w:rPr>
              <w:t>1.5</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Default="002178CE" w:rsidP="002178CE">
            <w:pPr>
              <w:pStyle w:val="TableCenter"/>
              <w:spacing w:before="0" w:after="0"/>
              <w:rPr>
                <w:szCs w:val="22"/>
              </w:rPr>
            </w:pPr>
            <w:r w:rsidRPr="00AF3B5A">
              <w:rPr>
                <w:sz w:val="22"/>
                <w:szCs w:val="22"/>
              </w:rPr>
              <w:t>1.5</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178CE" w:rsidRPr="006E3258" w:rsidRDefault="002178CE" w:rsidP="002178CE">
            <w:pPr>
              <w:pStyle w:val="TableCenter"/>
              <w:spacing w:before="0" w:after="0"/>
              <w:rPr>
                <w:szCs w:val="22"/>
              </w:rPr>
            </w:pPr>
            <w:r w:rsidRPr="00AF3B5A">
              <w:rPr>
                <w:sz w:val="22"/>
                <w:szCs w:val="22"/>
              </w:rPr>
              <w:t>0</w:t>
            </w:r>
          </w:p>
        </w:tc>
      </w:tr>
      <w:tr w:rsidR="002178CE" w:rsidTr="002178CE">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rsidR="002178CE" w:rsidRPr="00971623" w:rsidRDefault="002178CE" w:rsidP="002178CE">
            <w:pPr>
              <w:pStyle w:val="TableCenter"/>
              <w:spacing w:before="0" w:after="0"/>
              <w:ind w:left="360"/>
              <w:jc w:val="left"/>
              <w:rPr>
                <w:szCs w:val="22"/>
              </w:rPr>
            </w:pPr>
            <w:r w:rsidRPr="00971623">
              <w:rPr>
                <w:sz w:val="22"/>
                <w:szCs w:val="22"/>
              </w:rPr>
              <w:t>Alanine aminotransferase increased</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6E3258" w:rsidRDefault="002178CE" w:rsidP="002178CE">
            <w:pPr>
              <w:pStyle w:val="TableCenter"/>
              <w:spacing w:before="0" w:after="0"/>
              <w:rPr>
                <w:szCs w:val="22"/>
              </w:rPr>
            </w:pPr>
            <w:r w:rsidRPr="006E3258">
              <w:rPr>
                <w:sz w:val="22"/>
                <w:szCs w:val="22"/>
              </w:rPr>
              <w:t>7.7</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178CE" w:rsidRPr="006E3258" w:rsidRDefault="002178CE" w:rsidP="002178CE">
            <w:pPr>
              <w:pStyle w:val="TableCenter"/>
              <w:spacing w:before="0" w:after="0"/>
              <w:rPr>
                <w:szCs w:val="22"/>
              </w:rPr>
            </w:pPr>
            <w:r w:rsidRPr="006E3258">
              <w:rPr>
                <w:sz w:val="22"/>
                <w:szCs w:val="22"/>
              </w:rPr>
              <w:t>1.5</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6E3258" w:rsidRDefault="002178CE" w:rsidP="002178CE">
            <w:pPr>
              <w:pStyle w:val="TableCenter"/>
              <w:spacing w:before="0" w:after="0"/>
              <w:rPr>
                <w:szCs w:val="22"/>
              </w:rPr>
            </w:pPr>
            <w:r>
              <w:rPr>
                <w:sz w:val="22"/>
                <w:szCs w:val="22"/>
              </w:rPr>
              <w:t>0</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178CE" w:rsidRPr="006E3258" w:rsidRDefault="002178CE" w:rsidP="002178CE">
            <w:pPr>
              <w:pStyle w:val="TableCenter"/>
              <w:spacing w:before="0" w:after="0"/>
              <w:rPr>
                <w:szCs w:val="22"/>
              </w:rPr>
            </w:pPr>
            <w:r w:rsidRPr="006E3258">
              <w:rPr>
                <w:sz w:val="22"/>
                <w:szCs w:val="22"/>
              </w:rPr>
              <w:t>0</w:t>
            </w:r>
          </w:p>
        </w:tc>
      </w:tr>
      <w:tr w:rsidR="002178CE" w:rsidTr="002178CE">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rsidR="002178CE" w:rsidRPr="00971623" w:rsidRDefault="002178CE" w:rsidP="002178CE">
            <w:pPr>
              <w:pStyle w:val="TableCenter"/>
              <w:spacing w:before="0" w:after="0"/>
              <w:ind w:left="360"/>
              <w:jc w:val="left"/>
              <w:rPr>
                <w:szCs w:val="22"/>
              </w:rPr>
            </w:pPr>
            <w:r w:rsidRPr="00971623">
              <w:rPr>
                <w:sz w:val="22"/>
                <w:szCs w:val="22"/>
              </w:rPr>
              <w:t>Blood creatinine increased</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6E3258" w:rsidRDefault="002178CE" w:rsidP="002178CE">
            <w:pPr>
              <w:pStyle w:val="TableCenter"/>
              <w:spacing w:before="0" w:after="0"/>
              <w:rPr>
                <w:szCs w:val="22"/>
              </w:rPr>
            </w:pPr>
            <w:r w:rsidRPr="00AF3B5A">
              <w:rPr>
                <w:sz w:val="22"/>
                <w:szCs w:val="22"/>
              </w:rPr>
              <w:t>7.3</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178CE" w:rsidRPr="006E3258" w:rsidRDefault="002178CE" w:rsidP="002178CE">
            <w:pPr>
              <w:pStyle w:val="TableCenter"/>
              <w:spacing w:before="0" w:after="0"/>
              <w:rPr>
                <w:szCs w:val="22"/>
              </w:rPr>
            </w:pPr>
            <w:r w:rsidRPr="00AF3B5A">
              <w:rPr>
                <w:sz w:val="22"/>
                <w:szCs w:val="22"/>
              </w:rPr>
              <w:t>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6E3258" w:rsidRDefault="002178CE" w:rsidP="002178CE">
            <w:pPr>
              <w:pStyle w:val="TableCenter"/>
              <w:spacing w:before="0" w:after="0"/>
              <w:rPr>
                <w:szCs w:val="22"/>
              </w:rPr>
            </w:pPr>
            <w:r w:rsidRPr="00AF3B5A">
              <w:rPr>
                <w:sz w:val="22"/>
                <w:szCs w:val="22"/>
              </w:rPr>
              <w:t>1.5</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178CE" w:rsidRPr="006E3258" w:rsidRDefault="002178CE" w:rsidP="002178CE">
            <w:pPr>
              <w:pStyle w:val="TableCenter"/>
              <w:spacing w:before="0" w:after="0"/>
              <w:rPr>
                <w:szCs w:val="22"/>
              </w:rPr>
            </w:pPr>
            <w:r w:rsidRPr="00AF3B5A">
              <w:rPr>
                <w:sz w:val="22"/>
                <w:szCs w:val="22"/>
              </w:rPr>
              <w:t>0</w:t>
            </w:r>
          </w:p>
        </w:tc>
      </w:tr>
      <w:tr w:rsidR="002178CE" w:rsidTr="002178CE">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rsidR="002178CE" w:rsidRPr="00971623" w:rsidRDefault="002178CE" w:rsidP="002178CE">
            <w:pPr>
              <w:pStyle w:val="TableCenter"/>
              <w:spacing w:before="0" w:after="0"/>
              <w:ind w:left="360"/>
              <w:jc w:val="left"/>
              <w:rPr>
                <w:szCs w:val="22"/>
              </w:rPr>
            </w:pPr>
            <w:r w:rsidRPr="00971623">
              <w:rPr>
                <w:sz w:val="22"/>
                <w:szCs w:val="22"/>
              </w:rPr>
              <w:t>Aspartate aminotransferase increased</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6E3258" w:rsidRDefault="002178CE" w:rsidP="002178CE">
            <w:pPr>
              <w:pStyle w:val="TableCenter"/>
              <w:spacing w:before="0" w:after="0"/>
              <w:rPr>
                <w:szCs w:val="22"/>
              </w:rPr>
            </w:pPr>
            <w:r w:rsidRPr="006E3258">
              <w:rPr>
                <w:sz w:val="22"/>
                <w:szCs w:val="22"/>
              </w:rPr>
              <w:t>6.9</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178CE" w:rsidRPr="006E3258" w:rsidRDefault="002178CE" w:rsidP="002178CE">
            <w:pPr>
              <w:pStyle w:val="TableCenter"/>
              <w:spacing w:before="0" w:after="0"/>
              <w:rPr>
                <w:szCs w:val="22"/>
              </w:rPr>
            </w:pPr>
            <w:r w:rsidRPr="006E3258">
              <w:rPr>
                <w:sz w:val="22"/>
                <w:szCs w:val="22"/>
              </w:rPr>
              <w:t>1.9</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6E3258" w:rsidRDefault="002178CE" w:rsidP="002178CE">
            <w:pPr>
              <w:pStyle w:val="TableCenter"/>
              <w:spacing w:before="0" w:after="0"/>
              <w:rPr>
                <w:szCs w:val="22"/>
              </w:rPr>
            </w:pPr>
            <w:r w:rsidRPr="006E3258">
              <w:rPr>
                <w:sz w:val="22"/>
                <w:szCs w:val="22"/>
              </w:rPr>
              <w:t>1.5</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178CE" w:rsidRPr="006E3258" w:rsidRDefault="002178CE" w:rsidP="002178CE">
            <w:pPr>
              <w:pStyle w:val="TableCenter"/>
              <w:spacing w:before="0" w:after="0"/>
              <w:rPr>
                <w:szCs w:val="22"/>
              </w:rPr>
            </w:pPr>
            <w:r w:rsidRPr="006E3258">
              <w:rPr>
                <w:sz w:val="22"/>
                <w:szCs w:val="22"/>
              </w:rPr>
              <w:t>0</w:t>
            </w:r>
          </w:p>
        </w:tc>
      </w:tr>
      <w:tr w:rsidR="002178CE" w:rsidTr="002178CE">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rsidR="002178CE" w:rsidRPr="00971623" w:rsidRDefault="002178CE" w:rsidP="002178CE">
            <w:pPr>
              <w:pStyle w:val="TableCenter"/>
              <w:spacing w:before="0" w:after="0"/>
              <w:ind w:left="360"/>
              <w:jc w:val="left"/>
              <w:rPr>
                <w:szCs w:val="22"/>
              </w:rPr>
            </w:pPr>
            <w:r w:rsidRPr="00971623">
              <w:rPr>
                <w:sz w:val="22"/>
                <w:szCs w:val="22"/>
              </w:rPr>
              <w:t>Blood thyroid stimulating hormone increased</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6E3258" w:rsidRDefault="002178CE" w:rsidP="002178CE">
            <w:pPr>
              <w:pStyle w:val="TableCenter"/>
              <w:spacing w:before="0" w:after="0"/>
              <w:rPr>
                <w:szCs w:val="22"/>
              </w:rPr>
            </w:pPr>
            <w:r w:rsidRPr="00AF3B5A">
              <w:rPr>
                <w:sz w:val="22"/>
                <w:szCs w:val="22"/>
              </w:rPr>
              <w:t>6.5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178CE" w:rsidRPr="006E3258" w:rsidRDefault="002178CE" w:rsidP="002178CE">
            <w:pPr>
              <w:pStyle w:val="TableCenter"/>
              <w:spacing w:before="0" w:after="0"/>
              <w:rPr>
                <w:szCs w:val="22"/>
              </w:rPr>
            </w:pPr>
            <w:r w:rsidRPr="00AF3B5A">
              <w:rPr>
                <w:sz w:val="22"/>
                <w:szCs w:val="22"/>
              </w:rPr>
              <w:t>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6E3258" w:rsidRDefault="002178CE" w:rsidP="002178CE">
            <w:pPr>
              <w:pStyle w:val="TableCenter"/>
              <w:spacing w:before="0" w:after="0"/>
              <w:rPr>
                <w:szCs w:val="22"/>
              </w:rPr>
            </w:pPr>
            <w:r w:rsidRPr="00AF3B5A">
              <w:rPr>
                <w:sz w:val="22"/>
                <w:szCs w:val="22"/>
              </w:rPr>
              <w:t>0</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178CE" w:rsidRPr="006E3258" w:rsidRDefault="002178CE" w:rsidP="002178CE">
            <w:pPr>
              <w:pStyle w:val="TableCenter"/>
              <w:spacing w:before="0" w:after="0"/>
              <w:rPr>
                <w:szCs w:val="22"/>
              </w:rPr>
            </w:pPr>
            <w:r w:rsidRPr="00AF3B5A">
              <w:rPr>
                <w:sz w:val="22"/>
                <w:szCs w:val="22"/>
              </w:rPr>
              <w:t>0</w:t>
            </w:r>
          </w:p>
        </w:tc>
      </w:tr>
      <w:tr w:rsidR="002178CE" w:rsidTr="002178CE">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rsidR="002178CE" w:rsidRPr="00971623" w:rsidRDefault="002178CE" w:rsidP="002178CE">
            <w:pPr>
              <w:pStyle w:val="TableCenter"/>
              <w:spacing w:before="0" w:after="0"/>
              <w:ind w:left="360"/>
              <w:jc w:val="left"/>
              <w:rPr>
                <w:szCs w:val="22"/>
              </w:rPr>
            </w:pPr>
            <w:r w:rsidRPr="00971623">
              <w:rPr>
                <w:sz w:val="22"/>
                <w:szCs w:val="22"/>
              </w:rPr>
              <w:t>Blood alkaline phosphatase increased</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6E3258" w:rsidRDefault="002178CE" w:rsidP="002178CE">
            <w:pPr>
              <w:pStyle w:val="TableCenter"/>
              <w:spacing w:before="0" w:after="0"/>
              <w:rPr>
                <w:szCs w:val="22"/>
              </w:rPr>
            </w:pPr>
            <w:r w:rsidRPr="006E3258">
              <w:rPr>
                <w:sz w:val="22"/>
                <w:szCs w:val="22"/>
              </w:rPr>
              <w:t>6.1</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178CE" w:rsidRPr="006E3258" w:rsidRDefault="002178CE" w:rsidP="002178CE">
            <w:pPr>
              <w:pStyle w:val="TableCenter"/>
              <w:spacing w:before="0" w:after="0"/>
              <w:rPr>
                <w:szCs w:val="22"/>
              </w:rPr>
            </w:pPr>
            <w:r w:rsidRPr="006E3258">
              <w:rPr>
                <w:sz w:val="22"/>
                <w:szCs w:val="22"/>
              </w:rPr>
              <w:t>0.8</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6E3258" w:rsidRDefault="002178CE" w:rsidP="002178CE">
            <w:pPr>
              <w:pStyle w:val="TableCenter"/>
              <w:spacing w:before="0" w:after="0"/>
              <w:rPr>
                <w:szCs w:val="22"/>
              </w:rPr>
            </w:pPr>
            <w:r w:rsidRPr="006E3258">
              <w:rPr>
                <w:sz w:val="22"/>
                <w:szCs w:val="22"/>
              </w:rPr>
              <w:t>2.3</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178CE" w:rsidRPr="006E3258" w:rsidRDefault="002178CE" w:rsidP="002178CE">
            <w:pPr>
              <w:pStyle w:val="TableCenter"/>
              <w:spacing w:before="0" w:after="0"/>
              <w:rPr>
                <w:szCs w:val="22"/>
              </w:rPr>
            </w:pPr>
            <w:r w:rsidRPr="006E3258">
              <w:rPr>
                <w:sz w:val="22"/>
                <w:szCs w:val="22"/>
              </w:rPr>
              <w:t>0.8</w:t>
            </w:r>
          </w:p>
        </w:tc>
      </w:tr>
      <w:tr w:rsidR="002178CE" w:rsidTr="002178CE">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rsidR="002178CE" w:rsidRPr="00971623" w:rsidRDefault="002178CE" w:rsidP="002178CE">
            <w:pPr>
              <w:pStyle w:val="TableCenter"/>
              <w:spacing w:before="0" w:after="0"/>
              <w:ind w:left="360"/>
              <w:jc w:val="left"/>
              <w:rPr>
                <w:szCs w:val="22"/>
              </w:rPr>
            </w:pPr>
            <w:r w:rsidRPr="00971623">
              <w:rPr>
                <w:sz w:val="22"/>
                <w:szCs w:val="22"/>
              </w:rPr>
              <w:t>Blood urea increased</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6E3258" w:rsidRDefault="002178CE" w:rsidP="002178CE">
            <w:pPr>
              <w:pStyle w:val="TableCenter"/>
              <w:spacing w:before="0" w:after="0"/>
              <w:rPr>
                <w:szCs w:val="22"/>
              </w:rPr>
            </w:pPr>
            <w:r w:rsidRPr="00AF3B5A">
              <w:rPr>
                <w:sz w:val="22"/>
                <w:szCs w:val="22"/>
              </w:rPr>
              <w:t>3.1</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178CE" w:rsidRPr="006E3258" w:rsidRDefault="002178CE" w:rsidP="002178CE">
            <w:pPr>
              <w:pStyle w:val="TableCenter"/>
              <w:spacing w:before="0" w:after="0"/>
              <w:rPr>
                <w:szCs w:val="22"/>
              </w:rPr>
            </w:pPr>
            <w:r w:rsidRPr="00AF3B5A">
              <w:rPr>
                <w:sz w:val="22"/>
                <w:szCs w:val="22"/>
              </w:rPr>
              <w:t>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6E3258" w:rsidRDefault="002178CE" w:rsidP="002178CE">
            <w:pPr>
              <w:pStyle w:val="TableCenter"/>
              <w:spacing w:before="0" w:after="0"/>
              <w:rPr>
                <w:szCs w:val="22"/>
              </w:rPr>
            </w:pPr>
            <w:r w:rsidRPr="00AF3B5A">
              <w:rPr>
                <w:sz w:val="22"/>
                <w:szCs w:val="22"/>
              </w:rPr>
              <w:t>0</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178CE" w:rsidRPr="006E3258" w:rsidRDefault="002178CE" w:rsidP="002178CE">
            <w:pPr>
              <w:pStyle w:val="TableCenter"/>
              <w:spacing w:before="0" w:after="0"/>
              <w:rPr>
                <w:szCs w:val="22"/>
              </w:rPr>
            </w:pPr>
            <w:r w:rsidRPr="00AF3B5A">
              <w:rPr>
                <w:sz w:val="22"/>
                <w:szCs w:val="22"/>
              </w:rPr>
              <w:t>0</w:t>
            </w:r>
          </w:p>
        </w:tc>
      </w:tr>
      <w:tr w:rsidR="002178CE" w:rsidTr="002178CE">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rsidR="002178CE" w:rsidRPr="00971623" w:rsidRDefault="002178CE" w:rsidP="002178CE">
            <w:pPr>
              <w:pStyle w:val="TableCenter"/>
              <w:spacing w:before="0" w:after="0"/>
              <w:ind w:left="360"/>
              <w:jc w:val="left"/>
              <w:rPr>
                <w:szCs w:val="22"/>
              </w:rPr>
            </w:pPr>
            <w:r w:rsidRPr="00971623">
              <w:rPr>
                <w:sz w:val="22"/>
                <w:szCs w:val="22"/>
              </w:rPr>
              <w:t>Hepatic function abnormal</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AF3B5A" w:rsidRDefault="002178CE" w:rsidP="002178CE">
            <w:pPr>
              <w:pStyle w:val="TableCenter"/>
              <w:spacing w:before="0" w:after="0"/>
              <w:rPr>
                <w:szCs w:val="22"/>
              </w:rPr>
            </w:pPr>
            <w:r w:rsidRPr="00BB6B49">
              <w:rPr>
                <w:sz w:val="22"/>
                <w:szCs w:val="22"/>
              </w:rPr>
              <w:t>2.3</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178CE" w:rsidRPr="00AF3B5A" w:rsidRDefault="002178CE" w:rsidP="002178CE">
            <w:pPr>
              <w:pStyle w:val="TableCenter"/>
              <w:spacing w:before="0" w:after="0"/>
              <w:rPr>
                <w:szCs w:val="22"/>
              </w:rPr>
            </w:pPr>
            <w:r w:rsidRPr="00BB6B49">
              <w:rPr>
                <w:sz w:val="22"/>
                <w:szCs w:val="22"/>
              </w:rPr>
              <w:t>0</w:t>
            </w:r>
            <w:r>
              <w:rPr>
                <w:sz w:val="22"/>
                <w:szCs w:val="22"/>
              </w:rPr>
              <w:t>.4</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AF3B5A" w:rsidRDefault="002178CE" w:rsidP="002178CE">
            <w:pPr>
              <w:pStyle w:val="TableCenter"/>
              <w:spacing w:before="0" w:after="0"/>
              <w:rPr>
                <w:szCs w:val="22"/>
              </w:rPr>
            </w:pPr>
            <w:r w:rsidRPr="00BB6B49">
              <w:rPr>
                <w:sz w:val="22"/>
                <w:szCs w:val="22"/>
              </w:rPr>
              <w:t>0</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178CE" w:rsidRPr="00AF3B5A" w:rsidRDefault="002178CE" w:rsidP="002178CE">
            <w:pPr>
              <w:pStyle w:val="TableCenter"/>
              <w:spacing w:before="0" w:after="0"/>
              <w:rPr>
                <w:szCs w:val="22"/>
              </w:rPr>
            </w:pPr>
            <w:r w:rsidRPr="00BB6B49">
              <w:rPr>
                <w:sz w:val="22"/>
                <w:szCs w:val="22"/>
              </w:rPr>
              <w:t>0</w:t>
            </w:r>
          </w:p>
        </w:tc>
      </w:tr>
      <w:tr w:rsidR="002178CE" w:rsidTr="002178CE">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rsidR="002178CE" w:rsidRPr="00971623" w:rsidRDefault="002178CE" w:rsidP="002178CE">
            <w:pPr>
              <w:pStyle w:val="TableCenter"/>
              <w:spacing w:before="0" w:after="0"/>
              <w:ind w:left="360"/>
              <w:jc w:val="left"/>
              <w:rPr>
                <w:szCs w:val="22"/>
              </w:rPr>
            </w:pPr>
            <w:r w:rsidRPr="00971623">
              <w:rPr>
                <w:sz w:val="22"/>
                <w:szCs w:val="22"/>
              </w:rPr>
              <w:t>Blood bilirubin increased</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AF3B5A" w:rsidRDefault="002178CE" w:rsidP="002178CE">
            <w:pPr>
              <w:pStyle w:val="TableCenter"/>
              <w:spacing w:before="0" w:after="0"/>
              <w:rPr>
                <w:szCs w:val="22"/>
              </w:rPr>
            </w:pPr>
            <w:r w:rsidRPr="006E3258">
              <w:rPr>
                <w:sz w:val="22"/>
                <w:szCs w:val="22"/>
              </w:rPr>
              <w:t>1.9</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178CE" w:rsidRPr="00AF3B5A" w:rsidRDefault="002178CE" w:rsidP="002178CE">
            <w:pPr>
              <w:pStyle w:val="TableCenter"/>
              <w:spacing w:before="0" w:after="0"/>
              <w:rPr>
                <w:szCs w:val="22"/>
              </w:rPr>
            </w:pPr>
            <w:r w:rsidRPr="006E3258">
              <w:rPr>
                <w:sz w:val="22"/>
                <w:szCs w:val="22"/>
              </w:rPr>
              <w:t>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AF3B5A" w:rsidRDefault="002178CE" w:rsidP="002178CE">
            <w:pPr>
              <w:pStyle w:val="TableCenter"/>
              <w:spacing w:before="0" w:after="0"/>
              <w:rPr>
                <w:szCs w:val="22"/>
              </w:rPr>
            </w:pPr>
            <w:r w:rsidRPr="006E3258">
              <w:rPr>
                <w:sz w:val="22"/>
                <w:szCs w:val="22"/>
              </w:rPr>
              <w:t>0</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178CE" w:rsidRPr="00AF3B5A" w:rsidRDefault="002178CE" w:rsidP="002178CE">
            <w:pPr>
              <w:pStyle w:val="TableCenter"/>
              <w:spacing w:before="0" w:after="0"/>
              <w:rPr>
                <w:szCs w:val="22"/>
              </w:rPr>
            </w:pPr>
            <w:r w:rsidRPr="006E3258">
              <w:rPr>
                <w:sz w:val="22"/>
                <w:szCs w:val="22"/>
              </w:rPr>
              <w:t>0</w:t>
            </w:r>
          </w:p>
        </w:tc>
      </w:tr>
      <w:tr w:rsidR="002178CE" w:rsidRPr="00BB6B49" w:rsidTr="002178CE">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rsidR="002178CE" w:rsidRPr="00971623" w:rsidRDefault="002178CE" w:rsidP="002178CE">
            <w:pPr>
              <w:pStyle w:val="TableCenter"/>
              <w:spacing w:before="0" w:after="0"/>
              <w:ind w:left="360"/>
              <w:jc w:val="left"/>
              <w:rPr>
                <w:szCs w:val="22"/>
              </w:rPr>
            </w:pPr>
            <w:r w:rsidRPr="00971623">
              <w:rPr>
                <w:sz w:val="22"/>
                <w:szCs w:val="22"/>
              </w:rPr>
              <w:t>Gamma-glutamyltransferase increased</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BB6B49" w:rsidRDefault="002178CE" w:rsidP="002178CE">
            <w:pPr>
              <w:pStyle w:val="TableCenter"/>
              <w:spacing w:before="0" w:after="0"/>
              <w:rPr>
                <w:szCs w:val="22"/>
              </w:rPr>
            </w:pPr>
            <w:r w:rsidRPr="00BB6B49">
              <w:rPr>
                <w:sz w:val="22"/>
                <w:szCs w:val="22"/>
              </w:rPr>
              <w:t>1.5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178CE" w:rsidRPr="00BB6B49" w:rsidRDefault="002178CE" w:rsidP="002178CE">
            <w:pPr>
              <w:pStyle w:val="TableCenter"/>
              <w:spacing w:before="0" w:after="0"/>
              <w:rPr>
                <w:szCs w:val="22"/>
              </w:rPr>
            </w:pPr>
            <w:r w:rsidRPr="00BB6B49">
              <w:rPr>
                <w:sz w:val="22"/>
                <w:szCs w:val="22"/>
              </w:rPr>
              <w:t>0.8</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BB6B49" w:rsidRDefault="002178CE" w:rsidP="002178CE">
            <w:pPr>
              <w:pStyle w:val="TableCenter"/>
              <w:spacing w:before="0" w:after="0"/>
              <w:rPr>
                <w:szCs w:val="22"/>
              </w:rPr>
            </w:pPr>
            <w:r w:rsidRPr="00BB6B49">
              <w:rPr>
                <w:sz w:val="22"/>
                <w:szCs w:val="22"/>
              </w:rPr>
              <w:t>0.8</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178CE" w:rsidRPr="00BB6B49" w:rsidRDefault="002178CE" w:rsidP="002178CE">
            <w:pPr>
              <w:pStyle w:val="TableCenter"/>
              <w:spacing w:before="0" w:after="0"/>
              <w:rPr>
                <w:szCs w:val="22"/>
              </w:rPr>
            </w:pPr>
            <w:r w:rsidRPr="00BB6B49">
              <w:rPr>
                <w:sz w:val="22"/>
                <w:szCs w:val="22"/>
              </w:rPr>
              <w:t>0</w:t>
            </w:r>
          </w:p>
        </w:tc>
      </w:tr>
      <w:tr w:rsidR="002178CE" w:rsidTr="002178CE">
        <w:trPr>
          <w:jc w:val="center"/>
        </w:trPr>
        <w:tc>
          <w:tcPr>
            <w:tcW w:w="9216" w:type="dxa"/>
            <w:gridSpan w:val="5"/>
            <w:tcBorders>
              <w:top w:val="single" w:sz="4" w:space="0" w:color="auto"/>
              <w:left w:val="single" w:sz="4" w:space="0" w:color="auto"/>
              <w:bottom w:val="single" w:sz="4" w:space="0" w:color="auto"/>
              <w:right w:val="single" w:sz="4" w:space="0" w:color="auto"/>
            </w:tcBorders>
            <w:shd w:val="clear" w:color="auto" w:fill="auto"/>
          </w:tcPr>
          <w:p w:rsidR="002178CE" w:rsidRPr="00971623" w:rsidRDefault="002178CE" w:rsidP="002178CE">
            <w:pPr>
              <w:pStyle w:val="TableCenter"/>
              <w:spacing w:before="0" w:after="0"/>
              <w:jc w:val="left"/>
              <w:rPr>
                <w:b/>
                <w:szCs w:val="22"/>
              </w:rPr>
            </w:pPr>
            <w:r w:rsidRPr="00971623">
              <w:rPr>
                <w:b/>
                <w:sz w:val="22"/>
                <w:szCs w:val="22"/>
              </w:rPr>
              <w:lastRenderedPageBreak/>
              <w:t>Metabolism and Nutrition Disorders</w:t>
            </w:r>
          </w:p>
        </w:tc>
      </w:tr>
      <w:tr w:rsidR="002178CE" w:rsidRPr="001033E5" w:rsidTr="002178CE">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rsidR="002178CE" w:rsidRPr="00971623" w:rsidRDefault="002178CE" w:rsidP="002178CE">
            <w:pPr>
              <w:pStyle w:val="TableCenter"/>
              <w:spacing w:before="0" w:after="0"/>
              <w:ind w:left="360"/>
              <w:jc w:val="left"/>
              <w:rPr>
                <w:szCs w:val="22"/>
              </w:rPr>
            </w:pPr>
            <w:r w:rsidRPr="00971623">
              <w:rPr>
                <w:sz w:val="22"/>
                <w:szCs w:val="22"/>
              </w:rPr>
              <w:t>Decreased appetite</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1033E5" w:rsidRDefault="002178CE" w:rsidP="002178CE">
            <w:pPr>
              <w:pStyle w:val="TableCenter"/>
              <w:spacing w:before="0" w:after="0"/>
              <w:rPr>
                <w:szCs w:val="22"/>
              </w:rPr>
            </w:pPr>
            <w:r w:rsidRPr="001033E5">
              <w:rPr>
                <w:sz w:val="22"/>
                <w:szCs w:val="22"/>
              </w:rPr>
              <w:t>54.4</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178CE" w:rsidRPr="001033E5" w:rsidRDefault="002178CE" w:rsidP="002178CE">
            <w:pPr>
              <w:pStyle w:val="TableCenter"/>
              <w:spacing w:before="0" w:after="0"/>
              <w:rPr>
                <w:szCs w:val="22"/>
              </w:rPr>
            </w:pPr>
            <w:r w:rsidRPr="001033E5">
              <w:rPr>
                <w:sz w:val="22"/>
                <w:szCs w:val="22"/>
              </w:rPr>
              <w:t>6.9</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1033E5" w:rsidRDefault="002178CE" w:rsidP="002178CE">
            <w:pPr>
              <w:pStyle w:val="TableCenter"/>
              <w:spacing w:before="0" w:after="0"/>
              <w:rPr>
                <w:szCs w:val="22"/>
              </w:rPr>
            </w:pPr>
            <w:r w:rsidRPr="001033E5">
              <w:rPr>
                <w:sz w:val="22"/>
                <w:szCs w:val="22"/>
              </w:rPr>
              <w:t>18.3</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178CE" w:rsidRPr="001033E5" w:rsidRDefault="002178CE" w:rsidP="002178CE">
            <w:pPr>
              <w:pStyle w:val="TableCenter"/>
              <w:spacing w:before="0" w:after="0"/>
              <w:rPr>
                <w:szCs w:val="22"/>
              </w:rPr>
            </w:pPr>
            <w:r w:rsidRPr="001033E5">
              <w:rPr>
                <w:sz w:val="22"/>
                <w:szCs w:val="22"/>
              </w:rPr>
              <w:t>0.8</w:t>
            </w:r>
          </w:p>
        </w:tc>
      </w:tr>
      <w:tr w:rsidR="002178CE" w:rsidRPr="001033E5" w:rsidTr="002178CE">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rsidR="002178CE" w:rsidRPr="00971623" w:rsidRDefault="002178CE" w:rsidP="002178CE">
            <w:pPr>
              <w:pStyle w:val="TableCenter"/>
              <w:spacing w:before="0" w:after="0"/>
              <w:ind w:left="360"/>
              <w:jc w:val="left"/>
              <w:rPr>
                <w:szCs w:val="22"/>
              </w:rPr>
            </w:pPr>
            <w:r w:rsidRPr="00971623">
              <w:rPr>
                <w:sz w:val="22"/>
                <w:szCs w:val="22"/>
              </w:rPr>
              <w:t>Hypokalemia</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1033E5" w:rsidRDefault="002178CE" w:rsidP="002178CE">
            <w:pPr>
              <w:pStyle w:val="TableCenter"/>
              <w:spacing w:before="0" w:after="0"/>
              <w:rPr>
                <w:szCs w:val="22"/>
              </w:rPr>
            </w:pPr>
            <w:r w:rsidRPr="001033E5">
              <w:rPr>
                <w:sz w:val="22"/>
                <w:szCs w:val="22"/>
              </w:rPr>
              <w:t>13.8</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178CE" w:rsidRPr="001033E5" w:rsidRDefault="002178CE" w:rsidP="002178CE">
            <w:pPr>
              <w:pStyle w:val="TableCenter"/>
              <w:spacing w:before="0" w:after="0"/>
              <w:rPr>
                <w:szCs w:val="22"/>
              </w:rPr>
            </w:pPr>
            <w:r w:rsidRPr="001033E5">
              <w:rPr>
                <w:sz w:val="22"/>
                <w:szCs w:val="22"/>
              </w:rPr>
              <w:t>3.4</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1033E5" w:rsidRDefault="002178CE" w:rsidP="002178CE">
            <w:pPr>
              <w:pStyle w:val="TableCenter"/>
              <w:spacing w:before="0" w:after="0"/>
              <w:rPr>
                <w:szCs w:val="22"/>
              </w:rPr>
            </w:pPr>
            <w:r w:rsidRPr="001033E5">
              <w:rPr>
                <w:sz w:val="22"/>
                <w:szCs w:val="22"/>
              </w:rPr>
              <w:t>3.8</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178CE" w:rsidRPr="001033E5" w:rsidRDefault="002178CE" w:rsidP="002178CE">
            <w:pPr>
              <w:pStyle w:val="TableCenter"/>
              <w:spacing w:before="0" w:after="0"/>
              <w:rPr>
                <w:szCs w:val="22"/>
              </w:rPr>
            </w:pPr>
            <w:r w:rsidRPr="001033E5">
              <w:rPr>
                <w:sz w:val="22"/>
                <w:szCs w:val="22"/>
              </w:rPr>
              <w:t>0</w:t>
            </w:r>
          </w:p>
        </w:tc>
      </w:tr>
      <w:tr w:rsidR="002178CE" w:rsidRPr="001033E5" w:rsidTr="002178CE">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rsidR="002178CE" w:rsidRPr="00971623" w:rsidRDefault="002178CE" w:rsidP="002178CE">
            <w:pPr>
              <w:pStyle w:val="TableCenter"/>
              <w:spacing w:before="0" w:after="0"/>
              <w:ind w:left="360"/>
              <w:jc w:val="left"/>
              <w:rPr>
                <w:szCs w:val="22"/>
              </w:rPr>
            </w:pPr>
            <w:r w:rsidRPr="00971623">
              <w:rPr>
                <w:sz w:val="22"/>
                <w:szCs w:val="22"/>
              </w:rPr>
              <w:t>Hypocalcemia</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1033E5" w:rsidRDefault="002178CE" w:rsidP="002178CE">
            <w:pPr>
              <w:pStyle w:val="TableCenter"/>
              <w:spacing w:before="0" w:after="0"/>
              <w:rPr>
                <w:szCs w:val="22"/>
              </w:rPr>
            </w:pPr>
            <w:r w:rsidRPr="001033E5">
              <w:rPr>
                <w:sz w:val="22"/>
                <w:szCs w:val="22"/>
              </w:rPr>
              <w:t>12.6</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178CE" w:rsidRPr="001033E5" w:rsidRDefault="002178CE" w:rsidP="002178CE">
            <w:pPr>
              <w:pStyle w:val="TableCenter"/>
              <w:spacing w:before="0" w:after="0"/>
              <w:rPr>
                <w:szCs w:val="22"/>
              </w:rPr>
            </w:pPr>
            <w:r w:rsidRPr="001033E5">
              <w:rPr>
                <w:sz w:val="22"/>
                <w:szCs w:val="22"/>
              </w:rPr>
              <w:t>5.0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1033E5" w:rsidRDefault="002178CE" w:rsidP="002178CE">
            <w:pPr>
              <w:pStyle w:val="TableCenter"/>
              <w:spacing w:before="0" w:after="0"/>
              <w:rPr>
                <w:szCs w:val="22"/>
              </w:rPr>
            </w:pPr>
            <w:r w:rsidRPr="001033E5">
              <w:rPr>
                <w:sz w:val="22"/>
                <w:szCs w:val="22"/>
              </w:rPr>
              <w:t>0</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178CE" w:rsidRPr="001033E5" w:rsidRDefault="002178CE" w:rsidP="002178CE">
            <w:pPr>
              <w:pStyle w:val="TableCenter"/>
              <w:spacing w:before="0" w:after="0"/>
              <w:rPr>
                <w:szCs w:val="22"/>
              </w:rPr>
            </w:pPr>
            <w:r w:rsidRPr="001033E5">
              <w:rPr>
                <w:sz w:val="22"/>
                <w:szCs w:val="22"/>
              </w:rPr>
              <w:t>0</w:t>
            </w:r>
          </w:p>
        </w:tc>
      </w:tr>
      <w:tr w:rsidR="002178CE" w:rsidRPr="001033E5" w:rsidTr="002178CE">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rsidR="002178CE" w:rsidRPr="00971623" w:rsidRDefault="002178CE" w:rsidP="002178CE">
            <w:pPr>
              <w:pStyle w:val="TableCenter"/>
              <w:spacing w:before="0" w:after="0"/>
              <w:ind w:left="360"/>
              <w:jc w:val="left"/>
              <w:rPr>
                <w:szCs w:val="22"/>
              </w:rPr>
            </w:pPr>
            <w:r w:rsidRPr="00971623">
              <w:rPr>
                <w:sz w:val="22"/>
                <w:szCs w:val="22"/>
              </w:rPr>
              <w:t>Hypoalbuminemia</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1033E5" w:rsidRDefault="002178CE" w:rsidP="002178CE">
            <w:pPr>
              <w:pStyle w:val="TableCenter"/>
              <w:spacing w:before="0" w:after="0"/>
              <w:rPr>
                <w:szCs w:val="22"/>
              </w:rPr>
            </w:pPr>
            <w:r w:rsidRPr="001033E5">
              <w:rPr>
                <w:sz w:val="22"/>
                <w:szCs w:val="22"/>
              </w:rPr>
              <w:t>9.6</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178CE" w:rsidRPr="001033E5" w:rsidRDefault="002178CE" w:rsidP="002178CE">
            <w:pPr>
              <w:pStyle w:val="TableCenter"/>
              <w:spacing w:before="0" w:after="0"/>
              <w:rPr>
                <w:szCs w:val="22"/>
              </w:rPr>
            </w:pPr>
            <w:r w:rsidRPr="001033E5">
              <w:rPr>
                <w:sz w:val="22"/>
                <w:szCs w:val="22"/>
              </w:rPr>
              <w:t>0.4</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1033E5" w:rsidRDefault="002178CE" w:rsidP="002178CE">
            <w:pPr>
              <w:pStyle w:val="TableCenter"/>
              <w:spacing w:before="0" w:after="0"/>
              <w:rPr>
                <w:szCs w:val="22"/>
              </w:rPr>
            </w:pPr>
            <w:r w:rsidRPr="001033E5">
              <w:rPr>
                <w:sz w:val="22"/>
                <w:szCs w:val="22"/>
              </w:rPr>
              <w:t>1.5</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178CE" w:rsidRPr="001033E5" w:rsidRDefault="002178CE" w:rsidP="002178CE">
            <w:pPr>
              <w:pStyle w:val="TableCenter"/>
              <w:spacing w:before="0" w:after="0"/>
              <w:rPr>
                <w:szCs w:val="22"/>
              </w:rPr>
            </w:pPr>
            <w:r w:rsidRPr="001033E5">
              <w:rPr>
                <w:sz w:val="22"/>
                <w:szCs w:val="22"/>
              </w:rPr>
              <w:t>0</w:t>
            </w:r>
          </w:p>
        </w:tc>
      </w:tr>
      <w:tr w:rsidR="002178CE" w:rsidRPr="001033E5" w:rsidTr="002178CE">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rsidR="002178CE" w:rsidRPr="00971623" w:rsidRDefault="002178CE" w:rsidP="002178CE">
            <w:pPr>
              <w:pStyle w:val="TableCenter"/>
              <w:spacing w:before="0" w:after="0"/>
              <w:ind w:left="360"/>
              <w:jc w:val="left"/>
              <w:rPr>
                <w:szCs w:val="22"/>
              </w:rPr>
            </w:pPr>
            <w:r w:rsidRPr="00971623">
              <w:rPr>
                <w:sz w:val="22"/>
                <w:szCs w:val="22"/>
              </w:rPr>
              <w:t>Dehydration</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1033E5" w:rsidRDefault="002178CE" w:rsidP="002178CE">
            <w:pPr>
              <w:pStyle w:val="TableCenter"/>
              <w:spacing w:before="0" w:after="0"/>
              <w:rPr>
                <w:szCs w:val="22"/>
              </w:rPr>
            </w:pPr>
            <w:r w:rsidRPr="001033E5">
              <w:rPr>
                <w:sz w:val="22"/>
                <w:szCs w:val="22"/>
              </w:rPr>
              <w:t>8.8</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178CE" w:rsidRPr="001033E5" w:rsidRDefault="002178CE" w:rsidP="002178CE">
            <w:pPr>
              <w:pStyle w:val="TableCenter"/>
              <w:spacing w:before="0" w:after="0"/>
              <w:rPr>
                <w:szCs w:val="22"/>
              </w:rPr>
            </w:pPr>
            <w:r w:rsidRPr="001033E5">
              <w:rPr>
                <w:sz w:val="22"/>
                <w:szCs w:val="22"/>
              </w:rPr>
              <w:t>2.3</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1033E5" w:rsidRDefault="002178CE" w:rsidP="002178CE">
            <w:pPr>
              <w:pStyle w:val="TableCenter"/>
              <w:spacing w:before="0" w:after="0"/>
              <w:rPr>
                <w:szCs w:val="22"/>
              </w:rPr>
            </w:pPr>
            <w:r w:rsidRPr="001033E5">
              <w:rPr>
                <w:sz w:val="22"/>
                <w:szCs w:val="22"/>
              </w:rPr>
              <w:t>2.3</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178CE" w:rsidRPr="001033E5" w:rsidRDefault="002178CE" w:rsidP="002178CE">
            <w:pPr>
              <w:pStyle w:val="TableCenter"/>
              <w:spacing w:before="0" w:after="0"/>
              <w:rPr>
                <w:szCs w:val="22"/>
              </w:rPr>
            </w:pPr>
            <w:r w:rsidRPr="001033E5">
              <w:rPr>
                <w:sz w:val="22"/>
                <w:szCs w:val="22"/>
              </w:rPr>
              <w:t>0.8</w:t>
            </w:r>
          </w:p>
        </w:tc>
      </w:tr>
      <w:tr w:rsidR="002178CE" w:rsidRPr="001033E5" w:rsidTr="002178CE">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rsidR="002178CE" w:rsidRPr="00971623" w:rsidRDefault="002178CE" w:rsidP="002178CE">
            <w:pPr>
              <w:pStyle w:val="TableCenter"/>
              <w:spacing w:before="0" w:after="0"/>
              <w:ind w:left="360"/>
              <w:jc w:val="left"/>
              <w:rPr>
                <w:szCs w:val="22"/>
              </w:rPr>
            </w:pPr>
            <w:r w:rsidRPr="00D23BCB">
              <w:rPr>
                <w:sz w:val="22"/>
                <w:szCs w:val="22"/>
              </w:rPr>
              <w:t>Hypomagnesaemia</w:t>
            </w:r>
            <w:r w:rsidRPr="0025141E">
              <w:rPr>
                <w:sz w:val="22"/>
                <w:szCs w:val="22"/>
                <w:vertAlign w:val="superscript"/>
              </w:rPr>
              <w:t>9</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1033E5" w:rsidRDefault="002178CE" w:rsidP="002178CE">
            <w:pPr>
              <w:pStyle w:val="TableCenter"/>
              <w:spacing w:before="0" w:after="0"/>
              <w:rPr>
                <w:szCs w:val="22"/>
              </w:rPr>
            </w:pPr>
            <w:r>
              <w:rPr>
                <w:sz w:val="22"/>
                <w:szCs w:val="22"/>
              </w:rPr>
              <w:t>6.5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178CE" w:rsidRPr="001033E5" w:rsidRDefault="002178CE" w:rsidP="002178CE">
            <w:pPr>
              <w:pStyle w:val="TableCenter"/>
              <w:spacing w:before="0" w:after="0"/>
              <w:rPr>
                <w:szCs w:val="22"/>
              </w:rPr>
            </w:pPr>
            <w:r>
              <w:rPr>
                <w:sz w:val="22"/>
                <w:szCs w:val="22"/>
              </w:rPr>
              <w:t>0.4</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1033E5" w:rsidRDefault="002178CE" w:rsidP="002178CE">
            <w:pPr>
              <w:pStyle w:val="TableCenter"/>
              <w:spacing w:before="0" w:after="0"/>
              <w:rPr>
                <w:szCs w:val="22"/>
              </w:rPr>
            </w:pPr>
            <w:r>
              <w:rPr>
                <w:sz w:val="22"/>
                <w:szCs w:val="22"/>
              </w:rPr>
              <w:t>1.5</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178CE" w:rsidRPr="001033E5" w:rsidRDefault="002178CE" w:rsidP="002178CE">
            <w:pPr>
              <w:pStyle w:val="TableCenter"/>
              <w:spacing w:before="0" w:after="0"/>
              <w:rPr>
                <w:szCs w:val="22"/>
              </w:rPr>
            </w:pPr>
            <w:r>
              <w:rPr>
                <w:sz w:val="22"/>
                <w:szCs w:val="22"/>
              </w:rPr>
              <w:t>0</w:t>
            </w:r>
          </w:p>
        </w:tc>
      </w:tr>
      <w:tr w:rsidR="002178CE" w:rsidRPr="001033E5" w:rsidTr="002178CE">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rsidR="002178CE" w:rsidRPr="00D23BCB" w:rsidDel="00B17EC9" w:rsidRDefault="002178CE" w:rsidP="002178CE">
            <w:pPr>
              <w:pStyle w:val="TableCenter"/>
              <w:spacing w:before="0" w:after="0"/>
              <w:ind w:left="360"/>
              <w:jc w:val="left"/>
              <w:rPr>
                <w:szCs w:val="22"/>
              </w:rPr>
            </w:pPr>
            <w:r>
              <w:rPr>
                <w:sz w:val="22"/>
                <w:szCs w:val="22"/>
              </w:rPr>
              <w:t>Hypercholesterolaemia</w:t>
            </w:r>
            <w:r>
              <w:rPr>
                <w:sz w:val="22"/>
                <w:szCs w:val="22"/>
                <w:vertAlign w:val="superscript"/>
              </w:rPr>
              <w:t>10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Del="00B17EC9" w:rsidRDefault="002178CE" w:rsidP="002178CE">
            <w:pPr>
              <w:pStyle w:val="TableCenter"/>
              <w:spacing w:before="0" w:after="0"/>
              <w:rPr>
                <w:szCs w:val="22"/>
              </w:rPr>
            </w:pPr>
            <w:r>
              <w:rPr>
                <w:sz w:val="22"/>
                <w:szCs w:val="22"/>
              </w:rPr>
              <w:t>5.0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178CE" w:rsidDel="00B17EC9" w:rsidRDefault="002178CE" w:rsidP="002178CE">
            <w:pPr>
              <w:pStyle w:val="TableCenter"/>
              <w:spacing w:before="0" w:after="0"/>
              <w:rPr>
                <w:szCs w:val="22"/>
              </w:rPr>
            </w:pPr>
            <w:r>
              <w:rPr>
                <w:sz w:val="22"/>
                <w:szCs w:val="22"/>
              </w:rPr>
              <w:t>0.4</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Del="00B17EC9" w:rsidRDefault="002178CE" w:rsidP="002178CE">
            <w:pPr>
              <w:pStyle w:val="TableCenter"/>
              <w:spacing w:before="0" w:after="0"/>
              <w:rPr>
                <w:szCs w:val="22"/>
              </w:rPr>
            </w:pPr>
            <w:r>
              <w:rPr>
                <w:sz w:val="22"/>
                <w:szCs w:val="22"/>
              </w:rPr>
              <w:t>0</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178CE" w:rsidDel="00B17EC9" w:rsidRDefault="002178CE" w:rsidP="002178CE">
            <w:pPr>
              <w:pStyle w:val="TableCenter"/>
              <w:spacing w:before="0" w:after="0"/>
              <w:rPr>
                <w:szCs w:val="22"/>
              </w:rPr>
            </w:pPr>
            <w:r>
              <w:rPr>
                <w:sz w:val="22"/>
                <w:szCs w:val="22"/>
              </w:rPr>
              <w:t>0</w:t>
            </w:r>
          </w:p>
        </w:tc>
      </w:tr>
      <w:tr w:rsidR="002178CE" w:rsidTr="002178CE">
        <w:trPr>
          <w:jc w:val="center"/>
        </w:trPr>
        <w:tc>
          <w:tcPr>
            <w:tcW w:w="9216" w:type="dxa"/>
            <w:gridSpan w:val="5"/>
            <w:tcBorders>
              <w:top w:val="single" w:sz="4" w:space="0" w:color="auto"/>
              <w:left w:val="single" w:sz="4" w:space="0" w:color="auto"/>
              <w:bottom w:val="single" w:sz="4" w:space="0" w:color="auto"/>
              <w:right w:val="single" w:sz="4" w:space="0" w:color="auto"/>
            </w:tcBorders>
            <w:shd w:val="clear" w:color="auto" w:fill="auto"/>
          </w:tcPr>
          <w:p w:rsidR="002178CE" w:rsidRPr="00971623" w:rsidRDefault="002178CE" w:rsidP="002178CE">
            <w:pPr>
              <w:pStyle w:val="TableCenter"/>
              <w:spacing w:before="0" w:after="0"/>
              <w:jc w:val="left"/>
              <w:rPr>
                <w:szCs w:val="22"/>
              </w:rPr>
            </w:pPr>
            <w:r w:rsidRPr="00971623">
              <w:rPr>
                <w:b/>
                <w:sz w:val="22"/>
                <w:szCs w:val="22"/>
              </w:rPr>
              <w:t>Musculoskeletal and Connective Tissue Disorders</w:t>
            </w:r>
          </w:p>
        </w:tc>
      </w:tr>
      <w:tr w:rsidR="002178CE" w:rsidTr="002178CE">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rsidR="002178CE" w:rsidRPr="00971623" w:rsidRDefault="002178CE" w:rsidP="002178CE">
            <w:pPr>
              <w:pStyle w:val="TableCenter"/>
              <w:spacing w:before="0" w:after="0"/>
              <w:ind w:left="360"/>
              <w:jc w:val="left"/>
              <w:rPr>
                <w:szCs w:val="22"/>
              </w:rPr>
            </w:pPr>
            <w:r w:rsidRPr="00971623">
              <w:rPr>
                <w:sz w:val="22"/>
                <w:szCs w:val="22"/>
              </w:rPr>
              <w:t>Arthralgia</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E213C4" w:rsidRDefault="002178CE" w:rsidP="002178CE">
            <w:pPr>
              <w:pStyle w:val="TableCenter"/>
              <w:spacing w:before="0" w:after="0"/>
              <w:rPr>
                <w:szCs w:val="22"/>
              </w:rPr>
            </w:pPr>
            <w:r w:rsidRPr="00E213C4">
              <w:rPr>
                <w:sz w:val="22"/>
                <w:szCs w:val="22"/>
              </w:rPr>
              <w:t>26.1</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178CE" w:rsidRPr="00E213C4" w:rsidRDefault="002178CE" w:rsidP="002178CE">
            <w:pPr>
              <w:pStyle w:val="TableCenter"/>
              <w:spacing w:before="0" w:after="0"/>
              <w:rPr>
                <w:szCs w:val="22"/>
              </w:rPr>
            </w:pPr>
            <w:r w:rsidRPr="00E213C4">
              <w:rPr>
                <w:sz w:val="22"/>
                <w:szCs w:val="22"/>
              </w:rPr>
              <w:t>0.4</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E213C4" w:rsidRDefault="002178CE" w:rsidP="002178CE">
            <w:pPr>
              <w:pStyle w:val="TableCenter"/>
              <w:spacing w:before="0" w:after="0"/>
              <w:rPr>
                <w:szCs w:val="22"/>
              </w:rPr>
            </w:pPr>
            <w:r w:rsidRPr="00E213C4">
              <w:rPr>
                <w:sz w:val="22"/>
                <w:szCs w:val="22"/>
              </w:rPr>
              <w:t>6.9</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178CE" w:rsidRPr="00E213C4" w:rsidRDefault="002178CE" w:rsidP="002178CE">
            <w:pPr>
              <w:pStyle w:val="TableCenter"/>
              <w:spacing w:before="0" w:after="0"/>
              <w:rPr>
                <w:szCs w:val="22"/>
              </w:rPr>
            </w:pPr>
            <w:r w:rsidRPr="00E213C4">
              <w:rPr>
                <w:sz w:val="22"/>
                <w:szCs w:val="22"/>
              </w:rPr>
              <w:t>0.8</w:t>
            </w:r>
          </w:p>
        </w:tc>
      </w:tr>
      <w:tr w:rsidR="002178CE" w:rsidTr="002178CE">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rsidR="002178CE" w:rsidRPr="00971623" w:rsidRDefault="002178CE" w:rsidP="002178CE">
            <w:pPr>
              <w:pStyle w:val="TableCenter"/>
              <w:spacing w:before="0" w:after="0"/>
              <w:ind w:left="360"/>
              <w:jc w:val="left"/>
              <w:rPr>
                <w:szCs w:val="22"/>
              </w:rPr>
            </w:pPr>
            <w:r w:rsidRPr="00971623">
              <w:rPr>
                <w:sz w:val="22"/>
                <w:szCs w:val="22"/>
              </w:rPr>
              <w:t>Myalgia</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E213C4" w:rsidRDefault="002178CE" w:rsidP="002178CE">
            <w:pPr>
              <w:pStyle w:val="TableCenter"/>
              <w:spacing w:before="0" w:after="0"/>
              <w:rPr>
                <w:szCs w:val="22"/>
              </w:rPr>
            </w:pPr>
            <w:r w:rsidRPr="00E213C4">
              <w:rPr>
                <w:sz w:val="22"/>
                <w:szCs w:val="22"/>
              </w:rPr>
              <w:t>19.2</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178CE" w:rsidRPr="00E213C4" w:rsidRDefault="002178CE" w:rsidP="002178CE">
            <w:pPr>
              <w:pStyle w:val="TableCenter"/>
              <w:spacing w:before="0" w:after="0"/>
              <w:rPr>
                <w:szCs w:val="22"/>
              </w:rPr>
            </w:pPr>
            <w:r w:rsidRPr="00E213C4">
              <w:rPr>
                <w:sz w:val="22"/>
                <w:szCs w:val="22"/>
              </w:rPr>
              <w:t>1.5</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E213C4" w:rsidRDefault="002178CE" w:rsidP="002178CE">
            <w:pPr>
              <w:pStyle w:val="TableCenter"/>
              <w:spacing w:before="0" w:after="0"/>
              <w:rPr>
                <w:szCs w:val="22"/>
              </w:rPr>
            </w:pPr>
            <w:r w:rsidRPr="00E213C4">
              <w:rPr>
                <w:sz w:val="22"/>
                <w:szCs w:val="22"/>
              </w:rPr>
              <w:t>4.6</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178CE" w:rsidRPr="00E213C4" w:rsidRDefault="002178CE" w:rsidP="002178CE">
            <w:pPr>
              <w:pStyle w:val="TableCenter"/>
              <w:spacing w:before="0" w:after="0"/>
              <w:rPr>
                <w:szCs w:val="22"/>
              </w:rPr>
            </w:pPr>
            <w:r w:rsidRPr="00E213C4">
              <w:rPr>
                <w:sz w:val="22"/>
                <w:szCs w:val="22"/>
              </w:rPr>
              <w:t>0</w:t>
            </w:r>
          </w:p>
        </w:tc>
      </w:tr>
      <w:tr w:rsidR="002178CE" w:rsidTr="002178CE">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rsidR="002178CE" w:rsidRPr="00971623" w:rsidRDefault="002178CE" w:rsidP="002178CE">
            <w:pPr>
              <w:pStyle w:val="TableCenter"/>
              <w:spacing w:before="0" w:after="0"/>
              <w:ind w:left="360"/>
              <w:jc w:val="left"/>
              <w:rPr>
                <w:szCs w:val="22"/>
              </w:rPr>
            </w:pPr>
            <w:r w:rsidRPr="00971623">
              <w:rPr>
                <w:sz w:val="22"/>
                <w:szCs w:val="22"/>
              </w:rPr>
              <w:t>Back pain</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E213C4" w:rsidRDefault="002178CE" w:rsidP="002178CE">
            <w:pPr>
              <w:pStyle w:val="TableCenter"/>
              <w:spacing w:before="0" w:after="0"/>
              <w:rPr>
                <w:szCs w:val="22"/>
              </w:rPr>
            </w:pPr>
            <w:r w:rsidRPr="00E213C4">
              <w:rPr>
                <w:sz w:val="22"/>
                <w:szCs w:val="22"/>
              </w:rPr>
              <w:t>17.6</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178CE" w:rsidRPr="00E213C4" w:rsidRDefault="002178CE" w:rsidP="002178CE">
            <w:pPr>
              <w:pStyle w:val="TableCenter"/>
              <w:spacing w:before="0" w:after="0"/>
              <w:rPr>
                <w:szCs w:val="22"/>
              </w:rPr>
            </w:pPr>
            <w:r w:rsidRPr="00E213C4">
              <w:rPr>
                <w:sz w:val="22"/>
                <w:szCs w:val="22"/>
              </w:rPr>
              <w:t>1.9</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E213C4" w:rsidRDefault="002178CE" w:rsidP="002178CE">
            <w:pPr>
              <w:pStyle w:val="TableCenter"/>
              <w:spacing w:before="0" w:after="0"/>
              <w:rPr>
                <w:szCs w:val="22"/>
              </w:rPr>
            </w:pPr>
            <w:r w:rsidRPr="00E213C4">
              <w:rPr>
                <w:sz w:val="22"/>
                <w:szCs w:val="22"/>
              </w:rPr>
              <w:t>9.2</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178CE" w:rsidRPr="00E213C4" w:rsidRDefault="002178CE" w:rsidP="002178CE">
            <w:pPr>
              <w:pStyle w:val="TableCenter"/>
              <w:spacing w:before="0" w:after="0"/>
              <w:rPr>
                <w:szCs w:val="22"/>
              </w:rPr>
            </w:pPr>
            <w:r w:rsidRPr="00E213C4">
              <w:rPr>
                <w:sz w:val="22"/>
                <w:szCs w:val="22"/>
              </w:rPr>
              <w:t>0</w:t>
            </w:r>
          </w:p>
        </w:tc>
      </w:tr>
      <w:tr w:rsidR="002178CE" w:rsidTr="002178CE">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rsidR="002178CE" w:rsidRPr="00971623" w:rsidRDefault="002178CE" w:rsidP="002178CE">
            <w:pPr>
              <w:pStyle w:val="TableCenter"/>
              <w:spacing w:before="0" w:after="0"/>
              <w:ind w:left="360"/>
              <w:jc w:val="left"/>
              <w:rPr>
                <w:szCs w:val="22"/>
              </w:rPr>
            </w:pPr>
            <w:r w:rsidRPr="00971623">
              <w:rPr>
                <w:sz w:val="22"/>
                <w:szCs w:val="22"/>
              </w:rPr>
              <w:t>Musculoskeletal pain</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E213C4" w:rsidRDefault="002178CE" w:rsidP="002178CE">
            <w:pPr>
              <w:pStyle w:val="TableCenter"/>
              <w:spacing w:before="0" w:after="0"/>
              <w:rPr>
                <w:szCs w:val="22"/>
              </w:rPr>
            </w:pPr>
            <w:r w:rsidRPr="00E213C4">
              <w:rPr>
                <w:sz w:val="22"/>
                <w:szCs w:val="22"/>
              </w:rPr>
              <w:t>16.1</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178CE" w:rsidRPr="00E213C4" w:rsidRDefault="002178CE" w:rsidP="002178CE">
            <w:pPr>
              <w:pStyle w:val="TableCenter"/>
              <w:spacing w:before="0" w:after="0"/>
              <w:rPr>
                <w:szCs w:val="22"/>
              </w:rPr>
            </w:pPr>
            <w:r w:rsidRPr="00E213C4">
              <w:rPr>
                <w:sz w:val="22"/>
                <w:szCs w:val="22"/>
              </w:rPr>
              <w:t>0.4</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E213C4" w:rsidRDefault="002178CE" w:rsidP="002178CE">
            <w:pPr>
              <w:pStyle w:val="TableCenter"/>
              <w:spacing w:before="0" w:after="0"/>
              <w:rPr>
                <w:szCs w:val="22"/>
              </w:rPr>
            </w:pPr>
            <w:r w:rsidRPr="00E213C4">
              <w:rPr>
                <w:sz w:val="22"/>
                <w:szCs w:val="22"/>
              </w:rPr>
              <w:t>8.4</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178CE" w:rsidRPr="00E213C4" w:rsidRDefault="002178CE" w:rsidP="002178CE">
            <w:pPr>
              <w:pStyle w:val="TableCenter"/>
              <w:spacing w:before="0" w:after="0"/>
              <w:rPr>
                <w:szCs w:val="22"/>
              </w:rPr>
            </w:pPr>
            <w:r w:rsidRPr="00E213C4">
              <w:rPr>
                <w:sz w:val="22"/>
                <w:szCs w:val="22"/>
              </w:rPr>
              <w:t>0.8</w:t>
            </w:r>
          </w:p>
        </w:tc>
      </w:tr>
      <w:tr w:rsidR="002178CE" w:rsidTr="002178CE">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rsidR="002178CE" w:rsidRPr="00971623" w:rsidRDefault="002178CE" w:rsidP="002178CE">
            <w:pPr>
              <w:pStyle w:val="TableCenter"/>
              <w:spacing w:before="0" w:after="0"/>
              <w:ind w:left="360"/>
              <w:jc w:val="left"/>
              <w:rPr>
                <w:szCs w:val="22"/>
              </w:rPr>
            </w:pPr>
            <w:r w:rsidRPr="00971623">
              <w:rPr>
                <w:sz w:val="22"/>
                <w:szCs w:val="22"/>
              </w:rPr>
              <w:t>Pain in extremity</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DD253F" w:rsidRDefault="002178CE" w:rsidP="002178CE">
            <w:pPr>
              <w:pStyle w:val="TableCenter"/>
              <w:spacing w:before="0" w:after="0"/>
              <w:rPr>
                <w:szCs w:val="22"/>
              </w:rPr>
            </w:pPr>
            <w:r w:rsidRPr="00DD253F">
              <w:rPr>
                <w:sz w:val="22"/>
                <w:szCs w:val="22"/>
              </w:rPr>
              <w:t>15.3</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178CE" w:rsidRPr="00DD253F" w:rsidRDefault="002178CE" w:rsidP="002178CE">
            <w:pPr>
              <w:pStyle w:val="TableCenter"/>
              <w:spacing w:before="0" w:after="0"/>
              <w:rPr>
                <w:szCs w:val="22"/>
              </w:rPr>
            </w:pPr>
            <w:r w:rsidRPr="00DD253F">
              <w:rPr>
                <w:sz w:val="22"/>
                <w:szCs w:val="22"/>
              </w:rPr>
              <w:t>1.1</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DD253F" w:rsidRDefault="002178CE" w:rsidP="002178CE">
            <w:pPr>
              <w:pStyle w:val="TableCenter"/>
              <w:spacing w:before="0" w:after="0"/>
              <w:rPr>
                <w:szCs w:val="22"/>
              </w:rPr>
            </w:pPr>
            <w:r w:rsidRPr="00DD253F">
              <w:rPr>
                <w:sz w:val="22"/>
                <w:szCs w:val="22"/>
              </w:rPr>
              <w:t>6.9</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178CE" w:rsidRPr="00DD253F" w:rsidRDefault="002178CE" w:rsidP="002178CE">
            <w:pPr>
              <w:pStyle w:val="TableCenter"/>
              <w:spacing w:before="0" w:after="0"/>
              <w:rPr>
                <w:szCs w:val="22"/>
              </w:rPr>
            </w:pPr>
            <w:r w:rsidRPr="00DD253F">
              <w:rPr>
                <w:sz w:val="22"/>
                <w:szCs w:val="22"/>
              </w:rPr>
              <w:t>1.5</w:t>
            </w:r>
          </w:p>
        </w:tc>
      </w:tr>
      <w:tr w:rsidR="002178CE" w:rsidTr="002178CE">
        <w:trPr>
          <w:jc w:val="center"/>
        </w:trPr>
        <w:tc>
          <w:tcPr>
            <w:tcW w:w="9216" w:type="dxa"/>
            <w:gridSpan w:val="5"/>
            <w:tcBorders>
              <w:top w:val="single" w:sz="4" w:space="0" w:color="auto"/>
              <w:left w:val="single" w:sz="4" w:space="0" w:color="auto"/>
              <w:bottom w:val="single" w:sz="4" w:space="0" w:color="auto"/>
              <w:right w:val="single" w:sz="4" w:space="0" w:color="auto"/>
            </w:tcBorders>
            <w:shd w:val="clear" w:color="auto" w:fill="auto"/>
          </w:tcPr>
          <w:p w:rsidR="002178CE" w:rsidRPr="00971623" w:rsidRDefault="002178CE" w:rsidP="002178CE">
            <w:pPr>
              <w:pStyle w:val="TableCenter"/>
              <w:spacing w:before="0" w:after="0"/>
              <w:jc w:val="left"/>
              <w:rPr>
                <w:szCs w:val="22"/>
              </w:rPr>
            </w:pPr>
            <w:r w:rsidRPr="00971623">
              <w:rPr>
                <w:b/>
                <w:sz w:val="22"/>
                <w:szCs w:val="22"/>
              </w:rPr>
              <w:t>Nervous System Disorders</w:t>
            </w:r>
          </w:p>
        </w:tc>
      </w:tr>
      <w:tr w:rsidR="002178CE" w:rsidRPr="00DD253F" w:rsidTr="002178CE">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rsidR="002178CE" w:rsidRPr="00971623" w:rsidRDefault="002178CE" w:rsidP="002178CE">
            <w:pPr>
              <w:pStyle w:val="TableCenter"/>
              <w:spacing w:before="0" w:after="0"/>
              <w:ind w:left="360"/>
              <w:jc w:val="left"/>
              <w:rPr>
                <w:szCs w:val="22"/>
              </w:rPr>
            </w:pPr>
            <w:r w:rsidRPr="00971623">
              <w:rPr>
                <w:sz w:val="22"/>
                <w:szCs w:val="22"/>
              </w:rPr>
              <w:t>Headache</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DD253F" w:rsidRDefault="002178CE" w:rsidP="002178CE">
            <w:pPr>
              <w:pStyle w:val="TableCenter"/>
              <w:spacing w:before="0" w:after="0"/>
              <w:rPr>
                <w:szCs w:val="22"/>
              </w:rPr>
            </w:pPr>
            <w:r w:rsidRPr="00DD253F">
              <w:rPr>
                <w:sz w:val="22"/>
                <w:szCs w:val="22"/>
              </w:rPr>
              <w:t>38.3</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178CE" w:rsidRDefault="002178CE" w:rsidP="002178CE">
            <w:pPr>
              <w:pStyle w:val="TableCenter"/>
              <w:spacing w:before="0" w:after="0"/>
              <w:rPr>
                <w:szCs w:val="22"/>
              </w:rPr>
            </w:pPr>
            <w:r w:rsidRPr="00DD253F">
              <w:rPr>
                <w:sz w:val="22"/>
                <w:szCs w:val="22"/>
              </w:rPr>
              <w:t>3.1</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DD253F" w:rsidRDefault="002178CE" w:rsidP="002178CE">
            <w:pPr>
              <w:pStyle w:val="TableCenter"/>
              <w:spacing w:before="0" w:after="0"/>
              <w:rPr>
                <w:szCs w:val="22"/>
              </w:rPr>
            </w:pPr>
            <w:r w:rsidRPr="00DD253F">
              <w:rPr>
                <w:sz w:val="22"/>
                <w:szCs w:val="22"/>
              </w:rPr>
              <w:t>11.5</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178CE" w:rsidRPr="00DD253F" w:rsidRDefault="002178CE" w:rsidP="002178CE">
            <w:pPr>
              <w:pStyle w:val="TableCenter"/>
              <w:spacing w:before="0" w:after="0"/>
              <w:rPr>
                <w:szCs w:val="22"/>
              </w:rPr>
            </w:pPr>
            <w:r w:rsidRPr="00DD253F">
              <w:rPr>
                <w:sz w:val="22"/>
                <w:szCs w:val="22"/>
              </w:rPr>
              <w:t>0.8</w:t>
            </w:r>
          </w:p>
        </w:tc>
      </w:tr>
      <w:tr w:rsidR="002178CE" w:rsidRPr="00DD253F" w:rsidTr="002178CE">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rsidR="002178CE" w:rsidRPr="00971623" w:rsidRDefault="002178CE" w:rsidP="002178CE">
            <w:pPr>
              <w:pStyle w:val="TableCenter"/>
              <w:spacing w:before="0" w:after="0"/>
              <w:ind w:left="360"/>
              <w:jc w:val="left"/>
              <w:rPr>
                <w:szCs w:val="22"/>
              </w:rPr>
            </w:pPr>
            <w:r w:rsidRPr="00971623">
              <w:rPr>
                <w:sz w:val="22"/>
                <w:szCs w:val="22"/>
              </w:rPr>
              <w:t>Dysgeusia</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DD253F" w:rsidRDefault="002178CE" w:rsidP="002178CE">
            <w:pPr>
              <w:pStyle w:val="TableCenter"/>
              <w:spacing w:before="0" w:after="0"/>
              <w:rPr>
                <w:szCs w:val="22"/>
              </w:rPr>
            </w:pPr>
            <w:r w:rsidRPr="00DD253F">
              <w:rPr>
                <w:sz w:val="22"/>
                <w:szCs w:val="22"/>
              </w:rPr>
              <w:t>18.0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178CE" w:rsidRDefault="002178CE" w:rsidP="002178CE">
            <w:pPr>
              <w:pStyle w:val="TableCenter"/>
              <w:spacing w:before="0" w:after="0"/>
              <w:rPr>
                <w:szCs w:val="22"/>
              </w:rPr>
            </w:pPr>
            <w:r w:rsidRPr="00DD253F">
              <w:rPr>
                <w:sz w:val="22"/>
                <w:szCs w:val="22"/>
              </w:rPr>
              <w:t>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DD253F" w:rsidRDefault="002178CE" w:rsidP="002178CE">
            <w:pPr>
              <w:pStyle w:val="TableCenter"/>
              <w:spacing w:before="0" w:after="0"/>
              <w:rPr>
                <w:szCs w:val="22"/>
              </w:rPr>
            </w:pPr>
            <w:r w:rsidRPr="00DD253F">
              <w:rPr>
                <w:sz w:val="22"/>
                <w:szCs w:val="22"/>
              </w:rPr>
              <w:t>3.1</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178CE" w:rsidRPr="00DD253F" w:rsidRDefault="002178CE" w:rsidP="002178CE">
            <w:pPr>
              <w:pStyle w:val="TableCenter"/>
              <w:spacing w:before="0" w:after="0"/>
              <w:rPr>
                <w:szCs w:val="22"/>
              </w:rPr>
            </w:pPr>
            <w:r w:rsidRPr="00DD253F">
              <w:rPr>
                <w:sz w:val="22"/>
                <w:szCs w:val="22"/>
              </w:rPr>
              <w:t>0</w:t>
            </w:r>
          </w:p>
        </w:tc>
      </w:tr>
      <w:tr w:rsidR="002178CE" w:rsidRPr="00DD253F" w:rsidTr="002178CE">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rsidR="002178CE" w:rsidRPr="00971623" w:rsidRDefault="002178CE" w:rsidP="002178CE">
            <w:pPr>
              <w:pStyle w:val="TableCenter"/>
              <w:spacing w:before="0" w:after="0"/>
              <w:ind w:left="360"/>
              <w:jc w:val="left"/>
              <w:rPr>
                <w:szCs w:val="22"/>
              </w:rPr>
            </w:pPr>
            <w:r w:rsidRPr="00971623">
              <w:rPr>
                <w:sz w:val="22"/>
                <w:szCs w:val="22"/>
              </w:rPr>
              <w:t>Dizziness</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DD253F" w:rsidRDefault="002178CE" w:rsidP="002178CE">
            <w:pPr>
              <w:pStyle w:val="TableCenter"/>
              <w:spacing w:before="0" w:after="0"/>
              <w:rPr>
                <w:szCs w:val="22"/>
              </w:rPr>
            </w:pPr>
            <w:r w:rsidRPr="00DD253F">
              <w:rPr>
                <w:sz w:val="22"/>
                <w:szCs w:val="22"/>
              </w:rPr>
              <w:t>15.3</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178CE" w:rsidRPr="00DD253F" w:rsidRDefault="002178CE" w:rsidP="002178CE">
            <w:pPr>
              <w:pStyle w:val="TableCenter"/>
              <w:spacing w:before="0" w:after="0"/>
              <w:rPr>
                <w:szCs w:val="22"/>
              </w:rPr>
            </w:pPr>
            <w:r w:rsidRPr="00DD253F">
              <w:rPr>
                <w:sz w:val="22"/>
                <w:szCs w:val="22"/>
              </w:rPr>
              <w:t>0.4</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DD253F" w:rsidRDefault="002178CE" w:rsidP="002178CE">
            <w:pPr>
              <w:pStyle w:val="TableCenter"/>
              <w:spacing w:before="0" w:after="0"/>
              <w:rPr>
                <w:szCs w:val="22"/>
              </w:rPr>
            </w:pPr>
            <w:r w:rsidRPr="00DD253F">
              <w:rPr>
                <w:sz w:val="22"/>
                <w:szCs w:val="22"/>
              </w:rPr>
              <w:t>9.2</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178CE" w:rsidRPr="00DD253F" w:rsidRDefault="002178CE" w:rsidP="002178CE">
            <w:pPr>
              <w:pStyle w:val="TableCenter"/>
              <w:spacing w:before="0" w:after="0"/>
              <w:rPr>
                <w:szCs w:val="22"/>
              </w:rPr>
            </w:pPr>
            <w:r w:rsidRPr="00DD253F">
              <w:rPr>
                <w:sz w:val="22"/>
                <w:szCs w:val="22"/>
              </w:rPr>
              <w:t>0</w:t>
            </w:r>
          </w:p>
        </w:tc>
      </w:tr>
      <w:tr w:rsidR="002178CE" w:rsidRPr="00DD253F" w:rsidTr="002178CE">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rsidR="002178CE" w:rsidRPr="00971623" w:rsidRDefault="002178CE" w:rsidP="002178CE">
            <w:pPr>
              <w:pStyle w:val="TableCenter"/>
              <w:spacing w:before="0" w:after="0"/>
              <w:ind w:left="360"/>
              <w:jc w:val="left"/>
              <w:rPr>
                <w:szCs w:val="22"/>
              </w:rPr>
            </w:pPr>
            <w:r w:rsidRPr="00971623">
              <w:rPr>
                <w:sz w:val="22"/>
                <w:szCs w:val="22"/>
              </w:rPr>
              <w:t>Monoparesis</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DD253F" w:rsidRDefault="002178CE" w:rsidP="002178CE">
            <w:pPr>
              <w:pStyle w:val="TableCenter"/>
              <w:spacing w:before="0" w:after="0"/>
              <w:rPr>
                <w:szCs w:val="22"/>
              </w:rPr>
            </w:pPr>
            <w:r w:rsidRPr="00DD253F">
              <w:rPr>
                <w:sz w:val="22"/>
                <w:szCs w:val="22"/>
              </w:rPr>
              <w:t>1.1</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178CE" w:rsidRPr="00DD253F" w:rsidRDefault="002178CE" w:rsidP="002178CE">
            <w:pPr>
              <w:pStyle w:val="TableCenter"/>
              <w:spacing w:before="0" w:after="0"/>
              <w:rPr>
                <w:szCs w:val="22"/>
              </w:rPr>
            </w:pPr>
            <w:r w:rsidRPr="00DD253F">
              <w:rPr>
                <w:sz w:val="22"/>
                <w:szCs w:val="22"/>
              </w:rPr>
              <w:t>0.8</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DD253F" w:rsidRDefault="002178CE" w:rsidP="002178CE">
            <w:pPr>
              <w:pStyle w:val="TableCenter"/>
              <w:spacing w:before="0" w:after="0"/>
              <w:rPr>
                <w:szCs w:val="22"/>
              </w:rPr>
            </w:pPr>
            <w:r w:rsidRPr="00DD253F">
              <w:rPr>
                <w:sz w:val="22"/>
                <w:szCs w:val="22"/>
              </w:rPr>
              <w:t>0</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178CE" w:rsidRPr="00DD253F" w:rsidRDefault="002178CE" w:rsidP="002178CE">
            <w:pPr>
              <w:pStyle w:val="TableCenter"/>
              <w:spacing w:before="0" w:after="0"/>
              <w:rPr>
                <w:szCs w:val="22"/>
              </w:rPr>
            </w:pPr>
            <w:r w:rsidRPr="00DD253F">
              <w:rPr>
                <w:sz w:val="22"/>
                <w:szCs w:val="22"/>
              </w:rPr>
              <w:t>0</w:t>
            </w:r>
          </w:p>
        </w:tc>
      </w:tr>
      <w:tr w:rsidR="002178CE" w:rsidRPr="00DD253F" w:rsidTr="002178CE">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rsidR="002178CE" w:rsidRPr="00971623" w:rsidRDefault="002178CE" w:rsidP="002178CE">
            <w:pPr>
              <w:pStyle w:val="TableCenter"/>
              <w:spacing w:before="0" w:after="0"/>
              <w:ind w:left="360"/>
              <w:jc w:val="left"/>
              <w:rPr>
                <w:szCs w:val="22"/>
              </w:rPr>
            </w:pPr>
            <w:r w:rsidRPr="00971623">
              <w:rPr>
                <w:sz w:val="22"/>
                <w:szCs w:val="22"/>
              </w:rPr>
              <w:t>Cerebrovascular accident</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DD253F" w:rsidRDefault="002178CE" w:rsidP="002178CE">
            <w:pPr>
              <w:pStyle w:val="TableCenter"/>
              <w:spacing w:before="0" w:after="0"/>
              <w:rPr>
                <w:szCs w:val="22"/>
              </w:rPr>
            </w:pPr>
            <w:r w:rsidRPr="00DD253F">
              <w:rPr>
                <w:sz w:val="22"/>
                <w:szCs w:val="22"/>
              </w:rPr>
              <w:t>0.8</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178CE" w:rsidRPr="00DD253F" w:rsidRDefault="002178CE" w:rsidP="002178CE">
            <w:pPr>
              <w:pStyle w:val="TableCenter"/>
              <w:spacing w:before="0" w:after="0"/>
              <w:rPr>
                <w:szCs w:val="22"/>
              </w:rPr>
            </w:pPr>
            <w:r>
              <w:rPr>
                <w:sz w:val="22"/>
                <w:szCs w:val="22"/>
              </w:rPr>
              <w:t>0</w:t>
            </w:r>
            <w:r w:rsidRPr="00DD253F">
              <w:rPr>
                <w:sz w:val="22"/>
                <w:szCs w:val="22"/>
              </w:rPr>
              <w:t>.4</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DD253F" w:rsidRDefault="002178CE" w:rsidP="002178CE">
            <w:pPr>
              <w:pStyle w:val="TableCenter"/>
              <w:spacing w:before="0" w:after="0"/>
              <w:rPr>
                <w:szCs w:val="22"/>
              </w:rPr>
            </w:pPr>
            <w:r w:rsidRPr="00DD253F">
              <w:rPr>
                <w:sz w:val="22"/>
                <w:szCs w:val="22"/>
              </w:rPr>
              <w:t>0</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178CE" w:rsidRPr="00DD253F" w:rsidRDefault="002178CE" w:rsidP="002178CE">
            <w:pPr>
              <w:pStyle w:val="TableCenter"/>
              <w:spacing w:before="0" w:after="0"/>
              <w:rPr>
                <w:szCs w:val="22"/>
              </w:rPr>
            </w:pPr>
            <w:r w:rsidRPr="00DD253F">
              <w:rPr>
                <w:sz w:val="22"/>
                <w:szCs w:val="22"/>
              </w:rPr>
              <w:t>0</w:t>
            </w:r>
          </w:p>
        </w:tc>
      </w:tr>
      <w:tr w:rsidR="002178CE" w:rsidRPr="00DD253F" w:rsidTr="002178CE">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rsidR="002178CE" w:rsidRPr="00971623" w:rsidRDefault="002178CE" w:rsidP="002178CE">
            <w:pPr>
              <w:pStyle w:val="TableCenter"/>
              <w:spacing w:before="0" w:after="0"/>
              <w:ind w:left="360"/>
              <w:jc w:val="left"/>
              <w:rPr>
                <w:szCs w:val="22"/>
              </w:rPr>
            </w:pPr>
            <w:r w:rsidRPr="00971623">
              <w:rPr>
                <w:sz w:val="22"/>
                <w:szCs w:val="22"/>
              </w:rPr>
              <w:t>Transient ischemic attack</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C87AA9" w:rsidRDefault="002178CE" w:rsidP="002178CE">
            <w:pPr>
              <w:pStyle w:val="TableCenter"/>
              <w:spacing w:before="0" w:after="0"/>
              <w:rPr>
                <w:szCs w:val="22"/>
              </w:rPr>
            </w:pPr>
            <w:r w:rsidRPr="00C87AA9">
              <w:rPr>
                <w:sz w:val="22"/>
                <w:szCs w:val="22"/>
              </w:rPr>
              <w:t>0.8</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178CE" w:rsidRPr="00C87AA9" w:rsidRDefault="002178CE" w:rsidP="002178CE">
            <w:pPr>
              <w:pStyle w:val="TableCenter"/>
              <w:spacing w:before="0" w:after="0"/>
              <w:rPr>
                <w:szCs w:val="22"/>
              </w:rPr>
            </w:pPr>
            <w:r w:rsidRPr="00C87AA9">
              <w:rPr>
                <w:sz w:val="22"/>
                <w:szCs w:val="22"/>
              </w:rPr>
              <w:t>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C87AA9" w:rsidRDefault="002178CE" w:rsidP="002178CE">
            <w:pPr>
              <w:pStyle w:val="TableCenter"/>
              <w:spacing w:before="0" w:after="0"/>
              <w:rPr>
                <w:szCs w:val="22"/>
              </w:rPr>
            </w:pPr>
            <w:r w:rsidRPr="00C87AA9">
              <w:rPr>
                <w:sz w:val="22"/>
                <w:szCs w:val="22"/>
              </w:rPr>
              <w:t>0</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178CE" w:rsidRPr="00C87AA9" w:rsidRDefault="002178CE" w:rsidP="002178CE">
            <w:pPr>
              <w:pStyle w:val="TableCenter"/>
              <w:spacing w:before="0" w:after="0"/>
              <w:rPr>
                <w:szCs w:val="22"/>
              </w:rPr>
            </w:pPr>
            <w:r w:rsidRPr="00C87AA9">
              <w:rPr>
                <w:sz w:val="22"/>
                <w:szCs w:val="22"/>
              </w:rPr>
              <w:t>0</w:t>
            </w:r>
          </w:p>
        </w:tc>
      </w:tr>
      <w:tr w:rsidR="002178CE" w:rsidRPr="00DD253F" w:rsidTr="002178CE">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rsidR="002178CE" w:rsidRPr="00971623" w:rsidRDefault="002178CE" w:rsidP="002178CE">
            <w:pPr>
              <w:pStyle w:val="TableCenter"/>
              <w:spacing w:before="0" w:after="0"/>
              <w:ind w:left="360"/>
              <w:jc w:val="left"/>
              <w:rPr>
                <w:szCs w:val="22"/>
              </w:rPr>
            </w:pPr>
            <w:r>
              <w:rPr>
                <w:sz w:val="22"/>
                <w:szCs w:val="22"/>
              </w:rPr>
              <w:t>R</w:t>
            </w:r>
            <w:r w:rsidRPr="000305C9">
              <w:rPr>
                <w:sz w:val="22"/>
                <w:szCs w:val="22"/>
              </w:rPr>
              <w:t>eversible posterior leukoencephalopathy syndrome</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C87AA9" w:rsidRDefault="002178CE" w:rsidP="002178CE">
            <w:pPr>
              <w:pStyle w:val="TableCenter"/>
              <w:spacing w:before="0" w:after="0"/>
              <w:rPr>
                <w:szCs w:val="22"/>
              </w:rPr>
            </w:pPr>
            <w:r w:rsidRPr="00DD253F">
              <w:rPr>
                <w:sz w:val="22"/>
                <w:szCs w:val="22"/>
              </w:rPr>
              <w:t>0.4</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178CE" w:rsidRPr="00C87AA9" w:rsidRDefault="002178CE" w:rsidP="002178CE">
            <w:pPr>
              <w:pStyle w:val="TableCenter"/>
              <w:spacing w:before="0" w:after="0"/>
              <w:rPr>
                <w:szCs w:val="22"/>
              </w:rPr>
            </w:pPr>
            <w:r w:rsidRPr="00DD253F">
              <w:rPr>
                <w:sz w:val="22"/>
                <w:szCs w:val="22"/>
              </w:rPr>
              <w:t>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C87AA9" w:rsidRDefault="002178CE" w:rsidP="002178CE">
            <w:pPr>
              <w:pStyle w:val="TableCenter"/>
              <w:spacing w:before="0" w:after="0"/>
              <w:rPr>
                <w:szCs w:val="22"/>
              </w:rPr>
            </w:pPr>
            <w:r w:rsidRPr="00DD253F">
              <w:rPr>
                <w:sz w:val="22"/>
                <w:szCs w:val="22"/>
              </w:rPr>
              <w:t>0</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178CE" w:rsidRPr="00C87AA9" w:rsidRDefault="002178CE" w:rsidP="002178CE">
            <w:pPr>
              <w:pStyle w:val="TableCenter"/>
              <w:spacing w:before="0" w:after="0"/>
              <w:rPr>
                <w:szCs w:val="22"/>
              </w:rPr>
            </w:pPr>
            <w:r w:rsidRPr="00DD253F">
              <w:rPr>
                <w:sz w:val="22"/>
                <w:szCs w:val="22"/>
              </w:rPr>
              <w:t>0</w:t>
            </w:r>
          </w:p>
        </w:tc>
      </w:tr>
      <w:tr w:rsidR="002178CE" w:rsidTr="002178CE">
        <w:trPr>
          <w:jc w:val="center"/>
        </w:trPr>
        <w:tc>
          <w:tcPr>
            <w:tcW w:w="9216" w:type="dxa"/>
            <w:gridSpan w:val="5"/>
            <w:tcBorders>
              <w:top w:val="single" w:sz="4" w:space="0" w:color="auto"/>
              <w:left w:val="single" w:sz="4" w:space="0" w:color="auto"/>
              <w:bottom w:val="single" w:sz="4" w:space="0" w:color="auto"/>
              <w:right w:val="single" w:sz="4" w:space="0" w:color="auto"/>
            </w:tcBorders>
            <w:shd w:val="clear" w:color="auto" w:fill="auto"/>
          </w:tcPr>
          <w:p w:rsidR="002178CE" w:rsidRPr="00971623" w:rsidRDefault="002178CE" w:rsidP="002178CE">
            <w:pPr>
              <w:pStyle w:val="TableCenter"/>
              <w:spacing w:before="0" w:after="0"/>
              <w:jc w:val="left"/>
              <w:rPr>
                <w:szCs w:val="22"/>
              </w:rPr>
            </w:pPr>
            <w:r w:rsidRPr="00971623">
              <w:rPr>
                <w:b/>
                <w:sz w:val="22"/>
                <w:szCs w:val="22"/>
              </w:rPr>
              <w:t>Psychiatric Disorders</w:t>
            </w:r>
          </w:p>
        </w:tc>
      </w:tr>
      <w:tr w:rsidR="002178CE" w:rsidTr="002178CE">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rsidR="002178CE" w:rsidRPr="00971623" w:rsidRDefault="002178CE" w:rsidP="002178CE">
            <w:pPr>
              <w:pStyle w:val="TableCenter"/>
              <w:spacing w:before="0" w:after="0"/>
              <w:ind w:left="360"/>
              <w:jc w:val="left"/>
              <w:rPr>
                <w:szCs w:val="22"/>
              </w:rPr>
            </w:pPr>
            <w:r w:rsidRPr="00971623">
              <w:rPr>
                <w:sz w:val="22"/>
                <w:szCs w:val="22"/>
              </w:rPr>
              <w:t>Insomnia</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C87AA9" w:rsidRDefault="002178CE" w:rsidP="002178CE">
            <w:pPr>
              <w:pStyle w:val="TableCenter"/>
              <w:spacing w:before="0" w:after="0"/>
              <w:rPr>
                <w:szCs w:val="22"/>
              </w:rPr>
            </w:pPr>
            <w:r w:rsidRPr="00C87AA9">
              <w:rPr>
                <w:sz w:val="22"/>
                <w:szCs w:val="22"/>
              </w:rPr>
              <w:t>11.9</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178CE" w:rsidRPr="00C87AA9" w:rsidRDefault="002178CE" w:rsidP="002178CE">
            <w:pPr>
              <w:pStyle w:val="TableCenter"/>
              <w:spacing w:before="0" w:after="0"/>
              <w:rPr>
                <w:szCs w:val="22"/>
              </w:rPr>
            </w:pPr>
            <w:r w:rsidRPr="00C87AA9">
              <w:rPr>
                <w:sz w:val="22"/>
                <w:szCs w:val="22"/>
              </w:rPr>
              <w:t>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C87AA9" w:rsidRDefault="002178CE" w:rsidP="002178CE">
            <w:pPr>
              <w:pStyle w:val="TableCenter"/>
              <w:spacing w:before="0" w:after="0"/>
              <w:rPr>
                <w:szCs w:val="22"/>
              </w:rPr>
            </w:pPr>
            <w:r w:rsidRPr="00C87AA9">
              <w:rPr>
                <w:sz w:val="22"/>
                <w:szCs w:val="22"/>
              </w:rPr>
              <w:t>3.1</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178CE" w:rsidRPr="00C87AA9" w:rsidRDefault="002178CE" w:rsidP="002178CE">
            <w:pPr>
              <w:pStyle w:val="TableCenter"/>
              <w:spacing w:before="0" w:after="0"/>
              <w:rPr>
                <w:szCs w:val="22"/>
              </w:rPr>
            </w:pPr>
            <w:r w:rsidRPr="00C87AA9">
              <w:rPr>
                <w:sz w:val="22"/>
                <w:szCs w:val="22"/>
              </w:rPr>
              <w:t>0</w:t>
            </w:r>
          </w:p>
        </w:tc>
      </w:tr>
      <w:tr w:rsidR="002178CE" w:rsidTr="002178CE">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rsidR="002178CE" w:rsidRPr="00971623" w:rsidRDefault="002178CE" w:rsidP="002178CE">
            <w:pPr>
              <w:pStyle w:val="TableCenter"/>
              <w:spacing w:before="0" w:after="0"/>
              <w:jc w:val="left"/>
              <w:rPr>
                <w:b/>
                <w:szCs w:val="22"/>
              </w:rPr>
            </w:pPr>
            <w:r w:rsidRPr="00971623">
              <w:rPr>
                <w:b/>
                <w:sz w:val="22"/>
                <w:szCs w:val="22"/>
              </w:rPr>
              <w:t>Renal and Urinary Disorders</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C87AA9" w:rsidRDefault="002178CE" w:rsidP="002178CE">
            <w:pPr>
              <w:pStyle w:val="TableCenter"/>
              <w:spacing w:before="0" w:after="0"/>
              <w:rPr>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178CE" w:rsidRPr="00C87AA9" w:rsidRDefault="002178CE" w:rsidP="002178CE">
            <w:pPr>
              <w:pStyle w:val="TableCenter"/>
              <w:spacing w:before="0" w:after="0"/>
              <w:rPr>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C87AA9" w:rsidRDefault="002178CE" w:rsidP="002178CE">
            <w:pPr>
              <w:pStyle w:val="TableCenter"/>
              <w:spacing w:before="0" w:after="0"/>
              <w:rPr>
                <w:szCs w:val="22"/>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178CE" w:rsidRPr="00C87AA9" w:rsidRDefault="002178CE" w:rsidP="002178CE">
            <w:pPr>
              <w:pStyle w:val="TableCenter"/>
              <w:spacing w:before="0" w:after="0"/>
              <w:rPr>
                <w:szCs w:val="22"/>
              </w:rPr>
            </w:pPr>
          </w:p>
        </w:tc>
      </w:tr>
      <w:tr w:rsidR="002178CE" w:rsidTr="002178CE">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rsidR="002178CE" w:rsidRPr="00971623" w:rsidRDefault="002178CE" w:rsidP="002178CE">
            <w:pPr>
              <w:pStyle w:val="TableCenter"/>
              <w:spacing w:before="0" w:after="0"/>
              <w:ind w:left="360"/>
              <w:jc w:val="left"/>
              <w:rPr>
                <w:szCs w:val="22"/>
              </w:rPr>
            </w:pPr>
            <w:r w:rsidRPr="00971623">
              <w:rPr>
                <w:sz w:val="22"/>
                <w:szCs w:val="22"/>
              </w:rPr>
              <w:t>Proteinuria</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C87AA9" w:rsidRDefault="002178CE" w:rsidP="002178CE">
            <w:pPr>
              <w:pStyle w:val="TableCenter"/>
              <w:spacing w:before="0" w:after="0"/>
              <w:rPr>
                <w:szCs w:val="22"/>
              </w:rPr>
            </w:pPr>
            <w:r w:rsidRPr="00C87AA9">
              <w:rPr>
                <w:sz w:val="22"/>
                <w:szCs w:val="22"/>
              </w:rPr>
              <w:t>33.7</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178CE" w:rsidRPr="00C87AA9" w:rsidRDefault="002178CE" w:rsidP="002178CE">
            <w:pPr>
              <w:pStyle w:val="TableCenter"/>
              <w:spacing w:before="0" w:after="0"/>
              <w:rPr>
                <w:szCs w:val="22"/>
              </w:rPr>
            </w:pPr>
            <w:r w:rsidRPr="00C87AA9">
              <w:rPr>
                <w:sz w:val="22"/>
                <w:szCs w:val="22"/>
              </w:rPr>
              <w:t>10.7</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C87AA9" w:rsidRDefault="002178CE" w:rsidP="002178CE">
            <w:pPr>
              <w:pStyle w:val="TableCenter"/>
              <w:spacing w:before="0" w:after="0"/>
              <w:rPr>
                <w:szCs w:val="22"/>
              </w:rPr>
            </w:pPr>
            <w:r w:rsidRPr="00C87AA9">
              <w:rPr>
                <w:sz w:val="22"/>
                <w:szCs w:val="22"/>
              </w:rPr>
              <w:t>3.1</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178CE" w:rsidRPr="00C87AA9" w:rsidRDefault="002178CE" w:rsidP="002178CE">
            <w:pPr>
              <w:pStyle w:val="TableCenter"/>
              <w:spacing w:before="0" w:after="0"/>
              <w:rPr>
                <w:szCs w:val="22"/>
              </w:rPr>
            </w:pPr>
            <w:r w:rsidRPr="00C87AA9">
              <w:rPr>
                <w:sz w:val="22"/>
                <w:szCs w:val="22"/>
              </w:rPr>
              <w:t>0</w:t>
            </w:r>
          </w:p>
        </w:tc>
      </w:tr>
      <w:tr w:rsidR="002178CE" w:rsidTr="002178CE">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rsidR="002178CE" w:rsidRPr="00971623" w:rsidRDefault="002178CE" w:rsidP="002178CE">
            <w:pPr>
              <w:pStyle w:val="TableCenter"/>
              <w:spacing w:before="0" w:after="0"/>
              <w:ind w:left="360"/>
              <w:jc w:val="left"/>
              <w:rPr>
                <w:szCs w:val="22"/>
              </w:rPr>
            </w:pPr>
            <w:r w:rsidRPr="00971623">
              <w:rPr>
                <w:sz w:val="22"/>
                <w:szCs w:val="22"/>
              </w:rPr>
              <w:t>Renal failure events</w:t>
            </w:r>
            <w:r>
              <w:rPr>
                <w:sz w:val="22"/>
                <w:szCs w:val="22"/>
                <w:vertAlign w:val="superscript"/>
              </w:rPr>
              <w:t>4,11</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C87AA9" w:rsidRDefault="002178CE" w:rsidP="002178CE">
            <w:pPr>
              <w:pStyle w:val="TableCenter"/>
              <w:spacing w:before="0" w:after="0"/>
              <w:rPr>
                <w:szCs w:val="22"/>
              </w:rPr>
            </w:pPr>
            <w:r>
              <w:rPr>
                <w:sz w:val="22"/>
                <w:szCs w:val="22"/>
              </w:rPr>
              <w:t>5.0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178CE" w:rsidRPr="00C87AA9" w:rsidRDefault="002178CE" w:rsidP="002178CE">
            <w:pPr>
              <w:pStyle w:val="TableCenter"/>
              <w:spacing w:before="0" w:after="0"/>
              <w:rPr>
                <w:szCs w:val="22"/>
              </w:rPr>
            </w:pPr>
            <w:r>
              <w:rPr>
                <w:sz w:val="22"/>
                <w:szCs w:val="22"/>
              </w:rPr>
              <w:t>2.7</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C87AA9" w:rsidRDefault="002178CE" w:rsidP="002178CE">
            <w:pPr>
              <w:pStyle w:val="TableCenter"/>
              <w:spacing w:before="0" w:after="0"/>
              <w:rPr>
                <w:szCs w:val="22"/>
              </w:rPr>
            </w:pPr>
            <w:r>
              <w:rPr>
                <w:sz w:val="22"/>
                <w:szCs w:val="22"/>
              </w:rPr>
              <w:t>0.8</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178CE" w:rsidRPr="00C87AA9" w:rsidRDefault="002178CE" w:rsidP="002178CE">
            <w:pPr>
              <w:pStyle w:val="TableCenter"/>
              <w:spacing w:before="0" w:after="0"/>
              <w:rPr>
                <w:szCs w:val="22"/>
              </w:rPr>
            </w:pPr>
            <w:r>
              <w:rPr>
                <w:sz w:val="22"/>
                <w:szCs w:val="22"/>
              </w:rPr>
              <w:t>0.8</w:t>
            </w:r>
          </w:p>
        </w:tc>
      </w:tr>
      <w:tr w:rsidR="002178CE" w:rsidTr="002178CE">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rsidR="002178CE" w:rsidRPr="00971623" w:rsidRDefault="002178CE" w:rsidP="002178CE">
            <w:pPr>
              <w:pStyle w:val="TableCenter"/>
              <w:spacing w:before="0" w:after="0"/>
              <w:ind w:left="360"/>
              <w:jc w:val="left"/>
              <w:rPr>
                <w:szCs w:val="22"/>
              </w:rPr>
            </w:pPr>
            <w:r w:rsidRPr="00971623">
              <w:rPr>
                <w:sz w:val="22"/>
                <w:szCs w:val="22"/>
              </w:rPr>
              <w:t>Renal impairment</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C87AA9" w:rsidRDefault="002178CE" w:rsidP="002178CE">
            <w:pPr>
              <w:pStyle w:val="TableCenter"/>
              <w:spacing w:before="0" w:after="0"/>
              <w:rPr>
                <w:szCs w:val="22"/>
              </w:rPr>
            </w:pPr>
            <w:r>
              <w:rPr>
                <w:sz w:val="22"/>
                <w:szCs w:val="22"/>
              </w:rPr>
              <w:t>1.9</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178CE" w:rsidRPr="00C87AA9" w:rsidRDefault="002178CE" w:rsidP="002178CE">
            <w:pPr>
              <w:pStyle w:val="TableCenter"/>
              <w:spacing w:before="0" w:after="0"/>
              <w:rPr>
                <w:szCs w:val="22"/>
              </w:rPr>
            </w:pPr>
            <w:r>
              <w:rPr>
                <w:sz w:val="22"/>
                <w:szCs w:val="22"/>
              </w:rPr>
              <w:t>0.4</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C87AA9" w:rsidRDefault="002178CE" w:rsidP="002178CE">
            <w:pPr>
              <w:pStyle w:val="TableCenter"/>
              <w:spacing w:before="0" w:after="0"/>
              <w:rPr>
                <w:szCs w:val="22"/>
              </w:rPr>
            </w:pPr>
            <w:r>
              <w:rPr>
                <w:sz w:val="22"/>
                <w:szCs w:val="22"/>
              </w:rPr>
              <w:t>0</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178CE" w:rsidRPr="00C87AA9" w:rsidRDefault="002178CE" w:rsidP="002178CE">
            <w:pPr>
              <w:pStyle w:val="TableCenter"/>
              <w:spacing w:before="0" w:after="0"/>
              <w:rPr>
                <w:szCs w:val="22"/>
              </w:rPr>
            </w:pPr>
            <w:r>
              <w:rPr>
                <w:sz w:val="22"/>
                <w:szCs w:val="22"/>
              </w:rPr>
              <w:t>0</w:t>
            </w:r>
          </w:p>
        </w:tc>
      </w:tr>
      <w:tr w:rsidR="002178CE" w:rsidTr="002178CE">
        <w:trPr>
          <w:jc w:val="center"/>
        </w:trPr>
        <w:tc>
          <w:tcPr>
            <w:tcW w:w="9216" w:type="dxa"/>
            <w:gridSpan w:val="5"/>
            <w:tcBorders>
              <w:top w:val="single" w:sz="4" w:space="0" w:color="auto"/>
              <w:left w:val="single" w:sz="4" w:space="0" w:color="auto"/>
              <w:bottom w:val="single" w:sz="4" w:space="0" w:color="auto"/>
              <w:right w:val="single" w:sz="4" w:space="0" w:color="auto"/>
            </w:tcBorders>
            <w:shd w:val="clear" w:color="auto" w:fill="auto"/>
          </w:tcPr>
          <w:p w:rsidR="002178CE" w:rsidRPr="00971623" w:rsidRDefault="002178CE" w:rsidP="002178CE">
            <w:pPr>
              <w:pStyle w:val="TableCenter"/>
              <w:spacing w:before="0" w:after="0"/>
              <w:jc w:val="left"/>
              <w:rPr>
                <w:szCs w:val="22"/>
              </w:rPr>
            </w:pPr>
            <w:r w:rsidRPr="00971623">
              <w:rPr>
                <w:b/>
                <w:sz w:val="22"/>
                <w:szCs w:val="22"/>
              </w:rPr>
              <w:t>Respiratory, Thoracic</w:t>
            </w:r>
            <w:r>
              <w:rPr>
                <w:b/>
                <w:sz w:val="22"/>
                <w:szCs w:val="22"/>
              </w:rPr>
              <w:t>,</w:t>
            </w:r>
            <w:r w:rsidRPr="00971623">
              <w:rPr>
                <w:b/>
                <w:sz w:val="22"/>
                <w:szCs w:val="22"/>
              </w:rPr>
              <w:t xml:space="preserve"> and Mediastinal Disorders</w:t>
            </w:r>
          </w:p>
        </w:tc>
      </w:tr>
      <w:tr w:rsidR="002178CE" w:rsidTr="002178CE">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rsidR="002178CE" w:rsidRPr="00971623" w:rsidRDefault="002178CE" w:rsidP="002178CE">
            <w:pPr>
              <w:pStyle w:val="TableCenter"/>
              <w:spacing w:before="0" w:after="0"/>
              <w:ind w:left="360"/>
              <w:jc w:val="left"/>
              <w:rPr>
                <w:szCs w:val="22"/>
              </w:rPr>
            </w:pPr>
            <w:r w:rsidRPr="00971623">
              <w:rPr>
                <w:sz w:val="22"/>
                <w:szCs w:val="22"/>
              </w:rPr>
              <w:t>Dysphonia</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6D698D" w:rsidRDefault="002178CE" w:rsidP="002178CE">
            <w:pPr>
              <w:pStyle w:val="TableCenter"/>
              <w:spacing w:before="0" w:after="0"/>
              <w:rPr>
                <w:szCs w:val="22"/>
              </w:rPr>
            </w:pPr>
            <w:r w:rsidRPr="006D698D">
              <w:rPr>
                <w:sz w:val="22"/>
                <w:szCs w:val="22"/>
              </w:rPr>
              <w:t>31.4</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178CE" w:rsidRPr="006D698D" w:rsidRDefault="002178CE" w:rsidP="002178CE">
            <w:pPr>
              <w:pStyle w:val="TableCenter"/>
              <w:spacing w:before="0" w:after="0"/>
              <w:rPr>
                <w:szCs w:val="22"/>
              </w:rPr>
            </w:pPr>
            <w:r w:rsidRPr="006D698D">
              <w:rPr>
                <w:sz w:val="22"/>
                <w:szCs w:val="22"/>
              </w:rPr>
              <w:t>1.1</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6D698D" w:rsidRDefault="002178CE" w:rsidP="002178CE">
            <w:pPr>
              <w:pStyle w:val="TableCenter"/>
              <w:spacing w:before="0" w:after="0"/>
              <w:rPr>
                <w:szCs w:val="22"/>
              </w:rPr>
            </w:pPr>
            <w:r w:rsidRPr="006D698D">
              <w:rPr>
                <w:sz w:val="22"/>
                <w:szCs w:val="22"/>
              </w:rPr>
              <w:t>5.3</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178CE" w:rsidRPr="006D698D" w:rsidRDefault="002178CE" w:rsidP="002178CE">
            <w:pPr>
              <w:pStyle w:val="TableCenter"/>
              <w:spacing w:before="0" w:after="0"/>
              <w:rPr>
                <w:szCs w:val="22"/>
              </w:rPr>
            </w:pPr>
            <w:r w:rsidRPr="006D698D">
              <w:rPr>
                <w:sz w:val="22"/>
                <w:szCs w:val="22"/>
              </w:rPr>
              <w:t>0</w:t>
            </w:r>
          </w:p>
        </w:tc>
      </w:tr>
      <w:tr w:rsidR="002178CE" w:rsidTr="002178CE">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rsidR="002178CE" w:rsidRPr="00E07296" w:rsidRDefault="002178CE" w:rsidP="002178CE">
            <w:pPr>
              <w:pStyle w:val="TableCenter"/>
              <w:spacing w:before="0" w:after="0"/>
              <w:ind w:left="360"/>
              <w:jc w:val="left"/>
              <w:rPr>
                <w:szCs w:val="22"/>
              </w:rPr>
            </w:pPr>
            <w:r w:rsidRPr="00971623">
              <w:rPr>
                <w:sz w:val="22"/>
                <w:szCs w:val="22"/>
              </w:rPr>
              <w:t>Cough</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E07296" w:rsidRDefault="002178CE" w:rsidP="002178CE">
            <w:pPr>
              <w:pStyle w:val="TableCenter"/>
              <w:spacing w:before="0" w:after="0"/>
              <w:rPr>
                <w:szCs w:val="22"/>
              </w:rPr>
            </w:pPr>
            <w:r w:rsidRPr="006D698D">
              <w:rPr>
                <w:sz w:val="22"/>
                <w:szCs w:val="22"/>
              </w:rPr>
              <w:t>23.8</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178CE" w:rsidRPr="00E07296" w:rsidRDefault="002178CE" w:rsidP="002178CE">
            <w:pPr>
              <w:pStyle w:val="TableCenter"/>
              <w:spacing w:before="0" w:after="0"/>
              <w:rPr>
                <w:szCs w:val="22"/>
              </w:rPr>
            </w:pPr>
            <w:r w:rsidRPr="006D698D">
              <w:rPr>
                <w:sz w:val="22"/>
                <w:szCs w:val="22"/>
              </w:rPr>
              <w:t>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E07296" w:rsidRDefault="002178CE" w:rsidP="002178CE">
            <w:pPr>
              <w:pStyle w:val="TableCenter"/>
              <w:spacing w:before="0" w:after="0"/>
              <w:rPr>
                <w:szCs w:val="22"/>
              </w:rPr>
            </w:pPr>
            <w:r w:rsidRPr="006D698D">
              <w:rPr>
                <w:sz w:val="22"/>
                <w:szCs w:val="22"/>
              </w:rPr>
              <w:t>17.6</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178CE" w:rsidRPr="00E07296" w:rsidRDefault="002178CE" w:rsidP="002178CE">
            <w:pPr>
              <w:pStyle w:val="TableCenter"/>
              <w:spacing w:before="0" w:after="0"/>
              <w:rPr>
                <w:szCs w:val="22"/>
              </w:rPr>
            </w:pPr>
            <w:r w:rsidRPr="006D698D">
              <w:rPr>
                <w:sz w:val="22"/>
                <w:szCs w:val="22"/>
              </w:rPr>
              <w:t>0</w:t>
            </w:r>
          </w:p>
        </w:tc>
      </w:tr>
      <w:tr w:rsidR="002178CE" w:rsidTr="002178CE">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rsidR="002178CE" w:rsidRPr="00E07296" w:rsidRDefault="002178CE" w:rsidP="002178CE">
            <w:pPr>
              <w:pStyle w:val="TableCenter"/>
              <w:spacing w:before="0" w:after="0"/>
              <w:ind w:left="360"/>
              <w:jc w:val="left"/>
              <w:rPr>
                <w:szCs w:val="22"/>
              </w:rPr>
            </w:pPr>
            <w:r w:rsidRPr="00E07296">
              <w:rPr>
                <w:sz w:val="22"/>
                <w:szCs w:val="22"/>
              </w:rPr>
              <w:t>Pulmonary embolism</w:t>
            </w:r>
            <w:r>
              <w:rPr>
                <w:sz w:val="22"/>
                <w:szCs w:val="22"/>
                <w:vertAlign w:val="superscript"/>
              </w:rPr>
              <w:t>4</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E07296" w:rsidRDefault="002178CE" w:rsidP="002178CE">
            <w:pPr>
              <w:pStyle w:val="TableCenter"/>
              <w:spacing w:before="0" w:after="0"/>
              <w:rPr>
                <w:szCs w:val="22"/>
              </w:rPr>
            </w:pPr>
            <w:r w:rsidRPr="00E07296">
              <w:rPr>
                <w:sz w:val="22"/>
                <w:szCs w:val="22"/>
              </w:rPr>
              <w:t>3.1</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178CE" w:rsidRPr="00E07296" w:rsidRDefault="002178CE" w:rsidP="002178CE">
            <w:pPr>
              <w:pStyle w:val="TableCenter"/>
              <w:spacing w:before="0" w:after="0"/>
              <w:rPr>
                <w:szCs w:val="22"/>
              </w:rPr>
            </w:pPr>
            <w:r w:rsidRPr="00E07296">
              <w:rPr>
                <w:sz w:val="22"/>
                <w:szCs w:val="22"/>
              </w:rPr>
              <w:t>3.1</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E07296" w:rsidRDefault="002178CE" w:rsidP="002178CE">
            <w:pPr>
              <w:pStyle w:val="TableCenter"/>
              <w:spacing w:before="0" w:after="0"/>
              <w:rPr>
                <w:szCs w:val="22"/>
              </w:rPr>
            </w:pPr>
            <w:r w:rsidRPr="00E07296">
              <w:rPr>
                <w:sz w:val="22"/>
                <w:szCs w:val="22"/>
              </w:rPr>
              <w:t>1.5</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178CE" w:rsidRPr="00E07296" w:rsidRDefault="002178CE" w:rsidP="002178CE">
            <w:pPr>
              <w:pStyle w:val="TableCenter"/>
              <w:spacing w:before="0" w:after="0"/>
              <w:rPr>
                <w:szCs w:val="22"/>
              </w:rPr>
            </w:pPr>
            <w:r w:rsidRPr="00E07296">
              <w:rPr>
                <w:sz w:val="22"/>
                <w:szCs w:val="22"/>
              </w:rPr>
              <w:t>1.5</w:t>
            </w:r>
          </w:p>
        </w:tc>
      </w:tr>
      <w:tr w:rsidR="002178CE" w:rsidTr="002178CE">
        <w:trPr>
          <w:jc w:val="center"/>
        </w:trPr>
        <w:tc>
          <w:tcPr>
            <w:tcW w:w="9216" w:type="dxa"/>
            <w:gridSpan w:val="5"/>
            <w:tcBorders>
              <w:top w:val="single" w:sz="4" w:space="0" w:color="auto"/>
              <w:left w:val="single" w:sz="4" w:space="0" w:color="auto"/>
              <w:bottom w:val="single" w:sz="4" w:space="0" w:color="auto"/>
              <w:right w:val="single" w:sz="4" w:space="0" w:color="auto"/>
            </w:tcBorders>
            <w:shd w:val="clear" w:color="auto" w:fill="auto"/>
          </w:tcPr>
          <w:p w:rsidR="002178CE" w:rsidRPr="00E07296" w:rsidRDefault="002178CE" w:rsidP="002178CE">
            <w:pPr>
              <w:pStyle w:val="TableCenter"/>
              <w:spacing w:before="0" w:after="0"/>
              <w:jc w:val="left"/>
              <w:rPr>
                <w:szCs w:val="22"/>
              </w:rPr>
            </w:pPr>
            <w:r w:rsidRPr="00E07296">
              <w:rPr>
                <w:b/>
                <w:sz w:val="22"/>
                <w:szCs w:val="22"/>
              </w:rPr>
              <w:t>Skin and Subcutaneous Tissue Disorders</w:t>
            </w:r>
          </w:p>
        </w:tc>
      </w:tr>
      <w:tr w:rsidR="002178CE" w:rsidTr="002178CE">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rsidR="002178CE" w:rsidRPr="00E07296" w:rsidRDefault="002178CE" w:rsidP="002178CE">
            <w:pPr>
              <w:pStyle w:val="TableCenter"/>
              <w:spacing w:before="0" w:after="0"/>
              <w:ind w:left="360"/>
              <w:jc w:val="left"/>
              <w:rPr>
                <w:szCs w:val="22"/>
              </w:rPr>
            </w:pPr>
            <w:r w:rsidRPr="00E07296">
              <w:rPr>
                <w:sz w:val="22"/>
                <w:szCs w:val="22"/>
              </w:rPr>
              <w:t>Palmar-plantar erythrodysaesthesia syndrome</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E07296" w:rsidRDefault="002178CE" w:rsidP="002178CE">
            <w:pPr>
              <w:pStyle w:val="TableCenter"/>
              <w:spacing w:before="0" w:after="0"/>
              <w:rPr>
                <w:szCs w:val="22"/>
              </w:rPr>
            </w:pPr>
            <w:r w:rsidRPr="00E07296">
              <w:rPr>
                <w:sz w:val="22"/>
                <w:szCs w:val="22"/>
              </w:rPr>
              <w:t>32.2</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178CE" w:rsidRPr="00E07296" w:rsidRDefault="002178CE" w:rsidP="002178CE">
            <w:pPr>
              <w:pStyle w:val="TableCenter"/>
              <w:spacing w:before="0" w:after="0"/>
              <w:rPr>
                <w:szCs w:val="22"/>
              </w:rPr>
            </w:pPr>
            <w:r w:rsidRPr="00E07296">
              <w:rPr>
                <w:sz w:val="22"/>
                <w:szCs w:val="22"/>
              </w:rPr>
              <w:t>3.4</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E07296" w:rsidRDefault="002178CE" w:rsidP="002178CE">
            <w:pPr>
              <w:pStyle w:val="TableCenter"/>
              <w:spacing w:before="0" w:after="0"/>
              <w:rPr>
                <w:szCs w:val="22"/>
              </w:rPr>
            </w:pPr>
            <w:r w:rsidRPr="00E07296">
              <w:rPr>
                <w:sz w:val="22"/>
                <w:szCs w:val="22"/>
              </w:rPr>
              <w:t>0.8</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178CE" w:rsidRPr="00E07296" w:rsidRDefault="002178CE" w:rsidP="002178CE">
            <w:pPr>
              <w:pStyle w:val="TableCenter"/>
              <w:spacing w:before="0" w:after="0"/>
              <w:rPr>
                <w:szCs w:val="22"/>
              </w:rPr>
            </w:pPr>
            <w:r w:rsidRPr="00E07296">
              <w:rPr>
                <w:sz w:val="22"/>
                <w:szCs w:val="22"/>
              </w:rPr>
              <w:t>0</w:t>
            </w:r>
          </w:p>
        </w:tc>
      </w:tr>
      <w:tr w:rsidR="002178CE" w:rsidTr="002178CE">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rsidR="002178CE" w:rsidRPr="00E07296" w:rsidRDefault="002178CE" w:rsidP="002178CE">
            <w:pPr>
              <w:pStyle w:val="TableCenter"/>
              <w:spacing w:before="0" w:after="0"/>
              <w:ind w:left="360"/>
              <w:jc w:val="left"/>
              <w:rPr>
                <w:szCs w:val="22"/>
              </w:rPr>
            </w:pPr>
            <w:r w:rsidRPr="00E07296">
              <w:rPr>
                <w:sz w:val="22"/>
                <w:szCs w:val="22"/>
              </w:rPr>
              <w:t>Rash</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E07296" w:rsidRDefault="002178CE" w:rsidP="002178CE">
            <w:pPr>
              <w:pStyle w:val="TableCenter"/>
              <w:spacing w:before="0" w:after="0"/>
              <w:rPr>
                <w:szCs w:val="22"/>
              </w:rPr>
            </w:pPr>
            <w:r w:rsidRPr="00E07296">
              <w:rPr>
                <w:sz w:val="22"/>
                <w:szCs w:val="22"/>
              </w:rPr>
              <w:t>18.8</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178CE" w:rsidRPr="00E07296" w:rsidRDefault="002178CE" w:rsidP="002178CE">
            <w:pPr>
              <w:pStyle w:val="TableCenter"/>
              <w:spacing w:before="0" w:after="0"/>
              <w:rPr>
                <w:szCs w:val="22"/>
              </w:rPr>
            </w:pPr>
            <w:r w:rsidRPr="00E07296">
              <w:rPr>
                <w:sz w:val="22"/>
                <w:szCs w:val="22"/>
              </w:rPr>
              <w:t>0.4</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E07296" w:rsidRDefault="002178CE" w:rsidP="002178CE">
            <w:pPr>
              <w:pStyle w:val="TableCenter"/>
              <w:spacing w:before="0" w:after="0"/>
              <w:rPr>
                <w:szCs w:val="22"/>
              </w:rPr>
            </w:pPr>
            <w:r w:rsidRPr="00E07296">
              <w:rPr>
                <w:sz w:val="22"/>
                <w:szCs w:val="22"/>
              </w:rPr>
              <w:t>1.5</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178CE" w:rsidRPr="00E07296" w:rsidRDefault="002178CE" w:rsidP="002178CE">
            <w:pPr>
              <w:pStyle w:val="TableCenter"/>
              <w:spacing w:before="0" w:after="0"/>
              <w:rPr>
                <w:szCs w:val="22"/>
              </w:rPr>
            </w:pPr>
            <w:r w:rsidRPr="00E07296">
              <w:rPr>
                <w:sz w:val="22"/>
                <w:szCs w:val="22"/>
              </w:rPr>
              <w:t>0</w:t>
            </w:r>
          </w:p>
        </w:tc>
      </w:tr>
      <w:tr w:rsidR="002178CE" w:rsidTr="002178CE">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rsidR="002178CE" w:rsidRPr="00E07296" w:rsidRDefault="002178CE" w:rsidP="002178CE">
            <w:pPr>
              <w:pStyle w:val="TableCenter"/>
              <w:spacing w:before="0" w:after="0"/>
              <w:ind w:left="360"/>
              <w:jc w:val="left"/>
              <w:rPr>
                <w:szCs w:val="22"/>
              </w:rPr>
            </w:pPr>
            <w:r w:rsidRPr="00E07296">
              <w:rPr>
                <w:sz w:val="22"/>
                <w:szCs w:val="22"/>
              </w:rPr>
              <w:t>Alopecia</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E07296" w:rsidRDefault="002178CE" w:rsidP="002178CE">
            <w:pPr>
              <w:pStyle w:val="TableCenter"/>
              <w:spacing w:before="0" w:after="0"/>
              <w:rPr>
                <w:szCs w:val="22"/>
              </w:rPr>
            </w:pPr>
            <w:r w:rsidRPr="00E07296">
              <w:rPr>
                <w:sz w:val="22"/>
                <w:szCs w:val="22"/>
              </w:rPr>
              <w:t>12.3</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178CE" w:rsidRPr="00E07296" w:rsidRDefault="002178CE" w:rsidP="002178CE">
            <w:pPr>
              <w:pStyle w:val="TableCenter"/>
              <w:spacing w:before="0" w:after="0"/>
              <w:rPr>
                <w:szCs w:val="22"/>
              </w:rPr>
            </w:pPr>
            <w:r w:rsidRPr="00E07296">
              <w:rPr>
                <w:sz w:val="22"/>
                <w:szCs w:val="22"/>
              </w:rPr>
              <w:t>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E07296" w:rsidRDefault="002178CE" w:rsidP="002178CE">
            <w:pPr>
              <w:pStyle w:val="TableCenter"/>
              <w:spacing w:before="0" w:after="0"/>
              <w:rPr>
                <w:szCs w:val="22"/>
              </w:rPr>
            </w:pPr>
            <w:r w:rsidRPr="00E07296">
              <w:rPr>
                <w:sz w:val="22"/>
                <w:szCs w:val="22"/>
              </w:rPr>
              <w:t>5.3</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178CE" w:rsidRPr="00E07296" w:rsidRDefault="002178CE" w:rsidP="002178CE">
            <w:pPr>
              <w:pStyle w:val="TableCenter"/>
              <w:spacing w:before="0" w:after="0"/>
              <w:rPr>
                <w:szCs w:val="22"/>
              </w:rPr>
            </w:pPr>
            <w:r w:rsidRPr="00E07296">
              <w:rPr>
                <w:sz w:val="22"/>
                <w:szCs w:val="22"/>
              </w:rPr>
              <w:t>0</w:t>
            </w:r>
          </w:p>
        </w:tc>
      </w:tr>
      <w:tr w:rsidR="002178CE" w:rsidTr="002178CE">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rsidR="002178CE" w:rsidRPr="00E07296" w:rsidRDefault="002178CE" w:rsidP="002178CE">
            <w:pPr>
              <w:pStyle w:val="TableCenter"/>
              <w:spacing w:before="0" w:after="0"/>
              <w:ind w:left="360"/>
              <w:jc w:val="left"/>
              <w:rPr>
                <w:szCs w:val="22"/>
              </w:rPr>
            </w:pPr>
            <w:r w:rsidRPr="00E07296">
              <w:rPr>
                <w:sz w:val="22"/>
                <w:szCs w:val="22"/>
              </w:rPr>
              <w:t>Hyperkeratosis</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E07296" w:rsidRDefault="002178CE" w:rsidP="002178CE">
            <w:pPr>
              <w:pStyle w:val="TableCenter"/>
              <w:spacing w:before="0" w:after="0"/>
              <w:rPr>
                <w:szCs w:val="22"/>
              </w:rPr>
            </w:pPr>
            <w:r w:rsidRPr="00E07296">
              <w:rPr>
                <w:sz w:val="22"/>
                <w:szCs w:val="22"/>
              </w:rPr>
              <w:t>6.9</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178CE" w:rsidRPr="00E07296" w:rsidRDefault="002178CE" w:rsidP="002178CE">
            <w:pPr>
              <w:pStyle w:val="TableCenter"/>
              <w:spacing w:before="0" w:after="0"/>
              <w:rPr>
                <w:szCs w:val="22"/>
              </w:rPr>
            </w:pPr>
            <w:r w:rsidRPr="00E07296">
              <w:rPr>
                <w:sz w:val="22"/>
                <w:szCs w:val="22"/>
              </w:rPr>
              <w:t>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E07296" w:rsidRDefault="002178CE" w:rsidP="002178CE">
            <w:pPr>
              <w:pStyle w:val="TableCenter"/>
              <w:spacing w:before="0" w:after="0"/>
              <w:rPr>
                <w:szCs w:val="22"/>
              </w:rPr>
            </w:pPr>
            <w:r w:rsidRPr="00E07296">
              <w:rPr>
                <w:sz w:val="22"/>
                <w:szCs w:val="22"/>
              </w:rPr>
              <w:t>1.5</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178CE" w:rsidRPr="00E07296" w:rsidRDefault="002178CE" w:rsidP="002178CE">
            <w:pPr>
              <w:pStyle w:val="TableCenter"/>
              <w:spacing w:before="0" w:after="0"/>
              <w:rPr>
                <w:szCs w:val="22"/>
              </w:rPr>
            </w:pPr>
            <w:r w:rsidRPr="00E07296">
              <w:rPr>
                <w:sz w:val="22"/>
                <w:szCs w:val="22"/>
              </w:rPr>
              <w:t>0</w:t>
            </w:r>
          </w:p>
        </w:tc>
      </w:tr>
      <w:tr w:rsidR="002178CE" w:rsidTr="002178CE">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rsidR="002178CE" w:rsidRPr="00E07296" w:rsidRDefault="002178CE" w:rsidP="002178CE">
            <w:pPr>
              <w:pStyle w:val="TableCenter"/>
              <w:spacing w:before="0" w:after="0"/>
              <w:ind w:left="360"/>
              <w:jc w:val="left"/>
              <w:rPr>
                <w:szCs w:val="22"/>
              </w:rPr>
            </w:pPr>
            <w:r>
              <w:rPr>
                <w:sz w:val="22"/>
                <w:szCs w:val="22"/>
              </w:rPr>
              <w:t>Palmar erythema</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E07296" w:rsidRDefault="002178CE" w:rsidP="002178CE">
            <w:pPr>
              <w:pStyle w:val="TableCenter"/>
              <w:spacing w:before="0" w:after="0"/>
              <w:rPr>
                <w:szCs w:val="22"/>
              </w:rPr>
            </w:pPr>
            <w:r>
              <w:rPr>
                <w:sz w:val="22"/>
                <w:szCs w:val="22"/>
              </w:rPr>
              <w:t>1.1</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178CE" w:rsidRPr="00E07296" w:rsidRDefault="002178CE" w:rsidP="002178CE">
            <w:pPr>
              <w:pStyle w:val="TableCenter"/>
              <w:spacing w:before="0" w:after="0"/>
              <w:rPr>
                <w:szCs w:val="22"/>
              </w:rPr>
            </w:pPr>
            <w:r>
              <w:rPr>
                <w:sz w:val="22"/>
                <w:szCs w:val="22"/>
              </w:rPr>
              <w:t>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E07296" w:rsidRDefault="002178CE" w:rsidP="002178CE">
            <w:pPr>
              <w:pStyle w:val="TableCenter"/>
              <w:spacing w:before="0" w:after="0"/>
              <w:rPr>
                <w:szCs w:val="22"/>
              </w:rPr>
            </w:pPr>
            <w:r>
              <w:rPr>
                <w:sz w:val="22"/>
                <w:szCs w:val="22"/>
              </w:rPr>
              <w:t>0</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178CE" w:rsidRPr="00E07296" w:rsidRDefault="002178CE" w:rsidP="002178CE">
            <w:pPr>
              <w:pStyle w:val="TableCenter"/>
              <w:spacing w:before="0" w:after="0"/>
              <w:rPr>
                <w:szCs w:val="22"/>
              </w:rPr>
            </w:pPr>
            <w:r>
              <w:rPr>
                <w:sz w:val="22"/>
                <w:szCs w:val="22"/>
              </w:rPr>
              <w:t>0</w:t>
            </w:r>
          </w:p>
        </w:tc>
      </w:tr>
      <w:tr w:rsidR="002178CE" w:rsidTr="002178CE">
        <w:trPr>
          <w:jc w:val="center"/>
        </w:trPr>
        <w:tc>
          <w:tcPr>
            <w:tcW w:w="9216"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2178CE" w:rsidRPr="00E07296" w:rsidRDefault="002178CE" w:rsidP="002178CE">
            <w:pPr>
              <w:pStyle w:val="TableCenter"/>
              <w:spacing w:before="0" w:after="0"/>
              <w:jc w:val="left"/>
              <w:rPr>
                <w:szCs w:val="22"/>
              </w:rPr>
            </w:pPr>
            <w:r w:rsidRPr="00E07296">
              <w:rPr>
                <w:b/>
                <w:sz w:val="22"/>
                <w:szCs w:val="22"/>
              </w:rPr>
              <w:t>Vascular Disorders</w:t>
            </w:r>
          </w:p>
        </w:tc>
      </w:tr>
      <w:tr w:rsidR="002178CE" w:rsidTr="002178CE">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rsidR="002178CE" w:rsidRPr="00E07296" w:rsidRDefault="002178CE" w:rsidP="002178CE">
            <w:pPr>
              <w:pStyle w:val="TableCenter"/>
              <w:spacing w:before="0" w:after="0"/>
              <w:ind w:left="360"/>
              <w:jc w:val="left"/>
              <w:rPr>
                <w:szCs w:val="22"/>
              </w:rPr>
            </w:pPr>
            <w:r w:rsidRPr="00E07296">
              <w:rPr>
                <w:sz w:val="22"/>
                <w:szCs w:val="22"/>
              </w:rPr>
              <w:t>Hemorrhage</w:t>
            </w:r>
            <w:r>
              <w:rPr>
                <w:sz w:val="22"/>
                <w:szCs w:val="22"/>
                <w:vertAlign w:val="superscript"/>
              </w:rPr>
              <w:t>4, 12</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E07296" w:rsidRDefault="002178CE" w:rsidP="002178CE">
            <w:pPr>
              <w:pStyle w:val="TableCenter"/>
              <w:spacing w:before="0" w:after="0"/>
              <w:rPr>
                <w:szCs w:val="22"/>
              </w:rPr>
            </w:pPr>
            <w:r w:rsidRPr="00E07296">
              <w:rPr>
                <w:sz w:val="22"/>
                <w:szCs w:val="22"/>
              </w:rPr>
              <w:t>34.9</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178CE" w:rsidRPr="00E07296" w:rsidRDefault="002178CE" w:rsidP="002178CE">
            <w:pPr>
              <w:pStyle w:val="TableCenter"/>
              <w:spacing w:before="0" w:after="0"/>
              <w:rPr>
                <w:szCs w:val="22"/>
              </w:rPr>
            </w:pPr>
            <w:r w:rsidRPr="00E07296">
              <w:rPr>
                <w:sz w:val="22"/>
                <w:szCs w:val="22"/>
              </w:rPr>
              <w:t>1.5</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E07296" w:rsidRDefault="002178CE" w:rsidP="002178CE">
            <w:pPr>
              <w:pStyle w:val="TableCenter"/>
              <w:spacing w:before="0" w:after="0"/>
              <w:rPr>
                <w:szCs w:val="22"/>
              </w:rPr>
            </w:pPr>
            <w:r w:rsidRPr="00E07296">
              <w:rPr>
                <w:sz w:val="22"/>
                <w:szCs w:val="22"/>
              </w:rPr>
              <w:t>18.3</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178CE" w:rsidRPr="00E07296" w:rsidRDefault="002178CE" w:rsidP="002178CE">
            <w:pPr>
              <w:pStyle w:val="TableCenter"/>
              <w:spacing w:before="0" w:after="0"/>
              <w:rPr>
                <w:szCs w:val="22"/>
              </w:rPr>
            </w:pPr>
            <w:r w:rsidRPr="00E07296">
              <w:rPr>
                <w:sz w:val="22"/>
                <w:szCs w:val="22"/>
              </w:rPr>
              <w:t>3.1</w:t>
            </w:r>
          </w:p>
        </w:tc>
      </w:tr>
      <w:tr w:rsidR="002178CE" w:rsidTr="002178CE">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rsidR="002178CE" w:rsidRPr="00E07296" w:rsidRDefault="002178CE" w:rsidP="002178CE">
            <w:pPr>
              <w:pStyle w:val="TableCenter"/>
              <w:spacing w:before="0" w:after="0"/>
              <w:ind w:left="360"/>
              <w:jc w:val="left"/>
              <w:rPr>
                <w:szCs w:val="22"/>
                <w:vertAlign w:val="superscript"/>
              </w:rPr>
            </w:pPr>
            <w:r w:rsidRPr="00BC561D">
              <w:rPr>
                <w:sz w:val="22"/>
                <w:szCs w:val="22"/>
              </w:rPr>
              <w:t>Hypertension</w:t>
            </w:r>
            <w:r>
              <w:rPr>
                <w:sz w:val="22"/>
                <w:szCs w:val="22"/>
                <w:vertAlign w:val="superscript"/>
              </w:rPr>
              <w:t>13</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E07296" w:rsidRDefault="002178CE" w:rsidP="002178CE">
            <w:pPr>
              <w:pStyle w:val="TableCenter"/>
              <w:spacing w:before="0" w:after="0"/>
              <w:rPr>
                <w:szCs w:val="22"/>
              </w:rPr>
            </w:pPr>
            <w:r w:rsidRPr="00E07296">
              <w:rPr>
                <w:sz w:val="22"/>
                <w:szCs w:val="22"/>
              </w:rPr>
              <w:t>72.8</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178CE" w:rsidRPr="00E07296" w:rsidRDefault="002178CE" w:rsidP="002178CE">
            <w:pPr>
              <w:pStyle w:val="TableCenter"/>
              <w:spacing w:before="0" w:after="0"/>
              <w:rPr>
                <w:szCs w:val="22"/>
              </w:rPr>
            </w:pPr>
            <w:r w:rsidRPr="00E07296">
              <w:rPr>
                <w:sz w:val="22"/>
                <w:szCs w:val="22"/>
              </w:rPr>
              <w:t>44.4</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E07296" w:rsidRDefault="002178CE" w:rsidP="002178CE">
            <w:pPr>
              <w:pStyle w:val="TableCenter"/>
              <w:spacing w:before="0" w:after="0"/>
              <w:rPr>
                <w:szCs w:val="22"/>
              </w:rPr>
            </w:pPr>
            <w:r w:rsidRPr="00E07296">
              <w:rPr>
                <w:sz w:val="22"/>
                <w:szCs w:val="22"/>
              </w:rPr>
              <w:t>16.0</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178CE" w:rsidRPr="00E07296" w:rsidRDefault="002178CE" w:rsidP="002178CE">
            <w:pPr>
              <w:pStyle w:val="TableCenter"/>
              <w:spacing w:before="0" w:after="0"/>
              <w:rPr>
                <w:szCs w:val="22"/>
              </w:rPr>
            </w:pPr>
            <w:r w:rsidRPr="00E07296">
              <w:rPr>
                <w:sz w:val="22"/>
                <w:szCs w:val="22"/>
              </w:rPr>
              <w:t>3.8</w:t>
            </w:r>
          </w:p>
        </w:tc>
      </w:tr>
      <w:tr w:rsidR="002178CE" w:rsidTr="002178CE">
        <w:trPr>
          <w:jc w:val="center"/>
        </w:trPr>
        <w:tc>
          <w:tcPr>
            <w:tcW w:w="3978" w:type="dxa"/>
            <w:tcBorders>
              <w:top w:val="single" w:sz="4" w:space="0" w:color="auto"/>
              <w:left w:val="single" w:sz="4" w:space="0" w:color="auto"/>
              <w:bottom w:val="single" w:sz="4" w:space="0" w:color="auto"/>
              <w:right w:val="single" w:sz="4" w:space="0" w:color="auto"/>
            </w:tcBorders>
            <w:shd w:val="clear" w:color="auto" w:fill="auto"/>
          </w:tcPr>
          <w:p w:rsidR="002178CE" w:rsidRPr="00E07296" w:rsidRDefault="002178CE" w:rsidP="002178CE">
            <w:pPr>
              <w:pStyle w:val="TableCenter"/>
              <w:spacing w:before="0" w:after="0"/>
              <w:ind w:left="360"/>
              <w:jc w:val="left"/>
              <w:rPr>
                <w:szCs w:val="22"/>
              </w:rPr>
            </w:pPr>
            <w:r w:rsidRPr="00E07296">
              <w:rPr>
                <w:sz w:val="22"/>
                <w:szCs w:val="22"/>
              </w:rPr>
              <w:t>Hypotension</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E07296" w:rsidRDefault="002178CE" w:rsidP="002178CE">
            <w:pPr>
              <w:pStyle w:val="TableCenter"/>
              <w:spacing w:before="0" w:after="0"/>
              <w:rPr>
                <w:szCs w:val="22"/>
              </w:rPr>
            </w:pPr>
            <w:r w:rsidRPr="00E07296">
              <w:rPr>
                <w:sz w:val="22"/>
                <w:szCs w:val="22"/>
              </w:rPr>
              <w:t>8.8</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178CE" w:rsidRPr="00E07296" w:rsidRDefault="002178CE" w:rsidP="002178CE">
            <w:pPr>
              <w:pStyle w:val="TableCenter"/>
              <w:spacing w:before="0" w:after="0"/>
              <w:rPr>
                <w:szCs w:val="22"/>
              </w:rPr>
            </w:pPr>
            <w:r w:rsidRPr="00E07296">
              <w:rPr>
                <w:sz w:val="22"/>
                <w:szCs w:val="22"/>
              </w:rPr>
              <w:t>1.5</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178CE" w:rsidRPr="00E07296" w:rsidRDefault="002178CE" w:rsidP="002178CE">
            <w:pPr>
              <w:pStyle w:val="TableCenter"/>
              <w:spacing w:before="0" w:after="0"/>
              <w:rPr>
                <w:szCs w:val="22"/>
              </w:rPr>
            </w:pPr>
            <w:r w:rsidRPr="00E07296">
              <w:rPr>
                <w:sz w:val="22"/>
                <w:szCs w:val="22"/>
              </w:rPr>
              <w:t>2.3</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178CE" w:rsidRPr="00E07296" w:rsidRDefault="002178CE" w:rsidP="002178CE">
            <w:pPr>
              <w:pStyle w:val="TableCenter"/>
              <w:spacing w:before="0" w:after="0"/>
              <w:rPr>
                <w:szCs w:val="22"/>
              </w:rPr>
            </w:pPr>
            <w:r w:rsidRPr="00E07296">
              <w:rPr>
                <w:sz w:val="22"/>
                <w:szCs w:val="22"/>
              </w:rPr>
              <w:t>0</w:t>
            </w:r>
          </w:p>
        </w:tc>
      </w:tr>
      <w:tr w:rsidR="002178CE" w:rsidRPr="001E0797" w:rsidTr="002178CE">
        <w:trPr>
          <w:trHeight w:val="2762"/>
          <w:jc w:val="center"/>
        </w:trPr>
        <w:tc>
          <w:tcPr>
            <w:tcW w:w="9216" w:type="dxa"/>
            <w:gridSpan w:val="5"/>
            <w:tcBorders>
              <w:top w:val="single" w:sz="4" w:space="0" w:color="auto"/>
            </w:tcBorders>
            <w:shd w:val="clear" w:color="auto" w:fill="auto"/>
          </w:tcPr>
          <w:p w:rsidR="002178CE" w:rsidRDefault="002178CE" w:rsidP="009A1D5E">
            <w:pPr>
              <w:pStyle w:val="TableFootnote"/>
              <w:numPr>
                <w:ilvl w:val="0"/>
                <w:numId w:val="3"/>
              </w:numPr>
              <w:spacing w:before="0" w:after="0"/>
            </w:pPr>
            <w:r w:rsidRPr="00685508">
              <w:lastRenderedPageBreak/>
              <w:t xml:space="preserve">Includes </w:t>
            </w:r>
            <w:r w:rsidRPr="00033033">
              <w:t>the following terms:</w:t>
            </w:r>
            <w:r w:rsidRPr="00EC031A">
              <w:rPr>
                <w:sz w:val="24"/>
                <w:szCs w:val="24"/>
              </w:rPr>
              <w:t xml:space="preserve"> </w:t>
            </w:r>
            <w:r>
              <w:t>t</w:t>
            </w:r>
            <w:r w:rsidRPr="00EC031A">
              <w:t>hrombocytopenia</w:t>
            </w:r>
            <w:r>
              <w:t>, p</w:t>
            </w:r>
            <w:r w:rsidRPr="00EC031A">
              <w:t>latelet count decreased</w:t>
            </w:r>
          </w:p>
          <w:p w:rsidR="002178CE" w:rsidRDefault="002178CE" w:rsidP="009A1D5E">
            <w:pPr>
              <w:pStyle w:val="TableFootnote"/>
              <w:numPr>
                <w:ilvl w:val="0"/>
                <w:numId w:val="3"/>
              </w:numPr>
              <w:spacing w:before="0" w:after="0"/>
            </w:pPr>
            <w:r w:rsidRPr="00685508">
              <w:t xml:space="preserve">Includes </w:t>
            </w:r>
            <w:r w:rsidRPr="00033033">
              <w:t>the following terms:</w:t>
            </w:r>
            <w:r w:rsidRPr="00066378">
              <w:rPr>
                <w:sz w:val="24"/>
                <w:szCs w:val="24"/>
              </w:rPr>
              <w:t xml:space="preserve"> </w:t>
            </w:r>
            <w:r>
              <w:t>lymphopenia,</w:t>
            </w:r>
            <w:r w:rsidRPr="00066378">
              <w:t xml:space="preserve"> lymphocyte count decreased</w:t>
            </w:r>
          </w:p>
          <w:p w:rsidR="002178CE" w:rsidRDefault="002178CE" w:rsidP="009A1D5E">
            <w:pPr>
              <w:pStyle w:val="TableFootnote"/>
              <w:numPr>
                <w:ilvl w:val="0"/>
                <w:numId w:val="3"/>
              </w:numPr>
              <w:spacing w:before="0" w:after="0"/>
            </w:pPr>
            <w:r w:rsidRPr="00033033">
              <w:t>Includes the following terms:</w:t>
            </w:r>
            <w:r>
              <w:t xml:space="preserve"> acute myocardial infarction, myocardial infarction</w:t>
            </w:r>
          </w:p>
          <w:p w:rsidR="002178CE" w:rsidRDefault="002178CE" w:rsidP="009A1D5E">
            <w:pPr>
              <w:pStyle w:val="TableFootnote"/>
              <w:numPr>
                <w:ilvl w:val="0"/>
                <w:numId w:val="3"/>
              </w:numPr>
              <w:spacing w:before="0" w:after="0"/>
            </w:pPr>
            <w:r w:rsidRPr="00CD6DE3">
              <w:t>includes fatal events</w:t>
            </w:r>
            <w:r w:rsidRPr="00B46E49">
              <w:t xml:space="preserve"> and these are counted </w:t>
            </w:r>
            <w:r>
              <w:t>in a</w:t>
            </w:r>
            <w:r w:rsidRPr="00B46E49">
              <w:t>ll Grade column</w:t>
            </w:r>
          </w:p>
          <w:p w:rsidR="002178CE" w:rsidRPr="00033033" w:rsidRDefault="002178CE" w:rsidP="009A1D5E">
            <w:pPr>
              <w:pStyle w:val="TableFootnote"/>
              <w:numPr>
                <w:ilvl w:val="0"/>
                <w:numId w:val="3"/>
              </w:numPr>
              <w:spacing w:before="0" w:after="0"/>
            </w:pPr>
            <w:r w:rsidRPr="00033033">
              <w:t xml:space="preserve">Includes the following terms: aphthous stomatitis, stomatitis, glossitis, mouth ulceration, mucosal inflammation </w:t>
            </w:r>
          </w:p>
          <w:p w:rsidR="002178CE" w:rsidRPr="00FB1C8C" w:rsidRDefault="002178CE" w:rsidP="009A1D5E">
            <w:pPr>
              <w:pStyle w:val="TableFootnote"/>
              <w:numPr>
                <w:ilvl w:val="0"/>
                <w:numId w:val="3"/>
              </w:numPr>
              <w:spacing w:before="0" w:after="0"/>
            </w:pPr>
            <w:r w:rsidRPr="00033033">
              <w:t xml:space="preserve">Includes the following terms: abdominal discomfort, abdominal pain, abdominal pain lower, abdominal </w:t>
            </w:r>
            <w:r w:rsidRPr="00FB1C8C">
              <w:t>pain upper, abdominal tenderness, epigastric discomfort, gastrointestinal pain</w:t>
            </w:r>
          </w:p>
          <w:p w:rsidR="002178CE" w:rsidRPr="00FB1C8C" w:rsidRDefault="002178CE" w:rsidP="009A1D5E">
            <w:pPr>
              <w:pStyle w:val="TableFootnote"/>
              <w:numPr>
                <w:ilvl w:val="0"/>
                <w:numId w:val="3"/>
              </w:numPr>
              <w:spacing w:before="0" w:after="0"/>
            </w:pPr>
            <w:r w:rsidRPr="00FB1C8C">
              <w:t>Includes the following terms: oral pain, glossodynia, oropharyngeal pain</w:t>
            </w:r>
          </w:p>
          <w:p w:rsidR="002178CE" w:rsidRDefault="002178CE" w:rsidP="009A1D5E">
            <w:pPr>
              <w:pStyle w:val="TableFootnote"/>
              <w:numPr>
                <w:ilvl w:val="0"/>
                <w:numId w:val="3"/>
              </w:numPr>
              <w:spacing w:before="0" w:after="0"/>
            </w:pPr>
            <w:r w:rsidRPr="00FB1C8C">
              <w:t>Includes the following</w:t>
            </w:r>
            <w:r w:rsidRPr="00CD6DE3">
              <w:t xml:space="preserve"> terms: drug-induced liver injury, cholestatic liver injury, hepatic steatosis</w:t>
            </w:r>
          </w:p>
          <w:p w:rsidR="002178CE" w:rsidRDefault="002178CE" w:rsidP="009A1D5E">
            <w:pPr>
              <w:pStyle w:val="TableFootnote"/>
              <w:numPr>
                <w:ilvl w:val="0"/>
                <w:numId w:val="3"/>
              </w:numPr>
              <w:spacing w:before="0" w:after="0"/>
            </w:pPr>
            <w:r w:rsidRPr="00FB1C8C">
              <w:t>Includes the following</w:t>
            </w:r>
            <w:r w:rsidRPr="00CD6DE3">
              <w:t xml:space="preserve"> terms:</w:t>
            </w:r>
            <w:r w:rsidRPr="00044694">
              <w:rPr>
                <w:sz w:val="24"/>
                <w:szCs w:val="24"/>
              </w:rPr>
              <w:t xml:space="preserve"> </w:t>
            </w:r>
            <w:r>
              <w:t xml:space="preserve">hypomagnesaemia, </w:t>
            </w:r>
            <w:r w:rsidRPr="00044694">
              <w:t>blood magnesium decreased</w:t>
            </w:r>
          </w:p>
          <w:p w:rsidR="002178CE" w:rsidRDefault="002178CE" w:rsidP="009A1D5E">
            <w:pPr>
              <w:pStyle w:val="TableFootnote"/>
              <w:numPr>
                <w:ilvl w:val="0"/>
                <w:numId w:val="3"/>
              </w:numPr>
              <w:spacing w:before="0" w:after="0"/>
            </w:pPr>
            <w:r w:rsidRPr="00FB1C8C">
              <w:t>Includes the following</w:t>
            </w:r>
            <w:r w:rsidRPr="00CD6DE3">
              <w:t xml:space="preserve"> terms:</w:t>
            </w:r>
            <w:r w:rsidRPr="009B012D">
              <w:rPr>
                <w:sz w:val="24"/>
                <w:szCs w:val="24"/>
              </w:rPr>
              <w:t xml:space="preserve"> </w:t>
            </w:r>
            <w:r w:rsidRPr="009B012D">
              <w:t>hypercholesterolaemia and blood cholesterol increased</w:t>
            </w:r>
          </w:p>
          <w:p w:rsidR="002178CE" w:rsidRDefault="002178CE" w:rsidP="009A1D5E">
            <w:pPr>
              <w:pStyle w:val="TableFootnote"/>
              <w:numPr>
                <w:ilvl w:val="0"/>
                <w:numId w:val="3"/>
              </w:numPr>
              <w:spacing w:before="0" w:after="0"/>
            </w:pPr>
            <w:r w:rsidRPr="00FB1C8C">
              <w:t>Includes the following</w:t>
            </w:r>
            <w:r w:rsidRPr="00CD6DE3">
              <w:t xml:space="preserve"> terms:</w:t>
            </w:r>
            <w:r w:rsidRPr="00FC4884">
              <w:t xml:space="preserve"> </w:t>
            </w:r>
            <w:r>
              <w:t>a</w:t>
            </w:r>
            <w:r w:rsidRPr="00FC4884">
              <w:t>cute prerenal failure</w:t>
            </w:r>
            <w:r>
              <w:t>, r</w:t>
            </w:r>
            <w:r w:rsidRPr="00FC4884">
              <w:t>enal failure,</w:t>
            </w:r>
            <w:r>
              <w:t xml:space="preserve"> r</w:t>
            </w:r>
            <w:r w:rsidRPr="00FC4884">
              <w:t>enal failure acute</w:t>
            </w:r>
            <w:r>
              <w:t>, r</w:t>
            </w:r>
            <w:r w:rsidRPr="00FC4884">
              <w:t>enal tubular necrosis</w:t>
            </w:r>
          </w:p>
          <w:p w:rsidR="002178CE" w:rsidRPr="00CD6DE3" w:rsidRDefault="002178CE" w:rsidP="009A1D5E">
            <w:pPr>
              <w:pStyle w:val="TableFootnote"/>
              <w:numPr>
                <w:ilvl w:val="0"/>
                <w:numId w:val="3"/>
              </w:numPr>
              <w:spacing w:before="0" w:after="0"/>
            </w:pPr>
            <w:r w:rsidRPr="00FB1C8C">
              <w:t>Includes the following</w:t>
            </w:r>
            <w:r w:rsidRPr="00CD6DE3">
              <w:t xml:space="preserve"> terms:</w:t>
            </w:r>
            <w:r w:rsidRPr="00856BC1">
              <w:t xml:space="preserve"> </w:t>
            </w:r>
            <w:r>
              <w:t>e</w:t>
            </w:r>
            <w:r w:rsidRPr="00856BC1">
              <w:t xml:space="preserve">pistaxis, </w:t>
            </w:r>
            <w:r>
              <w:t>h</w:t>
            </w:r>
            <w:r w:rsidRPr="00856BC1">
              <w:t xml:space="preserve">ematuria, </w:t>
            </w:r>
            <w:r>
              <w:t>c</w:t>
            </w:r>
            <w:r w:rsidRPr="00856BC1">
              <w:t xml:space="preserve">ontusion, </w:t>
            </w:r>
            <w:r>
              <w:t>g</w:t>
            </w:r>
            <w:r w:rsidRPr="00856BC1">
              <w:t xml:space="preserve">ingival bleeding, </w:t>
            </w:r>
            <w:r>
              <w:t>h</w:t>
            </w:r>
            <w:r w:rsidRPr="00856BC1">
              <w:t xml:space="preserve">ematochezia, </w:t>
            </w:r>
            <w:r>
              <w:t>p</w:t>
            </w:r>
            <w:r w:rsidRPr="00856BC1">
              <w:t xml:space="preserve">ulmonary hemorrhage, </w:t>
            </w:r>
            <w:r>
              <w:t>v</w:t>
            </w:r>
            <w:r w:rsidRPr="00856BC1">
              <w:t xml:space="preserve">aginal hemorrhage, </w:t>
            </w:r>
            <w:r>
              <w:t>r</w:t>
            </w:r>
            <w:r w:rsidRPr="00856BC1">
              <w:t xml:space="preserve">ectal hemorrhage, </w:t>
            </w:r>
            <w:r>
              <w:t>h</w:t>
            </w:r>
            <w:r w:rsidRPr="00856BC1">
              <w:t xml:space="preserve">ematoma, </w:t>
            </w:r>
            <w:r>
              <w:t>h</w:t>
            </w:r>
            <w:r w:rsidRPr="00856BC1">
              <w:t xml:space="preserve">emorrhoidal hemorrhage, </w:t>
            </w:r>
            <w:r>
              <w:t>l</w:t>
            </w:r>
            <w:r w:rsidRPr="00856BC1">
              <w:t xml:space="preserve">aryngeal hemorrhage, </w:t>
            </w:r>
            <w:r>
              <w:t>p</w:t>
            </w:r>
            <w:r w:rsidRPr="00856BC1">
              <w:t xml:space="preserve">etechiae, </w:t>
            </w:r>
            <w:r>
              <w:t>i</w:t>
            </w:r>
            <w:r w:rsidRPr="00856BC1">
              <w:t xml:space="preserve">ntracranial tumor hemorrhage, </w:t>
            </w:r>
            <w:r>
              <w:t>h</w:t>
            </w:r>
            <w:r w:rsidRPr="00856BC1">
              <w:t xml:space="preserve">emorrhagic stroke, </w:t>
            </w:r>
            <w:r>
              <w:t>p</w:t>
            </w:r>
            <w:r w:rsidRPr="00856BC1">
              <w:t xml:space="preserve">leural hemorrhage, </w:t>
            </w:r>
            <w:r>
              <w:t>s</w:t>
            </w:r>
            <w:r w:rsidRPr="00856BC1">
              <w:t xml:space="preserve">plenic hemorrhage, </w:t>
            </w:r>
            <w:r>
              <w:t>b</w:t>
            </w:r>
            <w:r w:rsidRPr="00856BC1">
              <w:t xml:space="preserve">lood urine present, </w:t>
            </w:r>
            <w:r>
              <w:t>c</w:t>
            </w:r>
            <w:r w:rsidRPr="00856BC1">
              <w:t xml:space="preserve">onjunctival hemorrhage, </w:t>
            </w:r>
            <w:r>
              <w:t>e</w:t>
            </w:r>
            <w:r w:rsidRPr="00856BC1">
              <w:t xml:space="preserve">ye hemorrhage, </w:t>
            </w:r>
            <w:r>
              <w:t>g</w:t>
            </w:r>
            <w:r w:rsidRPr="00856BC1">
              <w:t xml:space="preserve">astroduodenitis hemorrhagic, </w:t>
            </w:r>
            <w:r>
              <w:t>h</w:t>
            </w:r>
            <w:r w:rsidRPr="00856BC1">
              <w:t xml:space="preserve">ematemesis, </w:t>
            </w:r>
            <w:r>
              <w:t>i</w:t>
            </w:r>
            <w:r w:rsidRPr="00856BC1">
              <w:t xml:space="preserve">ncreased tendency to bruise, </w:t>
            </w:r>
            <w:r>
              <w:t>p</w:t>
            </w:r>
            <w:r w:rsidRPr="00856BC1">
              <w:t xml:space="preserve">roctitis hemorrhagic, </w:t>
            </w:r>
            <w:r>
              <w:t>p</w:t>
            </w:r>
            <w:r w:rsidRPr="00856BC1">
              <w:t xml:space="preserve">urpura, </w:t>
            </w:r>
            <w:r>
              <w:t>r</w:t>
            </w:r>
            <w:r w:rsidRPr="00856BC1">
              <w:t xml:space="preserve">enal hematoma, </w:t>
            </w:r>
            <w:r>
              <w:t>s</w:t>
            </w:r>
            <w:r w:rsidRPr="00856BC1">
              <w:t xml:space="preserve">kin hemorrhage, </w:t>
            </w:r>
            <w:r>
              <w:t>s</w:t>
            </w:r>
            <w:r w:rsidRPr="00856BC1">
              <w:t>plinter hemorrhages</w:t>
            </w:r>
          </w:p>
          <w:p w:rsidR="002178CE" w:rsidRDefault="002178CE" w:rsidP="009A1D5E">
            <w:pPr>
              <w:pStyle w:val="TableFootnote"/>
              <w:numPr>
                <w:ilvl w:val="0"/>
                <w:numId w:val="3"/>
              </w:numPr>
              <w:spacing w:before="0" w:after="0"/>
            </w:pPr>
            <w:r w:rsidRPr="00CD6DE3">
              <w:t>Includes the following terms: hypertension, hypertensive crisis, blood pressure diastolic increased, blood pressure increased</w:t>
            </w:r>
            <w:r w:rsidRPr="000A6FB4">
              <w:rPr>
                <w:highlight w:val="green"/>
              </w:rPr>
              <w:t xml:space="preserve"> </w:t>
            </w:r>
          </w:p>
          <w:p w:rsidR="002178CE" w:rsidRPr="00495961" w:rsidRDefault="002178CE" w:rsidP="009A1D5E">
            <w:pPr>
              <w:pStyle w:val="TableFootnote"/>
              <w:numPr>
                <w:ilvl w:val="0"/>
                <w:numId w:val="0"/>
              </w:numPr>
              <w:spacing w:before="0" w:after="0"/>
              <w:rPr>
                <w:highlight w:val="yellow"/>
              </w:rPr>
            </w:pPr>
            <w:r>
              <w:t>*</w:t>
            </w:r>
            <w:r w:rsidRPr="000A6FB4">
              <w:t>TEAEs reported at 4 months after the cut-off for the final PFS analysis</w:t>
            </w:r>
          </w:p>
        </w:tc>
      </w:tr>
    </w:tbl>
    <w:p w:rsidR="00A57B23" w:rsidRPr="00BE78D8" w:rsidRDefault="00A57B23" w:rsidP="00A57B23">
      <w:pPr>
        <w:autoSpaceDE w:val="0"/>
        <w:autoSpaceDN w:val="0"/>
        <w:adjustRightInd w:val="0"/>
        <w:rPr>
          <w:rFonts w:eastAsiaTheme="minorHAnsi"/>
          <w:i/>
          <w:iCs/>
          <w:color w:val="auto"/>
          <w:szCs w:val="24"/>
          <w:lang w:val="en-US" w:eastAsia="en-US"/>
        </w:rPr>
      </w:pPr>
    </w:p>
    <w:p w:rsidR="00240ADF" w:rsidRPr="00240ADF" w:rsidRDefault="00240ADF" w:rsidP="004D4EB9">
      <w:pPr>
        <w:keepNext/>
        <w:autoSpaceDE w:val="0"/>
        <w:autoSpaceDN w:val="0"/>
        <w:adjustRightInd w:val="0"/>
        <w:rPr>
          <w:rFonts w:eastAsiaTheme="minorHAnsi"/>
          <w:iCs/>
          <w:color w:val="auto"/>
          <w:szCs w:val="24"/>
          <w:u w:val="single"/>
          <w:lang w:val="en-US" w:eastAsia="en-US"/>
        </w:rPr>
      </w:pPr>
      <w:r w:rsidRPr="00240ADF">
        <w:rPr>
          <w:rFonts w:eastAsiaTheme="minorHAnsi"/>
          <w:iCs/>
          <w:color w:val="auto"/>
          <w:szCs w:val="24"/>
          <w:u w:val="single"/>
          <w:lang w:val="en-US" w:eastAsia="en-US"/>
        </w:rPr>
        <w:t xml:space="preserve">Selected Adverse </w:t>
      </w:r>
      <w:r w:rsidR="00AA031C">
        <w:rPr>
          <w:rFonts w:eastAsiaTheme="minorHAnsi"/>
          <w:iCs/>
          <w:color w:val="auto"/>
          <w:szCs w:val="24"/>
          <w:u w:val="single"/>
          <w:lang w:val="en-US" w:eastAsia="en-US"/>
        </w:rPr>
        <w:t>Reaction</w:t>
      </w:r>
      <w:r w:rsidR="00AA031C" w:rsidRPr="00240ADF">
        <w:rPr>
          <w:rFonts w:eastAsiaTheme="minorHAnsi"/>
          <w:iCs/>
          <w:color w:val="auto"/>
          <w:szCs w:val="24"/>
          <w:u w:val="single"/>
          <w:lang w:val="en-US" w:eastAsia="en-US"/>
        </w:rPr>
        <w:t>s</w:t>
      </w:r>
    </w:p>
    <w:p w:rsidR="00E00B24" w:rsidRPr="00BE78D8" w:rsidRDefault="00A57B23" w:rsidP="004D4EB9">
      <w:pPr>
        <w:keepNext/>
        <w:autoSpaceDE w:val="0"/>
        <w:autoSpaceDN w:val="0"/>
        <w:adjustRightInd w:val="0"/>
        <w:rPr>
          <w:rFonts w:eastAsiaTheme="minorHAnsi"/>
          <w:i/>
          <w:iCs/>
          <w:color w:val="auto"/>
          <w:szCs w:val="24"/>
          <w:lang w:val="en-US" w:eastAsia="en-US"/>
        </w:rPr>
      </w:pPr>
      <w:r w:rsidRPr="00BE78D8">
        <w:rPr>
          <w:rFonts w:eastAsiaTheme="minorHAnsi"/>
          <w:i/>
          <w:iCs/>
          <w:color w:val="auto"/>
          <w:szCs w:val="24"/>
          <w:lang w:val="en-US" w:eastAsia="en-US"/>
        </w:rPr>
        <w:t xml:space="preserve">Hypertension </w:t>
      </w:r>
    </w:p>
    <w:p w:rsidR="00A57B23" w:rsidRPr="00BE78D8" w:rsidRDefault="00A57B23" w:rsidP="00A57B23">
      <w:pPr>
        <w:autoSpaceDE w:val="0"/>
        <w:autoSpaceDN w:val="0"/>
        <w:adjustRightInd w:val="0"/>
        <w:rPr>
          <w:rFonts w:eastAsiaTheme="minorHAnsi"/>
          <w:i/>
          <w:iCs/>
          <w:color w:val="auto"/>
          <w:szCs w:val="24"/>
          <w:lang w:val="en-US" w:eastAsia="en-US"/>
        </w:rPr>
      </w:pPr>
      <w:r w:rsidRPr="00BE78D8">
        <w:rPr>
          <w:rFonts w:eastAsiaTheme="minorHAnsi"/>
          <w:color w:val="auto"/>
          <w:szCs w:val="24"/>
          <w:lang w:val="en-US" w:eastAsia="en-US"/>
        </w:rPr>
        <w:t xml:space="preserve">In the pivotal Phase 3 SELECT trial (see </w:t>
      </w:r>
      <w:r w:rsidR="000E1EA1">
        <w:rPr>
          <w:rFonts w:eastAsiaTheme="minorHAnsi"/>
          <w:color w:val="auto"/>
          <w:szCs w:val="24"/>
          <w:lang w:val="en-US" w:eastAsia="en-US"/>
        </w:rPr>
        <w:t>CLINICAL TRIALS</w:t>
      </w:r>
      <w:r w:rsidRPr="00BE78D8">
        <w:rPr>
          <w:rFonts w:eastAsiaTheme="minorHAnsi"/>
          <w:color w:val="auto"/>
          <w:szCs w:val="24"/>
          <w:lang w:val="en-US" w:eastAsia="en-US"/>
        </w:rPr>
        <w:t>), hypertension (including hypertension, hypertensive crisis, blood pressure diastolic increased, and blood pressure increased) was reported in 72.8% of lenvatinib</w:t>
      </w:r>
      <w:r w:rsidR="002178CE">
        <w:rPr>
          <w:rFonts w:eastAsiaTheme="minorHAnsi"/>
          <w:color w:val="auto"/>
          <w:szCs w:val="24"/>
          <w:lang w:val="en-US" w:eastAsia="en-US"/>
        </w:rPr>
        <w:t>-</w:t>
      </w:r>
      <w:r w:rsidRPr="00BE78D8">
        <w:rPr>
          <w:rFonts w:eastAsiaTheme="minorHAnsi"/>
          <w:color w:val="auto"/>
          <w:szCs w:val="24"/>
          <w:lang w:val="en-US" w:eastAsia="en-US"/>
        </w:rPr>
        <w:t>treated patients and 16.0% of patients in the placebo-treated group. The median time to onset in lenvatinib</w:t>
      </w:r>
      <w:r w:rsidR="002178CE">
        <w:rPr>
          <w:rFonts w:eastAsiaTheme="minorHAnsi"/>
          <w:color w:val="auto"/>
          <w:szCs w:val="24"/>
          <w:lang w:val="en-US" w:eastAsia="en-US"/>
        </w:rPr>
        <w:t>-</w:t>
      </w:r>
      <w:r w:rsidRPr="00BE78D8">
        <w:rPr>
          <w:rFonts w:eastAsiaTheme="minorHAnsi"/>
          <w:color w:val="auto"/>
          <w:szCs w:val="24"/>
          <w:lang w:val="en-US" w:eastAsia="en-US"/>
        </w:rPr>
        <w:t>treated patients was 16 days. Events of Grade 3 or higher (including 1 event of Grade 4) occurred in 44.4% of lenvatinib-treated patients compared with 3.8% of placebo-treated patients. The majority of cases recovered or resolved following dose interruption or reduction, which occurred in 13.0% and 13.4% of patients, respectively. In 1.1% of patients, hypertension led to permanent treatment discontinuation.</w:t>
      </w:r>
    </w:p>
    <w:p w:rsidR="00E00B24" w:rsidRPr="00BE78D8" w:rsidRDefault="00E00B24" w:rsidP="00A57B23">
      <w:pPr>
        <w:autoSpaceDE w:val="0"/>
        <w:autoSpaceDN w:val="0"/>
        <w:adjustRightInd w:val="0"/>
        <w:rPr>
          <w:rFonts w:eastAsiaTheme="minorHAnsi"/>
          <w:i/>
          <w:iCs/>
          <w:color w:val="auto"/>
          <w:szCs w:val="24"/>
          <w:lang w:val="en-US" w:eastAsia="en-US"/>
        </w:rPr>
      </w:pPr>
    </w:p>
    <w:p w:rsidR="00A57B23" w:rsidRPr="00BE78D8" w:rsidRDefault="00A57B23" w:rsidP="009A1D5E">
      <w:pPr>
        <w:keepNext/>
        <w:autoSpaceDE w:val="0"/>
        <w:autoSpaceDN w:val="0"/>
        <w:adjustRightInd w:val="0"/>
        <w:rPr>
          <w:rFonts w:eastAsiaTheme="minorHAnsi"/>
          <w:i/>
          <w:iCs/>
          <w:color w:val="auto"/>
          <w:szCs w:val="24"/>
          <w:lang w:val="en-US" w:eastAsia="en-US"/>
        </w:rPr>
      </w:pPr>
      <w:r w:rsidRPr="00BE78D8">
        <w:rPr>
          <w:rFonts w:eastAsiaTheme="minorHAnsi"/>
          <w:i/>
          <w:iCs/>
          <w:color w:val="auto"/>
          <w:szCs w:val="24"/>
          <w:lang w:val="en-US" w:eastAsia="en-US"/>
        </w:rPr>
        <w:t xml:space="preserve">Proteinuria </w:t>
      </w:r>
    </w:p>
    <w:p w:rsidR="00A57B23" w:rsidRPr="00BE78D8" w:rsidRDefault="00A57B23" w:rsidP="00A57B23">
      <w:pPr>
        <w:autoSpaceDE w:val="0"/>
        <w:autoSpaceDN w:val="0"/>
        <w:adjustRightInd w:val="0"/>
        <w:rPr>
          <w:rFonts w:eastAsiaTheme="minorHAnsi"/>
          <w:color w:val="auto"/>
          <w:szCs w:val="24"/>
          <w:lang w:val="en-US" w:eastAsia="en-US"/>
        </w:rPr>
      </w:pPr>
      <w:r w:rsidRPr="00BE78D8">
        <w:rPr>
          <w:rFonts w:eastAsiaTheme="minorHAnsi"/>
          <w:color w:val="auto"/>
          <w:szCs w:val="24"/>
          <w:lang w:val="en-US" w:eastAsia="en-US"/>
        </w:rPr>
        <w:t xml:space="preserve">In the pivotal Phase 3 SELECT trial (see </w:t>
      </w:r>
      <w:r w:rsidR="000E1EA1">
        <w:rPr>
          <w:rFonts w:eastAsiaTheme="minorHAnsi"/>
          <w:color w:val="auto"/>
          <w:szCs w:val="24"/>
          <w:lang w:val="en-US" w:eastAsia="en-US"/>
        </w:rPr>
        <w:t>CLINICAL TRIALS</w:t>
      </w:r>
      <w:r w:rsidRPr="00BE78D8">
        <w:rPr>
          <w:rFonts w:eastAsiaTheme="minorHAnsi"/>
          <w:color w:val="auto"/>
          <w:szCs w:val="24"/>
          <w:lang w:val="en-US" w:eastAsia="en-US"/>
        </w:rPr>
        <w:t>), proteinuria was reported</w:t>
      </w:r>
      <w:r w:rsidR="00E00B24" w:rsidRPr="00BE78D8">
        <w:rPr>
          <w:rFonts w:eastAsiaTheme="minorHAnsi"/>
          <w:color w:val="auto"/>
          <w:szCs w:val="24"/>
          <w:lang w:val="en-US" w:eastAsia="en-US"/>
        </w:rPr>
        <w:t xml:space="preserve"> in 33.7% of lenvatinib treated </w:t>
      </w:r>
      <w:r w:rsidRPr="00BE78D8">
        <w:rPr>
          <w:rFonts w:eastAsiaTheme="minorHAnsi"/>
          <w:color w:val="auto"/>
          <w:szCs w:val="24"/>
          <w:lang w:val="en-US" w:eastAsia="en-US"/>
        </w:rPr>
        <w:t>patients and 3.1% of patients in the placebo-treated group. The medi</w:t>
      </w:r>
      <w:r w:rsidR="00E00B24" w:rsidRPr="00BE78D8">
        <w:rPr>
          <w:rFonts w:eastAsiaTheme="minorHAnsi"/>
          <w:color w:val="auto"/>
          <w:szCs w:val="24"/>
          <w:lang w:val="en-US" w:eastAsia="en-US"/>
        </w:rPr>
        <w:t xml:space="preserve">an time to onset was 6.7 weeks. </w:t>
      </w:r>
      <w:r w:rsidRPr="00BE78D8">
        <w:rPr>
          <w:rFonts w:eastAsiaTheme="minorHAnsi"/>
          <w:color w:val="auto"/>
          <w:szCs w:val="24"/>
          <w:lang w:val="en-US" w:eastAsia="en-US"/>
        </w:rPr>
        <w:t>Grade 3 events occurred in 10.7% of lenvatinib-treated patients and no placebo-treated patients. The</w:t>
      </w:r>
      <w:r w:rsidR="00E00B24" w:rsidRPr="00BE78D8">
        <w:rPr>
          <w:rFonts w:eastAsiaTheme="minorHAnsi"/>
          <w:color w:val="auto"/>
          <w:szCs w:val="24"/>
          <w:lang w:val="en-US" w:eastAsia="en-US"/>
        </w:rPr>
        <w:t xml:space="preserve"> </w:t>
      </w:r>
      <w:r w:rsidRPr="00BE78D8">
        <w:rPr>
          <w:rFonts w:eastAsiaTheme="minorHAnsi"/>
          <w:color w:val="auto"/>
          <w:szCs w:val="24"/>
          <w:lang w:val="en-US" w:eastAsia="en-US"/>
        </w:rPr>
        <w:t>majority of cases had an outcome of recovered or resolved following dose i</w:t>
      </w:r>
      <w:r w:rsidR="00E00B24" w:rsidRPr="00BE78D8">
        <w:rPr>
          <w:rFonts w:eastAsiaTheme="minorHAnsi"/>
          <w:color w:val="auto"/>
          <w:szCs w:val="24"/>
          <w:lang w:val="en-US" w:eastAsia="en-US"/>
        </w:rPr>
        <w:t xml:space="preserve">nterruption or reduction, which </w:t>
      </w:r>
      <w:r w:rsidRPr="00BE78D8">
        <w:rPr>
          <w:rFonts w:eastAsiaTheme="minorHAnsi"/>
          <w:color w:val="auto"/>
          <w:szCs w:val="24"/>
          <w:lang w:val="en-US" w:eastAsia="en-US"/>
        </w:rPr>
        <w:t>occurred in 16.9% and 10.7% of patients, respectively. Protein</w:t>
      </w:r>
      <w:r w:rsidR="00E00B24" w:rsidRPr="00BE78D8">
        <w:rPr>
          <w:rFonts w:eastAsiaTheme="minorHAnsi"/>
          <w:color w:val="auto"/>
          <w:szCs w:val="24"/>
          <w:lang w:val="en-US" w:eastAsia="en-US"/>
        </w:rPr>
        <w:t xml:space="preserve">uria led to permanent treatment </w:t>
      </w:r>
      <w:r w:rsidRPr="00BE78D8">
        <w:rPr>
          <w:rFonts w:eastAsiaTheme="minorHAnsi"/>
          <w:color w:val="auto"/>
          <w:szCs w:val="24"/>
          <w:lang w:val="en-US" w:eastAsia="en-US"/>
        </w:rPr>
        <w:t>discontinuation in 0.8% of patients.</w:t>
      </w:r>
    </w:p>
    <w:p w:rsidR="00E00B24" w:rsidRPr="00BE78D8" w:rsidRDefault="00E00B24" w:rsidP="00A57B23">
      <w:pPr>
        <w:autoSpaceDE w:val="0"/>
        <w:autoSpaceDN w:val="0"/>
        <w:adjustRightInd w:val="0"/>
        <w:rPr>
          <w:rFonts w:eastAsiaTheme="minorHAnsi"/>
          <w:i/>
          <w:iCs/>
          <w:color w:val="auto"/>
          <w:szCs w:val="24"/>
          <w:lang w:val="en-US" w:eastAsia="en-US"/>
        </w:rPr>
      </w:pPr>
    </w:p>
    <w:p w:rsidR="00A57B23" w:rsidRPr="00BE78D8" w:rsidRDefault="00A57B23" w:rsidP="006A0962">
      <w:pPr>
        <w:pageBreakBefore/>
        <w:autoSpaceDE w:val="0"/>
        <w:autoSpaceDN w:val="0"/>
        <w:adjustRightInd w:val="0"/>
        <w:rPr>
          <w:rFonts w:eastAsiaTheme="minorHAnsi"/>
          <w:i/>
          <w:iCs/>
          <w:color w:val="auto"/>
          <w:szCs w:val="24"/>
          <w:lang w:val="en-US" w:eastAsia="en-US"/>
        </w:rPr>
      </w:pPr>
      <w:r w:rsidRPr="00BE78D8">
        <w:rPr>
          <w:rFonts w:eastAsiaTheme="minorHAnsi"/>
          <w:i/>
          <w:iCs/>
          <w:color w:val="auto"/>
          <w:szCs w:val="24"/>
          <w:lang w:val="en-US" w:eastAsia="en-US"/>
        </w:rPr>
        <w:lastRenderedPageBreak/>
        <w:t xml:space="preserve">Hepatotoxicity </w:t>
      </w:r>
    </w:p>
    <w:p w:rsidR="00A57B23" w:rsidRPr="00BE78D8" w:rsidRDefault="00A57B23" w:rsidP="00A57B23">
      <w:pPr>
        <w:autoSpaceDE w:val="0"/>
        <w:autoSpaceDN w:val="0"/>
        <w:adjustRightInd w:val="0"/>
        <w:rPr>
          <w:rFonts w:eastAsiaTheme="minorHAnsi"/>
          <w:color w:val="auto"/>
          <w:szCs w:val="24"/>
          <w:lang w:val="en-US" w:eastAsia="en-US"/>
        </w:rPr>
      </w:pPr>
      <w:r w:rsidRPr="00BE78D8">
        <w:rPr>
          <w:rFonts w:eastAsiaTheme="minorHAnsi"/>
          <w:color w:val="auto"/>
          <w:szCs w:val="24"/>
          <w:lang w:val="en-US" w:eastAsia="en-US"/>
        </w:rPr>
        <w:t>In the pivotal Phase</w:t>
      </w:r>
      <w:r w:rsidR="000E1EA1">
        <w:rPr>
          <w:rFonts w:eastAsiaTheme="minorHAnsi"/>
          <w:color w:val="auto"/>
          <w:szCs w:val="24"/>
          <w:lang w:val="en-US" w:eastAsia="en-US"/>
        </w:rPr>
        <w:t xml:space="preserve"> 3 SELECT trial (see CLINICAL TRIALS</w:t>
      </w:r>
      <w:r w:rsidRPr="00BE78D8">
        <w:rPr>
          <w:rFonts w:eastAsiaTheme="minorHAnsi"/>
          <w:color w:val="auto"/>
          <w:szCs w:val="24"/>
          <w:lang w:val="en-US" w:eastAsia="en-US"/>
        </w:rPr>
        <w:t>), the most commonly</w:t>
      </w:r>
      <w:r w:rsidR="00E00B24" w:rsidRPr="00BE78D8">
        <w:rPr>
          <w:rFonts w:eastAsiaTheme="minorHAnsi"/>
          <w:color w:val="auto"/>
          <w:szCs w:val="24"/>
          <w:lang w:val="en-US" w:eastAsia="en-US"/>
        </w:rPr>
        <w:t xml:space="preserve"> reported liver-related adverse </w:t>
      </w:r>
      <w:r w:rsidRPr="00BE78D8">
        <w:rPr>
          <w:rFonts w:eastAsiaTheme="minorHAnsi"/>
          <w:color w:val="auto"/>
          <w:szCs w:val="24"/>
          <w:lang w:val="en-US" w:eastAsia="en-US"/>
        </w:rPr>
        <w:t>reactions were hypoalbuminaemia (9.6% lenvatinib vs. 1.5% placebo) and ele</w:t>
      </w:r>
      <w:r w:rsidR="00E00B24" w:rsidRPr="00BE78D8">
        <w:rPr>
          <w:rFonts w:eastAsiaTheme="minorHAnsi"/>
          <w:color w:val="auto"/>
          <w:szCs w:val="24"/>
          <w:lang w:val="en-US" w:eastAsia="en-US"/>
        </w:rPr>
        <w:t xml:space="preserve">vations of liver enzyme levels, </w:t>
      </w:r>
      <w:r w:rsidRPr="00BE78D8">
        <w:rPr>
          <w:rFonts w:eastAsiaTheme="minorHAnsi"/>
          <w:color w:val="auto"/>
          <w:szCs w:val="24"/>
          <w:lang w:val="en-US" w:eastAsia="en-US"/>
        </w:rPr>
        <w:t>including increases in alanine aminotransferase (7.7% lenvatinib vs. 0 place</w:t>
      </w:r>
      <w:r w:rsidR="00E00B24" w:rsidRPr="00BE78D8">
        <w:rPr>
          <w:rFonts w:eastAsiaTheme="minorHAnsi"/>
          <w:color w:val="auto"/>
          <w:szCs w:val="24"/>
          <w:lang w:val="en-US" w:eastAsia="en-US"/>
        </w:rPr>
        <w:t xml:space="preserve">bo), aspartate aminotransferase </w:t>
      </w:r>
      <w:r w:rsidRPr="00BE78D8">
        <w:rPr>
          <w:rFonts w:eastAsiaTheme="minorHAnsi"/>
          <w:color w:val="auto"/>
          <w:szCs w:val="24"/>
          <w:lang w:val="en-US" w:eastAsia="en-US"/>
        </w:rPr>
        <w:t>(6.9% lenvatinib vs. 1.5% placebo), and blood bilirubin (1.9% lenvatinib vs. 0 plac</w:t>
      </w:r>
      <w:r w:rsidR="00E00B24" w:rsidRPr="00BE78D8">
        <w:rPr>
          <w:rFonts w:eastAsiaTheme="minorHAnsi"/>
          <w:color w:val="auto"/>
          <w:szCs w:val="24"/>
          <w:lang w:val="en-US" w:eastAsia="en-US"/>
        </w:rPr>
        <w:t xml:space="preserve">ebo). The median time to </w:t>
      </w:r>
      <w:r w:rsidRPr="00BE78D8">
        <w:rPr>
          <w:rFonts w:eastAsiaTheme="minorHAnsi"/>
          <w:color w:val="auto"/>
          <w:szCs w:val="24"/>
          <w:lang w:val="en-US" w:eastAsia="en-US"/>
        </w:rPr>
        <w:t>onset of liver events in lenvatinib-treated patients was 12.1 weeks. Liver-rela</w:t>
      </w:r>
      <w:r w:rsidR="000E1EA1">
        <w:rPr>
          <w:rFonts w:eastAsiaTheme="minorHAnsi"/>
          <w:color w:val="auto"/>
          <w:szCs w:val="24"/>
          <w:lang w:val="en-US" w:eastAsia="en-US"/>
        </w:rPr>
        <w:t xml:space="preserve">ted events of Grade 3 or higher </w:t>
      </w:r>
      <w:r w:rsidRPr="00BE78D8">
        <w:rPr>
          <w:rFonts w:eastAsiaTheme="minorHAnsi"/>
          <w:color w:val="auto"/>
          <w:szCs w:val="24"/>
          <w:lang w:val="en-US" w:eastAsia="en-US"/>
        </w:rPr>
        <w:t>(including 1 Grade 5 event of hepatic failure) occurred in 5.4% of lenvatinib</w:t>
      </w:r>
      <w:r w:rsidR="00E00B24" w:rsidRPr="00BE78D8">
        <w:rPr>
          <w:rFonts w:eastAsiaTheme="minorHAnsi"/>
          <w:color w:val="auto"/>
          <w:szCs w:val="24"/>
          <w:lang w:val="en-US" w:eastAsia="en-US"/>
        </w:rPr>
        <w:t xml:space="preserve">-treated patients compared with </w:t>
      </w:r>
      <w:r w:rsidRPr="00BE78D8">
        <w:rPr>
          <w:rFonts w:eastAsiaTheme="minorHAnsi"/>
          <w:color w:val="auto"/>
          <w:szCs w:val="24"/>
          <w:lang w:val="en-US" w:eastAsia="en-US"/>
        </w:rPr>
        <w:t>0.8% in placebo-treated patients. Liver-related events led to dose interruptions and reductions in 4.6% and</w:t>
      </w:r>
      <w:r w:rsidR="000E1EA1">
        <w:rPr>
          <w:rFonts w:eastAsiaTheme="minorHAnsi"/>
          <w:color w:val="auto"/>
          <w:szCs w:val="24"/>
          <w:lang w:val="en-US" w:eastAsia="en-US"/>
        </w:rPr>
        <w:t xml:space="preserve"> </w:t>
      </w:r>
      <w:r w:rsidRPr="00BE78D8">
        <w:rPr>
          <w:rFonts w:eastAsiaTheme="minorHAnsi"/>
          <w:color w:val="auto"/>
          <w:szCs w:val="24"/>
          <w:lang w:val="en-US" w:eastAsia="en-US"/>
        </w:rPr>
        <w:t>2.7% of patients, respectively, and to per</w:t>
      </w:r>
      <w:r w:rsidR="00E00B24" w:rsidRPr="00BE78D8">
        <w:rPr>
          <w:rFonts w:eastAsiaTheme="minorHAnsi"/>
          <w:color w:val="auto"/>
          <w:szCs w:val="24"/>
          <w:lang w:val="en-US" w:eastAsia="en-US"/>
        </w:rPr>
        <w:t xml:space="preserve">manent discontinuation in 0.4%. </w:t>
      </w:r>
      <w:r w:rsidRPr="00BE78D8">
        <w:rPr>
          <w:rFonts w:eastAsiaTheme="minorHAnsi"/>
          <w:color w:val="auto"/>
          <w:szCs w:val="24"/>
          <w:lang w:val="en-US" w:eastAsia="en-US"/>
        </w:rPr>
        <w:t>Across the entire pooled analysis of safety data from clinical trials with lenvatinib (including 452 patients</w:t>
      </w:r>
      <w:r w:rsidR="000E1EA1">
        <w:rPr>
          <w:rFonts w:eastAsiaTheme="minorHAnsi"/>
          <w:color w:val="auto"/>
          <w:szCs w:val="24"/>
          <w:lang w:val="en-US" w:eastAsia="en-US"/>
        </w:rPr>
        <w:t xml:space="preserve"> </w:t>
      </w:r>
      <w:r w:rsidRPr="00BE78D8">
        <w:rPr>
          <w:rFonts w:eastAsiaTheme="minorHAnsi"/>
          <w:color w:val="auto"/>
          <w:szCs w:val="24"/>
          <w:lang w:val="en-US" w:eastAsia="en-US"/>
        </w:rPr>
        <w:t>with RR-DTC and 656 patients with other tumour types), there were 3 cases</w:t>
      </w:r>
      <w:r w:rsidR="00E00B24" w:rsidRPr="00BE78D8">
        <w:rPr>
          <w:rFonts w:eastAsiaTheme="minorHAnsi"/>
          <w:color w:val="auto"/>
          <w:szCs w:val="24"/>
          <w:lang w:val="en-US" w:eastAsia="en-US"/>
        </w:rPr>
        <w:t xml:space="preserve"> (0.3%) of hepatic failure, all </w:t>
      </w:r>
      <w:r w:rsidRPr="00BE78D8">
        <w:rPr>
          <w:rFonts w:eastAsiaTheme="minorHAnsi"/>
          <w:color w:val="auto"/>
          <w:szCs w:val="24"/>
          <w:lang w:val="en-US" w:eastAsia="en-US"/>
        </w:rPr>
        <w:t>with a fatal outcome. One occurred in a patient with no liver metastases.</w:t>
      </w:r>
      <w:r w:rsidR="00E00B24" w:rsidRPr="00BE78D8">
        <w:rPr>
          <w:rFonts w:eastAsiaTheme="minorHAnsi"/>
          <w:color w:val="auto"/>
          <w:szCs w:val="24"/>
          <w:lang w:val="en-US" w:eastAsia="en-US"/>
        </w:rPr>
        <w:t xml:space="preserve"> There was also a case of acute </w:t>
      </w:r>
      <w:r w:rsidRPr="00BE78D8">
        <w:rPr>
          <w:rFonts w:eastAsiaTheme="minorHAnsi"/>
          <w:color w:val="auto"/>
          <w:szCs w:val="24"/>
          <w:lang w:val="en-US" w:eastAsia="en-US"/>
        </w:rPr>
        <w:t>hepatitis in a patient without liver metastases.</w:t>
      </w:r>
    </w:p>
    <w:p w:rsidR="00E00B24" w:rsidRPr="00A27C80" w:rsidRDefault="00E00B24" w:rsidP="00A57B23">
      <w:pPr>
        <w:autoSpaceDE w:val="0"/>
        <w:autoSpaceDN w:val="0"/>
        <w:adjustRightInd w:val="0"/>
        <w:rPr>
          <w:rFonts w:eastAsiaTheme="minorHAnsi"/>
          <w:i/>
          <w:iCs/>
          <w:color w:val="auto"/>
          <w:szCs w:val="24"/>
          <w:lang w:val="en-US" w:eastAsia="en-US"/>
        </w:rPr>
      </w:pPr>
    </w:p>
    <w:p w:rsidR="00A57B23" w:rsidRPr="00BE78D8" w:rsidRDefault="00A57B23" w:rsidP="00A57B23">
      <w:pPr>
        <w:autoSpaceDE w:val="0"/>
        <w:autoSpaceDN w:val="0"/>
        <w:adjustRightInd w:val="0"/>
        <w:rPr>
          <w:rFonts w:eastAsiaTheme="minorHAnsi"/>
          <w:i/>
          <w:iCs/>
          <w:color w:val="auto"/>
          <w:szCs w:val="24"/>
          <w:lang w:val="en-US" w:eastAsia="en-US"/>
        </w:rPr>
      </w:pPr>
      <w:r w:rsidRPr="00BE78D8">
        <w:rPr>
          <w:rFonts w:eastAsiaTheme="minorHAnsi"/>
          <w:i/>
          <w:iCs/>
          <w:color w:val="auto"/>
          <w:szCs w:val="24"/>
          <w:lang w:val="en-US" w:eastAsia="en-US"/>
        </w:rPr>
        <w:t>Haemo</w:t>
      </w:r>
      <w:r w:rsidR="00E00B24" w:rsidRPr="00BE78D8">
        <w:rPr>
          <w:rFonts w:eastAsiaTheme="minorHAnsi"/>
          <w:i/>
          <w:iCs/>
          <w:color w:val="auto"/>
          <w:szCs w:val="24"/>
          <w:lang w:val="en-US" w:eastAsia="en-US"/>
        </w:rPr>
        <w:t>rrhagic events</w:t>
      </w:r>
    </w:p>
    <w:p w:rsidR="00E00B24" w:rsidRPr="00BE78D8" w:rsidRDefault="00A57B23" w:rsidP="00E00B24">
      <w:pPr>
        <w:autoSpaceDE w:val="0"/>
        <w:autoSpaceDN w:val="0"/>
        <w:adjustRightInd w:val="0"/>
        <w:rPr>
          <w:rFonts w:eastAsiaTheme="minorHAnsi"/>
          <w:color w:val="auto"/>
          <w:szCs w:val="24"/>
          <w:lang w:val="en-US" w:eastAsia="en-US"/>
        </w:rPr>
      </w:pPr>
      <w:r w:rsidRPr="00BE78D8">
        <w:rPr>
          <w:rFonts w:eastAsiaTheme="minorHAnsi"/>
          <w:color w:val="auto"/>
          <w:szCs w:val="24"/>
          <w:lang w:val="en-US" w:eastAsia="en-US"/>
        </w:rPr>
        <w:t>In the pivotal Phase</w:t>
      </w:r>
      <w:r w:rsidR="000E1EA1">
        <w:rPr>
          <w:rFonts w:eastAsiaTheme="minorHAnsi"/>
          <w:color w:val="auto"/>
          <w:szCs w:val="24"/>
          <w:lang w:val="en-US" w:eastAsia="en-US"/>
        </w:rPr>
        <w:t xml:space="preserve"> 3 SELECT trial (see CLINICAL TRIALS</w:t>
      </w:r>
      <w:r w:rsidRPr="00BE78D8">
        <w:rPr>
          <w:rFonts w:eastAsiaTheme="minorHAnsi"/>
          <w:color w:val="auto"/>
          <w:szCs w:val="24"/>
          <w:lang w:val="en-US" w:eastAsia="en-US"/>
        </w:rPr>
        <w:t>), haemorrhagic events were reported in 34.9% of</w:t>
      </w:r>
      <w:r w:rsidR="00E00B24" w:rsidRPr="00BE78D8">
        <w:rPr>
          <w:rFonts w:eastAsiaTheme="minorHAnsi"/>
          <w:color w:val="auto"/>
          <w:szCs w:val="24"/>
          <w:lang w:val="en-US" w:eastAsia="en-US"/>
        </w:rPr>
        <w:t xml:space="preserve"> </w:t>
      </w:r>
      <w:r w:rsidRPr="00BE78D8">
        <w:rPr>
          <w:rFonts w:eastAsiaTheme="minorHAnsi"/>
          <w:color w:val="auto"/>
          <w:szCs w:val="24"/>
          <w:lang w:val="en-US" w:eastAsia="en-US"/>
        </w:rPr>
        <w:t>lenvatinib-treated patients versus 18.3% of placebo-treated patients. Events that occurre</w:t>
      </w:r>
      <w:r w:rsidR="00E00B24" w:rsidRPr="00BE78D8">
        <w:rPr>
          <w:rFonts w:eastAsiaTheme="minorHAnsi"/>
          <w:color w:val="auto"/>
          <w:szCs w:val="24"/>
          <w:lang w:val="en-US" w:eastAsia="en-US"/>
        </w:rPr>
        <w:t xml:space="preserve">d at an incidence of </w:t>
      </w:r>
      <w:r w:rsidRPr="00BE78D8">
        <w:rPr>
          <w:rFonts w:eastAsiaTheme="minorHAnsi"/>
          <w:color w:val="auto"/>
          <w:szCs w:val="24"/>
          <w:lang w:val="en-US" w:eastAsia="en-US"/>
        </w:rPr>
        <w:t>≥0.75% above placebo were: epistaxis (11.9%), haematuria (6.5%), contusion (4.6%), gingival bleeding</w:t>
      </w:r>
      <w:r w:rsidR="00E00B24" w:rsidRPr="00BE78D8">
        <w:rPr>
          <w:rFonts w:eastAsiaTheme="minorHAnsi"/>
          <w:color w:val="auto"/>
          <w:szCs w:val="24"/>
          <w:lang w:val="en-US" w:eastAsia="en-US"/>
        </w:rPr>
        <w:t xml:space="preserve"> (2.3%), haematochezia (2.3%), rectal haemorrhage (1.5%), haematoma (1.1%), haemorrhoidal haemorrhage (1.1%), laryngeal haemorrhage (1.1%), petechiae (1.1%), and intracranial tumour haemorrhage (0.8%). The median time to first onset in lenvatinib-treated patients was 10.1 weeks. No differences between lenvatinib</w:t>
      </w:r>
      <w:r w:rsidR="008B1A90">
        <w:rPr>
          <w:rFonts w:eastAsiaTheme="minorHAnsi"/>
          <w:color w:val="auto"/>
          <w:szCs w:val="24"/>
          <w:lang w:val="en-US" w:eastAsia="en-US"/>
        </w:rPr>
        <w:t xml:space="preserve"> </w:t>
      </w:r>
      <w:r w:rsidR="00E00B24" w:rsidRPr="00BE78D8">
        <w:rPr>
          <w:rFonts w:eastAsiaTheme="minorHAnsi"/>
          <w:color w:val="auto"/>
          <w:szCs w:val="24"/>
          <w:lang w:val="en-US" w:eastAsia="en-US"/>
        </w:rPr>
        <w:t>and</w:t>
      </w:r>
      <w:r w:rsidR="000E1EA1">
        <w:rPr>
          <w:rFonts w:eastAsiaTheme="minorHAnsi"/>
          <w:color w:val="auto"/>
          <w:szCs w:val="24"/>
          <w:lang w:val="en-US" w:eastAsia="en-US"/>
        </w:rPr>
        <w:t xml:space="preserve"> </w:t>
      </w:r>
      <w:r w:rsidR="00E00B24" w:rsidRPr="00BE78D8">
        <w:rPr>
          <w:rFonts w:eastAsiaTheme="minorHAnsi"/>
          <w:color w:val="auto"/>
          <w:szCs w:val="24"/>
          <w:lang w:val="en-US" w:eastAsia="en-US"/>
        </w:rPr>
        <w:t xml:space="preserve">placebo-treated patients were observed in the incidences of serious adverse events (3.4% vs. 3.8%), events leading to premature discontinuation (1.1% vs. 1.5%), or events leading to dose interruption (3.4% vs. 3.8%) or reduction (0.4% vs. 0). Across the entire pooled analysis of safety data from clinical trials with lenvatinib (including 452 patients with </w:t>
      </w:r>
      <w:r w:rsidR="00B27DF9" w:rsidRPr="00725905">
        <w:t>RAI - Refractory DTC</w:t>
      </w:r>
      <w:r w:rsidR="00B27DF9" w:rsidRPr="00BE78D8" w:rsidDel="00B27DF9">
        <w:rPr>
          <w:rFonts w:eastAsiaTheme="minorHAnsi"/>
          <w:color w:val="auto"/>
          <w:szCs w:val="24"/>
          <w:lang w:val="en-US" w:eastAsia="en-US"/>
        </w:rPr>
        <w:t xml:space="preserve"> </w:t>
      </w:r>
      <w:r w:rsidR="00E00B24" w:rsidRPr="00BE78D8">
        <w:rPr>
          <w:rFonts w:eastAsiaTheme="minorHAnsi"/>
          <w:color w:val="auto"/>
          <w:szCs w:val="24"/>
          <w:lang w:val="en-US" w:eastAsia="en-US"/>
        </w:rPr>
        <w:t>and 656 patients with other tumour types), 3 patients (0.3%) had a Grade 4 haemorrhage and</w:t>
      </w:r>
      <w:r w:rsidR="00352697">
        <w:rPr>
          <w:rFonts w:eastAsiaTheme="minorHAnsi"/>
          <w:color w:val="auto"/>
          <w:szCs w:val="24"/>
          <w:lang w:val="en-US" w:eastAsia="en-US"/>
        </w:rPr>
        <w:t xml:space="preserve"> </w:t>
      </w:r>
      <w:r w:rsidR="00E00B24" w:rsidRPr="00BE78D8">
        <w:rPr>
          <w:rFonts w:eastAsiaTheme="minorHAnsi"/>
          <w:color w:val="auto"/>
          <w:szCs w:val="24"/>
          <w:lang w:val="en-US" w:eastAsia="en-US"/>
        </w:rPr>
        <w:t xml:space="preserve">5 patients (0.5%) had a Grade 5 event including 3 </w:t>
      </w:r>
      <w:r w:rsidR="00B27DF9" w:rsidRPr="00725905">
        <w:t>RAI - Refractory DTC</w:t>
      </w:r>
      <w:r w:rsidR="00B27DF9" w:rsidRPr="00BE78D8" w:rsidDel="00B27DF9">
        <w:rPr>
          <w:rFonts w:eastAsiaTheme="minorHAnsi"/>
          <w:color w:val="auto"/>
          <w:szCs w:val="24"/>
          <w:lang w:val="en-US" w:eastAsia="en-US"/>
        </w:rPr>
        <w:t xml:space="preserve"> </w:t>
      </w:r>
      <w:r w:rsidR="00E00B24" w:rsidRPr="00BE78D8">
        <w:rPr>
          <w:rFonts w:eastAsiaTheme="minorHAnsi"/>
          <w:color w:val="auto"/>
          <w:szCs w:val="24"/>
          <w:lang w:val="en-US" w:eastAsia="en-US"/>
        </w:rPr>
        <w:t>patients with arterial haemorrhage, haemorrhagic stroke, and intracranial tumour haemorrhage, and 2 patients with other forms of cancer who experienced haemoptysis and tumour haemorrhage.</w:t>
      </w:r>
    </w:p>
    <w:p w:rsidR="00E00B24" w:rsidRPr="00BE78D8" w:rsidRDefault="00E00B24" w:rsidP="00E00B24">
      <w:pPr>
        <w:autoSpaceDE w:val="0"/>
        <w:autoSpaceDN w:val="0"/>
        <w:adjustRightInd w:val="0"/>
        <w:rPr>
          <w:rFonts w:eastAsiaTheme="minorHAnsi"/>
          <w:i/>
          <w:iCs/>
          <w:color w:val="auto"/>
          <w:szCs w:val="24"/>
          <w:lang w:val="en-US" w:eastAsia="en-US"/>
        </w:rPr>
      </w:pPr>
    </w:p>
    <w:p w:rsidR="00E00B24" w:rsidRPr="00BE78D8" w:rsidRDefault="00E00B24" w:rsidP="00E00B24">
      <w:pPr>
        <w:autoSpaceDE w:val="0"/>
        <w:autoSpaceDN w:val="0"/>
        <w:adjustRightInd w:val="0"/>
        <w:rPr>
          <w:rFonts w:eastAsiaTheme="minorHAnsi"/>
          <w:i/>
          <w:iCs/>
          <w:color w:val="auto"/>
          <w:szCs w:val="24"/>
          <w:lang w:val="en-US" w:eastAsia="en-US"/>
        </w:rPr>
      </w:pPr>
      <w:r w:rsidRPr="00BE78D8">
        <w:rPr>
          <w:rFonts w:eastAsiaTheme="minorHAnsi"/>
          <w:i/>
          <w:iCs/>
          <w:color w:val="auto"/>
          <w:szCs w:val="24"/>
          <w:lang w:val="en-US" w:eastAsia="en-US"/>
        </w:rPr>
        <w:t>Hypocalcaemia</w:t>
      </w:r>
    </w:p>
    <w:p w:rsidR="00A57B23" w:rsidRPr="00BE78D8" w:rsidRDefault="00E00B24" w:rsidP="00E00B24">
      <w:pPr>
        <w:autoSpaceDE w:val="0"/>
        <w:autoSpaceDN w:val="0"/>
        <w:adjustRightInd w:val="0"/>
        <w:rPr>
          <w:rFonts w:eastAsiaTheme="minorHAnsi"/>
          <w:color w:val="auto"/>
          <w:szCs w:val="24"/>
          <w:lang w:val="en-US" w:eastAsia="en-US"/>
        </w:rPr>
      </w:pPr>
      <w:r w:rsidRPr="00BE78D8">
        <w:rPr>
          <w:rFonts w:eastAsiaTheme="minorHAnsi"/>
          <w:color w:val="auto"/>
          <w:szCs w:val="24"/>
          <w:lang w:val="en-US" w:eastAsia="en-US"/>
        </w:rPr>
        <w:t>In the pivotal Phase</w:t>
      </w:r>
      <w:r w:rsidR="00352697">
        <w:rPr>
          <w:rFonts w:eastAsiaTheme="minorHAnsi"/>
          <w:color w:val="auto"/>
          <w:szCs w:val="24"/>
          <w:lang w:val="en-US" w:eastAsia="en-US"/>
        </w:rPr>
        <w:t xml:space="preserve"> 3 SELECT trial (see CLINICAL TRIALS</w:t>
      </w:r>
      <w:r w:rsidRPr="00BE78D8">
        <w:rPr>
          <w:rFonts w:eastAsiaTheme="minorHAnsi"/>
          <w:color w:val="auto"/>
          <w:szCs w:val="24"/>
          <w:lang w:val="en-US" w:eastAsia="en-US"/>
        </w:rPr>
        <w:t>), hypocalcaemia was reported in 12.6% of lenvatinib</w:t>
      </w:r>
      <w:r w:rsidR="007C36D5">
        <w:rPr>
          <w:rFonts w:eastAsiaTheme="minorHAnsi"/>
          <w:color w:val="auto"/>
          <w:szCs w:val="24"/>
          <w:lang w:val="en-US" w:eastAsia="en-US"/>
        </w:rPr>
        <w:t xml:space="preserve"> </w:t>
      </w:r>
      <w:r w:rsidRPr="00BE78D8">
        <w:rPr>
          <w:rFonts w:eastAsiaTheme="minorHAnsi"/>
          <w:color w:val="auto"/>
          <w:szCs w:val="24"/>
          <w:lang w:val="en-US" w:eastAsia="en-US"/>
        </w:rPr>
        <w:t xml:space="preserve">treated patients vs. no events in the placebo arm. The median time to first onset in lenvatinib-treated patients was 11.1 weeks. Events of Grade 3 or 4 </w:t>
      </w:r>
      <w:proofErr w:type="gramStart"/>
      <w:r w:rsidRPr="00BE78D8">
        <w:rPr>
          <w:rFonts w:eastAsiaTheme="minorHAnsi"/>
          <w:color w:val="auto"/>
          <w:szCs w:val="24"/>
          <w:lang w:val="en-US" w:eastAsia="en-US"/>
        </w:rPr>
        <w:t>severity</w:t>
      </w:r>
      <w:proofErr w:type="gramEnd"/>
      <w:r w:rsidRPr="00BE78D8">
        <w:rPr>
          <w:rFonts w:eastAsiaTheme="minorHAnsi"/>
          <w:color w:val="auto"/>
          <w:szCs w:val="24"/>
          <w:lang w:val="en-US" w:eastAsia="en-US"/>
        </w:rPr>
        <w:t xml:space="preserve"> occurred in 5.0% of lenvatinib-treated vs 0 placebo-treated patients. Most events resolved following supportive treatment, without dose interruption or reduction, which occurred in 1.5% and 1.1% of patients, respectively; 1 patient with Grade 4 hypocalcaemia discontinued treatment permanently.</w:t>
      </w:r>
    </w:p>
    <w:p w:rsidR="00E00B24" w:rsidRPr="00BE78D8" w:rsidRDefault="00E00B24" w:rsidP="00CB2DC4">
      <w:pPr>
        <w:autoSpaceDE w:val="0"/>
        <w:autoSpaceDN w:val="0"/>
        <w:adjustRightInd w:val="0"/>
        <w:rPr>
          <w:rFonts w:eastAsiaTheme="minorHAnsi"/>
          <w:color w:val="auto"/>
          <w:szCs w:val="24"/>
          <w:lang w:val="en-US" w:eastAsia="en-US"/>
        </w:rPr>
      </w:pPr>
    </w:p>
    <w:p w:rsidR="00E00B24" w:rsidRPr="00BE78D8" w:rsidRDefault="00E00B24" w:rsidP="00E00B24">
      <w:pPr>
        <w:autoSpaceDE w:val="0"/>
        <w:autoSpaceDN w:val="0"/>
        <w:adjustRightInd w:val="0"/>
        <w:rPr>
          <w:rFonts w:eastAsiaTheme="minorHAnsi"/>
          <w:b/>
          <w:color w:val="auto"/>
          <w:szCs w:val="24"/>
          <w:lang w:val="en-US" w:eastAsia="en-US"/>
        </w:rPr>
      </w:pPr>
      <w:r w:rsidRPr="00BE78D8">
        <w:rPr>
          <w:rFonts w:eastAsiaTheme="minorHAnsi"/>
          <w:b/>
          <w:color w:val="auto"/>
          <w:szCs w:val="24"/>
          <w:lang w:val="en-US" w:eastAsia="en-US"/>
        </w:rPr>
        <w:t>Other special populations</w:t>
      </w:r>
    </w:p>
    <w:p w:rsidR="00E00B24" w:rsidRPr="00BE78D8" w:rsidRDefault="00E00B24" w:rsidP="00E00B24">
      <w:pPr>
        <w:autoSpaceDE w:val="0"/>
        <w:autoSpaceDN w:val="0"/>
        <w:adjustRightInd w:val="0"/>
        <w:rPr>
          <w:rFonts w:eastAsiaTheme="minorHAnsi"/>
          <w:i/>
          <w:iCs/>
          <w:color w:val="auto"/>
          <w:szCs w:val="24"/>
          <w:lang w:val="en-US" w:eastAsia="en-US"/>
        </w:rPr>
      </w:pPr>
      <w:r w:rsidRPr="00BE78D8">
        <w:rPr>
          <w:rFonts w:eastAsiaTheme="minorHAnsi"/>
          <w:i/>
          <w:iCs/>
          <w:color w:val="auto"/>
          <w:szCs w:val="24"/>
          <w:lang w:val="en-US" w:eastAsia="en-US"/>
        </w:rPr>
        <w:t>Elderly</w:t>
      </w:r>
    </w:p>
    <w:p w:rsidR="00E00B24" w:rsidRPr="00BE78D8" w:rsidRDefault="00E00B24" w:rsidP="00E00B24">
      <w:pPr>
        <w:autoSpaceDE w:val="0"/>
        <w:autoSpaceDN w:val="0"/>
        <w:adjustRightInd w:val="0"/>
        <w:rPr>
          <w:rFonts w:eastAsiaTheme="minorHAnsi"/>
          <w:color w:val="auto"/>
          <w:szCs w:val="24"/>
          <w:lang w:val="en-US" w:eastAsia="en-US"/>
        </w:rPr>
      </w:pPr>
      <w:r w:rsidRPr="00BE78D8">
        <w:rPr>
          <w:rFonts w:eastAsiaTheme="minorHAnsi"/>
          <w:color w:val="auto"/>
          <w:szCs w:val="24"/>
          <w:lang w:val="en-US" w:eastAsia="en-US"/>
        </w:rPr>
        <w:t xml:space="preserve">Patients of age ≥75 years were more likely to experience Grade 3 </w:t>
      </w:r>
      <w:r w:rsidR="002125F6">
        <w:rPr>
          <w:rFonts w:eastAsiaTheme="minorHAnsi"/>
          <w:color w:val="auto"/>
          <w:szCs w:val="24"/>
          <w:lang w:val="en-US" w:eastAsia="en-US"/>
        </w:rPr>
        <w:t>or</w:t>
      </w:r>
      <w:r w:rsidR="002125F6" w:rsidRPr="00BE78D8">
        <w:rPr>
          <w:rFonts w:eastAsiaTheme="minorHAnsi"/>
          <w:color w:val="auto"/>
          <w:szCs w:val="24"/>
          <w:lang w:val="en-US" w:eastAsia="en-US"/>
        </w:rPr>
        <w:t xml:space="preserve"> </w:t>
      </w:r>
      <w:r w:rsidRPr="00BE78D8">
        <w:rPr>
          <w:rFonts w:eastAsiaTheme="minorHAnsi"/>
          <w:color w:val="auto"/>
          <w:szCs w:val="24"/>
          <w:lang w:val="en-US" w:eastAsia="en-US"/>
        </w:rPr>
        <w:t>4 hypertension, proteinuria, decreased appetite, and dehydration.</w:t>
      </w:r>
    </w:p>
    <w:p w:rsidR="00E00B24" w:rsidRPr="00BE78D8" w:rsidRDefault="00E00B24" w:rsidP="006A0962">
      <w:pPr>
        <w:pageBreakBefore/>
        <w:autoSpaceDE w:val="0"/>
        <w:autoSpaceDN w:val="0"/>
        <w:adjustRightInd w:val="0"/>
        <w:rPr>
          <w:rFonts w:eastAsiaTheme="minorHAnsi"/>
          <w:i/>
          <w:iCs/>
          <w:color w:val="auto"/>
          <w:szCs w:val="24"/>
          <w:lang w:val="en-US" w:eastAsia="en-US"/>
        </w:rPr>
      </w:pPr>
      <w:bookmarkStart w:id="1" w:name="_GoBack"/>
      <w:bookmarkEnd w:id="1"/>
      <w:r w:rsidRPr="00BE78D8">
        <w:rPr>
          <w:rFonts w:eastAsiaTheme="minorHAnsi"/>
          <w:i/>
          <w:iCs/>
          <w:color w:val="auto"/>
          <w:szCs w:val="24"/>
          <w:lang w:val="en-US" w:eastAsia="en-US"/>
        </w:rPr>
        <w:lastRenderedPageBreak/>
        <w:t>Sex</w:t>
      </w:r>
    </w:p>
    <w:p w:rsidR="00E00B24" w:rsidRPr="00BE78D8" w:rsidRDefault="00E00B24" w:rsidP="00E00B24">
      <w:pPr>
        <w:autoSpaceDE w:val="0"/>
        <w:autoSpaceDN w:val="0"/>
        <w:adjustRightInd w:val="0"/>
        <w:rPr>
          <w:rFonts w:eastAsiaTheme="minorHAnsi"/>
          <w:color w:val="auto"/>
          <w:szCs w:val="24"/>
          <w:lang w:val="en-US" w:eastAsia="en-US"/>
        </w:rPr>
      </w:pPr>
      <w:r w:rsidRPr="00BE78D8">
        <w:rPr>
          <w:rFonts w:eastAsiaTheme="minorHAnsi"/>
          <w:color w:val="auto"/>
          <w:szCs w:val="24"/>
          <w:lang w:val="en-US" w:eastAsia="en-US"/>
        </w:rPr>
        <w:t xml:space="preserve">Females had a higher incidence of hypertension (including Grade 3 or </w:t>
      </w:r>
      <w:proofErr w:type="gramStart"/>
      <w:r w:rsidRPr="00BE78D8">
        <w:rPr>
          <w:rFonts w:eastAsiaTheme="minorHAnsi"/>
          <w:color w:val="auto"/>
          <w:szCs w:val="24"/>
          <w:lang w:val="en-US" w:eastAsia="en-US"/>
        </w:rPr>
        <w:t>4 hypertension</w:t>
      </w:r>
      <w:proofErr w:type="gramEnd"/>
      <w:r w:rsidRPr="00BE78D8">
        <w:rPr>
          <w:rFonts w:eastAsiaTheme="minorHAnsi"/>
          <w:color w:val="auto"/>
          <w:szCs w:val="24"/>
          <w:lang w:val="en-US" w:eastAsia="en-US"/>
        </w:rPr>
        <w:t>), proteinuria, and PPE, while males had a higher incidence of decreased ejection fraction and gastrointestinal perforation and fistula formation.</w:t>
      </w:r>
    </w:p>
    <w:p w:rsidR="00352697" w:rsidRDefault="00352697" w:rsidP="00E00B24">
      <w:pPr>
        <w:autoSpaceDE w:val="0"/>
        <w:autoSpaceDN w:val="0"/>
        <w:adjustRightInd w:val="0"/>
        <w:rPr>
          <w:rFonts w:eastAsiaTheme="minorHAnsi"/>
          <w:i/>
          <w:iCs/>
          <w:color w:val="auto"/>
          <w:szCs w:val="24"/>
          <w:lang w:val="en-US" w:eastAsia="en-US"/>
        </w:rPr>
      </w:pPr>
    </w:p>
    <w:p w:rsidR="00352697" w:rsidRPr="00352697" w:rsidRDefault="00E00B24" w:rsidP="00E00B24">
      <w:pPr>
        <w:autoSpaceDE w:val="0"/>
        <w:autoSpaceDN w:val="0"/>
        <w:adjustRightInd w:val="0"/>
        <w:rPr>
          <w:rFonts w:eastAsiaTheme="minorHAnsi"/>
          <w:i/>
          <w:iCs/>
          <w:color w:val="auto"/>
          <w:szCs w:val="24"/>
          <w:lang w:val="en-US" w:eastAsia="en-US"/>
        </w:rPr>
      </w:pPr>
      <w:r w:rsidRPr="00BE78D8">
        <w:rPr>
          <w:rFonts w:eastAsiaTheme="minorHAnsi"/>
          <w:i/>
          <w:iCs/>
          <w:color w:val="auto"/>
          <w:szCs w:val="24"/>
          <w:lang w:val="en-US" w:eastAsia="en-US"/>
        </w:rPr>
        <w:t>Race</w:t>
      </w:r>
    </w:p>
    <w:p w:rsidR="00E00B24" w:rsidRPr="00BE78D8" w:rsidRDefault="00E00B24" w:rsidP="00E00B24">
      <w:pPr>
        <w:autoSpaceDE w:val="0"/>
        <w:autoSpaceDN w:val="0"/>
        <w:adjustRightInd w:val="0"/>
        <w:rPr>
          <w:rFonts w:eastAsiaTheme="minorHAnsi"/>
          <w:color w:val="auto"/>
          <w:szCs w:val="24"/>
          <w:lang w:val="en-US" w:eastAsia="en-US"/>
        </w:rPr>
      </w:pPr>
      <w:r w:rsidRPr="00BE78D8">
        <w:rPr>
          <w:rFonts w:eastAsiaTheme="minorHAnsi"/>
          <w:color w:val="auto"/>
          <w:szCs w:val="24"/>
          <w:lang w:val="en-US" w:eastAsia="en-US"/>
        </w:rPr>
        <w:t xml:space="preserve">Asian patients had a higher incidence than Caucasian patients of oedema peripheral, fatigue, PPE, proteinuria, thrombocytopenia, and blood thyroid stimulating hormone increased. Japanese patients had a higher incidence of Grade 3 </w:t>
      </w:r>
      <w:r w:rsidR="002125F6">
        <w:rPr>
          <w:rFonts w:eastAsiaTheme="minorHAnsi"/>
          <w:color w:val="auto"/>
          <w:szCs w:val="24"/>
          <w:lang w:val="en-US" w:eastAsia="en-US"/>
        </w:rPr>
        <w:t>or</w:t>
      </w:r>
      <w:r w:rsidR="002125F6" w:rsidRPr="00BE78D8">
        <w:rPr>
          <w:rFonts w:eastAsiaTheme="minorHAnsi"/>
          <w:color w:val="auto"/>
          <w:szCs w:val="24"/>
          <w:lang w:val="en-US" w:eastAsia="en-US"/>
        </w:rPr>
        <w:t xml:space="preserve"> </w:t>
      </w:r>
      <w:r w:rsidRPr="00BE78D8">
        <w:rPr>
          <w:rFonts w:eastAsiaTheme="minorHAnsi"/>
          <w:color w:val="auto"/>
          <w:szCs w:val="24"/>
          <w:lang w:val="en-US" w:eastAsia="en-US"/>
        </w:rPr>
        <w:t>4 hypertension, decreased appetite, fatigue, and thrombocytopenia compared with non-Japanese subjects.</w:t>
      </w:r>
    </w:p>
    <w:p w:rsidR="00352697" w:rsidRDefault="00352697" w:rsidP="00E00B24">
      <w:pPr>
        <w:autoSpaceDE w:val="0"/>
        <w:autoSpaceDN w:val="0"/>
        <w:adjustRightInd w:val="0"/>
        <w:rPr>
          <w:rFonts w:eastAsiaTheme="minorHAnsi"/>
          <w:i/>
          <w:iCs/>
          <w:color w:val="auto"/>
          <w:szCs w:val="24"/>
          <w:lang w:val="en-US" w:eastAsia="en-US"/>
        </w:rPr>
      </w:pPr>
    </w:p>
    <w:p w:rsidR="00E00B24" w:rsidRPr="00BE78D8" w:rsidRDefault="00E00B24" w:rsidP="00E00B24">
      <w:pPr>
        <w:autoSpaceDE w:val="0"/>
        <w:autoSpaceDN w:val="0"/>
        <w:adjustRightInd w:val="0"/>
        <w:rPr>
          <w:rFonts w:eastAsiaTheme="minorHAnsi"/>
          <w:i/>
          <w:iCs/>
          <w:color w:val="auto"/>
          <w:szCs w:val="24"/>
          <w:lang w:val="en-US" w:eastAsia="en-US"/>
        </w:rPr>
      </w:pPr>
      <w:r w:rsidRPr="00BE78D8">
        <w:rPr>
          <w:rFonts w:eastAsiaTheme="minorHAnsi"/>
          <w:i/>
          <w:iCs/>
          <w:color w:val="auto"/>
          <w:szCs w:val="24"/>
          <w:lang w:val="en-US" w:eastAsia="en-US"/>
        </w:rPr>
        <w:t>Baseline hypertension</w:t>
      </w:r>
    </w:p>
    <w:p w:rsidR="00E00B24" w:rsidRPr="00BE78D8" w:rsidRDefault="00E00B24" w:rsidP="00E00B24">
      <w:pPr>
        <w:autoSpaceDE w:val="0"/>
        <w:autoSpaceDN w:val="0"/>
        <w:adjustRightInd w:val="0"/>
        <w:rPr>
          <w:rFonts w:eastAsiaTheme="minorHAnsi"/>
          <w:color w:val="auto"/>
          <w:szCs w:val="24"/>
          <w:lang w:val="en-US" w:eastAsia="en-US"/>
        </w:rPr>
      </w:pPr>
      <w:r w:rsidRPr="00BE78D8">
        <w:rPr>
          <w:rFonts w:eastAsiaTheme="minorHAnsi"/>
          <w:color w:val="auto"/>
          <w:szCs w:val="24"/>
          <w:lang w:val="en-US" w:eastAsia="en-US"/>
        </w:rPr>
        <w:t xml:space="preserve">Patients with baseline hypertension had a higher incidence of Grade 3 </w:t>
      </w:r>
      <w:r w:rsidR="002125F6">
        <w:rPr>
          <w:rFonts w:eastAsiaTheme="minorHAnsi"/>
          <w:color w:val="auto"/>
          <w:szCs w:val="24"/>
          <w:lang w:val="en-US" w:eastAsia="en-US"/>
        </w:rPr>
        <w:t>or</w:t>
      </w:r>
      <w:r w:rsidR="002125F6" w:rsidRPr="00BE78D8">
        <w:rPr>
          <w:rFonts w:eastAsiaTheme="minorHAnsi"/>
          <w:color w:val="auto"/>
          <w:szCs w:val="24"/>
          <w:lang w:val="en-US" w:eastAsia="en-US"/>
        </w:rPr>
        <w:t xml:space="preserve"> </w:t>
      </w:r>
      <w:r w:rsidRPr="00BE78D8">
        <w:rPr>
          <w:rFonts w:eastAsiaTheme="minorHAnsi"/>
          <w:color w:val="auto"/>
          <w:szCs w:val="24"/>
          <w:lang w:val="en-US" w:eastAsia="en-US"/>
        </w:rPr>
        <w:t>4 hypertension, proteinuria, diarrhoea, and dehydration, and experienced more serious events of dehydration, hypotension, pulmonary embolism, and GI symptoms (abdominal pain, diarrhoea, vomiting).</w:t>
      </w:r>
    </w:p>
    <w:p w:rsidR="00352697" w:rsidRDefault="00352697" w:rsidP="00E00B24">
      <w:pPr>
        <w:autoSpaceDE w:val="0"/>
        <w:autoSpaceDN w:val="0"/>
        <w:adjustRightInd w:val="0"/>
        <w:rPr>
          <w:rFonts w:eastAsiaTheme="minorHAnsi"/>
          <w:i/>
          <w:iCs/>
          <w:color w:val="auto"/>
          <w:szCs w:val="24"/>
          <w:lang w:val="en-US" w:eastAsia="en-US"/>
        </w:rPr>
      </w:pPr>
    </w:p>
    <w:p w:rsidR="00E00B24" w:rsidRPr="00BE78D8" w:rsidRDefault="00E00B24" w:rsidP="00E00B24">
      <w:pPr>
        <w:autoSpaceDE w:val="0"/>
        <w:autoSpaceDN w:val="0"/>
        <w:adjustRightInd w:val="0"/>
        <w:rPr>
          <w:rFonts w:eastAsiaTheme="minorHAnsi"/>
          <w:i/>
          <w:iCs/>
          <w:color w:val="auto"/>
          <w:szCs w:val="24"/>
          <w:lang w:val="en-US" w:eastAsia="en-US"/>
        </w:rPr>
      </w:pPr>
      <w:r w:rsidRPr="00BE78D8">
        <w:rPr>
          <w:rFonts w:eastAsiaTheme="minorHAnsi"/>
          <w:i/>
          <w:iCs/>
          <w:color w:val="auto"/>
          <w:szCs w:val="24"/>
          <w:lang w:val="en-US" w:eastAsia="en-US"/>
        </w:rPr>
        <w:t>Hepatic impairment</w:t>
      </w:r>
    </w:p>
    <w:p w:rsidR="00E00B24" w:rsidRPr="00BE78D8" w:rsidRDefault="00E00B24" w:rsidP="00E00B24">
      <w:pPr>
        <w:autoSpaceDE w:val="0"/>
        <w:autoSpaceDN w:val="0"/>
        <w:adjustRightInd w:val="0"/>
        <w:rPr>
          <w:rFonts w:eastAsiaTheme="minorHAnsi"/>
          <w:color w:val="auto"/>
          <w:szCs w:val="24"/>
          <w:lang w:val="en-US" w:eastAsia="en-US"/>
        </w:rPr>
      </w:pPr>
      <w:r w:rsidRPr="00BE78D8">
        <w:rPr>
          <w:rFonts w:eastAsiaTheme="minorHAnsi"/>
          <w:color w:val="auto"/>
          <w:szCs w:val="24"/>
          <w:lang w:val="en-US" w:eastAsia="en-US"/>
        </w:rPr>
        <w:t>Patients with baseline hepatic impairment had a higher incidence of hypertension and PPE, and a higher incidence of Grade 3 or 4 hypertension, asthenia, fatigue, and hypocalcaemia compared with patients with normal hepatic function.</w:t>
      </w:r>
    </w:p>
    <w:p w:rsidR="00352697" w:rsidRDefault="00352697" w:rsidP="00E00B24">
      <w:pPr>
        <w:autoSpaceDE w:val="0"/>
        <w:autoSpaceDN w:val="0"/>
        <w:adjustRightInd w:val="0"/>
        <w:rPr>
          <w:rFonts w:eastAsiaTheme="minorHAnsi"/>
          <w:i/>
          <w:iCs/>
          <w:color w:val="auto"/>
          <w:szCs w:val="24"/>
          <w:lang w:val="en-US" w:eastAsia="en-US"/>
        </w:rPr>
      </w:pPr>
    </w:p>
    <w:p w:rsidR="00E00B24" w:rsidRPr="00BE78D8" w:rsidRDefault="00E00B24" w:rsidP="00E00B24">
      <w:pPr>
        <w:autoSpaceDE w:val="0"/>
        <w:autoSpaceDN w:val="0"/>
        <w:adjustRightInd w:val="0"/>
        <w:rPr>
          <w:rFonts w:eastAsiaTheme="minorHAnsi"/>
          <w:i/>
          <w:iCs/>
          <w:color w:val="auto"/>
          <w:szCs w:val="24"/>
          <w:lang w:val="en-US" w:eastAsia="en-US"/>
        </w:rPr>
      </w:pPr>
      <w:r w:rsidRPr="00BE78D8">
        <w:rPr>
          <w:rFonts w:eastAsiaTheme="minorHAnsi"/>
          <w:i/>
          <w:iCs/>
          <w:color w:val="auto"/>
          <w:szCs w:val="24"/>
          <w:lang w:val="en-US" w:eastAsia="en-US"/>
        </w:rPr>
        <w:t>Renal impairment</w:t>
      </w:r>
    </w:p>
    <w:p w:rsidR="00E00B24" w:rsidRPr="00BE78D8" w:rsidRDefault="00E00B24" w:rsidP="00E00B24">
      <w:pPr>
        <w:autoSpaceDE w:val="0"/>
        <w:autoSpaceDN w:val="0"/>
        <w:adjustRightInd w:val="0"/>
        <w:rPr>
          <w:rFonts w:eastAsiaTheme="minorHAnsi"/>
          <w:color w:val="auto"/>
          <w:szCs w:val="24"/>
          <w:lang w:val="en-US" w:eastAsia="en-US"/>
        </w:rPr>
      </w:pPr>
      <w:r w:rsidRPr="00BE78D8">
        <w:rPr>
          <w:rFonts w:eastAsiaTheme="minorHAnsi"/>
          <w:color w:val="auto"/>
          <w:szCs w:val="24"/>
          <w:lang w:val="en-US" w:eastAsia="en-US"/>
        </w:rPr>
        <w:t xml:space="preserve">Patients with baseline renal impairment had a higher incidence of Grade 3 </w:t>
      </w:r>
      <w:r w:rsidR="002125F6">
        <w:rPr>
          <w:rFonts w:eastAsiaTheme="minorHAnsi"/>
          <w:color w:val="auto"/>
          <w:szCs w:val="24"/>
          <w:lang w:val="en-US" w:eastAsia="en-US"/>
        </w:rPr>
        <w:t>or</w:t>
      </w:r>
      <w:r w:rsidR="002125F6" w:rsidRPr="00BE78D8">
        <w:rPr>
          <w:rFonts w:eastAsiaTheme="minorHAnsi"/>
          <w:color w:val="auto"/>
          <w:szCs w:val="24"/>
          <w:lang w:val="en-US" w:eastAsia="en-US"/>
        </w:rPr>
        <w:t xml:space="preserve"> </w:t>
      </w:r>
      <w:r w:rsidRPr="00BE78D8">
        <w:rPr>
          <w:rFonts w:eastAsiaTheme="minorHAnsi"/>
          <w:color w:val="auto"/>
          <w:szCs w:val="24"/>
          <w:lang w:val="en-US" w:eastAsia="en-US"/>
        </w:rPr>
        <w:t>4 hypertension, proteinuria, fatigue, stomatitis, oedema peripheral, thrombocytopenia, dehydration, prolonged electrocardiogram QT, hypothyroidism, hyponatraemia, and blood thyroid stimulating hormone increased compared with subjects with normal renal function. These patients also had a higher incidence of renal events and a trend towards a higher incidence of liver events.</w:t>
      </w:r>
    </w:p>
    <w:p w:rsidR="00946012" w:rsidRPr="00BE78D8" w:rsidRDefault="00946012" w:rsidP="00E00B24">
      <w:pPr>
        <w:autoSpaceDE w:val="0"/>
        <w:autoSpaceDN w:val="0"/>
        <w:adjustRightInd w:val="0"/>
        <w:rPr>
          <w:rFonts w:eastAsiaTheme="minorHAnsi"/>
          <w:color w:val="auto"/>
          <w:szCs w:val="24"/>
          <w:lang w:val="en-US" w:eastAsia="en-US"/>
        </w:rPr>
      </w:pPr>
    </w:p>
    <w:p w:rsidR="00946012" w:rsidRPr="00BE78D8" w:rsidRDefault="00946012" w:rsidP="009A1D5E">
      <w:pPr>
        <w:keepNext/>
        <w:autoSpaceDE w:val="0"/>
        <w:autoSpaceDN w:val="0"/>
        <w:adjustRightInd w:val="0"/>
        <w:rPr>
          <w:rFonts w:eastAsiaTheme="minorHAnsi"/>
          <w:b/>
          <w:color w:val="auto"/>
          <w:szCs w:val="24"/>
          <w:lang w:val="en-US" w:eastAsia="en-US"/>
        </w:rPr>
      </w:pPr>
      <w:r w:rsidRPr="00BE78D8">
        <w:rPr>
          <w:rFonts w:eastAsiaTheme="minorHAnsi"/>
          <w:b/>
          <w:color w:val="auto"/>
          <w:szCs w:val="24"/>
          <w:lang w:val="en-US" w:eastAsia="en-US"/>
        </w:rPr>
        <w:t>DOSAGE AND ADMINISTRATION</w:t>
      </w:r>
    </w:p>
    <w:p w:rsidR="00946012" w:rsidRPr="00BE78D8" w:rsidRDefault="00946012" w:rsidP="009A1D5E">
      <w:pPr>
        <w:keepNext/>
        <w:autoSpaceDE w:val="0"/>
        <w:autoSpaceDN w:val="0"/>
        <w:adjustRightInd w:val="0"/>
        <w:rPr>
          <w:rFonts w:eastAsiaTheme="minorHAnsi"/>
          <w:b/>
          <w:color w:val="auto"/>
          <w:szCs w:val="24"/>
          <w:lang w:val="en-US" w:eastAsia="en-US"/>
        </w:rPr>
      </w:pPr>
    </w:p>
    <w:p w:rsidR="00946012" w:rsidRPr="00BE78D8" w:rsidRDefault="00946012" w:rsidP="009A1D5E">
      <w:pPr>
        <w:keepNext/>
        <w:autoSpaceDE w:val="0"/>
        <w:autoSpaceDN w:val="0"/>
        <w:adjustRightInd w:val="0"/>
        <w:rPr>
          <w:rFonts w:eastAsiaTheme="minorHAnsi"/>
          <w:color w:val="auto"/>
          <w:szCs w:val="24"/>
          <w:lang w:val="en-US" w:eastAsia="en-US"/>
        </w:rPr>
      </w:pPr>
      <w:r w:rsidRPr="00BE78D8">
        <w:rPr>
          <w:rFonts w:eastAsiaTheme="minorHAnsi"/>
          <w:color w:val="auto"/>
          <w:szCs w:val="24"/>
          <w:lang w:val="en-US" w:eastAsia="en-US"/>
        </w:rPr>
        <w:t>LENVIMA treatment should be supervised by a health care professional exper</w:t>
      </w:r>
      <w:r w:rsidR="00B405EF" w:rsidRPr="00BE78D8">
        <w:rPr>
          <w:rFonts w:eastAsiaTheme="minorHAnsi"/>
          <w:color w:val="auto"/>
          <w:szCs w:val="24"/>
          <w:lang w:val="en-US" w:eastAsia="en-US"/>
        </w:rPr>
        <w:t xml:space="preserve">ienced in the use of anticancer </w:t>
      </w:r>
      <w:r w:rsidRPr="00BE78D8">
        <w:rPr>
          <w:rFonts w:eastAsiaTheme="minorHAnsi"/>
          <w:color w:val="auto"/>
          <w:szCs w:val="24"/>
          <w:lang w:val="en-US" w:eastAsia="en-US"/>
        </w:rPr>
        <w:t>therapies.</w:t>
      </w:r>
    </w:p>
    <w:p w:rsidR="00B405EF" w:rsidRPr="00BE78D8" w:rsidRDefault="00B405EF" w:rsidP="009A1D5E">
      <w:pPr>
        <w:keepNext/>
        <w:autoSpaceDE w:val="0"/>
        <w:autoSpaceDN w:val="0"/>
        <w:adjustRightInd w:val="0"/>
        <w:rPr>
          <w:rFonts w:eastAsiaTheme="minorHAnsi"/>
          <w:color w:val="auto"/>
          <w:szCs w:val="24"/>
          <w:lang w:val="en-US" w:eastAsia="en-US"/>
        </w:rPr>
      </w:pPr>
    </w:p>
    <w:p w:rsidR="00946012" w:rsidRPr="00BE78D8" w:rsidRDefault="00946012" w:rsidP="00946012">
      <w:pPr>
        <w:autoSpaceDE w:val="0"/>
        <w:autoSpaceDN w:val="0"/>
        <w:adjustRightInd w:val="0"/>
        <w:rPr>
          <w:rFonts w:eastAsiaTheme="minorHAnsi"/>
          <w:color w:val="auto"/>
          <w:szCs w:val="24"/>
          <w:lang w:val="en-US" w:eastAsia="en-US"/>
        </w:rPr>
      </w:pPr>
      <w:r w:rsidRPr="00BE78D8">
        <w:rPr>
          <w:rFonts w:eastAsiaTheme="minorHAnsi"/>
          <w:color w:val="auto"/>
          <w:szCs w:val="24"/>
          <w:lang w:val="en-US" w:eastAsia="en-US"/>
        </w:rPr>
        <w:t>Posology</w:t>
      </w:r>
    </w:p>
    <w:p w:rsidR="00946012" w:rsidRPr="00BE78D8" w:rsidRDefault="00946012" w:rsidP="00946012">
      <w:pPr>
        <w:autoSpaceDE w:val="0"/>
        <w:autoSpaceDN w:val="0"/>
        <w:adjustRightInd w:val="0"/>
        <w:rPr>
          <w:rFonts w:eastAsiaTheme="minorHAnsi"/>
          <w:i/>
          <w:iCs/>
          <w:color w:val="auto"/>
          <w:szCs w:val="24"/>
          <w:lang w:val="en-US" w:eastAsia="en-US"/>
        </w:rPr>
      </w:pPr>
      <w:r w:rsidRPr="00BE78D8">
        <w:rPr>
          <w:rFonts w:eastAsiaTheme="minorHAnsi"/>
          <w:i/>
          <w:iCs/>
          <w:color w:val="auto"/>
          <w:szCs w:val="24"/>
          <w:lang w:val="en-US" w:eastAsia="en-US"/>
        </w:rPr>
        <w:t>Adults</w:t>
      </w:r>
    </w:p>
    <w:p w:rsidR="00946012" w:rsidRPr="00BE78D8" w:rsidRDefault="00946012" w:rsidP="00946012">
      <w:pPr>
        <w:autoSpaceDE w:val="0"/>
        <w:autoSpaceDN w:val="0"/>
        <w:adjustRightInd w:val="0"/>
        <w:rPr>
          <w:rFonts w:eastAsiaTheme="minorHAnsi"/>
          <w:color w:val="auto"/>
          <w:szCs w:val="24"/>
          <w:lang w:val="en-US" w:eastAsia="en-US"/>
        </w:rPr>
      </w:pPr>
      <w:r w:rsidRPr="00BE78D8">
        <w:rPr>
          <w:rFonts w:eastAsiaTheme="minorHAnsi"/>
          <w:color w:val="auto"/>
          <w:szCs w:val="24"/>
          <w:lang w:val="en-US" w:eastAsia="en-US"/>
        </w:rPr>
        <w:t>The recommended dose of LENVIMA is 24 mg taken once daily. The daily dose is to be modified as</w:t>
      </w:r>
      <w:r w:rsidR="00B405EF" w:rsidRPr="00BE78D8">
        <w:rPr>
          <w:rFonts w:eastAsiaTheme="minorHAnsi"/>
          <w:color w:val="auto"/>
          <w:szCs w:val="24"/>
          <w:lang w:val="en-US" w:eastAsia="en-US"/>
        </w:rPr>
        <w:t xml:space="preserve"> </w:t>
      </w:r>
      <w:r w:rsidRPr="00BE78D8">
        <w:rPr>
          <w:rFonts w:eastAsiaTheme="minorHAnsi"/>
          <w:color w:val="auto"/>
          <w:szCs w:val="24"/>
          <w:lang w:val="en-US" w:eastAsia="en-US"/>
        </w:rPr>
        <w:t xml:space="preserve">needed according to the dose/toxicity management plan (see </w:t>
      </w:r>
      <w:r w:rsidR="00B405EF" w:rsidRPr="00BE78D8">
        <w:rPr>
          <w:rFonts w:eastAsiaTheme="minorHAnsi"/>
          <w:color w:val="auto"/>
          <w:szCs w:val="24"/>
          <w:lang w:val="en-US" w:eastAsia="en-US"/>
        </w:rPr>
        <w:t xml:space="preserve">dose adjustment section below). </w:t>
      </w:r>
      <w:r w:rsidRPr="00BE78D8">
        <w:rPr>
          <w:rFonts w:eastAsiaTheme="minorHAnsi"/>
          <w:color w:val="auto"/>
          <w:szCs w:val="24"/>
          <w:lang w:val="en-US" w:eastAsia="en-US"/>
        </w:rPr>
        <w:t>If a patient misses a dose, and it cannot be taken within 12 hours, then that</w:t>
      </w:r>
      <w:r w:rsidR="00B405EF" w:rsidRPr="00BE78D8">
        <w:rPr>
          <w:rFonts w:eastAsiaTheme="minorHAnsi"/>
          <w:color w:val="auto"/>
          <w:szCs w:val="24"/>
          <w:lang w:val="en-US" w:eastAsia="en-US"/>
        </w:rPr>
        <w:t xml:space="preserve"> dose should be skipped and the </w:t>
      </w:r>
      <w:r w:rsidRPr="00BE78D8">
        <w:rPr>
          <w:rFonts w:eastAsiaTheme="minorHAnsi"/>
          <w:color w:val="auto"/>
          <w:szCs w:val="24"/>
          <w:lang w:val="en-US" w:eastAsia="en-US"/>
        </w:rPr>
        <w:t>next dose should be taken at the usual time of administration. Treatment should continue as long as th</w:t>
      </w:r>
      <w:r w:rsidR="00B405EF" w:rsidRPr="00BE78D8">
        <w:rPr>
          <w:rFonts w:eastAsiaTheme="minorHAnsi"/>
          <w:color w:val="auto"/>
          <w:szCs w:val="24"/>
          <w:lang w:val="en-US" w:eastAsia="en-US"/>
        </w:rPr>
        <w:t xml:space="preserve">ere is </w:t>
      </w:r>
      <w:r w:rsidRPr="00BE78D8">
        <w:rPr>
          <w:rFonts w:eastAsiaTheme="minorHAnsi"/>
          <w:color w:val="auto"/>
          <w:szCs w:val="24"/>
          <w:lang w:val="en-US" w:eastAsia="en-US"/>
        </w:rPr>
        <w:t>clinical benefit.</w:t>
      </w:r>
    </w:p>
    <w:p w:rsidR="00B405EF" w:rsidRPr="00BE78D8" w:rsidRDefault="00B405EF" w:rsidP="00946012">
      <w:pPr>
        <w:autoSpaceDE w:val="0"/>
        <w:autoSpaceDN w:val="0"/>
        <w:adjustRightInd w:val="0"/>
        <w:rPr>
          <w:rFonts w:eastAsiaTheme="minorHAnsi"/>
          <w:i/>
          <w:iCs/>
          <w:color w:val="auto"/>
          <w:szCs w:val="24"/>
          <w:lang w:val="en-US" w:eastAsia="en-US"/>
        </w:rPr>
      </w:pPr>
    </w:p>
    <w:p w:rsidR="00946012" w:rsidRPr="00BE78D8" w:rsidRDefault="00946012" w:rsidP="00946012">
      <w:pPr>
        <w:autoSpaceDE w:val="0"/>
        <w:autoSpaceDN w:val="0"/>
        <w:adjustRightInd w:val="0"/>
        <w:rPr>
          <w:rFonts w:eastAsiaTheme="minorHAnsi"/>
          <w:i/>
          <w:iCs/>
          <w:color w:val="auto"/>
          <w:szCs w:val="24"/>
          <w:lang w:val="en-US" w:eastAsia="en-US"/>
        </w:rPr>
      </w:pPr>
      <w:r w:rsidRPr="00BE78D8">
        <w:rPr>
          <w:rFonts w:eastAsiaTheme="minorHAnsi"/>
          <w:i/>
          <w:iCs/>
          <w:color w:val="auto"/>
          <w:szCs w:val="24"/>
          <w:lang w:val="en-US" w:eastAsia="en-US"/>
        </w:rPr>
        <w:t>Dose adjustment</w:t>
      </w:r>
    </w:p>
    <w:p w:rsidR="00B405EF" w:rsidRPr="00BE78D8" w:rsidRDefault="00946012" w:rsidP="00946012">
      <w:pPr>
        <w:autoSpaceDE w:val="0"/>
        <w:autoSpaceDN w:val="0"/>
        <w:adjustRightInd w:val="0"/>
        <w:rPr>
          <w:rFonts w:eastAsiaTheme="minorHAnsi"/>
          <w:color w:val="auto"/>
          <w:szCs w:val="24"/>
          <w:lang w:val="en-US" w:eastAsia="en-US"/>
        </w:rPr>
      </w:pPr>
      <w:r w:rsidRPr="00BE78D8">
        <w:rPr>
          <w:rFonts w:eastAsiaTheme="minorHAnsi"/>
          <w:color w:val="auto"/>
          <w:szCs w:val="24"/>
          <w:lang w:val="en-US" w:eastAsia="en-US"/>
        </w:rPr>
        <w:t>Management of some adverse reactions may require dose interruption, adjustment, or discontinuation of</w:t>
      </w:r>
      <w:r w:rsidR="00B405EF" w:rsidRPr="00BE78D8">
        <w:rPr>
          <w:rFonts w:eastAsiaTheme="minorHAnsi"/>
          <w:color w:val="auto"/>
          <w:szCs w:val="24"/>
          <w:lang w:val="en-US" w:eastAsia="en-US"/>
        </w:rPr>
        <w:t xml:space="preserve"> </w:t>
      </w:r>
      <w:r w:rsidRPr="00BE78D8">
        <w:rPr>
          <w:rFonts w:eastAsiaTheme="minorHAnsi"/>
          <w:color w:val="auto"/>
          <w:szCs w:val="24"/>
          <w:lang w:val="en-US" w:eastAsia="en-US"/>
        </w:rPr>
        <w:t xml:space="preserve">LENVIMA. Mild to moderate adverse reactions (eg, Grade 1 or 2) generally do not warrant interruption of </w:t>
      </w:r>
      <w:r w:rsidRPr="00BE78D8">
        <w:rPr>
          <w:rFonts w:eastAsiaTheme="minorHAnsi"/>
          <w:szCs w:val="24"/>
          <w:lang w:val="en-US" w:eastAsia="en-US"/>
        </w:rPr>
        <w:t>LENVIMA, unless intolerable to the patient despite optimal management. Severe (eg, Grade 3) or</w:t>
      </w:r>
      <w:r w:rsidR="00B405EF" w:rsidRPr="00BE78D8">
        <w:rPr>
          <w:rFonts w:eastAsiaTheme="minorHAnsi"/>
          <w:color w:val="auto"/>
          <w:szCs w:val="24"/>
          <w:lang w:val="en-US" w:eastAsia="en-US"/>
        </w:rPr>
        <w:t xml:space="preserve"> </w:t>
      </w:r>
      <w:r w:rsidRPr="00BE78D8">
        <w:rPr>
          <w:rFonts w:eastAsiaTheme="minorHAnsi"/>
          <w:szCs w:val="24"/>
          <w:lang w:val="en-US" w:eastAsia="en-US"/>
        </w:rPr>
        <w:t>intolerable adverse reactions require interruption of LENVIMA until resolution or improvement of the event,</w:t>
      </w:r>
      <w:r w:rsidR="00B405EF" w:rsidRPr="00BE78D8">
        <w:rPr>
          <w:rFonts w:eastAsiaTheme="minorHAnsi"/>
          <w:color w:val="auto"/>
          <w:szCs w:val="24"/>
          <w:lang w:val="en-US" w:eastAsia="en-US"/>
        </w:rPr>
        <w:t xml:space="preserve"> </w:t>
      </w:r>
      <w:r w:rsidRPr="00BE78D8">
        <w:rPr>
          <w:rFonts w:eastAsiaTheme="minorHAnsi"/>
          <w:szCs w:val="24"/>
          <w:lang w:val="en-US" w:eastAsia="en-US"/>
        </w:rPr>
        <w:t xml:space="preserve">after which treatment should be resumed at a reduced dose as suggested in </w:t>
      </w:r>
      <w:r w:rsidRPr="00204FD1">
        <w:rPr>
          <w:rFonts w:eastAsiaTheme="minorHAnsi"/>
          <w:color w:val="auto"/>
          <w:szCs w:val="24"/>
          <w:lang w:val="en-US" w:eastAsia="en-US"/>
        </w:rPr>
        <w:t xml:space="preserve">Table </w:t>
      </w:r>
      <w:r w:rsidR="002725D4">
        <w:rPr>
          <w:rFonts w:eastAsiaTheme="minorHAnsi"/>
          <w:color w:val="auto"/>
          <w:szCs w:val="24"/>
          <w:lang w:val="en-US" w:eastAsia="en-US"/>
        </w:rPr>
        <w:t>5</w:t>
      </w:r>
      <w:r w:rsidRPr="00BE78D8">
        <w:rPr>
          <w:rFonts w:eastAsiaTheme="minorHAnsi"/>
          <w:szCs w:val="24"/>
          <w:lang w:val="en-US" w:eastAsia="en-US"/>
        </w:rPr>
        <w:t>. Life-threatening</w:t>
      </w:r>
      <w:r w:rsidR="00B405EF" w:rsidRPr="00BE78D8">
        <w:rPr>
          <w:rFonts w:eastAsiaTheme="minorHAnsi"/>
          <w:color w:val="auto"/>
          <w:szCs w:val="24"/>
          <w:lang w:val="en-US" w:eastAsia="en-US"/>
        </w:rPr>
        <w:t xml:space="preserve"> </w:t>
      </w:r>
      <w:r w:rsidRPr="00BE78D8">
        <w:rPr>
          <w:rFonts w:eastAsiaTheme="minorHAnsi"/>
          <w:szCs w:val="24"/>
          <w:lang w:val="en-US" w:eastAsia="en-US"/>
        </w:rPr>
        <w:lastRenderedPageBreak/>
        <w:t>reactions (eg, Grade 4) may be managed as per severe events provided resolution or improvement of the</w:t>
      </w:r>
      <w:r w:rsidR="00B405EF" w:rsidRPr="00BE78D8">
        <w:rPr>
          <w:rFonts w:eastAsiaTheme="minorHAnsi"/>
          <w:color w:val="auto"/>
          <w:szCs w:val="24"/>
          <w:lang w:val="en-US" w:eastAsia="en-US"/>
        </w:rPr>
        <w:t xml:space="preserve"> </w:t>
      </w:r>
      <w:r w:rsidRPr="00BE78D8">
        <w:rPr>
          <w:rFonts w:eastAsiaTheme="minorHAnsi"/>
          <w:szCs w:val="24"/>
          <w:lang w:val="en-US" w:eastAsia="en-US"/>
        </w:rPr>
        <w:t>event occurs; if not, permanent discontinuation is recommended.</w:t>
      </w:r>
      <w:r w:rsidR="00B405EF" w:rsidRPr="00BE78D8">
        <w:rPr>
          <w:rFonts w:eastAsiaTheme="minorHAnsi"/>
          <w:color w:val="auto"/>
          <w:szCs w:val="24"/>
          <w:lang w:val="en-US" w:eastAsia="en-US"/>
        </w:rPr>
        <w:t xml:space="preserve"> </w:t>
      </w:r>
    </w:p>
    <w:p w:rsidR="00B405EF" w:rsidRPr="00BE78D8" w:rsidRDefault="00B405EF" w:rsidP="00946012">
      <w:pPr>
        <w:autoSpaceDE w:val="0"/>
        <w:autoSpaceDN w:val="0"/>
        <w:adjustRightInd w:val="0"/>
        <w:rPr>
          <w:rFonts w:eastAsiaTheme="minorHAnsi"/>
          <w:color w:val="auto"/>
          <w:szCs w:val="24"/>
          <w:lang w:val="en-US" w:eastAsia="en-US"/>
        </w:rPr>
      </w:pPr>
    </w:p>
    <w:p w:rsidR="00946012" w:rsidRDefault="00946012" w:rsidP="00946012">
      <w:pPr>
        <w:autoSpaceDE w:val="0"/>
        <w:autoSpaceDN w:val="0"/>
        <w:adjustRightInd w:val="0"/>
        <w:rPr>
          <w:rFonts w:eastAsiaTheme="minorHAnsi"/>
          <w:szCs w:val="24"/>
          <w:lang w:val="en-US" w:eastAsia="en-US"/>
        </w:rPr>
      </w:pPr>
      <w:r w:rsidRPr="00BE78D8">
        <w:rPr>
          <w:rFonts w:eastAsiaTheme="minorHAnsi"/>
          <w:szCs w:val="24"/>
          <w:lang w:val="en-US" w:eastAsia="en-US"/>
        </w:rPr>
        <w:t>Grades are based on the National Cancer Institute (NCI) Common Terminology Criteria for Adverse Events</w:t>
      </w:r>
      <w:r w:rsidR="00B405EF" w:rsidRPr="00BE78D8">
        <w:rPr>
          <w:rFonts w:eastAsiaTheme="minorHAnsi"/>
          <w:color w:val="auto"/>
          <w:szCs w:val="24"/>
          <w:lang w:val="en-US" w:eastAsia="en-US"/>
        </w:rPr>
        <w:t xml:space="preserve"> </w:t>
      </w:r>
      <w:r w:rsidRPr="00BE78D8">
        <w:rPr>
          <w:rFonts w:eastAsiaTheme="minorHAnsi"/>
          <w:szCs w:val="24"/>
          <w:lang w:val="en-US" w:eastAsia="en-US"/>
        </w:rPr>
        <w:t>(CTCAE).</w:t>
      </w:r>
    </w:p>
    <w:p w:rsidR="00204FD1" w:rsidRPr="00BE78D8" w:rsidRDefault="00204FD1" w:rsidP="00946012">
      <w:pPr>
        <w:autoSpaceDE w:val="0"/>
        <w:autoSpaceDN w:val="0"/>
        <w:adjustRightInd w:val="0"/>
        <w:rPr>
          <w:rFonts w:eastAsiaTheme="minorHAnsi"/>
          <w:color w:val="auto"/>
          <w:szCs w:val="24"/>
          <w:lang w:val="en-US" w:eastAsia="en-US"/>
        </w:rPr>
      </w:pPr>
    </w:p>
    <w:p w:rsidR="00946012" w:rsidRPr="00BE78D8" w:rsidRDefault="00946012" w:rsidP="00946012">
      <w:pPr>
        <w:autoSpaceDE w:val="0"/>
        <w:autoSpaceDN w:val="0"/>
        <w:adjustRightInd w:val="0"/>
        <w:rPr>
          <w:rFonts w:eastAsiaTheme="minorHAnsi"/>
          <w:szCs w:val="24"/>
          <w:lang w:val="en-US" w:eastAsia="en-US"/>
        </w:rPr>
      </w:pPr>
      <w:r w:rsidRPr="00BE78D8">
        <w:rPr>
          <w:rFonts w:eastAsiaTheme="minorHAnsi"/>
          <w:szCs w:val="24"/>
          <w:lang w:val="en-US" w:eastAsia="en-US"/>
        </w:rPr>
        <w:t>Optimal medical management for nausea, vomiting, and diarrhoea s</w:t>
      </w:r>
      <w:r w:rsidR="00B405EF" w:rsidRPr="00BE78D8">
        <w:rPr>
          <w:rFonts w:eastAsiaTheme="minorHAnsi"/>
          <w:szCs w:val="24"/>
          <w:lang w:val="en-US" w:eastAsia="en-US"/>
        </w:rPr>
        <w:t xml:space="preserve">hould be initiated prior to any </w:t>
      </w:r>
      <w:r w:rsidRPr="00BE78D8">
        <w:rPr>
          <w:rFonts w:eastAsiaTheme="minorHAnsi"/>
          <w:szCs w:val="24"/>
          <w:lang w:val="en-US" w:eastAsia="en-US"/>
        </w:rPr>
        <w:t>interruption or dose reduction of LENVIMA. Gastrointestinal toxicity should be actively managed in o</w:t>
      </w:r>
      <w:r w:rsidR="00B405EF" w:rsidRPr="00BE78D8">
        <w:rPr>
          <w:rFonts w:eastAsiaTheme="minorHAnsi"/>
          <w:szCs w:val="24"/>
          <w:lang w:val="en-US" w:eastAsia="en-US"/>
        </w:rPr>
        <w:t xml:space="preserve">rder </w:t>
      </w:r>
      <w:r w:rsidRPr="00BE78D8">
        <w:rPr>
          <w:rFonts w:eastAsiaTheme="minorHAnsi"/>
          <w:szCs w:val="24"/>
          <w:lang w:val="en-US" w:eastAsia="en-US"/>
        </w:rPr>
        <w:t>to reduce the risk of development of renal impairment or failure (se</w:t>
      </w:r>
      <w:r w:rsidR="00352697">
        <w:rPr>
          <w:rFonts w:eastAsiaTheme="minorHAnsi"/>
          <w:szCs w:val="24"/>
          <w:lang w:val="en-US" w:eastAsia="en-US"/>
        </w:rPr>
        <w:t xml:space="preserve">e PRECAUTIONS, </w:t>
      </w:r>
      <w:r w:rsidR="00B405EF" w:rsidRPr="00BE78D8">
        <w:rPr>
          <w:rFonts w:eastAsiaTheme="minorHAnsi"/>
          <w:szCs w:val="24"/>
          <w:lang w:val="en-US" w:eastAsia="en-US"/>
        </w:rPr>
        <w:t xml:space="preserve">Renal failure and </w:t>
      </w:r>
      <w:r w:rsidRPr="00BE78D8">
        <w:rPr>
          <w:rFonts w:eastAsiaTheme="minorHAnsi"/>
          <w:szCs w:val="24"/>
          <w:lang w:val="en-US" w:eastAsia="en-US"/>
        </w:rPr>
        <w:t>impairment).</w:t>
      </w:r>
    </w:p>
    <w:p w:rsidR="00B405EF" w:rsidRPr="00BE78D8" w:rsidRDefault="00B405EF" w:rsidP="00946012">
      <w:pPr>
        <w:autoSpaceDE w:val="0"/>
        <w:autoSpaceDN w:val="0"/>
        <w:adjustRightInd w:val="0"/>
        <w:rPr>
          <w:rFonts w:eastAsiaTheme="minorHAnsi"/>
          <w:szCs w:val="24"/>
          <w:lang w:val="en-US" w:eastAsia="en-US"/>
        </w:rPr>
      </w:pPr>
    </w:p>
    <w:p w:rsidR="00946012" w:rsidRPr="00BE78D8" w:rsidRDefault="00946012" w:rsidP="00946012">
      <w:pPr>
        <w:autoSpaceDE w:val="0"/>
        <w:autoSpaceDN w:val="0"/>
        <w:adjustRightInd w:val="0"/>
        <w:rPr>
          <w:rFonts w:eastAsia="TimesNewRoman,Bold"/>
          <w:b/>
          <w:bCs/>
          <w:szCs w:val="24"/>
          <w:lang w:val="en-US" w:eastAsia="en-US"/>
        </w:rPr>
      </w:pPr>
      <w:r w:rsidRPr="00BE78D8">
        <w:rPr>
          <w:rFonts w:eastAsia="TimesNewRoman,Bold"/>
          <w:b/>
          <w:bCs/>
          <w:szCs w:val="24"/>
          <w:lang w:val="en-US" w:eastAsia="en-US"/>
        </w:rPr>
        <w:t xml:space="preserve">Table </w:t>
      </w:r>
      <w:r w:rsidR="002725D4">
        <w:rPr>
          <w:rFonts w:eastAsia="TimesNewRoman,Bold"/>
          <w:b/>
          <w:bCs/>
          <w:szCs w:val="24"/>
          <w:lang w:val="en-US" w:eastAsia="en-US"/>
        </w:rPr>
        <w:t>5</w:t>
      </w:r>
      <w:r w:rsidRPr="00BE78D8">
        <w:rPr>
          <w:rFonts w:eastAsia="TimesNewRoman,Bold"/>
          <w:b/>
          <w:bCs/>
          <w:szCs w:val="24"/>
          <w:lang w:val="en-US" w:eastAsia="en-US"/>
        </w:rPr>
        <w:t xml:space="preserve"> Dose Modifications from Recommended Daily Dose</w:t>
      </w:r>
    </w:p>
    <w:p w:rsidR="00B405EF" w:rsidRPr="00BE78D8" w:rsidRDefault="00B405EF" w:rsidP="00946012">
      <w:pPr>
        <w:autoSpaceDE w:val="0"/>
        <w:autoSpaceDN w:val="0"/>
        <w:adjustRightInd w:val="0"/>
        <w:rPr>
          <w:rFonts w:eastAsiaTheme="minorHAnsi"/>
          <w:szCs w:val="24"/>
          <w:lang w:val="en-US" w:eastAsia="en-US"/>
        </w:rPr>
      </w:pPr>
    </w:p>
    <w:tbl>
      <w:tblPr>
        <w:tblStyle w:val="TableGrid"/>
        <w:tblW w:w="0" w:type="auto"/>
        <w:tblLook w:val="04A0" w:firstRow="1" w:lastRow="0" w:firstColumn="1" w:lastColumn="0" w:noHBand="0" w:noVBand="1"/>
      </w:tblPr>
      <w:tblGrid>
        <w:gridCol w:w="3080"/>
        <w:gridCol w:w="3081"/>
        <w:gridCol w:w="3081"/>
      </w:tblGrid>
      <w:tr w:rsidR="00B405EF" w:rsidRPr="00BE78D8" w:rsidTr="00B405EF">
        <w:tc>
          <w:tcPr>
            <w:tcW w:w="3080" w:type="dxa"/>
          </w:tcPr>
          <w:p w:rsidR="00B405EF" w:rsidRPr="00BE78D8" w:rsidRDefault="00B405EF" w:rsidP="00946012">
            <w:pPr>
              <w:autoSpaceDE w:val="0"/>
              <w:autoSpaceDN w:val="0"/>
              <w:adjustRightInd w:val="0"/>
              <w:rPr>
                <w:rFonts w:eastAsiaTheme="minorHAnsi"/>
                <w:szCs w:val="24"/>
                <w:lang w:val="en-US" w:eastAsia="en-US"/>
              </w:rPr>
            </w:pPr>
            <w:r w:rsidRPr="00BE78D8">
              <w:rPr>
                <w:rFonts w:eastAsiaTheme="minorHAnsi"/>
                <w:szCs w:val="24"/>
                <w:lang w:val="en-US" w:eastAsia="en-US"/>
              </w:rPr>
              <w:t>Dose Level</w:t>
            </w:r>
          </w:p>
        </w:tc>
        <w:tc>
          <w:tcPr>
            <w:tcW w:w="3081" w:type="dxa"/>
          </w:tcPr>
          <w:p w:rsidR="00B405EF" w:rsidRPr="00BE78D8" w:rsidRDefault="00B405EF" w:rsidP="00946012">
            <w:pPr>
              <w:autoSpaceDE w:val="0"/>
              <w:autoSpaceDN w:val="0"/>
              <w:adjustRightInd w:val="0"/>
              <w:rPr>
                <w:rFonts w:eastAsiaTheme="minorHAnsi"/>
                <w:szCs w:val="24"/>
                <w:lang w:val="en-US" w:eastAsia="en-US"/>
              </w:rPr>
            </w:pPr>
            <w:r w:rsidRPr="00BE78D8">
              <w:rPr>
                <w:rFonts w:eastAsiaTheme="minorHAnsi"/>
                <w:szCs w:val="24"/>
                <w:lang w:val="en-US" w:eastAsia="en-US"/>
              </w:rPr>
              <w:t>Daily Dose</w:t>
            </w:r>
          </w:p>
        </w:tc>
        <w:tc>
          <w:tcPr>
            <w:tcW w:w="3081" w:type="dxa"/>
          </w:tcPr>
          <w:p w:rsidR="00B405EF" w:rsidRPr="00BE78D8" w:rsidRDefault="00B405EF" w:rsidP="00946012">
            <w:pPr>
              <w:autoSpaceDE w:val="0"/>
              <w:autoSpaceDN w:val="0"/>
              <w:adjustRightInd w:val="0"/>
              <w:rPr>
                <w:rFonts w:eastAsiaTheme="minorHAnsi"/>
                <w:szCs w:val="24"/>
                <w:lang w:val="en-US" w:eastAsia="en-US"/>
              </w:rPr>
            </w:pPr>
            <w:r w:rsidRPr="00BE78D8">
              <w:rPr>
                <w:rFonts w:eastAsiaTheme="minorHAnsi"/>
                <w:szCs w:val="24"/>
                <w:lang w:val="en-US" w:eastAsia="en-US"/>
              </w:rPr>
              <w:t>Number of Capsules</w:t>
            </w:r>
          </w:p>
        </w:tc>
      </w:tr>
      <w:tr w:rsidR="00B405EF" w:rsidRPr="00BE78D8" w:rsidTr="00B405EF">
        <w:tc>
          <w:tcPr>
            <w:tcW w:w="3080" w:type="dxa"/>
          </w:tcPr>
          <w:p w:rsidR="00B405EF" w:rsidRPr="00BE78D8" w:rsidRDefault="00B405EF" w:rsidP="00946012">
            <w:pPr>
              <w:autoSpaceDE w:val="0"/>
              <w:autoSpaceDN w:val="0"/>
              <w:adjustRightInd w:val="0"/>
              <w:rPr>
                <w:rFonts w:eastAsiaTheme="minorHAnsi"/>
                <w:szCs w:val="24"/>
                <w:lang w:val="en-US" w:eastAsia="en-US"/>
              </w:rPr>
            </w:pPr>
            <w:r w:rsidRPr="00BE78D8">
              <w:rPr>
                <w:rFonts w:eastAsiaTheme="minorHAnsi"/>
                <w:szCs w:val="24"/>
                <w:lang w:val="en-US" w:eastAsia="en-US"/>
              </w:rPr>
              <w:t>Recommended daily dose</w:t>
            </w:r>
          </w:p>
        </w:tc>
        <w:tc>
          <w:tcPr>
            <w:tcW w:w="3081" w:type="dxa"/>
          </w:tcPr>
          <w:p w:rsidR="00B405EF" w:rsidRPr="00BE78D8" w:rsidRDefault="00B405EF" w:rsidP="00946012">
            <w:pPr>
              <w:autoSpaceDE w:val="0"/>
              <w:autoSpaceDN w:val="0"/>
              <w:adjustRightInd w:val="0"/>
              <w:rPr>
                <w:rFonts w:eastAsiaTheme="minorHAnsi"/>
                <w:szCs w:val="24"/>
                <w:lang w:val="en-US" w:eastAsia="en-US"/>
              </w:rPr>
            </w:pPr>
            <w:r w:rsidRPr="00BE78D8">
              <w:rPr>
                <w:rFonts w:eastAsiaTheme="minorHAnsi"/>
                <w:szCs w:val="24"/>
                <w:lang w:val="en-US" w:eastAsia="en-US"/>
              </w:rPr>
              <w:t>24mg orally once daily</w:t>
            </w:r>
          </w:p>
        </w:tc>
        <w:tc>
          <w:tcPr>
            <w:tcW w:w="3081" w:type="dxa"/>
          </w:tcPr>
          <w:p w:rsidR="00B405EF" w:rsidRPr="00BE78D8" w:rsidRDefault="00B405EF" w:rsidP="00946012">
            <w:pPr>
              <w:autoSpaceDE w:val="0"/>
              <w:autoSpaceDN w:val="0"/>
              <w:adjustRightInd w:val="0"/>
              <w:rPr>
                <w:rFonts w:eastAsiaTheme="minorHAnsi"/>
                <w:szCs w:val="24"/>
                <w:lang w:val="en-US" w:eastAsia="en-US"/>
              </w:rPr>
            </w:pPr>
            <w:r w:rsidRPr="00BE78D8">
              <w:rPr>
                <w:rFonts w:eastAsiaTheme="minorHAnsi"/>
                <w:szCs w:val="24"/>
                <w:lang w:val="en-US" w:eastAsia="en-US"/>
              </w:rPr>
              <w:t>Two 10mg capsules plus one 4mg capsule</w:t>
            </w:r>
          </w:p>
        </w:tc>
      </w:tr>
      <w:tr w:rsidR="00B405EF" w:rsidRPr="00BE78D8" w:rsidTr="00B405EF">
        <w:tc>
          <w:tcPr>
            <w:tcW w:w="3080" w:type="dxa"/>
          </w:tcPr>
          <w:p w:rsidR="00B405EF" w:rsidRPr="00BE78D8" w:rsidRDefault="00B405EF" w:rsidP="00946012">
            <w:pPr>
              <w:autoSpaceDE w:val="0"/>
              <w:autoSpaceDN w:val="0"/>
              <w:adjustRightInd w:val="0"/>
              <w:rPr>
                <w:rFonts w:eastAsiaTheme="minorHAnsi"/>
                <w:szCs w:val="24"/>
                <w:lang w:val="en-US" w:eastAsia="en-US"/>
              </w:rPr>
            </w:pPr>
            <w:r w:rsidRPr="00BE78D8">
              <w:rPr>
                <w:rFonts w:eastAsiaTheme="minorHAnsi"/>
                <w:szCs w:val="24"/>
                <w:lang w:val="en-US" w:eastAsia="en-US"/>
              </w:rPr>
              <w:t>First dose reduction</w:t>
            </w:r>
          </w:p>
        </w:tc>
        <w:tc>
          <w:tcPr>
            <w:tcW w:w="3081" w:type="dxa"/>
          </w:tcPr>
          <w:p w:rsidR="00B405EF" w:rsidRPr="00BE78D8" w:rsidRDefault="00B405EF" w:rsidP="00946012">
            <w:pPr>
              <w:autoSpaceDE w:val="0"/>
              <w:autoSpaceDN w:val="0"/>
              <w:adjustRightInd w:val="0"/>
              <w:rPr>
                <w:rFonts w:eastAsiaTheme="minorHAnsi"/>
                <w:szCs w:val="24"/>
                <w:lang w:val="en-US" w:eastAsia="en-US"/>
              </w:rPr>
            </w:pPr>
            <w:r w:rsidRPr="00BE78D8">
              <w:rPr>
                <w:rFonts w:eastAsiaTheme="minorHAnsi"/>
                <w:szCs w:val="24"/>
                <w:lang w:val="en-US" w:eastAsia="en-US"/>
              </w:rPr>
              <w:t>20mg orally one daily</w:t>
            </w:r>
          </w:p>
        </w:tc>
        <w:tc>
          <w:tcPr>
            <w:tcW w:w="3081" w:type="dxa"/>
          </w:tcPr>
          <w:p w:rsidR="00B405EF" w:rsidRPr="00BE78D8" w:rsidRDefault="00B405EF" w:rsidP="00946012">
            <w:pPr>
              <w:autoSpaceDE w:val="0"/>
              <w:autoSpaceDN w:val="0"/>
              <w:adjustRightInd w:val="0"/>
              <w:rPr>
                <w:rFonts w:eastAsiaTheme="minorHAnsi"/>
                <w:szCs w:val="24"/>
                <w:lang w:val="en-US" w:eastAsia="en-US"/>
              </w:rPr>
            </w:pPr>
            <w:r w:rsidRPr="00BE78D8">
              <w:rPr>
                <w:rFonts w:eastAsiaTheme="minorHAnsi"/>
                <w:szCs w:val="24"/>
                <w:lang w:val="en-US" w:eastAsia="en-US"/>
              </w:rPr>
              <w:t>Two 10mg capsules</w:t>
            </w:r>
          </w:p>
        </w:tc>
      </w:tr>
      <w:tr w:rsidR="00B405EF" w:rsidRPr="00BE78D8" w:rsidTr="00B405EF">
        <w:tc>
          <w:tcPr>
            <w:tcW w:w="3080" w:type="dxa"/>
          </w:tcPr>
          <w:p w:rsidR="00B405EF" w:rsidRPr="00BE78D8" w:rsidRDefault="00B405EF" w:rsidP="00946012">
            <w:pPr>
              <w:autoSpaceDE w:val="0"/>
              <w:autoSpaceDN w:val="0"/>
              <w:adjustRightInd w:val="0"/>
              <w:rPr>
                <w:rFonts w:eastAsiaTheme="minorHAnsi"/>
                <w:szCs w:val="24"/>
                <w:lang w:val="en-US" w:eastAsia="en-US"/>
              </w:rPr>
            </w:pPr>
            <w:r w:rsidRPr="00BE78D8">
              <w:rPr>
                <w:rFonts w:eastAsiaTheme="minorHAnsi"/>
                <w:szCs w:val="24"/>
                <w:lang w:val="en-US" w:eastAsia="en-US"/>
              </w:rPr>
              <w:t>Second dose reduction</w:t>
            </w:r>
          </w:p>
        </w:tc>
        <w:tc>
          <w:tcPr>
            <w:tcW w:w="3081" w:type="dxa"/>
          </w:tcPr>
          <w:p w:rsidR="00B405EF" w:rsidRPr="00BE78D8" w:rsidRDefault="00B405EF" w:rsidP="00946012">
            <w:pPr>
              <w:autoSpaceDE w:val="0"/>
              <w:autoSpaceDN w:val="0"/>
              <w:adjustRightInd w:val="0"/>
              <w:rPr>
                <w:rFonts w:eastAsiaTheme="minorHAnsi"/>
                <w:szCs w:val="24"/>
                <w:lang w:val="en-US" w:eastAsia="en-US"/>
              </w:rPr>
            </w:pPr>
            <w:r w:rsidRPr="00BE78D8">
              <w:rPr>
                <w:rFonts w:eastAsiaTheme="minorHAnsi"/>
                <w:szCs w:val="24"/>
                <w:lang w:val="en-US" w:eastAsia="en-US"/>
              </w:rPr>
              <w:t>14mg orally once daily</w:t>
            </w:r>
          </w:p>
        </w:tc>
        <w:tc>
          <w:tcPr>
            <w:tcW w:w="3081" w:type="dxa"/>
          </w:tcPr>
          <w:p w:rsidR="00B405EF" w:rsidRPr="00BE78D8" w:rsidRDefault="00B405EF" w:rsidP="00946012">
            <w:pPr>
              <w:autoSpaceDE w:val="0"/>
              <w:autoSpaceDN w:val="0"/>
              <w:adjustRightInd w:val="0"/>
              <w:rPr>
                <w:rFonts w:eastAsiaTheme="minorHAnsi"/>
                <w:szCs w:val="24"/>
                <w:lang w:val="en-US" w:eastAsia="en-US"/>
              </w:rPr>
            </w:pPr>
            <w:r w:rsidRPr="00BE78D8">
              <w:rPr>
                <w:rFonts w:eastAsiaTheme="minorHAnsi"/>
                <w:szCs w:val="24"/>
                <w:lang w:val="en-US" w:eastAsia="en-US"/>
              </w:rPr>
              <w:t>One 10mg capsule plus one 4mg capsule</w:t>
            </w:r>
          </w:p>
        </w:tc>
      </w:tr>
      <w:tr w:rsidR="00B405EF" w:rsidRPr="00BE78D8" w:rsidTr="00B405EF">
        <w:tc>
          <w:tcPr>
            <w:tcW w:w="3080" w:type="dxa"/>
          </w:tcPr>
          <w:p w:rsidR="00B405EF" w:rsidRPr="00BE78D8" w:rsidRDefault="00B405EF" w:rsidP="00946012">
            <w:pPr>
              <w:autoSpaceDE w:val="0"/>
              <w:autoSpaceDN w:val="0"/>
              <w:adjustRightInd w:val="0"/>
              <w:rPr>
                <w:rFonts w:eastAsiaTheme="minorHAnsi"/>
                <w:szCs w:val="24"/>
                <w:lang w:val="en-US" w:eastAsia="en-US"/>
              </w:rPr>
            </w:pPr>
            <w:r w:rsidRPr="00BE78D8">
              <w:rPr>
                <w:rFonts w:eastAsiaTheme="minorHAnsi"/>
                <w:szCs w:val="24"/>
                <w:lang w:val="en-US" w:eastAsia="en-US"/>
              </w:rPr>
              <w:t>Third dose reduction</w:t>
            </w:r>
          </w:p>
        </w:tc>
        <w:tc>
          <w:tcPr>
            <w:tcW w:w="3081" w:type="dxa"/>
          </w:tcPr>
          <w:p w:rsidR="00B405EF" w:rsidRPr="00BE78D8" w:rsidRDefault="00B405EF" w:rsidP="00946012">
            <w:pPr>
              <w:autoSpaceDE w:val="0"/>
              <w:autoSpaceDN w:val="0"/>
              <w:adjustRightInd w:val="0"/>
              <w:rPr>
                <w:rFonts w:eastAsiaTheme="minorHAnsi"/>
                <w:szCs w:val="24"/>
                <w:lang w:val="en-US" w:eastAsia="en-US"/>
              </w:rPr>
            </w:pPr>
            <w:r w:rsidRPr="00BE78D8">
              <w:rPr>
                <w:rFonts w:eastAsiaTheme="minorHAnsi"/>
                <w:szCs w:val="24"/>
                <w:lang w:val="en-US" w:eastAsia="en-US"/>
              </w:rPr>
              <w:t>10mg orally once daily</w:t>
            </w:r>
            <w:r w:rsidRPr="00BE78D8">
              <w:rPr>
                <w:rFonts w:eastAsiaTheme="minorHAnsi"/>
                <w:szCs w:val="24"/>
                <w:vertAlign w:val="superscript"/>
                <w:lang w:val="en-US" w:eastAsia="en-US"/>
              </w:rPr>
              <w:t>a</w:t>
            </w:r>
          </w:p>
        </w:tc>
        <w:tc>
          <w:tcPr>
            <w:tcW w:w="3081" w:type="dxa"/>
          </w:tcPr>
          <w:p w:rsidR="00B405EF" w:rsidRPr="00BE78D8" w:rsidRDefault="00B405EF" w:rsidP="00946012">
            <w:pPr>
              <w:autoSpaceDE w:val="0"/>
              <w:autoSpaceDN w:val="0"/>
              <w:adjustRightInd w:val="0"/>
              <w:rPr>
                <w:rFonts w:eastAsiaTheme="minorHAnsi"/>
                <w:szCs w:val="24"/>
                <w:lang w:val="en-US" w:eastAsia="en-US"/>
              </w:rPr>
            </w:pPr>
            <w:r w:rsidRPr="00BE78D8">
              <w:rPr>
                <w:rFonts w:eastAsiaTheme="minorHAnsi"/>
                <w:szCs w:val="24"/>
                <w:lang w:val="en-US" w:eastAsia="en-US"/>
              </w:rPr>
              <w:t>One 10mg capsule</w:t>
            </w:r>
          </w:p>
        </w:tc>
      </w:tr>
    </w:tbl>
    <w:p w:rsidR="00946012" w:rsidRPr="00BE78D8" w:rsidRDefault="00946012" w:rsidP="00946012">
      <w:pPr>
        <w:autoSpaceDE w:val="0"/>
        <w:autoSpaceDN w:val="0"/>
        <w:adjustRightInd w:val="0"/>
        <w:rPr>
          <w:rFonts w:eastAsiaTheme="minorHAnsi"/>
          <w:szCs w:val="24"/>
          <w:lang w:val="en-US" w:eastAsia="en-US"/>
        </w:rPr>
      </w:pPr>
      <w:proofErr w:type="gramStart"/>
      <w:r w:rsidRPr="00BE78D8">
        <w:rPr>
          <w:rFonts w:eastAsiaTheme="minorHAnsi"/>
          <w:szCs w:val="24"/>
          <w:lang w:val="en-US" w:eastAsia="en-US"/>
        </w:rPr>
        <w:t>a</w:t>
      </w:r>
      <w:proofErr w:type="gramEnd"/>
      <w:r w:rsidRPr="00BE78D8">
        <w:rPr>
          <w:rFonts w:eastAsiaTheme="minorHAnsi"/>
          <w:szCs w:val="24"/>
          <w:lang w:val="en-US" w:eastAsia="en-US"/>
        </w:rPr>
        <w:t>: Further dose reductions should be considered on an individual patient basis as limited data are</w:t>
      </w:r>
      <w:r w:rsidR="00B405EF" w:rsidRPr="00BE78D8">
        <w:rPr>
          <w:rFonts w:eastAsiaTheme="minorHAnsi"/>
          <w:szCs w:val="24"/>
          <w:lang w:val="en-US" w:eastAsia="en-US"/>
        </w:rPr>
        <w:t xml:space="preserve"> </w:t>
      </w:r>
      <w:r w:rsidRPr="00BE78D8">
        <w:rPr>
          <w:rFonts w:eastAsiaTheme="minorHAnsi"/>
          <w:szCs w:val="24"/>
          <w:lang w:val="en-US" w:eastAsia="en-US"/>
        </w:rPr>
        <w:t>available for doses below 10 mg.</w:t>
      </w:r>
    </w:p>
    <w:p w:rsidR="00B405EF" w:rsidRPr="00BE78D8" w:rsidRDefault="00B405EF" w:rsidP="00946012">
      <w:pPr>
        <w:autoSpaceDE w:val="0"/>
        <w:autoSpaceDN w:val="0"/>
        <w:adjustRightInd w:val="0"/>
        <w:rPr>
          <w:rFonts w:eastAsiaTheme="minorHAnsi"/>
          <w:szCs w:val="24"/>
          <w:lang w:val="en-US" w:eastAsia="en-US"/>
        </w:rPr>
      </w:pPr>
    </w:p>
    <w:p w:rsidR="00346E9F" w:rsidRPr="009A1D5E" w:rsidRDefault="00346E9F" w:rsidP="00346E9F">
      <w:pPr>
        <w:autoSpaceDE w:val="0"/>
        <w:autoSpaceDN w:val="0"/>
        <w:adjustRightInd w:val="0"/>
        <w:rPr>
          <w:rFonts w:eastAsiaTheme="minorHAnsi"/>
          <w:i/>
          <w:color w:val="auto"/>
          <w:szCs w:val="24"/>
          <w:lang w:val="en-US" w:eastAsia="en-US"/>
        </w:rPr>
      </w:pPr>
      <w:r w:rsidRPr="009A1D5E">
        <w:rPr>
          <w:rFonts w:eastAsiaTheme="minorHAnsi"/>
          <w:i/>
          <w:color w:val="auto"/>
          <w:szCs w:val="24"/>
          <w:lang w:val="en-US" w:eastAsia="en-US"/>
        </w:rPr>
        <w:t>Special populations</w:t>
      </w:r>
    </w:p>
    <w:p w:rsidR="00346E9F" w:rsidRPr="00BE78D8" w:rsidRDefault="00346E9F" w:rsidP="00346E9F">
      <w:pPr>
        <w:autoSpaceDE w:val="0"/>
        <w:autoSpaceDN w:val="0"/>
        <w:adjustRightInd w:val="0"/>
        <w:rPr>
          <w:rFonts w:eastAsiaTheme="minorHAnsi"/>
          <w:color w:val="auto"/>
          <w:szCs w:val="24"/>
          <w:lang w:val="en-US" w:eastAsia="en-US"/>
        </w:rPr>
      </w:pPr>
      <w:r w:rsidRPr="00BE78D8">
        <w:rPr>
          <w:rFonts w:eastAsiaTheme="minorHAnsi"/>
          <w:color w:val="auto"/>
          <w:szCs w:val="24"/>
          <w:lang w:val="en-US" w:eastAsia="en-US"/>
        </w:rPr>
        <w:t xml:space="preserve">Certain subpopulations of patients appear to have reduced tolerability to lenvatinib (see </w:t>
      </w:r>
      <w:r w:rsidR="00CC745D">
        <w:rPr>
          <w:rFonts w:eastAsiaTheme="minorHAnsi"/>
          <w:color w:val="auto"/>
          <w:szCs w:val="24"/>
          <w:lang w:val="en-US" w:eastAsia="en-US"/>
        </w:rPr>
        <w:t xml:space="preserve">ADVERSE </w:t>
      </w:r>
      <w:r w:rsidR="006E772B">
        <w:rPr>
          <w:rFonts w:eastAsiaTheme="minorHAnsi"/>
          <w:color w:val="auto"/>
          <w:szCs w:val="24"/>
          <w:lang w:val="en-US" w:eastAsia="en-US"/>
        </w:rPr>
        <w:t>REACTIONS</w:t>
      </w:r>
      <w:r w:rsidR="00CC745D">
        <w:rPr>
          <w:rFonts w:eastAsiaTheme="minorHAnsi"/>
          <w:color w:val="auto"/>
          <w:szCs w:val="24"/>
          <w:lang w:val="en-US" w:eastAsia="en-US"/>
        </w:rPr>
        <w:t xml:space="preserve">, Special </w:t>
      </w:r>
      <w:r w:rsidR="00204FD1">
        <w:rPr>
          <w:rFonts w:eastAsiaTheme="minorHAnsi"/>
          <w:color w:val="auto"/>
          <w:szCs w:val="24"/>
          <w:lang w:val="en-US" w:eastAsia="en-US"/>
        </w:rPr>
        <w:t>Populations</w:t>
      </w:r>
      <w:r w:rsidRPr="00BE78D8">
        <w:rPr>
          <w:rFonts w:eastAsiaTheme="minorHAnsi"/>
          <w:color w:val="auto"/>
          <w:szCs w:val="24"/>
          <w:lang w:val="en-US" w:eastAsia="en-US"/>
        </w:rPr>
        <w:t>). Following treatment initiation at the recommended dose, the dose should be adjusted on the basis of individual tolerability.</w:t>
      </w:r>
    </w:p>
    <w:p w:rsidR="00346E9F" w:rsidRPr="00BE78D8" w:rsidRDefault="00346E9F" w:rsidP="00346E9F">
      <w:pPr>
        <w:autoSpaceDE w:val="0"/>
        <w:autoSpaceDN w:val="0"/>
        <w:adjustRightInd w:val="0"/>
        <w:rPr>
          <w:rFonts w:eastAsiaTheme="minorHAnsi"/>
          <w:i/>
          <w:iCs/>
          <w:color w:val="auto"/>
          <w:szCs w:val="24"/>
          <w:lang w:val="en-US" w:eastAsia="en-US"/>
        </w:rPr>
      </w:pPr>
    </w:p>
    <w:p w:rsidR="00346E9F" w:rsidRPr="00BE78D8" w:rsidRDefault="00346E9F" w:rsidP="009A1D5E">
      <w:pPr>
        <w:keepNext/>
        <w:autoSpaceDE w:val="0"/>
        <w:autoSpaceDN w:val="0"/>
        <w:adjustRightInd w:val="0"/>
        <w:rPr>
          <w:rFonts w:eastAsiaTheme="minorHAnsi"/>
          <w:i/>
          <w:iCs/>
          <w:color w:val="auto"/>
          <w:szCs w:val="24"/>
          <w:lang w:val="en-US" w:eastAsia="en-US"/>
        </w:rPr>
      </w:pPr>
      <w:r w:rsidRPr="00BE78D8">
        <w:rPr>
          <w:rFonts w:eastAsiaTheme="minorHAnsi"/>
          <w:i/>
          <w:iCs/>
          <w:color w:val="auto"/>
          <w:szCs w:val="24"/>
          <w:lang w:val="en-US" w:eastAsia="en-US"/>
        </w:rPr>
        <w:t>Patients with hypertension</w:t>
      </w:r>
    </w:p>
    <w:p w:rsidR="00346E9F" w:rsidRPr="00BE78D8" w:rsidRDefault="00346E9F" w:rsidP="00346E9F">
      <w:pPr>
        <w:autoSpaceDE w:val="0"/>
        <w:autoSpaceDN w:val="0"/>
        <w:adjustRightInd w:val="0"/>
        <w:rPr>
          <w:rFonts w:eastAsiaTheme="minorHAnsi"/>
          <w:color w:val="auto"/>
          <w:szCs w:val="24"/>
          <w:lang w:val="en-US" w:eastAsia="en-US"/>
        </w:rPr>
      </w:pPr>
      <w:r w:rsidRPr="00BE78D8">
        <w:rPr>
          <w:rFonts w:eastAsiaTheme="minorHAnsi"/>
          <w:color w:val="auto"/>
          <w:szCs w:val="24"/>
          <w:lang w:val="en-US" w:eastAsia="en-US"/>
        </w:rPr>
        <w:t xml:space="preserve">Blood pressure should be well controlled prior to treatment with lenvatinib, and should be regularly monitored during treatment (see </w:t>
      </w:r>
      <w:r w:rsidR="00CC745D">
        <w:rPr>
          <w:rFonts w:eastAsiaTheme="minorHAnsi"/>
          <w:color w:val="auto"/>
          <w:szCs w:val="24"/>
          <w:lang w:val="en-US" w:eastAsia="en-US"/>
        </w:rPr>
        <w:t>PRECAUTIONS</w:t>
      </w:r>
      <w:r w:rsidRPr="00BE78D8">
        <w:rPr>
          <w:rFonts w:eastAsiaTheme="minorHAnsi"/>
          <w:color w:val="auto"/>
          <w:szCs w:val="24"/>
          <w:lang w:val="en-US" w:eastAsia="en-US"/>
        </w:rPr>
        <w:t>).</w:t>
      </w:r>
    </w:p>
    <w:p w:rsidR="00346E9F" w:rsidRPr="00BE78D8" w:rsidRDefault="00346E9F" w:rsidP="00346E9F">
      <w:pPr>
        <w:autoSpaceDE w:val="0"/>
        <w:autoSpaceDN w:val="0"/>
        <w:adjustRightInd w:val="0"/>
        <w:rPr>
          <w:rFonts w:eastAsiaTheme="minorHAnsi"/>
          <w:i/>
          <w:iCs/>
          <w:color w:val="auto"/>
          <w:szCs w:val="24"/>
          <w:lang w:val="en-US" w:eastAsia="en-US"/>
        </w:rPr>
      </w:pPr>
    </w:p>
    <w:p w:rsidR="00346E9F" w:rsidRPr="00BE78D8" w:rsidRDefault="00346E9F" w:rsidP="00346E9F">
      <w:pPr>
        <w:autoSpaceDE w:val="0"/>
        <w:autoSpaceDN w:val="0"/>
        <w:adjustRightInd w:val="0"/>
        <w:rPr>
          <w:rFonts w:eastAsiaTheme="minorHAnsi"/>
          <w:i/>
          <w:iCs/>
          <w:color w:val="auto"/>
          <w:szCs w:val="24"/>
          <w:lang w:val="en-US" w:eastAsia="en-US"/>
        </w:rPr>
      </w:pPr>
      <w:r w:rsidRPr="00BE78D8">
        <w:rPr>
          <w:rFonts w:eastAsiaTheme="minorHAnsi"/>
          <w:i/>
          <w:iCs/>
          <w:color w:val="auto"/>
          <w:szCs w:val="24"/>
          <w:lang w:val="en-US" w:eastAsia="en-US"/>
        </w:rPr>
        <w:t>Patients with hepatic impairment</w:t>
      </w:r>
    </w:p>
    <w:p w:rsidR="00346E9F" w:rsidRPr="00BE78D8" w:rsidRDefault="00346E9F" w:rsidP="00346E9F">
      <w:pPr>
        <w:autoSpaceDE w:val="0"/>
        <w:autoSpaceDN w:val="0"/>
        <w:adjustRightInd w:val="0"/>
        <w:rPr>
          <w:rFonts w:eastAsiaTheme="minorHAnsi"/>
          <w:color w:val="auto"/>
          <w:szCs w:val="24"/>
          <w:lang w:val="en-US" w:eastAsia="en-US"/>
        </w:rPr>
      </w:pPr>
      <w:r w:rsidRPr="00BE78D8">
        <w:rPr>
          <w:rFonts w:eastAsiaTheme="minorHAnsi"/>
          <w:color w:val="auto"/>
          <w:szCs w:val="24"/>
          <w:lang w:val="en-US" w:eastAsia="en-US"/>
        </w:rPr>
        <w:t>No adjustment</w:t>
      </w:r>
      <w:r w:rsidR="00BD7E2E">
        <w:rPr>
          <w:rFonts w:eastAsiaTheme="minorHAnsi"/>
          <w:color w:val="auto"/>
          <w:szCs w:val="24"/>
          <w:lang w:val="en-US" w:eastAsia="en-US"/>
        </w:rPr>
        <w:t xml:space="preserve"> of starting dose is </w:t>
      </w:r>
      <w:r w:rsidRPr="00BE78D8">
        <w:rPr>
          <w:rFonts w:eastAsiaTheme="minorHAnsi"/>
          <w:color w:val="auto"/>
          <w:szCs w:val="24"/>
          <w:lang w:val="en-US" w:eastAsia="en-US"/>
        </w:rPr>
        <w:t xml:space="preserve">  required on the basis of hepatic function in patients with mild (Child-Pugh A) or moderate (Child-Pugh B) hepatic impairment. In patients with severe (Child-Pugh C) hepatic impairment, the recommended dose is 14 mg taken once daily. Further dose adjustments may be necessary</w:t>
      </w:r>
      <w:r w:rsidR="00BD7E2E">
        <w:rPr>
          <w:rFonts w:eastAsiaTheme="minorHAnsi"/>
          <w:color w:val="auto"/>
          <w:szCs w:val="24"/>
          <w:lang w:val="en-US" w:eastAsia="en-US"/>
        </w:rPr>
        <w:t xml:space="preserve"> on the basis of individual tolerability</w:t>
      </w:r>
      <w:r w:rsidRPr="00BE78D8">
        <w:rPr>
          <w:rFonts w:eastAsiaTheme="minorHAnsi"/>
          <w:color w:val="auto"/>
          <w:szCs w:val="24"/>
          <w:lang w:val="en-US" w:eastAsia="en-US"/>
        </w:rPr>
        <w:t>.</w:t>
      </w:r>
    </w:p>
    <w:p w:rsidR="00346E9F" w:rsidRPr="00BE78D8" w:rsidRDefault="00346E9F" w:rsidP="00346E9F">
      <w:pPr>
        <w:autoSpaceDE w:val="0"/>
        <w:autoSpaceDN w:val="0"/>
        <w:adjustRightInd w:val="0"/>
        <w:rPr>
          <w:rFonts w:eastAsiaTheme="minorHAnsi"/>
          <w:i/>
          <w:iCs/>
          <w:color w:val="auto"/>
          <w:szCs w:val="24"/>
          <w:lang w:val="en-US" w:eastAsia="en-US"/>
        </w:rPr>
      </w:pPr>
    </w:p>
    <w:p w:rsidR="00346E9F" w:rsidRPr="00BE78D8" w:rsidRDefault="00346E9F" w:rsidP="00346E9F">
      <w:pPr>
        <w:autoSpaceDE w:val="0"/>
        <w:autoSpaceDN w:val="0"/>
        <w:adjustRightInd w:val="0"/>
        <w:rPr>
          <w:rFonts w:eastAsiaTheme="minorHAnsi"/>
          <w:i/>
          <w:iCs/>
          <w:color w:val="auto"/>
          <w:szCs w:val="24"/>
          <w:lang w:val="en-US" w:eastAsia="en-US"/>
        </w:rPr>
      </w:pPr>
      <w:r w:rsidRPr="00BE78D8">
        <w:rPr>
          <w:rFonts w:eastAsiaTheme="minorHAnsi"/>
          <w:i/>
          <w:iCs/>
          <w:color w:val="auto"/>
          <w:szCs w:val="24"/>
          <w:lang w:val="en-US" w:eastAsia="en-US"/>
        </w:rPr>
        <w:t>Patients with renal impairment</w:t>
      </w:r>
    </w:p>
    <w:p w:rsidR="00346E9F" w:rsidRPr="00BE78D8" w:rsidRDefault="00346E9F" w:rsidP="00346E9F">
      <w:pPr>
        <w:autoSpaceDE w:val="0"/>
        <w:autoSpaceDN w:val="0"/>
        <w:adjustRightInd w:val="0"/>
        <w:rPr>
          <w:rFonts w:eastAsiaTheme="minorHAnsi"/>
          <w:color w:val="auto"/>
          <w:szCs w:val="24"/>
          <w:lang w:val="en-US" w:eastAsia="en-US"/>
        </w:rPr>
      </w:pPr>
      <w:r w:rsidRPr="00BE78D8">
        <w:rPr>
          <w:rFonts w:eastAsiaTheme="minorHAnsi"/>
          <w:color w:val="auto"/>
          <w:szCs w:val="24"/>
          <w:lang w:val="en-US" w:eastAsia="en-US"/>
        </w:rPr>
        <w:t>No adjustment</w:t>
      </w:r>
      <w:r w:rsidR="00DE5051">
        <w:rPr>
          <w:rFonts w:eastAsiaTheme="minorHAnsi"/>
          <w:color w:val="auto"/>
          <w:szCs w:val="24"/>
          <w:lang w:val="en-US" w:eastAsia="en-US"/>
        </w:rPr>
        <w:t xml:space="preserve"> of the starting </w:t>
      </w:r>
      <w:proofErr w:type="gramStart"/>
      <w:r w:rsidR="00DE5051">
        <w:rPr>
          <w:rFonts w:eastAsiaTheme="minorHAnsi"/>
          <w:color w:val="auto"/>
          <w:szCs w:val="24"/>
          <w:lang w:val="en-US" w:eastAsia="en-US"/>
        </w:rPr>
        <w:t xml:space="preserve">dose </w:t>
      </w:r>
      <w:r w:rsidRPr="00BE78D8">
        <w:rPr>
          <w:rFonts w:eastAsiaTheme="minorHAnsi"/>
          <w:color w:val="auto"/>
          <w:szCs w:val="24"/>
          <w:lang w:val="en-US" w:eastAsia="en-US"/>
        </w:rPr>
        <w:t xml:space="preserve"> </w:t>
      </w:r>
      <w:r w:rsidR="00DE5051">
        <w:rPr>
          <w:rFonts w:eastAsiaTheme="minorHAnsi"/>
          <w:color w:val="auto"/>
          <w:szCs w:val="24"/>
          <w:lang w:val="en-US" w:eastAsia="en-US"/>
        </w:rPr>
        <w:t>is</w:t>
      </w:r>
      <w:proofErr w:type="gramEnd"/>
      <w:r w:rsidRPr="00BE78D8">
        <w:rPr>
          <w:rFonts w:eastAsiaTheme="minorHAnsi"/>
          <w:color w:val="auto"/>
          <w:szCs w:val="24"/>
          <w:lang w:val="en-US" w:eastAsia="en-US"/>
        </w:rPr>
        <w:t xml:space="preserve"> required on the basis of renal function in patients with mild or moderate renal impairment. In patients with severe renal impairment, the recommended dose is 14 mg taken once daily. Further dose adjustments may be necessary</w:t>
      </w:r>
      <w:r w:rsidR="00DE5051">
        <w:rPr>
          <w:rFonts w:eastAsiaTheme="minorHAnsi"/>
          <w:color w:val="auto"/>
          <w:szCs w:val="24"/>
          <w:lang w:val="en-US" w:eastAsia="en-US"/>
        </w:rPr>
        <w:t xml:space="preserve"> based on the individual tolerability</w:t>
      </w:r>
      <w:r w:rsidRPr="00BE78D8">
        <w:rPr>
          <w:rFonts w:eastAsiaTheme="minorHAnsi"/>
          <w:color w:val="auto"/>
          <w:szCs w:val="24"/>
          <w:lang w:val="en-US" w:eastAsia="en-US"/>
        </w:rPr>
        <w:t>. Patients with end-stage renal disease were not studied, therefore the use of lenvatinib in these patients is not recommended.</w:t>
      </w:r>
    </w:p>
    <w:p w:rsidR="00346E9F" w:rsidRPr="00BE78D8" w:rsidRDefault="00346E9F" w:rsidP="00346E9F">
      <w:pPr>
        <w:autoSpaceDE w:val="0"/>
        <w:autoSpaceDN w:val="0"/>
        <w:adjustRightInd w:val="0"/>
        <w:rPr>
          <w:rFonts w:eastAsiaTheme="minorHAnsi"/>
          <w:i/>
          <w:iCs/>
          <w:color w:val="auto"/>
          <w:szCs w:val="24"/>
          <w:lang w:val="en-US" w:eastAsia="en-US"/>
        </w:rPr>
      </w:pPr>
    </w:p>
    <w:p w:rsidR="00346E9F" w:rsidRPr="00BE78D8" w:rsidRDefault="00346E9F" w:rsidP="009A1D5E">
      <w:pPr>
        <w:keepNext/>
        <w:autoSpaceDE w:val="0"/>
        <w:autoSpaceDN w:val="0"/>
        <w:adjustRightInd w:val="0"/>
        <w:rPr>
          <w:rFonts w:eastAsiaTheme="minorHAnsi"/>
          <w:i/>
          <w:iCs/>
          <w:color w:val="auto"/>
          <w:szCs w:val="24"/>
          <w:lang w:val="en-US" w:eastAsia="en-US"/>
        </w:rPr>
      </w:pPr>
      <w:r w:rsidRPr="00BE78D8">
        <w:rPr>
          <w:rFonts w:eastAsiaTheme="minorHAnsi"/>
          <w:i/>
          <w:iCs/>
          <w:color w:val="auto"/>
          <w:szCs w:val="24"/>
          <w:lang w:val="en-US" w:eastAsia="en-US"/>
        </w:rPr>
        <w:t>Elderly population</w:t>
      </w:r>
    </w:p>
    <w:p w:rsidR="00B405EF" w:rsidRPr="00BE78D8" w:rsidRDefault="00346E9F" w:rsidP="00346E9F">
      <w:pPr>
        <w:autoSpaceDE w:val="0"/>
        <w:autoSpaceDN w:val="0"/>
        <w:adjustRightInd w:val="0"/>
        <w:rPr>
          <w:rFonts w:eastAsiaTheme="minorHAnsi"/>
          <w:color w:val="auto"/>
          <w:szCs w:val="24"/>
          <w:lang w:val="en-US" w:eastAsia="en-US"/>
        </w:rPr>
      </w:pPr>
      <w:r w:rsidRPr="00BE78D8">
        <w:rPr>
          <w:rFonts w:eastAsiaTheme="minorHAnsi"/>
          <w:color w:val="auto"/>
          <w:szCs w:val="24"/>
          <w:lang w:val="en-US" w:eastAsia="en-US"/>
        </w:rPr>
        <w:t>No adjustment</w:t>
      </w:r>
      <w:r w:rsidR="008A7BEC">
        <w:rPr>
          <w:rFonts w:eastAsiaTheme="minorHAnsi"/>
          <w:color w:val="auto"/>
          <w:szCs w:val="24"/>
          <w:lang w:val="en-US" w:eastAsia="en-US"/>
        </w:rPr>
        <w:t xml:space="preserve"> of the starting dose</w:t>
      </w:r>
      <w:r w:rsidRPr="00BE78D8">
        <w:rPr>
          <w:rFonts w:eastAsiaTheme="minorHAnsi"/>
          <w:color w:val="auto"/>
          <w:szCs w:val="24"/>
          <w:lang w:val="en-US" w:eastAsia="en-US"/>
        </w:rPr>
        <w:t xml:space="preserve"> is required on the basis of age.</w:t>
      </w:r>
      <w:r w:rsidR="005C3A97">
        <w:rPr>
          <w:rFonts w:eastAsiaTheme="minorHAnsi"/>
          <w:color w:val="auto"/>
          <w:szCs w:val="24"/>
          <w:lang w:val="en-US" w:eastAsia="en-US"/>
        </w:rPr>
        <w:t xml:space="preserve"> Limited data are available on the use in patients aged ≥ 75 years.</w:t>
      </w:r>
    </w:p>
    <w:p w:rsidR="00346E9F" w:rsidRPr="00BE78D8" w:rsidRDefault="00346E9F" w:rsidP="00346E9F">
      <w:pPr>
        <w:autoSpaceDE w:val="0"/>
        <w:autoSpaceDN w:val="0"/>
        <w:adjustRightInd w:val="0"/>
        <w:rPr>
          <w:rFonts w:eastAsiaTheme="minorHAnsi"/>
          <w:color w:val="auto"/>
          <w:szCs w:val="24"/>
          <w:lang w:val="en-US" w:eastAsia="en-US"/>
        </w:rPr>
      </w:pPr>
    </w:p>
    <w:p w:rsidR="00346E9F" w:rsidRPr="00BE78D8" w:rsidRDefault="00346E9F" w:rsidP="00346E9F">
      <w:pPr>
        <w:autoSpaceDE w:val="0"/>
        <w:autoSpaceDN w:val="0"/>
        <w:adjustRightInd w:val="0"/>
        <w:rPr>
          <w:rFonts w:eastAsiaTheme="minorHAnsi"/>
          <w:i/>
          <w:iCs/>
          <w:color w:val="auto"/>
          <w:szCs w:val="24"/>
          <w:lang w:val="en-US" w:eastAsia="en-US"/>
        </w:rPr>
      </w:pPr>
      <w:r w:rsidRPr="00BE78D8">
        <w:rPr>
          <w:rFonts w:eastAsiaTheme="minorHAnsi"/>
          <w:i/>
          <w:iCs/>
          <w:color w:val="auto"/>
          <w:szCs w:val="24"/>
          <w:lang w:val="en-US" w:eastAsia="en-US"/>
        </w:rPr>
        <w:lastRenderedPageBreak/>
        <w:t>Paediatric population</w:t>
      </w:r>
    </w:p>
    <w:p w:rsidR="00BF6DCD" w:rsidRPr="00BE78D8" w:rsidRDefault="00346E9F" w:rsidP="00346E9F">
      <w:pPr>
        <w:autoSpaceDE w:val="0"/>
        <w:autoSpaceDN w:val="0"/>
        <w:adjustRightInd w:val="0"/>
        <w:rPr>
          <w:rFonts w:eastAsiaTheme="minorHAnsi"/>
          <w:color w:val="auto"/>
          <w:szCs w:val="24"/>
          <w:lang w:val="en-US" w:eastAsia="en-US"/>
        </w:rPr>
      </w:pPr>
      <w:r w:rsidRPr="00BE78D8">
        <w:rPr>
          <w:rFonts w:eastAsiaTheme="minorHAnsi"/>
          <w:color w:val="auto"/>
          <w:szCs w:val="24"/>
          <w:lang w:val="en-US" w:eastAsia="en-US"/>
        </w:rPr>
        <w:t xml:space="preserve">Lenvatinib must not be used in children younger than 2 years of age because of safety concerns </w:t>
      </w:r>
      <w:r w:rsidR="00426553">
        <w:rPr>
          <w:rFonts w:eastAsiaTheme="minorHAnsi"/>
          <w:color w:val="auto"/>
          <w:szCs w:val="24"/>
          <w:lang w:val="en-US" w:eastAsia="en-US"/>
        </w:rPr>
        <w:t>identified in animal studies</w:t>
      </w:r>
      <w:r w:rsidRPr="00BE78D8">
        <w:rPr>
          <w:rFonts w:eastAsiaTheme="minorHAnsi"/>
          <w:color w:val="auto"/>
          <w:szCs w:val="24"/>
          <w:lang w:val="en-US" w:eastAsia="en-US"/>
        </w:rPr>
        <w:t xml:space="preserve">. The safety and efficacy of lenvatinib in children aged 2 to &lt;18 years have </w:t>
      </w:r>
      <w:r w:rsidR="00CC745D">
        <w:rPr>
          <w:rFonts w:eastAsiaTheme="minorHAnsi"/>
          <w:color w:val="auto"/>
          <w:szCs w:val="24"/>
          <w:lang w:val="en-US" w:eastAsia="en-US"/>
        </w:rPr>
        <w:t>not yet been established (see CLINICAL TRIALS</w:t>
      </w:r>
      <w:r w:rsidRPr="00BE78D8">
        <w:rPr>
          <w:rFonts w:eastAsiaTheme="minorHAnsi"/>
          <w:color w:val="auto"/>
          <w:szCs w:val="24"/>
          <w:lang w:val="en-US" w:eastAsia="en-US"/>
        </w:rPr>
        <w:t>). No data are available.</w:t>
      </w:r>
    </w:p>
    <w:p w:rsidR="00346E9F" w:rsidRPr="00BE78D8" w:rsidRDefault="00346E9F" w:rsidP="00346E9F">
      <w:pPr>
        <w:autoSpaceDE w:val="0"/>
        <w:autoSpaceDN w:val="0"/>
        <w:adjustRightInd w:val="0"/>
        <w:rPr>
          <w:rFonts w:eastAsiaTheme="minorHAnsi"/>
          <w:color w:val="auto"/>
          <w:szCs w:val="24"/>
          <w:lang w:val="en-US" w:eastAsia="en-US"/>
        </w:rPr>
      </w:pPr>
    </w:p>
    <w:p w:rsidR="00BF6DCD" w:rsidRPr="00BA1B54" w:rsidRDefault="00527492" w:rsidP="00346E9F">
      <w:pPr>
        <w:autoSpaceDE w:val="0"/>
        <w:autoSpaceDN w:val="0"/>
        <w:adjustRightInd w:val="0"/>
        <w:rPr>
          <w:rFonts w:eastAsiaTheme="minorHAnsi"/>
          <w:i/>
          <w:color w:val="auto"/>
          <w:szCs w:val="24"/>
          <w:lang w:val="en-US" w:eastAsia="en-US"/>
        </w:rPr>
      </w:pPr>
      <w:r w:rsidRPr="00BA1B54">
        <w:rPr>
          <w:rFonts w:eastAsiaTheme="minorHAnsi"/>
          <w:i/>
          <w:color w:val="auto"/>
          <w:szCs w:val="24"/>
          <w:lang w:val="en-US" w:eastAsia="en-US"/>
        </w:rPr>
        <w:t>Race</w:t>
      </w:r>
    </w:p>
    <w:p w:rsidR="00BF6DCD" w:rsidRDefault="00BF6DCD" w:rsidP="00346E9F">
      <w:pPr>
        <w:autoSpaceDE w:val="0"/>
        <w:autoSpaceDN w:val="0"/>
        <w:adjustRightInd w:val="0"/>
        <w:rPr>
          <w:rFonts w:eastAsiaTheme="minorHAnsi"/>
          <w:color w:val="auto"/>
          <w:szCs w:val="24"/>
          <w:lang w:val="en-US" w:eastAsia="en-US"/>
        </w:rPr>
      </w:pPr>
      <w:r>
        <w:rPr>
          <w:rFonts w:eastAsiaTheme="minorHAnsi"/>
          <w:color w:val="auto"/>
          <w:szCs w:val="24"/>
          <w:lang w:val="en-US" w:eastAsia="en-US"/>
        </w:rPr>
        <w:t>No adjustment of starting dose is required on the basis of race. Limited data are available on use in patients from ethnic origins other than Caucasian or Asian.</w:t>
      </w:r>
    </w:p>
    <w:p w:rsidR="00BF6DCD" w:rsidRDefault="00BF6DCD" w:rsidP="00346E9F">
      <w:pPr>
        <w:autoSpaceDE w:val="0"/>
        <w:autoSpaceDN w:val="0"/>
        <w:adjustRightInd w:val="0"/>
        <w:rPr>
          <w:rFonts w:eastAsiaTheme="minorHAnsi"/>
          <w:color w:val="auto"/>
          <w:szCs w:val="24"/>
          <w:lang w:val="en-US" w:eastAsia="en-US"/>
        </w:rPr>
      </w:pPr>
    </w:p>
    <w:p w:rsidR="00346E9F" w:rsidRPr="004D4EB9" w:rsidRDefault="00346E9F" w:rsidP="00346E9F">
      <w:pPr>
        <w:autoSpaceDE w:val="0"/>
        <w:autoSpaceDN w:val="0"/>
        <w:adjustRightInd w:val="0"/>
        <w:rPr>
          <w:rFonts w:eastAsiaTheme="minorHAnsi"/>
          <w:i/>
          <w:color w:val="auto"/>
          <w:szCs w:val="24"/>
          <w:lang w:val="en-US" w:eastAsia="en-US"/>
        </w:rPr>
      </w:pPr>
      <w:r w:rsidRPr="004D4EB9">
        <w:rPr>
          <w:rFonts w:eastAsiaTheme="minorHAnsi"/>
          <w:i/>
          <w:color w:val="auto"/>
          <w:szCs w:val="24"/>
          <w:lang w:val="en-US" w:eastAsia="en-US"/>
        </w:rPr>
        <w:t>Method of administration</w:t>
      </w:r>
    </w:p>
    <w:p w:rsidR="00346E9F" w:rsidRPr="00BE78D8" w:rsidRDefault="00346E9F" w:rsidP="00346E9F">
      <w:pPr>
        <w:autoSpaceDE w:val="0"/>
        <w:autoSpaceDN w:val="0"/>
        <w:adjustRightInd w:val="0"/>
        <w:rPr>
          <w:rFonts w:eastAsiaTheme="minorHAnsi"/>
          <w:color w:val="auto"/>
          <w:szCs w:val="24"/>
          <w:lang w:val="en-US" w:eastAsia="en-US"/>
        </w:rPr>
      </w:pPr>
      <w:r w:rsidRPr="00BE78D8">
        <w:rPr>
          <w:rFonts w:eastAsiaTheme="minorHAnsi"/>
          <w:color w:val="auto"/>
          <w:szCs w:val="24"/>
          <w:lang w:val="en-US" w:eastAsia="en-US"/>
        </w:rPr>
        <w:t xml:space="preserve">Lenvatinib should be taken at about the same time each day, with or </w:t>
      </w:r>
      <w:r w:rsidR="00E52433" w:rsidRPr="00BE78D8">
        <w:rPr>
          <w:rFonts w:eastAsiaTheme="minorHAnsi"/>
          <w:color w:val="auto"/>
          <w:szCs w:val="24"/>
          <w:lang w:val="en-US" w:eastAsia="en-US"/>
        </w:rPr>
        <w:t xml:space="preserve">without food. </w:t>
      </w:r>
      <w:r w:rsidRPr="00BE78D8">
        <w:rPr>
          <w:rFonts w:eastAsiaTheme="minorHAnsi"/>
          <w:color w:val="auto"/>
          <w:szCs w:val="24"/>
          <w:lang w:val="en-US" w:eastAsia="en-US"/>
        </w:rPr>
        <w:t>The capsules should be swallowed whole with water.</w:t>
      </w:r>
    </w:p>
    <w:p w:rsidR="00E52433" w:rsidRPr="00BE78D8" w:rsidRDefault="00E52433" w:rsidP="00346E9F">
      <w:pPr>
        <w:autoSpaceDE w:val="0"/>
        <w:autoSpaceDN w:val="0"/>
        <w:adjustRightInd w:val="0"/>
        <w:rPr>
          <w:rFonts w:eastAsiaTheme="minorHAnsi"/>
          <w:color w:val="auto"/>
          <w:szCs w:val="24"/>
          <w:lang w:val="en-US" w:eastAsia="en-US"/>
        </w:rPr>
      </w:pPr>
    </w:p>
    <w:p w:rsidR="00E52433" w:rsidRPr="00BE78D8" w:rsidRDefault="00E52433" w:rsidP="00346E9F">
      <w:pPr>
        <w:autoSpaceDE w:val="0"/>
        <w:autoSpaceDN w:val="0"/>
        <w:adjustRightInd w:val="0"/>
        <w:rPr>
          <w:rFonts w:eastAsiaTheme="minorHAnsi"/>
          <w:b/>
          <w:color w:val="auto"/>
          <w:szCs w:val="24"/>
          <w:lang w:val="en-US" w:eastAsia="en-US"/>
        </w:rPr>
      </w:pPr>
      <w:r w:rsidRPr="00BE78D8">
        <w:rPr>
          <w:rFonts w:eastAsiaTheme="minorHAnsi"/>
          <w:b/>
          <w:color w:val="auto"/>
          <w:szCs w:val="24"/>
          <w:lang w:val="en-US" w:eastAsia="en-US"/>
        </w:rPr>
        <w:t>OVERDOSAGE</w:t>
      </w:r>
    </w:p>
    <w:p w:rsidR="00E52433" w:rsidRPr="00BE78D8" w:rsidRDefault="00E52433" w:rsidP="00346E9F">
      <w:pPr>
        <w:autoSpaceDE w:val="0"/>
        <w:autoSpaceDN w:val="0"/>
        <w:adjustRightInd w:val="0"/>
        <w:rPr>
          <w:rFonts w:eastAsiaTheme="minorHAnsi"/>
          <w:b/>
          <w:color w:val="auto"/>
          <w:szCs w:val="24"/>
          <w:lang w:val="en-US" w:eastAsia="en-US"/>
        </w:rPr>
      </w:pPr>
    </w:p>
    <w:p w:rsidR="00E52433" w:rsidRPr="00BE78D8" w:rsidRDefault="00E52433" w:rsidP="00E52433">
      <w:pPr>
        <w:suppressLineNumbers/>
        <w:autoSpaceDE w:val="0"/>
        <w:autoSpaceDN w:val="0"/>
        <w:adjustRightInd w:val="0"/>
        <w:spacing w:after="240"/>
        <w:jc w:val="both"/>
        <w:rPr>
          <w:szCs w:val="24"/>
        </w:rPr>
      </w:pPr>
      <w:r w:rsidRPr="00BE78D8">
        <w:rPr>
          <w:szCs w:val="24"/>
        </w:rPr>
        <w:t>Contact the Poisons Information Centre on telephone 13 11 26 for advice on management of overdose.</w:t>
      </w:r>
    </w:p>
    <w:p w:rsidR="00E52433" w:rsidRPr="00BE78D8" w:rsidRDefault="00E52433" w:rsidP="00E52433">
      <w:pPr>
        <w:autoSpaceDE w:val="0"/>
        <w:autoSpaceDN w:val="0"/>
        <w:adjustRightInd w:val="0"/>
        <w:rPr>
          <w:rFonts w:eastAsiaTheme="minorHAnsi"/>
          <w:color w:val="auto"/>
          <w:szCs w:val="24"/>
          <w:lang w:val="en-US" w:eastAsia="en-US"/>
        </w:rPr>
      </w:pPr>
      <w:r w:rsidRPr="00BE78D8">
        <w:rPr>
          <w:rFonts w:eastAsiaTheme="minorHAnsi"/>
          <w:color w:val="auto"/>
          <w:szCs w:val="24"/>
          <w:lang w:val="en-US" w:eastAsia="en-US"/>
        </w:rPr>
        <w:t>There have been reports of overdose with lenvatinib including a single administration of 144 mg, 6 times the recommended daily dose. These cases were associated with adverse reactions consistent with the known safety profile of lenvatinib, or were without adverse reactions. There is no specific antidote for overdose with lenvatinib</w:t>
      </w:r>
      <w:r w:rsidR="00527EC3">
        <w:rPr>
          <w:rFonts w:eastAsiaTheme="minorHAnsi"/>
          <w:color w:val="auto"/>
          <w:szCs w:val="24"/>
          <w:lang w:val="en-US" w:eastAsia="en-US"/>
        </w:rPr>
        <w:t>, d</w:t>
      </w:r>
      <w:r w:rsidR="00527EC3" w:rsidRPr="00527EC3">
        <w:rPr>
          <w:rFonts w:eastAsiaTheme="minorHAnsi"/>
          <w:color w:val="auto"/>
          <w:szCs w:val="24"/>
          <w:lang w:val="en-US" w:eastAsia="en-US"/>
        </w:rPr>
        <w:t xml:space="preserve">ue to the high plasma protein </w:t>
      </w:r>
      <w:proofErr w:type="gramStart"/>
      <w:r w:rsidR="00527EC3" w:rsidRPr="00527EC3">
        <w:rPr>
          <w:rFonts w:eastAsiaTheme="minorHAnsi"/>
          <w:color w:val="auto"/>
          <w:szCs w:val="24"/>
          <w:lang w:val="en-US" w:eastAsia="en-US"/>
        </w:rPr>
        <w:t>binding,</w:t>
      </w:r>
      <w:proofErr w:type="gramEnd"/>
      <w:r w:rsidR="00527EC3" w:rsidRPr="00527EC3">
        <w:rPr>
          <w:rFonts w:eastAsiaTheme="minorHAnsi"/>
          <w:color w:val="auto"/>
          <w:szCs w:val="24"/>
          <w:lang w:val="en-US" w:eastAsia="en-US"/>
        </w:rPr>
        <w:t xml:space="preserve"> lenvatinib is not expected to be dialyzable</w:t>
      </w:r>
      <w:r w:rsidRPr="00BE78D8">
        <w:rPr>
          <w:rFonts w:eastAsiaTheme="minorHAnsi"/>
          <w:color w:val="auto"/>
          <w:szCs w:val="24"/>
          <w:lang w:val="en-US" w:eastAsia="en-US"/>
        </w:rPr>
        <w:t>. In case of suspected overdose, lenvatinib should be withheld and appropriate supportive care given as required.</w:t>
      </w:r>
    </w:p>
    <w:p w:rsidR="00E52433" w:rsidRPr="00BE78D8" w:rsidRDefault="00E52433" w:rsidP="00E52433">
      <w:pPr>
        <w:autoSpaceDE w:val="0"/>
        <w:autoSpaceDN w:val="0"/>
        <w:adjustRightInd w:val="0"/>
        <w:rPr>
          <w:rFonts w:eastAsiaTheme="minorHAnsi"/>
          <w:color w:val="auto"/>
          <w:szCs w:val="24"/>
          <w:lang w:val="en-US" w:eastAsia="en-US"/>
        </w:rPr>
      </w:pPr>
    </w:p>
    <w:p w:rsidR="00E52433" w:rsidRPr="00BE78D8" w:rsidRDefault="008B1A90" w:rsidP="009A1D5E">
      <w:pPr>
        <w:keepNext/>
        <w:autoSpaceDE w:val="0"/>
        <w:autoSpaceDN w:val="0"/>
        <w:adjustRightInd w:val="0"/>
        <w:rPr>
          <w:rFonts w:eastAsiaTheme="minorHAnsi"/>
          <w:b/>
          <w:color w:val="auto"/>
          <w:szCs w:val="24"/>
          <w:lang w:val="en-US" w:eastAsia="en-US"/>
        </w:rPr>
      </w:pPr>
      <w:r w:rsidRPr="00BE78D8">
        <w:rPr>
          <w:rFonts w:eastAsiaTheme="minorHAnsi"/>
          <w:b/>
          <w:color w:val="auto"/>
          <w:szCs w:val="24"/>
          <w:lang w:val="en-US" w:eastAsia="en-US"/>
        </w:rPr>
        <w:t>PRESENTATION</w:t>
      </w:r>
      <w:r w:rsidR="00E52433" w:rsidRPr="00BE78D8">
        <w:rPr>
          <w:rFonts w:eastAsiaTheme="minorHAnsi"/>
          <w:b/>
          <w:color w:val="auto"/>
          <w:szCs w:val="24"/>
          <w:lang w:val="en-US" w:eastAsia="en-US"/>
        </w:rPr>
        <w:t xml:space="preserve"> AND STORAGE</w:t>
      </w:r>
    </w:p>
    <w:p w:rsidR="00E52433" w:rsidRPr="00BE78D8" w:rsidRDefault="00E52433" w:rsidP="009A1D5E">
      <w:pPr>
        <w:keepNext/>
        <w:autoSpaceDE w:val="0"/>
        <w:autoSpaceDN w:val="0"/>
        <w:adjustRightInd w:val="0"/>
        <w:rPr>
          <w:rFonts w:eastAsiaTheme="minorHAnsi"/>
          <w:b/>
          <w:color w:val="auto"/>
          <w:szCs w:val="24"/>
          <w:lang w:val="en-US" w:eastAsia="en-US"/>
        </w:rPr>
      </w:pPr>
    </w:p>
    <w:p w:rsidR="00E52433" w:rsidRPr="00BE78D8" w:rsidRDefault="00E52433" w:rsidP="009A1D5E">
      <w:pPr>
        <w:keepNext/>
        <w:autoSpaceDE w:val="0"/>
        <w:autoSpaceDN w:val="0"/>
        <w:adjustRightInd w:val="0"/>
        <w:rPr>
          <w:rFonts w:eastAsiaTheme="minorHAnsi"/>
          <w:b/>
          <w:color w:val="auto"/>
          <w:szCs w:val="24"/>
          <w:lang w:val="en-US" w:eastAsia="en-US"/>
        </w:rPr>
      </w:pPr>
      <w:r w:rsidRPr="00BE78D8">
        <w:rPr>
          <w:rFonts w:eastAsiaTheme="minorHAnsi"/>
          <w:b/>
          <w:color w:val="auto"/>
          <w:szCs w:val="24"/>
          <w:lang w:val="en-US" w:eastAsia="en-US"/>
        </w:rPr>
        <w:t>Presentation</w:t>
      </w:r>
    </w:p>
    <w:p w:rsidR="0020425D" w:rsidRPr="00BE78D8" w:rsidRDefault="0020425D" w:rsidP="00753B48">
      <w:pPr>
        <w:autoSpaceDE w:val="0"/>
        <w:autoSpaceDN w:val="0"/>
        <w:adjustRightInd w:val="0"/>
        <w:rPr>
          <w:rFonts w:eastAsiaTheme="minorHAnsi"/>
          <w:color w:val="auto"/>
          <w:szCs w:val="24"/>
          <w:lang w:val="en-US" w:eastAsia="en-US"/>
        </w:rPr>
      </w:pPr>
      <w:r>
        <w:rPr>
          <w:rFonts w:eastAsiaTheme="minorHAnsi"/>
          <w:color w:val="auto"/>
          <w:szCs w:val="24"/>
          <w:lang w:val="en-US" w:eastAsia="en-US"/>
        </w:rPr>
        <w:t xml:space="preserve">Lenvima </w:t>
      </w:r>
      <w:r w:rsidRPr="00BE78D8">
        <w:rPr>
          <w:rFonts w:eastAsiaTheme="minorHAnsi"/>
          <w:color w:val="auto"/>
          <w:szCs w:val="24"/>
          <w:lang w:val="en-US" w:eastAsia="en-US"/>
        </w:rPr>
        <w:t>4 mg capsule: A yellowish-red body and yellowish-red cap, approximately 14.3 mm in length, marked in black ink with “Є” on the cap, and “LENV 4 mg” on the body.</w:t>
      </w:r>
    </w:p>
    <w:p w:rsidR="00753B48" w:rsidRPr="004D4EB9" w:rsidRDefault="00753B48" w:rsidP="004D4EB9">
      <w:pPr>
        <w:rPr>
          <w:rFonts w:eastAsiaTheme="minorHAnsi"/>
          <w:lang w:val="en-US" w:eastAsia="en-US"/>
        </w:rPr>
      </w:pPr>
    </w:p>
    <w:p w:rsidR="00BE78D8" w:rsidRPr="00BE78D8" w:rsidRDefault="00BE78D8" w:rsidP="004D4EB9">
      <w:pPr>
        <w:pStyle w:val="CM10"/>
        <w:spacing w:line="240" w:lineRule="auto"/>
        <w:rPr>
          <w:color w:val="000000"/>
        </w:rPr>
      </w:pPr>
      <w:r w:rsidRPr="00BE78D8">
        <w:rPr>
          <w:color w:val="000000"/>
        </w:rPr>
        <w:t>Lenvima 4 mg hard capsule</w:t>
      </w:r>
      <w:r w:rsidR="0089759B">
        <w:rPr>
          <w:color w:val="000000"/>
        </w:rPr>
        <w:t>s</w:t>
      </w:r>
      <w:r w:rsidRPr="00BE78D8">
        <w:rPr>
          <w:color w:val="000000"/>
        </w:rPr>
        <w:t xml:space="preserve"> </w:t>
      </w:r>
      <w:r w:rsidR="0089759B">
        <w:rPr>
          <w:color w:val="000000"/>
        </w:rPr>
        <w:t>are</w:t>
      </w:r>
      <w:r w:rsidR="0089759B" w:rsidRPr="00BE78D8">
        <w:rPr>
          <w:color w:val="000000"/>
        </w:rPr>
        <w:t xml:space="preserve"> </w:t>
      </w:r>
      <w:r w:rsidRPr="00BE78D8">
        <w:rPr>
          <w:color w:val="000000"/>
        </w:rPr>
        <w:t xml:space="preserve">available in polyamide/aluminium/PVC/aluminium blisters of 30 capsules. </w:t>
      </w:r>
    </w:p>
    <w:p w:rsidR="0020425D" w:rsidRDefault="0020425D" w:rsidP="00753B48">
      <w:pPr>
        <w:autoSpaceDE w:val="0"/>
        <w:autoSpaceDN w:val="0"/>
        <w:adjustRightInd w:val="0"/>
        <w:rPr>
          <w:rFonts w:eastAsiaTheme="minorHAnsi"/>
          <w:color w:val="auto"/>
          <w:szCs w:val="24"/>
          <w:lang w:val="en-US" w:eastAsia="en-US"/>
        </w:rPr>
      </w:pPr>
    </w:p>
    <w:p w:rsidR="0020425D" w:rsidRPr="00BE78D8" w:rsidRDefault="0020425D" w:rsidP="00753B48">
      <w:pPr>
        <w:autoSpaceDE w:val="0"/>
        <w:autoSpaceDN w:val="0"/>
        <w:adjustRightInd w:val="0"/>
        <w:rPr>
          <w:rFonts w:eastAsiaTheme="minorHAnsi"/>
          <w:color w:val="auto"/>
          <w:szCs w:val="24"/>
          <w:lang w:val="en-US" w:eastAsia="en-US"/>
        </w:rPr>
      </w:pPr>
      <w:r>
        <w:rPr>
          <w:rFonts w:eastAsiaTheme="minorHAnsi"/>
          <w:color w:val="auto"/>
          <w:szCs w:val="24"/>
          <w:lang w:val="en-US" w:eastAsia="en-US"/>
        </w:rPr>
        <w:t xml:space="preserve">Lenvima </w:t>
      </w:r>
      <w:r w:rsidRPr="00BE78D8">
        <w:rPr>
          <w:rFonts w:eastAsiaTheme="minorHAnsi"/>
          <w:color w:val="auto"/>
          <w:szCs w:val="24"/>
          <w:lang w:val="en-US" w:eastAsia="en-US"/>
        </w:rPr>
        <w:t>10 mg capsule: A yellow body and yellowish-red cap, approximately 14.3 mm in length, marked in black ink with “Є” on the cap, and “LENV 10 mg” on the body.</w:t>
      </w:r>
    </w:p>
    <w:p w:rsidR="00E52433" w:rsidRPr="00BE78D8" w:rsidRDefault="00E52433" w:rsidP="00554495">
      <w:pPr>
        <w:autoSpaceDE w:val="0"/>
        <w:autoSpaceDN w:val="0"/>
        <w:adjustRightInd w:val="0"/>
        <w:rPr>
          <w:rFonts w:eastAsiaTheme="minorHAnsi"/>
          <w:color w:val="auto"/>
          <w:szCs w:val="24"/>
          <w:lang w:val="en-US" w:eastAsia="en-US"/>
        </w:rPr>
      </w:pPr>
    </w:p>
    <w:p w:rsidR="00BE78D8" w:rsidRPr="00BE78D8" w:rsidRDefault="00BE78D8" w:rsidP="004D4EB9">
      <w:pPr>
        <w:pStyle w:val="CM10"/>
        <w:spacing w:line="240" w:lineRule="auto"/>
        <w:rPr>
          <w:color w:val="000000"/>
        </w:rPr>
      </w:pPr>
      <w:r w:rsidRPr="00BE78D8">
        <w:rPr>
          <w:color w:val="000000"/>
        </w:rPr>
        <w:t>Lenvima 10 mg hard capsule</w:t>
      </w:r>
      <w:r w:rsidR="0089759B">
        <w:rPr>
          <w:color w:val="000000"/>
        </w:rPr>
        <w:t>s</w:t>
      </w:r>
      <w:r w:rsidRPr="00BE78D8">
        <w:rPr>
          <w:color w:val="000000"/>
        </w:rPr>
        <w:t xml:space="preserve"> </w:t>
      </w:r>
      <w:r w:rsidR="0089759B">
        <w:rPr>
          <w:color w:val="000000"/>
        </w:rPr>
        <w:t>are</w:t>
      </w:r>
      <w:r w:rsidR="0089759B" w:rsidRPr="00BE78D8">
        <w:rPr>
          <w:color w:val="000000"/>
        </w:rPr>
        <w:t xml:space="preserve"> </w:t>
      </w:r>
      <w:r w:rsidRPr="00BE78D8">
        <w:rPr>
          <w:color w:val="000000"/>
        </w:rPr>
        <w:t xml:space="preserve">available in polyamide/aluminium/PVC/aluminium blisters of 30 capsules. </w:t>
      </w:r>
    </w:p>
    <w:p w:rsidR="00BE78D8" w:rsidRPr="00BE78D8" w:rsidRDefault="00BE78D8" w:rsidP="00753B48">
      <w:pPr>
        <w:autoSpaceDE w:val="0"/>
        <w:autoSpaceDN w:val="0"/>
        <w:adjustRightInd w:val="0"/>
        <w:rPr>
          <w:rFonts w:eastAsiaTheme="minorHAnsi"/>
          <w:color w:val="auto"/>
          <w:szCs w:val="24"/>
          <w:lang w:val="en-US" w:eastAsia="en-US"/>
        </w:rPr>
      </w:pPr>
    </w:p>
    <w:p w:rsidR="00BE78D8" w:rsidRPr="00BE78D8" w:rsidRDefault="00BE78D8" w:rsidP="004D4EB9">
      <w:pPr>
        <w:pStyle w:val="Default"/>
        <w:spacing w:after="240"/>
        <w:rPr>
          <w:u w:val="single"/>
        </w:rPr>
      </w:pPr>
      <w:r w:rsidRPr="00BE78D8">
        <w:rPr>
          <w:u w:val="single"/>
        </w:rPr>
        <w:t>Storage</w:t>
      </w:r>
    </w:p>
    <w:p w:rsidR="00BE78D8" w:rsidRPr="00BE78D8" w:rsidRDefault="00BE78D8" w:rsidP="004D4EB9">
      <w:pPr>
        <w:pStyle w:val="Default"/>
        <w:spacing w:after="240"/>
      </w:pPr>
      <w:r w:rsidRPr="000E199D">
        <w:t xml:space="preserve">Store below </w:t>
      </w:r>
      <w:r w:rsidR="0054379E">
        <w:t>30</w:t>
      </w:r>
      <w:r w:rsidR="0084459E">
        <w:t> </w:t>
      </w:r>
      <w:r w:rsidRPr="000E199D">
        <w:t>°C.</w:t>
      </w:r>
    </w:p>
    <w:p w:rsidR="00BE78D8" w:rsidRPr="00BE78D8" w:rsidRDefault="00BE78D8" w:rsidP="009A1D5E">
      <w:pPr>
        <w:keepNext/>
        <w:spacing w:after="240" w:line="276" w:lineRule="auto"/>
        <w:ind w:right="-1015"/>
        <w:jc w:val="both"/>
        <w:rPr>
          <w:b/>
          <w:caps/>
          <w:szCs w:val="24"/>
        </w:rPr>
      </w:pPr>
      <w:r w:rsidRPr="00BE78D8">
        <w:rPr>
          <w:b/>
          <w:caps/>
          <w:szCs w:val="24"/>
        </w:rPr>
        <w:t>name and address of the sponsor</w:t>
      </w:r>
    </w:p>
    <w:p w:rsidR="00BE78D8" w:rsidRPr="00BE78D8" w:rsidRDefault="00BE78D8" w:rsidP="00BE78D8">
      <w:pPr>
        <w:pStyle w:val="BodytextAgency"/>
        <w:spacing w:after="0" w:line="240" w:lineRule="auto"/>
        <w:jc w:val="both"/>
        <w:rPr>
          <w:rFonts w:ascii="Times New Roman" w:hAnsi="Times New Roman" w:cs="Times New Roman"/>
          <w:bCs/>
          <w:sz w:val="24"/>
          <w:szCs w:val="24"/>
        </w:rPr>
      </w:pPr>
      <w:r w:rsidRPr="00BE78D8">
        <w:rPr>
          <w:rFonts w:ascii="Times New Roman" w:hAnsi="Times New Roman" w:cs="Times New Roman"/>
          <w:bCs/>
          <w:sz w:val="24"/>
          <w:szCs w:val="24"/>
        </w:rPr>
        <w:t>Eisai (Australia) Pty Ltd</w:t>
      </w:r>
    </w:p>
    <w:p w:rsidR="00BE78D8" w:rsidRPr="00BE78D8" w:rsidRDefault="00BE78D8" w:rsidP="00BE78D8">
      <w:pPr>
        <w:pStyle w:val="BodytextAgency"/>
        <w:spacing w:after="0" w:line="240" w:lineRule="auto"/>
        <w:jc w:val="both"/>
        <w:rPr>
          <w:rFonts w:ascii="Times New Roman" w:hAnsi="Times New Roman" w:cs="Times New Roman"/>
          <w:bCs/>
          <w:sz w:val="24"/>
          <w:szCs w:val="24"/>
        </w:rPr>
      </w:pPr>
      <w:r w:rsidRPr="00BE78D8">
        <w:rPr>
          <w:rFonts w:ascii="Times New Roman" w:hAnsi="Times New Roman" w:cs="Times New Roman"/>
          <w:bCs/>
          <w:sz w:val="24"/>
          <w:szCs w:val="24"/>
        </w:rPr>
        <w:t>Level 2, 437 St Kilda Road</w:t>
      </w:r>
    </w:p>
    <w:p w:rsidR="00BE78D8" w:rsidRPr="00BE78D8" w:rsidRDefault="00BE78D8" w:rsidP="00BE78D8">
      <w:pPr>
        <w:pStyle w:val="BodytextAgency"/>
        <w:spacing w:after="0" w:line="240" w:lineRule="auto"/>
        <w:jc w:val="both"/>
        <w:rPr>
          <w:rFonts w:ascii="Times New Roman" w:hAnsi="Times New Roman" w:cs="Times New Roman"/>
          <w:bCs/>
          <w:sz w:val="24"/>
          <w:szCs w:val="24"/>
        </w:rPr>
      </w:pPr>
      <w:r w:rsidRPr="00BE78D8">
        <w:rPr>
          <w:rFonts w:ascii="Times New Roman" w:hAnsi="Times New Roman" w:cs="Times New Roman"/>
          <w:bCs/>
          <w:sz w:val="24"/>
          <w:szCs w:val="24"/>
        </w:rPr>
        <w:t>Melbourne, VIC, 3004</w:t>
      </w:r>
    </w:p>
    <w:p w:rsidR="00BE78D8" w:rsidRPr="00BE78D8" w:rsidRDefault="00BE78D8" w:rsidP="00BE78D8">
      <w:pPr>
        <w:pStyle w:val="Default"/>
        <w:rPr>
          <w:rFonts w:eastAsia="Calibri"/>
          <w:color w:val="auto"/>
          <w:lang w:val="en-US" w:eastAsia="en-US"/>
        </w:rPr>
      </w:pPr>
    </w:p>
    <w:p w:rsidR="00BE78D8" w:rsidRPr="00BE78D8" w:rsidRDefault="00BE78D8" w:rsidP="00BE78D8">
      <w:pPr>
        <w:spacing w:after="240" w:line="276" w:lineRule="auto"/>
        <w:ind w:right="-1017"/>
        <w:jc w:val="both"/>
        <w:rPr>
          <w:b/>
          <w:bCs/>
          <w:szCs w:val="24"/>
        </w:rPr>
      </w:pPr>
      <w:r w:rsidRPr="00BE78D8">
        <w:rPr>
          <w:b/>
          <w:bCs/>
          <w:szCs w:val="24"/>
        </w:rPr>
        <w:t>POISON SCHEDULE OF THE MEDICINE</w:t>
      </w:r>
    </w:p>
    <w:p w:rsidR="00BE78D8" w:rsidRPr="00BE78D8" w:rsidRDefault="00BE78D8" w:rsidP="00BE78D8">
      <w:pPr>
        <w:spacing w:after="240" w:line="276" w:lineRule="auto"/>
        <w:ind w:right="-1017"/>
        <w:jc w:val="both"/>
        <w:rPr>
          <w:szCs w:val="24"/>
        </w:rPr>
      </w:pPr>
      <w:r w:rsidRPr="00BE78D8">
        <w:rPr>
          <w:szCs w:val="24"/>
        </w:rPr>
        <w:t>S4</w:t>
      </w:r>
    </w:p>
    <w:p w:rsidR="00BE78D8" w:rsidRDefault="00BE78D8" w:rsidP="00BE78D8">
      <w:pPr>
        <w:spacing w:after="240" w:line="276" w:lineRule="auto"/>
        <w:ind w:right="-1017"/>
        <w:rPr>
          <w:b/>
          <w:bCs/>
          <w:szCs w:val="24"/>
        </w:rPr>
      </w:pPr>
      <w:r w:rsidRPr="00BE78D8">
        <w:rPr>
          <w:b/>
          <w:bCs/>
          <w:szCs w:val="24"/>
        </w:rPr>
        <w:t>DATE OF FIRST INCLUSION IN THE AUSTRALIAN REGISTER OF THERAPEUTIC GOODS (THE ARTG)</w:t>
      </w:r>
    </w:p>
    <w:p w:rsidR="00BE78D8" w:rsidRPr="00486AF6" w:rsidRDefault="00126D06" w:rsidP="00486AF6">
      <w:pPr>
        <w:spacing w:after="240" w:line="276" w:lineRule="auto"/>
        <w:ind w:right="-1017"/>
        <w:rPr>
          <w:bCs/>
          <w:szCs w:val="24"/>
        </w:rPr>
      </w:pPr>
      <w:r>
        <w:rPr>
          <w:bCs/>
          <w:szCs w:val="24"/>
        </w:rPr>
        <w:t>28 January 2016</w:t>
      </w:r>
    </w:p>
    <w:sectPr w:rsidR="00BE78D8" w:rsidRPr="00486AF6" w:rsidSect="0088349C">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000" w:rsidRDefault="000C2000" w:rsidP="00984B4D">
      <w:r>
        <w:separator/>
      </w:r>
    </w:p>
  </w:endnote>
  <w:endnote w:type="continuationSeparator" w:id="0">
    <w:p w:rsidR="000C2000" w:rsidRDefault="000C2000" w:rsidP="00984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HPFMA+TimesNewRoman">
    <w:altName w:val="Times New Roman"/>
    <w:panose1 w:val="00000000000000000000"/>
    <w:charset w:val="00"/>
    <w:family w:val="roman"/>
    <w:notTrueType/>
    <w:pitch w:val="default"/>
    <w:sig w:usb0="00000003" w:usb1="00000000" w:usb2="00000000" w:usb3="00000000" w:csb0="00000001" w:csb1="00000000"/>
  </w:font>
  <w:font w:name="TimesNewRoman,Bold">
    <w:altName w:val="MS Mincho"/>
    <w:panose1 w:val="00000000000000000000"/>
    <w:charset w:val="80"/>
    <w:family w:val="auto"/>
    <w:notTrueType/>
    <w:pitch w:val="default"/>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66274004"/>
      <w:docPartObj>
        <w:docPartGallery w:val="Page Numbers (Bottom of Page)"/>
        <w:docPartUnique/>
      </w:docPartObj>
    </w:sdtPr>
    <w:sdtEndPr>
      <w:rPr>
        <w:noProof/>
      </w:rPr>
    </w:sdtEndPr>
    <w:sdtContent>
      <w:p w:rsidR="008A7BEC" w:rsidRPr="005C4E46" w:rsidRDefault="008A7BEC" w:rsidP="005C4E46">
        <w:pPr>
          <w:pStyle w:val="Footer"/>
          <w:rPr>
            <w:sz w:val="20"/>
          </w:rPr>
        </w:pPr>
        <w:r w:rsidRPr="005C4E46">
          <w:rPr>
            <w:sz w:val="20"/>
          </w:rPr>
          <w:t xml:space="preserve">Lenvima PI </w:t>
        </w:r>
        <w:r w:rsidR="005D2656">
          <w:rPr>
            <w:sz w:val="20"/>
          </w:rPr>
          <w:t>Version 1</w:t>
        </w:r>
        <w:r w:rsidRPr="005C4E46">
          <w:rPr>
            <w:sz w:val="20"/>
          </w:rPr>
          <w:tab/>
        </w:r>
        <w:r w:rsidRPr="005C4E46">
          <w:rPr>
            <w:sz w:val="20"/>
          </w:rPr>
          <w:tab/>
          <w:t xml:space="preserve">Page </w:t>
        </w:r>
        <w:r w:rsidRPr="005C4E46">
          <w:rPr>
            <w:sz w:val="20"/>
          </w:rPr>
          <w:fldChar w:fldCharType="begin"/>
        </w:r>
        <w:r w:rsidRPr="005C4E46">
          <w:rPr>
            <w:sz w:val="20"/>
          </w:rPr>
          <w:instrText xml:space="preserve"> PAGE   \* MERGEFORMAT </w:instrText>
        </w:r>
        <w:r w:rsidRPr="005C4E46">
          <w:rPr>
            <w:sz w:val="20"/>
          </w:rPr>
          <w:fldChar w:fldCharType="separate"/>
        </w:r>
        <w:r w:rsidR="006A0962">
          <w:rPr>
            <w:noProof/>
            <w:sz w:val="20"/>
          </w:rPr>
          <w:t>23</w:t>
        </w:r>
        <w:r w:rsidRPr="005C4E46">
          <w:rPr>
            <w:noProof/>
            <w:sz w:val="20"/>
          </w:rPr>
          <w:fldChar w:fldCharType="end"/>
        </w:r>
      </w:p>
    </w:sdtContent>
  </w:sdt>
  <w:p w:rsidR="008A7BEC" w:rsidRDefault="008A7B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000" w:rsidRDefault="000C2000" w:rsidP="00984B4D">
      <w:r>
        <w:separator/>
      </w:r>
    </w:p>
  </w:footnote>
  <w:footnote w:type="continuationSeparator" w:id="0">
    <w:p w:rsidR="000C2000" w:rsidRDefault="000C2000" w:rsidP="00984B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6A0962" w:rsidRPr="006E3BB3" w:rsidTr="00BC0CA0">
      <w:tc>
        <w:tcPr>
          <w:tcW w:w="8720" w:type="dxa"/>
          <w:shd w:val="clear" w:color="auto" w:fill="E4F2E0"/>
        </w:tcPr>
        <w:p w:rsidR="006A0962" w:rsidRPr="006E3BB3" w:rsidRDefault="006A0962" w:rsidP="00BC0CA0">
          <w:pPr>
            <w:spacing w:before="40" w:after="40"/>
            <w:rPr>
              <w:b/>
              <w:sz w:val="20"/>
            </w:rPr>
          </w:pPr>
          <w:r w:rsidRPr="006E3BB3">
            <w:rPr>
              <w:b/>
              <w:sz w:val="20"/>
            </w:rPr>
            <w:t xml:space="preserve">Attachment 1: Product information for AusPAR </w:t>
          </w:r>
          <w:proofErr w:type="spellStart"/>
          <w:r w:rsidRPr="006E3BB3">
            <w:rPr>
              <w:b/>
              <w:sz w:val="20"/>
            </w:rPr>
            <w:t>Lenvima</w:t>
          </w:r>
          <w:proofErr w:type="spellEnd"/>
          <w:r w:rsidRPr="006E3BB3">
            <w:rPr>
              <w:b/>
              <w:sz w:val="20"/>
            </w:rPr>
            <w:t xml:space="preserve"> Eisai Australia Pty Ltd PM-2014-04321-1-4 Final 30 August 2016. This Product Information was approved at the time this AusPAR was published.</w:t>
          </w:r>
        </w:p>
      </w:tc>
    </w:tr>
  </w:tbl>
  <w:p w:rsidR="006A0962" w:rsidRDefault="006A09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052D"/>
    <w:multiLevelType w:val="hybridMultilevel"/>
    <w:tmpl w:val="914ED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8EF5E98"/>
    <w:multiLevelType w:val="multilevel"/>
    <w:tmpl w:val="7EEA55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46E32B0D"/>
    <w:multiLevelType w:val="singleLevel"/>
    <w:tmpl w:val="59B625FA"/>
    <w:name w:val="WWtf"/>
    <w:lvl w:ilvl="0">
      <w:start w:val="1"/>
      <w:numFmt w:val="lowerLetter"/>
      <w:pStyle w:val="TableFootnote"/>
      <w:lvlText w:val="%1"/>
      <w:lvlJc w:val="left"/>
      <w:pPr>
        <w:tabs>
          <w:tab w:val="num" w:pos="360"/>
        </w:tabs>
        <w:ind w:left="360" w:hanging="360"/>
      </w:pPr>
      <w:rPr>
        <w:rFonts w:ascii="Times New Roman" w:hAnsi="Times New Roman" w:cs="Times New Roman" w:hint="default"/>
        <w:b w:val="0"/>
        <w:i w:val="0"/>
        <w:caps w:val="0"/>
        <w:sz w:val="20"/>
        <w:u w:val="none"/>
        <w:vertAlign w:val="superscrip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476"/>
    <w:rsid w:val="00026C88"/>
    <w:rsid w:val="00071E07"/>
    <w:rsid w:val="00073AA6"/>
    <w:rsid w:val="000773B9"/>
    <w:rsid w:val="00092849"/>
    <w:rsid w:val="000A0E85"/>
    <w:rsid w:val="000A3363"/>
    <w:rsid w:val="000A5296"/>
    <w:rsid w:val="000A76C2"/>
    <w:rsid w:val="000C2000"/>
    <w:rsid w:val="000E199D"/>
    <w:rsid w:val="000E1EA1"/>
    <w:rsid w:val="0010229A"/>
    <w:rsid w:val="00110D34"/>
    <w:rsid w:val="001250F6"/>
    <w:rsid w:val="00126D06"/>
    <w:rsid w:val="00145B50"/>
    <w:rsid w:val="001620CE"/>
    <w:rsid w:val="00162C64"/>
    <w:rsid w:val="001641B7"/>
    <w:rsid w:val="00164F35"/>
    <w:rsid w:val="001702C6"/>
    <w:rsid w:val="0018221D"/>
    <w:rsid w:val="001946D6"/>
    <w:rsid w:val="001A119C"/>
    <w:rsid w:val="001B6080"/>
    <w:rsid w:val="001D79E4"/>
    <w:rsid w:val="0020202A"/>
    <w:rsid w:val="0020425D"/>
    <w:rsid w:val="00204FD1"/>
    <w:rsid w:val="002125F6"/>
    <w:rsid w:val="002178CE"/>
    <w:rsid w:val="00221E35"/>
    <w:rsid w:val="00234095"/>
    <w:rsid w:val="00236B3C"/>
    <w:rsid w:val="00240ADF"/>
    <w:rsid w:val="002501EF"/>
    <w:rsid w:val="00251DEA"/>
    <w:rsid w:val="002524C7"/>
    <w:rsid w:val="00257015"/>
    <w:rsid w:val="002640E6"/>
    <w:rsid w:val="002725D4"/>
    <w:rsid w:val="002B1E01"/>
    <w:rsid w:val="002C5D3A"/>
    <w:rsid w:val="002D14A0"/>
    <w:rsid w:val="002E6C48"/>
    <w:rsid w:val="002F5578"/>
    <w:rsid w:val="003038F8"/>
    <w:rsid w:val="00303B57"/>
    <w:rsid w:val="00315C01"/>
    <w:rsid w:val="00342C7D"/>
    <w:rsid w:val="00346E9F"/>
    <w:rsid w:val="00352697"/>
    <w:rsid w:val="00357B61"/>
    <w:rsid w:val="003641D5"/>
    <w:rsid w:val="00365948"/>
    <w:rsid w:val="003663AC"/>
    <w:rsid w:val="00366E64"/>
    <w:rsid w:val="00367A23"/>
    <w:rsid w:val="00371A33"/>
    <w:rsid w:val="00386878"/>
    <w:rsid w:val="00396ADC"/>
    <w:rsid w:val="003A0068"/>
    <w:rsid w:val="003A2D53"/>
    <w:rsid w:val="003A7EF9"/>
    <w:rsid w:val="003B50B3"/>
    <w:rsid w:val="003F755A"/>
    <w:rsid w:val="00422ECB"/>
    <w:rsid w:val="00426553"/>
    <w:rsid w:val="00431655"/>
    <w:rsid w:val="00445A84"/>
    <w:rsid w:val="00455667"/>
    <w:rsid w:val="00472DD1"/>
    <w:rsid w:val="0047610F"/>
    <w:rsid w:val="00486AF6"/>
    <w:rsid w:val="004C768E"/>
    <w:rsid w:val="004D4EB9"/>
    <w:rsid w:val="004D57A0"/>
    <w:rsid w:val="004E074D"/>
    <w:rsid w:val="004E0BBD"/>
    <w:rsid w:val="004F22BF"/>
    <w:rsid w:val="004F4E71"/>
    <w:rsid w:val="005132D1"/>
    <w:rsid w:val="0052249D"/>
    <w:rsid w:val="00527492"/>
    <w:rsid w:val="00527EC3"/>
    <w:rsid w:val="005338A5"/>
    <w:rsid w:val="0054379E"/>
    <w:rsid w:val="005472C0"/>
    <w:rsid w:val="00554495"/>
    <w:rsid w:val="005752D5"/>
    <w:rsid w:val="0057560E"/>
    <w:rsid w:val="005856A8"/>
    <w:rsid w:val="00587B28"/>
    <w:rsid w:val="005A492A"/>
    <w:rsid w:val="005C29FE"/>
    <w:rsid w:val="005C3A97"/>
    <w:rsid w:val="005C4E46"/>
    <w:rsid w:val="005D2656"/>
    <w:rsid w:val="005E03F0"/>
    <w:rsid w:val="005F6A99"/>
    <w:rsid w:val="006123C4"/>
    <w:rsid w:val="006135FD"/>
    <w:rsid w:val="0064373A"/>
    <w:rsid w:val="00643F41"/>
    <w:rsid w:val="0064422E"/>
    <w:rsid w:val="006444F1"/>
    <w:rsid w:val="00645B48"/>
    <w:rsid w:val="0065012E"/>
    <w:rsid w:val="00650F56"/>
    <w:rsid w:val="00651E17"/>
    <w:rsid w:val="0067563F"/>
    <w:rsid w:val="00681D12"/>
    <w:rsid w:val="00685AFF"/>
    <w:rsid w:val="006A0962"/>
    <w:rsid w:val="006A39BA"/>
    <w:rsid w:val="006C7153"/>
    <w:rsid w:val="006E772B"/>
    <w:rsid w:val="006F4263"/>
    <w:rsid w:val="006F62F3"/>
    <w:rsid w:val="00732AFF"/>
    <w:rsid w:val="00740730"/>
    <w:rsid w:val="00753B48"/>
    <w:rsid w:val="00764259"/>
    <w:rsid w:val="007739E4"/>
    <w:rsid w:val="00786A1E"/>
    <w:rsid w:val="00790EA5"/>
    <w:rsid w:val="007A02CA"/>
    <w:rsid w:val="007B31D9"/>
    <w:rsid w:val="007B654C"/>
    <w:rsid w:val="007C36D5"/>
    <w:rsid w:val="007C448B"/>
    <w:rsid w:val="007C5E73"/>
    <w:rsid w:val="007D44C5"/>
    <w:rsid w:val="007D47A5"/>
    <w:rsid w:val="007D4D46"/>
    <w:rsid w:val="00806A04"/>
    <w:rsid w:val="00827DE3"/>
    <w:rsid w:val="00835476"/>
    <w:rsid w:val="0084459E"/>
    <w:rsid w:val="008466B1"/>
    <w:rsid w:val="00854358"/>
    <w:rsid w:val="0087779B"/>
    <w:rsid w:val="0088349C"/>
    <w:rsid w:val="0089759B"/>
    <w:rsid w:val="008A7290"/>
    <w:rsid w:val="008A7BEC"/>
    <w:rsid w:val="008B1A90"/>
    <w:rsid w:val="008B658A"/>
    <w:rsid w:val="008E4446"/>
    <w:rsid w:val="008F3E9D"/>
    <w:rsid w:val="00902A05"/>
    <w:rsid w:val="00910A3E"/>
    <w:rsid w:val="00912F98"/>
    <w:rsid w:val="00920EBA"/>
    <w:rsid w:val="0094416B"/>
    <w:rsid w:val="00946012"/>
    <w:rsid w:val="00951577"/>
    <w:rsid w:val="0098196D"/>
    <w:rsid w:val="00984B4D"/>
    <w:rsid w:val="009919B6"/>
    <w:rsid w:val="009A1D5E"/>
    <w:rsid w:val="009B7610"/>
    <w:rsid w:val="009D592B"/>
    <w:rsid w:val="009F4525"/>
    <w:rsid w:val="00A02711"/>
    <w:rsid w:val="00A201F2"/>
    <w:rsid w:val="00A255ED"/>
    <w:rsid w:val="00A27C80"/>
    <w:rsid w:val="00A34C10"/>
    <w:rsid w:val="00A40939"/>
    <w:rsid w:val="00A51E6E"/>
    <w:rsid w:val="00A552CF"/>
    <w:rsid w:val="00A57B23"/>
    <w:rsid w:val="00A6627D"/>
    <w:rsid w:val="00AA031C"/>
    <w:rsid w:val="00AA1F9E"/>
    <w:rsid w:val="00AB1224"/>
    <w:rsid w:val="00AB6C19"/>
    <w:rsid w:val="00AC5478"/>
    <w:rsid w:val="00AF5F6B"/>
    <w:rsid w:val="00AF6DF1"/>
    <w:rsid w:val="00B148AA"/>
    <w:rsid w:val="00B27DF9"/>
    <w:rsid w:val="00B31DEA"/>
    <w:rsid w:val="00B405EF"/>
    <w:rsid w:val="00B53142"/>
    <w:rsid w:val="00B53FFF"/>
    <w:rsid w:val="00B64000"/>
    <w:rsid w:val="00BA1B54"/>
    <w:rsid w:val="00BD7E2E"/>
    <w:rsid w:val="00BE78D8"/>
    <w:rsid w:val="00BF3F09"/>
    <w:rsid w:val="00BF6DCD"/>
    <w:rsid w:val="00BF7107"/>
    <w:rsid w:val="00C07E1F"/>
    <w:rsid w:val="00C20B13"/>
    <w:rsid w:val="00C378AD"/>
    <w:rsid w:val="00C6307C"/>
    <w:rsid w:val="00C669C3"/>
    <w:rsid w:val="00C92DDE"/>
    <w:rsid w:val="00CA072E"/>
    <w:rsid w:val="00CB2DC4"/>
    <w:rsid w:val="00CC745D"/>
    <w:rsid w:val="00CE4A29"/>
    <w:rsid w:val="00CF3E4F"/>
    <w:rsid w:val="00D30DAD"/>
    <w:rsid w:val="00D43DDE"/>
    <w:rsid w:val="00D52723"/>
    <w:rsid w:val="00D61A3B"/>
    <w:rsid w:val="00D712C4"/>
    <w:rsid w:val="00D86AD6"/>
    <w:rsid w:val="00D93D65"/>
    <w:rsid w:val="00DE0435"/>
    <w:rsid w:val="00DE5022"/>
    <w:rsid w:val="00DE5051"/>
    <w:rsid w:val="00DE685C"/>
    <w:rsid w:val="00DF207C"/>
    <w:rsid w:val="00E00B24"/>
    <w:rsid w:val="00E01E31"/>
    <w:rsid w:val="00E07AED"/>
    <w:rsid w:val="00E14350"/>
    <w:rsid w:val="00E37739"/>
    <w:rsid w:val="00E47F61"/>
    <w:rsid w:val="00E51773"/>
    <w:rsid w:val="00E52433"/>
    <w:rsid w:val="00E544B2"/>
    <w:rsid w:val="00E757D7"/>
    <w:rsid w:val="00E84DC8"/>
    <w:rsid w:val="00E90915"/>
    <w:rsid w:val="00EA041B"/>
    <w:rsid w:val="00EC4E77"/>
    <w:rsid w:val="00ED7231"/>
    <w:rsid w:val="00EE42B2"/>
    <w:rsid w:val="00EE4CD6"/>
    <w:rsid w:val="00EE5DA3"/>
    <w:rsid w:val="00F505C8"/>
    <w:rsid w:val="00F508B1"/>
    <w:rsid w:val="00F5689B"/>
    <w:rsid w:val="00F631CA"/>
    <w:rsid w:val="00F71377"/>
    <w:rsid w:val="00F8140B"/>
    <w:rsid w:val="00FE621C"/>
    <w:rsid w:val="00FF0E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476"/>
    <w:pPr>
      <w:spacing w:after="0" w:line="240" w:lineRule="auto"/>
    </w:pPr>
    <w:rPr>
      <w:rFonts w:ascii="Times New Roman" w:eastAsia="Times New Roman" w:hAnsi="Times New Roman" w:cs="Times New Roman"/>
      <w:color w:val="000000"/>
      <w:sz w:val="24"/>
      <w:szCs w:val="20"/>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448B"/>
    <w:rPr>
      <w:rFonts w:ascii="Tahoma" w:hAnsi="Tahoma" w:cs="Tahoma"/>
      <w:sz w:val="16"/>
      <w:szCs w:val="16"/>
    </w:rPr>
  </w:style>
  <w:style w:type="character" w:customStyle="1" w:styleId="BalloonTextChar">
    <w:name w:val="Balloon Text Char"/>
    <w:basedOn w:val="DefaultParagraphFont"/>
    <w:link w:val="BalloonText"/>
    <w:uiPriority w:val="99"/>
    <w:semiHidden/>
    <w:rsid w:val="007C448B"/>
    <w:rPr>
      <w:rFonts w:ascii="Tahoma" w:eastAsia="Times New Roman" w:hAnsi="Tahoma" w:cs="Tahoma"/>
      <w:color w:val="000000"/>
      <w:sz w:val="16"/>
      <w:szCs w:val="16"/>
      <w:lang w:val="en-GB" w:eastAsia="de-DE"/>
    </w:rPr>
  </w:style>
  <w:style w:type="table" w:styleId="TableGrid">
    <w:name w:val="Table Grid"/>
    <w:basedOn w:val="TableNormal"/>
    <w:uiPriority w:val="59"/>
    <w:rsid w:val="002E6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6">
    <w:name w:val="CM26"/>
    <w:basedOn w:val="Normal"/>
    <w:next w:val="Normal"/>
    <w:uiPriority w:val="99"/>
    <w:rsid w:val="0064422E"/>
    <w:pPr>
      <w:widowControl w:val="0"/>
      <w:autoSpaceDE w:val="0"/>
      <w:autoSpaceDN w:val="0"/>
      <w:adjustRightInd w:val="0"/>
    </w:pPr>
    <w:rPr>
      <w:rFonts w:eastAsiaTheme="minorEastAsia"/>
      <w:color w:val="auto"/>
      <w:szCs w:val="24"/>
      <w:lang w:val="en-US" w:eastAsia="en-US"/>
    </w:rPr>
  </w:style>
  <w:style w:type="paragraph" w:customStyle="1" w:styleId="CM10">
    <w:name w:val="CM10"/>
    <w:basedOn w:val="Normal"/>
    <w:next w:val="Normal"/>
    <w:uiPriority w:val="99"/>
    <w:rsid w:val="00BE78D8"/>
    <w:pPr>
      <w:widowControl w:val="0"/>
      <w:autoSpaceDE w:val="0"/>
      <w:autoSpaceDN w:val="0"/>
      <w:adjustRightInd w:val="0"/>
      <w:spacing w:line="471" w:lineRule="atLeast"/>
    </w:pPr>
    <w:rPr>
      <w:rFonts w:eastAsiaTheme="minorEastAsia"/>
      <w:color w:val="auto"/>
      <w:szCs w:val="24"/>
      <w:lang w:val="en-AU" w:eastAsia="en-AU"/>
    </w:rPr>
  </w:style>
  <w:style w:type="paragraph" w:customStyle="1" w:styleId="Default">
    <w:name w:val="Default"/>
    <w:rsid w:val="00BE78D8"/>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customStyle="1" w:styleId="BodytextAgency">
    <w:name w:val="Body text (Agency)"/>
    <w:basedOn w:val="Normal"/>
    <w:link w:val="BodytextAgencyChar"/>
    <w:rsid w:val="00BE78D8"/>
    <w:pPr>
      <w:spacing w:after="140" w:line="280" w:lineRule="atLeast"/>
    </w:pPr>
    <w:rPr>
      <w:rFonts w:ascii="Verdana" w:eastAsia="Verdana" w:hAnsi="Verdana" w:cs="Verdana"/>
      <w:color w:val="auto"/>
      <w:sz w:val="18"/>
      <w:szCs w:val="18"/>
      <w:lang w:eastAsia="en-GB"/>
    </w:rPr>
  </w:style>
  <w:style w:type="character" w:customStyle="1" w:styleId="BodytextAgencyChar">
    <w:name w:val="Body text (Agency) Char"/>
    <w:link w:val="BodytextAgency"/>
    <w:rsid w:val="00BE78D8"/>
    <w:rPr>
      <w:rFonts w:ascii="Verdana" w:eastAsia="Verdana" w:hAnsi="Verdana" w:cs="Verdana"/>
      <w:sz w:val="18"/>
      <w:szCs w:val="18"/>
      <w:lang w:val="en-GB" w:eastAsia="en-GB"/>
    </w:rPr>
  </w:style>
  <w:style w:type="character" w:styleId="CommentReference">
    <w:name w:val="annotation reference"/>
    <w:basedOn w:val="DefaultParagraphFont"/>
    <w:uiPriority w:val="99"/>
    <w:semiHidden/>
    <w:unhideWhenUsed/>
    <w:rsid w:val="00D93D65"/>
    <w:rPr>
      <w:sz w:val="16"/>
      <w:szCs w:val="16"/>
    </w:rPr>
  </w:style>
  <w:style w:type="paragraph" w:styleId="CommentText">
    <w:name w:val="annotation text"/>
    <w:basedOn w:val="Normal"/>
    <w:link w:val="CommentTextChar"/>
    <w:uiPriority w:val="99"/>
    <w:unhideWhenUsed/>
    <w:rsid w:val="00D93D65"/>
    <w:rPr>
      <w:sz w:val="20"/>
    </w:rPr>
  </w:style>
  <w:style w:type="character" w:customStyle="1" w:styleId="CommentTextChar">
    <w:name w:val="Comment Text Char"/>
    <w:basedOn w:val="DefaultParagraphFont"/>
    <w:link w:val="CommentText"/>
    <w:uiPriority w:val="99"/>
    <w:rsid w:val="00D93D65"/>
    <w:rPr>
      <w:rFonts w:ascii="Times New Roman" w:eastAsia="Times New Roman" w:hAnsi="Times New Roman" w:cs="Times New Roman"/>
      <w:color w:val="000000"/>
      <w:sz w:val="20"/>
      <w:szCs w:val="20"/>
      <w:lang w:val="en-GB" w:eastAsia="de-DE"/>
    </w:rPr>
  </w:style>
  <w:style w:type="paragraph" w:styleId="CommentSubject">
    <w:name w:val="annotation subject"/>
    <w:basedOn w:val="CommentText"/>
    <w:next w:val="CommentText"/>
    <w:link w:val="CommentSubjectChar"/>
    <w:uiPriority w:val="99"/>
    <w:semiHidden/>
    <w:unhideWhenUsed/>
    <w:rsid w:val="00D93D65"/>
    <w:rPr>
      <w:b/>
      <w:bCs/>
    </w:rPr>
  </w:style>
  <w:style w:type="character" w:customStyle="1" w:styleId="CommentSubjectChar">
    <w:name w:val="Comment Subject Char"/>
    <w:basedOn w:val="CommentTextChar"/>
    <w:link w:val="CommentSubject"/>
    <w:uiPriority w:val="99"/>
    <w:semiHidden/>
    <w:rsid w:val="00D93D65"/>
    <w:rPr>
      <w:rFonts w:ascii="Times New Roman" w:eastAsia="Times New Roman" w:hAnsi="Times New Roman" w:cs="Times New Roman"/>
      <w:b/>
      <w:bCs/>
      <w:color w:val="000000"/>
      <w:sz w:val="20"/>
      <w:szCs w:val="20"/>
      <w:lang w:val="en-GB" w:eastAsia="de-DE"/>
    </w:rPr>
  </w:style>
  <w:style w:type="paragraph" w:styleId="Caption">
    <w:name w:val="caption"/>
    <w:basedOn w:val="Normal"/>
    <w:next w:val="Normal"/>
    <w:link w:val="CaptionChar"/>
    <w:unhideWhenUsed/>
    <w:qFormat/>
    <w:rsid w:val="007B31D9"/>
    <w:pPr>
      <w:tabs>
        <w:tab w:val="left" w:pos="567"/>
      </w:tabs>
      <w:spacing w:line="260" w:lineRule="exact"/>
    </w:pPr>
    <w:rPr>
      <w:b/>
      <w:bCs/>
      <w:color w:val="auto"/>
      <w:sz w:val="20"/>
      <w:lang w:eastAsia="en-US"/>
    </w:rPr>
  </w:style>
  <w:style w:type="paragraph" w:customStyle="1" w:styleId="Paragraph">
    <w:name w:val="Paragraph"/>
    <w:link w:val="ParagraphChar"/>
    <w:qFormat/>
    <w:rsid w:val="007B31D9"/>
    <w:pPr>
      <w:spacing w:before="60" w:after="240" w:line="240" w:lineRule="auto"/>
    </w:pPr>
    <w:rPr>
      <w:rFonts w:ascii="Times New Roman" w:eastAsia="Times New Roman" w:hAnsi="Times New Roman" w:cs="Times New Roman"/>
      <w:sz w:val="24"/>
      <w:szCs w:val="24"/>
      <w:lang w:val="en-US"/>
    </w:rPr>
  </w:style>
  <w:style w:type="character" w:customStyle="1" w:styleId="ParagraphChar">
    <w:name w:val="Paragraph Char"/>
    <w:link w:val="Paragraph"/>
    <w:rsid w:val="007B31D9"/>
    <w:rPr>
      <w:rFonts w:ascii="Times New Roman" w:eastAsia="Times New Roman" w:hAnsi="Times New Roman" w:cs="Times New Roman"/>
      <w:sz w:val="24"/>
      <w:szCs w:val="24"/>
      <w:lang w:val="en-US"/>
    </w:rPr>
  </w:style>
  <w:style w:type="character" w:customStyle="1" w:styleId="CaptionChar">
    <w:name w:val="Caption Char"/>
    <w:link w:val="Caption"/>
    <w:rsid w:val="007B31D9"/>
    <w:rPr>
      <w:rFonts w:ascii="Times New Roman" w:eastAsia="Times New Roman" w:hAnsi="Times New Roman" w:cs="Times New Roman"/>
      <w:b/>
      <w:bCs/>
      <w:sz w:val="20"/>
      <w:szCs w:val="20"/>
      <w:lang w:val="en-GB"/>
    </w:rPr>
  </w:style>
  <w:style w:type="paragraph" w:styleId="Header">
    <w:name w:val="header"/>
    <w:basedOn w:val="Normal"/>
    <w:link w:val="HeaderChar"/>
    <w:uiPriority w:val="99"/>
    <w:unhideWhenUsed/>
    <w:rsid w:val="00396ADC"/>
    <w:pPr>
      <w:tabs>
        <w:tab w:val="center" w:pos="4680"/>
        <w:tab w:val="right" w:pos="9360"/>
      </w:tabs>
    </w:pPr>
  </w:style>
  <w:style w:type="character" w:customStyle="1" w:styleId="HeaderChar">
    <w:name w:val="Header Char"/>
    <w:basedOn w:val="DefaultParagraphFont"/>
    <w:link w:val="Header"/>
    <w:uiPriority w:val="99"/>
    <w:rsid w:val="00396ADC"/>
    <w:rPr>
      <w:rFonts w:ascii="Times New Roman" w:eastAsia="Times New Roman" w:hAnsi="Times New Roman" w:cs="Times New Roman"/>
      <w:color w:val="000000"/>
      <w:sz w:val="24"/>
      <w:szCs w:val="20"/>
      <w:lang w:val="en-GB" w:eastAsia="de-DE"/>
    </w:rPr>
  </w:style>
  <w:style w:type="paragraph" w:styleId="Footer">
    <w:name w:val="footer"/>
    <w:basedOn w:val="Normal"/>
    <w:link w:val="FooterChar"/>
    <w:uiPriority w:val="99"/>
    <w:unhideWhenUsed/>
    <w:rsid w:val="00396ADC"/>
    <w:pPr>
      <w:tabs>
        <w:tab w:val="center" w:pos="4680"/>
        <w:tab w:val="right" w:pos="9360"/>
      </w:tabs>
    </w:pPr>
  </w:style>
  <w:style w:type="character" w:customStyle="1" w:styleId="FooterChar">
    <w:name w:val="Footer Char"/>
    <w:basedOn w:val="DefaultParagraphFont"/>
    <w:link w:val="Footer"/>
    <w:uiPriority w:val="99"/>
    <w:rsid w:val="00396ADC"/>
    <w:rPr>
      <w:rFonts w:ascii="Times New Roman" w:eastAsia="Times New Roman" w:hAnsi="Times New Roman" w:cs="Times New Roman"/>
      <w:color w:val="000000"/>
      <w:sz w:val="24"/>
      <w:szCs w:val="20"/>
      <w:lang w:val="en-GB" w:eastAsia="de-DE"/>
    </w:rPr>
  </w:style>
  <w:style w:type="paragraph" w:customStyle="1" w:styleId="TableTitle">
    <w:name w:val="Table Title"/>
    <w:next w:val="TableHead"/>
    <w:rsid w:val="002178CE"/>
    <w:pPr>
      <w:keepNext/>
      <w:keepLines/>
      <w:tabs>
        <w:tab w:val="left" w:pos="1440"/>
      </w:tabs>
      <w:spacing w:before="60" w:after="120" w:line="240" w:lineRule="auto"/>
      <w:ind w:left="1440" w:hanging="1440"/>
    </w:pPr>
    <w:rPr>
      <w:rFonts w:ascii="Arial" w:eastAsia="Times New Roman" w:hAnsi="Arial" w:cs="Times New Roman"/>
      <w:b/>
      <w:color w:val="000000"/>
      <w:sz w:val="24"/>
      <w:szCs w:val="24"/>
      <w:lang w:val="en-US"/>
    </w:rPr>
  </w:style>
  <w:style w:type="paragraph" w:customStyle="1" w:styleId="TableHead">
    <w:name w:val="Table Head"/>
    <w:basedOn w:val="Normal"/>
    <w:rsid w:val="002178CE"/>
    <w:pPr>
      <w:spacing w:before="60" w:after="60"/>
      <w:jc w:val="center"/>
    </w:pPr>
    <w:rPr>
      <w:b/>
      <w:color w:val="auto"/>
      <w:szCs w:val="48"/>
      <w:lang w:val="en-US" w:eastAsia="en-US"/>
    </w:rPr>
  </w:style>
  <w:style w:type="paragraph" w:customStyle="1" w:styleId="TableCenter">
    <w:name w:val="Table Center"/>
    <w:basedOn w:val="Normal"/>
    <w:rsid w:val="002178CE"/>
    <w:pPr>
      <w:spacing w:before="60" w:after="60"/>
      <w:jc w:val="center"/>
    </w:pPr>
    <w:rPr>
      <w:color w:val="auto"/>
      <w:szCs w:val="24"/>
      <w:lang w:val="en-US" w:eastAsia="en-US"/>
    </w:rPr>
  </w:style>
  <w:style w:type="paragraph" w:styleId="EndnoteText">
    <w:name w:val="endnote text"/>
    <w:basedOn w:val="Normal"/>
    <w:link w:val="EndnoteTextChar"/>
    <w:semiHidden/>
    <w:rsid w:val="002178CE"/>
    <w:pPr>
      <w:spacing w:before="60"/>
    </w:pPr>
    <w:rPr>
      <w:color w:val="auto"/>
      <w:sz w:val="20"/>
      <w:lang w:val="en-US" w:eastAsia="en-US"/>
    </w:rPr>
  </w:style>
  <w:style w:type="character" w:customStyle="1" w:styleId="EndnoteTextChar">
    <w:name w:val="Endnote Text Char"/>
    <w:basedOn w:val="DefaultParagraphFont"/>
    <w:link w:val="EndnoteText"/>
    <w:semiHidden/>
    <w:rsid w:val="002178CE"/>
    <w:rPr>
      <w:rFonts w:ascii="Times New Roman" w:eastAsia="Times New Roman" w:hAnsi="Times New Roman" w:cs="Times New Roman"/>
      <w:sz w:val="20"/>
      <w:szCs w:val="20"/>
      <w:lang w:val="en-US"/>
    </w:rPr>
  </w:style>
  <w:style w:type="character" w:styleId="EndnoteReference">
    <w:name w:val="endnote reference"/>
    <w:basedOn w:val="DefaultParagraphFont"/>
    <w:semiHidden/>
    <w:rsid w:val="002178CE"/>
    <w:rPr>
      <w:vertAlign w:val="superscript"/>
    </w:rPr>
  </w:style>
  <w:style w:type="paragraph" w:customStyle="1" w:styleId="TableFootnote">
    <w:name w:val="Table Footnote"/>
    <w:basedOn w:val="Normal"/>
    <w:rsid w:val="002178CE"/>
    <w:pPr>
      <w:numPr>
        <w:numId w:val="2"/>
      </w:numPr>
      <w:spacing w:before="60" w:after="60"/>
    </w:pPr>
    <w:rPr>
      <w:color w:val="auto"/>
      <w:sz w:val="20"/>
      <w:lang w:val="en-US" w:eastAsia="en-US"/>
    </w:rPr>
  </w:style>
  <w:style w:type="paragraph" w:styleId="Revision">
    <w:name w:val="Revision"/>
    <w:hidden/>
    <w:uiPriority w:val="99"/>
    <w:semiHidden/>
    <w:rsid w:val="00920EBA"/>
    <w:pPr>
      <w:spacing w:after="0" w:line="240" w:lineRule="auto"/>
    </w:pPr>
    <w:rPr>
      <w:rFonts w:ascii="Times New Roman" w:eastAsia="Times New Roman" w:hAnsi="Times New Roman" w:cs="Times New Roman"/>
      <w:color w:val="000000"/>
      <w:sz w:val="24"/>
      <w:szCs w:val="20"/>
      <w:lang w:val="en-GB"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476"/>
    <w:pPr>
      <w:spacing w:after="0" w:line="240" w:lineRule="auto"/>
    </w:pPr>
    <w:rPr>
      <w:rFonts w:ascii="Times New Roman" w:eastAsia="Times New Roman" w:hAnsi="Times New Roman" w:cs="Times New Roman"/>
      <w:color w:val="000000"/>
      <w:sz w:val="24"/>
      <w:szCs w:val="20"/>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448B"/>
    <w:rPr>
      <w:rFonts w:ascii="Tahoma" w:hAnsi="Tahoma" w:cs="Tahoma"/>
      <w:sz w:val="16"/>
      <w:szCs w:val="16"/>
    </w:rPr>
  </w:style>
  <w:style w:type="character" w:customStyle="1" w:styleId="BalloonTextChar">
    <w:name w:val="Balloon Text Char"/>
    <w:basedOn w:val="DefaultParagraphFont"/>
    <w:link w:val="BalloonText"/>
    <w:uiPriority w:val="99"/>
    <w:semiHidden/>
    <w:rsid w:val="007C448B"/>
    <w:rPr>
      <w:rFonts w:ascii="Tahoma" w:eastAsia="Times New Roman" w:hAnsi="Tahoma" w:cs="Tahoma"/>
      <w:color w:val="000000"/>
      <w:sz w:val="16"/>
      <w:szCs w:val="16"/>
      <w:lang w:val="en-GB" w:eastAsia="de-DE"/>
    </w:rPr>
  </w:style>
  <w:style w:type="table" w:styleId="TableGrid">
    <w:name w:val="Table Grid"/>
    <w:basedOn w:val="TableNormal"/>
    <w:uiPriority w:val="59"/>
    <w:rsid w:val="002E6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6">
    <w:name w:val="CM26"/>
    <w:basedOn w:val="Normal"/>
    <w:next w:val="Normal"/>
    <w:uiPriority w:val="99"/>
    <w:rsid w:val="0064422E"/>
    <w:pPr>
      <w:widowControl w:val="0"/>
      <w:autoSpaceDE w:val="0"/>
      <w:autoSpaceDN w:val="0"/>
      <w:adjustRightInd w:val="0"/>
    </w:pPr>
    <w:rPr>
      <w:rFonts w:eastAsiaTheme="minorEastAsia"/>
      <w:color w:val="auto"/>
      <w:szCs w:val="24"/>
      <w:lang w:val="en-US" w:eastAsia="en-US"/>
    </w:rPr>
  </w:style>
  <w:style w:type="paragraph" w:customStyle="1" w:styleId="CM10">
    <w:name w:val="CM10"/>
    <w:basedOn w:val="Normal"/>
    <w:next w:val="Normal"/>
    <w:uiPriority w:val="99"/>
    <w:rsid w:val="00BE78D8"/>
    <w:pPr>
      <w:widowControl w:val="0"/>
      <w:autoSpaceDE w:val="0"/>
      <w:autoSpaceDN w:val="0"/>
      <w:adjustRightInd w:val="0"/>
      <w:spacing w:line="471" w:lineRule="atLeast"/>
    </w:pPr>
    <w:rPr>
      <w:rFonts w:eastAsiaTheme="minorEastAsia"/>
      <w:color w:val="auto"/>
      <w:szCs w:val="24"/>
      <w:lang w:val="en-AU" w:eastAsia="en-AU"/>
    </w:rPr>
  </w:style>
  <w:style w:type="paragraph" w:customStyle="1" w:styleId="Default">
    <w:name w:val="Default"/>
    <w:rsid w:val="00BE78D8"/>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customStyle="1" w:styleId="BodytextAgency">
    <w:name w:val="Body text (Agency)"/>
    <w:basedOn w:val="Normal"/>
    <w:link w:val="BodytextAgencyChar"/>
    <w:rsid w:val="00BE78D8"/>
    <w:pPr>
      <w:spacing w:after="140" w:line="280" w:lineRule="atLeast"/>
    </w:pPr>
    <w:rPr>
      <w:rFonts w:ascii="Verdana" w:eastAsia="Verdana" w:hAnsi="Verdana" w:cs="Verdana"/>
      <w:color w:val="auto"/>
      <w:sz w:val="18"/>
      <w:szCs w:val="18"/>
      <w:lang w:eastAsia="en-GB"/>
    </w:rPr>
  </w:style>
  <w:style w:type="character" w:customStyle="1" w:styleId="BodytextAgencyChar">
    <w:name w:val="Body text (Agency) Char"/>
    <w:link w:val="BodytextAgency"/>
    <w:rsid w:val="00BE78D8"/>
    <w:rPr>
      <w:rFonts w:ascii="Verdana" w:eastAsia="Verdana" w:hAnsi="Verdana" w:cs="Verdana"/>
      <w:sz w:val="18"/>
      <w:szCs w:val="18"/>
      <w:lang w:val="en-GB" w:eastAsia="en-GB"/>
    </w:rPr>
  </w:style>
  <w:style w:type="character" w:styleId="CommentReference">
    <w:name w:val="annotation reference"/>
    <w:basedOn w:val="DefaultParagraphFont"/>
    <w:uiPriority w:val="99"/>
    <w:semiHidden/>
    <w:unhideWhenUsed/>
    <w:rsid w:val="00D93D65"/>
    <w:rPr>
      <w:sz w:val="16"/>
      <w:szCs w:val="16"/>
    </w:rPr>
  </w:style>
  <w:style w:type="paragraph" w:styleId="CommentText">
    <w:name w:val="annotation text"/>
    <w:basedOn w:val="Normal"/>
    <w:link w:val="CommentTextChar"/>
    <w:uiPriority w:val="99"/>
    <w:unhideWhenUsed/>
    <w:rsid w:val="00D93D65"/>
    <w:rPr>
      <w:sz w:val="20"/>
    </w:rPr>
  </w:style>
  <w:style w:type="character" w:customStyle="1" w:styleId="CommentTextChar">
    <w:name w:val="Comment Text Char"/>
    <w:basedOn w:val="DefaultParagraphFont"/>
    <w:link w:val="CommentText"/>
    <w:uiPriority w:val="99"/>
    <w:rsid w:val="00D93D65"/>
    <w:rPr>
      <w:rFonts w:ascii="Times New Roman" w:eastAsia="Times New Roman" w:hAnsi="Times New Roman" w:cs="Times New Roman"/>
      <w:color w:val="000000"/>
      <w:sz w:val="20"/>
      <w:szCs w:val="20"/>
      <w:lang w:val="en-GB" w:eastAsia="de-DE"/>
    </w:rPr>
  </w:style>
  <w:style w:type="paragraph" w:styleId="CommentSubject">
    <w:name w:val="annotation subject"/>
    <w:basedOn w:val="CommentText"/>
    <w:next w:val="CommentText"/>
    <w:link w:val="CommentSubjectChar"/>
    <w:uiPriority w:val="99"/>
    <w:semiHidden/>
    <w:unhideWhenUsed/>
    <w:rsid w:val="00D93D65"/>
    <w:rPr>
      <w:b/>
      <w:bCs/>
    </w:rPr>
  </w:style>
  <w:style w:type="character" w:customStyle="1" w:styleId="CommentSubjectChar">
    <w:name w:val="Comment Subject Char"/>
    <w:basedOn w:val="CommentTextChar"/>
    <w:link w:val="CommentSubject"/>
    <w:uiPriority w:val="99"/>
    <w:semiHidden/>
    <w:rsid w:val="00D93D65"/>
    <w:rPr>
      <w:rFonts w:ascii="Times New Roman" w:eastAsia="Times New Roman" w:hAnsi="Times New Roman" w:cs="Times New Roman"/>
      <w:b/>
      <w:bCs/>
      <w:color w:val="000000"/>
      <w:sz w:val="20"/>
      <w:szCs w:val="20"/>
      <w:lang w:val="en-GB" w:eastAsia="de-DE"/>
    </w:rPr>
  </w:style>
  <w:style w:type="paragraph" w:styleId="Caption">
    <w:name w:val="caption"/>
    <w:basedOn w:val="Normal"/>
    <w:next w:val="Normal"/>
    <w:link w:val="CaptionChar"/>
    <w:unhideWhenUsed/>
    <w:qFormat/>
    <w:rsid w:val="007B31D9"/>
    <w:pPr>
      <w:tabs>
        <w:tab w:val="left" w:pos="567"/>
      </w:tabs>
      <w:spacing w:line="260" w:lineRule="exact"/>
    </w:pPr>
    <w:rPr>
      <w:b/>
      <w:bCs/>
      <w:color w:val="auto"/>
      <w:sz w:val="20"/>
      <w:lang w:eastAsia="en-US"/>
    </w:rPr>
  </w:style>
  <w:style w:type="paragraph" w:customStyle="1" w:styleId="Paragraph">
    <w:name w:val="Paragraph"/>
    <w:link w:val="ParagraphChar"/>
    <w:qFormat/>
    <w:rsid w:val="007B31D9"/>
    <w:pPr>
      <w:spacing w:before="60" w:after="240" w:line="240" w:lineRule="auto"/>
    </w:pPr>
    <w:rPr>
      <w:rFonts w:ascii="Times New Roman" w:eastAsia="Times New Roman" w:hAnsi="Times New Roman" w:cs="Times New Roman"/>
      <w:sz w:val="24"/>
      <w:szCs w:val="24"/>
      <w:lang w:val="en-US"/>
    </w:rPr>
  </w:style>
  <w:style w:type="character" w:customStyle="1" w:styleId="ParagraphChar">
    <w:name w:val="Paragraph Char"/>
    <w:link w:val="Paragraph"/>
    <w:rsid w:val="007B31D9"/>
    <w:rPr>
      <w:rFonts w:ascii="Times New Roman" w:eastAsia="Times New Roman" w:hAnsi="Times New Roman" w:cs="Times New Roman"/>
      <w:sz w:val="24"/>
      <w:szCs w:val="24"/>
      <w:lang w:val="en-US"/>
    </w:rPr>
  </w:style>
  <w:style w:type="character" w:customStyle="1" w:styleId="CaptionChar">
    <w:name w:val="Caption Char"/>
    <w:link w:val="Caption"/>
    <w:rsid w:val="007B31D9"/>
    <w:rPr>
      <w:rFonts w:ascii="Times New Roman" w:eastAsia="Times New Roman" w:hAnsi="Times New Roman" w:cs="Times New Roman"/>
      <w:b/>
      <w:bCs/>
      <w:sz w:val="20"/>
      <w:szCs w:val="20"/>
      <w:lang w:val="en-GB"/>
    </w:rPr>
  </w:style>
  <w:style w:type="paragraph" w:styleId="Header">
    <w:name w:val="header"/>
    <w:basedOn w:val="Normal"/>
    <w:link w:val="HeaderChar"/>
    <w:uiPriority w:val="99"/>
    <w:unhideWhenUsed/>
    <w:rsid w:val="00396ADC"/>
    <w:pPr>
      <w:tabs>
        <w:tab w:val="center" w:pos="4680"/>
        <w:tab w:val="right" w:pos="9360"/>
      </w:tabs>
    </w:pPr>
  </w:style>
  <w:style w:type="character" w:customStyle="1" w:styleId="HeaderChar">
    <w:name w:val="Header Char"/>
    <w:basedOn w:val="DefaultParagraphFont"/>
    <w:link w:val="Header"/>
    <w:uiPriority w:val="99"/>
    <w:rsid w:val="00396ADC"/>
    <w:rPr>
      <w:rFonts w:ascii="Times New Roman" w:eastAsia="Times New Roman" w:hAnsi="Times New Roman" w:cs="Times New Roman"/>
      <w:color w:val="000000"/>
      <w:sz w:val="24"/>
      <w:szCs w:val="20"/>
      <w:lang w:val="en-GB" w:eastAsia="de-DE"/>
    </w:rPr>
  </w:style>
  <w:style w:type="paragraph" w:styleId="Footer">
    <w:name w:val="footer"/>
    <w:basedOn w:val="Normal"/>
    <w:link w:val="FooterChar"/>
    <w:uiPriority w:val="99"/>
    <w:unhideWhenUsed/>
    <w:rsid w:val="00396ADC"/>
    <w:pPr>
      <w:tabs>
        <w:tab w:val="center" w:pos="4680"/>
        <w:tab w:val="right" w:pos="9360"/>
      </w:tabs>
    </w:pPr>
  </w:style>
  <w:style w:type="character" w:customStyle="1" w:styleId="FooterChar">
    <w:name w:val="Footer Char"/>
    <w:basedOn w:val="DefaultParagraphFont"/>
    <w:link w:val="Footer"/>
    <w:uiPriority w:val="99"/>
    <w:rsid w:val="00396ADC"/>
    <w:rPr>
      <w:rFonts w:ascii="Times New Roman" w:eastAsia="Times New Roman" w:hAnsi="Times New Roman" w:cs="Times New Roman"/>
      <w:color w:val="000000"/>
      <w:sz w:val="24"/>
      <w:szCs w:val="20"/>
      <w:lang w:val="en-GB" w:eastAsia="de-DE"/>
    </w:rPr>
  </w:style>
  <w:style w:type="paragraph" w:customStyle="1" w:styleId="TableTitle">
    <w:name w:val="Table Title"/>
    <w:next w:val="TableHead"/>
    <w:rsid w:val="002178CE"/>
    <w:pPr>
      <w:keepNext/>
      <w:keepLines/>
      <w:tabs>
        <w:tab w:val="left" w:pos="1440"/>
      </w:tabs>
      <w:spacing w:before="60" w:after="120" w:line="240" w:lineRule="auto"/>
      <w:ind w:left="1440" w:hanging="1440"/>
    </w:pPr>
    <w:rPr>
      <w:rFonts w:ascii="Arial" w:eastAsia="Times New Roman" w:hAnsi="Arial" w:cs="Times New Roman"/>
      <w:b/>
      <w:color w:val="000000"/>
      <w:sz w:val="24"/>
      <w:szCs w:val="24"/>
      <w:lang w:val="en-US"/>
    </w:rPr>
  </w:style>
  <w:style w:type="paragraph" w:customStyle="1" w:styleId="TableHead">
    <w:name w:val="Table Head"/>
    <w:basedOn w:val="Normal"/>
    <w:rsid w:val="002178CE"/>
    <w:pPr>
      <w:spacing w:before="60" w:after="60"/>
      <w:jc w:val="center"/>
    </w:pPr>
    <w:rPr>
      <w:b/>
      <w:color w:val="auto"/>
      <w:szCs w:val="48"/>
      <w:lang w:val="en-US" w:eastAsia="en-US"/>
    </w:rPr>
  </w:style>
  <w:style w:type="paragraph" w:customStyle="1" w:styleId="TableCenter">
    <w:name w:val="Table Center"/>
    <w:basedOn w:val="Normal"/>
    <w:rsid w:val="002178CE"/>
    <w:pPr>
      <w:spacing w:before="60" w:after="60"/>
      <w:jc w:val="center"/>
    </w:pPr>
    <w:rPr>
      <w:color w:val="auto"/>
      <w:szCs w:val="24"/>
      <w:lang w:val="en-US" w:eastAsia="en-US"/>
    </w:rPr>
  </w:style>
  <w:style w:type="paragraph" w:styleId="EndnoteText">
    <w:name w:val="endnote text"/>
    <w:basedOn w:val="Normal"/>
    <w:link w:val="EndnoteTextChar"/>
    <w:semiHidden/>
    <w:rsid w:val="002178CE"/>
    <w:pPr>
      <w:spacing w:before="60"/>
    </w:pPr>
    <w:rPr>
      <w:color w:val="auto"/>
      <w:sz w:val="20"/>
      <w:lang w:val="en-US" w:eastAsia="en-US"/>
    </w:rPr>
  </w:style>
  <w:style w:type="character" w:customStyle="1" w:styleId="EndnoteTextChar">
    <w:name w:val="Endnote Text Char"/>
    <w:basedOn w:val="DefaultParagraphFont"/>
    <w:link w:val="EndnoteText"/>
    <w:semiHidden/>
    <w:rsid w:val="002178CE"/>
    <w:rPr>
      <w:rFonts w:ascii="Times New Roman" w:eastAsia="Times New Roman" w:hAnsi="Times New Roman" w:cs="Times New Roman"/>
      <w:sz w:val="20"/>
      <w:szCs w:val="20"/>
      <w:lang w:val="en-US"/>
    </w:rPr>
  </w:style>
  <w:style w:type="character" w:styleId="EndnoteReference">
    <w:name w:val="endnote reference"/>
    <w:basedOn w:val="DefaultParagraphFont"/>
    <w:semiHidden/>
    <w:rsid w:val="002178CE"/>
    <w:rPr>
      <w:vertAlign w:val="superscript"/>
    </w:rPr>
  </w:style>
  <w:style w:type="paragraph" w:customStyle="1" w:styleId="TableFootnote">
    <w:name w:val="Table Footnote"/>
    <w:basedOn w:val="Normal"/>
    <w:rsid w:val="002178CE"/>
    <w:pPr>
      <w:numPr>
        <w:numId w:val="2"/>
      </w:numPr>
      <w:spacing w:before="60" w:after="60"/>
    </w:pPr>
    <w:rPr>
      <w:color w:val="auto"/>
      <w:sz w:val="20"/>
      <w:lang w:val="en-US" w:eastAsia="en-US"/>
    </w:rPr>
  </w:style>
  <w:style w:type="paragraph" w:styleId="Revision">
    <w:name w:val="Revision"/>
    <w:hidden/>
    <w:uiPriority w:val="99"/>
    <w:semiHidden/>
    <w:rsid w:val="00920EBA"/>
    <w:pPr>
      <w:spacing w:after="0" w:line="240" w:lineRule="auto"/>
    </w:pPr>
    <w:rPr>
      <w:rFonts w:ascii="Times New Roman" w:eastAsia="Times New Roman" w:hAnsi="Times New Roman" w:cs="Times New Roman"/>
      <w:color w:val="000000"/>
      <w:sz w:val="24"/>
      <w:szCs w:val="20"/>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08395">
      <w:bodyDiv w:val="1"/>
      <w:marLeft w:val="0"/>
      <w:marRight w:val="0"/>
      <w:marTop w:val="0"/>
      <w:marBottom w:val="0"/>
      <w:divBdr>
        <w:top w:val="none" w:sz="0" w:space="0" w:color="auto"/>
        <w:left w:val="none" w:sz="0" w:space="0" w:color="auto"/>
        <w:bottom w:val="none" w:sz="0" w:space="0" w:color="auto"/>
        <w:right w:val="none" w:sz="0" w:space="0" w:color="auto"/>
      </w:divBdr>
    </w:div>
    <w:div w:id="1907645748">
      <w:bodyDiv w:val="1"/>
      <w:marLeft w:val="0"/>
      <w:marRight w:val="0"/>
      <w:marTop w:val="0"/>
      <w:marBottom w:val="0"/>
      <w:divBdr>
        <w:top w:val="none" w:sz="0" w:space="0" w:color="auto"/>
        <w:left w:val="none" w:sz="0" w:space="0" w:color="auto"/>
        <w:bottom w:val="none" w:sz="0" w:space="0" w:color="auto"/>
        <w:right w:val="none" w:sz="0" w:space="0" w:color="auto"/>
      </w:divBdr>
    </w:div>
    <w:div w:id="212542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1BE9C2-5087-4BB0-9D9B-3763CA8FA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8178</Words>
  <Characters>45394</Characters>
  <Application>Microsoft Office Word</Application>
  <DocSecurity>0</DocSecurity>
  <Lines>810</Lines>
  <Paragraphs>418</Paragraphs>
  <ScaleCrop>false</ScaleCrop>
  <HeadingPairs>
    <vt:vector size="2" baseType="variant">
      <vt:variant>
        <vt:lpstr>Title</vt:lpstr>
      </vt:variant>
      <vt:variant>
        <vt:i4>1</vt:i4>
      </vt:variant>
    </vt:vector>
  </HeadingPairs>
  <TitlesOfParts>
    <vt:vector size="1" baseType="lpstr">
      <vt:lpstr>Product Information: Lenvatinib mesilate</vt:lpstr>
    </vt:vector>
  </TitlesOfParts>
  <Company>Commercial Eyes</Company>
  <LinksUpToDate>false</LinksUpToDate>
  <CharactersWithSpaces>53154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Information: Lenvatinib mesilate</dc:title>
  <dc:subject>prescription medicines</dc:subject>
  <dc:creator>Eisai Australia Pty Ltd</dc:creator>
  <cp:keywords>AusPARs</cp:keywords>
  <cp:lastModifiedBy>Lack, Janet</cp:lastModifiedBy>
  <cp:revision>3</cp:revision>
  <cp:lastPrinted>2016-01-29T02:12:00Z</cp:lastPrinted>
  <dcterms:created xsi:type="dcterms:W3CDTF">2016-09-07T05:34:00Z</dcterms:created>
  <dcterms:modified xsi:type="dcterms:W3CDTF">2016-09-07T23:26:00Z</dcterms:modified>
</cp:coreProperties>
</file>