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636B1" w:rsidRPr="00096AA7" w:rsidRDefault="00826F52" w:rsidP="00A848A3">
            <w:pPr>
              <w:rPr>
                <w:rFonts w:ascii="Arial" w:hAnsi="Arial" w:cs="Arial"/>
                <w:b/>
                <w:color w:val="002C47"/>
                <w:sz w:val="36"/>
                <w:szCs w:val="36"/>
              </w:rPr>
            </w:pPr>
            <w:r>
              <w:rPr>
                <w:rFonts w:ascii="Arial" w:hAnsi="Arial" w:cs="Arial"/>
                <w:b/>
                <w:color w:val="002C47"/>
                <w:sz w:val="36"/>
                <w:szCs w:val="36"/>
              </w:rPr>
              <w:t>August</w:t>
            </w:r>
            <w:r w:rsidR="0087136C">
              <w:rPr>
                <w:rFonts w:ascii="Arial" w:hAnsi="Arial" w:cs="Arial"/>
                <w:b/>
                <w:color w:val="002C47"/>
                <w:sz w:val="36"/>
                <w:szCs w:val="36"/>
              </w:rPr>
              <w:t xml:space="preserve"> 2</w:t>
            </w:r>
            <w:r w:rsidR="008636B1">
              <w:rPr>
                <w:rFonts w:ascii="Arial" w:hAnsi="Arial" w:cs="Arial"/>
                <w:b/>
                <w:color w:val="002C47"/>
                <w:sz w:val="36"/>
                <w:szCs w:val="36"/>
              </w:rPr>
              <w:t>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785169">
            <w:pPr>
              <w:pStyle w:val="Title"/>
              <w:rPr>
                <w:color w:val="FFFFFF" w:themeColor="background1"/>
              </w:rPr>
            </w:pPr>
            <w:r w:rsidRPr="00A964D1">
              <w:rPr>
                <w:color w:val="FFFFFF" w:themeColor="background1"/>
              </w:rPr>
              <w:t>Australian Pu</w:t>
            </w:r>
            <w:r w:rsidR="005D2C8E">
              <w:rPr>
                <w:color w:val="FFFFFF" w:themeColor="background1"/>
              </w:rPr>
              <w:t xml:space="preserve">blic Assessment Report for </w:t>
            </w:r>
            <w:proofErr w:type="spellStart"/>
            <w:r w:rsidR="00785169">
              <w:rPr>
                <w:color w:val="FFFFFF" w:themeColor="background1"/>
              </w:rPr>
              <w:t>L</w:t>
            </w:r>
            <w:r w:rsidR="005D2C8E" w:rsidRPr="005D2C8E">
              <w:rPr>
                <w:color w:val="FFFFFF" w:themeColor="background1"/>
              </w:rPr>
              <w:t>envatinib</w:t>
            </w:r>
            <w:proofErr w:type="spellEnd"/>
            <w:r w:rsidR="005D2C8E" w:rsidRPr="005D2C8E">
              <w:rPr>
                <w:color w:val="FFFFFF" w:themeColor="background1"/>
              </w:rPr>
              <w:t xml:space="preserve"> </w:t>
            </w:r>
            <w:proofErr w:type="spellStart"/>
            <w:r w:rsidR="005D2C8E" w:rsidRPr="005D2C8E">
              <w:rPr>
                <w:color w:val="FFFFFF" w:themeColor="background1"/>
              </w:rPr>
              <w:t>mesilate</w:t>
            </w:r>
            <w:proofErr w:type="spellEnd"/>
          </w:p>
        </w:tc>
      </w:tr>
      <w:tr w:rsidR="0032583B" w:rsidRPr="00B64760" w:rsidTr="0032583B">
        <w:tc>
          <w:tcPr>
            <w:tcW w:w="9079" w:type="dxa"/>
          </w:tcPr>
          <w:p w:rsidR="0032583B" w:rsidRPr="008E7846" w:rsidRDefault="005D2C8E" w:rsidP="0032583B">
            <w:pPr>
              <w:pStyle w:val="Subtitle"/>
              <w:rPr>
                <w:color w:val="FFFFFF" w:themeColor="background1"/>
              </w:rPr>
            </w:pPr>
            <w:r>
              <w:rPr>
                <w:color w:val="FFFFFF" w:themeColor="background1"/>
              </w:rPr>
              <w:t>Pro</w:t>
            </w:r>
            <w:r w:rsidR="0091605B">
              <w:rPr>
                <w:color w:val="FFFFFF" w:themeColor="background1"/>
              </w:rPr>
              <w:t xml:space="preserve">prietary Product Name: </w:t>
            </w:r>
            <w:r>
              <w:rPr>
                <w:color w:val="FFFFFF" w:themeColor="background1"/>
              </w:rPr>
              <w:t>Lenvima</w:t>
            </w:r>
          </w:p>
        </w:tc>
      </w:tr>
      <w:tr w:rsidR="0032583B" w:rsidRPr="00B64760" w:rsidTr="0032583B">
        <w:trPr>
          <w:trHeight w:val="486"/>
        </w:trPr>
        <w:tc>
          <w:tcPr>
            <w:tcW w:w="9079" w:type="dxa"/>
          </w:tcPr>
          <w:p w:rsidR="0032583B" w:rsidRPr="008E7846" w:rsidRDefault="005D2C8E" w:rsidP="008D19DB">
            <w:pPr>
              <w:pStyle w:val="Subtitle"/>
              <w:rPr>
                <w:color w:val="FFFFFF" w:themeColor="background1"/>
              </w:rPr>
            </w:pPr>
            <w:r>
              <w:rPr>
                <w:color w:val="FFFFFF" w:themeColor="background1"/>
              </w:rPr>
              <w:t xml:space="preserve">Sponsor: </w:t>
            </w:r>
            <w:r w:rsidR="008D19DB">
              <w:rPr>
                <w:color w:val="FFFFFF" w:themeColor="background1"/>
              </w:rPr>
              <w:t>Eisai Australia</w:t>
            </w:r>
            <w:r w:rsidRPr="005D2C8E">
              <w:rPr>
                <w:color w:val="FFFFFF" w:themeColor="background1"/>
              </w:rPr>
              <w:t xml:space="preserve">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C04E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C04E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C04E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C04E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8C04E8">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232633"/>
      <w:bookmarkStart w:id="1" w:name="_Toc453685071"/>
      <w:bookmarkStart w:id="2" w:name="_Toc460342286"/>
      <w:bookmarkStart w:id="3" w:name="_Toc461092024"/>
      <w:r>
        <w:t>About AusPARs</w:t>
      </w:r>
      <w:bookmarkEnd w:id="0"/>
      <w:bookmarkEnd w:id="1"/>
      <w:bookmarkEnd w:id="2"/>
      <w:bookmarkEnd w:id="3"/>
    </w:p>
    <w:p w:rsidR="008E7846" w:rsidRDefault="008E7846" w:rsidP="008C04E8">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C04E8">
      <w:pPr>
        <w:pStyle w:val="ListBullet"/>
        <w:numPr>
          <w:ilvl w:val="0"/>
          <w:numId w:val="1"/>
        </w:numPr>
        <w:ind w:left="357" w:hanging="357"/>
      </w:pPr>
      <w:r>
        <w:t>AusPARs are prepared and published by the TGA.</w:t>
      </w:r>
    </w:p>
    <w:p w:rsidR="008E7846" w:rsidRDefault="008E7846" w:rsidP="008C04E8">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8C04E8">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8C04E8">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516DE">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4" w:name="_Toc247691501" w:displacedByCustomXml="next"/>
    <w:bookmarkStart w:id="5"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A81F26" w:rsidRDefault="0089635C" w:rsidP="004D68A6">
          <w:pPr>
            <w:pStyle w:val="Contents"/>
            <w:rPr>
              <w:noProof/>
            </w:rPr>
          </w:pPr>
          <w:r w:rsidRPr="0010788A">
            <w:t>Conte</w:t>
          </w:r>
          <w:bookmarkStart w:id="6" w:name="_GoBack"/>
          <w:bookmarkEnd w:id="6"/>
          <w:r w:rsidRPr="0010788A">
            <w:t>nts</w:t>
          </w:r>
          <w:r w:rsidR="00DB6124">
            <w:fldChar w:fldCharType="begin"/>
          </w:r>
          <w:r>
            <w:instrText xml:space="preserve"> TOC \o "1-3" \h \z \u </w:instrText>
          </w:r>
          <w:r w:rsidR="00DB6124">
            <w:fldChar w:fldCharType="separate"/>
          </w:r>
        </w:p>
        <w:p w:rsidR="00A81F26" w:rsidRDefault="00A81F26">
          <w:pPr>
            <w:pStyle w:val="TOC2"/>
            <w:rPr>
              <w:rFonts w:asciiTheme="minorHAnsi" w:eastAsiaTheme="minorEastAsia" w:hAnsiTheme="minorHAnsi" w:cstheme="minorBidi"/>
              <w:b w:val="0"/>
              <w:noProof/>
              <w:sz w:val="22"/>
              <w:lang w:eastAsia="en-AU"/>
            </w:rPr>
          </w:pPr>
          <w:hyperlink w:anchor="_Toc461092024" w:history="1">
            <w:r w:rsidRPr="00545DF9">
              <w:rPr>
                <w:rStyle w:val="Hyperlink"/>
                <w:noProof/>
              </w:rPr>
              <w:t>About AusPARs</w:t>
            </w:r>
            <w:r>
              <w:rPr>
                <w:noProof/>
                <w:webHidden/>
              </w:rPr>
              <w:tab/>
            </w:r>
            <w:r>
              <w:rPr>
                <w:noProof/>
                <w:webHidden/>
              </w:rPr>
              <w:fldChar w:fldCharType="begin"/>
            </w:r>
            <w:r>
              <w:rPr>
                <w:noProof/>
                <w:webHidden/>
              </w:rPr>
              <w:instrText xml:space="preserve"> PAGEREF _Toc461092024 \h </w:instrText>
            </w:r>
            <w:r>
              <w:rPr>
                <w:noProof/>
                <w:webHidden/>
              </w:rPr>
            </w:r>
            <w:r>
              <w:rPr>
                <w:noProof/>
                <w:webHidden/>
              </w:rPr>
              <w:fldChar w:fldCharType="separate"/>
            </w:r>
            <w:r>
              <w:rPr>
                <w:noProof/>
                <w:webHidden/>
              </w:rPr>
              <w:t>ii</w:t>
            </w:r>
            <w:r>
              <w:rPr>
                <w:noProof/>
                <w:webHidden/>
              </w:rPr>
              <w:fldChar w:fldCharType="end"/>
            </w:r>
          </w:hyperlink>
        </w:p>
        <w:p w:rsidR="00A81F26" w:rsidRDefault="00A81F26">
          <w:pPr>
            <w:pStyle w:val="TOC2"/>
            <w:rPr>
              <w:rFonts w:asciiTheme="minorHAnsi" w:eastAsiaTheme="minorEastAsia" w:hAnsiTheme="minorHAnsi" w:cstheme="minorBidi"/>
              <w:b w:val="0"/>
              <w:noProof/>
              <w:sz w:val="22"/>
              <w:lang w:eastAsia="en-AU"/>
            </w:rPr>
          </w:pPr>
          <w:hyperlink w:anchor="_Toc461092025" w:history="1">
            <w:r w:rsidRPr="00545DF9">
              <w:rPr>
                <w:rStyle w:val="Hyperlink"/>
                <w:noProof/>
              </w:rPr>
              <w:t>Common abbreviations</w:t>
            </w:r>
            <w:r>
              <w:rPr>
                <w:noProof/>
                <w:webHidden/>
              </w:rPr>
              <w:tab/>
            </w:r>
            <w:r>
              <w:rPr>
                <w:noProof/>
                <w:webHidden/>
              </w:rPr>
              <w:fldChar w:fldCharType="begin"/>
            </w:r>
            <w:r>
              <w:rPr>
                <w:noProof/>
                <w:webHidden/>
              </w:rPr>
              <w:instrText xml:space="preserve"> PAGEREF _Toc461092025 \h </w:instrText>
            </w:r>
            <w:r>
              <w:rPr>
                <w:noProof/>
                <w:webHidden/>
              </w:rPr>
            </w:r>
            <w:r>
              <w:rPr>
                <w:noProof/>
                <w:webHidden/>
              </w:rPr>
              <w:fldChar w:fldCharType="separate"/>
            </w:r>
            <w:r>
              <w:rPr>
                <w:noProof/>
                <w:webHidden/>
              </w:rPr>
              <w:t>5</w:t>
            </w:r>
            <w:r>
              <w:rPr>
                <w:noProof/>
                <w:webHidden/>
              </w:rPr>
              <w:fldChar w:fldCharType="end"/>
            </w:r>
          </w:hyperlink>
        </w:p>
        <w:p w:rsidR="00A81F26" w:rsidRDefault="00A81F26">
          <w:pPr>
            <w:pStyle w:val="TOC2"/>
            <w:rPr>
              <w:rFonts w:asciiTheme="minorHAnsi" w:eastAsiaTheme="minorEastAsia" w:hAnsiTheme="minorHAnsi" w:cstheme="minorBidi"/>
              <w:b w:val="0"/>
              <w:noProof/>
              <w:sz w:val="22"/>
              <w:lang w:eastAsia="en-AU"/>
            </w:rPr>
          </w:pPr>
          <w:hyperlink w:anchor="_Toc461092026" w:history="1">
            <w:r w:rsidRPr="00545DF9">
              <w:rPr>
                <w:rStyle w:val="Hyperlink"/>
                <w:noProof/>
              </w:rPr>
              <w:t>I. Introduction to product submission</w:t>
            </w:r>
            <w:r>
              <w:rPr>
                <w:noProof/>
                <w:webHidden/>
              </w:rPr>
              <w:tab/>
            </w:r>
            <w:r>
              <w:rPr>
                <w:noProof/>
                <w:webHidden/>
              </w:rPr>
              <w:fldChar w:fldCharType="begin"/>
            </w:r>
            <w:r>
              <w:rPr>
                <w:noProof/>
                <w:webHidden/>
              </w:rPr>
              <w:instrText xml:space="preserve"> PAGEREF _Toc461092026 \h </w:instrText>
            </w:r>
            <w:r>
              <w:rPr>
                <w:noProof/>
                <w:webHidden/>
              </w:rPr>
            </w:r>
            <w:r>
              <w:rPr>
                <w:noProof/>
                <w:webHidden/>
              </w:rPr>
              <w:fldChar w:fldCharType="separate"/>
            </w:r>
            <w:r>
              <w:rPr>
                <w:noProof/>
                <w:webHidden/>
              </w:rPr>
              <w:t>7</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27" w:history="1">
            <w:r w:rsidRPr="00545DF9">
              <w:rPr>
                <w:rStyle w:val="Hyperlink"/>
                <w:noProof/>
                <w:lang w:eastAsia="en-AU"/>
              </w:rPr>
              <w:t>Submission details</w:t>
            </w:r>
            <w:r>
              <w:rPr>
                <w:noProof/>
                <w:webHidden/>
              </w:rPr>
              <w:tab/>
            </w:r>
            <w:r>
              <w:rPr>
                <w:noProof/>
                <w:webHidden/>
              </w:rPr>
              <w:fldChar w:fldCharType="begin"/>
            </w:r>
            <w:r>
              <w:rPr>
                <w:noProof/>
                <w:webHidden/>
              </w:rPr>
              <w:instrText xml:space="preserve"> PAGEREF _Toc461092027 \h </w:instrText>
            </w:r>
            <w:r>
              <w:rPr>
                <w:noProof/>
                <w:webHidden/>
              </w:rPr>
            </w:r>
            <w:r>
              <w:rPr>
                <w:noProof/>
                <w:webHidden/>
              </w:rPr>
              <w:fldChar w:fldCharType="separate"/>
            </w:r>
            <w:r>
              <w:rPr>
                <w:noProof/>
                <w:webHidden/>
              </w:rPr>
              <w:t>7</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28" w:history="1">
            <w:r w:rsidRPr="00545DF9">
              <w:rPr>
                <w:rStyle w:val="Hyperlink"/>
                <w:noProof/>
              </w:rPr>
              <w:t>Product background</w:t>
            </w:r>
            <w:r>
              <w:rPr>
                <w:noProof/>
                <w:webHidden/>
              </w:rPr>
              <w:tab/>
            </w:r>
            <w:r>
              <w:rPr>
                <w:noProof/>
                <w:webHidden/>
              </w:rPr>
              <w:fldChar w:fldCharType="begin"/>
            </w:r>
            <w:r>
              <w:rPr>
                <w:noProof/>
                <w:webHidden/>
              </w:rPr>
              <w:instrText xml:space="preserve"> PAGEREF _Toc461092028 \h </w:instrText>
            </w:r>
            <w:r>
              <w:rPr>
                <w:noProof/>
                <w:webHidden/>
              </w:rPr>
            </w:r>
            <w:r>
              <w:rPr>
                <w:noProof/>
                <w:webHidden/>
              </w:rPr>
              <w:fldChar w:fldCharType="separate"/>
            </w:r>
            <w:r>
              <w:rPr>
                <w:noProof/>
                <w:webHidden/>
              </w:rPr>
              <w:t>7</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29" w:history="1">
            <w:r w:rsidRPr="00545DF9">
              <w:rPr>
                <w:rStyle w:val="Hyperlink"/>
                <w:noProof/>
              </w:rPr>
              <w:t>Regulatory status</w:t>
            </w:r>
            <w:r>
              <w:rPr>
                <w:noProof/>
                <w:webHidden/>
              </w:rPr>
              <w:tab/>
            </w:r>
            <w:r>
              <w:rPr>
                <w:noProof/>
                <w:webHidden/>
              </w:rPr>
              <w:fldChar w:fldCharType="begin"/>
            </w:r>
            <w:r>
              <w:rPr>
                <w:noProof/>
                <w:webHidden/>
              </w:rPr>
              <w:instrText xml:space="preserve"> PAGEREF _Toc461092029 \h </w:instrText>
            </w:r>
            <w:r>
              <w:rPr>
                <w:noProof/>
                <w:webHidden/>
              </w:rPr>
            </w:r>
            <w:r>
              <w:rPr>
                <w:noProof/>
                <w:webHidden/>
              </w:rPr>
              <w:fldChar w:fldCharType="separate"/>
            </w:r>
            <w:r>
              <w:rPr>
                <w:noProof/>
                <w:webHidden/>
              </w:rPr>
              <w:t>9</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30" w:history="1">
            <w:r w:rsidRPr="00545DF9">
              <w:rPr>
                <w:rStyle w:val="Hyperlink"/>
                <w:noProof/>
              </w:rPr>
              <w:t>Product information</w:t>
            </w:r>
            <w:r>
              <w:rPr>
                <w:noProof/>
                <w:webHidden/>
              </w:rPr>
              <w:tab/>
            </w:r>
            <w:r>
              <w:rPr>
                <w:noProof/>
                <w:webHidden/>
              </w:rPr>
              <w:fldChar w:fldCharType="begin"/>
            </w:r>
            <w:r>
              <w:rPr>
                <w:noProof/>
                <w:webHidden/>
              </w:rPr>
              <w:instrText xml:space="preserve"> PAGEREF _Toc461092030 \h </w:instrText>
            </w:r>
            <w:r>
              <w:rPr>
                <w:noProof/>
                <w:webHidden/>
              </w:rPr>
            </w:r>
            <w:r>
              <w:rPr>
                <w:noProof/>
                <w:webHidden/>
              </w:rPr>
              <w:fldChar w:fldCharType="separate"/>
            </w:r>
            <w:r>
              <w:rPr>
                <w:noProof/>
                <w:webHidden/>
              </w:rPr>
              <w:t>10</w:t>
            </w:r>
            <w:r>
              <w:rPr>
                <w:noProof/>
                <w:webHidden/>
              </w:rPr>
              <w:fldChar w:fldCharType="end"/>
            </w:r>
          </w:hyperlink>
        </w:p>
        <w:p w:rsidR="00A81F26" w:rsidRDefault="00A81F26">
          <w:pPr>
            <w:pStyle w:val="TOC2"/>
            <w:rPr>
              <w:rFonts w:asciiTheme="minorHAnsi" w:eastAsiaTheme="minorEastAsia" w:hAnsiTheme="minorHAnsi" w:cstheme="minorBidi"/>
              <w:b w:val="0"/>
              <w:noProof/>
              <w:sz w:val="22"/>
              <w:lang w:eastAsia="en-AU"/>
            </w:rPr>
          </w:pPr>
          <w:hyperlink w:anchor="_Toc461092031" w:history="1">
            <w:r w:rsidRPr="00545DF9">
              <w:rPr>
                <w:rStyle w:val="Hyperlink"/>
                <w:noProof/>
              </w:rPr>
              <w:t>II. Quality findings</w:t>
            </w:r>
            <w:r>
              <w:rPr>
                <w:noProof/>
                <w:webHidden/>
              </w:rPr>
              <w:tab/>
            </w:r>
            <w:r>
              <w:rPr>
                <w:noProof/>
                <w:webHidden/>
              </w:rPr>
              <w:fldChar w:fldCharType="begin"/>
            </w:r>
            <w:r>
              <w:rPr>
                <w:noProof/>
                <w:webHidden/>
              </w:rPr>
              <w:instrText xml:space="preserve"> PAGEREF _Toc461092031 \h </w:instrText>
            </w:r>
            <w:r>
              <w:rPr>
                <w:noProof/>
                <w:webHidden/>
              </w:rPr>
            </w:r>
            <w:r>
              <w:rPr>
                <w:noProof/>
                <w:webHidden/>
              </w:rPr>
              <w:fldChar w:fldCharType="separate"/>
            </w:r>
            <w:r>
              <w:rPr>
                <w:noProof/>
                <w:webHidden/>
              </w:rPr>
              <w:t>10</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32" w:history="1">
            <w:r w:rsidRPr="00545DF9">
              <w:rPr>
                <w:rStyle w:val="Hyperlink"/>
                <w:noProof/>
              </w:rPr>
              <w:t>Introduction</w:t>
            </w:r>
            <w:r>
              <w:rPr>
                <w:noProof/>
                <w:webHidden/>
              </w:rPr>
              <w:tab/>
            </w:r>
            <w:r>
              <w:rPr>
                <w:noProof/>
                <w:webHidden/>
              </w:rPr>
              <w:fldChar w:fldCharType="begin"/>
            </w:r>
            <w:r>
              <w:rPr>
                <w:noProof/>
                <w:webHidden/>
              </w:rPr>
              <w:instrText xml:space="preserve"> PAGEREF _Toc461092032 \h </w:instrText>
            </w:r>
            <w:r>
              <w:rPr>
                <w:noProof/>
                <w:webHidden/>
              </w:rPr>
            </w:r>
            <w:r>
              <w:rPr>
                <w:noProof/>
                <w:webHidden/>
              </w:rPr>
              <w:fldChar w:fldCharType="separate"/>
            </w:r>
            <w:r>
              <w:rPr>
                <w:noProof/>
                <w:webHidden/>
              </w:rPr>
              <w:t>10</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33" w:history="1">
            <w:r w:rsidRPr="00545DF9">
              <w:rPr>
                <w:rStyle w:val="Hyperlink"/>
                <w:noProof/>
              </w:rPr>
              <w:t>Drug substance (active ingredient)</w:t>
            </w:r>
            <w:r>
              <w:rPr>
                <w:noProof/>
                <w:webHidden/>
              </w:rPr>
              <w:tab/>
            </w:r>
            <w:r>
              <w:rPr>
                <w:noProof/>
                <w:webHidden/>
              </w:rPr>
              <w:fldChar w:fldCharType="begin"/>
            </w:r>
            <w:r>
              <w:rPr>
                <w:noProof/>
                <w:webHidden/>
              </w:rPr>
              <w:instrText xml:space="preserve"> PAGEREF _Toc461092033 \h </w:instrText>
            </w:r>
            <w:r>
              <w:rPr>
                <w:noProof/>
                <w:webHidden/>
              </w:rPr>
            </w:r>
            <w:r>
              <w:rPr>
                <w:noProof/>
                <w:webHidden/>
              </w:rPr>
              <w:fldChar w:fldCharType="separate"/>
            </w:r>
            <w:r>
              <w:rPr>
                <w:noProof/>
                <w:webHidden/>
              </w:rPr>
              <w:t>11</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34" w:history="1">
            <w:r w:rsidRPr="00545DF9">
              <w:rPr>
                <w:rStyle w:val="Hyperlink"/>
                <w:noProof/>
              </w:rPr>
              <w:t>Drug product</w:t>
            </w:r>
            <w:r>
              <w:rPr>
                <w:noProof/>
                <w:webHidden/>
              </w:rPr>
              <w:tab/>
            </w:r>
            <w:r>
              <w:rPr>
                <w:noProof/>
                <w:webHidden/>
              </w:rPr>
              <w:fldChar w:fldCharType="begin"/>
            </w:r>
            <w:r>
              <w:rPr>
                <w:noProof/>
                <w:webHidden/>
              </w:rPr>
              <w:instrText xml:space="preserve"> PAGEREF _Toc461092034 \h </w:instrText>
            </w:r>
            <w:r>
              <w:rPr>
                <w:noProof/>
                <w:webHidden/>
              </w:rPr>
            </w:r>
            <w:r>
              <w:rPr>
                <w:noProof/>
                <w:webHidden/>
              </w:rPr>
              <w:fldChar w:fldCharType="separate"/>
            </w:r>
            <w:r>
              <w:rPr>
                <w:noProof/>
                <w:webHidden/>
              </w:rPr>
              <w:t>12</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35" w:history="1">
            <w:r w:rsidRPr="00545DF9">
              <w:rPr>
                <w:rStyle w:val="Hyperlink"/>
                <w:noProof/>
              </w:rPr>
              <w:t>Biopharmaceutics</w:t>
            </w:r>
            <w:r>
              <w:rPr>
                <w:noProof/>
                <w:webHidden/>
              </w:rPr>
              <w:tab/>
            </w:r>
            <w:r>
              <w:rPr>
                <w:noProof/>
                <w:webHidden/>
              </w:rPr>
              <w:fldChar w:fldCharType="begin"/>
            </w:r>
            <w:r>
              <w:rPr>
                <w:noProof/>
                <w:webHidden/>
              </w:rPr>
              <w:instrText xml:space="preserve"> PAGEREF _Toc461092035 \h </w:instrText>
            </w:r>
            <w:r>
              <w:rPr>
                <w:noProof/>
                <w:webHidden/>
              </w:rPr>
            </w:r>
            <w:r>
              <w:rPr>
                <w:noProof/>
                <w:webHidden/>
              </w:rPr>
              <w:fldChar w:fldCharType="separate"/>
            </w:r>
            <w:r>
              <w:rPr>
                <w:noProof/>
                <w:webHidden/>
              </w:rPr>
              <w:t>13</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36" w:history="1">
            <w:r w:rsidRPr="00545DF9">
              <w:rPr>
                <w:rStyle w:val="Hyperlink"/>
                <w:noProof/>
              </w:rPr>
              <w:t>Quality summary and conclusions</w:t>
            </w:r>
            <w:r>
              <w:rPr>
                <w:noProof/>
                <w:webHidden/>
              </w:rPr>
              <w:tab/>
            </w:r>
            <w:r>
              <w:rPr>
                <w:noProof/>
                <w:webHidden/>
              </w:rPr>
              <w:fldChar w:fldCharType="begin"/>
            </w:r>
            <w:r>
              <w:rPr>
                <w:noProof/>
                <w:webHidden/>
              </w:rPr>
              <w:instrText xml:space="preserve"> PAGEREF _Toc461092036 \h </w:instrText>
            </w:r>
            <w:r>
              <w:rPr>
                <w:noProof/>
                <w:webHidden/>
              </w:rPr>
            </w:r>
            <w:r>
              <w:rPr>
                <w:noProof/>
                <w:webHidden/>
              </w:rPr>
              <w:fldChar w:fldCharType="separate"/>
            </w:r>
            <w:r>
              <w:rPr>
                <w:noProof/>
                <w:webHidden/>
              </w:rPr>
              <w:t>18</w:t>
            </w:r>
            <w:r>
              <w:rPr>
                <w:noProof/>
                <w:webHidden/>
              </w:rPr>
              <w:fldChar w:fldCharType="end"/>
            </w:r>
          </w:hyperlink>
        </w:p>
        <w:p w:rsidR="00A81F26" w:rsidRDefault="00A81F26">
          <w:pPr>
            <w:pStyle w:val="TOC2"/>
            <w:rPr>
              <w:rFonts w:asciiTheme="minorHAnsi" w:eastAsiaTheme="minorEastAsia" w:hAnsiTheme="minorHAnsi" w:cstheme="minorBidi"/>
              <w:b w:val="0"/>
              <w:noProof/>
              <w:sz w:val="22"/>
              <w:lang w:eastAsia="en-AU"/>
            </w:rPr>
          </w:pPr>
          <w:hyperlink w:anchor="_Toc461092037" w:history="1">
            <w:r w:rsidRPr="00545DF9">
              <w:rPr>
                <w:rStyle w:val="Hyperlink"/>
                <w:noProof/>
              </w:rPr>
              <w:t>III. Nonclinical findings</w:t>
            </w:r>
            <w:r>
              <w:rPr>
                <w:noProof/>
                <w:webHidden/>
              </w:rPr>
              <w:tab/>
            </w:r>
            <w:r>
              <w:rPr>
                <w:noProof/>
                <w:webHidden/>
              </w:rPr>
              <w:fldChar w:fldCharType="begin"/>
            </w:r>
            <w:r>
              <w:rPr>
                <w:noProof/>
                <w:webHidden/>
              </w:rPr>
              <w:instrText xml:space="preserve"> PAGEREF _Toc461092037 \h </w:instrText>
            </w:r>
            <w:r>
              <w:rPr>
                <w:noProof/>
                <w:webHidden/>
              </w:rPr>
            </w:r>
            <w:r>
              <w:rPr>
                <w:noProof/>
                <w:webHidden/>
              </w:rPr>
              <w:fldChar w:fldCharType="separate"/>
            </w:r>
            <w:r>
              <w:rPr>
                <w:noProof/>
                <w:webHidden/>
              </w:rPr>
              <w:t>20</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38" w:history="1">
            <w:r w:rsidRPr="00545DF9">
              <w:rPr>
                <w:rStyle w:val="Hyperlink"/>
                <w:noProof/>
              </w:rPr>
              <w:t>Introduction</w:t>
            </w:r>
            <w:r>
              <w:rPr>
                <w:noProof/>
                <w:webHidden/>
              </w:rPr>
              <w:tab/>
            </w:r>
            <w:r>
              <w:rPr>
                <w:noProof/>
                <w:webHidden/>
              </w:rPr>
              <w:fldChar w:fldCharType="begin"/>
            </w:r>
            <w:r>
              <w:rPr>
                <w:noProof/>
                <w:webHidden/>
              </w:rPr>
              <w:instrText xml:space="preserve"> PAGEREF _Toc461092038 \h </w:instrText>
            </w:r>
            <w:r>
              <w:rPr>
                <w:noProof/>
                <w:webHidden/>
              </w:rPr>
            </w:r>
            <w:r>
              <w:rPr>
                <w:noProof/>
                <w:webHidden/>
              </w:rPr>
              <w:fldChar w:fldCharType="separate"/>
            </w:r>
            <w:r>
              <w:rPr>
                <w:noProof/>
                <w:webHidden/>
              </w:rPr>
              <w:t>20</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39" w:history="1">
            <w:r w:rsidRPr="00545DF9">
              <w:rPr>
                <w:rStyle w:val="Hyperlink"/>
                <w:noProof/>
              </w:rPr>
              <w:t>Pharmacology</w:t>
            </w:r>
            <w:r>
              <w:rPr>
                <w:noProof/>
                <w:webHidden/>
              </w:rPr>
              <w:tab/>
            </w:r>
            <w:r>
              <w:rPr>
                <w:noProof/>
                <w:webHidden/>
              </w:rPr>
              <w:fldChar w:fldCharType="begin"/>
            </w:r>
            <w:r>
              <w:rPr>
                <w:noProof/>
                <w:webHidden/>
              </w:rPr>
              <w:instrText xml:space="preserve"> PAGEREF _Toc461092039 \h </w:instrText>
            </w:r>
            <w:r>
              <w:rPr>
                <w:noProof/>
                <w:webHidden/>
              </w:rPr>
            </w:r>
            <w:r>
              <w:rPr>
                <w:noProof/>
                <w:webHidden/>
              </w:rPr>
              <w:fldChar w:fldCharType="separate"/>
            </w:r>
            <w:r>
              <w:rPr>
                <w:noProof/>
                <w:webHidden/>
              </w:rPr>
              <w:t>20</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40" w:history="1">
            <w:r w:rsidRPr="00545DF9">
              <w:rPr>
                <w:rStyle w:val="Hyperlink"/>
                <w:noProof/>
              </w:rPr>
              <w:t>Pharmacokinetics</w:t>
            </w:r>
            <w:r>
              <w:rPr>
                <w:noProof/>
                <w:webHidden/>
              </w:rPr>
              <w:tab/>
            </w:r>
            <w:r>
              <w:rPr>
                <w:noProof/>
                <w:webHidden/>
              </w:rPr>
              <w:fldChar w:fldCharType="begin"/>
            </w:r>
            <w:r>
              <w:rPr>
                <w:noProof/>
                <w:webHidden/>
              </w:rPr>
              <w:instrText xml:space="preserve"> PAGEREF _Toc461092040 \h </w:instrText>
            </w:r>
            <w:r>
              <w:rPr>
                <w:noProof/>
                <w:webHidden/>
              </w:rPr>
            </w:r>
            <w:r>
              <w:rPr>
                <w:noProof/>
                <w:webHidden/>
              </w:rPr>
              <w:fldChar w:fldCharType="separate"/>
            </w:r>
            <w:r>
              <w:rPr>
                <w:noProof/>
                <w:webHidden/>
              </w:rPr>
              <w:t>21</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41" w:history="1">
            <w:r w:rsidRPr="00545DF9">
              <w:rPr>
                <w:rStyle w:val="Hyperlink"/>
                <w:noProof/>
              </w:rPr>
              <w:t>Toxicology</w:t>
            </w:r>
            <w:r>
              <w:rPr>
                <w:noProof/>
                <w:webHidden/>
              </w:rPr>
              <w:tab/>
            </w:r>
            <w:r>
              <w:rPr>
                <w:noProof/>
                <w:webHidden/>
              </w:rPr>
              <w:fldChar w:fldCharType="begin"/>
            </w:r>
            <w:r>
              <w:rPr>
                <w:noProof/>
                <w:webHidden/>
              </w:rPr>
              <w:instrText xml:space="preserve"> PAGEREF _Toc461092041 \h </w:instrText>
            </w:r>
            <w:r>
              <w:rPr>
                <w:noProof/>
                <w:webHidden/>
              </w:rPr>
            </w:r>
            <w:r>
              <w:rPr>
                <w:noProof/>
                <w:webHidden/>
              </w:rPr>
              <w:fldChar w:fldCharType="separate"/>
            </w:r>
            <w:r>
              <w:rPr>
                <w:noProof/>
                <w:webHidden/>
              </w:rPr>
              <w:t>23</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42" w:history="1">
            <w:r w:rsidRPr="00545DF9">
              <w:rPr>
                <w:rStyle w:val="Hyperlink"/>
                <w:noProof/>
              </w:rPr>
              <w:t>Nonclinical summary and conclusions</w:t>
            </w:r>
            <w:r>
              <w:rPr>
                <w:noProof/>
                <w:webHidden/>
              </w:rPr>
              <w:tab/>
            </w:r>
            <w:r>
              <w:rPr>
                <w:noProof/>
                <w:webHidden/>
              </w:rPr>
              <w:fldChar w:fldCharType="begin"/>
            </w:r>
            <w:r>
              <w:rPr>
                <w:noProof/>
                <w:webHidden/>
              </w:rPr>
              <w:instrText xml:space="preserve"> PAGEREF _Toc461092042 \h </w:instrText>
            </w:r>
            <w:r>
              <w:rPr>
                <w:noProof/>
                <w:webHidden/>
              </w:rPr>
            </w:r>
            <w:r>
              <w:rPr>
                <w:noProof/>
                <w:webHidden/>
              </w:rPr>
              <w:fldChar w:fldCharType="separate"/>
            </w:r>
            <w:r>
              <w:rPr>
                <w:noProof/>
                <w:webHidden/>
              </w:rPr>
              <w:t>29</w:t>
            </w:r>
            <w:r>
              <w:rPr>
                <w:noProof/>
                <w:webHidden/>
              </w:rPr>
              <w:fldChar w:fldCharType="end"/>
            </w:r>
          </w:hyperlink>
        </w:p>
        <w:p w:rsidR="00A81F26" w:rsidRDefault="00A81F26">
          <w:pPr>
            <w:pStyle w:val="TOC2"/>
            <w:rPr>
              <w:rFonts w:asciiTheme="minorHAnsi" w:eastAsiaTheme="minorEastAsia" w:hAnsiTheme="minorHAnsi" w:cstheme="minorBidi"/>
              <w:b w:val="0"/>
              <w:noProof/>
              <w:sz w:val="22"/>
              <w:lang w:eastAsia="en-AU"/>
            </w:rPr>
          </w:pPr>
          <w:hyperlink w:anchor="_Toc461092043" w:history="1">
            <w:r w:rsidRPr="00545DF9">
              <w:rPr>
                <w:rStyle w:val="Hyperlink"/>
                <w:noProof/>
              </w:rPr>
              <w:t>IV. Clinical findings</w:t>
            </w:r>
            <w:r>
              <w:rPr>
                <w:noProof/>
                <w:webHidden/>
              </w:rPr>
              <w:tab/>
            </w:r>
            <w:r>
              <w:rPr>
                <w:noProof/>
                <w:webHidden/>
              </w:rPr>
              <w:fldChar w:fldCharType="begin"/>
            </w:r>
            <w:r>
              <w:rPr>
                <w:noProof/>
                <w:webHidden/>
              </w:rPr>
              <w:instrText xml:space="preserve"> PAGEREF _Toc461092043 \h </w:instrText>
            </w:r>
            <w:r>
              <w:rPr>
                <w:noProof/>
                <w:webHidden/>
              </w:rPr>
            </w:r>
            <w:r>
              <w:rPr>
                <w:noProof/>
                <w:webHidden/>
              </w:rPr>
              <w:fldChar w:fldCharType="separate"/>
            </w:r>
            <w:r>
              <w:rPr>
                <w:noProof/>
                <w:webHidden/>
              </w:rPr>
              <w:t>31</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44" w:history="1">
            <w:r w:rsidRPr="00545DF9">
              <w:rPr>
                <w:rStyle w:val="Hyperlink"/>
                <w:noProof/>
              </w:rPr>
              <w:t>Introduction</w:t>
            </w:r>
            <w:r>
              <w:rPr>
                <w:noProof/>
                <w:webHidden/>
              </w:rPr>
              <w:tab/>
            </w:r>
            <w:r>
              <w:rPr>
                <w:noProof/>
                <w:webHidden/>
              </w:rPr>
              <w:fldChar w:fldCharType="begin"/>
            </w:r>
            <w:r>
              <w:rPr>
                <w:noProof/>
                <w:webHidden/>
              </w:rPr>
              <w:instrText xml:space="preserve"> PAGEREF _Toc461092044 \h </w:instrText>
            </w:r>
            <w:r>
              <w:rPr>
                <w:noProof/>
                <w:webHidden/>
              </w:rPr>
            </w:r>
            <w:r>
              <w:rPr>
                <w:noProof/>
                <w:webHidden/>
              </w:rPr>
              <w:fldChar w:fldCharType="separate"/>
            </w:r>
            <w:r>
              <w:rPr>
                <w:noProof/>
                <w:webHidden/>
              </w:rPr>
              <w:t>31</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45" w:history="1">
            <w:r w:rsidRPr="00545DF9">
              <w:rPr>
                <w:rStyle w:val="Hyperlink"/>
                <w:noProof/>
              </w:rPr>
              <w:t>Pharmacokinetics</w:t>
            </w:r>
            <w:r>
              <w:rPr>
                <w:noProof/>
                <w:webHidden/>
              </w:rPr>
              <w:tab/>
            </w:r>
            <w:r>
              <w:rPr>
                <w:noProof/>
                <w:webHidden/>
              </w:rPr>
              <w:fldChar w:fldCharType="begin"/>
            </w:r>
            <w:r>
              <w:rPr>
                <w:noProof/>
                <w:webHidden/>
              </w:rPr>
              <w:instrText xml:space="preserve"> PAGEREF _Toc461092045 \h </w:instrText>
            </w:r>
            <w:r>
              <w:rPr>
                <w:noProof/>
                <w:webHidden/>
              </w:rPr>
            </w:r>
            <w:r>
              <w:rPr>
                <w:noProof/>
                <w:webHidden/>
              </w:rPr>
              <w:fldChar w:fldCharType="separate"/>
            </w:r>
            <w:r>
              <w:rPr>
                <w:noProof/>
                <w:webHidden/>
              </w:rPr>
              <w:t>34</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46" w:history="1">
            <w:r w:rsidRPr="00545DF9">
              <w:rPr>
                <w:rStyle w:val="Hyperlink"/>
                <w:noProof/>
              </w:rPr>
              <w:t>Pharmacodynamics</w:t>
            </w:r>
            <w:r>
              <w:rPr>
                <w:noProof/>
                <w:webHidden/>
              </w:rPr>
              <w:tab/>
            </w:r>
            <w:r>
              <w:rPr>
                <w:noProof/>
                <w:webHidden/>
              </w:rPr>
              <w:fldChar w:fldCharType="begin"/>
            </w:r>
            <w:r>
              <w:rPr>
                <w:noProof/>
                <w:webHidden/>
              </w:rPr>
              <w:instrText xml:space="preserve"> PAGEREF _Toc461092046 \h </w:instrText>
            </w:r>
            <w:r>
              <w:rPr>
                <w:noProof/>
                <w:webHidden/>
              </w:rPr>
            </w:r>
            <w:r>
              <w:rPr>
                <w:noProof/>
                <w:webHidden/>
              </w:rPr>
              <w:fldChar w:fldCharType="separate"/>
            </w:r>
            <w:r>
              <w:rPr>
                <w:noProof/>
                <w:webHidden/>
              </w:rPr>
              <w:t>37</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47" w:history="1">
            <w:r w:rsidRPr="00545DF9">
              <w:rPr>
                <w:rStyle w:val="Hyperlink"/>
                <w:noProof/>
              </w:rPr>
              <w:t>Dosage selection for the pivotal studies</w:t>
            </w:r>
            <w:r>
              <w:rPr>
                <w:noProof/>
                <w:webHidden/>
              </w:rPr>
              <w:tab/>
            </w:r>
            <w:r>
              <w:rPr>
                <w:noProof/>
                <w:webHidden/>
              </w:rPr>
              <w:fldChar w:fldCharType="begin"/>
            </w:r>
            <w:r>
              <w:rPr>
                <w:noProof/>
                <w:webHidden/>
              </w:rPr>
              <w:instrText xml:space="preserve"> PAGEREF _Toc461092047 \h </w:instrText>
            </w:r>
            <w:r>
              <w:rPr>
                <w:noProof/>
                <w:webHidden/>
              </w:rPr>
            </w:r>
            <w:r>
              <w:rPr>
                <w:noProof/>
                <w:webHidden/>
              </w:rPr>
              <w:fldChar w:fldCharType="separate"/>
            </w:r>
            <w:r>
              <w:rPr>
                <w:noProof/>
                <w:webHidden/>
              </w:rPr>
              <w:t>39</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48" w:history="1">
            <w:r w:rsidRPr="00545DF9">
              <w:rPr>
                <w:rStyle w:val="Hyperlink"/>
                <w:noProof/>
              </w:rPr>
              <w:t>Efficacy</w:t>
            </w:r>
            <w:r>
              <w:rPr>
                <w:noProof/>
                <w:webHidden/>
              </w:rPr>
              <w:tab/>
            </w:r>
            <w:r>
              <w:rPr>
                <w:noProof/>
                <w:webHidden/>
              </w:rPr>
              <w:fldChar w:fldCharType="begin"/>
            </w:r>
            <w:r>
              <w:rPr>
                <w:noProof/>
                <w:webHidden/>
              </w:rPr>
              <w:instrText xml:space="preserve"> PAGEREF _Toc461092048 \h </w:instrText>
            </w:r>
            <w:r>
              <w:rPr>
                <w:noProof/>
                <w:webHidden/>
              </w:rPr>
            </w:r>
            <w:r>
              <w:rPr>
                <w:noProof/>
                <w:webHidden/>
              </w:rPr>
              <w:fldChar w:fldCharType="separate"/>
            </w:r>
            <w:r>
              <w:rPr>
                <w:noProof/>
                <w:webHidden/>
              </w:rPr>
              <w:t>41</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49" w:history="1">
            <w:r w:rsidRPr="00545DF9">
              <w:rPr>
                <w:rStyle w:val="Hyperlink"/>
                <w:noProof/>
              </w:rPr>
              <w:t>Safety</w:t>
            </w:r>
            <w:r>
              <w:rPr>
                <w:noProof/>
                <w:webHidden/>
              </w:rPr>
              <w:tab/>
            </w:r>
            <w:r>
              <w:rPr>
                <w:noProof/>
                <w:webHidden/>
              </w:rPr>
              <w:fldChar w:fldCharType="begin"/>
            </w:r>
            <w:r>
              <w:rPr>
                <w:noProof/>
                <w:webHidden/>
              </w:rPr>
              <w:instrText xml:space="preserve"> PAGEREF _Toc461092049 \h </w:instrText>
            </w:r>
            <w:r>
              <w:rPr>
                <w:noProof/>
                <w:webHidden/>
              </w:rPr>
            </w:r>
            <w:r>
              <w:rPr>
                <w:noProof/>
                <w:webHidden/>
              </w:rPr>
              <w:fldChar w:fldCharType="separate"/>
            </w:r>
            <w:r>
              <w:rPr>
                <w:noProof/>
                <w:webHidden/>
              </w:rPr>
              <w:t>41</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50" w:history="1">
            <w:r w:rsidRPr="00545DF9">
              <w:rPr>
                <w:rStyle w:val="Hyperlink"/>
                <w:noProof/>
              </w:rPr>
              <w:t>First round benefit-risk assessment</w:t>
            </w:r>
            <w:r>
              <w:rPr>
                <w:noProof/>
                <w:webHidden/>
              </w:rPr>
              <w:tab/>
            </w:r>
            <w:r>
              <w:rPr>
                <w:noProof/>
                <w:webHidden/>
              </w:rPr>
              <w:fldChar w:fldCharType="begin"/>
            </w:r>
            <w:r>
              <w:rPr>
                <w:noProof/>
                <w:webHidden/>
              </w:rPr>
              <w:instrText xml:space="preserve"> PAGEREF _Toc461092050 \h </w:instrText>
            </w:r>
            <w:r>
              <w:rPr>
                <w:noProof/>
                <w:webHidden/>
              </w:rPr>
            </w:r>
            <w:r>
              <w:rPr>
                <w:noProof/>
                <w:webHidden/>
              </w:rPr>
              <w:fldChar w:fldCharType="separate"/>
            </w:r>
            <w:r>
              <w:rPr>
                <w:noProof/>
                <w:webHidden/>
              </w:rPr>
              <w:t>45</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51" w:history="1">
            <w:r w:rsidRPr="00545DF9">
              <w:rPr>
                <w:rStyle w:val="Hyperlink"/>
                <w:noProof/>
              </w:rPr>
              <w:t>First round recommendation regarding authorisation</w:t>
            </w:r>
            <w:r>
              <w:rPr>
                <w:noProof/>
                <w:webHidden/>
              </w:rPr>
              <w:tab/>
            </w:r>
            <w:r>
              <w:rPr>
                <w:noProof/>
                <w:webHidden/>
              </w:rPr>
              <w:fldChar w:fldCharType="begin"/>
            </w:r>
            <w:r>
              <w:rPr>
                <w:noProof/>
                <w:webHidden/>
              </w:rPr>
              <w:instrText xml:space="preserve"> PAGEREF _Toc461092051 \h </w:instrText>
            </w:r>
            <w:r>
              <w:rPr>
                <w:noProof/>
                <w:webHidden/>
              </w:rPr>
            </w:r>
            <w:r>
              <w:rPr>
                <w:noProof/>
                <w:webHidden/>
              </w:rPr>
              <w:fldChar w:fldCharType="separate"/>
            </w:r>
            <w:r>
              <w:rPr>
                <w:noProof/>
                <w:webHidden/>
              </w:rPr>
              <w:t>45</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52" w:history="1">
            <w:r w:rsidRPr="00545DF9">
              <w:rPr>
                <w:rStyle w:val="Hyperlink"/>
                <w:noProof/>
              </w:rPr>
              <w:t>Clinical questions</w:t>
            </w:r>
            <w:r>
              <w:rPr>
                <w:noProof/>
                <w:webHidden/>
              </w:rPr>
              <w:tab/>
            </w:r>
            <w:r>
              <w:rPr>
                <w:noProof/>
                <w:webHidden/>
              </w:rPr>
              <w:fldChar w:fldCharType="begin"/>
            </w:r>
            <w:r>
              <w:rPr>
                <w:noProof/>
                <w:webHidden/>
              </w:rPr>
              <w:instrText xml:space="preserve"> PAGEREF _Toc461092052 \h </w:instrText>
            </w:r>
            <w:r>
              <w:rPr>
                <w:noProof/>
                <w:webHidden/>
              </w:rPr>
            </w:r>
            <w:r>
              <w:rPr>
                <w:noProof/>
                <w:webHidden/>
              </w:rPr>
              <w:fldChar w:fldCharType="separate"/>
            </w:r>
            <w:r>
              <w:rPr>
                <w:noProof/>
                <w:webHidden/>
              </w:rPr>
              <w:t>45</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53" w:history="1">
            <w:r w:rsidRPr="00545DF9">
              <w:rPr>
                <w:rStyle w:val="Hyperlink"/>
                <w:noProof/>
              </w:rPr>
              <w:t>Second round evaluation</w:t>
            </w:r>
            <w:r>
              <w:rPr>
                <w:noProof/>
                <w:webHidden/>
              </w:rPr>
              <w:tab/>
            </w:r>
            <w:r>
              <w:rPr>
                <w:noProof/>
                <w:webHidden/>
              </w:rPr>
              <w:fldChar w:fldCharType="begin"/>
            </w:r>
            <w:r>
              <w:rPr>
                <w:noProof/>
                <w:webHidden/>
              </w:rPr>
              <w:instrText xml:space="preserve"> PAGEREF _Toc461092053 \h </w:instrText>
            </w:r>
            <w:r>
              <w:rPr>
                <w:noProof/>
                <w:webHidden/>
              </w:rPr>
            </w:r>
            <w:r>
              <w:rPr>
                <w:noProof/>
                <w:webHidden/>
              </w:rPr>
              <w:fldChar w:fldCharType="separate"/>
            </w:r>
            <w:r>
              <w:rPr>
                <w:noProof/>
                <w:webHidden/>
              </w:rPr>
              <w:t>46</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54" w:history="1">
            <w:r w:rsidRPr="00545DF9">
              <w:rPr>
                <w:rStyle w:val="Hyperlink"/>
                <w:noProof/>
              </w:rPr>
              <w:t>Second round benefit-risk assessment</w:t>
            </w:r>
            <w:r>
              <w:rPr>
                <w:noProof/>
                <w:webHidden/>
              </w:rPr>
              <w:tab/>
            </w:r>
            <w:r>
              <w:rPr>
                <w:noProof/>
                <w:webHidden/>
              </w:rPr>
              <w:fldChar w:fldCharType="begin"/>
            </w:r>
            <w:r>
              <w:rPr>
                <w:noProof/>
                <w:webHidden/>
              </w:rPr>
              <w:instrText xml:space="preserve"> PAGEREF _Toc461092054 \h </w:instrText>
            </w:r>
            <w:r>
              <w:rPr>
                <w:noProof/>
                <w:webHidden/>
              </w:rPr>
            </w:r>
            <w:r>
              <w:rPr>
                <w:noProof/>
                <w:webHidden/>
              </w:rPr>
              <w:fldChar w:fldCharType="separate"/>
            </w:r>
            <w:r>
              <w:rPr>
                <w:noProof/>
                <w:webHidden/>
              </w:rPr>
              <w:t>46</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55" w:history="1">
            <w:r w:rsidRPr="00545DF9">
              <w:rPr>
                <w:rStyle w:val="Hyperlink"/>
                <w:noProof/>
              </w:rPr>
              <w:t>Second round recommendation regarding authorisation</w:t>
            </w:r>
            <w:r>
              <w:rPr>
                <w:noProof/>
                <w:webHidden/>
              </w:rPr>
              <w:tab/>
            </w:r>
            <w:r>
              <w:rPr>
                <w:noProof/>
                <w:webHidden/>
              </w:rPr>
              <w:fldChar w:fldCharType="begin"/>
            </w:r>
            <w:r>
              <w:rPr>
                <w:noProof/>
                <w:webHidden/>
              </w:rPr>
              <w:instrText xml:space="preserve"> PAGEREF _Toc461092055 \h </w:instrText>
            </w:r>
            <w:r>
              <w:rPr>
                <w:noProof/>
                <w:webHidden/>
              </w:rPr>
            </w:r>
            <w:r>
              <w:rPr>
                <w:noProof/>
                <w:webHidden/>
              </w:rPr>
              <w:fldChar w:fldCharType="separate"/>
            </w:r>
            <w:r>
              <w:rPr>
                <w:noProof/>
                <w:webHidden/>
              </w:rPr>
              <w:t>46</w:t>
            </w:r>
            <w:r>
              <w:rPr>
                <w:noProof/>
                <w:webHidden/>
              </w:rPr>
              <w:fldChar w:fldCharType="end"/>
            </w:r>
          </w:hyperlink>
        </w:p>
        <w:p w:rsidR="00A81F26" w:rsidRDefault="00A81F26">
          <w:pPr>
            <w:pStyle w:val="TOC2"/>
            <w:rPr>
              <w:rFonts w:asciiTheme="minorHAnsi" w:eastAsiaTheme="minorEastAsia" w:hAnsiTheme="minorHAnsi" w:cstheme="minorBidi"/>
              <w:b w:val="0"/>
              <w:noProof/>
              <w:sz w:val="22"/>
              <w:lang w:eastAsia="en-AU"/>
            </w:rPr>
          </w:pPr>
          <w:hyperlink w:anchor="_Toc461092056" w:history="1">
            <w:r w:rsidRPr="00545DF9">
              <w:rPr>
                <w:rStyle w:val="Hyperlink"/>
                <w:noProof/>
              </w:rPr>
              <w:t>V. Pharmacovigilance findings</w:t>
            </w:r>
            <w:r>
              <w:rPr>
                <w:noProof/>
                <w:webHidden/>
              </w:rPr>
              <w:tab/>
            </w:r>
            <w:r>
              <w:rPr>
                <w:noProof/>
                <w:webHidden/>
              </w:rPr>
              <w:fldChar w:fldCharType="begin"/>
            </w:r>
            <w:r>
              <w:rPr>
                <w:noProof/>
                <w:webHidden/>
              </w:rPr>
              <w:instrText xml:space="preserve"> PAGEREF _Toc461092056 \h </w:instrText>
            </w:r>
            <w:r>
              <w:rPr>
                <w:noProof/>
                <w:webHidden/>
              </w:rPr>
            </w:r>
            <w:r>
              <w:rPr>
                <w:noProof/>
                <w:webHidden/>
              </w:rPr>
              <w:fldChar w:fldCharType="separate"/>
            </w:r>
            <w:r>
              <w:rPr>
                <w:noProof/>
                <w:webHidden/>
              </w:rPr>
              <w:t>47</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57" w:history="1">
            <w:r w:rsidRPr="00545DF9">
              <w:rPr>
                <w:rStyle w:val="Hyperlink"/>
                <w:noProof/>
                <w:lang w:eastAsia="en-AU"/>
              </w:rPr>
              <w:t>Risk management plan</w:t>
            </w:r>
            <w:r>
              <w:rPr>
                <w:noProof/>
                <w:webHidden/>
              </w:rPr>
              <w:tab/>
            </w:r>
            <w:r>
              <w:rPr>
                <w:noProof/>
                <w:webHidden/>
              </w:rPr>
              <w:fldChar w:fldCharType="begin"/>
            </w:r>
            <w:r>
              <w:rPr>
                <w:noProof/>
                <w:webHidden/>
              </w:rPr>
              <w:instrText xml:space="preserve"> PAGEREF _Toc461092057 \h </w:instrText>
            </w:r>
            <w:r>
              <w:rPr>
                <w:noProof/>
                <w:webHidden/>
              </w:rPr>
            </w:r>
            <w:r>
              <w:rPr>
                <w:noProof/>
                <w:webHidden/>
              </w:rPr>
              <w:fldChar w:fldCharType="separate"/>
            </w:r>
            <w:r>
              <w:rPr>
                <w:noProof/>
                <w:webHidden/>
              </w:rPr>
              <w:t>47</w:t>
            </w:r>
            <w:r>
              <w:rPr>
                <w:noProof/>
                <w:webHidden/>
              </w:rPr>
              <w:fldChar w:fldCharType="end"/>
            </w:r>
          </w:hyperlink>
        </w:p>
        <w:p w:rsidR="00A81F26" w:rsidRDefault="00A81F26">
          <w:pPr>
            <w:pStyle w:val="TOC2"/>
            <w:rPr>
              <w:rFonts w:asciiTheme="minorHAnsi" w:eastAsiaTheme="minorEastAsia" w:hAnsiTheme="minorHAnsi" w:cstheme="minorBidi"/>
              <w:b w:val="0"/>
              <w:noProof/>
              <w:sz w:val="22"/>
              <w:lang w:eastAsia="en-AU"/>
            </w:rPr>
          </w:pPr>
          <w:hyperlink w:anchor="_Toc461092058" w:history="1">
            <w:r w:rsidRPr="00545DF9">
              <w:rPr>
                <w:rStyle w:val="Hyperlink"/>
                <w:noProof/>
              </w:rPr>
              <w:t>VI. Overall conclusion and risk/benefit assessment</w:t>
            </w:r>
            <w:r>
              <w:rPr>
                <w:noProof/>
                <w:webHidden/>
              </w:rPr>
              <w:tab/>
            </w:r>
            <w:r>
              <w:rPr>
                <w:noProof/>
                <w:webHidden/>
              </w:rPr>
              <w:fldChar w:fldCharType="begin"/>
            </w:r>
            <w:r>
              <w:rPr>
                <w:noProof/>
                <w:webHidden/>
              </w:rPr>
              <w:instrText xml:space="preserve"> PAGEREF _Toc461092058 \h </w:instrText>
            </w:r>
            <w:r>
              <w:rPr>
                <w:noProof/>
                <w:webHidden/>
              </w:rPr>
            </w:r>
            <w:r>
              <w:rPr>
                <w:noProof/>
                <w:webHidden/>
              </w:rPr>
              <w:fldChar w:fldCharType="separate"/>
            </w:r>
            <w:r>
              <w:rPr>
                <w:noProof/>
                <w:webHidden/>
              </w:rPr>
              <w:t>54</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59" w:history="1">
            <w:r w:rsidRPr="00545DF9">
              <w:rPr>
                <w:rStyle w:val="Hyperlink"/>
                <w:noProof/>
              </w:rPr>
              <w:t>Quality</w:t>
            </w:r>
            <w:r>
              <w:rPr>
                <w:noProof/>
                <w:webHidden/>
              </w:rPr>
              <w:tab/>
            </w:r>
            <w:r>
              <w:rPr>
                <w:noProof/>
                <w:webHidden/>
              </w:rPr>
              <w:fldChar w:fldCharType="begin"/>
            </w:r>
            <w:r>
              <w:rPr>
                <w:noProof/>
                <w:webHidden/>
              </w:rPr>
              <w:instrText xml:space="preserve"> PAGEREF _Toc461092059 \h </w:instrText>
            </w:r>
            <w:r>
              <w:rPr>
                <w:noProof/>
                <w:webHidden/>
              </w:rPr>
            </w:r>
            <w:r>
              <w:rPr>
                <w:noProof/>
                <w:webHidden/>
              </w:rPr>
              <w:fldChar w:fldCharType="separate"/>
            </w:r>
            <w:r>
              <w:rPr>
                <w:noProof/>
                <w:webHidden/>
              </w:rPr>
              <w:t>55</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60" w:history="1">
            <w:r w:rsidRPr="00545DF9">
              <w:rPr>
                <w:rStyle w:val="Hyperlink"/>
                <w:noProof/>
              </w:rPr>
              <w:t>Nonclinical</w:t>
            </w:r>
            <w:r>
              <w:rPr>
                <w:noProof/>
                <w:webHidden/>
              </w:rPr>
              <w:tab/>
            </w:r>
            <w:r>
              <w:rPr>
                <w:noProof/>
                <w:webHidden/>
              </w:rPr>
              <w:fldChar w:fldCharType="begin"/>
            </w:r>
            <w:r>
              <w:rPr>
                <w:noProof/>
                <w:webHidden/>
              </w:rPr>
              <w:instrText xml:space="preserve"> PAGEREF _Toc461092060 \h </w:instrText>
            </w:r>
            <w:r>
              <w:rPr>
                <w:noProof/>
                <w:webHidden/>
              </w:rPr>
            </w:r>
            <w:r>
              <w:rPr>
                <w:noProof/>
                <w:webHidden/>
              </w:rPr>
              <w:fldChar w:fldCharType="separate"/>
            </w:r>
            <w:r>
              <w:rPr>
                <w:noProof/>
                <w:webHidden/>
              </w:rPr>
              <w:t>55</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61" w:history="1">
            <w:r w:rsidRPr="00545DF9">
              <w:rPr>
                <w:rStyle w:val="Hyperlink"/>
                <w:noProof/>
              </w:rPr>
              <w:t>Clinical</w:t>
            </w:r>
            <w:r>
              <w:rPr>
                <w:noProof/>
                <w:webHidden/>
              </w:rPr>
              <w:tab/>
            </w:r>
            <w:r>
              <w:rPr>
                <w:noProof/>
                <w:webHidden/>
              </w:rPr>
              <w:fldChar w:fldCharType="begin"/>
            </w:r>
            <w:r>
              <w:rPr>
                <w:noProof/>
                <w:webHidden/>
              </w:rPr>
              <w:instrText xml:space="preserve"> PAGEREF _Toc461092061 \h </w:instrText>
            </w:r>
            <w:r>
              <w:rPr>
                <w:noProof/>
                <w:webHidden/>
              </w:rPr>
            </w:r>
            <w:r>
              <w:rPr>
                <w:noProof/>
                <w:webHidden/>
              </w:rPr>
              <w:fldChar w:fldCharType="separate"/>
            </w:r>
            <w:r>
              <w:rPr>
                <w:noProof/>
                <w:webHidden/>
              </w:rPr>
              <w:t>55</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62" w:history="1">
            <w:r w:rsidRPr="00545DF9">
              <w:rPr>
                <w:rStyle w:val="Hyperlink"/>
                <w:noProof/>
                <w:lang w:eastAsia="en-AU"/>
              </w:rPr>
              <w:t>Risk management plan</w:t>
            </w:r>
            <w:r>
              <w:rPr>
                <w:noProof/>
                <w:webHidden/>
              </w:rPr>
              <w:tab/>
            </w:r>
            <w:r>
              <w:rPr>
                <w:noProof/>
                <w:webHidden/>
              </w:rPr>
              <w:fldChar w:fldCharType="begin"/>
            </w:r>
            <w:r>
              <w:rPr>
                <w:noProof/>
                <w:webHidden/>
              </w:rPr>
              <w:instrText xml:space="preserve"> PAGEREF _Toc461092062 \h </w:instrText>
            </w:r>
            <w:r>
              <w:rPr>
                <w:noProof/>
                <w:webHidden/>
              </w:rPr>
            </w:r>
            <w:r>
              <w:rPr>
                <w:noProof/>
                <w:webHidden/>
              </w:rPr>
              <w:fldChar w:fldCharType="separate"/>
            </w:r>
            <w:r>
              <w:rPr>
                <w:noProof/>
                <w:webHidden/>
              </w:rPr>
              <w:t>59</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63" w:history="1">
            <w:r w:rsidRPr="00545DF9">
              <w:rPr>
                <w:rStyle w:val="Hyperlink"/>
                <w:noProof/>
              </w:rPr>
              <w:t>Risk-benefit analysis</w:t>
            </w:r>
            <w:r>
              <w:rPr>
                <w:noProof/>
                <w:webHidden/>
              </w:rPr>
              <w:tab/>
            </w:r>
            <w:r>
              <w:rPr>
                <w:noProof/>
                <w:webHidden/>
              </w:rPr>
              <w:fldChar w:fldCharType="begin"/>
            </w:r>
            <w:r>
              <w:rPr>
                <w:noProof/>
                <w:webHidden/>
              </w:rPr>
              <w:instrText xml:space="preserve"> PAGEREF _Toc461092063 \h </w:instrText>
            </w:r>
            <w:r>
              <w:rPr>
                <w:noProof/>
                <w:webHidden/>
              </w:rPr>
            </w:r>
            <w:r>
              <w:rPr>
                <w:noProof/>
                <w:webHidden/>
              </w:rPr>
              <w:fldChar w:fldCharType="separate"/>
            </w:r>
            <w:r>
              <w:rPr>
                <w:noProof/>
                <w:webHidden/>
              </w:rPr>
              <w:t>60</w:t>
            </w:r>
            <w:r>
              <w:rPr>
                <w:noProof/>
                <w:webHidden/>
              </w:rPr>
              <w:fldChar w:fldCharType="end"/>
            </w:r>
          </w:hyperlink>
        </w:p>
        <w:p w:rsidR="00A81F26" w:rsidRDefault="00A81F26">
          <w:pPr>
            <w:pStyle w:val="TOC3"/>
            <w:rPr>
              <w:rFonts w:asciiTheme="minorHAnsi" w:eastAsiaTheme="minorEastAsia" w:hAnsiTheme="minorHAnsi" w:cstheme="minorBidi"/>
              <w:noProof/>
              <w:lang w:eastAsia="en-AU"/>
            </w:rPr>
          </w:pPr>
          <w:hyperlink w:anchor="_Toc461092064" w:history="1">
            <w:r w:rsidRPr="00545DF9">
              <w:rPr>
                <w:rStyle w:val="Hyperlink"/>
                <w:noProof/>
              </w:rPr>
              <w:t>Outcome</w:t>
            </w:r>
            <w:r>
              <w:rPr>
                <w:noProof/>
                <w:webHidden/>
              </w:rPr>
              <w:tab/>
            </w:r>
            <w:r>
              <w:rPr>
                <w:noProof/>
                <w:webHidden/>
              </w:rPr>
              <w:fldChar w:fldCharType="begin"/>
            </w:r>
            <w:r>
              <w:rPr>
                <w:noProof/>
                <w:webHidden/>
              </w:rPr>
              <w:instrText xml:space="preserve"> PAGEREF _Toc461092064 \h </w:instrText>
            </w:r>
            <w:r>
              <w:rPr>
                <w:noProof/>
                <w:webHidden/>
              </w:rPr>
            </w:r>
            <w:r>
              <w:rPr>
                <w:noProof/>
                <w:webHidden/>
              </w:rPr>
              <w:fldChar w:fldCharType="separate"/>
            </w:r>
            <w:r>
              <w:rPr>
                <w:noProof/>
                <w:webHidden/>
              </w:rPr>
              <w:t>62</w:t>
            </w:r>
            <w:r>
              <w:rPr>
                <w:noProof/>
                <w:webHidden/>
              </w:rPr>
              <w:fldChar w:fldCharType="end"/>
            </w:r>
          </w:hyperlink>
        </w:p>
        <w:p w:rsidR="00A81F26" w:rsidRDefault="00A81F26">
          <w:pPr>
            <w:pStyle w:val="TOC2"/>
            <w:rPr>
              <w:rFonts w:asciiTheme="minorHAnsi" w:eastAsiaTheme="minorEastAsia" w:hAnsiTheme="minorHAnsi" w:cstheme="minorBidi"/>
              <w:b w:val="0"/>
              <w:noProof/>
              <w:sz w:val="22"/>
              <w:lang w:eastAsia="en-AU"/>
            </w:rPr>
          </w:pPr>
          <w:hyperlink w:anchor="_Toc461092065" w:history="1">
            <w:r w:rsidRPr="00545DF9">
              <w:rPr>
                <w:rStyle w:val="Hyperlink"/>
                <w:noProof/>
              </w:rPr>
              <w:t>Attachment 1. Product Information</w:t>
            </w:r>
            <w:r>
              <w:rPr>
                <w:noProof/>
                <w:webHidden/>
              </w:rPr>
              <w:tab/>
            </w:r>
            <w:r>
              <w:rPr>
                <w:noProof/>
                <w:webHidden/>
              </w:rPr>
              <w:fldChar w:fldCharType="begin"/>
            </w:r>
            <w:r>
              <w:rPr>
                <w:noProof/>
                <w:webHidden/>
              </w:rPr>
              <w:instrText xml:space="preserve"> PAGEREF _Toc461092065 \h </w:instrText>
            </w:r>
            <w:r>
              <w:rPr>
                <w:noProof/>
                <w:webHidden/>
              </w:rPr>
            </w:r>
            <w:r>
              <w:rPr>
                <w:noProof/>
                <w:webHidden/>
              </w:rPr>
              <w:fldChar w:fldCharType="separate"/>
            </w:r>
            <w:r>
              <w:rPr>
                <w:noProof/>
                <w:webHidden/>
              </w:rPr>
              <w:t>63</w:t>
            </w:r>
            <w:r>
              <w:rPr>
                <w:noProof/>
                <w:webHidden/>
              </w:rPr>
              <w:fldChar w:fldCharType="end"/>
            </w:r>
          </w:hyperlink>
        </w:p>
        <w:p w:rsidR="00A81F26" w:rsidRDefault="00A81F26">
          <w:pPr>
            <w:pStyle w:val="TOC2"/>
            <w:rPr>
              <w:rFonts w:asciiTheme="minorHAnsi" w:eastAsiaTheme="minorEastAsia" w:hAnsiTheme="minorHAnsi" w:cstheme="minorBidi"/>
              <w:b w:val="0"/>
              <w:noProof/>
              <w:sz w:val="22"/>
              <w:lang w:eastAsia="en-AU"/>
            </w:rPr>
          </w:pPr>
          <w:hyperlink w:anchor="_Toc461092066" w:history="1">
            <w:r w:rsidRPr="00545DF9">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_Toc461092066 \h </w:instrText>
            </w:r>
            <w:r>
              <w:rPr>
                <w:noProof/>
                <w:webHidden/>
              </w:rPr>
            </w:r>
            <w:r>
              <w:rPr>
                <w:noProof/>
                <w:webHidden/>
              </w:rPr>
              <w:fldChar w:fldCharType="separate"/>
            </w:r>
            <w:r>
              <w:rPr>
                <w:noProof/>
                <w:webHidden/>
              </w:rPr>
              <w:t>63</w:t>
            </w:r>
            <w:r>
              <w:rPr>
                <w:noProof/>
                <w:webHidden/>
              </w:rPr>
              <w:fldChar w:fldCharType="end"/>
            </w:r>
          </w:hyperlink>
        </w:p>
        <w:p w:rsidR="003A7F6C" w:rsidRPr="00B811C6" w:rsidRDefault="00DB6124" w:rsidP="00B811C6">
          <w:pPr>
            <w:pStyle w:val="TOC2"/>
          </w:pPr>
          <w:r>
            <w:fldChar w:fldCharType="end"/>
          </w:r>
        </w:p>
      </w:sdtContent>
    </w:sdt>
    <w:bookmarkStart w:id="7"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8" w:name="_Toc351716269"/>
      <w:bookmarkStart w:id="9" w:name="_Toc351718881"/>
      <w:bookmarkStart w:id="10" w:name="_Toc355338616"/>
      <w:bookmarkStart w:id="11" w:name="_Toc356306144"/>
      <w:bookmarkStart w:id="12" w:name="_Toc461092025"/>
      <w:r>
        <w:lastRenderedPageBreak/>
        <w:t>Common</w:t>
      </w:r>
      <w:r w:rsidR="00FD119B" w:rsidRPr="00FD119B">
        <w:t xml:space="preserve"> abbreviations</w:t>
      </w:r>
      <w:bookmarkEnd w:id="8"/>
      <w:bookmarkEnd w:id="9"/>
      <w:bookmarkEnd w:id="10"/>
      <w:bookmarkEnd w:id="11"/>
      <w:bookmarkEnd w:id="12"/>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AE</w:t>
            </w:r>
          </w:p>
        </w:tc>
        <w:tc>
          <w:tcPr>
            <w:tcW w:w="6911" w:type="dxa"/>
          </w:tcPr>
          <w:p w:rsidR="009E302C" w:rsidRPr="00FD119B" w:rsidRDefault="009E302C" w:rsidP="002A6CED">
            <w:pPr>
              <w:ind w:left="176" w:right="0"/>
              <w:rPr>
                <w:color w:val="auto"/>
                <w:szCs w:val="22"/>
                <w:lang w:eastAsia="en-US"/>
              </w:rPr>
            </w:pPr>
            <w:r>
              <w:rPr>
                <w:color w:val="auto"/>
                <w:szCs w:val="22"/>
                <w:lang w:eastAsia="en-US"/>
              </w:rPr>
              <w:t>adverse event</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ASA</w:t>
            </w:r>
          </w:p>
        </w:tc>
        <w:tc>
          <w:tcPr>
            <w:tcW w:w="6911" w:type="dxa"/>
          </w:tcPr>
          <w:p w:rsidR="009E302C" w:rsidRPr="00FD119B" w:rsidRDefault="009E302C" w:rsidP="002A6CED">
            <w:pPr>
              <w:ind w:left="176" w:right="0"/>
              <w:rPr>
                <w:color w:val="auto"/>
                <w:szCs w:val="22"/>
                <w:lang w:eastAsia="en-US"/>
              </w:rPr>
            </w:pPr>
            <w:r w:rsidRPr="00E70B46">
              <w:t>Australian Specific Annex</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AUC</w:t>
            </w:r>
          </w:p>
        </w:tc>
        <w:tc>
          <w:tcPr>
            <w:tcW w:w="6911" w:type="dxa"/>
          </w:tcPr>
          <w:p w:rsidR="009E302C" w:rsidRPr="00FD119B" w:rsidRDefault="009E302C" w:rsidP="002A6CED">
            <w:pPr>
              <w:ind w:left="176" w:right="0"/>
              <w:rPr>
                <w:color w:val="auto"/>
                <w:szCs w:val="22"/>
                <w:lang w:eastAsia="en-US"/>
              </w:rPr>
            </w:pPr>
            <w:r>
              <w:rPr>
                <w:color w:val="auto"/>
                <w:szCs w:val="22"/>
                <w:lang w:eastAsia="en-US"/>
              </w:rPr>
              <w:t xml:space="preserve">area under the </w:t>
            </w:r>
            <w:r w:rsidRPr="00FE542B">
              <w:rPr>
                <w:color w:val="auto"/>
                <w:szCs w:val="22"/>
                <w:lang w:eastAsia="en-US"/>
              </w:rPr>
              <w:t>plasm</w:t>
            </w:r>
            <w:r>
              <w:rPr>
                <w:color w:val="auto"/>
                <w:szCs w:val="22"/>
                <w:lang w:eastAsia="en-US"/>
              </w:rPr>
              <w:t>a drug concentration-time curve</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AUC</w:t>
            </w:r>
            <w:r w:rsidRPr="00012CDA">
              <w:rPr>
                <w:color w:val="auto"/>
                <w:szCs w:val="22"/>
                <w:vertAlign w:val="subscript"/>
                <w:lang w:eastAsia="en-US"/>
              </w:rPr>
              <w:t>t1-t2</w:t>
            </w:r>
          </w:p>
        </w:tc>
        <w:tc>
          <w:tcPr>
            <w:tcW w:w="6911" w:type="dxa"/>
          </w:tcPr>
          <w:p w:rsidR="009E302C" w:rsidRPr="00FD119B" w:rsidRDefault="009E302C" w:rsidP="002A6CED">
            <w:pPr>
              <w:ind w:left="176" w:right="0"/>
              <w:rPr>
                <w:color w:val="auto"/>
                <w:szCs w:val="22"/>
                <w:lang w:eastAsia="en-US"/>
              </w:rPr>
            </w:pPr>
            <w:r>
              <w:rPr>
                <w:color w:val="auto"/>
                <w:szCs w:val="22"/>
                <w:lang w:eastAsia="en-US"/>
              </w:rPr>
              <w:t xml:space="preserve">area under the </w:t>
            </w:r>
            <w:r w:rsidRPr="00FE542B">
              <w:rPr>
                <w:color w:val="auto"/>
                <w:szCs w:val="22"/>
                <w:lang w:eastAsia="en-US"/>
              </w:rPr>
              <w:t>plasm</w:t>
            </w:r>
            <w:r>
              <w:rPr>
                <w:color w:val="auto"/>
                <w:szCs w:val="22"/>
                <w:lang w:eastAsia="en-US"/>
              </w:rPr>
              <w:t>a drug concentration-time curve from t1 to t2</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BID</w:t>
            </w:r>
          </w:p>
        </w:tc>
        <w:tc>
          <w:tcPr>
            <w:tcW w:w="6911" w:type="dxa"/>
          </w:tcPr>
          <w:p w:rsidR="009E302C" w:rsidRPr="00FD119B" w:rsidRDefault="009E302C" w:rsidP="002A6CED">
            <w:pPr>
              <w:ind w:left="176" w:right="0"/>
              <w:rPr>
                <w:color w:val="auto"/>
                <w:szCs w:val="22"/>
                <w:lang w:eastAsia="en-US"/>
              </w:rPr>
            </w:pPr>
            <w:proofErr w:type="spellStart"/>
            <w:r>
              <w:rPr>
                <w:color w:val="auto"/>
                <w:szCs w:val="22"/>
                <w:lang w:eastAsia="en-US"/>
              </w:rPr>
              <w:t>bis</w:t>
            </w:r>
            <w:proofErr w:type="spellEnd"/>
            <w:r>
              <w:rPr>
                <w:color w:val="auto"/>
                <w:szCs w:val="22"/>
                <w:lang w:eastAsia="en-US"/>
              </w:rPr>
              <w:t xml:space="preserve"> in die (twice daily)</w:t>
            </w:r>
          </w:p>
        </w:tc>
      </w:tr>
      <w:tr w:rsidR="009E302C" w:rsidRPr="00FD119B" w:rsidTr="002A6CED">
        <w:tc>
          <w:tcPr>
            <w:tcW w:w="1809" w:type="dxa"/>
          </w:tcPr>
          <w:p w:rsidR="009E302C" w:rsidRPr="00FD119B" w:rsidRDefault="009E302C" w:rsidP="002A6CED">
            <w:pPr>
              <w:ind w:left="142" w:right="0"/>
              <w:rPr>
                <w:color w:val="auto"/>
                <w:szCs w:val="22"/>
                <w:lang w:eastAsia="en-US"/>
              </w:rPr>
            </w:pPr>
            <w:proofErr w:type="spellStart"/>
            <w:r>
              <w:rPr>
                <w:color w:val="auto"/>
                <w:szCs w:val="22"/>
                <w:lang w:eastAsia="en-US"/>
              </w:rPr>
              <w:t>Cmax</w:t>
            </w:r>
            <w:proofErr w:type="spellEnd"/>
          </w:p>
        </w:tc>
        <w:tc>
          <w:tcPr>
            <w:tcW w:w="6911" w:type="dxa"/>
          </w:tcPr>
          <w:p w:rsidR="009E302C" w:rsidRPr="00FD119B" w:rsidRDefault="009E302C" w:rsidP="002A6CED">
            <w:pPr>
              <w:ind w:left="176" w:right="0"/>
              <w:rPr>
                <w:color w:val="auto"/>
                <w:szCs w:val="22"/>
                <w:lang w:eastAsia="en-US"/>
              </w:rPr>
            </w:pPr>
            <w:r>
              <w:rPr>
                <w:color w:val="auto"/>
                <w:szCs w:val="22"/>
                <w:lang w:eastAsia="en-US"/>
              </w:rPr>
              <w:t xml:space="preserve">maximum </w:t>
            </w:r>
            <w:r w:rsidRPr="00E13B41">
              <w:rPr>
                <w:color w:val="auto"/>
                <w:szCs w:val="22"/>
                <w:lang w:eastAsia="en-US"/>
              </w:rPr>
              <w:t>serum concentration</w:t>
            </w:r>
            <w:r>
              <w:rPr>
                <w:color w:val="auto"/>
                <w:szCs w:val="22"/>
                <w:lang w:eastAsia="en-US"/>
              </w:rPr>
              <w:t xml:space="preserve"> of drug</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CMI</w:t>
            </w:r>
          </w:p>
        </w:tc>
        <w:tc>
          <w:tcPr>
            <w:tcW w:w="6911" w:type="dxa"/>
          </w:tcPr>
          <w:p w:rsidR="009E302C" w:rsidRPr="00FD119B" w:rsidRDefault="009E302C" w:rsidP="002A6CED">
            <w:pPr>
              <w:ind w:left="176" w:right="0"/>
              <w:rPr>
                <w:color w:val="auto"/>
                <w:szCs w:val="22"/>
                <w:lang w:eastAsia="en-US"/>
              </w:rPr>
            </w:pPr>
            <w:r w:rsidRPr="00DA203E">
              <w:t>Consumer Medicines Information</w:t>
            </w:r>
          </w:p>
        </w:tc>
      </w:tr>
      <w:tr w:rsidR="005A6C65" w:rsidRPr="00FD119B" w:rsidTr="00036BB6">
        <w:tc>
          <w:tcPr>
            <w:tcW w:w="1809" w:type="dxa"/>
          </w:tcPr>
          <w:p w:rsidR="005A6C65" w:rsidRPr="00FD119B" w:rsidRDefault="00EC4FF5" w:rsidP="00036BB6">
            <w:pPr>
              <w:ind w:left="142" w:right="0"/>
              <w:rPr>
                <w:color w:val="auto"/>
                <w:szCs w:val="22"/>
                <w:lang w:eastAsia="en-US"/>
              </w:rPr>
            </w:pPr>
            <w:r>
              <w:rPr>
                <w:color w:val="auto"/>
                <w:szCs w:val="22"/>
                <w:lang w:eastAsia="en-US"/>
              </w:rPr>
              <w:t>DTC</w:t>
            </w:r>
          </w:p>
        </w:tc>
        <w:tc>
          <w:tcPr>
            <w:tcW w:w="6911" w:type="dxa"/>
          </w:tcPr>
          <w:p w:rsidR="005A6C65" w:rsidRPr="00FD119B" w:rsidRDefault="00EC4FF5" w:rsidP="00036BB6">
            <w:pPr>
              <w:ind w:left="176" w:right="0"/>
              <w:rPr>
                <w:color w:val="auto"/>
                <w:szCs w:val="22"/>
                <w:lang w:eastAsia="en-US"/>
              </w:rPr>
            </w:pPr>
            <w:r w:rsidRPr="004515C2">
              <w:t>differentiated thyroid cancer</w:t>
            </w:r>
          </w:p>
        </w:tc>
      </w:tr>
      <w:tr w:rsidR="009E302C" w:rsidRPr="00FD119B" w:rsidTr="002A6CED">
        <w:tc>
          <w:tcPr>
            <w:tcW w:w="1809" w:type="dxa"/>
          </w:tcPr>
          <w:p w:rsidR="009E302C" w:rsidRPr="00FD119B" w:rsidRDefault="009E302C" w:rsidP="002A6CED">
            <w:pPr>
              <w:ind w:left="142" w:right="0"/>
              <w:rPr>
                <w:color w:val="auto"/>
                <w:szCs w:val="22"/>
                <w:lang w:eastAsia="en-US"/>
              </w:rPr>
            </w:pPr>
            <w:r w:rsidRPr="003816BF">
              <w:t>ED50</w:t>
            </w:r>
          </w:p>
        </w:tc>
        <w:tc>
          <w:tcPr>
            <w:tcW w:w="6911" w:type="dxa"/>
          </w:tcPr>
          <w:p w:rsidR="009E302C" w:rsidRPr="00FD119B" w:rsidRDefault="009E302C" w:rsidP="002A6CED">
            <w:pPr>
              <w:ind w:left="176" w:right="0"/>
              <w:rPr>
                <w:color w:val="auto"/>
                <w:szCs w:val="22"/>
                <w:lang w:eastAsia="en-US"/>
              </w:rPr>
            </w:pPr>
            <w:r>
              <w:rPr>
                <w:color w:val="auto"/>
                <w:szCs w:val="22"/>
                <w:lang w:eastAsia="en-US"/>
              </w:rPr>
              <w:t>effective dose 50%</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EMA</w:t>
            </w:r>
          </w:p>
        </w:tc>
        <w:tc>
          <w:tcPr>
            <w:tcW w:w="6911" w:type="dxa"/>
          </w:tcPr>
          <w:p w:rsidR="009E302C" w:rsidRPr="00FD119B" w:rsidRDefault="009E302C" w:rsidP="002A6CED">
            <w:pPr>
              <w:ind w:left="176" w:right="0"/>
              <w:rPr>
                <w:color w:val="auto"/>
                <w:szCs w:val="22"/>
                <w:lang w:eastAsia="en-US"/>
              </w:rPr>
            </w:pPr>
            <w:r>
              <w:rPr>
                <w:color w:val="auto"/>
                <w:szCs w:val="22"/>
                <w:lang w:eastAsia="en-US"/>
              </w:rPr>
              <w:t>European Medicines Agency</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ER</w:t>
            </w:r>
          </w:p>
        </w:tc>
        <w:tc>
          <w:tcPr>
            <w:tcW w:w="6911" w:type="dxa"/>
          </w:tcPr>
          <w:p w:rsidR="009E302C" w:rsidRPr="00FD119B" w:rsidRDefault="009E302C" w:rsidP="002A6CED">
            <w:pPr>
              <w:ind w:left="176" w:right="0"/>
              <w:rPr>
                <w:color w:val="auto"/>
                <w:szCs w:val="22"/>
                <w:lang w:eastAsia="en-US"/>
              </w:rPr>
            </w:pPr>
            <w:r>
              <w:rPr>
                <w:color w:val="auto"/>
                <w:szCs w:val="22"/>
                <w:lang w:eastAsia="en-US"/>
              </w:rPr>
              <w:t>Exposure Ratio</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FDA</w:t>
            </w:r>
          </w:p>
        </w:tc>
        <w:tc>
          <w:tcPr>
            <w:tcW w:w="6911" w:type="dxa"/>
          </w:tcPr>
          <w:p w:rsidR="009E302C" w:rsidRPr="00FD119B" w:rsidRDefault="009E302C" w:rsidP="002A6CED">
            <w:pPr>
              <w:ind w:left="176" w:right="0"/>
              <w:rPr>
                <w:color w:val="auto"/>
                <w:szCs w:val="22"/>
                <w:lang w:eastAsia="en-US"/>
              </w:rPr>
            </w:pPr>
            <w:r>
              <w:rPr>
                <w:color w:val="auto"/>
                <w:szCs w:val="22"/>
                <w:lang w:eastAsia="en-US"/>
              </w:rPr>
              <w:t>Food and Drug Administration (US)</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FGF</w:t>
            </w:r>
          </w:p>
        </w:tc>
        <w:tc>
          <w:tcPr>
            <w:tcW w:w="6911" w:type="dxa"/>
          </w:tcPr>
          <w:p w:rsidR="009E302C" w:rsidRPr="00FD119B" w:rsidRDefault="009E302C" w:rsidP="002A6CED">
            <w:pPr>
              <w:ind w:left="176" w:right="0"/>
              <w:rPr>
                <w:color w:val="auto"/>
                <w:szCs w:val="22"/>
                <w:lang w:eastAsia="en-US"/>
              </w:rPr>
            </w:pPr>
            <w:r w:rsidRPr="00BC585E">
              <w:t>fibroblast growth factor</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GI</w:t>
            </w:r>
          </w:p>
        </w:tc>
        <w:tc>
          <w:tcPr>
            <w:tcW w:w="6911" w:type="dxa"/>
          </w:tcPr>
          <w:p w:rsidR="009E302C" w:rsidRPr="00FD119B" w:rsidRDefault="009E302C" w:rsidP="002A6CED">
            <w:pPr>
              <w:ind w:left="176" w:right="0"/>
              <w:rPr>
                <w:color w:val="auto"/>
                <w:szCs w:val="22"/>
                <w:lang w:eastAsia="en-US"/>
              </w:rPr>
            </w:pPr>
            <w:r>
              <w:rPr>
                <w:color w:val="auto"/>
                <w:szCs w:val="22"/>
                <w:lang w:eastAsia="en-US"/>
              </w:rPr>
              <w:t>gastrointestinal</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IC50</w:t>
            </w:r>
          </w:p>
        </w:tc>
        <w:tc>
          <w:tcPr>
            <w:tcW w:w="6911" w:type="dxa"/>
          </w:tcPr>
          <w:p w:rsidR="009E302C" w:rsidRPr="00FD119B" w:rsidRDefault="009E302C" w:rsidP="002A6CED">
            <w:pPr>
              <w:ind w:left="176" w:right="0"/>
              <w:rPr>
                <w:color w:val="auto"/>
                <w:szCs w:val="22"/>
                <w:lang w:eastAsia="en-US"/>
              </w:rPr>
            </w:pPr>
            <w:r>
              <w:rPr>
                <w:color w:val="auto"/>
                <w:szCs w:val="22"/>
                <w:lang w:eastAsia="en-US"/>
              </w:rPr>
              <w:t>i</w:t>
            </w:r>
            <w:r w:rsidRPr="00BE548B">
              <w:rPr>
                <w:color w:val="auto"/>
                <w:szCs w:val="22"/>
                <w:lang w:eastAsia="en-US"/>
              </w:rPr>
              <w:t xml:space="preserve">nhibitory </w:t>
            </w:r>
            <w:r>
              <w:rPr>
                <w:color w:val="auto"/>
                <w:szCs w:val="22"/>
                <w:lang w:eastAsia="en-US"/>
              </w:rPr>
              <w:t>c</w:t>
            </w:r>
            <w:r w:rsidRPr="00BE548B">
              <w:rPr>
                <w:color w:val="auto"/>
                <w:szCs w:val="22"/>
                <w:lang w:eastAsia="en-US"/>
              </w:rPr>
              <w:t>oncentration 50%</w:t>
            </w:r>
          </w:p>
        </w:tc>
      </w:tr>
      <w:tr w:rsidR="009E302C" w:rsidRPr="00FD119B" w:rsidTr="002A6CED">
        <w:tc>
          <w:tcPr>
            <w:tcW w:w="1809" w:type="dxa"/>
          </w:tcPr>
          <w:p w:rsidR="009E302C" w:rsidRPr="00FD119B" w:rsidRDefault="009E302C" w:rsidP="002A6CED">
            <w:pPr>
              <w:ind w:left="142" w:right="0"/>
              <w:rPr>
                <w:color w:val="auto"/>
                <w:szCs w:val="22"/>
                <w:lang w:eastAsia="en-US"/>
              </w:rPr>
            </w:pPr>
            <w:r w:rsidRPr="004F6D83">
              <w:t>ORR</w:t>
            </w:r>
          </w:p>
        </w:tc>
        <w:tc>
          <w:tcPr>
            <w:tcW w:w="6911" w:type="dxa"/>
          </w:tcPr>
          <w:p w:rsidR="009E302C" w:rsidRPr="00FD119B" w:rsidRDefault="009E302C" w:rsidP="002A6CED">
            <w:pPr>
              <w:ind w:left="176" w:right="0"/>
              <w:rPr>
                <w:color w:val="auto"/>
                <w:szCs w:val="22"/>
                <w:lang w:eastAsia="en-US"/>
              </w:rPr>
            </w:pPr>
            <w:r w:rsidRPr="0076425E">
              <w:rPr>
                <w:color w:val="auto"/>
                <w:szCs w:val="22"/>
                <w:lang w:eastAsia="en-US"/>
              </w:rPr>
              <w:t>objective response rate</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OS</w:t>
            </w:r>
          </w:p>
        </w:tc>
        <w:tc>
          <w:tcPr>
            <w:tcW w:w="6911" w:type="dxa"/>
          </w:tcPr>
          <w:p w:rsidR="009E302C" w:rsidRPr="00FD119B" w:rsidRDefault="009E302C" w:rsidP="002A6CED">
            <w:pPr>
              <w:ind w:left="176" w:right="0"/>
              <w:rPr>
                <w:color w:val="auto"/>
                <w:szCs w:val="22"/>
                <w:lang w:eastAsia="en-US"/>
              </w:rPr>
            </w:pPr>
            <w:r>
              <w:rPr>
                <w:color w:val="auto"/>
                <w:szCs w:val="22"/>
                <w:lang w:eastAsia="en-US"/>
              </w:rPr>
              <w:t>overall survival</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MTD</w:t>
            </w:r>
          </w:p>
        </w:tc>
        <w:tc>
          <w:tcPr>
            <w:tcW w:w="6911" w:type="dxa"/>
          </w:tcPr>
          <w:p w:rsidR="009E302C" w:rsidRPr="00FD119B" w:rsidRDefault="009E302C" w:rsidP="002A6CED">
            <w:pPr>
              <w:ind w:left="176" w:right="0"/>
              <w:rPr>
                <w:color w:val="auto"/>
                <w:szCs w:val="22"/>
                <w:lang w:eastAsia="en-US"/>
              </w:rPr>
            </w:pPr>
            <w:r w:rsidRPr="004F6D83">
              <w:t>maximum tolerated dose</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P-</w:t>
            </w:r>
            <w:proofErr w:type="spellStart"/>
            <w:r>
              <w:rPr>
                <w:color w:val="auto"/>
                <w:szCs w:val="22"/>
                <w:lang w:eastAsia="en-US"/>
              </w:rPr>
              <w:t>gp</w:t>
            </w:r>
            <w:proofErr w:type="spellEnd"/>
          </w:p>
        </w:tc>
        <w:tc>
          <w:tcPr>
            <w:tcW w:w="6911" w:type="dxa"/>
          </w:tcPr>
          <w:p w:rsidR="009E302C" w:rsidRPr="00FD119B" w:rsidRDefault="009E302C" w:rsidP="002A6CED">
            <w:pPr>
              <w:ind w:left="176" w:right="0"/>
              <w:rPr>
                <w:color w:val="auto"/>
                <w:szCs w:val="22"/>
                <w:lang w:eastAsia="en-US"/>
              </w:rPr>
            </w:pPr>
            <w:r w:rsidRPr="00034B98">
              <w:t>P</w:t>
            </w:r>
            <w:r w:rsidRPr="00034B98">
              <w:noBreakHyphen/>
              <w:t>glycoprotein</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PD</w:t>
            </w:r>
          </w:p>
        </w:tc>
        <w:tc>
          <w:tcPr>
            <w:tcW w:w="6911" w:type="dxa"/>
          </w:tcPr>
          <w:p w:rsidR="009E302C" w:rsidRPr="00FD119B" w:rsidRDefault="009E302C" w:rsidP="002A6CED">
            <w:pPr>
              <w:ind w:left="176" w:right="0"/>
              <w:rPr>
                <w:color w:val="auto"/>
                <w:szCs w:val="22"/>
                <w:lang w:eastAsia="en-US"/>
              </w:rPr>
            </w:pPr>
            <w:r>
              <w:rPr>
                <w:color w:val="auto"/>
                <w:szCs w:val="22"/>
                <w:lang w:eastAsia="en-US"/>
              </w:rPr>
              <w:t>pharmacodynamic(s)</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PDGF</w:t>
            </w:r>
          </w:p>
        </w:tc>
        <w:tc>
          <w:tcPr>
            <w:tcW w:w="6911" w:type="dxa"/>
          </w:tcPr>
          <w:p w:rsidR="009E302C" w:rsidRPr="00FD119B" w:rsidRDefault="009E302C" w:rsidP="002A6CED">
            <w:pPr>
              <w:ind w:left="176" w:right="0"/>
              <w:rPr>
                <w:color w:val="auto"/>
                <w:szCs w:val="22"/>
                <w:lang w:eastAsia="en-US"/>
              </w:rPr>
            </w:pPr>
            <w:r w:rsidRPr="00BC585E">
              <w:t>platelet derived growth factor</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PFS</w:t>
            </w:r>
          </w:p>
        </w:tc>
        <w:tc>
          <w:tcPr>
            <w:tcW w:w="6911" w:type="dxa"/>
          </w:tcPr>
          <w:p w:rsidR="009E302C" w:rsidRPr="00FD119B" w:rsidRDefault="009E302C" w:rsidP="002A6CED">
            <w:pPr>
              <w:ind w:left="176" w:right="0"/>
              <w:rPr>
                <w:color w:val="auto"/>
                <w:szCs w:val="22"/>
                <w:lang w:eastAsia="en-US"/>
              </w:rPr>
            </w:pPr>
            <w:r>
              <w:t>progression free survival</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PI</w:t>
            </w:r>
          </w:p>
        </w:tc>
        <w:tc>
          <w:tcPr>
            <w:tcW w:w="6911" w:type="dxa"/>
          </w:tcPr>
          <w:p w:rsidR="009E302C" w:rsidRPr="00FD119B" w:rsidRDefault="009E302C" w:rsidP="002A6CED">
            <w:pPr>
              <w:ind w:left="176" w:right="0"/>
              <w:rPr>
                <w:color w:val="auto"/>
                <w:szCs w:val="22"/>
                <w:lang w:eastAsia="en-US"/>
              </w:rPr>
            </w:pPr>
            <w:r>
              <w:rPr>
                <w:color w:val="auto"/>
                <w:szCs w:val="22"/>
                <w:lang w:eastAsia="en-US"/>
              </w:rPr>
              <w:t>Product Information</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PK</w:t>
            </w:r>
          </w:p>
        </w:tc>
        <w:tc>
          <w:tcPr>
            <w:tcW w:w="6911" w:type="dxa"/>
          </w:tcPr>
          <w:p w:rsidR="009E302C" w:rsidRPr="00FD119B" w:rsidRDefault="009E302C" w:rsidP="002A6CED">
            <w:pPr>
              <w:ind w:left="176" w:right="0"/>
              <w:rPr>
                <w:color w:val="auto"/>
                <w:szCs w:val="22"/>
                <w:lang w:eastAsia="en-US"/>
              </w:rPr>
            </w:pPr>
            <w:r>
              <w:rPr>
                <w:color w:val="auto"/>
                <w:szCs w:val="22"/>
                <w:lang w:eastAsia="en-US"/>
              </w:rPr>
              <w:t>pharmacokinetic(s)</w:t>
            </w:r>
          </w:p>
        </w:tc>
      </w:tr>
      <w:tr w:rsidR="009E302C" w:rsidRPr="00FD119B" w:rsidTr="002A6CED">
        <w:tc>
          <w:tcPr>
            <w:tcW w:w="1809" w:type="dxa"/>
          </w:tcPr>
          <w:p w:rsidR="009E302C" w:rsidRPr="00FD119B" w:rsidRDefault="009E302C" w:rsidP="002A6CED">
            <w:pPr>
              <w:ind w:left="142" w:right="0"/>
              <w:rPr>
                <w:color w:val="auto"/>
                <w:szCs w:val="22"/>
                <w:lang w:eastAsia="en-US"/>
              </w:rPr>
            </w:pPr>
            <w:r w:rsidRPr="00C016BB">
              <w:t>PMDA</w:t>
            </w:r>
          </w:p>
        </w:tc>
        <w:tc>
          <w:tcPr>
            <w:tcW w:w="6911" w:type="dxa"/>
          </w:tcPr>
          <w:p w:rsidR="009E302C" w:rsidRPr="00FD119B" w:rsidRDefault="009E302C" w:rsidP="002A6CED">
            <w:pPr>
              <w:ind w:left="176" w:right="0"/>
              <w:rPr>
                <w:color w:val="auto"/>
                <w:szCs w:val="22"/>
                <w:lang w:eastAsia="en-US"/>
              </w:rPr>
            </w:pPr>
            <w:r w:rsidRPr="00AE228B">
              <w:t>Pharmaceuticals and Medical Devices Agency</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lastRenderedPageBreak/>
              <w:t>PO</w:t>
            </w:r>
          </w:p>
        </w:tc>
        <w:tc>
          <w:tcPr>
            <w:tcW w:w="6911" w:type="dxa"/>
          </w:tcPr>
          <w:p w:rsidR="009E302C" w:rsidRPr="00FD119B" w:rsidRDefault="009E302C" w:rsidP="002A6CED">
            <w:pPr>
              <w:ind w:left="176" w:right="0"/>
              <w:rPr>
                <w:color w:val="auto"/>
                <w:szCs w:val="22"/>
                <w:lang w:eastAsia="en-US"/>
              </w:rPr>
            </w:pPr>
            <w:r>
              <w:rPr>
                <w:color w:val="auto"/>
                <w:szCs w:val="22"/>
                <w:lang w:eastAsia="en-US"/>
              </w:rPr>
              <w:t xml:space="preserve">per </w:t>
            </w:r>
            <w:proofErr w:type="spellStart"/>
            <w:r>
              <w:rPr>
                <w:color w:val="auto"/>
                <w:szCs w:val="22"/>
                <w:lang w:eastAsia="en-US"/>
              </w:rPr>
              <w:t>os</w:t>
            </w:r>
            <w:proofErr w:type="spellEnd"/>
            <w:r>
              <w:rPr>
                <w:color w:val="auto"/>
                <w:szCs w:val="22"/>
                <w:lang w:eastAsia="en-US"/>
              </w:rPr>
              <w:t xml:space="preserve"> (oral)</w:t>
            </w:r>
          </w:p>
        </w:tc>
      </w:tr>
      <w:tr w:rsidR="009E302C" w:rsidRPr="00FD119B" w:rsidTr="002A6CED">
        <w:tc>
          <w:tcPr>
            <w:tcW w:w="1809" w:type="dxa"/>
          </w:tcPr>
          <w:p w:rsidR="009E302C" w:rsidRPr="00FD119B" w:rsidRDefault="009E302C" w:rsidP="002A6CED">
            <w:pPr>
              <w:ind w:left="142" w:right="0"/>
              <w:rPr>
                <w:color w:val="auto"/>
                <w:szCs w:val="22"/>
                <w:lang w:eastAsia="en-US"/>
              </w:rPr>
            </w:pPr>
            <w:r>
              <w:t>PR</w:t>
            </w:r>
          </w:p>
        </w:tc>
        <w:tc>
          <w:tcPr>
            <w:tcW w:w="6911" w:type="dxa"/>
          </w:tcPr>
          <w:p w:rsidR="009E302C" w:rsidRPr="00FD119B" w:rsidRDefault="009E302C" w:rsidP="002A6CED">
            <w:pPr>
              <w:ind w:left="176" w:right="0"/>
              <w:rPr>
                <w:color w:val="auto"/>
                <w:szCs w:val="22"/>
                <w:lang w:eastAsia="en-US"/>
              </w:rPr>
            </w:pPr>
            <w:r>
              <w:t>Partial Response</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QD</w:t>
            </w:r>
          </w:p>
        </w:tc>
        <w:tc>
          <w:tcPr>
            <w:tcW w:w="6911" w:type="dxa"/>
          </w:tcPr>
          <w:p w:rsidR="009E302C" w:rsidRPr="00FD119B" w:rsidRDefault="009E302C" w:rsidP="002A6CED">
            <w:pPr>
              <w:ind w:left="176" w:right="0"/>
              <w:rPr>
                <w:color w:val="auto"/>
                <w:szCs w:val="22"/>
                <w:lang w:eastAsia="en-US"/>
              </w:rPr>
            </w:pPr>
            <w:proofErr w:type="spellStart"/>
            <w:r w:rsidRPr="005A7206">
              <w:rPr>
                <w:color w:val="auto"/>
                <w:szCs w:val="22"/>
                <w:lang w:eastAsia="en-US"/>
              </w:rPr>
              <w:t>quaque</w:t>
            </w:r>
            <w:proofErr w:type="spellEnd"/>
            <w:r w:rsidRPr="005A7206">
              <w:rPr>
                <w:color w:val="auto"/>
                <w:szCs w:val="22"/>
                <w:lang w:eastAsia="en-US"/>
              </w:rPr>
              <w:t xml:space="preserve"> die</w:t>
            </w:r>
            <w:r>
              <w:rPr>
                <w:color w:val="auto"/>
                <w:szCs w:val="22"/>
                <w:lang w:eastAsia="en-US"/>
              </w:rPr>
              <w:t xml:space="preserve"> (once daily)</w:t>
            </w:r>
          </w:p>
        </w:tc>
      </w:tr>
      <w:tr w:rsidR="009E302C" w:rsidRPr="00FD119B" w:rsidTr="002A6CED">
        <w:tc>
          <w:tcPr>
            <w:tcW w:w="1809" w:type="dxa"/>
          </w:tcPr>
          <w:p w:rsidR="009E302C" w:rsidRPr="00FD119B" w:rsidRDefault="009E302C" w:rsidP="002A6CED">
            <w:pPr>
              <w:ind w:left="142" w:right="0"/>
              <w:rPr>
                <w:color w:val="auto"/>
                <w:szCs w:val="22"/>
                <w:lang w:eastAsia="en-US"/>
              </w:rPr>
            </w:pPr>
            <w:proofErr w:type="spellStart"/>
            <w:r>
              <w:rPr>
                <w:color w:val="auto"/>
                <w:szCs w:val="22"/>
                <w:lang w:eastAsia="en-US"/>
              </w:rPr>
              <w:t>QoL</w:t>
            </w:r>
            <w:proofErr w:type="spellEnd"/>
          </w:p>
        </w:tc>
        <w:tc>
          <w:tcPr>
            <w:tcW w:w="6911" w:type="dxa"/>
          </w:tcPr>
          <w:p w:rsidR="009E302C" w:rsidRPr="00FD119B" w:rsidRDefault="009E302C" w:rsidP="002A6CED">
            <w:pPr>
              <w:ind w:left="176" w:right="0"/>
              <w:rPr>
                <w:color w:val="auto"/>
                <w:szCs w:val="22"/>
                <w:lang w:eastAsia="en-US"/>
              </w:rPr>
            </w:pPr>
            <w:r>
              <w:rPr>
                <w:color w:val="auto"/>
                <w:szCs w:val="22"/>
                <w:lang w:eastAsia="en-US"/>
              </w:rPr>
              <w:t>quality of life</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RAI</w:t>
            </w:r>
          </w:p>
        </w:tc>
        <w:tc>
          <w:tcPr>
            <w:tcW w:w="6911" w:type="dxa"/>
          </w:tcPr>
          <w:p w:rsidR="009E302C" w:rsidRPr="000D4FDD" w:rsidRDefault="009E302C" w:rsidP="002A6CED">
            <w:pPr>
              <w:ind w:left="176" w:right="0"/>
              <w:rPr>
                <w:color w:val="auto"/>
                <w:szCs w:val="22"/>
                <w:lang w:eastAsia="en-US"/>
              </w:rPr>
            </w:pPr>
            <w:r w:rsidRPr="000D4FDD">
              <w:t>radioactive iodine</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RMP</w:t>
            </w:r>
          </w:p>
        </w:tc>
        <w:tc>
          <w:tcPr>
            <w:tcW w:w="6911" w:type="dxa"/>
          </w:tcPr>
          <w:p w:rsidR="009E302C" w:rsidRPr="00FD119B" w:rsidRDefault="009E302C" w:rsidP="002A6CED">
            <w:pPr>
              <w:ind w:left="176" w:right="0"/>
              <w:rPr>
                <w:color w:val="auto"/>
                <w:szCs w:val="22"/>
                <w:lang w:eastAsia="en-US"/>
              </w:rPr>
            </w:pPr>
            <w:r w:rsidRPr="00E70B46">
              <w:t>Risk Management Plan</w:t>
            </w:r>
          </w:p>
        </w:tc>
      </w:tr>
      <w:tr w:rsidR="009E302C" w:rsidRPr="00FD119B" w:rsidTr="002A6CED">
        <w:tc>
          <w:tcPr>
            <w:tcW w:w="1809" w:type="dxa"/>
          </w:tcPr>
          <w:p w:rsidR="009E302C" w:rsidRPr="00FD119B" w:rsidRDefault="009E302C" w:rsidP="002A6CED">
            <w:pPr>
              <w:ind w:left="142" w:right="0"/>
              <w:rPr>
                <w:color w:val="auto"/>
                <w:szCs w:val="22"/>
                <w:lang w:eastAsia="en-US"/>
              </w:rPr>
            </w:pPr>
            <w:r>
              <w:t>R</w:t>
            </w:r>
            <w:r w:rsidRPr="005C6BEE">
              <w:t>PSFT</w:t>
            </w:r>
          </w:p>
        </w:tc>
        <w:tc>
          <w:tcPr>
            <w:tcW w:w="6911" w:type="dxa"/>
          </w:tcPr>
          <w:p w:rsidR="009E302C" w:rsidRPr="00FD119B" w:rsidRDefault="009E302C" w:rsidP="002A6CED">
            <w:pPr>
              <w:ind w:left="176" w:right="0"/>
              <w:rPr>
                <w:color w:val="auto"/>
                <w:szCs w:val="22"/>
                <w:lang w:eastAsia="en-US"/>
              </w:rPr>
            </w:pPr>
            <w:r w:rsidRPr="005C6BEE">
              <w:t>rank preservin</w:t>
            </w:r>
            <w:r>
              <w:t>g structural failure time</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RR</w:t>
            </w:r>
          </w:p>
        </w:tc>
        <w:tc>
          <w:tcPr>
            <w:tcW w:w="6911" w:type="dxa"/>
          </w:tcPr>
          <w:p w:rsidR="009E302C" w:rsidRPr="00FD119B" w:rsidRDefault="009E302C" w:rsidP="002A6CED">
            <w:pPr>
              <w:ind w:left="176" w:right="0"/>
              <w:rPr>
                <w:color w:val="auto"/>
                <w:szCs w:val="22"/>
                <w:lang w:eastAsia="en-US"/>
              </w:rPr>
            </w:pPr>
            <w:r w:rsidRPr="00642917">
              <w:t>radio</w:t>
            </w:r>
            <w:r>
              <w:t>iodine refractory</w:t>
            </w:r>
          </w:p>
        </w:tc>
      </w:tr>
      <w:tr w:rsidR="009E302C" w:rsidRPr="00FD119B" w:rsidTr="002A6CED">
        <w:tc>
          <w:tcPr>
            <w:tcW w:w="1809" w:type="dxa"/>
          </w:tcPr>
          <w:p w:rsidR="009E302C" w:rsidRPr="00FD119B" w:rsidRDefault="009E302C" w:rsidP="002A6CED">
            <w:pPr>
              <w:ind w:left="142" w:right="0"/>
              <w:rPr>
                <w:color w:val="auto"/>
                <w:szCs w:val="22"/>
                <w:lang w:eastAsia="en-US"/>
              </w:rPr>
            </w:pPr>
            <w:r>
              <w:t>SD</w:t>
            </w:r>
          </w:p>
        </w:tc>
        <w:tc>
          <w:tcPr>
            <w:tcW w:w="6911" w:type="dxa"/>
          </w:tcPr>
          <w:p w:rsidR="009E302C" w:rsidRPr="00FD119B" w:rsidRDefault="009E302C" w:rsidP="002A6CED">
            <w:pPr>
              <w:ind w:left="176" w:right="0"/>
              <w:rPr>
                <w:color w:val="auto"/>
                <w:szCs w:val="22"/>
                <w:lang w:eastAsia="en-US"/>
              </w:rPr>
            </w:pPr>
            <w:r>
              <w:t>Stable Disease</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SmPC</w:t>
            </w:r>
          </w:p>
        </w:tc>
        <w:tc>
          <w:tcPr>
            <w:tcW w:w="6911" w:type="dxa"/>
          </w:tcPr>
          <w:p w:rsidR="009E302C" w:rsidRPr="00FD119B" w:rsidRDefault="009E302C" w:rsidP="002A6CED">
            <w:pPr>
              <w:ind w:left="176" w:right="0"/>
              <w:rPr>
                <w:color w:val="auto"/>
                <w:szCs w:val="22"/>
                <w:lang w:eastAsia="en-US"/>
              </w:rPr>
            </w:pPr>
            <w:r w:rsidRPr="000D4FDD">
              <w:t>Summary of Product Characteristics</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TEAE</w:t>
            </w:r>
          </w:p>
        </w:tc>
        <w:tc>
          <w:tcPr>
            <w:tcW w:w="6911" w:type="dxa"/>
          </w:tcPr>
          <w:p w:rsidR="009E302C" w:rsidRPr="00FD119B" w:rsidRDefault="009E302C" w:rsidP="002A6CED">
            <w:pPr>
              <w:ind w:left="176" w:right="0"/>
              <w:rPr>
                <w:color w:val="auto"/>
                <w:szCs w:val="22"/>
                <w:lang w:eastAsia="en-US"/>
              </w:rPr>
            </w:pPr>
            <w:r w:rsidRPr="002F04A7">
              <w:t>t</w:t>
            </w:r>
            <w:r>
              <w:t>reatment emergent adverse event</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TKI</w:t>
            </w:r>
          </w:p>
        </w:tc>
        <w:tc>
          <w:tcPr>
            <w:tcW w:w="6911" w:type="dxa"/>
          </w:tcPr>
          <w:p w:rsidR="009E302C" w:rsidRPr="00FD119B" w:rsidRDefault="009E302C" w:rsidP="002A6CED">
            <w:pPr>
              <w:ind w:left="176" w:right="0"/>
              <w:rPr>
                <w:color w:val="auto"/>
                <w:szCs w:val="22"/>
                <w:lang w:eastAsia="en-US"/>
              </w:rPr>
            </w:pPr>
            <w:r w:rsidRPr="00AF76AD">
              <w:t>tyrosine kinas</w:t>
            </w:r>
            <w:r>
              <w:t>e inhibitor</w:t>
            </w:r>
          </w:p>
        </w:tc>
      </w:tr>
      <w:tr w:rsidR="009E302C" w:rsidRPr="00FD119B" w:rsidTr="002A6CED">
        <w:tc>
          <w:tcPr>
            <w:tcW w:w="1809" w:type="dxa"/>
          </w:tcPr>
          <w:p w:rsidR="009E302C" w:rsidRPr="00FD119B" w:rsidRDefault="009E302C" w:rsidP="002A6CED">
            <w:pPr>
              <w:ind w:left="142" w:right="0"/>
              <w:rPr>
                <w:color w:val="auto"/>
                <w:szCs w:val="22"/>
                <w:lang w:eastAsia="en-US"/>
              </w:rPr>
            </w:pPr>
            <w:proofErr w:type="spellStart"/>
            <w:r>
              <w:t>T</w:t>
            </w:r>
            <w:r w:rsidRPr="004F6826">
              <w:t>max</w:t>
            </w:r>
            <w:proofErr w:type="spellEnd"/>
          </w:p>
        </w:tc>
        <w:tc>
          <w:tcPr>
            <w:tcW w:w="6911" w:type="dxa"/>
          </w:tcPr>
          <w:p w:rsidR="009E302C" w:rsidRPr="00FD119B" w:rsidRDefault="009E302C" w:rsidP="002A6CED">
            <w:pPr>
              <w:ind w:left="176" w:right="0"/>
              <w:rPr>
                <w:color w:val="auto"/>
                <w:szCs w:val="22"/>
                <w:lang w:eastAsia="en-US"/>
              </w:rPr>
            </w:pPr>
            <w:r>
              <w:rPr>
                <w:color w:val="auto"/>
                <w:szCs w:val="22"/>
                <w:lang w:eastAsia="en-US"/>
              </w:rPr>
              <w:t>T</w:t>
            </w:r>
            <w:r w:rsidRPr="00C81A01">
              <w:rPr>
                <w:color w:val="auto"/>
                <w:szCs w:val="22"/>
                <w:lang w:eastAsia="en-US"/>
              </w:rPr>
              <w:t>ime taken to reach the maximum concentration</w:t>
            </w:r>
            <w:r>
              <w:rPr>
                <w:color w:val="auto"/>
                <w:szCs w:val="22"/>
                <w:lang w:eastAsia="en-US"/>
              </w:rPr>
              <w:t xml:space="preserve"> (</w:t>
            </w:r>
            <w:proofErr w:type="spellStart"/>
            <w:r>
              <w:rPr>
                <w:color w:val="auto"/>
                <w:szCs w:val="22"/>
                <w:lang w:eastAsia="en-US"/>
              </w:rPr>
              <w:t>Cmax</w:t>
            </w:r>
            <w:proofErr w:type="spellEnd"/>
            <w:r>
              <w:rPr>
                <w:color w:val="auto"/>
                <w:szCs w:val="22"/>
                <w:lang w:eastAsia="en-US"/>
              </w:rPr>
              <w:t>)</w:t>
            </w:r>
          </w:p>
        </w:tc>
      </w:tr>
      <w:tr w:rsidR="009E302C" w:rsidRPr="00FD119B" w:rsidTr="002A6CED">
        <w:tc>
          <w:tcPr>
            <w:tcW w:w="1809" w:type="dxa"/>
          </w:tcPr>
          <w:p w:rsidR="009E302C" w:rsidRPr="00FD119B" w:rsidRDefault="009E302C" w:rsidP="002A6CED">
            <w:pPr>
              <w:ind w:left="142" w:right="0"/>
              <w:rPr>
                <w:color w:val="auto"/>
                <w:szCs w:val="22"/>
                <w:lang w:eastAsia="en-US"/>
              </w:rPr>
            </w:pPr>
            <w:r>
              <w:rPr>
                <w:color w:val="auto"/>
                <w:szCs w:val="22"/>
                <w:lang w:eastAsia="en-US"/>
              </w:rPr>
              <w:t>TSH</w:t>
            </w:r>
          </w:p>
        </w:tc>
        <w:tc>
          <w:tcPr>
            <w:tcW w:w="6911" w:type="dxa"/>
          </w:tcPr>
          <w:p w:rsidR="009E302C" w:rsidRPr="00FD119B" w:rsidRDefault="009E302C" w:rsidP="002A6CED">
            <w:pPr>
              <w:ind w:left="176" w:right="0"/>
              <w:rPr>
                <w:color w:val="auto"/>
                <w:szCs w:val="22"/>
                <w:lang w:eastAsia="en-US"/>
              </w:rPr>
            </w:pPr>
            <w:r w:rsidRPr="004F4AFB">
              <w:t>thyroid</w:t>
            </w:r>
            <w:r>
              <w:t xml:space="preserve"> </w:t>
            </w:r>
            <w:r w:rsidRPr="004F4AFB">
              <w:t>stimulating hormone</w:t>
            </w:r>
          </w:p>
        </w:tc>
      </w:tr>
      <w:tr w:rsidR="005A6C65" w:rsidRPr="00FD119B" w:rsidTr="00036BB6">
        <w:tc>
          <w:tcPr>
            <w:tcW w:w="1809" w:type="dxa"/>
          </w:tcPr>
          <w:p w:rsidR="005A6C65" w:rsidRPr="00FD119B" w:rsidRDefault="00930EE3" w:rsidP="00036BB6">
            <w:pPr>
              <w:ind w:left="142" w:right="0"/>
              <w:rPr>
                <w:color w:val="auto"/>
                <w:szCs w:val="22"/>
                <w:lang w:eastAsia="en-US"/>
              </w:rPr>
            </w:pPr>
            <w:r>
              <w:rPr>
                <w:color w:val="auto"/>
                <w:szCs w:val="22"/>
                <w:lang w:eastAsia="en-US"/>
              </w:rPr>
              <w:t>VEGF</w:t>
            </w:r>
          </w:p>
        </w:tc>
        <w:tc>
          <w:tcPr>
            <w:tcW w:w="6911" w:type="dxa"/>
          </w:tcPr>
          <w:p w:rsidR="005A6C65" w:rsidRPr="00FD119B" w:rsidRDefault="00930EE3" w:rsidP="00036BB6">
            <w:pPr>
              <w:ind w:left="176" w:right="0"/>
              <w:rPr>
                <w:color w:val="auto"/>
                <w:szCs w:val="22"/>
                <w:lang w:eastAsia="en-US"/>
              </w:rPr>
            </w:pPr>
            <w:r w:rsidRPr="00C844A2">
              <w:t>vascular endothelial growth factor</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3" w:name="_Toc461092026"/>
      <w:r>
        <w:lastRenderedPageBreak/>
        <w:t>I.</w:t>
      </w:r>
      <w:r w:rsidR="008E7846">
        <w:t xml:space="preserve"> Introduction to product submission</w:t>
      </w:r>
      <w:bookmarkEnd w:id="4"/>
      <w:bookmarkEnd w:id="7"/>
      <w:bookmarkEnd w:id="13"/>
    </w:p>
    <w:p w:rsidR="008E7846" w:rsidRDefault="008E7846" w:rsidP="008E7846">
      <w:pPr>
        <w:pStyle w:val="Heading3"/>
        <w:rPr>
          <w:lang w:eastAsia="en-AU"/>
        </w:rPr>
      </w:pPr>
      <w:bookmarkStart w:id="14" w:name="_Toc247691502"/>
      <w:bookmarkStart w:id="15" w:name="_Toc314842483"/>
      <w:bookmarkStart w:id="16" w:name="_Toc461092027"/>
      <w:r>
        <w:rPr>
          <w:lang w:eastAsia="en-AU"/>
        </w:rPr>
        <w:t>Submission details</w:t>
      </w:r>
      <w:bookmarkEnd w:id="14"/>
      <w:bookmarkEnd w:id="15"/>
      <w:bookmarkEnd w:id="16"/>
    </w:p>
    <w:tbl>
      <w:tblPr>
        <w:tblW w:w="9214" w:type="dxa"/>
        <w:tblInd w:w="108" w:type="dxa"/>
        <w:tblLook w:val="01E0" w:firstRow="1" w:lastRow="1" w:firstColumn="1" w:lastColumn="1" w:noHBand="0" w:noVBand="0"/>
      </w:tblPr>
      <w:tblGrid>
        <w:gridCol w:w="2907"/>
        <w:gridCol w:w="6307"/>
      </w:tblGrid>
      <w:tr w:rsidR="008E7846" w:rsidRPr="003D1E62" w:rsidTr="00772CC0">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E7846" w:rsidP="001B5C90">
            <w:r w:rsidRPr="003D1E62">
              <w:t xml:space="preserve">New </w:t>
            </w:r>
            <w:r w:rsidR="001B5C90">
              <w:t>c</w:t>
            </w:r>
            <w:r w:rsidRPr="003D1E62">
              <w:t xml:space="preserve">hemical </w:t>
            </w:r>
            <w:r w:rsidR="001B5C90">
              <w:t>e</w:t>
            </w:r>
            <w:r w:rsidR="00C2738C">
              <w:t>ntity</w:t>
            </w:r>
          </w:p>
        </w:tc>
      </w:tr>
      <w:tr w:rsidR="008E7846" w:rsidRPr="003D1E62" w:rsidTr="00772CC0">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C2738C" w:rsidP="00C2738C">
            <w:r>
              <w:t>Approved</w:t>
            </w:r>
          </w:p>
        </w:tc>
      </w:tr>
      <w:tr w:rsidR="008E7846" w:rsidRPr="003D1E62" w:rsidTr="00772CC0">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C2738C" w:rsidP="00C2738C">
            <w:r>
              <w:t>21 January 2016</w:t>
            </w:r>
          </w:p>
        </w:tc>
      </w:tr>
      <w:tr w:rsidR="00ED2922" w:rsidRPr="003D1E62" w:rsidTr="00772CC0">
        <w:trPr>
          <w:trHeight w:hRule="exact" w:val="454"/>
        </w:trPr>
        <w:tc>
          <w:tcPr>
            <w:tcW w:w="2907" w:type="dxa"/>
          </w:tcPr>
          <w:p w:rsidR="00ED2922" w:rsidRPr="00441C3F" w:rsidRDefault="00ED2922" w:rsidP="001B5C90">
            <w:pPr>
              <w:rPr>
                <w:i/>
              </w:rPr>
            </w:pPr>
            <w:r w:rsidRPr="00441C3F">
              <w:rPr>
                <w:i/>
              </w:rPr>
              <w:t>Date of entry onto ARTG</w:t>
            </w:r>
          </w:p>
        </w:tc>
        <w:tc>
          <w:tcPr>
            <w:tcW w:w="6307" w:type="dxa"/>
          </w:tcPr>
          <w:p w:rsidR="00ED2922" w:rsidRPr="00441C3F" w:rsidRDefault="008B22EE" w:rsidP="00EC463D">
            <w:pPr>
              <w:rPr>
                <w:i/>
              </w:rPr>
            </w:pPr>
            <w:r>
              <w:t>28 January 2016</w:t>
            </w:r>
          </w:p>
        </w:tc>
      </w:tr>
      <w:tr w:rsidR="008E7846" w:rsidRPr="00487162" w:rsidTr="00772CC0">
        <w:tc>
          <w:tcPr>
            <w:tcW w:w="2907" w:type="dxa"/>
          </w:tcPr>
          <w:p w:rsidR="008E7846" w:rsidRPr="00487162" w:rsidRDefault="00DF5557" w:rsidP="00E45619">
            <w:pPr>
              <w:rPr>
                <w:i/>
              </w:rPr>
            </w:pPr>
            <w:r>
              <w:rPr>
                <w:i/>
              </w:rPr>
              <w:t>Active ingredient</w:t>
            </w:r>
            <w:r w:rsidR="001B5C90">
              <w:rPr>
                <w:i/>
              </w:rPr>
              <w:t>:</w:t>
            </w:r>
          </w:p>
        </w:tc>
        <w:tc>
          <w:tcPr>
            <w:tcW w:w="6307" w:type="dxa"/>
          </w:tcPr>
          <w:p w:rsidR="008E7846" w:rsidRPr="00487162" w:rsidRDefault="00DF5557" w:rsidP="00E45619">
            <w:r>
              <w:t>L</w:t>
            </w:r>
            <w:r w:rsidRPr="00DF5557">
              <w:t>envatinib mesilate</w:t>
            </w:r>
          </w:p>
        </w:tc>
      </w:tr>
      <w:tr w:rsidR="008E7846" w:rsidRPr="00487162" w:rsidTr="00772CC0">
        <w:tc>
          <w:tcPr>
            <w:tcW w:w="2907" w:type="dxa"/>
          </w:tcPr>
          <w:p w:rsidR="008E7846" w:rsidRPr="00487162" w:rsidRDefault="008E7846" w:rsidP="001B5C90">
            <w:pPr>
              <w:rPr>
                <w:i/>
              </w:rPr>
            </w:pPr>
            <w:r w:rsidRPr="00487162">
              <w:rPr>
                <w:i/>
              </w:rPr>
              <w:t>Product</w:t>
            </w:r>
            <w:r w:rsidR="00DF5557">
              <w:rPr>
                <w:i/>
              </w:rPr>
              <w:t xml:space="preserve"> name</w:t>
            </w:r>
            <w:r w:rsidR="001B5C90">
              <w:rPr>
                <w:i/>
              </w:rPr>
              <w:t>:</w:t>
            </w:r>
          </w:p>
        </w:tc>
        <w:tc>
          <w:tcPr>
            <w:tcW w:w="6307" w:type="dxa"/>
          </w:tcPr>
          <w:p w:rsidR="008E7846" w:rsidRPr="00487162" w:rsidRDefault="00BD1364" w:rsidP="00E45619">
            <w:r>
              <w:t>Lenvima</w:t>
            </w:r>
          </w:p>
        </w:tc>
      </w:tr>
      <w:tr w:rsidR="008E7846" w:rsidRPr="00487162" w:rsidTr="00772CC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6A3977" w:rsidRDefault="006A3977" w:rsidP="002469BB">
            <w:r>
              <w:t>Eisai Australia</w:t>
            </w:r>
          </w:p>
          <w:p w:rsidR="006A3977" w:rsidRDefault="006A3977" w:rsidP="006A3977">
            <w:r>
              <w:t>PO Box 33004</w:t>
            </w:r>
          </w:p>
          <w:p w:rsidR="008E7846" w:rsidRPr="00487162" w:rsidRDefault="006A3977" w:rsidP="006A3977">
            <w:r w:rsidRPr="006A3977">
              <w:t xml:space="preserve">Melbourne </w:t>
            </w:r>
            <w:r>
              <w:t>VIC</w:t>
            </w:r>
            <w:r w:rsidRPr="006A3977">
              <w:t xml:space="preserve"> 3004</w:t>
            </w:r>
          </w:p>
        </w:tc>
      </w:tr>
      <w:tr w:rsidR="008E7846" w:rsidRPr="00487162" w:rsidTr="00772CC0">
        <w:tc>
          <w:tcPr>
            <w:tcW w:w="2907" w:type="dxa"/>
          </w:tcPr>
          <w:p w:rsidR="008E7846" w:rsidRPr="00487162" w:rsidRDefault="00E97666" w:rsidP="00E45619">
            <w:pPr>
              <w:rPr>
                <w:i/>
              </w:rPr>
            </w:pPr>
            <w:r>
              <w:rPr>
                <w:i/>
              </w:rPr>
              <w:t>Dose forms</w:t>
            </w:r>
            <w:r w:rsidR="001B5C90">
              <w:rPr>
                <w:i/>
              </w:rPr>
              <w:t>:</w:t>
            </w:r>
          </w:p>
        </w:tc>
        <w:tc>
          <w:tcPr>
            <w:tcW w:w="6307" w:type="dxa"/>
          </w:tcPr>
          <w:p w:rsidR="008E7846" w:rsidRPr="00487162" w:rsidRDefault="00E97666" w:rsidP="00E45619">
            <w:r>
              <w:t>Hard capsules</w:t>
            </w:r>
          </w:p>
        </w:tc>
      </w:tr>
      <w:tr w:rsidR="008E7846" w:rsidRPr="00487162" w:rsidTr="00772CC0">
        <w:tc>
          <w:tcPr>
            <w:tcW w:w="2907" w:type="dxa"/>
          </w:tcPr>
          <w:p w:rsidR="008E7846" w:rsidRPr="00487162" w:rsidRDefault="00E97666" w:rsidP="00E45619">
            <w:pPr>
              <w:rPr>
                <w:i/>
              </w:rPr>
            </w:pPr>
            <w:r>
              <w:rPr>
                <w:i/>
              </w:rPr>
              <w:t>Strength</w:t>
            </w:r>
            <w:r w:rsidR="008E7846" w:rsidRPr="00487162">
              <w:rPr>
                <w:i/>
              </w:rPr>
              <w:t xml:space="preserve">s: </w:t>
            </w:r>
          </w:p>
        </w:tc>
        <w:tc>
          <w:tcPr>
            <w:tcW w:w="6307" w:type="dxa"/>
          </w:tcPr>
          <w:p w:rsidR="008E7846" w:rsidRPr="00487162" w:rsidRDefault="00E97666" w:rsidP="00E45619">
            <w:r>
              <w:t>4 mg, 10 mg</w:t>
            </w:r>
          </w:p>
        </w:tc>
      </w:tr>
      <w:tr w:rsidR="008E7846" w:rsidRPr="00487162" w:rsidTr="00772CC0">
        <w:tc>
          <w:tcPr>
            <w:tcW w:w="2907" w:type="dxa"/>
          </w:tcPr>
          <w:p w:rsidR="008E7846" w:rsidRPr="00487162" w:rsidRDefault="00E97666" w:rsidP="00E45619">
            <w:pPr>
              <w:rPr>
                <w:i/>
              </w:rPr>
            </w:pPr>
            <w:r>
              <w:rPr>
                <w:i/>
              </w:rPr>
              <w:t>Container</w:t>
            </w:r>
            <w:r w:rsidR="008E7846" w:rsidRPr="00487162">
              <w:rPr>
                <w:i/>
              </w:rPr>
              <w:t>:</w:t>
            </w:r>
          </w:p>
        </w:tc>
        <w:tc>
          <w:tcPr>
            <w:tcW w:w="6307" w:type="dxa"/>
          </w:tcPr>
          <w:p w:rsidR="008E7846" w:rsidRPr="00487162" w:rsidRDefault="00AE716C" w:rsidP="00E45619">
            <w:r w:rsidRPr="00AE716C">
              <w:t>Blister Pack</w:t>
            </w:r>
            <w:r>
              <w:t>, PA/Al/PVC/Al (p</w:t>
            </w:r>
            <w:r w:rsidRPr="00AE716C">
              <w:t>olyamide-alum</w:t>
            </w:r>
            <w:r>
              <w:t>inium foil-polyvinylchloride/al</w:t>
            </w:r>
            <w:r w:rsidRPr="00AE716C">
              <w:t>uminium foil</w:t>
            </w:r>
            <w:r>
              <w:t>)</w:t>
            </w:r>
          </w:p>
        </w:tc>
      </w:tr>
      <w:tr w:rsidR="008E7846" w:rsidRPr="00487162" w:rsidTr="00772CC0">
        <w:tc>
          <w:tcPr>
            <w:tcW w:w="2907" w:type="dxa"/>
          </w:tcPr>
          <w:p w:rsidR="008E7846" w:rsidRPr="00487162" w:rsidRDefault="00AE716C" w:rsidP="00E45619">
            <w:pPr>
              <w:rPr>
                <w:i/>
              </w:rPr>
            </w:pPr>
            <w:r>
              <w:rPr>
                <w:i/>
              </w:rPr>
              <w:t>Pack size</w:t>
            </w:r>
            <w:r w:rsidR="008E7846" w:rsidRPr="00487162">
              <w:rPr>
                <w:i/>
              </w:rPr>
              <w:t>:</w:t>
            </w:r>
          </w:p>
        </w:tc>
        <w:tc>
          <w:tcPr>
            <w:tcW w:w="6307" w:type="dxa"/>
          </w:tcPr>
          <w:p w:rsidR="008E7846" w:rsidRPr="00487162" w:rsidRDefault="00AE716C" w:rsidP="00E45619">
            <w:r>
              <w:t>30</w:t>
            </w:r>
          </w:p>
        </w:tc>
      </w:tr>
      <w:tr w:rsidR="008E7846" w:rsidRPr="00487162" w:rsidTr="00772CC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ED662A" w:rsidP="00E45619">
            <w:pPr>
              <w:rPr>
                <w:rFonts w:eastAsia="MS Mincho"/>
                <w:lang w:eastAsia="ja-JP"/>
              </w:rPr>
            </w:pPr>
            <w:r>
              <w:t>Lenvima</w:t>
            </w:r>
            <w:r w:rsidRPr="00ED662A">
              <w:t xml:space="preserve"> is indicated for the treatment of patients with progressive, locally advanced or metastatic, radioactive iodine refractory differentiated thyroid cancer.</w:t>
            </w:r>
          </w:p>
        </w:tc>
      </w:tr>
      <w:tr w:rsidR="008E7846" w:rsidRPr="00487162" w:rsidTr="00772CC0">
        <w:tc>
          <w:tcPr>
            <w:tcW w:w="2907" w:type="dxa"/>
          </w:tcPr>
          <w:p w:rsidR="008E7846" w:rsidRPr="00487162" w:rsidRDefault="00F732AE" w:rsidP="00E45619">
            <w:pPr>
              <w:rPr>
                <w:i/>
              </w:rPr>
            </w:pPr>
            <w:r>
              <w:rPr>
                <w:i/>
              </w:rPr>
              <w:t>Route</w:t>
            </w:r>
            <w:r w:rsidR="008E7846" w:rsidRPr="00487162">
              <w:rPr>
                <w:i/>
              </w:rPr>
              <w:t xml:space="preserve"> of administration:</w:t>
            </w:r>
          </w:p>
        </w:tc>
        <w:tc>
          <w:tcPr>
            <w:tcW w:w="6307" w:type="dxa"/>
          </w:tcPr>
          <w:p w:rsidR="008E7846" w:rsidRPr="00487162" w:rsidRDefault="00A95ACB" w:rsidP="00E45619">
            <w:r>
              <w:t>Oral</w:t>
            </w:r>
          </w:p>
        </w:tc>
      </w:tr>
      <w:tr w:rsidR="008E7846" w:rsidRPr="00487162" w:rsidTr="00772CC0">
        <w:tc>
          <w:tcPr>
            <w:tcW w:w="2907" w:type="dxa"/>
          </w:tcPr>
          <w:p w:rsidR="008E7846" w:rsidRPr="00487162" w:rsidRDefault="008E7846" w:rsidP="00E45619">
            <w:pPr>
              <w:rPr>
                <w:i/>
              </w:rPr>
            </w:pPr>
            <w:r w:rsidRPr="00487162">
              <w:rPr>
                <w:i/>
              </w:rPr>
              <w:t>Dosage:</w:t>
            </w:r>
          </w:p>
        </w:tc>
        <w:tc>
          <w:tcPr>
            <w:tcW w:w="6307" w:type="dxa"/>
          </w:tcPr>
          <w:p w:rsidR="008E7846" w:rsidRPr="00487162" w:rsidRDefault="00CF6424" w:rsidP="00E45619">
            <w:r>
              <w:t xml:space="preserve">Recommended 24 mg </w:t>
            </w:r>
            <w:r w:rsidR="003B4B83">
              <w:t xml:space="preserve">taken once </w:t>
            </w:r>
            <w:r>
              <w:t>daily</w:t>
            </w:r>
          </w:p>
        </w:tc>
      </w:tr>
      <w:tr w:rsidR="008E7846" w:rsidRPr="00487162" w:rsidTr="00772CC0">
        <w:tc>
          <w:tcPr>
            <w:tcW w:w="2907" w:type="dxa"/>
          </w:tcPr>
          <w:p w:rsidR="008E7846" w:rsidRPr="00487162" w:rsidRDefault="008E7846" w:rsidP="001B5C90">
            <w:pPr>
              <w:rPr>
                <w:i/>
              </w:rPr>
            </w:pPr>
            <w:r w:rsidRPr="00487162">
              <w:rPr>
                <w:i/>
              </w:rPr>
              <w:t xml:space="preserve">ARTG </w:t>
            </w:r>
            <w:r w:rsidR="001B5C90">
              <w:rPr>
                <w:i/>
              </w:rPr>
              <w:t>n</w:t>
            </w:r>
            <w:r w:rsidR="009A6C66">
              <w:rPr>
                <w:i/>
              </w:rPr>
              <w:t>umbers</w:t>
            </w:r>
            <w:r w:rsidR="001B5C90">
              <w:rPr>
                <w:i/>
              </w:rPr>
              <w:t>:</w:t>
            </w:r>
          </w:p>
        </w:tc>
        <w:tc>
          <w:tcPr>
            <w:tcW w:w="6307" w:type="dxa"/>
          </w:tcPr>
          <w:p w:rsidR="008E7846" w:rsidRPr="00487162" w:rsidRDefault="00457316" w:rsidP="00457316">
            <w:r w:rsidRPr="009A6C66">
              <w:t>233425</w:t>
            </w:r>
            <w:r>
              <w:t xml:space="preserve"> (4 mg), 233426 (10 mg)</w:t>
            </w:r>
          </w:p>
        </w:tc>
      </w:tr>
    </w:tbl>
    <w:p w:rsidR="008E7846" w:rsidRDefault="008E7846" w:rsidP="008E7846">
      <w:pPr>
        <w:pStyle w:val="Heading3"/>
      </w:pPr>
      <w:bookmarkStart w:id="17" w:name="_Toc247691503"/>
      <w:bookmarkStart w:id="18" w:name="_Toc314842484"/>
      <w:bookmarkStart w:id="19" w:name="_Toc461092028"/>
      <w:r>
        <w:t>Product background</w:t>
      </w:r>
      <w:bookmarkEnd w:id="17"/>
      <w:bookmarkEnd w:id="18"/>
      <w:bookmarkEnd w:id="19"/>
    </w:p>
    <w:p w:rsidR="0052079D" w:rsidRPr="00B33018" w:rsidRDefault="000B442F" w:rsidP="0052079D">
      <w:r w:rsidRPr="00642917">
        <w:t xml:space="preserve">This AusPAR describes the application to register </w:t>
      </w:r>
      <w:r w:rsidR="00C00492" w:rsidRPr="00642917">
        <w:t>l</w:t>
      </w:r>
      <w:r w:rsidR="007D1809" w:rsidRPr="00642917">
        <w:t>envatinib mesilate (trade name: Lenvima</w:t>
      </w:r>
      <w:r w:rsidR="004515C2" w:rsidRPr="00642917">
        <w:t>)</w:t>
      </w:r>
      <w:r w:rsidR="00C5556C" w:rsidRPr="00642917">
        <w:t xml:space="preserve"> </w:t>
      </w:r>
      <w:r w:rsidR="004515C2" w:rsidRPr="00642917">
        <w:t>for the treatment of patients with progressive, radioactive iodine refractory differentiated thyroid cancer</w:t>
      </w:r>
      <w:r w:rsidR="00C5556C" w:rsidRPr="00642917">
        <w:t xml:space="preserve"> (DTC).</w:t>
      </w:r>
      <w:r w:rsidR="00115764">
        <w:t xml:space="preserve"> </w:t>
      </w:r>
      <w:proofErr w:type="spellStart"/>
      <w:r w:rsidR="0052079D" w:rsidRPr="00B33018">
        <w:t>Commerical</w:t>
      </w:r>
      <w:proofErr w:type="spellEnd"/>
      <w:r w:rsidR="0052079D" w:rsidRPr="00B33018">
        <w:t xml:space="preserve"> Eyes Pty Ltd is the appointed agent for Eisai Australia Pty Ltd for this </w:t>
      </w:r>
      <w:r w:rsidR="0052079D">
        <w:t>application.</w:t>
      </w:r>
    </w:p>
    <w:p w:rsidR="00AA1FA6" w:rsidRPr="00D2657B" w:rsidRDefault="00C844A2" w:rsidP="00D2657B">
      <w:r w:rsidRPr="00C844A2">
        <w:t>Lenvatinib is a synthetic, orally available inhibitor of vascular endothelial g</w:t>
      </w:r>
      <w:r w:rsidR="0049788C">
        <w:t xml:space="preserve">rowth factor receptor </w:t>
      </w:r>
      <w:proofErr w:type="gramStart"/>
      <w:r w:rsidR="0049788C">
        <w:t>2 (VEGFR2</w:t>
      </w:r>
      <w:r w:rsidRPr="00C844A2">
        <w:t>)</w:t>
      </w:r>
      <w:r w:rsidR="0049788C">
        <w:rPr>
          <w:rStyle w:val="FootnoteReference"/>
        </w:rPr>
        <w:footnoteReference w:id="1"/>
      </w:r>
      <w:r w:rsidRPr="00C844A2">
        <w:t xml:space="preserve"> tyrosine kinase</w:t>
      </w:r>
      <w:proofErr w:type="gramEnd"/>
      <w:r w:rsidRPr="00C844A2">
        <w:t xml:space="preserve">. </w:t>
      </w:r>
      <w:r w:rsidR="00D2657B" w:rsidRPr="00D2657B">
        <w:t xml:space="preserve">Lenvatinib inhibits multiple tyrosine kinases, </w:t>
      </w:r>
      <w:r w:rsidR="00FE7BD0">
        <w:t>including VEGFR2. L</w:t>
      </w:r>
      <w:r w:rsidR="00D2657B" w:rsidRPr="00D2657B">
        <w:t>envatinib bl</w:t>
      </w:r>
      <w:r w:rsidR="00930EE3">
        <w:t>ocks VEGFR2 activation by VEGF; t</w:t>
      </w:r>
      <w:r w:rsidR="00BD0BEA" w:rsidRPr="00BD0BEA">
        <w:t xml:space="preserve">he rationale is that inhibiting of VEGFR2 activation by VEGF should reduce the VEGF receptor signal transduction pathway, </w:t>
      </w:r>
      <w:r w:rsidR="00930EE3">
        <w:t xml:space="preserve">which in turn </w:t>
      </w:r>
      <w:r w:rsidR="00BD0BEA" w:rsidRPr="00BD0BEA">
        <w:t>decrease</w:t>
      </w:r>
      <w:r w:rsidR="00930EE3">
        <w:t>s</w:t>
      </w:r>
      <w:r w:rsidR="00BD0BEA" w:rsidRPr="00BD0BEA">
        <w:t xml:space="preserve"> vascular endothelial cell migration and </w:t>
      </w:r>
      <w:r w:rsidR="00BD0BEA" w:rsidRPr="00BD0BEA">
        <w:lastRenderedPageBreak/>
        <w:t>proliferation, and enhance</w:t>
      </w:r>
      <w:r w:rsidR="00930EE3">
        <w:t>s</w:t>
      </w:r>
      <w:r w:rsidR="00BD0BEA" w:rsidRPr="00BD0BEA">
        <w:t xml:space="preserve"> vascular endothelial cell apoptosis</w:t>
      </w:r>
      <w:r>
        <w:t>.</w:t>
      </w:r>
      <w:r w:rsidR="00D2657B">
        <w:t xml:space="preserve"> </w:t>
      </w:r>
      <w:r w:rsidR="00AA1FA6" w:rsidRPr="00D2657B">
        <w:t xml:space="preserve">The precise mechanism of action is not known but </w:t>
      </w:r>
      <w:r w:rsidR="00772CC0" w:rsidRPr="00D2657B">
        <w:t>anti</w:t>
      </w:r>
      <w:r w:rsidR="00772CC0">
        <w:t>-</w:t>
      </w:r>
      <w:r w:rsidR="00772CC0" w:rsidRPr="00D2657B">
        <w:t>angiogenesis</w:t>
      </w:r>
      <w:r w:rsidR="00AA1FA6" w:rsidRPr="00D2657B">
        <w:t xml:space="preserve"> is likely to be prominent.</w:t>
      </w:r>
    </w:p>
    <w:p w:rsidR="00642917" w:rsidRPr="00642917" w:rsidRDefault="00642917" w:rsidP="00642917">
      <w:r w:rsidRPr="00642917">
        <w:t>Current treatment of choice for primar</w:t>
      </w:r>
      <w:r w:rsidR="009843E5">
        <w:t>y DTC is surgery, then usually I-131</w:t>
      </w:r>
      <w:r w:rsidRPr="00642917">
        <w:t xml:space="preserve"> a</w:t>
      </w:r>
      <w:r w:rsidR="00D5596F">
        <w:t xml:space="preserve">blation and thyroxine. </w:t>
      </w:r>
      <w:r w:rsidRPr="00642917">
        <w:t>About 5-20% of patients de</w:t>
      </w:r>
      <w:r w:rsidR="00D5596F">
        <w:t xml:space="preserve">velop </w:t>
      </w:r>
      <w:proofErr w:type="spellStart"/>
      <w:r w:rsidR="00D5596F">
        <w:t>locoregional</w:t>
      </w:r>
      <w:proofErr w:type="spellEnd"/>
      <w:r w:rsidR="00D5596F">
        <w:t xml:space="preserve"> recurrence. </w:t>
      </w:r>
      <w:r w:rsidRPr="00642917">
        <w:t>About 15% of patients either present with metastases or develop</w:t>
      </w:r>
      <w:r w:rsidR="00D5596F">
        <w:t xml:space="preserve"> them after initial treatment. </w:t>
      </w:r>
      <w:r w:rsidRPr="00642917">
        <w:t>A third of metastatic cancers lose the ability to concentrate iodine, and radioiodine treatment may be not as effective; these are ‘radioiodine refractory’ (RR) tumours.</w:t>
      </w:r>
      <w:r w:rsidR="00D5596F">
        <w:t xml:space="preserve"> </w:t>
      </w:r>
      <w:r w:rsidRPr="00642917">
        <w:t>Such tumours are more aggressive.</w:t>
      </w:r>
    </w:p>
    <w:p w:rsidR="00642917" w:rsidRPr="00642917" w:rsidRDefault="0013292F" w:rsidP="00642917">
      <w:r>
        <w:t>Tuttle</w:t>
      </w:r>
      <w:r w:rsidR="00642917" w:rsidRPr="00642917">
        <w:t xml:space="preserve"> notes that papillary and follicular cancers (the two subtypes of DTC</w:t>
      </w:r>
      <w:r w:rsidR="00642917" w:rsidRPr="00642917">
        <w:footnoteReference w:id="2"/>
      </w:r>
      <w:r w:rsidR="00642917" w:rsidRPr="00642917">
        <w:t>) are treated similarly, despite their biological differences</w:t>
      </w:r>
      <w:r>
        <w:t>.</w:t>
      </w:r>
      <w:r w:rsidR="00C0614C">
        <w:rPr>
          <w:rStyle w:val="FootnoteReference"/>
        </w:rPr>
        <w:footnoteReference w:id="3"/>
      </w:r>
      <w:r>
        <w:t xml:space="preserve"> </w:t>
      </w:r>
      <w:r w:rsidR="00642917" w:rsidRPr="00642917">
        <w:t>Prognosis also differs.</w:t>
      </w:r>
      <w:r w:rsidR="00846AF6">
        <w:t xml:space="preserve"> </w:t>
      </w:r>
      <w:r w:rsidR="00642917" w:rsidRPr="00642917">
        <w:t>Risk of recurrence after initial surgery can be gauged</w:t>
      </w:r>
      <w:r w:rsidR="00637170">
        <w:t xml:space="preserve">, for example, </w:t>
      </w:r>
      <w:r w:rsidR="00642917" w:rsidRPr="00642917">
        <w:t xml:space="preserve">with the </w:t>
      </w:r>
      <w:r w:rsidR="00637170" w:rsidRPr="00637170">
        <w:t xml:space="preserve">American Thyroid Association </w:t>
      </w:r>
      <w:r w:rsidR="00637170">
        <w:t>(</w:t>
      </w:r>
      <w:r w:rsidR="00642917" w:rsidRPr="00642917">
        <w:t>ATA</w:t>
      </w:r>
      <w:r w:rsidR="00637170">
        <w:t>)</w:t>
      </w:r>
      <w:r w:rsidR="00642917" w:rsidRPr="00642917">
        <w:t xml:space="preserve"> risk stratification tool.</w:t>
      </w:r>
    </w:p>
    <w:p w:rsidR="00642917" w:rsidRPr="00642917" w:rsidRDefault="00642917" w:rsidP="00642917">
      <w:r w:rsidRPr="00642917">
        <w:t>Tuttle outlines the use of radioiodine therapy post</w:t>
      </w:r>
      <w:r w:rsidR="00531F42">
        <w:t xml:space="preserve"> </w:t>
      </w:r>
      <w:r w:rsidRPr="00642917">
        <w:t>thyroidectomy for DTC: adjuvant ablation of residual thyroid tissue and possible microscopic residual cancer; imaging for possible metastatic disease; and treatment of known residual or metastatic cancer.</w:t>
      </w:r>
      <w:r w:rsidR="00846AF6">
        <w:t xml:space="preserve"> </w:t>
      </w:r>
      <w:r w:rsidR="00772CC0">
        <w:t>Post-</w:t>
      </w:r>
      <w:r w:rsidR="00772CC0" w:rsidRPr="00642917">
        <w:t>operative</w:t>
      </w:r>
      <w:r w:rsidRPr="00642917">
        <w:t xml:space="preserve"> radioiodine ablation is recommended by Tuttle for: known distant </w:t>
      </w:r>
      <w:r w:rsidR="00531F42" w:rsidRPr="00642917">
        <w:t>met</w:t>
      </w:r>
      <w:r w:rsidR="00531F42">
        <w:t>asta</w:t>
      </w:r>
      <w:r w:rsidR="00531F42" w:rsidRPr="00642917">
        <w:t>s</w:t>
      </w:r>
      <w:r w:rsidR="00531F42">
        <w:t>es</w:t>
      </w:r>
      <w:r w:rsidRPr="00642917">
        <w:t xml:space="preserve">; gross </w:t>
      </w:r>
      <w:proofErr w:type="spellStart"/>
      <w:r w:rsidRPr="00642917">
        <w:t>extrathyroidal</w:t>
      </w:r>
      <w:proofErr w:type="spellEnd"/>
      <w:r w:rsidRPr="00642917">
        <w:t xml:space="preserve"> extension; or primary tumour</w:t>
      </w:r>
      <w:r w:rsidR="002F3F87">
        <w:t xml:space="preserve">s &gt;4 cm. </w:t>
      </w:r>
      <w:r w:rsidRPr="00642917">
        <w:t>Sometimes it is used in patients with 1-4 cm tumours confined to the thyroid, if the</w:t>
      </w:r>
      <w:r w:rsidR="00D5596F">
        <w:t xml:space="preserve">re are high risk features (for example, </w:t>
      </w:r>
      <w:r w:rsidRPr="00642917">
        <w:t>lymph node met</w:t>
      </w:r>
      <w:r w:rsidR="00531F42">
        <w:t>asta</w:t>
      </w:r>
      <w:r w:rsidRPr="00642917">
        <w:t>s</w:t>
      </w:r>
      <w:r w:rsidR="00531F42">
        <w:t>es</w:t>
      </w:r>
      <w:r w:rsidRPr="00642917">
        <w:t>; vascular invasion; aggressive histology).</w:t>
      </w:r>
    </w:p>
    <w:p w:rsidR="00642917" w:rsidRPr="00642917" w:rsidRDefault="00642917" w:rsidP="00642917">
      <w:r w:rsidRPr="00642917">
        <w:t xml:space="preserve">Levothyroxine is used after initial thyroidectomy in patients to prevent hypothyroidism and to minimise potential </w:t>
      </w:r>
      <w:r w:rsidR="004F4AFB" w:rsidRPr="004F4AFB">
        <w:t>thyroid</w:t>
      </w:r>
      <w:r w:rsidR="004F4AFB">
        <w:t xml:space="preserve"> </w:t>
      </w:r>
      <w:r w:rsidR="004F4AFB" w:rsidRPr="004F4AFB">
        <w:t xml:space="preserve">stimulating hormone </w:t>
      </w:r>
      <w:r w:rsidR="004F4AFB">
        <w:t>(</w:t>
      </w:r>
      <w:r w:rsidRPr="00642917">
        <w:t>TSH</w:t>
      </w:r>
      <w:r w:rsidR="004F4AFB">
        <w:t>)</w:t>
      </w:r>
      <w:r w:rsidRPr="00642917">
        <w:t xml:space="preserve"> stimulation of tumour growth.</w:t>
      </w:r>
    </w:p>
    <w:p w:rsidR="00642917" w:rsidRPr="00642917" w:rsidRDefault="00642917" w:rsidP="00642917">
      <w:r w:rsidRPr="00642917">
        <w:t>External beam radiation may be useful in patients with metastatic DTC that is refractory to radioiodine or in patients whose tumours do not concentrate radioiodine.</w:t>
      </w:r>
    </w:p>
    <w:p w:rsidR="00642917" w:rsidRPr="00642917" w:rsidRDefault="00642917" w:rsidP="00642917">
      <w:r w:rsidRPr="00642917">
        <w:t xml:space="preserve">Management of persistent </w:t>
      </w:r>
      <w:r w:rsidR="00846AF6">
        <w:t>or recurrent disease (minimal versus</w:t>
      </w:r>
      <w:r w:rsidR="002F3F87">
        <w:t xml:space="preserve"> extensive) is also discussed. </w:t>
      </w:r>
      <w:r w:rsidRPr="00642917">
        <w:t xml:space="preserve">A subset of patients has radioiodine negative, serum thyroglobulin positive disease; of these, some with progressive </w:t>
      </w:r>
      <w:proofErr w:type="spellStart"/>
      <w:r w:rsidRPr="00642917">
        <w:t>macrometastatic</w:t>
      </w:r>
      <w:proofErr w:type="spellEnd"/>
      <w:r w:rsidRPr="00642917">
        <w:t xml:space="preserve"> disease unresponsive to radioiodine are considered (by Tuttle) for systemic therapy with tyrosine kinase inhibitors, or a clinical trial.</w:t>
      </w:r>
      <w:r w:rsidR="00670618">
        <w:t xml:space="preserve"> </w:t>
      </w:r>
      <w:r w:rsidRPr="00642917">
        <w:t xml:space="preserve">The role of bisphosphonates and </w:t>
      </w:r>
      <w:proofErr w:type="spellStart"/>
      <w:r w:rsidRPr="00642917">
        <w:t>denosumab</w:t>
      </w:r>
      <w:proofErr w:type="spellEnd"/>
      <w:r w:rsidRPr="00642917">
        <w:t xml:space="preserve"> in reducing skeletal related events is noted, for those with bone metastases.</w:t>
      </w:r>
    </w:p>
    <w:p w:rsidR="00670618" w:rsidRDefault="00540CAD" w:rsidP="00642917">
      <w:r>
        <w:t xml:space="preserve">Sherman </w:t>
      </w:r>
      <w:r w:rsidR="00642917" w:rsidRPr="00642917">
        <w:t xml:space="preserve">notes that </w:t>
      </w:r>
      <w:r w:rsidR="00AF76AD" w:rsidRPr="00AF76AD">
        <w:t xml:space="preserve">tyrosine kinase inhibitors </w:t>
      </w:r>
      <w:r w:rsidR="00AF76AD">
        <w:t>(</w:t>
      </w:r>
      <w:r w:rsidR="00642917" w:rsidRPr="00642917">
        <w:t>TKIs</w:t>
      </w:r>
      <w:r w:rsidR="00AF76AD">
        <w:t>)</w:t>
      </w:r>
      <w:r w:rsidR="00642917" w:rsidRPr="00642917">
        <w:t xml:space="preserve"> targeting angiogenesis in this context are </w:t>
      </w:r>
      <w:proofErr w:type="spellStart"/>
      <w:r w:rsidR="00642917" w:rsidRPr="00642917">
        <w:t>tumo</w:t>
      </w:r>
      <w:r w:rsidR="006B4376">
        <w:t>u</w:t>
      </w:r>
      <w:r w:rsidR="00642917" w:rsidRPr="00642917">
        <w:t>ristatic</w:t>
      </w:r>
      <w:proofErr w:type="spellEnd"/>
      <w:r w:rsidR="00642917" w:rsidRPr="00642917">
        <w:t xml:space="preserve"> and that improved overall surv</w:t>
      </w:r>
      <w:r w:rsidR="00670618">
        <w:t>ival has not been established:</w:t>
      </w:r>
    </w:p>
    <w:p w:rsidR="00642917" w:rsidRPr="00FF6E4A" w:rsidRDefault="00642917" w:rsidP="00FF6E4A">
      <w:pPr>
        <w:ind w:left="720"/>
        <w:rPr>
          <w:i/>
        </w:rPr>
      </w:pPr>
      <w:r w:rsidRPr="00FF6E4A">
        <w:rPr>
          <w:i/>
        </w:rPr>
        <w:t xml:space="preserve">In addition, these newer ‘targeted therapies’ have significant toxicities and, therefore, it is important to limit the use of systemic treatments to patients at significant risk for morbidity or mortality due to </w:t>
      </w:r>
      <w:r w:rsidR="00FF6E4A" w:rsidRPr="00FF6E4A">
        <w:rPr>
          <w:i/>
        </w:rPr>
        <w:t>progressive metastatic disease.</w:t>
      </w:r>
      <w:r w:rsidR="00540CAD">
        <w:rPr>
          <w:rStyle w:val="FootnoteReference"/>
          <w:i/>
        </w:rPr>
        <w:footnoteReference w:id="4"/>
      </w:r>
    </w:p>
    <w:p w:rsidR="00642917" w:rsidRDefault="00642917" w:rsidP="00642917">
      <w:r w:rsidRPr="00642917">
        <w:t>DTC can occur in children, and radiation exposure is a risk factor, but incidence is low and prognosis is better than in adults</w:t>
      </w:r>
      <w:r w:rsidR="001270BA">
        <w:t>.</w:t>
      </w:r>
      <w:r w:rsidR="001270BA">
        <w:rPr>
          <w:rStyle w:val="FootnoteReference"/>
        </w:rPr>
        <w:footnoteReference w:id="5"/>
      </w:r>
    </w:p>
    <w:p w:rsidR="002F3F87" w:rsidRDefault="002F3F87" w:rsidP="00642917">
      <w:r w:rsidRPr="002F3F87">
        <w:t>The submission proposes registration of lenvatinib 4</w:t>
      </w:r>
      <w:r>
        <w:t xml:space="preserve"> </w:t>
      </w:r>
      <w:r w:rsidRPr="002F3F87">
        <w:t>mg and 10</w:t>
      </w:r>
      <w:r>
        <w:t xml:space="preserve"> </w:t>
      </w:r>
      <w:r w:rsidRPr="002F3F87">
        <w:t>mg (as mesilate) hard capsule</w:t>
      </w:r>
      <w:r>
        <w:t>s.</w:t>
      </w:r>
      <w:r w:rsidR="00A64C69" w:rsidRPr="00A64C69">
        <w:t xml:space="preserve"> The recommended dose is 24 mg taken once daily. The daily dose is recommended to be titrated as needed according to the dose/toxicity management plan, which is specified in the </w:t>
      </w:r>
      <w:r w:rsidR="00A64C69">
        <w:t>s</w:t>
      </w:r>
      <w:r w:rsidR="00A64C69" w:rsidRPr="00A64C69">
        <w:t xml:space="preserve">ubmission. If a dose is missed and cannot be taken within 12 </w:t>
      </w:r>
      <w:r w:rsidR="00A64C69" w:rsidRPr="00A64C69">
        <w:lastRenderedPageBreak/>
        <w:t>hours, that dose should be skipped and the next dose taken at the usual time of administration. Treatment should continue as long as there is clinical benefit</w:t>
      </w:r>
      <w:r w:rsidR="00622750">
        <w:t>.</w:t>
      </w:r>
    </w:p>
    <w:p w:rsidR="00E321E6" w:rsidRDefault="00E321E6" w:rsidP="00E321E6">
      <w:pPr>
        <w:pStyle w:val="Heading4"/>
      </w:pPr>
      <w:r>
        <w:t>Orphan status</w:t>
      </w:r>
    </w:p>
    <w:p w:rsidR="00487F8C" w:rsidRDefault="00846B95" w:rsidP="00E321E6">
      <w:r w:rsidRPr="00E321E6">
        <w:t>Lenvatinib has the following or</w:t>
      </w:r>
      <w:r w:rsidR="00487F8C">
        <w:t>phan designation in Australia:</w:t>
      </w:r>
    </w:p>
    <w:p w:rsidR="00487F8C" w:rsidRPr="00487F8C" w:rsidRDefault="00846B95" w:rsidP="00487F8C">
      <w:pPr>
        <w:ind w:left="720"/>
        <w:rPr>
          <w:i/>
        </w:rPr>
      </w:pPr>
      <w:proofErr w:type="gramStart"/>
      <w:r w:rsidRPr="00487F8C">
        <w:rPr>
          <w:i/>
        </w:rPr>
        <w:t>treatment</w:t>
      </w:r>
      <w:proofErr w:type="gramEnd"/>
      <w:r w:rsidRPr="00487F8C">
        <w:rPr>
          <w:i/>
        </w:rPr>
        <w:t xml:space="preserve"> of patients with progressive, radioiodine-refractory differentiated thyroid ca</w:t>
      </w:r>
      <w:r w:rsidR="00487F8C" w:rsidRPr="00487F8C">
        <w:rPr>
          <w:i/>
        </w:rPr>
        <w:t>ncer</w:t>
      </w:r>
    </w:p>
    <w:p w:rsidR="00846B95" w:rsidRPr="00E321E6" w:rsidRDefault="00487F8C" w:rsidP="00E321E6">
      <w:r>
        <w:t>D</w:t>
      </w:r>
      <w:r w:rsidR="00E321E6">
        <w:t xml:space="preserve">esignation was on 27 November </w:t>
      </w:r>
      <w:r>
        <w:t>2014</w:t>
      </w:r>
      <w:r w:rsidR="00846B95" w:rsidRPr="00E321E6">
        <w:t>.</w:t>
      </w:r>
    </w:p>
    <w:p w:rsidR="00E321E6" w:rsidRDefault="00E321E6" w:rsidP="00C55811">
      <w:pPr>
        <w:pStyle w:val="Heading4"/>
      </w:pPr>
      <w:r>
        <w:t>Other registered products</w:t>
      </w:r>
    </w:p>
    <w:p w:rsidR="00846B95" w:rsidRPr="00C55811" w:rsidRDefault="00846B95" w:rsidP="00C55811">
      <w:r w:rsidRPr="00C55811">
        <w:t xml:space="preserve">There are few other medicines on the </w:t>
      </w:r>
      <w:r w:rsidR="00487F8C" w:rsidRPr="00487F8C">
        <w:t xml:space="preserve">Australian Register of Therapeutic Goods </w:t>
      </w:r>
      <w:r w:rsidR="00487F8C">
        <w:t>(</w:t>
      </w:r>
      <w:r w:rsidRPr="00C55811">
        <w:t>ARTG</w:t>
      </w:r>
      <w:r w:rsidR="00487F8C">
        <w:t>)</w:t>
      </w:r>
      <w:r w:rsidRPr="00C55811">
        <w:t xml:space="preserve"> with a formal indication to treat DTC.</w:t>
      </w:r>
      <w:r w:rsidR="00AD4923">
        <w:t xml:space="preserve"> </w:t>
      </w:r>
      <w:proofErr w:type="spellStart"/>
      <w:r w:rsidRPr="00C55811">
        <w:t>Sorafenib</w:t>
      </w:r>
      <w:proofErr w:type="spellEnd"/>
      <w:r w:rsidRPr="00C55811">
        <w:t xml:space="preserve"> is indicated as follows:</w:t>
      </w:r>
    </w:p>
    <w:p w:rsidR="00846B95" w:rsidRPr="00C55811" w:rsidRDefault="00846B95" w:rsidP="00C55811">
      <w:pPr>
        <w:ind w:left="720"/>
        <w:rPr>
          <w:i/>
        </w:rPr>
      </w:pPr>
      <w:proofErr w:type="spellStart"/>
      <w:r w:rsidRPr="00C55811">
        <w:rPr>
          <w:i/>
        </w:rPr>
        <w:t>N</w:t>
      </w:r>
      <w:r w:rsidR="00C55811">
        <w:rPr>
          <w:i/>
        </w:rPr>
        <w:t>exavar</w:t>
      </w:r>
      <w:proofErr w:type="spellEnd"/>
      <w:r w:rsidR="004E5645">
        <w:rPr>
          <w:i/>
        </w:rPr>
        <w:t xml:space="preserve"> </w:t>
      </w:r>
      <w:r w:rsidRPr="00C55811">
        <w:rPr>
          <w:i/>
        </w:rPr>
        <w:t>is indicated for the treatment of patients with locally advanced or metastatic, progressive, differentiated thyroid carcinoma refractory to radioactive iodine.</w:t>
      </w:r>
    </w:p>
    <w:p w:rsidR="00846B95" w:rsidRPr="004E5645" w:rsidRDefault="00846B95" w:rsidP="004E5645">
      <w:proofErr w:type="spellStart"/>
      <w:r w:rsidRPr="004E5645">
        <w:t>Sorafenib</w:t>
      </w:r>
      <w:proofErr w:type="spellEnd"/>
      <w:r w:rsidRPr="004E5645">
        <w:t xml:space="preserve"> is also a </w:t>
      </w:r>
      <w:proofErr w:type="spellStart"/>
      <w:r w:rsidRPr="004E5645">
        <w:t>multikinase</w:t>
      </w:r>
      <w:proofErr w:type="spellEnd"/>
      <w:r w:rsidRPr="004E5645">
        <w:t xml:space="preserve"> inhibitor</w:t>
      </w:r>
      <w:r w:rsidR="00487F8C">
        <w:t xml:space="preserve"> and its targets include VEGFR</w:t>
      </w:r>
      <w:r w:rsidRPr="004E5645">
        <w:t>2.</w:t>
      </w:r>
      <w:r w:rsidR="00AD4923">
        <w:t xml:space="preserve"> </w:t>
      </w:r>
      <w:proofErr w:type="spellStart"/>
      <w:r w:rsidRPr="004E5645">
        <w:t>Sorafenib</w:t>
      </w:r>
      <w:proofErr w:type="spellEnd"/>
      <w:r w:rsidRPr="004E5645">
        <w:t xml:space="preserve"> w</w:t>
      </w:r>
      <w:r w:rsidR="00487F8C">
        <w:t>as approved based on one Phase III</w:t>
      </w:r>
      <w:r w:rsidRPr="004E5645">
        <w:t xml:space="preserve"> study in RR-DTC that had </w:t>
      </w:r>
      <w:r w:rsidR="00015A2B">
        <w:t>progression free survival (PFS)</w:t>
      </w:r>
      <w:r w:rsidRPr="004E5645">
        <w:t xml:space="preserve"> as a primary endpoint.</w:t>
      </w:r>
      <w:r w:rsidR="00AD4923">
        <w:t xml:space="preserve"> </w:t>
      </w:r>
      <w:r w:rsidR="00453C83">
        <w:t xml:space="preserve">Median </w:t>
      </w:r>
      <w:r w:rsidR="008F04B3">
        <w:t>PFS</w:t>
      </w:r>
      <w:r w:rsidR="00015A2B">
        <w:t xml:space="preserve"> </w:t>
      </w:r>
      <w:r w:rsidRPr="004E5645">
        <w:t>was 10.8 months (</w:t>
      </w:r>
      <w:proofErr w:type="spellStart"/>
      <w:r w:rsidRPr="004E5645">
        <w:t>sorafenib</w:t>
      </w:r>
      <w:proofErr w:type="spellEnd"/>
      <w:r w:rsidRPr="004E5645">
        <w:t>) v</w:t>
      </w:r>
      <w:r w:rsidR="00453C83">
        <w:t>ersus</w:t>
      </w:r>
      <w:r w:rsidRPr="004E5645">
        <w:t xml:space="preserve"> 5.8 months (placebo).</w:t>
      </w:r>
      <w:r w:rsidR="00AD4923">
        <w:t xml:space="preserve"> </w:t>
      </w:r>
      <w:r w:rsidR="00DC35E4">
        <w:t>There was no clear overall survival (OS)</w:t>
      </w:r>
      <w:r w:rsidRPr="004E5645">
        <w:t xml:space="preserve"> benefit with </w:t>
      </w:r>
      <w:proofErr w:type="spellStart"/>
      <w:r w:rsidRPr="004E5645">
        <w:t>sorafenib</w:t>
      </w:r>
      <w:proofErr w:type="spellEnd"/>
      <w:r w:rsidRPr="004E5645">
        <w:t>.</w:t>
      </w:r>
      <w:r w:rsidR="00AD4923">
        <w:t xml:space="preserve"> </w:t>
      </w:r>
      <w:r w:rsidRPr="004E5645">
        <w:t xml:space="preserve">Toxicity of </w:t>
      </w:r>
      <w:proofErr w:type="spellStart"/>
      <w:r w:rsidRPr="004E5645">
        <w:t>sorafenib</w:t>
      </w:r>
      <w:proofErr w:type="spellEnd"/>
      <w:r w:rsidRPr="004E5645">
        <w:t xml:space="preserve"> was significant, with 65% of </w:t>
      </w:r>
      <w:proofErr w:type="spellStart"/>
      <w:r w:rsidRPr="004E5645">
        <w:t>sorafenib</w:t>
      </w:r>
      <w:proofErr w:type="spellEnd"/>
      <w:r w:rsidRPr="004E5645">
        <w:t xml:space="preserve"> </w:t>
      </w:r>
      <w:r w:rsidR="00841098">
        <w:t>subjects reporting grade 3-4 adverse events (AEs)</w:t>
      </w:r>
      <w:r w:rsidRPr="004E5645">
        <w:t xml:space="preserve">, </w:t>
      </w:r>
      <w:r w:rsidR="00453C83" w:rsidRPr="004E5645">
        <w:t>v</w:t>
      </w:r>
      <w:r w:rsidR="00453C83">
        <w:t>ersus</w:t>
      </w:r>
      <w:r w:rsidRPr="004E5645">
        <w:t xml:space="preserve"> 30% of placebo subjects.</w:t>
      </w:r>
      <w:r w:rsidR="00AD4923">
        <w:t xml:space="preserve"> </w:t>
      </w:r>
      <w:r w:rsidRPr="004E5645">
        <w:t xml:space="preserve">Dermatological AEs (such as palmar plantar </w:t>
      </w:r>
      <w:proofErr w:type="spellStart"/>
      <w:r w:rsidRPr="004E5645">
        <w:t>erythrodysaesthesia</w:t>
      </w:r>
      <w:proofErr w:type="spellEnd"/>
      <w:r w:rsidRPr="004E5645">
        <w:t xml:space="preserve"> and rash) were prominent.</w:t>
      </w:r>
    </w:p>
    <w:p w:rsidR="00846B95" w:rsidRPr="004E5645" w:rsidRDefault="00846B95" w:rsidP="004E5645">
      <w:r w:rsidRPr="004E5645">
        <w:t xml:space="preserve">Other </w:t>
      </w:r>
      <w:r w:rsidR="00873998">
        <w:t>TKIs</w:t>
      </w:r>
      <w:r w:rsidRPr="004E5645">
        <w:t xml:space="preserve"> do not have s</w:t>
      </w:r>
      <w:r w:rsidR="004E09CC">
        <w:t xml:space="preserve">pecific indication in DTC, for example, </w:t>
      </w:r>
      <w:proofErr w:type="spellStart"/>
      <w:r w:rsidRPr="004E5645">
        <w:t>pazopanib</w:t>
      </w:r>
      <w:proofErr w:type="spellEnd"/>
      <w:r w:rsidRPr="004E5645">
        <w:t xml:space="preserve">, </w:t>
      </w:r>
      <w:proofErr w:type="spellStart"/>
      <w:r w:rsidRPr="004E5645">
        <w:t>axitinib</w:t>
      </w:r>
      <w:proofErr w:type="spellEnd"/>
      <w:r w:rsidRPr="004E5645">
        <w:t xml:space="preserve">, </w:t>
      </w:r>
      <w:proofErr w:type="spellStart"/>
      <w:r w:rsidRPr="004E5645">
        <w:t>vandetanib</w:t>
      </w:r>
      <w:proofErr w:type="spellEnd"/>
      <w:r w:rsidRPr="004E5645">
        <w:t xml:space="preserve">, </w:t>
      </w:r>
      <w:proofErr w:type="spellStart"/>
      <w:r w:rsidRPr="004E5645">
        <w:t>sunitinib</w:t>
      </w:r>
      <w:proofErr w:type="spellEnd"/>
      <w:r w:rsidRPr="004E5645">
        <w:t>.</w:t>
      </w:r>
      <w:r w:rsidR="00AD4923">
        <w:t xml:space="preserve"> </w:t>
      </w:r>
      <w:r w:rsidRPr="004E5645">
        <w:t>Some papillary thyroid cancers harbour BRAF V600 mutations, but BRAF or MEK inhibitors are not approved for treatment of such tumours.</w:t>
      </w:r>
      <w:r w:rsidR="00AD4923">
        <w:t xml:space="preserve"> </w:t>
      </w:r>
      <w:r w:rsidRPr="004E5645">
        <w:t>Of note, thyroid cancers with an activated MAPK pathway are typically radioiodine refractory.</w:t>
      </w:r>
    </w:p>
    <w:p w:rsidR="00846B95" w:rsidRPr="004E5645" w:rsidRDefault="00846B95" w:rsidP="004E5645">
      <w:r w:rsidRPr="004E5645">
        <w:t>Doxorubicin has sometimes been used to treat patients with progressive, symptomatic thyroid cancer unresponsive or not amenable to surgery, radioiodine therapy or external radiotherapy.</w:t>
      </w:r>
      <w:r w:rsidR="00AD4923">
        <w:t xml:space="preserve"> </w:t>
      </w:r>
      <w:r w:rsidRPr="004E5645">
        <w:t>Thyroid carcinoma i</w:t>
      </w:r>
      <w:r w:rsidR="004E09CC">
        <w:t>s mentioned in this product’s Product Information (PI)</w:t>
      </w:r>
      <w:r w:rsidRPr="004E5645">
        <w:t xml:space="preserve"> ‘Indications’ section.</w:t>
      </w:r>
    </w:p>
    <w:p w:rsidR="00772CC0" w:rsidRDefault="00386150" w:rsidP="008E7846">
      <w:pPr>
        <w:pStyle w:val="Heading3"/>
      </w:pPr>
      <w:bookmarkStart w:id="20" w:name="_Toc314842485"/>
      <w:bookmarkStart w:id="21" w:name="_Toc247691504"/>
      <w:bookmarkStart w:id="22" w:name="_Toc461092029"/>
      <w:r>
        <w:t>Regulatory s</w:t>
      </w:r>
      <w:r w:rsidR="008E7846">
        <w:t>tatus</w:t>
      </w:r>
      <w:bookmarkEnd w:id="20"/>
      <w:bookmarkEnd w:id="21"/>
      <w:bookmarkEnd w:id="22"/>
    </w:p>
    <w:p w:rsidR="004E5645" w:rsidRPr="000006A3" w:rsidRDefault="000C3F21" w:rsidP="000C3F21">
      <w:pPr>
        <w:pStyle w:val="Heading4"/>
        <w:rPr>
          <w:i/>
        </w:rPr>
      </w:pPr>
      <w:bookmarkStart w:id="23" w:name="_Toc247691505"/>
      <w:bookmarkStart w:id="24" w:name="_Toc314842486"/>
      <w:r>
        <w:t>USA: FDA</w:t>
      </w:r>
    </w:p>
    <w:p w:rsidR="004E5645" w:rsidRPr="00640484" w:rsidRDefault="004E5645" w:rsidP="00640484">
      <w:r w:rsidRPr="00640484">
        <w:t>Lenvatinib is approved in the US with the following indication:</w:t>
      </w:r>
    </w:p>
    <w:p w:rsidR="004E5645" w:rsidRPr="00640484" w:rsidRDefault="004E5645" w:rsidP="00640484">
      <w:pPr>
        <w:ind w:left="720"/>
        <w:rPr>
          <w:i/>
        </w:rPr>
      </w:pPr>
      <w:r w:rsidRPr="00640484">
        <w:rPr>
          <w:i/>
        </w:rPr>
        <w:t>L</w:t>
      </w:r>
      <w:r w:rsidR="00640484">
        <w:rPr>
          <w:i/>
        </w:rPr>
        <w:t>envima</w:t>
      </w:r>
      <w:r w:rsidRPr="00640484">
        <w:rPr>
          <w:i/>
        </w:rPr>
        <w:t xml:space="preserve"> is indicated for the treatment of patients with locally recurrent or metastatic, progressive, radioactive iodine-refractory differentiated thyroid cancer (DTC).</w:t>
      </w:r>
    </w:p>
    <w:p w:rsidR="004E5645" w:rsidRPr="00640484" w:rsidRDefault="004E5645" w:rsidP="00640484">
      <w:r w:rsidRPr="00640484">
        <w:t>Lenvatinib was also given orphan status for use in various conditions, including follicular thyroid cancer and metastatic or locally advanced pa</w:t>
      </w:r>
      <w:r w:rsidR="00AE6EAF">
        <w:t xml:space="preserve">pillary thyroid cancer on 27 December </w:t>
      </w:r>
      <w:r w:rsidR="003264AF">
        <w:t>2012.</w:t>
      </w:r>
    </w:p>
    <w:p w:rsidR="004E5645" w:rsidRPr="00640484" w:rsidRDefault="004E5645" w:rsidP="00640484">
      <w:r w:rsidRPr="00640484">
        <w:t>Approval, on 13 Fe</w:t>
      </w:r>
      <w:r w:rsidR="00A7085C">
        <w:t xml:space="preserve">bruary 2015, was standard (that is, </w:t>
      </w:r>
      <w:r w:rsidRPr="00640484">
        <w:t>not accelerated), and the drug was not consid</w:t>
      </w:r>
      <w:r w:rsidR="00AE6EAF">
        <w:t xml:space="preserve">ered by an advisory committee. </w:t>
      </w:r>
      <w:r w:rsidRPr="00640484">
        <w:t xml:space="preserve">The </w:t>
      </w:r>
      <w:r w:rsidR="00862DE3">
        <w:t>Food and Drug Administration (</w:t>
      </w:r>
      <w:r w:rsidRPr="00640484">
        <w:t>FDA</w:t>
      </w:r>
      <w:r w:rsidR="00862DE3">
        <w:t>)</w:t>
      </w:r>
      <w:r w:rsidRPr="00640484">
        <w:t xml:space="preserve"> require</w:t>
      </w:r>
      <w:r w:rsidR="002D1A69">
        <w:t>d</w:t>
      </w:r>
      <w:r w:rsidRPr="00640484">
        <w:t xml:space="preserve"> the following:</w:t>
      </w:r>
    </w:p>
    <w:p w:rsidR="004E5645" w:rsidRPr="00A7085C" w:rsidRDefault="004E5645" w:rsidP="00A7085C">
      <w:pPr>
        <w:ind w:left="720"/>
        <w:rPr>
          <w:i/>
        </w:rPr>
      </w:pPr>
      <w:r w:rsidRPr="00A7085C">
        <w:rPr>
          <w:i/>
        </w:rPr>
        <w:t xml:space="preserve">2865-1 Conduct a clinical trial to evaluate the incidence of serious and severe (i.e. ≥ Grade 3) adverse reactions of an oral starting dose of 20 mg or of 14 mg daily </w:t>
      </w:r>
      <w:r w:rsidRPr="00A7085C">
        <w:rPr>
          <w:i/>
        </w:rPr>
        <w:lastRenderedPageBreak/>
        <w:t>compared to the 24 mg starting dose, with a comparable objective response rate. Safety assessments will include evaluations for all severe or life-threatening (≥ Grade 3) and serious adverse reactions and should also include assessments of all adverse reactions.</w:t>
      </w:r>
    </w:p>
    <w:p w:rsidR="004E5645" w:rsidRPr="00A7085C" w:rsidRDefault="004E5645" w:rsidP="00A7085C">
      <w:r w:rsidRPr="00A7085C">
        <w:t xml:space="preserve">Trial completion is scheduled for </w:t>
      </w:r>
      <w:r w:rsidR="00772CC0" w:rsidRPr="00A7085C">
        <w:t>mid</w:t>
      </w:r>
      <w:r w:rsidR="00772CC0">
        <w:t>-</w:t>
      </w:r>
      <w:r w:rsidR="00772CC0" w:rsidRPr="00A7085C">
        <w:t>2019</w:t>
      </w:r>
      <w:r w:rsidRPr="00A7085C">
        <w:t xml:space="preserve"> </w:t>
      </w:r>
      <w:r w:rsidR="00686BD9">
        <w:t xml:space="preserve">and </w:t>
      </w:r>
      <w:r w:rsidR="00686BD9" w:rsidRPr="00686BD9">
        <w:t xml:space="preserve">clinical study report </w:t>
      </w:r>
      <w:r w:rsidR="00686BD9">
        <w:t>(</w:t>
      </w:r>
      <w:r w:rsidRPr="00A7085C">
        <w:t>CSR</w:t>
      </w:r>
      <w:r w:rsidR="003A5B67">
        <w:t>)</w:t>
      </w:r>
      <w:r w:rsidRPr="00A7085C">
        <w:t xml:space="preserve"> submission for </w:t>
      </w:r>
      <w:r w:rsidR="00772CC0" w:rsidRPr="00A7085C">
        <w:t>mid</w:t>
      </w:r>
      <w:r w:rsidR="00772CC0">
        <w:t>-</w:t>
      </w:r>
      <w:r w:rsidR="00772CC0" w:rsidRPr="00A7085C">
        <w:t>2020</w:t>
      </w:r>
      <w:r w:rsidRPr="00A7085C">
        <w:t>.</w:t>
      </w:r>
    </w:p>
    <w:p w:rsidR="004E5645" w:rsidRPr="000006A3" w:rsidRDefault="0035691D" w:rsidP="0035691D">
      <w:pPr>
        <w:pStyle w:val="Heading4"/>
      </w:pPr>
      <w:r>
        <w:t xml:space="preserve">EU: </w:t>
      </w:r>
      <w:r w:rsidR="004E5645" w:rsidRPr="000006A3">
        <w:t>EMA</w:t>
      </w:r>
    </w:p>
    <w:p w:rsidR="004E5645" w:rsidRPr="0035691D" w:rsidRDefault="004E5645" w:rsidP="0035691D">
      <w:r w:rsidRPr="0035691D">
        <w:t>Lenvatinib is approved in the EU with the following indication:</w:t>
      </w:r>
    </w:p>
    <w:p w:rsidR="004E5645" w:rsidRPr="0035691D" w:rsidRDefault="004E5645" w:rsidP="0035691D">
      <w:pPr>
        <w:ind w:left="720"/>
        <w:rPr>
          <w:i/>
        </w:rPr>
      </w:pPr>
      <w:r w:rsidRPr="0035691D">
        <w:rPr>
          <w:i/>
        </w:rPr>
        <w:t>L</w:t>
      </w:r>
      <w:r w:rsidR="0035691D">
        <w:rPr>
          <w:i/>
        </w:rPr>
        <w:t>envima</w:t>
      </w:r>
      <w:r w:rsidRPr="0035691D">
        <w:rPr>
          <w:i/>
        </w:rPr>
        <w:t xml:space="preserve"> is indicated for the treatment of adult patients with progressive, locally advanced or metastatic, different</w:t>
      </w:r>
      <w:r w:rsidR="000D4FDD">
        <w:rPr>
          <w:i/>
        </w:rPr>
        <w:t>iated (papillary/follicular/</w:t>
      </w:r>
      <w:proofErr w:type="spellStart"/>
      <w:r w:rsidRPr="0035691D">
        <w:rPr>
          <w:i/>
        </w:rPr>
        <w:t>Hurthle</w:t>
      </w:r>
      <w:proofErr w:type="spellEnd"/>
      <w:r w:rsidRPr="0035691D">
        <w:rPr>
          <w:i/>
        </w:rPr>
        <w:t xml:space="preserve"> cell) thyroid carcinoma (DTC), refractory to radioactive iodine (RAI).</w:t>
      </w:r>
    </w:p>
    <w:p w:rsidR="004E5645" w:rsidRPr="0035691D" w:rsidRDefault="004E5645" w:rsidP="0035691D">
      <w:r w:rsidRPr="0035691D">
        <w:t>Approval was via accelerated assessment</w:t>
      </w:r>
      <w:r w:rsidR="00F05F88">
        <w:t xml:space="preserve">. </w:t>
      </w:r>
      <w:r w:rsidRPr="0035691D">
        <w:t xml:space="preserve">The </w:t>
      </w:r>
      <w:r w:rsidR="003A5B67" w:rsidRPr="003A5B67">
        <w:t xml:space="preserve">Committee for Medicinal Products for Human Use </w:t>
      </w:r>
      <w:r w:rsidR="003A5B67">
        <w:t>(</w:t>
      </w:r>
      <w:r w:rsidRPr="0035691D">
        <w:t>CHMP</w:t>
      </w:r>
      <w:r w:rsidR="003A5B67">
        <w:t>)</w:t>
      </w:r>
      <w:r w:rsidRPr="0035691D">
        <w:t xml:space="preserve"> </w:t>
      </w:r>
      <w:r w:rsidR="00D00657">
        <w:t xml:space="preserve">of the European Medicine Agency (EMA) </w:t>
      </w:r>
      <w:r w:rsidRPr="0035691D">
        <w:t xml:space="preserve">requested a study to investigate the most </w:t>
      </w:r>
      <w:r w:rsidR="003A5B67">
        <w:t xml:space="preserve">appropriate starting dose (compared to the </w:t>
      </w:r>
      <w:r w:rsidRPr="0035691D">
        <w:t>US situation).</w:t>
      </w:r>
      <w:r w:rsidR="00AD4923">
        <w:t xml:space="preserve"> </w:t>
      </w:r>
      <w:r w:rsidRPr="0035691D">
        <w:t xml:space="preserve">The </w:t>
      </w:r>
      <w:r w:rsidR="000D4FDD" w:rsidRPr="000D4FDD">
        <w:t xml:space="preserve">Summary of Product Characteristics </w:t>
      </w:r>
      <w:r w:rsidR="000D4FDD">
        <w:t>(</w:t>
      </w:r>
      <w:r w:rsidRPr="0035691D">
        <w:t>SmPC</w:t>
      </w:r>
      <w:r w:rsidR="000D4FDD">
        <w:t>)</w:t>
      </w:r>
      <w:r w:rsidRPr="0035691D">
        <w:t xml:space="preserve"> also carries a ‘black triangle’ signalling that the product is subject to additional monitoring, to allow quick identification of new safety information.</w:t>
      </w:r>
    </w:p>
    <w:p w:rsidR="008E7846" w:rsidRDefault="008E7846" w:rsidP="00940A89">
      <w:pPr>
        <w:pStyle w:val="Heading3"/>
      </w:pPr>
      <w:bookmarkStart w:id="25" w:name="_Toc461092030"/>
      <w:r>
        <w:t xml:space="preserve">Product </w:t>
      </w:r>
      <w:r w:rsidR="00772CC0">
        <w:t>i</w:t>
      </w:r>
      <w:r>
        <w:t>nformation</w:t>
      </w:r>
      <w:bookmarkEnd w:id="23"/>
      <w:bookmarkEnd w:id="24"/>
      <w:bookmarkEnd w:id="25"/>
    </w:p>
    <w:p w:rsidR="00940A89" w:rsidRDefault="00940A89" w:rsidP="00940A89">
      <w:pPr>
        <w:rPr>
          <w:b/>
          <w:bCs/>
        </w:rPr>
      </w:pPr>
      <w:bookmarkStart w:id="26" w:name="_Toc247691506"/>
      <w:bookmarkStart w:id="27" w:name="_Toc314842487"/>
      <w:r w:rsidRPr="00940A89">
        <w:t>Th</w:t>
      </w:r>
      <w:r w:rsidR="004E09CC">
        <w:t xml:space="preserve">e approved </w:t>
      </w:r>
      <w:r w:rsidRPr="00940A89">
        <w:t xml:space="preserve">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8" w:name="_Toc461092031"/>
      <w:r>
        <w:t>II. Quality</w:t>
      </w:r>
      <w:bookmarkEnd w:id="5"/>
      <w:r>
        <w:t xml:space="preserve"> findings</w:t>
      </w:r>
      <w:bookmarkEnd w:id="26"/>
      <w:bookmarkEnd w:id="27"/>
      <w:bookmarkEnd w:id="28"/>
    </w:p>
    <w:p w:rsidR="00940A89" w:rsidRDefault="00940A89" w:rsidP="00940A89">
      <w:pPr>
        <w:pStyle w:val="Heading3"/>
      </w:pPr>
      <w:bookmarkStart w:id="29" w:name="_Toc247691507"/>
      <w:bookmarkStart w:id="30" w:name="_Toc314842488"/>
      <w:bookmarkStart w:id="31" w:name="_Toc461092032"/>
      <w:r w:rsidRPr="00940A89">
        <w:t>Introduction</w:t>
      </w:r>
      <w:bookmarkEnd w:id="31"/>
    </w:p>
    <w:p w:rsidR="00053696" w:rsidRPr="00053696" w:rsidRDefault="00053696" w:rsidP="00053696">
      <w:r w:rsidRPr="00053696">
        <w:t>L</w:t>
      </w:r>
      <w:r w:rsidR="00167FAD">
        <w:t xml:space="preserve">envatinib is an oral, multiple </w:t>
      </w:r>
      <w:r w:rsidRPr="00053696">
        <w:t>TK</w:t>
      </w:r>
      <w:r w:rsidR="00167FAD">
        <w:t>I</w:t>
      </w:r>
      <w:r w:rsidRPr="00053696">
        <w:t xml:space="preserve"> that selectively inhibits the kinase activities of VEGF receptors (VEGFR1 [FLT1], VEGFR2 [KDR] and VEGFR3 [FLT4]), in addition to other proangiogenic and oncogenic pathway</w:t>
      </w:r>
      <w:r w:rsidR="00036BB6">
        <w:t xml:space="preserve"> related RTKs </w:t>
      </w:r>
      <w:r w:rsidRPr="00053696">
        <w:t>including fibroblast growth factor (FGF) receptors FGFR1-4, platelet derived growth factor (PDGF) receptor PDGFRα, KIT, and RET.</w:t>
      </w:r>
      <w:r w:rsidR="007146C9">
        <w:t xml:space="preserve"> </w:t>
      </w:r>
      <w:r w:rsidRPr="00053696">
        <w:t>VEGF has been identified as a crucial regulator of both physiologic and pathologic angiogenesis, and increased expression of VEGF is associated with a poor prognosis in many human tumours. Elevated levels of VEGF have been found in thyroid tumours, and the intensity of VEGF expression has been correlated with a higher risk of metastasis and shorter disease</w:t>
      </w:r>
      <w:r w:rsidR="007146C9">
        <w:t xml:space="preserve"> </w:t>
      </w:r>
      <w:r w:rsidRPr="00053696">
        <w:t>free survival in patients with papillary thyroid cancer.</w:t>
      </w:r>
    </w:p>
    <w:p w:rsidR="00053696" w:rsidRPr="00053696" w:rsidRDefault="00053696" w:rsidP="00053696">
      <w:r w:rsidRPr="00053696">
        <w:t>L</w:t>
      </w:r>
      <w:r>
        <w:t>envima</w:t>
      </w:r>
      <w:r w:rsidRPr="00053696">
        <w:t xml:space="preserve"> is indicated for the treatment of patients with progressive, radioactive iodine refractory differentiated thyroid cancer.</w:t>
      </w:r>
    </w:p>
    <w:p w:rsidR="00053696" w:rsidRPr="00053696" w:rsidRDefault="00053696" w:rsidP="00053696">
      <w:r w:rsidRPr="00053696">
        <w:t>The recommended maximum adult dose is 24 mg taken once daily.</w:t>
      </w:r>
    </w:p>
    <w:p w:rsidR="00772CC0" w:rsidRDefault="00053696" w:rsidP="00053696">
      <w:r w:rsidRPr="00053696">
        <w:t>Lenvatinib mesilate is not subject to British Pharmacopoeia</w:t>
      </w:r>
      <w:r>
        <w:t xml:space="preserve"> (</w:t>
      </w:r>
      <w:r w:rsidRPr="00053696">
        <w:t>BP</w:t>
      </w:r>
      <w:r>
        <w:t xml:space="preserve">), </w:t>
      </w:r>
      <w:r w:rsidRPr="00053696">
        <w:t>European Pharmacopoeia (Ph. Eur.)</w:t>
      </w:r>
      <w:r>
        <w:t xml:space="preserve"> </w:t>
      </w:r>
      <w:r w:rsidRPr="00053696">
        <w:t>or United States Pharmacopeia</w:t>
      </w:r>
      <w:r>
        <w:t xml:space="preserve"> (</w:t>
      </w:r>
      <w:r w:rsidRPr="00053696">
        <w:t>USP</w:t>
      </w:r>
      <w:r>
        <w:t>)</w:t>
      </w:r>
      <w:r w:rsidRPr="00053696">
        <w:t xml:space="preserve"> monographs</w:t>
      </w:r>
      <w:r w:rsidR="00772CC0">
        <w:t>.</w:t>
      </w:r>
    </w:p>
    <w:p w:rsidR="00053696" w:rsidRDefault="00053696" w:rsidP="00053696">
      <w:proofErr w:type="spellStart"/>
      <w:r w:rsidRPr="00053696">
        <w:t>Lenvatinib</w:t>
      </w:r>
      <w:proofErr w:type="spellEnd"/>
      <w:r w:rsidRPr="00053696">
        <w:t xml:space="preserve"> </w:t>
      </w:r>
      <w:proofErr w:type="spellStart"/>
      <w:r w:rsidRPr="00053696">
        <w:t>mesilate</w:t>
      </w:r>
      <w:proofErr w:type="spellEnd"/>
      <w:r w:rsidRPr="00053696">
        <w:t xml:space="preserve"> has the chemical structure </w:t>
      </w:r>
      <w:r w:rsidR="001E713D">
        <w:t>shown below in Figure 1.</w:t>
      </w:r>
    </w:p>
    <w:p w:rsidR="00707F5A" w:rsidRDefault="0010719C" w:rsidP="00772CC0">
      <w:pPr>
        <w:pStyle w:val="FigureTitle"/>
      </w:pPr>
      <w:proofErr w:type="gramStart"/>
      <w:r>
        <w:lastRenderedPageBreak/>
        <w:t>Figure 1.</w:t>
      </w:r>
      <w:proofErr w:type="gramEnd"/>
      <w:r w:rsidR="007A19A7">
        <w:t xml:space="preserve"> </w:t>
      </w:r>
      <w:proofErr w:type="gramStart"/>
      <w:r w:rsidR="007A19A7">
        <w:t>Structure of l</w:t>
      </w:r>
      <w:r w:rsidR="007A19A7" w:rsidRPr="00053696">
        <w:t>envatinib mesilate</w:t>
      </w:r>
      <w:r w:rsidR="007A19A7">
        <w:t>.</w:t>
      </w:r>
      <w:proofErr w:type="gramEnd"/>
    </w:p>
    <w:p w:rsidR="0010719C" w:rsidRDefault="007A19A7" w:rsidP="00053696">
      <w:r>
        <w:rPr>
          <w:noProof/>
          <w:lang w:eastAsia="en-AU"/>
        </w:rPr>
        <w:drawing>
          <wp:inline distT="0" distB="0" distL="0" distR="0" wp14:anchorId="5135BAE8" wp14:editId="1550360B">
            <wp:extent cx="4106386" cy="1695639"/>
            <wp:effectExtent l="0" t="0" r="8890" b="0"/>
            <wp:docPr id="2" name="Picture 2" descr="Figure 1. Structure of lenvatinib mesi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11414" cy="1697715"/>
                    </a:xfrm>
                    <a:prstGeom prst="rect">
                      <a:avLst/>
                    </a:prstGeom>
                  </pic:spPr>
                </pic:pic>
              </a:graphicData>
            </a:graphic>
          </wp:inline>
        </w:drawing>
      </w:r>
    </w:p>
    <w:p w:rsidR="00707F5A" w:rsidRDefault="00707F5A" w:rsidP="00053696">
      <w:r>
        <w:t>Figure 2 shows l</w:t>
      </w:r>
      <w:r w:rsidRPr="00053696">
        <w:t>envatinib</w:t>
      </w:r>
      <w:r w:rsidR="00CD5CF8">
        <w:t xml:space="preserve"> and related </w:t>
      </w:r>
      <w:r w:rsidR="00CD5CF8" w:rsidRPr="00CD5CF8">
        <w:t>tyrosine kinase inhibitor</w:t>
      </w:r>
      <w:r w:rsidR="00CD5CF8">
        <w:t>s.</w:t>
      </w:r>
      <w:r w:rsidR="00036BB6" w:rsidRPr="00036BB6">
        <w:t xml:space="preserve"> Lenvatinib is not very closely related to registered kinase inhibitors</w:t>
      </w:r>
      <w:r w:rsidR="00036BB6">
        <w:t>.</w:t>
      </w:r>
    </w:p>
    <w:p w:rsidR="00CD5CF8" w:rsidRPr="00053696" w:rsidRDefault="0010719C" w:rsidP="007A19A7">
      <w:pPr>
        <w:pStyle w:val="FigureTitle"/>
      </w:pPr>
      <w:proofErr w:type="gramStart"/>
      <w:r>
        <w:t>Figure 2.</w:t>
      </w:r>
      <w:proofErr w:type="gramEnd"/>
      <w:r w:rsidR="00036BB6">
        <w:t xml:space="preserve"> </w:t>
      </w:r>
      <w:proofErr w:type="gramStart"/>
      <w:r w:rsidR="00036BB6">
        <w:t>Structure of l</w:t>
      </w:r>
      <w:r w:rsidR="00036BB6" w:rsidRPr="00053696">
        <w:t>envatinib</w:t>
      </w:r>
      <w:r w:rsidR="00036BB6">
        <w:t xml:space="preserve"> and related </w:t>
      </w:r>
      <w:r w:rsidR="00036BB6" w:rsidRPr="00CD5CF8">
        <w:t>tyrosine kinase inhibitor</w:t>
      </w:r>
      <w:r w:rsidR="00036BB6">
        <w:t>s.</w:t>
      </w:r>
      <w:proofErr w:type="gramEnd"/>
    </w:p>
    <w:p w:rsidR="001D5F7B" w:rsidRPr="00053696" w:rsidRDefault="00036BB6" w:rsidP="00053696">
      <w:r>
        <w:rPr>
          <w:noProof/>
          <w:lang w:eastAsia="en-AU"/>
        </w:rPr>
        <w:drawing>
          <wp:inline distT="0" distB="0" distL="0" distR="0" wp14:anchorId="4135FCB8" wp14:editId="4F2CE593">
            <wp:extent cx="5400040" cy="2963099"/>
            <wp:effectExtent l="0" t="0" r="0" b="8890"/>
            <wp:docPr id="6" name="Picture 6" descr="Figure 2. Structure of lenvatinib and related tyrosine kinase inhib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2963099"/>
                    </a:xfrm>
                    <a:prstGeom prst="rect">
                      <a:avLst/>
                    </a:prstGeom>
                  </pic:spPr>
                </pic:pic>
              </a:graphicData>
            </a:graphic>
          </wp:inline>
        </w:drawing>
      </w:r>
    </w:p>
    <w:p w:rsidR="00053696" w:rsidRPr="00053696" w:rsidRDefault="00053696" w:rsidP="00053696">
      <w:r w:rsidRPr="00053696">
        <w:t xml:space="preserve">The proposed tradename </w:t>
      </w:r>
      <w:proofErr w:type="spellStart"/>
      <w:r w:rsidR="001E713D" w:rsidRPr="00053696">
        <w:t>L</w:t>
      </w:r>
      <w:r w:rsidR="001E713D">
        <w:t>envima</w:t>
      </w:r>
      <w:proofErr w:type="spellEnd"/>
      <w:r w:rsidRPr="00053696">
        <w:t xml:space="preserve"> is perhaps somewhat similar to </w:t>
      </w:r>
      <w:proofErr w:type="spellStart"/>
      <w:r w:rsidRPr="00053696">
        <w:t>L</w:t>
      </w:r>
      <w:r w:rsidR="001E713D">
        <w:t>anvis</w:t>
      </w:r>
      <w:proofErr w:type="spellEnd"/>
      <w:r w:rsidRPr="00053696">
        <w:t xml:space="preserve"> (40 mg </w:t>
      </w:r>
      <w:proofErr w:type="spellStart"/>
      <w:r w:rsidRPr="00053696">
        <w:t>thioguanine</w:t>
      </w:r>
      <w:proofErr w:type="spellEnd"/>
      <w:r w:rsidRPr="00053696">
        <w:t xml:space="preserve"> tablets used in the treatment of acute </w:t>
      </w:r>
      <w:proofErr w:type="spellStart"/>
      <w:r w:rsidRPr="00053696">
        <w:t>myeloblastic</w:t>
      </w:r>
      <w:proofErr w:type="spellEnd"/>
      <w:r w:rsidRPr="00053696">
        <w:t xml:space="preserve"> leukaemia).</w:t>
      </w:r>
    </w:p>
    <w:p w:rsidR="008E7846" w:rsidRDefault="008E7846" w:rsidP="00940A89">
      <w:pPr>
        <w:pStyle w:val="Heading3"/>
      </w:pPr>
      <w:bookmarkStart w:id="32" w:name="_Toc461092033"/>
      <w:r w:rsidRPr="008751DC">
        <w:t xml:space="preserve">Drug </w:t>
      </w:r>
      <w:r>
        <w:t>s</w:t>
      </w:r>
      <w:r w:rsidRPr="008751DC">
        <w:t>ubstance</w:t>
      </w:r>
      <w:r>
        <w:t xml:space="preserve"> (active ingredient)</w:t>
      </w:r>
      <w:bookmarkEnd w:id="29"/>
      <w:bookmarkEnd w:id="30"/>
      <w:bookmarkEnd w:id="32"/>
    </w:p>
    <w:p w:rsidR="00036BB6" w:rsidRDefault="00036BB6" w:rsidP="00036BB6">
      <w:r>
        <w:t>L</w:t>
      </w:r>
      <w:r w:rsidRPr="00EA13D4">
        <w:rPr>
          <w:iCs/>
          <w:szCs w:val="24"/>
        </w:rPr>
        <w:t>envatinib mesilate</w:t>
      </w:r>
      <w:r>
        <w:rPr>
          <w:iCs/>
          <w:szCs w:val="24"/>
        </w:rPr>
        <w:t xml:space="preserve"> has the molecular formula </w:t>
      </w:r>
      <w:r w:rsidRPr="00EA13D4">
        <w:rPr>
          <w:szCs w:val="24"/>
        </w:rPr>
        <w:t>C</w:t>
      </w:r>
      <w:r w:rsidRPr="00EA13D4">
        <w:rPr>
          <w:szCs w:val="24"/>
          <w:vertAlign w:val="subscript"/>
        </w:rPr>
        <w:t>21</w:t>
      </w:r>
      <w:r w:rsidRPr="00EA13D4">
        <w:rPr>
          <w:szCs w:val="24"/>
        </w:rPr>
        <w:t>H</w:t>
      </w:r>
      <w:r w:rsidRPr="00EA13D4">
        <w:rPr>
          <w:szCs w:val="24"/>
          <w:vertAlign w:val="subscript"/>
        </w:rPr>
        <w:t>19</w:t>
      </w:r>
      <w:r w:rsidRPr="00EA13D4">
        <w:rPr>
          <w:szCs w:val="24"/>
        </w:rPr>
        <w:t>ClN</w:t>
      </w:r>
      <w:r w:rsidRPr="00EA13D4">
        <w:rPr>
          <w:szCs w:val="24"/>
          <w:vertAlign w:val="subscript"/>
        </w:rPr>
        <w:t>4</w:t>
      </w:r>
      <w:r w:rsidRPr="00EA13D4">
        <w:rPr>
          <w:szCs w:val="24"/>
        </w:rPr>
        <w:t>O</w:t>
      </w:r>
      <w:r w:rsidRPr="00EA13D4">
        <w:rPr>
          <w:szCs w:val="24"/>
          <w:vertAlign w:val="subscript"/>
        </w:rPr>
        <w:t>4</w:t>
      </w:r>
      <w:r w:rsidRPr="00EA13D4">
        <w:rPr>
          <w:szCs w:val="24"/>
        </w:rPr>
        <w:t xml:space="preserve"> • CH</w:t>
      </w:r>
      <w:r w:rsidRPr="00EA13D4">
        <w:rPr>
          <w:szCs w:val="24"/>
          <w:vertAlign w:val="subscript"/>
        </w:rPr>
        <w:t>4</w:t>
      </w:r>
      <w:r w:rsidRPr="00EA13D4">
        <w:rPr>
          <w:szCs w:val="24"/>
        </w:rPr>
        <w:t>O</w:t>
      </w:r>
      <w:r w:rsidRPr="00EA13D4">
        <w:rPr>
          <w:szCs w:val="24"/>
          <w:vertAlign w:val="subscript"/>
        </w:rPr>
        <w:t>3</w:t>
      </w:r>
      <w:r w:rsidRPr="00EA13D4">
        <w:rPr>
          <w:szCs w:val="24"/>
        </w:rPr>
        <w:t>S</w:t>
      </w:r>
      <w:r>
        <w:rPr>
          <w:szCs w:val="24"/>
        </w:rPr>
        <w:t xml:space="preserve">, molecular weight of </w:t>
      </w:r>
      <w:r w:rsidRPr="00EA13D4">
        <w:rPr>
          <w:szCs w:val="24"/>
        </w:rPr>
        <w:t>522.96 g/</w:t>
      </w:r>
      <w:proofErr w:type="spellStart"/>
      <w:r w:rsidRPr="00EA13D4">
        <w:rPr>
          <w:szCs w:val="24"/>
        </w:rPr>
        <w:t>mol</w:t>
      </w:r>
      <w:proofErr w:type="spellEnd"/>
      <w:r>
        <w:rPr>
          <w:szCs w:val="24"/>
        </w:rPr>
        <w:t xml:space="preserve"> (</w:t>
      </w:r>
      <w:proofErr w:type="spellStart"/>
      <w:r>
        <w:rPr>
          <w:szCs w:val="24"/>
        </w:rPr>
        <w:t>m</w:t>
      </w:r>
      <w:r w:rsidRPr="00EA13D4">
        <w:rPr>
          <w:szCs w:val="24"/>
        </w:rPr>
        <w:t>esilate</w:t>
      </w:r>
      <w:proofErr w:type="spellEnd"/>
      <w:r>
        <w:rPr>
          <w:szCs w:val="24"/>
        </w:rPr>
        <w:t xml:space="preserve">) and </w:t>
      </w:r>
      <w:r w:rsidRPr="00EA13D4">
        <w:rPr>
          <w:szCs w:val="24"/>
        </w:rPr>
        <w:t>426.86 g/</w:t>
      </w:r>
      <w:proofErr w:type="spellStart"/>
      <w:r w:rsidRPr="00EA13D4">
        <w:rPr>
          <w:szCs w:val="24"/>
        </w:rPr>
        <w:t>mol</w:t>
      </w:r>
      <w:proofErr w:type="spellEnd"/>
      <w:r>
        <w:rPr>
          <w:szCs w:val="24"/>
        </w:rPr>
        <w:t xml:space="preserve"> (f</w:t>
      </w:r>
      <w:r w:rsidRPr="00EA13D4">
        <w:rPr>
          <w:szCs w:val="24"/>
        </w:rPr>
        <w:t>ree</w:t>
      </w:r>
      <w:r>
        <w:rPr>
          <w:szCs w:val="24"/>
        </w:rPr>
        <w:t xml:space="preserve"> </w:t>
      </w:r>
      <w:r w:rsidRPr="00EA13D4">
        <w:rPr>
          <w:szCs w:val="24"/>
        </w:rPr>
        <w:t>base</w:t>
      </w:r>
      <w:r w:rsidR="008B3A52">
        <w:rPr>
          <w:szCs w:val="24"/>
        </w:rPr>
        <w:t xml:space="preserve">). It </w:t>
      </w:r>
      <w:r>
        <w:rPr>
          <w:szCs w:val="24"/>
        </w:rPr>
        <w:t xml:space="preserve">is </w:t>
      </w:r>
      <w:r w:rsidRPr="00036BB6">
        <w:rPr>
          <w:szCs w:val="24"/>
        </w:rPr>
        <w:t xml:space="preserve">not chiral and has no enantiomer or </w:t>
      </w:r>
      <w:proofErr w:type="spellStart"/>
      <w:r w:rsidRPr="00036BB6">
        <w:rPr>
          <w:szCs w:val="24"/>
        </w:rPr>
        <w:t>diastereomer</w:t>
      </w:r>
      <w:proofErr w:type="spellEnd"/>
      <w:r w:rsidRPr="00036BB6">
        <w:rPr>
          <w:szCs w:val="24"/>
        </w:rPr>
        <w:t>.</w:t>
      </w:r>
      <w:r>
        <w:rPr>
          <w:szCs w:val="24"/>
        </w:rPr>
        <w:t xml:space="preserve"> It is a white powder </w:t>
      </w:r>
      <w:r>
        <w:t>and t</w:t>
      </w:r>
      <w:r w:rsidRPr="00EA13D4">
        <w:t>he disclosed synthesis involves 3 process steps</w:t>
      </w:r>
      <w:r>
        <w:t>.</w:t>
      </w:r>
    </w:p>
    <w:p w:rsidR="008B3A52" w:rsidRDefault="008B3A52" w:rsidP="00036BB6">
      <w:pPr>
        <w:rPr>
          <w:szCs w:val="24"/>
        </w:rPr>
      </w:pPr>
      <w:r w:rsidRPr="00EA13D4">
        <w:rPr>
          <w:szCs w:val="24"/>
        </w:rPr>
        <w:t>The drug substance is stored in an inner polyethylene bag closed with a cable tie, which is heat sealed in an aluminium laminate bag. The polyethylene bag consists of a 60</w:t>
      </w:r>
      <w:r>
        <w:rPr>
          <w:szCs w:val="24"/>
        </w:rPr>
        <w:t xml:space="preserve"> </w:t>
      </w:r>
      <w:r w:rsidRPr="00EA13D4">
        <w:rPr>
          <w:szCs w:val="24"/>
        </w:rPr>
        <w:t>µm linear low</w:t>
      </w:r>
      <w:r w:rsidR="007146C9">
        <w:rPr>
          <w:szCs w:val="24"/>
        </w:rPr>
        <w:t xml:space="preserve"> </w:t>
      </w:r>
      <w:r w:rsidRPr="00EA13D4">
        <w:rPr>
          <w:szCs w:val="24"/>
        </w:rPr>
        <w:t>density polyethylene (LLDPE) film on the inside and a 15</w:t>
      </w:r>
      <w:r w:rsidR="007146C9">
        <w:rPr>
          <w:szCs w:val="24"/>
        </w:rPr>
        <w:t xml:space="preserve"> </w:t>
      </w:r>
      <w:r w:rsidRPr="00EA13D4">
        <w:rPr>
          <w:szCs w:val="24"/>
        </w:rPr>
        <w:t>µm nylon film on the outside. An alternate 100 µm LDPE bag has also been described, and the applicant has indicated that stability data using the alternate bag is available on request.</w:t>
      </w:r>
    </w:p>
    <w:p w:rsidR="008B3A52" w:rsidRDefault="008B3A52" w:rsidP="00036BB6">
      <w:r>
        <w:rPr>
          <w:szCs w:val="24"/>
        </w:rPr>
        <w:t xml:space="preserve">A number of impurities were described, including genotoxic impurities. </w:t>
      </w:r>
      <w:r w:rsidRPr="008B3A52">
        <w:t>The discussion and justification based on the genotoxicity assessments conducted by the company are suitable from a chemistry and quality</w:t>
      </w:r>
      <w:r>
        <w:t xml:space="preserve"> perspective; </w:t>
      </w:r>
      <w:r w:rsidRPr="008B3A52">
        <w:t>however</w:t>
      </w:r>
      <w:r>
        <w:t>,</w:t>
      </w:r>
      <w:r w:rsidRPr="008B3A52">
        <w:t xml:space="preserve"> the suitability of the </w:t>
      </w:r>
      <w:r w:rsidRPr="008B3A52">
        <w:lastRenderedPageBreak/>
        <w:t>genotoxicity assessmen</w:t>
      </w:r>
      <w:r>
        <w:t>t should be referred to the non</w:t>
      </w:r>
      <w:r w:rsidRPr="008B3A52">
        <w:t>clinical evaluation unit. These controls are considered adequate if the nominated limits are toxicologically acceptable.</w:t>
      </w:r>
    </w:p>
    <w:p w:rsidR="00772CC0" w:rsidRDefault="008B3A52" w:rsidP="008B3A52">
      <w:r w:rsidRPr="008B3A52">
        <w:t xml:space="preserve">Based on the results presented, the drug substance is suitably stable </w:t>
      </w:r>
      <w:r>
        <w:t>when stored at 2-</w:t>
      </w:r>
      <w:r w:rsidRPr="008B3A52">
        <w:t xml:space="preserve">8°C in the proposed container closure system, and is unlikely to degrade significantly under normal storage conditions. The data presented supports a retest period of 30 months at </w:t>
      </w:r>
      <w:r>
        <w:t>2-</w:t>
      </w:r>
      <w:r w:rsidRPr="008B3A52">
        <w:t>8°C. The drug substance was shown to be unaffected by light exposure, and no special storage conditions are required</w:t>
      </w:r>
      <w:r w:rsidR="00772CC0">
        <w:t>.</w:t>
      </w:r>
    </w:p>
    <w:p w:rsidR="008E7846" w:rsidRDefault="008E7846" w:rsidP="008E7846">
      <w:pPr>
        <w:pStyle w:val="Heading3"/>
      </w:pPr>
      <w:bookmarkStart w:id="33" w:name="_Toc247691508"/>
      <w:bookmarkStart w:id="34" w:name="_Toc314842490"/>
      <w:bookmarkStart w:id="35" w:name="_Toc461092034"/>
      <w:r w:rsidRPr="008751DC">
        <w:t xml:space="preserve">Drug </w:t>
      </w:r>
      <w:r>
        <w:t>p</w:t>
      </w:r>
      <w:r w:rsidRPr="008751DC">
        <w:t>roduct</w:t>
      </w:r>
      <w:bookmarkEnd w:id="33"/>
      <w:bookmarkEnd w:id="34"/>
      <w:bookmarkEnd w:id="35"/>
    </w:p>
    <w:p w:rsidR="008B3A52" w:rsidRPr="008B3A52" w:rsidRDefault="008B3A52" w:rsidP="008B3A52">
      <w:r w:rsidRPr="008B3A52">
        <w:t xml:space="preserve">The lenvatinib capsules are described as </w:t>
      </w:r>
      <w:proofErr w:type="spellStart"/>
      <w:r w:rsidRPr="008B3A52">
        <w:t>hypromellose</w:t>
      </w:r>
      <w:proofErr w:type="spellEnd"/>
      <w:r w:rsidRPr="008B3A52">
        <w:t xml:space="preserve"> number 4 hard capsules each containing 100 mg of granules</w:t>
      </w:r>
      <w:r w:rsidR="002D3FC1">
        <w:t xml:space="preserve"> (Figure 3)</w:t>
      </w:r>
      <w:r w:rsidRPr="008B3A52">
        <w:t>:</w:t>
      </w:r>
    </w:p>
    <w:p w:rsidR="008B3A52" w:rsidRPr="008B3A52" w:rsidRDefault="008B3A52" w:rsidP="008B3A52">
      <w:pPr>
        <w:pStyle w:val="ListBullet"/>
      </w:pPr>
      <w:r w:rsidRPr="008B3A52">
        <w:t xml:space="preserve">4 </w:t>
      </w:r>
      <w:r>
        <w:t xml:space="preserve">mg: </w:t>
      </w:r>
      <w:r w:rsidRPr="008B3A52">
        <w:t>A yellowish red body and a yellowish red cap, marked in black ink with “Є” on the cap and “LENV 4 mg” on the body.</w:t>
      </w:r>
    </w:p>
    <w:p w:rsidR="008B3A52" w:rsidRPr="008B3A52" w:rsidRDefault="008B3A52" w:rsidP="008B3A52">
      <w:pPr>
        <w:pStyle w:val="ListBullet"/>
      </w:pPr>
      <w:r>
        <w:t xml:space="preserve">10 mg: </w:t>
      </w:r>
      <w:r w:rsidRPr="008B3A52">
        <w:t>A yellow body and a yellowish red cap, marked in black ink with “Є” on the cap and “LENV 10 mg” on the body.</w:t>
      </w:r>
    </w:p>
    <w:p w:rsidR="002D3FC1" w:rsidRPr="00053696" w:rsidRDefault="002D3FC1" w:rsidP="002D3FC1">
      <w:pPr>
        <w:pStyle w:val="FigureTitle"/>
      </w:pPr>
      <w:proofErr w:type="gramStart"/>
      <w:r>
        <w:t>Figure 3.</w:t>
      </w:r>
      <w:proofErr w:type="gramEnd"/>
      <w:r>
        <w:t xml:space="preserve"> </w:t>
      </w:r>
      <w:r w:rsidR="00CE4561">
        <w:t>L</w:t>
      </w:r>
      <w:r w:rsidR="00CE4561" w:rsidRPr="008B3A52">
        <w:t>envatinib capsules</w:t>
      </w:r>
      <w:r w:rsidR="00CE4561">
        <w:t xml:space="preserve"> (4 mg and 10 mg strengths)</w:t>
      </w:r>
      <w:r>
        <w:t>.</w:t>
      </w:r>
    </w:p>
    <w:p w:rsidR="002D3FC1" w:rsidRDefault="00CE4561" w:rsidP="008B3A52">
      <w:r>
        <w:rPr>
          <w:noProof/>
          <w:lang w:eastAsia="en-AU"/>
        </w:rPr>
        <w:drawing>
          <wp:inline distT="0" distB="0" distL="0" distR="0" wp14:anchorId="0870243A" wp14:editId="512A8728">
            <wp:extent cx="5400040" cy="1857706"/>
            <wp:effectExtent l="0" t="0" r="0" b="9525"/>
            <wp:docPr id="7" name="Picture 7" descr="Figure 3. Lenvatinib capsules (4 mg and 10 mg str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1857706"/>
                    </a:xfrm>
                    <a:prstGeom prst="rect">
                      <a:avLst/>
                    </a:prstGeom>
                  </pic:spPr>
                </pic:pic>
              </a:graphicData>
            </a:graphic>
          </wp:inline>
        </w:drawing>
      </w:r>
    </w:p>
    <w:p w:rsidR="00772CC0" w:rsidRDefault="00CE4561" w:rsidP="00772CC0">
      <w:r w:rsidRPr="007146C9">
        <w:t>The capsules are packaged in cold</w:t>
      </w:r>
      <w:r w:rsidR="007146C9">
        <w:t xml:space="preserve"> </w:t>
      </w:r>
      <w:r w:rsidRPr="007146C9">
        <w:t>formed polyamide and polyvinyl chloride laminated aluminium film blisters sealed by a push</w:t>
      </w:r>
      <w:r w:rsidR="007146C9">
        <w:t xml:space="preserve"> </w:t>
      </w:r>
      <w:r w:rsidRPr="007146C9">
        <w:t>through aluminium foil</w:t>
      </w:r>
      <w:r w:rsidR="00772CC0">
        <w:t>.</w:t>
      </w:r>
    </w:p>
    <w:p w:rsidR="00CE4561" w:rsidRDefault="00CE4561" w:rsidP="00772CC0">
      <w:r w:rsidRPr="00EA13D4">
        <w:t>A conventional immediate release formulation is used for the product, with direct replacement for the two strengths. Thus</w:t>
      </w:r>
      <w:r>
        <w:t>,</w:t>
      </w:r>
      <w:r w:rsidRPr="00EA13D4">
        <w:t xml:space="preserve"> the capsule contents are </w:t>
      </w:r>
      <w:r w:rsidRPr="00EA13D4">
        <w:rPr>
          <w:b/>
        </w:rPr>
        <w:t>not</w:t>
      </w:r>
      <w:r w:rsidRPr="00EA13D4">
        <w:t xml:space="preserve"> scaled, but use a fixed excipient matrix except for mannitol which is adjusted to give the same fill mass.</w:t>
      </w:r>
    </w:p>
    <w:p w:rsidR="00CE4561" w:rsidRPr="00CE4561" w:rsidRDefault="00CE4561" w:rsidP="00772CC0">
      <w:r w:rsidRPr="00CE4561">
        <w:t>Based on the presented data</w:t>
      </w:r>
      <w:r w:rsidR="00957F33">
        <w:t>,</w:t>
      </w:r>
      <w:r w:rsidRPr="00CE4561">
        <w:t xml:space="preserve"> the proposed shelf life for the unopened product in aluminium blisters of 36 months ‘Store below 30°C’ is suitable, subject to the responses to the above queries.</w:t>
      </w:r>
    </w:p>
    <w:p w:rsidR="00CE4561" w:rsidRPr="00CE4561" w:rsidRDefault="00CE4561" w:rsidP="00772CC0">
      <w:r w:rsidRPr="00CE4561">
        <w:t>Based on the results presented, the bulk drug product is very stable and is unlikely to degrade significantly under normal storage and handling conditions. Shipping excursions of -20°C to 50°C have been shown to have no impact on the packed drug product quality over a 4 week period, and the bulk product has been shown to be suitably stabl</w:t>
      </w:r>
      <w:r>
        <w:t xml:space="preserve">e for 24 months at 30°C and </w:t>
      </w:r>
      <w:r w:rsidRPr="00CE4561">
        <w:t>75%</w:t>
      </w:r>
      <w:r>
        <w:t xml:space="preserve"> relative humidity (RH).</w:t>
      </w:r>
    </w:p>
    <w:p w:rsidR="00772CC0" w:rsidRDefault="00CE4561" w:rsidP="00772CC0">
      <w:r w:rsidRPr="00CE4561">
        <w:t>The directly exposed drug product was shown to be unaffected by light exposure, and no special storage conditions are required</w:t>
      </w:r>
      <w:r w:rsidR="00772CC0">
        <w:t>.</w:t>
      </w:r>
    </w:p>
    <w:p w:rsidR="008E7846" w:rsidRDefault="008E7846" w:rsidP="008E7846">
      <w:pPr>
        <w:pStyle w:val="Heading3"/>
      </w:pPr>
      <w:bookmarkStart w:id="36" w:name="_Toc314842491"/>
      <w:bookmarkStart w:id="37" w:name="_Toc461092035"/>
      <w:r>
        <w:lastRenderedPageBreak/>
        <w:t>Biopharmaceutics</w:t>
      </w:r>
      <w:bookmarkEnd w:id="36"/>
      <w:bookmarkEnd w:id="37"/>
    </w:p>
    <w:p w:rsidR="00772CC0" w:rsidRDefault="004F6826" w:rsidP="004F6826">
      <w:pPr>
        <w:pStyle w:val="Heading4"/>
      </w:pPr>
      <w:r w:rsidRPr="00EA13D4">
        <w:t>Rate and extent of absorption</w:t>
      </w:r>
    </w:p>
    <w:p w:rsidR="004F6826" w:rsidRPr="004F6826" w:rsidRDefault="004F6826" w:rsidP="004F6826">
      <w:proofErr w:type="spellStart"/>
      <w:r w:rsidRPr="004F6826">
        <w:t>Lenvatinib</w:t>
      </w:r>
      <w:proofErr w:type="spellEnd"/>
      <w:r w:rsidRPr="004F6826">
        <w:t xml:space="preserve"> is rapidly absorbed </w:t>
      </w:r>
      <w:r w:rsidR="007146C9">
        <w:t xml:space="preserve">after oral administration with </w:t>
      </w:r>
      <w:proofErr w:type="spellStart"/>
      <w:r w:rsidR="007146C9">
        <w:t>T</w:t>
      </w:r>
      <w:r w:rsidRPr="004F6826">
        <w:t>max</w:t>
      </w:r>
      <w:proofErr w:type="spellEnd"/>
      <w:r w:rsidRPr="004F6826">
        <w:t xml:space="preserve"> typically observed from 1 to 4 hours post</w:t>
      </w:r>
      <w:r w:rsidR="007146C9">
        <w:t xml:space="preserve"> </w:t>
      </w:r>
      <w:r w:rsidRPr="004F6826">
        <w:t>dose. Food does not affect the extent of absorption, but slows the rate of absorption. When administered with food to healthy subjects, peak plasma conce</w:t>
      </w:r>
      <w:r w:rsidR="00D009AB">
        <w:t>ntrations are delayed by 2 h</w:t>
      </w:r>
      <w:r w:rsidRPr="004F6826">
        <w:t>.</w:t>
      </w:r>
    </w:p>
    <w:p w:rsidR="004F6826" w:rsidRPr="00EA13D4" w:rsidRDefault="004F6826" w:rsidP="004F6826">
      <w:pPr>
        <w:pStyle w:val="Heading4"/>
      </w:pPr>
      <w:r w:rsidRPr="00EA13D4">
        <w:t>Metabolism and distribution</w:t>
      </w:r>
    </w:p>
    <w:p w:rsidR="00772CC0" w:rsidRDefault="004F6826" w:rsidP="004F6826">
      <w:bookmarkStart w:id="38" w:name="_Ref307423948"/>
      <w:r w:rsidRPr="004F6826">
        <w:t>In vitro, cytochrome P450 3A4 was the predominant (&gt;80%) cytochro</w:t>
      </w:r>
      <w:r w:rsidR="00C81A01">
        <w:t>me isoform involved in the P450</w:t>
      </w:r>
      <w:r w:rsidRPr="004F6826">
        <w:t xml:space="preserve"> mediated metabolism of lenvatinib. In vivo, inducers and inhibitors of CYP 3A4 had a minimal effect on </w:t>
      </w:r>
      <w:proofErr w:type="spellStart"/>
      <w:r w:rsidRPr="004F6826">
        <w:t>lenvatinib</w:t>
      </w:r>
      <w:proofErr w:type="spellEnd"/>
      <w:r w:rsidRPr="004F6826">
        <w:t xml:space="preserve"> exposure</w:t>
      </w:r>
      <w:r w:rsidR="00772CC0">
        <w:t>.</w:t>
      </w:r>
    </w:p>
    <w:p w:rsidR="00772CC0" w:rsidRDefault="004F6826" w:rsidP="004F6826">
      <w:r w:rsidRPr="004F6826">
        <w:t xml:space="preserve">In human liver </w:t>
      </w:r>
      <w:proofErr w:type="spellStart"/>
      <w:r w:rsidRPr="004F6826">
        <w:t>microsomes</w:t>
      </w:r>
      <w:proofErr w:type="spellEnd"/>
      <w:r w:rsidRPr="004F6826">
        <w:t xml:space="preserve">, the </w:t>
      </w:r>
      <w:proofErr w:type="spellStart"/>
      <w:r w:rsidRPr="004F6826">
        <w:t>demethylated</w:t>
      </w:r>
      <w:proofErr w:type="spellEnd"/>
      <w:r w:rsidRPr="004F6826">
        <w:t xml:space="preserve"> form of lenvatinib (M2) was identified as the main metabolite. M2’ and M3’, the major metabolites in human faeces, were formed from M2 and lenvatinib, respectively, by aldehyde oxidase</w:t>
      </w:r>
      <w:r w:rsidR="00772CC0">
        <w:t>.</w:t>
      </w:r>
    </w:p>
    <w:p w:rsidR="004F6826" w:rsidRPr="004F6826" w:rsidRDefault="004F6826" w:rsidP="004F6826">
      <w:r w:rsidRPr="004F6826">
        <w:t xml:space="preserve">In plasma samples collected up to 24 hours after administration, lenvatinib constituted 97% of the radioactivity in plasma </w:t>
      </w:r>
      <w:proofErr w:type="spellStart"/>
      <w:r w:rsidRPr="004F6826">
        <w:t>radiochromatograms</w:t>
      </w:r>
      <w:proofErr w:type="spellEnd"/>
      <w:r w:rsidRPr="004F6826">
        <w:t xml:space="preserve"> while the M2 metabolite accounted for an additional 2.5%. Based on AUC</w:t>
      </w:r>
      <w:r w:rsidRPr="00FE542B">
        <w:rPr>
          <w:vertAlign w:val="subscript"/>
        </w:rPr>
        <w:t>0-∞</w:t>
      </w:r>
      <w:r w:rsidRPr="004F6826">
        <w:t>, lenvatinib accounted for 60% and 64% of the total radioactivity in plasma and blood, respectively.</w:t>
      </w:r>
    </w:p>
    <w:p w:rsidR="004F6826" w:rsidRPr="004F6826" w:rsidRDefault="004F6826" w:rsidP="004F6826">
      <w:r w:rsidRPr="004F6826">
        <w:t>Data from a human mass balance/excretion study indicate lenvatinib is extensively metabolised in humans. The main metabolic pathways in humans were identified as oxidation by aldehyde oxidase, demethylation via CYP3A4, glutathione conjugation with elimination of the O-aryl group (</w:t>
      </w:r>
      <w:proofErr w:type="spellStart"/>
      <w:r w:rsidRPr="004F6826">
        <w:t>chlorbenzyl</w:t>
      </w:r>
      <w:proofErr w:type="spellEnd"/>
      <w:r w:rsidRPr="004F6826">
        <w:t xml:space="preserve"> moiety), and combinations of these pathways followed by </w:t>
      </w:r>
      <w:r w:rsidR="00FE542B">
        <w:t xml:space="preserve">further </w:t>
      </w:r>
      <w:proofErr w:type="spellStart"/>
      <w:r w:rsidR="00FE542B">
        <w:t>biotransformations</w:t>
      </w:r>
      <w:proofErr w:type="spellEnd"/>
      <w:r w:rsidR="00FE542B">
        <w:t xml:space="preserve"> (for example</w:t>
      </w:r>
      <w:r w:rsidRPr="004F6826">
        <w:t xml:space="preserve">, </w:t>
      </w:r>
      <w:proofErr w:type="spellStart"/>
      <w:r w:rsidRPr="004F6826">
        <w:t>glucuronidation</w:t>
      </w:r>
      <w:proofErr w:type="spellEnd"/>
      <w:r w:rsidRPr="004F6826">
        <w:t xml:space="preserve">, hydrolysis of the glutathione moiety, degradation of the cysteine moiety, and intramolecular rearrangement of the </w:t>
      </w:r>
      <w:proofErr w:type="spellStart"/>
      <w:r w:rsidRPr="004F6826">
        <w:t>cysteinylglycine</w:t>
      </w:r>
      <w:proofErr w:type="spellEnd"/>
      <w:r w:rsidRPr="004F6826">
        <w:t xml:space="preserve"> and cysteine conjugates with subsequent </w:t>
      </w:r>
      <w:proofErr w:type="spellStart"/>
      <w:r w:rsidRPr="004F6826">
        <w:t>dimerisation</w:t>
      </w:r>
      <w:proofErr w:type="spellEnd"/>
      <w:r w:rsidRPr="004F6826">
        <w:t>). These in vivo metabolic routes align with the data provided in the in vitro studies using human biomaterials.</w:t>
      </w:r>
    </w:p>
    <w:p w:rsidR="004F6826" w:rsidRPr="004F6826" w:rsidRDefault="004F6826" w:rsidP="004F6826">
      <w:r w:rsidRPr="004F6826">
        <w:t>In vitro binding of lenvatinib to human plasma proteins was high a</w:t>
      </w:r>
      <w:r w:rsidR="00D009AB">
        <w:t>nd ranged from 98% to 99% (0.3-</w:t>
      </w:r>
      <w:r w:rsidRPr="004F6826">
        <w:t xml:space="preserve">30 </w:t>
      </w:r>
      <w:proofErr w:type="spellStart"/>
      <w:r w:rsidRPr="004F6826">
        <w:t>μg</w:t>
      </w:r>
      <w:proofErr w:type="spellEnd"/>
      <w:r w:rsidRPr="004F6826">
        <w:t xml:space="preserve">/mL, </w:t>
      </w:r>
      <w:proofErr w:type="spellStart"/>
      <w:r w:rsidRPr="004F6826">
        <w:t>mesilate</w:t>
      </w:r>
      <w:proofErr w:type="spellEnd"/>
      <w:r w:rsidRPr="004F6826">
        <w:t>). This binding was mainly to albumin with minor binding to α1-acid glycoprotein and γ-globulin.</w:t>
      </w:r>
    </w:p>
    <w:p w:rsidR="004F6826" w:rsidRPr="004F6826" w:rsidRDefault="004F6826" w:rsidP="004F6826">
      <w:r w:rsidRPr="004F6826">
        <w:t>In vitro, the lenvatinib blood-to-plasma concentration ratio ra</w:t>
      </w:r>
      <w:r w:rsidR="00D009AB">
        <w:t>nged from 0.589 to 0.608 (0.1-</w:t>
      </w:r>
      <w:r w:rsidRPr="004F6826">
        <w:t xml:space="preserve">10 </w:t>
      </w:r>
      <w:proofErr w:type="spellStart"/>
      <w:r w:rsidRPr="004F6826">
        <w:t>μg</w:t>
      </w:r>
      <w:proofErr w:type="spellEnd"/>
      <w:r w:rsidRPr="004F6826">
        <w:t xml:space="preserve">/mL, </w:t>
      </w:r>
      <w:proofErr w:type="spellStart"/>
      <w:r w:rsidRPr="004F6826">
        <w:t>mesilate</w:t>
      </w:r>
      <w:proofErr w:type="spellEnd"/>
      <w:r w:rsidRPr="004F6826">
        <w:t>). Lenvatinib is a substrate for P-</w:t>
      </w:r>
      <w:proofErr w:type="spellStart"/>
      <w:r w:rsidRPr="004F6826">
        <w:t>gp</w:t>
      </w:r>
      <w:proofErr w:type="spellEnd"/>
      <w:r w:rsidRPr="004F6826">
        <w:t xml:space="preserve"> and BCRP. Lenvatinib is not a substrate for OAT1, OAT3, OATP1B1, OATP1B3, OCT1, OCT2, or the BSEP.</w:t>
      </w:r>
    </w:p>
    <w:bookmarkEnd w:id="38"/>
    <w:p w:rsidR="004F6826" w:rsidRPr="00EA13D4" w:rsidRDefault="004F6826" w:rsidP="004F6826">
      <w:pPr>
        <w:pStyle w:val="Heading4"/>
      </w:pPr>
      <w:r w:rsidRPr="00EA13D4">
        <w:t>Mode, route and rate of elimination</w:t>
      </w:r>
    </w:p>
    <w:p w:rsidR="004F6826" w:rsidRPr="004F6826" w:rsidRDefault="004F6826" w:rsidP="004F6826">
      <w:r w:rsidRPr="004F6826">
        <w:t xml:space="preserve">Plasma concentrations decline bi-exponentially following </w:t>
      </w:r>
      <w:proofErr w:type="spellStart"/>
      <w:r w:rsidRPr="004F6826">
        <w:t>Cmax</w:t>
      </w:r>
      <w:proofErr w:type="spellEnd"/>
      <w:r w:rsidRPr="004F6826">
        <w:t>. The mean terminal exponential half-life of lenvatinib</w:t>
      </w:r>
      <w:r w:rsidR="00D009AB">
        <w:t xml:space="preserve"> is approximately 28 h</w:t>
      </w:r>
      <w:r w:rsidRPr="004F6826">
        <w:t>.</w:t>
      </w:r>
    </w:p>
    <w:p w:rsidR="004F6826" w:rsidRPr="004F6826" w:rsidRDefault="004F6826" w:rsidP="004F6826">
      <w:r w:rsidRPr="004F6826">
        <w:t xml:space="preserve">Following administration of radiolabelled lenvatinib to 6 patients with solid tumours, approximately two-thirds and one-fourth of the radiolabel were eliminated in the faeces and urine, respectively. The M2 metabolite was the predominant </w:t>
      </w:r>
      <w:proofErr w:type="spellStart"/>
      <w:r w:rsidRPr="004F6826">
        <w:t>analyte</w:t>
      </w:r>
      <w:proofErr w:type="spellEnd"/>
      <w:r w:rsidRPr="004F6826">
        <w:t xml:space="preserve"> in excreta (~5% of the dose) with lenvatinib the second most prominent (~2.5%).</w:t>
      </w:r>
    </w:p>
    <w:p w:rsidR="004F6826" w:rsidRPr="00EA13D4" w:rsidRDefault="004F6826" w:rsidP="004F6826">
      <w:pPr>
        <w:pStyle w:val="Heading4"/>
      </w:pPr>
      <w:r w:rsidRPr="00EA13D4">
        <w:t>Dose response proportionality</w:t>
      </w:r>
    </w:p>
    <w:p w:rsidR="004F6826" w:rsidRPr="004F6826" w:rsidRDefault="004F6826" w:rsidP="004F6826">
      <w:r w:rsidRPr="004F6826">
        <w:t xml:space="preserve">In patients with solid tumours administered single and multiple doses of lenvatinib once daily, exposure to </w:t>
      </w:r>
      <w:proofErr w:type="spellStart"/>
      <w:r w:rsidRPr="004F6826">
        <w:t>lenvatinib</w:t>
      </w:r>
      <w:proofErr w:type="spellEnd"/>
      <w:r w:rsidRPr="004F6826">
        <w:t xml:space="preserve"> (</w:t>
      </w:r>
      <w:proofErr w:type="spellStart"/>
      <w:r w:rsidRPr="004F6826">
        <w:t>Cmax</w:t>
      </w:r>
      <w:proofErr w:type="spellEnd"/>
      <w:r w:rsidRPr="004F6826">
        <w:t xml:space="preserve"> and AUC) increased in direct proportion to the administered dose over the range of 3.2 to 32 mg once</w:t>
      </w:r>
      <w:r w:rsidR="00E13B41">
        <w:t xml:space="preserve"> </w:t>
      </w:r>
      <w:r w:rsidRPr="004F6826">
        <w:t>daily (QD).</w:t>
      </w:r>
    </w:p>
    <w:p w:rsidR="004F6826" w:rsidRPr="00EA13D4" w:rsidRDefault="004F6826" w:rsidP="004F6826">
      <w:pPr>
        <w:pStyle w:val="Heading4"/>
      </w:pPr>
      <w:r w:rsidRPr="00EA13D4">
        <w:lastRenderedPageBreak/>
        <w:t>Effects of age, gender and genetic polymorphism</w:t>
      </w:r>
    </w:p>
    <w:p w:rsidR="004F6826" w:rsidRPr="004F6826" w:rsidRDefault="004F6826" w:rsidP="004F6826">
      <w:r w:rsidRPr="004F6826">
        <w:t>Based on a population pharmacokinetic analysis of patients receiving up to 24 mg lenvatinib once daily, age, se</w:t>
      </w:r>
      <w:r>
        <w:t>x, weight, or race (Japanese versus</w:t>
      </w:r>
      <w:r w:rsidRPr="004F6826">
        <w:t xml:space="preserve"> other, Caucasian </w:t>
      </w:r>
      <w:r w:rsidR="00E27D4D">
        <w:t>versus</w:t>
      </w:r>
      <w:r w:rsidR="00E27D4D" w:rsidRPr="004F6826">
        <w:t xml:space="preserve"> </w:t>
      </w:r>
      <w:r w:rsidRPr="004F6826">
        <w:t>other) had no significant effects on clearance</w:t>
      </w:r>
    </w:p>
    <w:p w:rsidR="004F6826" w:rsidRPr="004F6826" w:rsidRDefault="004F6826" w:rsidP="004F6826">
      <w:r w:rsidRPr="004F6826">
        <w:t>Paediatric patients have not been studied.</w:t>
      </w:r>
    </w:p>
    <w:p w:rsidR="004F6826" w:rsidRPr="00EA13D4" w:rsidRDefault="004F6826" w:rsidP="004F6826">
      <w:pPr>
        <w:pStyle w:val="Heading4"/>
      </w:pPr>
      <w:r w:rsidRPr="00EA13D4">
        <w:t>Effects of food</w:t>
      </w:r>
    </w:p>
    <w:p w:rsidR="004F6826" w:rsidRDefault="004F6826" w:rsidP="004F6826">
      <w:r w:rsidRPr="004F6826">
        <w:t xml:space="preserve">Food does not affect the extent of absorption, but slows the rate of absorption. When </w:t>
      </w:r>
      <w:r w:rsidR="00CB7048">
        <w:t xml:space="preserve">given </w:t>
      </w:r>
      <w:r w:rsidRPr="004F6826">
        <w:t>with food to healthy subjects, peak plasma conce</w:t>
      </w:r>
      <w:r>
        <w:t>ntrations are delayed by 2 h</w:t>
      </w:r>
      <w:r w:rsidRPr="004F6826">
        <w:t>.</w:t>
      </w:r>
    </w:p>
    <w:p w:rsidR="00D009AB" w:rsidRDefault="00D009AB" w:rsidP="00D009AB">
      <w:pPr>
        <w:pStyle w:val="Heading4"/>
      </w:pPr>
      <w:r>
        <w:t>Summary of bioavailability and bioequivalence studies</w:t>
      </w:r>
    </w:p>
    <w:p w:rsidR="00D009AB" w:rsidRDefault="00D009AB" w:rsidP="00D009AB">
      <w:r w:rsidRPr="00D009AB">
        <w:t xml:space="preserve">Three </w:t>
      </w:r>
      <w:proofErr w:type="spellStart"/>
      <w:r w:rsidR="00E13B41">
        <w:t>b</w:t>
      </w:r>
      <w:r w:rsidRPr="00D009AB">
        <w:t>iopharmaceutic</w:t>
      </w:r>
      <w:proofErr w:type="spellEnd"/>
      <w:r w:rsidRPr="00D009AB">
        <w:t>/</w:t>
      </w:r>
      <w:r w:rsidR="00E13B41">
        <w:t>b</w:t>
      </w:r>
      <w:r w:rsidRPr="00D009AB">
        <w:t>ioavailability/</w:t>
      </w:r>
      <w:r w:rsidR="00E13B41">
        <w:t>b</w:t>
      </w:r>
      <w:r w:rsidRPr="00D009AB">
        <w:t xml:space="preserve">ioequivalence studies have been presented in the dossier. </w:t>
      </w:r>
      <w:r w:rsidR="00C43C93">
        <w:t>Table 1</w:t>
      </w:r>
      <w:r w:rsidRPr="00D009AB">
        <w:t xml:space="preserve"> summarises the studies performed, and indicates which studies have been fully evaluated or summarised.</w:t>
      </w:r>
    </w:p>
    <w:p w:rsidR="00406DAF" w:rsidRPr="00D009AB" w:rsidRDefault="00406DAF" w:rsidP="00406DAF">
      <w:pPr>
        <w:pStyle w:val="TableTitle"/>
      </w:pPr>
      <w:proofErr w:type="gramStart"/>
      <w:r>
        <w:t>Table 1.</w:t>
      </w:r>
      <w:proofErr w:type="gramEnd"/>
      <w:r>
        <w:t xml:space="preserve"> </w:t>
      </w:r>
      <w:proofErr w:type="gramStart"/>
      <w:r w:rsidRPr="00406DAF">
        <w:t>Summary of bioavailability and bioequivalence studies</w:t>
      </w:r>
      <w:r>
        <w:t>.</w:t>
      </w:r>
      <w:proofErr w:type="gramEnd"/>
    </w:p>
    <w:tbl>
      <w:tblPr>
        <w:tblStyle w:val="TableTGAblue"/>
        <w:tblW w:w="5000" w:type="pct"/>
        <w:tblLook w:val="04A0" w:firstRow="1" w:lastRow="0" w:firstColumn="1" w:lastColumn="0" w:noHBand="0" w:noVBand="1"/>
      </w:tblPr>
      <w:tblGrid>
        <w:gridCol w:w="1381"/>
        <w:gridCol w:w="3623"/>
        <w:gridCol w:w="2073"/>
        <w:gridCol w:w="1643"/>
      </w:tblGrid>
      <w:tr w:rsidR="00D009AB" w:rsidRPr="00C43C93" w:rsidTr="00772CC0">
        <w:trPr>
          <w:cnfStyle w:val="100000000000" w:firstRow="1" w:lastRow="0" w:firstColumn="0" w:lastColumn="0" w:oddVBand="0" w:evenVBand="0" w:oddHBand="0" w:evenHBand="0" w:firstRowFirstColumn="0" w:firstRowLastColumn="0" w:lastRowFirstColumn="0" w:lastRowLastColumn="0"/>
        </w:trPr>
        <w:tc>
          <w:tcPr>
            <w:tcW w:w="742" w:type="pct"/>
          </w:tcPr>
          <w:p w:rsidR="00D009AB" w:rsidRPr="00C43C93" w:rsidRDefault="00D009AB" w:rsidP="00772CC0">
            <w:r w:rsidRPr="00C43C93">
              <w:t>Study Number</w:t>
            </w:r>
          </w:p>
        </w:tc>
        <w:tc>
          <w:tcPr>
            <w:tcW w:w="2140" w:type="pct"/>
          </w:tcPr>
          <w:p w:rsidR="00D009AB" w:rsidRPr="00C43C93" w:rsidRDefault="00D009AB" w:rsidP="00772CC0">
            <w:r w:rsidRPr="00C43C93">
              <w:t>Primary objectives</w:t>
            </w:r>
          </w:p>
        </w:tc>
        <w:tc>
          <w:tcPr>
            <w:tcW w:w="1251" w:type="pct"/>
          </w:tcPr>
          <w:p w:rsidR="00D009AB" w:rsidRPr="00C43C93" w:rsidRDefault="00D009AB" w:rsidP="00772CC0">
            <w:r w:rsidRPr="00C43C93">
              <w:t>Formulations</w:t>
            </w:r>
          </w:p>
        </w:tc>
        <w:tc>
          <w:tcPr>
            <w:tcW w:w="867" w:type="pct"/>
          </w:tcPr>
          <w:p w:rsidR="00D009AB" w:rsidRPr="00C43C93" w:rsidRDefault="00D009AB" w:rsidP="00772CC0">
            <w:r w:rsidRPr="00C43C93">
              <w:t>Evaluation</w:t>
            </w:r>
          </w:p>
        </w:tc>
      </w:tr>
      <w:tr w:rsidR="00D009AB" w:rsidRPr="00C43C93" w:rsidTr="00772CC0">
        <w:tc>
          <w:tcPr>
            <w:tcW w:w="742" w:type="pct"/>
          </w:tcPr>
          <w:p w:rsidR="00D009AB" w:rsidRPr="00C43C93" w:rsidRDefault="00D009AB" w:rsidP="00772CC0">
            <w:r w:rsidRPr="00C43C93">
              <w:t>E7080-A001-001</w:t>
            </w:r>
          </w:p>
        </w:tc>
        <w:tc>
          <w:tcPr>
            <w:tcW w:w="2140" w:type="pct"/>
          </w:tcPr>
          <w:p w:rsidR="00D009AB" w:rsidRPr="00C43C93" w:rsidRDefault="00D009AB" w:rsidP="00772CC0">
            <w:r w:rsidRPr="00C43C93">
              <w:t>To compare the bioavailability of a 10-mg capsule formulation with the 10-mg tablet formulation of E7080</w:t>
            </w:r>
          </w:p>
        </w:tc>
        <w:tc>
          <w:tcPr>
            <w:tcW w:w="1251" w:type="pct"/>
          </w:tcPr>
          <w:p w:rsidR="00772CC0" w:rsidRDefault="00D009AB" w:rsidP="00772CC0">
            <w:r w:rsidRPr="00C43C93">
              <w:t>E7080 10-mg capsule</w:t>
            </w:r>
            <w:r w:rsidR="00772CC0">
              <w:t xml:space="preserve"> </w:t>
            </w:r>
          </w:p>
          <w:p w:rsidR="00D009AB" w:rsidRPr="00C43C93" w:rsidRDefault="00D009AB" w:rsidP="00772CC0">
            <w:r w:rsidRPr="00C43C93">
              <w:t>E7080 10-mg tablet</w:t>
            </w:r>
          </w:p>
        </w:tc>
        <w:tc>
          <w:tcPr>
            <w:tcW w:w="867" w:type="pct"/>
          </w:tcPr>
          <w:p w:rsidR="00D009AB" w:rsidRPr="00C43C93" w:rsidRDefault="00D009AB" w:rsidP="00772CC0">
            <w:r w:rsidRPr="00C43C93">
              <w:t>Summary only</w:t>
            </w:r>
          </w:p>
        </w:tc>
      </w:tr>
      <w:tr w:rsidR="00D009AB" w:rsidRPr="00C43C93" w:rsidTr="00772CC0">
        <w:tc>
          <w:tcPr>
            <w:tcW w:w="742" w:type="pct"/>
          </w:tcPr>
          <w:p w:rsidR="00D009AB" w:rsidRPr="00C43C93" w:rsidRDefault="00D009AB" w:rsidP="00772CC0">
            <w:r w:rsidRPr="00C43C93">
              <w:t>E7080-A001-003</w:t>
            </w:r>
          </w:p>
        </w:tc>
        <w:tc>
          <w:tcPr>
            <w:tcW w:w="2140" w:type="pct"/>
          </w:tcPr>
          <w:p w:rsidR="00D009AB" w:rsidRPr="00C43C93" w:rsidRDefault="00D009AB" w:rsidP="00772CC0">
            <w:r w:rsidRPr="00C43C93">
              <w:t>To determine the effect of food on the bioavailability of E7080 following administration of E7080 with and without a high fat meal</w:t>
            </w:r>
          </w:p>
        </w:tc>
        <w:tc>
          <w:tcPr>
            <w:tcW w:w="1251" w:type="pct"/>
          </w:tcPr>
          <w:p w:rsidR="00D009AB" w:rsidRPr="00C43C93" w:rsidRDefault="00D009AB" w:rsidP="00772CC0">
            <w:r w:rsidRPr="00C43C93">
              <w:t>E7080 10-mg capsule</w:t>
            </w:r>
          </w:p>
        </w:tc>
        <w:tc>
          <w:tcPr>
            <w:tcW w:w="867" w:type="pct"/>
          </w:tcPr>
          <w:p w:rsidR="00D009AB" w:rsidRPr="00C43C93" w:rsidRDefault="00D009AB" w:rsidP="00772CC0">
            <w:r w:rsidRPr="00C43C93">
              <w:t>Full evaluation</w:t>
            </w:r>
          </w:p>
        </w:tc>
      </w:tr>
      <w:tr w:rsidR="00D009AB" w:rsidRPr="00C43C93" w:rsidTr="00772CC0">
        <w:tc>
          <w:tcPr>
            <w:tcW w:w="742" w:type="pct"/>
          </w:tcPr>
          <w:p w:rsidR="00D009AB" w:rsidRPr="00C43C93" w:rsidRDefault="00D009AB" w:rsidP="00772CC0">
            <w:r w:rsidRPr="00C43C93">
              <w:t>E7080-A001-008</w:t>
            </w:r>
          </w:p>
        </w:tc>
        <w:tc>
          <w:tcPr>
            <w:tcW w:w="2140" w:type="pct"/>
          </w:tcPr>
          <w:p w:rsidR="00D009AB" w:rsidRPr="00C43C93" w:rsidRDefault="00D009AB" w:rsidP="00772CC0">
            <w:r w:rsidRPr="00C43C93">
              <w:t xml:space="preserve">To determine whether two test lots of 10-mg capsules </w:t>
            </w:r>
            <w:proofErr w:type="gramStart"/>
            <w:r w:rsidRPr="00C43C93">
              <w:t>that vary</w:t>
            </w:r>
            <w:proofErr w:type="gramEnd"/>
            <w:r w:rsidRPr="00C43C93">
              <w:t xml:space="preserve"> by the level of lenvatinib </w:t>
            </w:r>
            <w:r w:rsidR="009254AC">
              <w:t>c</w:t>
            </w:r>
            <w:r w:rsidRPr="00C43C93">
              <w:t>rystal form were bioequivalent to a reference lot of 10-mg capsules.</w:t>
            </w:r>
          </w:p>
        </w:tc>
        <w:tc>
          <w:tcPr>
            <w:tcW w:w="1251" w:type="pct"/>
          </w:tcPr>
          <w:p w:rsidR="00D009AB" w:rsidRPr="00C43C93" w:rsidRDefault="009254AC" w:rsidP="00772CC0">
            <w:r w:rsidRPr="00C43C93">
              <w:t xml:space="preserve">E7080 10-mg capsules with </w:t>
            </w:r>
            <w:r>
              <w:t>low</w:t>
            </w:r>
            <w:r w:rsidRPr="00C43C93">
              <w:t xml:space="preserve">, </w:t>
            </w:r>
            <w:r>
              <w:t>medium</w:t>
            </w:r>
            <w:r w:rsidRPr="00C43C93">
              <w:t xml:space="preserve"> and </w:t>
            </w:r>
            <w:r>
              <w:t xml:space="preserve">high </w:t>
            </w:r>
            <w:r w:rsidRPr="00C43C93">
              <w:t>crystal form</w:t>
            </w:r>
          </w:p>
        </w:tc>
        <w:tc>
          <w:tcPr>
            <w:tcW w:w="867" w:type="pct"/>
          </w:tcPr>
          <w:p w:rsidR="00D009AB" w:rsidRPr="00C43C93" w:rsidRDefault="00D009AB" w:rsidP="00772CC0">
            <w:r w:rsidRPr="00C43C93">
              <w:t>Summary only</w:t>
            </w:r>
          </w:p>
        </w:tc>
      </w:tr>
    </w:tbl>
    <w:p w:rsidR="00D009AB" w:rsidRDefault="00D009AB" w:rsidP="00E9456C">
      <w:r w:rsidRPr="00E9456C">
        <w:t xml:space="preserve">The different formulations and their relation to the final proposed commercial formulation and the clinical study phases are </w:t>
      </w:r>
      <w:r w:rsidR="00E9456C">
        <w:t>summarised below in Table 2.</w:t>
      </w:r>
    </w:p>
    <w:p w:rsidR="009E2FEA" w:rsidRPr="00D009AB" w:rsidRDefault="009E2FEA" w:rsidP="009E2FEA">
      <w:pPr>
        <w:pStyle w:val="TableTitle"/>
      </w:pPr>
      <w:proofErr w:type="gramStart"/>
      <w:r>
        <w:lastRenderedPageBreak/>
        <w:t>Table 2.</w:t>
      </w:r>
      <w:proofErr w:type="gramEnd"/>
      <w:r>
        <w:t xml:space="preserve"> </w:t>
      </w:r>
      <w:proofErr w:type="gramStart"/>
      <w:r>
        <w:t>D</w:t>
      </w:r>
      <w:r w:rsidR="0021663A">
        <w:t xml:space="preserve">ifferent formulations and </w:t>
      </w:r>
      <w:r w:rsidRPr="00E9456C">
        <w:t>clinical study phases</w:t>
      </w:r>
      <w:r>
        <w:t>.</w:t>
      </w:r>
      <w:proofErr w:type="gramEnd"/>
    </w:p>
    <w:p w:rsidR="00D009AB" w:rsidRPr="00EA13D4" w:rsidRDefault="005A5C15" w:rsidP="00D009AB">
      <w:pPr>
        <w:jc w:val="both"/>
        <w:rPr>
          <w:szCs w:val="24"/>
        </w:rPr>
      </w:pPr>
      <w:r>
        <w:rPr>
          <w:noProof/>
          <w:lang w:eastAsia="en-AU"/>
        </w:rPr>
        <w:drawing>
          <wp:inline distT="0" distB="0" distL="0" distR="0" wp14:anchorId="11AAEB22" wp14:editId="650B322B">
            <wp:extent cx="5400040" cy="2221747"/>
            <wp:effectExtent l="0" t="0" r="0" b="7620"/>
            <wp:docPr id="8" name="Picture 8" descr="Table 2. Different formulations and clinical study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2221747"/>
                    </a:xfrm>
                    <a:prstGeom prst="rect">
                      <a:avLst/>
                    </a:prstGeom>
                  </pic:spPr>
                </pic:pic>
              </a:graphicData>
            </a:graphic>
          </wp:inline>
        </w:drawing>
      </w:r>
    </w:p>
    <w:p w:rsidR="00772CC0" w:rsidRDefault="00D009AB" w:rsidP="0021663A">
      <w:r w:rsidRPr="0021663A">
        <w:t xml:space="preserve">E7080-A001-003 has been fully evaluated as it provides an estimate of the food effect for the capsules. Evaluation of crossover multiple dose PK Study E7080-E044-101 which included a food effect arm was not required as it was performed on tablets, which have had very limited use and were not used in </w:t>
      </w:r>
      <w:r w:rsidR="0011393E">
        <w:t>p</w:t>
      </w:r>
      <w:r w:rsidRPr="0021663A">
        <w:t>ivotal studies</w:t>
      </w:r>
      <w:r w:rsidR="00772CC0">
        <w:t>.</w:t>
      </w:r>
    </w:p>
    <w:p w:rsidR="00D009AB" w:rsidRPr="0021663A" w:rsidRDefault="00D009AB" w:rsidP="0021663A">
      <w:r w:rsidRPr="0021663A">
        <w:t>E7080-A001-001 was a bridging bioequivalence study between the 10</w:t>
      </w:r>
      <w:r w:rsidR="00E13B41">
        <w:t xml:space="preserve"> </w:t>
      </w:r>
      <w:r w:rsidRPr="0021663A">
        <w:t>mg capsule proposed for marketing and the 10 mg film</w:t>
      </w:r>
      <w:r w:rsidR="005A5C15">
        <w:t xml:space="preserve"> </w:t>
      </w:r>
      <w:r w:rsidRPr="0021663A">
        <w:t>coated tablet used in early clinical studies. Evaluation has not been performed due to the very limited tablet use.</w:t>
      </w:r>
    </w:p>
    <w:p w:rsidR="009254AC" w:rsidRPr="0021663A" w:rsidRDefault="009254AC" w:rsidP="0021663A">
      <w:r w:rsidRPr="0021663A">
        <w:t xml:space="preserve">E7080-A001-008 was a bioequivalence study comparing capsules </w:t>
      </w:r>
      <w:r>
        <w:t xml:space="preserve">that varied by the levels of </w:t>
      </w:r>
      <w:r w:rsidRPr="0021663A">
        <w:t>crystal</w:t>
      </w:r>
      <w:r>
        <w:t>line lenvatinib</w:t>
      </w:r>
      <w:r w:rsidRPr="0021663A">
        <w:t xml:space="preserve">. </w:t>
      </w:r>
      <w:r w:rsidRPr="0016590C">
        <w:t xml:space="preserve">For both the </w:t>
      </w:r>
      <w:r>
        <w:t>h</w:t>
      </w:r>
      <w:r w:rsidRPr="0016590C">
        <w:t xml:space="preserve">igh and </w:t>
      </w:r>
      <w:r>
        <w:t>l</w:t>
      </w:r>
      <w:r w:rsidRPr="0016590C">
        <w:t xml:space="preserve">ow </w:t>
      </w:r>
      <w:r>
        <w:t>c</w:t>
      </w:r>
      <w:r w:rsidRPr="0016590C">
        <w:t xml:space="preserve">rystal </w:t>
      </w:r>
      <w:r>
        <w:t>l</w:t>
      </w:r>
      <w:r w:rsidRPr="0016590C">
        <w:t>evel test formulations, the 90% confidence intervals for AUC</w:t>
      </w:r>
      <w:r w:rsidRPr="0016590C">
        <w:rPr>
          <w:vertAlign w:val="subscript"/>
        </w:rPr>
        <w:t>0-∞</w:t>
      </w:r>
      <w:r w:rsidRPr="0016590C">
        <w:t>, AUC</w:t>
      </w:r>
      <w:r w:rsidRPr="0016590C">
        <w:rPr>
          <w:vertAlign w:val="subscript"/>
        </w:rPr>
        <w:t>0-t</w:t>
      </w:r>
      <w:r w:rsidRPr="0016590C">
        <w:t xml:space="preserve">, and </w:t>
      </w:r>
      <w:proofErr w:type="spellStart"/>
      <w:r w:rsidRPr="0016590C">
        <w:t>C</w:t>
      </w:r>
      <w:r w:rsidRPr="0016590C">
        <w:rPr>
          <w:vertAlign w:val="subscript"/>
        </w:rPr>
        <w:t>max</w:t>
      </w:r>
      <w:proofErr w:type="spellEnd"/>
      <w:r w:rsidRPr="0016590C">
        <w:t xml:space="preserve"> were within the 80% to 125% confidence interval, demonstrating bioequivalence.</w:t>
      </w:r>
      <w:r>
        <w:t xml:space="preserve"> </w:t>
      </w:r>
      <w:r w:rsidRPr="0021663A">
        <w:t>The study supports the justification for control of the level of the crystalline form in the capsules</w:t>
      </w:r>
      <w:r>
        <w:t>.</w:t>
      </w:r>
    </w:p>
    <w:p w:rsidR="00772CC0" w:rsidRDefault="00D009AB" w:rsidP="00E718E7">
      <w:r w:rsidRPr="0021663A">
        <w:t>Mass balance Study E7080-E044-104 has been briefly discussed under the justification for not performing a BA study below</w:t>
      </w:r>
      <w:r w:rsidR="00772CC0">
        <w:t>.</w:t>
      </w:r>
    </w:p>
    <w:p w:rsidR="00D009AB" w:rsidRPr="00EA13D4" w:rsidRDefault="00D009AB" w:rsidP="00E718E7">
      <w:pPr>
        <w:pStyle w:val="Heading5"/>
      </w:pPr>
      <w:bookmarkStart w:id="39" w:name="_Toc426720026"/>
      <w:r w:rsidRPr="00EA13D4">
        <w:t>Justification for not providing absolute bioavailability studies</w:t>
      </w:r>
      <w:bookmarkEnd w:id="39"/>
    </w:p>
    <w:p w:rsidR="00D009AB" w:rsidRPr="00EA5F82" w:rsidRDefault="00D009AB" w:rsidP="00EA5F82">
      <w:r w:rsidRPr="00EA5F82">
        <w:t xml:space="preserve">The </w:t>
      </w:r>
      <w:r w:rsidR="00FE2345">
        <w:t>sponsor</w:t>
      </w:r>
      <w:r w:rsidRPr="00EA5F82">
        <w:t xml:space="preserve"> argues that an absolute bioavailability study was not feasible because of the solubility limitations of the drug substance, making it difficult to formulate an intravenous preparation for human administration. In particular, the aqueous solubility was poor (water: slightly soluble, 0.1 M </w:t>
      </w:r>
      <w:proofErr w:type="spellStart"/>
      <w:r w:rsidRPr="00EA5F82">
        <w:t>HCl</w:t>
      </w:r>
      <w:proofErr w:type="spellEnd"/>
      <w:r w:rsidRPr="00EA5F82">
        <w:t>: very slightly soluble, and Britton-Robinson buffer solutions pH 3, 5, 7, 9, and 11: practically insoluble).</w:t>
      </w:r>
    </w:p>
    <w:p w:rsidR="00772CC0" w:rsidRDefault="00D009AB" w:rsidP="00EA5F82">
      <w:r w:rsidRPr="00EA5F82">
        <w:t>Instead, a mass balance study was undertaken with an oral solution of lenvatinib to determine the</w:t>
      </w:r>
      <w:r w:rsidR="00FE2345">
        <w:t xml:space="preserve"> metabolism and elimination of </w:t>
      </w:r>
      <w:r w:rsidRPr="00FE2345">
        <w:rPr>
          <w:vertAlign w:val="superscript"/>
        </w:rPr>
        <w:t>14</w:t>
      </w:r>
      <w:r w:rsidR="00FE2345">
        <w:t xml:space="preserve">C </w:t>
      </w:r>
      <w:r w:rsidRPr="00EA5F82">
        <w:t>lenvatinib in an oral solution form (Study E7080-E044-104)</w:t>
      </w:r>
      <w:r w:rsidR="00772CC0">
        <w:t>.</w:t>
      </w:r>
    </w:p>
    <w:p w:rsidR="00D009AB" w:rsidRPr="00EA5F82" w:rsidRDefault="00D009AB" w:rsidP="00EA5F82">
      <w:r w:rsidRPr="00EA5F82">
        <w:t xml:space="preserve">The radiolabelled oral solution was prepared by dissolving 24 mg of </w:t>
      </w:r>
      <w:proofErr w:type="spellStart"/>
      <w:r w:rsidRPr="00EA5F82">
        <w:t>lenvatinib</w:t>
      </w:r>
      <w:proofErr w:type="spellEnd"/>
      <w:r w:rsidRPr="00EA5F82">
        <w:t xml:space="preserve"> in 3 </w:t>
      </w:r>
      <w:proofErr w:type="spellStart"/>
      <w:r w:rsidRPr="00EA5F82">
        <w:t>mM</w:t>
      </w:r>
      <w:proofErr w:type="spellEnd"/>
      <w:r w:rsidRPr="00EA5F82">
        <w:t xml:space="preserve"> </w:t>
      </w:r>
      <w:proofErr w:type="spellStart"/>
      <w:r w:rsidRPr="00EA5F82">
        <w:t>HCl</w:t>
      </w:r>
      <w:proofErr w:type="spellEnd"/>
      <w:r w:rsidR="00EA5F82">
        <w:t xml:space="preserve"> (Table </w:t>
      </w:r>
      <w:r w:rsidR="005E63A9">
        <w:t>3</w:t>
      </w:r>
      <w:r w:rsidR="00EA5F82">
        <w:t>).</w:t>
      </w:r>
    </w:p>
    <w:p w:rsidR="00EA5F82" w:rsidRPr="00D009AB" w:rsidRDefault="00EA5F82" w:rsidP="00EA5F82">
      <w:pPr>
        <w:pStyle w:val="TableTitle"/>
      </w:pPr>
      <w:proofErr w:type="gramStart"/>
      <w:r>
        <w:lastRenderedPageBreak/>
        <w:t xml:space="preserve">Table </w:t>
      </w:r>
      <w:r w:rsidR="005E63A9">
        <w:t>3</w:t>
      </w:r>
      <w:r>
        <w:t>.</w:t>
      </w:r>
      <w:proofErr w:type="gramEnd"/>
      <w:r>
        <w:t xml:space="preserve"> </w:t>
      </w:r>
      <w:proofErr w:type="gramStart"/>
      <w:r>
        <w:t>Solution preparations.</w:t>
      </w:r>
      <w:proofErr w:type="gramEnd"/>
    </w:p>
    <w:p w:rsidR="00EA5F82" w:rsidRPr="00EA13D4" w:rsidRDefault="00EA5F82" w:rsidP="00D009AB">
      <w:pPr>
        <w:numPr>
          <w:ilvl w:val="12"/>
          <w:numId w:val="0"/>
        </w:numPr>
        <w:jc w:val="both"/>
        <w:rPr>
          <w:szCs w:val="24"/>
        </w:rPr>
      </w:pPr>
      <w:r>
        <w:rPr>
          <w:noProof/>
          <w:lang w:eastAsia="en-AU"/>
        </w:rPr>
        <w:drawing>
          <wp:inline distT="0" distB="0" distL="0" distR="0" wp14:anchorId="79908C03" wp14:editId="39583A9D">
            <wp:extent cx="4817952" cy="2729144"/>
            <wp:effectExtent l="0" t="0" r="1905" b="0"/>
            <wp:docPr id="11" name="Picture 11" descr="Table 3. Solution prepa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15978" cy="2728026"/>
                    </a:xfrm>
                    <a:prstGeom prst="rect">
                      <a:avLst/>
                    </a:prstGeom>
                  </pic:spPr>
                </pic:pic>
              </a:graphicData>
            </a:graphic>
          </wp:inline>
        </w:drawing>
      </w:r>
    </w:p>
    <w:p w:rsidR="00D009AB" w:rsidRPr="00FE2345" w:rsidRDefault="00D009AB" w:rsidP="00FE2345">
      <w:r w:rsidRPr="00FE2345">
        <w:t xml:space="preserve">Following oral administration of the solution containing </w:t>
      </w:r>
      <w:r w:rsidR="00FE2345" w:rsidRPr="00FE2345">
        <w:rPr>
          <w:vertAlign w:val="superscript"/>
        </w:rPr>
        <w:t>14</w:t>
      </w:r>
      <w:r w:rsidR="00FE2345">
        <w:t xml:space="preserve">C </w:t>
      </w:r>
      <w:proofErr w:type="spellStart"/>
      <w:r w:rsidR="00FE2345" w:rsidRPr="00EA5F82">
        <w:t>lenvatinib</w:t>
      </w:r>
      <w:proofErr w:type="spellEnd"/>
      <w:r w:rsidRPr="00FE2345">
        <w:t xml:space="preserve">, the median </w:t>
      </w:r>
      <w:proofErr w:type="spellStart"/>
      <w:r w:rsidRPr="00FE2345">
        <w:t>Tmax</w:t>
      </w:r>
      <w:proofErr w:type="spellEnd"/>
      <w:r w:rsidRPr="00FE2345">
        <w:t xml:space="preserve"> of radioactivity and lenvatinib in</w:t>
      </w:r>
      <w:r w:rsidR="00FE2345">
        <w:t xml:space="preserve"> blood and plasma were 1.5 h</w:t>
      </w:r>
      <w:r w:rsidRPr="00FE2345">
        <w:t xml:space="preserve"> (14C in</w:t>
      </w:r>
      <w:r w:rsidR="00FE2345">
        <w:t xml:space="preserve"> blood and plasma) and 2.0 h</w:t>
      </w:r>
      <w:r w:rsidRPr="00FE2345">
        <w:t xml:space="preserve"> (lenvatinib in blood and plasma).</w:t>
      </w:r>
    </w:p>
    <w:p w:rsidR="00D009AB" w:rsidRPr="00EA13D4" w:rsidRDefault="00D009AB" w:rsidP="00D009AB">
      <w:pPr>
        <w:numPr>
          <w:ilvl w:val="12"/>
          <w:numId w:val="0"/>
        </w:numPr>
        <w:jc w:val="both"/>
      </w:pPr>
      <w:r w:rsidRPr="00EA13D4">
        <w:t>The company has stated that:</w:t>
      </w:r>
    </w:p>
    <w:p w:rsidR="00772CC0" w:rsidRDefault="00D009AB" w:rsidP="0071571B">
      <w:pPr>
        <w:pStyle w:val="ListBullet"/>
      </w:pPr>
      <w:r w:rsidRPr="0071571B">
        <w:t>Lenvatinib exhibited good oral bioavailability in dogs (70.4%) and monkeys (78.4%)</w:t>
      </w:r>
      <w:r w:rsidR="00772CC0">
        <w:t>.</w:t>
      </w:r>
    </w:p>
    <w:p w:rsidR="00772CC0" w:rsidRDefault="00D009AB" w:rsidP="0071571B">
      <w:pPr>
        <w:pStyle w:val="ListBullet"/>
      </w:pPr>
      <w:proofErr w:type="spellStart"/>
      <w:r w:rsidRPr="0071571B">
        <w:t>Lenvatinib</w:t>
      </w:r>
      <w:proofErr w:type="spellEnd"/>
      <w:r w:rsidRPr="0071571B">
        <w:t xml:space="preserve"> is rapidly absorbed after oral administration, </w:t>
      </w:r>
      <w:r w:rsidRPr="000C4D1E">
        <w:t xml:space="preserve">with </w:t>
      </w:r>
      <w:proofErr w:type="spellStart"/>
      <w:r w:rsidRPr="000C4D1E">
        <w:t>Tmax</w:t>
      </w:r>
      <w:proofErr w:type="spellEnd"/>
      <w:r w:rsidRPr="000C4D1E">
        <w:t xml:space="preserve"> typi</w:t>
      </w:r>
      <w:r w:rsidR="0089447E" w:rsidRPr="000C4D1E">
        <w:t>cally</w:t>
      </w:r>
      <w:r w:rsidR="0089447E">
        <w:t xml:space="preserve"> observed from 1 to 4 h</w:t>
      </w:r>
      <w:r w:rsidRPr="0071571B">
        <w:t xml:space="preserve"> post</w:t>
      </w:r>
      <w:r w:rsidR="0089447E">
        <w:t xml:space="preserve"> </w:t>
      </w:r>
      <w:r w:rsidRPr="0071571B">
        <w:t>dose</w:t>
      </w:r>
      <w:r w:rsidR="00772CC0">
        <w:t>.</w:t>
      </w:r>
    </w:p>
    <w:p w:rsidR="00D009AB" w:rsidRPr="0071571B" w:rsidRDefault="00D009AB" w:rsidP="0071571B">
      <w:pPr>
        <w:pStyle w:val="ListBullet"/>
      </w:pPr>
      <w:r w:rsidRPr="0071571B">
        <w:t>An absolute bioavailability study was not required by either the US FDA or EMA during scientific meetings.</w:t>
      </w:r>
    </w:p>
    <w:p w:rsidR="00D009AB" w:rsidRPr="000C4D1E" w:rsidRDefault="00D009AB" w:rsidP="000C4D1E">
      <w:r w:rsidRPr="000C4D1E">
        <w:t xml:space="preserve">The justification ignores the possibility of establishing absolute bioavailability via an intravenous </w:t>
      </w:r>
      <w:proofErr w:type="spellStart"/>
      <w:r w:rsidRPr="000C4D1E">
        <w:t>microdose</w:t>
      </w:r>
      <w:proofErr w:type="spellEnd"/>
      <w:r w:rsidRPr="000C4D1E">
        <w:t>.</w:t>
      </w:r>
      <w:r w:rsidR="000C4D1E">
        <w:rPr>
          <w:rStyle w:val="FootnoteReference"/>
        </w:rPr>
        <w:footnoteReference w:id="6"/>
      </w:r>
    </w:p>
    <w:p w:rsidR="00D009AB" w:rsidRPr="002A6CED" w:rsidRDefault="00D009AB" w:rsidP="002A6CED">
      <w:pPr>
        <w:rPr>
          <w:i/>
        </w:rPr>
      </w:pPr>
      <w:r w:rsidRPr="002A6CED">
        <w:rPr>
          <w:i/>
        </w:rPr>
        <w:t>The justification should be referred to the clinical evaluator for assessment from a clinical perspective.</w:t>
      </w:r>
    </w:p>
    <w:p w:rsidR="00D009AB" w:rsidRPr="00EA13D4" w:rsidRDefault="00D009AB" w:rsidP="00E718E7">
      <w:pPr>
        <w:pStyle w:val="Heading5"/>
      </w:pPr>
      <w:bookmarkStart w:id="40" w:name="_Toc426720027"/>
      <w:r w:rsidRPr="00EA13D4">
        <w:t xml:space="preserve">Justification for not providing </w:t>
      </w:r>
      <w:proofErr w:type="spellStart"/>
      <w:r w:rsidRPr="00EA13D4">
        <w:t>biopharmaceutic</w:t>
      </w:r>
      <w:proofErr w:type="spellEnd"/>
      <w:r w:rsidRPr="00EA13D4">
        <w:t xml:space="preserve"> studies for the 4 mg capsules</w:t>
      </w:r>
      <w:bookmarkEnd w:id="40"/>
    </w:p>
    <w:p w:rsidR="00D009AB" w:rsidRPr="000C4D1E" w:rsidRDefault="00D009AB" w:rsidP="000C4D1E">
      <w:r w:rsidRPr="000C4D1E">
        <w:t xml:space="preserve">Bioavailability studies have not been undertaken for the 4 mg capsules. The company has requested a </w:t>
      </w:r>
      <w:proofErr w:type="spellStart"/>
      <w:r w:rsidRPr="000C4D1E">
        <w:t>biowaiver</w:t>
      </w:r>
      <w:proofErr w:type="spellEnd"/>
      <w:r w:rsidRPr="000C4D1E">
        <w:t xml:space="preserve"> based on the following in relation to </w:t>
      </w:r>
      <w:r w:rsidR="000C4D1E" w:rsidRPr="000C4D1E">
        <w:t xml:space="preserve">Australian Regulatory Guidelines for Prescription Medicines </w:t>
      </w:r>
      <w:r w:rsidR="000C4D1E">
        <w:t>(</w:t>
      </w:r>
      <w:r w:rsidRPr="000C4D1E">
        <w:t>ARGPM</w:t>
      </w:r>
      <w:r w:rsidR="000C4D1E">
        <w:t>)</w:t>
      </w:r>
      <w:r w:rsidRPr="000C4D1E">
        <w:t xml:space="preserve"> Guideline 15:</w:t>
      </w:r>
    </w:p>
    <w:p w:rsidR="00772CC0" w:rsidRDefault="00D009AB" w:rsidP="00A65714">
      <w:pPr>
        <w:pStyle w:val="ListBullet"/>
      </w:pPr>
      <w:r w:rsidRPr="00A65714">
        <w:t>the nature of the dosage form;</w:t>
      </w:r>
    </w:p>
    <w:p w:rsidR="00772CC0" w:rsidRDefault="00D009AB" w:rsidP="00A65714">
      <w:pPr>
        <w:pStyle w:val="ListBullet"/>
        <w:numPr>
          <w:ilvl w:val="0"/>
          <w:numId w:val="0"/>
        </w:numPr>
        <w:ind w:left="360"/>
      </w:pPr>
      <w:r w:rsidRPr="00A65714">
        <w:t>The 4</w:t>
      </w:r>
      <w:r w:rsidR="006F6566">
        <w:t xml:space="preserve"> </w:t>
      </w:r>
      <w:r w:rsidRPr="00A65714">
        <w:t xml:space="preserve">mg capsules are a hard </w:t>
      </w:r>
      <w:proofErr w:type="spellStart"/>
      <w:r w:rsidRPr="00A65714">
        <w:t>hypromellose</w:t>
      </w:r>
      <w:proofErr w:type="spellEnd"/>
      <w:r w:rsidRPr="00A65714">
        <w:t xml:space="preserve"> capsule intended for immediate release. The excipients and manufacturing process for the 4 mg capsule are identical to those used for the 10 mg capsule (although the capsule contents are not scaled)</w:t>
      </w:r>
      <w:r w:rsidR="00772CC0">
        <w:t>.</w:t>
      </w:r>
    </w:p>
    <w:p w:rsidR="00772CC0" w:rsidRDefault="00D009AB" w:rsidP="00A65714">
      <w:pPr>
        <w:pStyle w:val="ListBullet"/>
      </w:pPr>
      <w:r w:rsidRPr="00A65714">
        <w:t>the solubility of the active ingredient(s);</w:t>
      </w:r>
    </w:p>
    <w:p w:rsidR="00772CC0" w:rsidRDefault="00D009AB" w:rsidP="006F6566">
      <w:pPr>
        <w:pStyle w:val="ListBullet"/>
      </w:pPr>
      <w:r w:rsidRPr="006F6566">
        <w:t>the comparative dissolution profiles across the physiological pH range (1-7.5) of the products being considered;</w:t>
      </w:r>
    </w:p>
    <w:p w:rsidR="00772CC0" w:rsidRDefault="00D009AB" w:rsidP="006F6566">
      <w:pPr>
        <w:pStyle w:val="ListBullet"/>
        <w:numPr>
          <w:ilvl w:val="0"/>
          <w:numId w:val="0"/>
        </w:numPr>
        <w:ind w:left="360"/>
      </w:pPr>
      <w:r w:rsidRPr="006F6566">
        <w:t>Comparative dissolution studies were performed using the following dissolution media:</w:t>
      </w:r>
    </w:p>
    <w:p w:rsidR="00772CC0" w:rsidRDefault="00D009AB" w:rsidP="006F6566">
      <w:pPr>
        <w:pStyle w:val="ListBullet2"/>
      </w:pPr>
      <w:r w:rsidRPr="006F6566">
        <w:lastRenderedPageBreak/>
        <w:t>JP Dissolution 1st Fluid (pH 1.2),</w:t>
      </w:r>
    </w:p>
    <w:p w:rsidR="00772CC0" w:rsidRDefault="00D009AB" w:rsidP="006F6566">
      <w:pPr>
        <w:pStyle w:val="ListBullet2"/>
      </w:pPr>
      <w:r w:rsidRPr="006F6566">
        <w:t xml:space="preserve">Diluted </w:t>
      </w:r>
      <w:proofErr w:type="spellStart"/>
      <w:r w:rsidRPr="006F6566">
        <w:t>McIlvaine</w:t>
      </w:r>
      <w:proofErr w:type="spellEnd"/>
      <w:r w:rsidRPr="006F6566">
        <w:t xml:space="preserve"> buffer (pH 4.0),</w:t>
      </w:r>
    </w:p>
    <w:p w:rsidR="00772CC0" w:rsidRDefault="00D009AB" w:rsidP="006F6566">
      <w:pPr>
        <w:pStyle w:val="ListBullet2"/>
      </w:pPr>
      <w:r w:rsidRPr="006F6566">
        <w:t>JP Dissolution 2nd Fluid (pH 6.8), and</w:t>
      </w:r>
    </w:p>
    <w:p w:rsidR="00772CC0" w:rsidRDefault="00D009AB" w:rsidP="006F6566">
      <w:pPr>
        <w:pStyle w:val="ListBullet2"/>
      </w:pPr>
      <w:proofErr w:type="gramStart"/>
      <w:r w:rsidRPr="006F6566">
        <w:t>water</w:t>
      </w:r>
      <w:proofErr w:type="gramEnd"/>
      <w:r w:rsidR="00772CC0">
        <w:t>.</w:t>
      </w:r>
    </w:p>
    <w:p w:rsidR="00D009AB" w:rsidRPr="006F6566" w:rsidRDefault="00D009AB" w:rsidP="006F6566">
      <w:pPr>
        <w:pStyle w:val="ListBullet"/>
        <w:numPr>
          <w:ilvl w:val="0"/>
          <w:numId w:val="0"/>
        </w:numPr>
        <w:ind w:left="360"/>
      </w:pPr>
      <w:r w:rsidRPr="006F6566">
        <w:t>The dissolution profiles of the 10 mg capsule and 4 mg capsule were similar, per the acceptance criteria for dissolution test. (Guideline for Bioequivalence Studies for Different Strengths of Oral Solid Dosage Forms. Attachment 2 of Division-Notification 0229 No.10 of the Pharmaceutical and Food Safety Bureau, dat</w:t>
      </w:r>
      <w:r w:rsidR="00253232">
        <w:t>ed February 29, 2012, NIHS)</w:t>
      </w:r>
    </w:p>
    <w:p w:rsidR="00772CC0" w:rsidRDefault="00D009AB" w:rsidP="006F6566">
      <w:pPr>
        <w:pStyle w:val="ListBullet"/>
      </w:pPr>
      <w:r w:rsidRPr="006F6566">
        <w:t>the pharmacokinetic characteristics of the active ingredient(s), such as permeability (or absolute bioavailability), linearity or otherwise, first pass effect (if any) and its significance;</w:t>
      </w:r>
    </w:p>
    <w:p w:rsidR="00772CC0" w:rsidRDefault="00D009AB" w:rsidP="006F6566">
      <w:pPr>
        <w:pStyle w:val="ListBullet"/>
        <w:numPr>
          <w:ilvl w:val="0"/>
          <w:numId w:val="0"/>
        </w:numPr>
        <w:ind w:left="360"/>
      </w:pPr>
      <w:r w:rsidRPr="006F6566">
        <w:t xml:space="preserve">Oral </w:t>
      </w:r>
      <w:proofErr w:type="spellStart"/>
      <w:r w:rsidRPr="006F6566">
        <w:t>lenvatinib</w:t>
      </w:r>
      <w:proofErr w:type="spellEnd"/>
      <w:r w:rsidRPr="006F6566">
        <w:t xml:space="preserve"> is rapidly absorbed with a time to maximum concentration (</w:t>
      </w:r>
      <w:proofErr w:type="spellStart"/>
      <w:r w:rsidRPr="00253232">
        <w:t>Tmax</w:t>
      </w:r>
      <w:proofErr w:type="spellEnd"/>
      <w:r w:rsidR="00253232">
        <w:t>) of 1 to 4 h</w:t>
      </w:r>
      <w:r w:rsidRPr="006F6566">
        <w:t xml:space="preserve">. Following administration of single and multiple QD doses to subjects with solid tumours, exposure to </w:t>
      </w:r>
      <w:proofErr w:type="spellStart"/>
      <w:r w:rsidRPr="006F6566">
        <w:t>lenvatinib</w:t>
      </w:r>
      <w:proofErr w:type="spellEnd"/>
      <w:r w:rsidRPr="006F6566">
        <w:t xml:space="preserve"> (</w:t>
      </w:r>
      <w:proofErr w:type="spellStart"/>
      <w:r w:rsidRPr="006F6566">
        <w:t>C</w:t>
      </w:r>
      <w:r w:rsidRPr="00253232">
        <w:t>max</w:t>
      </w:r>
      <w:proofErr w:type="spellEnd"/>
      <w:r w:rsidRPr="006F6566">
        <w:t xml:space="preserve"> and </w:t>
      </w:r>
      <w:r w:rsidR="00253232">
        <w:t>AUC</w:t>
      </w:r>
      <w:r w:rsidRPr="006F6566">
        <w:t>) increased dose proportionally over the range of 3.2 to 32 mg, indicating linear pharmacokinetics</w:t>
      </w:r>
      <w:r w:rsidR="00772CC0">
        <w:t>.</w:t>
      </w:r>
    </w:p>
    <w:p w:rsidR="00772CC0" w:rsidRDefault="00D009AB" w:rsidP="0089447E">
      <w:pPr>
        <w:pStyle w:val="ListBullet"/>
      </w:pPr>
      <w:r w:rsidRPr="0089447E">
        <w:t xml:space="preserve">the clinical consequences of any potential differences in </w:t>
      </w:r>
      <w:proofErr w:type="spellStart"/>
      <w:r w:rsidRPr="0089447E">
        <w:t>bioavailabilities</w:t>
      </w:r>
      <w:proofErr w:type="spellEnd"/>
      <w:r w:rsidRPr="0089447E">
        <w:t xml:space="preserve"> of the products under consideration (for example, increased dose leading to toxicity or decreased dose leading to lack of efficacy);</w:t>
      </w:r>
    </w:p>
    <w:p w:rsidR="00772CC0" w:rsidRDefault="00D009AB" w:rsidP="0089447E">
      <w:pPr>
        <w:pStyle w:val="ListBullet"/>
        <w:numPr>
          <w:ilvl w:val="0"/>
          <w:numId w:val="0"/>
        </w:numPr>
        <w:ind w:left="360"/>
      </w:pPr>
      <w:r w:rsidRPr="0089447E">
        <w:t>The proposed dosage regimen recommends a starting dose of 24 mg QD (2 x 10 mg capsules + 1 x 4 mg capsule). The daily dose may be modified as needed according to the dose toxicity management plan, a 3 step dose reduction plan of 20 mg, 14 mg and 10 mg. Lenvatinib has a predictable and manageable safety profile at 24 mg QD</w:t>
      </w:r>
      <w:r w:rsidR="00772CC0">
        <w:t>.</w:t>
      </w:r>
    </w:p>
    <w:p w:rsidR="00772CC0" w:rsidRDefault="00D009AB" w:rsidP="0089447E">
      <w:pPr>
        <w:pStyle w:val="ListBullet"/>
        <w:numPr>
          <w:ilvl w:val="0"/>
          <w:numId w:val="0"/>
        </w:numPr>
        <w:ind w:left="360"/>
      </w:pPr>
      <w:r w:rsidRPr="0089447E">
        <w:t>Clinical study data also indicates that whilst many patients did participate in dose reductions a significant clinical benefit was still observed. Therefore minor variation in the bioavailability of lenvatinib mesilate is not expected to significantly alter the safety nor the efficacy</w:t>
      </w:r>
      <w:r w:rsidR="00772CC0">
        <w:t>.</w:t>
      </w:r>
    </w:p>
    <w:p w:rsidR="00772CC0" w:rsidRDefault="00D009AB" w:rsidP="0089447E">
      <w:pPr>
        <w:pStyle w:val="ListBullet"/>
      </w:pPr>
      <w:r w:rsidRPr="0089447E">
        <w:t>the margin between the minimum effective and minimum toxic plasma concentration;</w:t>
      </w:r>
    </w:p>
    <w:p w:rsidR="00772CC0" w:rsidRDefault="00D009AB" w:rsidP="0089447E">
      <w:pPr>
        <w:pStyle w:val="ListBullet"/>
        <w:numPr>
          <w:ilvl w:val="0"/>
          <w:numId w:val="0"/>
        </w:numPr>
        <w:ind w:left="360"/>
      </w:pPr>
      <w:r w:rsidRPr="0089447E">
        <w:t>The recommended dose is 24 mg once daily, however with dose reductions the dose can range from 10 mg to 24 mg QD. The M</w:t>
      </w:r>
      <w:r w:rsidR="00253232">
        <w:t xml:space="preserve">aximum </w:t>
      </w:r>
      <w:r w:rsidRPr="0089447E">
        <w:t>T</w:t>
      </w:r>
      <w:r w:rsidR="00253232">
        <w:t xml:space="preserve">olerated </w:t>
      </w:r>
      <w:r w:rsidRPr="0089447E">
        <w:t>D</w:t>
      </w:r>
      <w:r w:rsidR="00253232">
        <w:t>ose (MTD)</w:t>
      </w:r>
      <w:r w:rsidRPr="0089447E">
        <w:t xml:space="preserve"> was determined to be 25 mg QD. There have been reports of overdose with lenvatinib mesilate. The highest recorded overdose was 144 mg. The reported cases of overdose were associated with adverse events consistent with lenvati</w:t>
      </w:r>
      <w:r w:rsidR="005D15FF">
        <w:t xml:space="preserve">nib </w:t>
      </w:r>
      <w:proofErr w:type="spellStart"/>
      <w:r w:rsidR="005D15FF">
        <w:t>mesilate</w:t>
      </w:r>
      <w:proofErr w:type="spellEnd"/>
      <w:r w:rsidR="005D15FF">
        <w:t xml:space="preserve"> or no AE</w:t>
      </w:r>
      <w:r w:rsidRPr="0089447E">
        <w:t>s</w:t>
      </w:r>
      <w:r w:rsidR="00772CC0">
        <w:t>.</w:t>
      </w:r>
    </w:p>
    <w:p w:rsidR="00772CC0" w:rsidRDefault="00D009AB" w:rsidP="0089447E">
      <w:pPr>
        <w:pStyle w:val="ListBullet"/>
      </w:pPr>
      <w:proofErr w:type="gramStart"/>
      <w:r w:rsidRPr="0089447E">
        <w:t>the</w:t>
      </w:r>
      <w:proofErr w:type="gramEnd"/>
      <w:r w:rsidRPr="0089447E">
        <w:t xml:space="preserve"> similarities of, or differences between, the formulations being considered</w:t>
      </w:r>
      <w:r w:rsidR="00772CC0">
        <w:t>.</w:t>
      </w:r>
    </w:p>
    <w:p w:rsidR="00772CC0" w:rsidRDefault="00D009AB" w:rsidP="0089447E">
      <w:pPr>
        <w:pStyle w:val="ListBullet"/>
        <w:numPr>
          <w:ilvl w:val="0"/>
          <w:numId w:val="0"/>
        </w:numPr>
        <w:ind w:left="360"/>
      </w:pPr>
      <w:r w:rsidRPr="0089447E">
        <w:t xml:space="preserve">As shown in the Description and Composition of the Drug Product, formulation of the granulation mix of the 10 mg and 4 mg capsules is identical with the exception of the active ingredient quantity and the quantity of mannitol. Mannitol is added as a diluent. It is a </w:t>
      </w:r>
      <w:r w:rsidR="00772CC0" w:rsidRPr="0089447E">
        <w:t>non</w:t>
      </w:r>
      <w:r w:rsidR="00772CC0">
        <w:t>-</w:t>
      </w:r>
      <w:r w:rsidR="00772CC0" w:rsidRPr="0089447E">
        <w:t>hygroscopic</w:t>
      </w:r>
      <w:r w:rsidRPr="0089447E">
        <w:t xml:space="preserve"> material and therefore is less likely to contribute to increased water content in the drug product which may impact degradation of drug substance by hydrolysis. The amount of mannitol is varied to keep the granule weight encapsulated to 100 mg for lenvatinib capsules, therefore the 4 mg capsules contains more mannitol than the 10 mg capsule. The capsule shell and the printing ink of both the 4 mg and 10 mg capsules </w:t>
      </w:r>
      <w:proofErr w:type="gramStart"/>
      <w:r w:rsidRPr="0089447E">
        <w:t>is</w:t>
      </w:r>
      <w:proofErr w:type="gramEnd"/>
      <w:r w:rsidRPr="0089447E">
        <w:t xml:space="preserve"> identical</w:t>
      </w:r>
      <w:r w:rsidR="00772CC0">
        <w:t>.</w:t>
      </w:r>
    </w:p>
    <w:p w:rsidR="00772CC0" w:rsidRDefault="00D009AB" w:rsidP="0089447E">
      <w:r w:rsidRPr="0089447E">
        <w:lastRenderedPageBreak/>
        <w:t xml:space="preserve">The applicant has also addressed the following recommendations in the TGA adopted EU </w:t>
      </w:r>
      <w:r w:rsidR="005D15FF">
        <w:t>g</w:t>
      </w:r>
      <w:r w:rsidRPr="0089447E">
        <w:t>uideline</w:t>
      </w:r>
      <w:r w:rsidR="005D15FF">
        <w:t>,</w:t>
      </w:r>
      <w:r w:rsidR="005D15FF">
        <w:rPr>
          <w:rStyle w:val="FootnoteReference"/>
        </w:rPr>
        <w:footnoteReference w:id="7"/>
      </w:r>
      <w:r w:rsidR="005D15FF">
        <w:t xml:space="preserve"> </w:t>
      </w:r>
      <w:r w:rsidRPr="0089447E">
        <w:t xml:space="preserve">in particular Section 4.1.6 – General </w:t>
      </w:r>
      <w:proofErr w:type="spellStart"/>
      <w:r w:rsidRPr="0089447E">
        <w:t>Biowaiver</w:t>
      </w:r>
      <w:proofErr w:type="spellEnd"/>
      <w:r w:rsidRPr="0089447E">
        <w:t xml:space="preserve"> Criteria:</w:t>
      </w:r>
    </w:p>
    <w:p w:rsidR="00772CC0" w:rsidRDefault="00D009AB" w:rsidP="0089447E">
      <w:pPr>
        <w:pStyle w:val="ListBullet"/>
      </w:pPr>
      <w:r w:rsidRPr="0089447E">
        <w:t>the pharmaceutical products are manufactured by the same manufacturing process</w:t>
      </w:r>
    </w:p>
    <w:p w:rsidR="00D009AB" w:rsidRPr="0089447E" w:rsidRDefault="00D009AB" w:rsidP="0089447E">
      <w:pPr>
        <w:pStyle w:val="ListBullet"/>
        <w:numPr>
          <w:ilvl w:val="0"/>
          <w:numId w:val="0"/>
        </w:numPr>
        <w:ind w:left="360"/>
      </w:pPr>
      <w:r w:rsidRPr="0089447E">
        <w:t>All strengths are manufactured by the same manufacturing process at one manufacturing site.</w:t>
      </w:r>
    </w:p>
    <w:p w:rsidR="00772CC0" w:rsidRDefault="00D009AB" w:rsidP="0089447E">
      <w:pPr>
        <w:pStyle w:val="ListBullet"/>
      </w:pPr>
      <w:r w:rsidRPr="0089447E">
        <w:t>the qualitative composition of the different strengths is the same</w:t>
      </w:r>
    </w:p>
    <w:p w:rsidR="00772CC0" w:rsidRDefault="00D009AB" w:rsidP="0089447E">
      <w:pPr>
        <w:pStyle w:val="ListBullet"/>
        <w:numPr>
          <w:ilvl w:val="0"/>
          <w:numId w:val="0"/>
        </w:numPr>
        <w:ind w:left="360"/>
      </w:pPr>
      <w:r w:rsidRPr="0089447E">
        <w:t>The qualitative composition is identical for both strengths; only the relative active and mannitol concentrations differ</w:t>
      </w:r>
      <w:r w:rsidR="00772CC0">
        <w:t>.</w:t>
      </w:r>
    </w:p>
    <w:p w:rsidR="00772CC0" w:rsidRDefault="00D009AB" w:rsidP="0089447E">
      <w:pPr>
        <w:pStyle w:val="ListBullet"/>
      </w:pPr>
      <w:r w:rsidRPr="0089447E">
        <w:t>the composition of the strengths are q</w:t>
      </w:r>
      <w:r w:rsidR="0089447E">
        <w:t>uantitatively proportional, that is,</w:t>
      </w:r>
      <w:r w:rsidRPr="0089447E">
        <w:t xml:space="preserve"> the ratio between the amount of each excipient to the amount of active substance(s) is the same for all strengths</w:t>
      </w:r>
    </w:p>
    <w:p w:rsidR="00D009AB" w:rsidRPr="0089447E" w:rsidRDefault="00D009AB" w:rsidP="0089447E">
      <w:pPr>
        <w:pStyle w:val="ListBullet"/>
        <w:numPr>
          <w:ilvl w:val="0"/>
          <w:numId w:val="0"/>
        </w:numPr>
        <w:ind w:left="360"/>
      </w:pPr>
      <w:r w:rsidRPr="0089447E">
        <w:t>The quantitative formulation of the granulation mix of the 10 mg and 4 mg capsules is identical with the exception of the active ingredient quantity and the quantity of mannitol. Mannitol is added as a diluent. The amount of mannitol is varied to keep the granule weight encapsulated to 100 mg for both capsule strengths. The capsule shell and the printing ink of both the 4 mg and 10 mg capsules are identical. This meets the criteria defined in the guideline.</w:t>
      </w:r>
    </w:p>
    <w:p w:rsidR="00772CC0" w:rsidRDefault="00D009AB" w:rsidP="0089447E">
      <w:pPr>
        <w:pStyle w:val="ListBullet"/>
      </w:pPr>
      <w:r w:rsidRPr="0089447E">
        <w:t>appropriate in vitro dissolution data should confirm the adequacy of waiving additional in vivo bioequivalence testing</w:t>
      </w:r>
    </w:p>
    <w:p w:rsidR="00D009AB" w:rsidRPr="0089447E" w:rsidRDefault="00D009AB" w:rsidP="0089447E">
      <w:pPr>
        <w:pStyle w:val="ListBullet"/>
        <w:numPr>
          <w:ilvl w:val="0"/>
          <w:numId w:val="0"/>
        </w:numPr>
        <w:ind w:left="360"/>
      </w:pPr>
      <w:r w:rsidRPr="0089447E">
        <w:t xml:space="preserve">Comparative dissolution data are discussed above, and demonstrate that the dissolution </w:t>
      </w:r>
      <w:r w:rsidR="00933D7F" w:rsidRPr="0089447E">
        <w:t>profile of the two strengths was</w:t>
      </w:r>
      <w:r w:rsidRPr="0089447E">
        <w:t xml:space="preserve"> similar across various dissolution media.</w:t>
      </w:r>
    </w:p>
    <w:p w:rsidR="00D009AB" w:rsidRPr="0071571B" w:rsidRDefault="00D009AB" w:rsidP="0071571B">
      <w:r w:rsidRPr="0071571B">
        <w:t xml:space="preserve">The justification meets the requirements of the ARGPM and is acceptable from a chemistry and quality perspective; however </w:t>
      </w:r>
      <w:r w:rsidRPr="0071571B">
        <w:rPr>
          <w:i/>
        </w:rPr>
        <w:t>the justification should be referred to the clinical evaluator for assessment from a clinical perspective</w:t>
      </w:r>
      <w:r w:rsidRPr="0071571B">
        <w:t>.</w:t>
      </w:r>
    </w:p>
    <w:p w:rsidR="008E7846" w:rsidRPr="008751DC" w:rsidRDefault="008E7846" w:rsidP="008E7846">
      <w:pPr>
        <w:pStyle w:val="Heading3"/>
      </w:pPr>
      <w:bookmarkStart w:id="41" w:name="_Toc247691509"/>
      <w:bookmarkStart w:id="42" w:name="_Toc314842493"/>
      <w:bookmarkStart w:id="43" w:name="_Toc461092036"/>
      <w:r>
        <w:t>Quality s</w:t>
      </w:r>
      <w:r w:rsidRPr="008751DC">
        <w:t>ummary</w:t>
      </w:r>
      <w:r>
        <w:t xml:space="preserve"> and conclusions</w:t>
      </w:r>
      <w:bookmarkEnd w:id="41"/>
      <w:bookmarkEnd w:id="42"/>
      <w:bookmarkEnd w:id="43"/>
    </w:p>
    <w:p w:rsidR="00772CC0" w:rsidRDefault="001849CA" w:rsidP="001849CA">
      <w:r w:rsidRPr="001849CA">
        <w:t>Toxicological advice has been sought on the proposed limit for the residual solvent DMI (1</w:t>
      </w:r>
      <w:proofErr w:type="gramStart"/>
      <w:r w:rsidRPr="001849CA">
        <w:t>,3</w:t>
      </w:r>
      <w:proofErr w:type="gramEnd"/>
      <w:r w:rsidRPr="001849CA">
        <w:t>-dimethyl-2-imidazolidinone) in the drug substance and on impurity limits</w:t>
      </w:r>
      <w:r w:rsidR="00772CC0">
        <w:t>.</w:t>
      </w:r>
    </w:p>
    <w:p w:rsidR="001849CA" w:rsidRPr="001849CA" w:rsidRDefault="001849CA" w:rsidP="001849CA">
      <w:r w:rsidRPr="001849CA">
        <w:t xml:space="preserve">Toxicological advice has been sought on the genotoxicity and toxicological assessments of potential </w:t>
      </w:r>
      <w:r w:rsidR="00EF61BD">
        <w:t>and actual impurities in the Active Pharmaceutical Ingredient (API)</w:t>
      </w:r>
      <w:r w:rsidRPr="001849CA">
        <w:t xml:space="preserve"> and the drug product.</w:t>
      </w:r>
    </w:p>
    <w:p w:rsidR="001849CA" w:rsidRPr="001849CA" w:rsidRDefault="001849CA" w:rsidP="001849CA">
      <w:r w:rsidRPr="001849CA">
        <w:t xml:space="preserve">The justification for not performing an absolute bioavailability study should be considered by the </w:t>
      </w:r>
      <w:r>
        <w:t>D</w:t>
      </w:r>
      <w:r w:rsidRPr="001849CA">
        <w:t>elegate.</w:t>
      </w:r>
    </w:p>
    <w:p w:rsidR="001849CA" w:rsidRPr="001849CA" w:rsidRDefault="001849CA" w:rsidP="001849CA">
      <w:r w:rsidRPr="001849CA">
        <w:t xml:space="preserve">The justification for not providing </w:t>
      </w:r>
      <w:proofErr w:type="spellStart"/>
      <w:r w:rsidRPr="001849CA">
        <w:t>biopharmaceutic</w:t>
      </w:r>
      <w:proofErr w:type="spellEnd"/>
      <w:r w:rsidRPr="001849CA">
        <w:t xml:space="preserve"> studies for the 4 mg capsules should be considered by the </w:t>
      </w:r>
      <w:r>
        <w:t>D</w:t>
      </w:r>
      <w:r w:rsidRPr="001849CA">
        <w:t>elegate.</w:t>
      </w:r>
    </w:p>
    <w:p w:rsidR="001849CA" w:rsidRDefault="001849CA" w:rsidP="001849CA">
      <w:r w:rsidRPr="001849CA">
        <w:t xml:space="preserve">Statistical details in </w:t>
      </w:r>
      <w:r>
        <w:t>S</w:t>
      </w:r>
      <w:r w:rsidRPr="001849CA">
        <w:t xml:space="preserve">tudy E7080-A001-003A should be considered by the </w:t>
      </w:r>
      <w:r>
        <w:t>Delegate</w:t>
      </w:r>
      <w:r w:rsidRPr="001849CA">
        <w:t>.</w:t>
      </w:r>
    </w:p>
    <w:p w:rsidR="003513EE" w:rsidRPr="00EA13D4" w:rsidRDefault="003513EE" w:rsidP="003513EE">
      <w:pPr>
        <w:jc w:val="both"/>
        <w:rPr>
          <w:szCs w:val="24"/>
        </w:rPr>
      </w:pPr>
      <w:r>
        <w:rPr>
          <w:szCs w:val="24"/>
        </w:rPr>
        <w:t>The following questions should be raised with the sponsor:</w:t>
      </w:r>
    </w:p>
    <w:p w:rsidR="00772CC0" w:rsidRDefault="003513EE" w:rsidP="00263C77">
      <w:pPr>
        <w:pStyle w:val="Numberbullet0"/>
      </w:pPr>
      <w:r w:rsidRPr="003513EE">
        <w:t>Please provide a copy of your response to the EMA’s ‘Rapporteur day 80 critical assessment report - Quality aspects’</w:t>
      </w:r>
      <w:r w:rsidR="00772CC0">
        <w:t>.</w:t>
      </w:r>
    </w:p>
    <w:p w:rsidR="00772CC0" w:rsidRDefault="003513EE" w:rsidP="00263C77">
      <w:pPr>
        <w:pStyle w:val="Numberbullet0"/>
      </w:pPr>
      <w:r w:rsidRPr="005F243E">
        <w:t>The proposed particle size method</w:t>
      </w:r>
      <w:r>
        <w:t xml:space="preserve"> uses a MT3300 EX II (</w:t>
      </w:r>
      <w:proofErr w:type="spellStart"/>
      <w:r>
        <w:t>Microtrac</w:t>
      </w:r>
      <w:proofErr w:type="spellEnd"/>
      <w:r w:rsidRPr="005F243E">
        <w:t xml:space="preserve">) laser diffraction particle sizer, and states that laser diffraction instruments from other manufacturers may be used as required. Particle size readings are very dependent on the instrument </w:t>
      </w:r>
      <w:r w:rsidRPr="005F243E">
        <w:lastRenderedPageBreak/>
        <w:t>make and model used; this statement has not been supported by validation for other instruments and should be removed from the analytical procedure</w:t>
      </w:r>
      <w:r w:rsidR="00772CC0">
        <w:t>.</w:t>
      </w:r>
    </w:p>
    <w:p w:rsidR="00772CC0" w:rsidRDefault="003513EE" w:rsidP="00263C77">
      <w:pPr>
        <w:pStyle w:val="Numberbullet0"/>
      </w:pPr>
      <w:r w:rsidRPr="00EA13D4">
        <w:t>Please confirm that the analytical procedure validations presented were all conducted at the Eisai Co., Ltd. Kashima Plant or give details</w:t>
      </w:r>
      <w:r w:rsidR="00772CC0">
        <w:t>.</w:t>
      </w:r>
    </w:p>
    <w:p w:rsidR="003513EE" w:rsidRPr="00EA13D4" w:rsidRDefault="003513EE" w:rsidP="00263C77">
      <w:pPr>
        <w:pStyle w:val="Numberbullet0"/>
      </w:pPr>
      <w:r w:rsidRPr="00EA13D4">
        <w:t>Please provide the start dates for each of the primary stability studies.</w:t>
      </w:r>
    </w:p>
    <w:p w:rsidR="003513EE" w:rsidRPr="00EA13D4" w:rsidRDefault="003513EE" w:rsidP="00263C77">
      <w:pPr>
        <w:pStyle w:val="Numberbullet0"/>
      </w:pPr>
      <w:r w:rsidRPr="00EA13D4">
        <w:t xml:space="preserve">Please </w:t>
      </w:r>
      <w:r>
        <w:t>cite or submit de</w:t>
      </w:r>
      <w:r w:rsidRPr="00094242">
        <w:t>tails of an assessment of the peak purity of the lenvatinib peak in stress degraded samples.</w:t>
      </w:r>
    </w:p>
    <w:p w:rsidR="00772CC0" w:rsidRDefault="003513EE" w:rsidP="00263C77">
      <w:pPr>
        <w:pStyle w:val="Numberbullet0"/>
      </w:pPr>
      <w:r w:rsidRPr="00094242">
        <w:t xml:space="preserve">The stress stability studies are important as part of method validation. Please clarify whether the proposed control method was used in analysis of the stress samples. Please comment on differences in lenvatinib retention time </w:t>
      </w:r>
      <w:r>
        <w:t>as shown</w:t>
      </w:r>
      <w:r w:rsidR="00772CC0">
        <w:t>.</w:t>
      </w:r>
    </w:p>
    <w:p w:rsidR="003513EE" w:rsidRPr="00094242" w:rsidRDefault="003513EE" w:rsidP="00263C77">
      <w:pPr>
        <w:pStyle w:val="Numberbullet0"/>
      </w:pPr>
      <w:r w:rsidRPr="00094242">
        <w:t>Please justify the choice of detection wavelength (252 nm).</w:t>
      </w:r>
    </w:p>
    <w:p w:rsidR="003513EE" w:rsidRPr="00EA13D4" w:rsidRDefault="003513EE" w:rsidP="00263C77">
      <w:pPr>
        <w:pStyle w:val="Numberbullet0"/>
      </w:pPr>
      <w:r w:rsidRPr="00EA13D4">
        <w:t>You are requested to provide written assurance that the TGA will be notified immediately of any out of specification stability results or adverse trends in stability results in any ongoing or future trials.</w:t>
      </w:r>
    </w:p>
    <w:p w:rsidR="003513EE" w:rsidRPr="00EA13D4" w:rsidRDefault="003513EE" w:rsidP="00263C77">
      <w:pPr>
        <w:pStyle w:val="Numberbullet0"/>
      </w:pPr>
      <w:r w:rsidRPr="00EA13D4">
        <w:t>Please provide the start dates for each of the primary stability studies.</w:t>
      </w:r>
    </w:p>
    <w:p w:rsidR="003513EE" w:rsidRPr="00EA13D4" w:rsidRDefault="003513EE" w:rsidP="00263C77">
      <w:pPr>
        <w:pStyle w:val="Numberbullet0"/>
      </w:pPr>
      <w:r w:rsidRPr="00EA13D4">
        <w:t xml:space="preserve">Please </w:t>
      </w:r>
      <w:r>
        <w:t>cite or submit</w:t>
      </w:r>
      <w:r w:rsidRPr="00EA13D4">
        <w:t xml:space="preserve"> evidence of the stability indicating nature of the assay and related substances analytical procedures</w:t>
      </w:r>
      <w:r>
        <w:t xml:space="preserve"> including mass balance and lenvatinib peak purity for stress degraded samples.</w:t>
      </w:r>
    </w:p>
    <w:p w:rsidR="003513EE" w:rsidRPr="005F243E" w:rsidRDefault="003513EE" w:rsidP="00263C77">
      <w:pPr>
        <w:pStyle w:val="Numberbullet0"/>
      </w:pPr>
      <w:r w:rsidRPr="005F243E">
        <w:t>There are extensive inconsistencies in the report</w:t>
      </w:r>
      <w:r>
        <w:t xml:space="preserve"> for </w:t>
      </w:r>
      <w:r w:rsidRPr="003513EE">
        <w:t>Study E7080-A001-003</w:t>
      </w:r>
      <w:r w:rsidRPr="005F243E">
        <w:t>. Please review and explain. Please comment on the validity of the other pharmacokinetic stud</w:t>
      </w:r>
      <w:r>
        <w:t>y reports</w:t>
      </w:r>
      <w:r w:rsidRPr="005F243E">
        <w:t>.</w:t>
      </w:r>
    </w:p>
    <w:p w:rsidR="00772CC0" w:rsidRDefault="003513EE" w:rsidP="00263C77">
      <w:pPr>
        <w:pStyle w:val="Numberbullet0"/>
      </w:pPr>
      <w:r w:rsidRPr="00EA13D4">
        <w:t>The standardised meal for the fed treatment has been referenced in the protocol to the FDA guidance for food</w:t>
      </w:r>
      <w:r>
        <w:t xml:space="preserve"> </w:t>
      </w:r>
      <w:r w:rsidRPr="00EA13D4">
        <w:t xml:space="preserve">effect </w:t>
      </w:r>
      <w:proofErr w:type="gramStart"/>
      <w:r w:rsidRPr="00EA13D4">
        <w:t>studies,</w:t>
      </w:r>
      <w:proofErr w:type="gramEnd"/>
      <w:r w:rsidRPr="00EA13D4">
        <w:t xml:space="preserve"> however the actual composition of the meal used for the study has not been reported</w:t>
      </w:r>
      <w:r>
        <w:t>?</w:t>
      </w:r>
      <w:r w:rsidRPr="00EA13D4">
        <w:t xml:space="preserve"> Please </w:t>
      </w:r>
      <w:r>
        <w:t xml:space="preserve">cite or submit </w:t>
      </w:r>
      <w:r w:rsidRPr="00EA13D4">
        <w:t>detail</w:t>
      </w:r>
      <w:r>
        <w:t xml:space="preserve">s of </w:t>
      </w:r>
      <w:r w:rsidRPr="00EA13D4">
        <w:t xml:space="preserve">the composition of the standardised meal provided to applicant for the fed portion of </w:t>
      </w:r>
      <w:r w:rsidR="00FB61B0">
        <w:t>S</w:t>
      </w:r>
      <w:r w:rsidRPr="00EA13D4">
        <w:t>tudy E7080-A001-003</w:t>
      </w:r>
      <w:r w:rsidR="00772CC0">
        <w:t>.</w:t>
      </w:r>
    </w:p>
    <w:p w:rsidR="003513EE" w:rsidRPr="00EA13D4" w:rsidRDefault="003513EE" w:rsidP="00263C77">
      <w:pPr>
        <w:pStyle w:val="Numberbullet0"/>
      </w:pPr>
      <w:r w:rsidRPr="00EA13D4">
        <w:t xml:space="preserve">Please </w:t>
      </w:r>
      <w:r>
        <w:t xml:space="preserve">cite or submit </w:t>
      </w:r>
      <w:r w:rsidRPr="00EA13D4">
        <w:t xml:space="preserve">a tabulated summary of the demographic data for the study subjects, including height, weight and </w:t>
      </w:r>
      <w:r w:rsidR="00FB61B0">
        <w:t>body mass index (</w:t>
      </w:r>
      <w:r w:rsidRPr="00EA13D4">
        <w:t>BMI</w:t>
      </w:r>
      <w:r w:rsidR="00FB61B0">
        <w:t>)</w:t>
      </w:r>
      <w:r w:rsidRPr="00EA13D4">
        <w:t>.</w:t>
      </w:r>
    </w:p>
    <w:p w:rsidR="003513EE" w:rsidRPr="00EA13D4" w:rsidRDefault="003513EE" w:rsidP="00263C77">
      <w:pPr>
        <w:pStyle w:val="Numberbullet0"/>
      </w:pPr>
      <w:r w:rsidRPr="00EA13D4">
        <w:t xml:space="preserve">Please indicate where in the dossier the referenced report ‘Additional Stability Testing of E7080 in Human Plasma during Frozen Storage. </w:t>
      </w:r>
      <w:proofErr w:type="spellStart"/>
      <w:r w:rsidRPr="00EA13D4">
        <w:t>Sumika</w:t>
      </w:r>
      <w:proofErr w:type="spellEnd"/>
      <w:r w:rsidRPr="00EA13D4">
        <w:t xml:space="preserve"> Chemical Analysis Service, Ltd. June 28, 2007’ is located, or provide the report for evaluation of the validation stability studies.</w:t>
      </w:r>
    </w:p>
    <w:p w:rsidR="00772CC0" w:rsidRDefault="003513EE" w:rsidP="00263C77">
      <w:pPr>
        <w:pStyle w:val="Numberbullet0"/>
      </w:pPr>
      <w:r w:rsidRPr="00EA13D4">
        <w:t>Please provide assurance that all writing on the labels will be greater than 1.5 mm, with the exception of the registration number which should be greater than 1 mm</w:t>
      </w:r>
      <w:r w:rsidR="00772CC0">
        <w:t>.</w:t>
      </w:r>
    </w:p>
    <w:p w:rsidR="003513EE" w:rsidRPr="00EA13D4" w:rsidRDefault="003513EE" w:rsidP="00263C77">
      <w:pPr>
        <w:pStyle w:val="Numberbullet0"/>
      </w:pPr>
      <w:r w:rsidRPr="00EA13D4">
        <w:t xml:space="preserve">The cartons and blisters all refer to the drug substance as </w:t>
      </w:r>
      <w:proofErr w:type="spellStart"/>
      <w:r w:rsidRPr="00EA13D4">
        <w:t>lenvatanib</w:t>
      </w:r>
      <w:proofErr w:type="spellEnd"/>
      <w:r w:rsidRPr="00EA13D4">
        <w:t xml:space="preserve">, with the exception of the quantity statement on the front of the carton label, which states Each hard capsule contains (4 or 10) mg lenvatinib (as mesilate). All instances of </w:t>
      </w:r>
      <w:proofErr w:type="spellStart"/>
      <w:r w:rsidRPr="00EA13D4">
        <w:t>lenvat</w:t>
      </w:r>
      <w:r w:rsidRPr="00EA13D4">
        <w:rPr>
          <w:u w:val="single"/>
        </w:rPr>
        <w:t>a</w:t>
      </w:r>
      <w:r w:rsidRPr="00EA13D4">
        <w:t>nib</w:t>
      </w:r>
      <w:proofErr w:type="spellEnd"/>
      <w:r w:rsidRPr="00EA13D4">
        <w:t xml:space="preserve"> on the labelling should be lenvat</w:t>
      </w:r>
      <w:r w:rsidRPr="00EA13D4">
        <w:rPr>
          <w:u w:val="single"/>
        </w:rPr>
        <w:t>i</w:t>
      </w:r>
      <w:r w:rsidRPr="00EA13D4">
        <w:t>nib (as mesilate).</w:t>
      </w:r>
    </w:p>
    <w:p w:rsidR="003513EE" w:rsidRPr="003513EE" w:rsidRDefault="003513EE" w:rsidP="003513EE">
      <w:r w:rsidRPr="003513EE">
        <w:t xml:space="preserve">Approval is </w:t>
      </w:r>
      <w:r w:rsidRPr="003513EE">
        <w:rPr>
          <w:b/>
        </w:rPr>
        <w:t>not recommended</w:t>
      </w:r>
      <w:r w:rsidRPr="003513EE">
        <w:t>, with respect to the bioanalytical, pharmaceutical chemistry and quality control aspects, for the registration of the proposed capsules until satisfactory responses are provided to the questions raised in this report.</w:t>
      </w:r>
    </w:p>
    <w:p w:rsidR="008E7846" w:rsidRDefault="008E7846" w:rsidP="008E7846">
      <w:pPr>
        <w:pStyle w:val="Heading2"/>
      </w:pPr>
      <w:bookmarkStart w:id="44" w:name="_Toc196046439"/>
      <w:bookmarkStart w:id="45" w:name="_Toc247691510"/>
      <w:bookmarkStart w:id="46" w:name="_Toc314842494"/>
      <w:bookmarkStart w:id="47" w:name="_Toc461092037"/>
      <w:r>
        <w:lastRenderedPageBreak/>
        <w:t>III. Nonclinical</w:t>
      </w:r>
      <w:bookmarkEnd w:id="44"/>
      <w:r>
        <w:t xml:space="preserve"> findings</w:t>
      </w:r>
      <w:bookmarkEnd w:id="45"/>
      <w:bookmarkEnd w:id="46"/>
      <w:bookmarkEnd w:id="47"/>
    </w:p>
    <w:p w:rsidR="008E7846" w:rsidRDefault="008E7846" w:rsidP="00940A89">
      <w:pPr>
        <w:pStyle w:val="Heading3"/>
      </w:pPr>
      <w:bookmarkStart w:id="48" w:name="_Toc247691511"/>
      <w:bookmarkStart w:id="49" w:name="_Toc314842495"/>
      <w:bookmarkStart w:id="50" w:name="_Toc461092038"/>
      <w:r>
        <w:t>Introduction</w:t>
      </w:r>
      <w:bookmarkEnd w:id="48"/>
      <w:bookmarkEnd w:id="49"/>
      <w:bookmarkEnd w:id="50"/>
    </w:p>
    <w:p w:rsidR="00772CC0" w:rsidRDefault="00DE72A3" w:rsidP="00DE72A3">
      <w:r w:rsidRPr="00DE72A3">
        <w:t xml:space="preserve">The submitted </w:t>
      </w:r>
      <w:r>
        <w:t>nonclinical</w:t>
      </w:r>
      <w:r w:rsidRPr="00DE72A3">
        <w:t xml:space="preserve"> dossier was compliant with the relevant </w:t>
      </w:r>
      <w:r w:rsidR="005444D6" w:rsidRPr="005444D6">
        <w:t xml:space="preserve">International Conference on Harmonisation </w:t>
      </w:r>
      <w:r w:rsidR="005444D6">
        <w:t>(</w:t>
      </w:r>
      <w:r w:rsidRPr="00DE72A3">
        <w:t>ICH</w:t>
      </w:r>
      <w:r w:rsidR="005444D6">
        <w:t>)</w:t>
      </w:r>
      <w:r w:rsidRPr="00DE72A3">
        <w:t xml:space="preserve"> guideline on the development of </w:t>
      </w:r>
      <w:r w:rsidR="00772CC0" w:rsidRPr="00DE72A3">
        <w:t>anti</w:t>
      </w:r>
      <w:r w:rsidR="00772CC0">
        <w:t>-</w:t>
      </w:r>
      <w:r w:rsidR="00772CC0" w:rsidRPr="00DE72A3">
        <w:t>cancer</w:t>
      </w:r>
      <w:r w:rsidRPr="00DE72A3">
        <w:t xml:space="preserve"> pharmaceuticals.</w:t>
      </w:r>
      <w:r w:rsidR="00933D7F">
        <w:rPr>
          <w:rStyle w:val="FootnoteReference"/>
        </w:rPr>
        <w:footnoteReference w:id="8"/>
      </w:r>
      <w:r w:rsidRPr="00DE72A3">
        <w:t xml:space="preserve"> The overall quality of the dossier was high, with all pivotal s</w:t>
      </w:r>
      <w:r w:rsidR="00933D7F">
        <w:t xml:space="preserve">afety studies conducted under Good Laboratory </w:t>
      </w:r>
      <w:r w:rsidRPr="00DE72A3">
        <w:t>P</w:t>
      </w:r>
      <w:r w:rsidR="00933D7F">
        <w:t>ractice (GLP)</w:t>
      </w:r>
      <w:r w:rsidRPr="00DE72A3">
        <w:t xml:space="preserve"> conditions</w:t>
      </w:r>
      <w:r w:rsidR="00772CC0">
        <w:t>.</w:t>
      </w:r>
    </w:p>
    <w:p w:rsidR="00772CC0" w:rsidRDefault="00DE72A3" w:rsidP="00DE72A3">
      <w:r w:rsidRPr="00DE72A3">
        <w:t>In this evaluation report, all doses and concentrations on a weight basis are expressed i</w:t>
      </w:r>
      <w:r w:rsidR="00933D7F">
        <w:t>n terms of the mesilate salt (Molecular Weight [MW]</w:t>
      </w:r>
      <w:r w:rsidRPr="00DE72A3">
        <w:t xml:space="preserve"> 522.96) same as in the sponsor’s study reports, nonclinical summaries and the nonclinical overview, while the clinical dose and plasma drug concentrations are expressed as the base (MW 426.86)</w:t>
      </w:r>
      <w:r w:rsidR="00772CC0">
        <w:t>.</w:t>
      </w:r>
    </w:p>
    <w:p w:rsidR="008E7846" w:rsidRDefault="008E7846" w:rsidP="008E7846">
      <w:pPr>
        <w:pStyle w:val="Heading3"/>
      </w:pPr>
      <w:bookmarkStart w:id="51" w:name="_Toc247691512"/>
      <w:bookmarkStart w:id="52" w:name="_Toc314842496"/>
      <w:bookmarkStart w:id="53" w:name="_Toc461092039"/>
      <w:r w:rsidRPr="00020030">
        <w:t>Pharmacology</w:t>
      </w:r>
      <w:bookmarkEnd w:id="51"/>
      <w:bookmarkEnd w:id="52"/>
      <w:bookmarkEnd w:id="53"/>
    </w:p>
    <w:p w:rsidR="00A54FD8" w:rsidRPr="00EB69F1" w:rsidRDefault="00A54FD8" w:rsidP="00986C50">
      <w:pPr>
        <w:pStyle w:val="Heading4"/>
      </w:pPr>
      <w:r w:rsidRPr="00EB69F1">
        <w:t>Primary pharmacology</w:t>
      </w:r>
    </w:p>
    <w:p w:rsidR="00772CC0" w:rsidRDefault="00A54FD8" w:rsidP="00986C50">
      <w:r w:rsidRPr="00986C50">
        <w:t xml:space="preserve">Lenvatinib is a receptor </w:t>
      </w:r>
      <w:r w:rsidR="00F138DA">
        <w:t>TKI</w:t>
      </w:r>
      <w:r w:rsidRPr="00986C50">
        <w:t>. In vitro studies demonstrated that lenvatinib inhibited the tyrosine kinase activity of VEGF receptors -1 (Flt</w:t>
      </w:r>
      <w:r w:rsidRPr="00986C50">
        <w:noBreakHyphen/>
        <w:t>1), -2 (KDR) and -3 (Flt-4), as well as the proto</w:t>
      </w:r>
      <w:r w:rsidRPr="00986C50">
        <w:noBreakHyphen/>
        <w:t xml:space="preserve">oncogene RET, with IC50 values &lt;10 </w:t>
      </w:r>
      <w:proofErr w:type="spellStart"/>
      <w:r w:rsidRPr="00986C50">
        <w:t>nM</w:t>
      </w:r>
      <w:proofErr w:type="spellEnd"/>
      <w:r w:rsidRPr="00986C50">
        <w:t xml:space="preserve"> and Ki values ≤1.5 </w:t>
      </w:r>
      <w:proofErr w:type="spellStart"/>
      <w:r w:rsidRPr="00986C50">
        <w:t>nM</w:t>
      </w:r>
      <w:proofErr w:type="spellEnd"/>
      <w:r w:rsidRPr="00986C50">
        <w:t xml:space="preserve">. As the unbound </w:t>
      </w:r>
      <w:proofErr w:type="spellStart"/>
      <w:r w:rsidRPr="00986C50">
        <w:t>C</w:t>
      </w:r>
      <w:r w:rsidRPr="00F138DA">
        <w:t>max</w:t>
      </w:r>
      <w:proofErr w:type="spellEnd"/>
      <w:r w:rsidRPr="00F138DA">
        <w:t xml:space="preserve"> </w:t>
      </w:r>
      <w:r w:rsidRPr="00986C50">
        <w:t xml:space="preserve">for </w:t>
      </w:r>
      <w:proofErr w:type="spellStart"/>
      <w:r w:rsidRPr="00986C50">
        <w:t>lenvatinib</w:t>
      </w:r>
      <w:proofErr w:type="spellEnd"/>
      <w:r w:rsidRPr="00986C50">
        <w:t xml:space="preserve"> was ~20 </w:t>
      </w:r>
      <w:proofErr w:type="spellStart"/>
      <w:r w:rsidRPr="00986C50">
        <w:t>nM</w:t>
      </w:r>
      <w:proofErr w:type="spellEnd"/>
      <w:r w:rsidRPr="00986C50">
        <w:t>, inhibition of these kinases is expected clinically. In addition, lenvatinib</w:t>
      </w:r>
      <w:r w:rsidR="00DD3B80">
        <w:t xml:space="preserve"> inhibited PDGF receptor α</w:t>
      </w:r>
      <w:r w:rsidRPr="00986C50">
        <w:t xml:space="preserve">, </w:t>
      </w:r>
      <w:r w:rsidR="007004F7">
        <w:t>FGF receptors FGFR1-</w:t>
      </w:r>
      <w:r w:rsidRPr="00986C50">
        <w:t xml:space="preserve">4 and KIT with IC50 values of &lt;100 </w:t>
      </w:r>
      <w:proofErr w:type="spellStart"/>
      <w:r w:rsidRPr="00986C50">
        <w:t>nM</w:t>
      </w:r>
      <w:proofErr w:type="spellEnd"/>
      <w:r w:rsidRPr="00986C50">
        <w:t>, indicating some inhibition of these kinases may also occur clinically. Lenvatinib did not inhibit or showed very low inhibition of other kinases including EGFR, BRK and BRAF</w:t>
      </w:r>
      <w:r w:rsidR="00772CC0">
        <w:t>.</w:t>
      </w:r>
    </w:p>
    <w:p w:rsidR="00772CC0" w:rsidRDefault="00A54FD8" w:rsidP="00986C50">
      <w:proofErr w:type="spellStart"/>
      <w:r w:rsidRPr="00986C50">
        <w:t>Lenvatinib</w:t>
      </w:r>
      <w:proofErr w:type="spellEnd"/>
      <w:r w:rsidRPr="00986C50">
        <w:t xml:space="preserve"> competitively inhibited VEGF and FGF receptors, as well as RET and KIT, with a structural study demonstrating lenvatinib bound to the ATP binding site of VEGFR-2. In addition to this binding, lenvatinib also interacts with the allosteric region in the kinase domain, the DFG region, of VEGFR-2. In contrast to </w:t>
      </w:r>
      <w:proofErr w:type="spellStart"/>
      <w:r w:rsidRPr="00986C50">
        <w:t>sorafenib</w:t>
      </w:r>
      <w:proofErr w:type="spellEnd"/>
      <w:r w:rsidRPr="00986C50">
        <w:t xml:space="preserve"> which binds the DFG region in its “out” conformation (closed), lenvatinib binds the DFG-in (open) conformation. This suggests that lenvatinib may belong to a new class of tyrosine kinase inhibitor, which has been termed type I½.</w:t>
      </w:r>
      <w:r w:rsidR="00986C50">
        <w:rPr>
          <w:rStyle w:val="FootnoteReference"/>
        </w:rPr>
        <w:footnoteReference w:id="9"/>
      </w:r>
      <w:r w:rsidRPr="00986C50">
        <w:t xml:space="preserve"> This type of kinase shows greater selectivity than Type I kinases which bind only the ATP binding site, but unlike type II inhibitors are able to bind to kinases in the “open” conformation</w:t>
      </w:r>
      <w:r w:rsidR="00772CC0">
        <w:t>.</w:t>
      </w:r>
    </w:p>
    <w:p w:rsidR="00A54FD8" w:rsidRPr="003816BF" w:rsidRDefault="00A54FD8" w:rsidP="003816BF">
      <w:r w:rsidRPr="003816BF">
        <w:t xml:space="preserve">In vitro, </w:t>
      </w:r>
      <w:proofErr w:type="spellStart"/>
      <w:r w:rsidRPr="003816BF">
        <w:t>lenvatinib</w:t>
      </w:r>
      <w:proofErr w:type="spellEnd"/>
      <w:r w:rsidRPr="003816BF">
        <w:t xml:space="preserve"> inhibited VEGF</w:t>
      </w:r>
      <w:r w:rsidR="002C41C9">
        <w:t xml:space="preserve"> </w:t>
      </w:r>
      <w:r w:rsidRPr="003816BF">
        <w:t xml:space="preserve">induced phosphorylation of VEGFR-2 (IC50 0.25 </w:t>
      </w:r>
      <w:proofErr w:type="spellStart"/>
      <w:r w:rsidRPr="003816BF">
        <w:t>nM</w:t>
      </w:r>
      <w:proofErr w:type="spellEnd"/>
      <w:r w:rsidRPr="003816BF">
        <w:t xml:space="preserve">), tube formation (angiogenesis; IC50 2.1 </w:t>
      </w:r>
      <w:proofErr w:type="spellStart"/>
      <w:r w:rsidRPr="003816BF">
        <w:t>nM</w:t>
      </w:r>
      <w:proofErr w:type="spellEnd"/>
      <w:r w:rsidRPr="003816BF">
        <w:t xml:space="preserve">) and proliferation (IC50 3.4 </w:t>
      </w:r>
      <w:proofErr w:type="spellStart"/>
      <w:r w:rsidRPr="003816BF">
        <w:t>nM</w:t>
      </w:r>
      <w:proofErr w:type="spellEnd"/>
      <w:r w:rsidRPr="003816BF">
        <w:t xml:space="preserve">) in human umbilical vein endothelial cells (HUVECs). Three lenvatinib metabolites (M1, M2 and M3) were pharmacologically active. These compounds inhibited the proliferation of HUVECs in response to VEGF with IC50 values of 57 </w:t>
      </w:r>
      <w:proofErr w:type="spellStart"/>
      <w:r w:rsidRPr="003816BF">
        <w:t>nM</w:t>
      </w:r>
      <w:proofErr w:type="spellEnd"/>
      <w:r w:rsidRPr="003816BF">
        <w:t xml:space="preserve"> (M1), 250 </w:t>
      </w:r>
      <w:proofErr w:type="spellStart"/>
      <w:r w:rsidRPr="003816BF">
        <w:t>nM</w:t>
      </w:r>
      <w:proofErr w:type="spellEnd"/>
      <w:r w:rsidRPr="003816BF">
        <w:t xml:space="preserve"> (M2) and 230 </w:t>
      </w:r>
      <w:proofErr w:type="spellStart"/>
      <w:r w:rsidRPr="003816BF">
        <w:t>nM</w:t>
      </w:r>
      <w:proofErr w:type="spellEnd"/>
      <w:r w:rsidRPr="003816BF">
        <w:t xml:space="preserve"> (M3). As these metabolites were not detected in plasma they are unlikely to contribute to the pharmacological activity of lenvatinib. Higher levels may occur locally, for example in liver and/or kidney, and may exert local activity in these tissues.</w:t>
      </w:r>
    </w:p>
    <w:p w:rsidR="00A54FD8" w:rsidRPr="003816BF" w:rsidRDefault="00A54FD8" w:rsidP="003816BF">
      <w:r w:rsidRPr="003816BF">
        <w:t xml:space="preserve">The efficacy of oral lenvatinib was assessed in vivo using tumour xenografts in </w:t>
      </w:r>
      <w:proofErr w:type="spellStart"/>
      <w:r w:rsidRPr="003816BF">
        <w:t>athymic</w:t>
      </w:r>
      <w:proofErr w:type="spellEnd"/>
      <w:r w:rsidRPr="003816BF">
        <w:t xml:space="preserve"> mice. Only those studies using thyroid cancer cell lines were evaluated. Lenvatinib dose-dependently inhibited the growth of papillary, follicular, medullary and anaplastic thyroid cancer cell line xenografts, as well as thyroid</w:t>
      </w:r>
      <w:r w:rsidR="002D01E7">
        <w:t xml:space="preserve"> </w:t>
      </w:r>
      <w:r w:rsidRPr="003816BF">
        <w:t xml:space="preserve">derived squamous cell cancer cell lines. </w:t>
      </w:r>
      <w:proofErr w:type="spellStart"/>
      <w:r w:rsidRPr="003816BF">
        <w:lastRenderedPageBreak/>
        <w:t>Lenvatinib</w:t>
      </w:r>
      <w:proofErr w:type="spellEnd"/>
      <w:r w:rsidRPr="003816BF">
        <w:t xml:space="preserve"> significantly inhibited xenograft growth in all thyroid cancer cell lines (≥1 mg/kg/day; estimated exposure ratio 0.2</w:t>
      </w:r>
      <w:r w:rsidR="00D338A1">
        <w:t>x</w:t>
      </w:r>
      <w:r w:rsidRPr="003816BF">
        <w:t xml:space="preserve"> based on body surface area, and 0.7</w:t>
      </w:r>
      <w:r w:rsidR="00D338A1">
        <w:t>x</w:t>
      </w:r>
      <w:r w:rsidRPr="003816BF">
        <w:t xml:space="preserve"> and 2</w:t>
      </w:r>
      <w:r w:rsidR="00D338A1">
        <w:t>x</w:t>
      </w:r>
      <w:r w:rsidRPr="003816BF">
        <w:t xml:space="preserve"> based on free fraction AUC and </w:t>
      </w:r>
      <w:proofErr w:type="spellStart"/>
      <w:r w:rsidRPr="003816BF">
        <w:t>Cmax</w:t>
      </w:r>
      <w:proofErr w:type="spellEnd"/>
      <w:r w:rsidRPr="003816BF">
        <w:t xml:space="preserve"> extrapolated from a 3 mg/kg dose, respectively), with 50% reduction in tumour growth (relative to vehicle control) generally observed at ~10 mg/kg and higher (exposure ratio ~2</w:t>
      </w:r>
      <w:r w:rsidR="00D338A1">
        <w:t>x</w:t>
      </w:r>
      <w:r w:rsidRPr="003816BF">
        <w:t>, 11</w:t>
      </w:r>
      <w:r w:rsidR="00D338A1">
        <w:t>x</w:t>
      </w:r>
      <w:r w:rsidRPr="003816BF">
        <w:t xml:space="preserve"> and 32</w:t>
      </w:r>
      <w:r w:rsidR="00D338A1">
        <w:t>x</w:t>
      </w:r>
      <w:r w:rsidRPr="003816BF">
        <w:t xml:space="preserve"> based on dose, AUC and </w:t>
      </w:r>
      <w:proofErr w:type="spellStart"/>
      <w:r w:rsidRPr="003816BF">
        <w:t>Cmax</w:t>
      </w:r>
      <w:proofErr w:type="spellEnd"/>
      <w:r w:rsidRPr="003816BF">
        <w:t xml:space="preserve">, respectively). </w:t>
      </w:r>
      <w:proofErr w:type="gramStart"/>
      <w:r w:rsidRPr="003816BF">
        <w:t>Inhibition of tumour angiogenesis was also demonstrated in an anaplastic thyroid cancer cell line xenograft model in mice that received ≥3 mg/kg/day lenvatinib (estimated exposure ratio 2</w:t>
      </w:r>
      <w:r w:rsidR="00D338A1">
        <w:t>x</w:t>
      </w:r>
      <w:r w:rsidRPr="003816BF">
        <w:t xml:space="preserve"> and 6</w:t>
      </w:r>
      <w:r w:rsidR="00D338A1">
        <w:t>x</w:t>
      </w:r>
      <w:r w:rsidRPr="003816BF">
        <w:t xml:space="preserve"> based on AUC</w:t>
      </w:r>
      <w:bookmarkStart w:id="54" w:name="_Ref426038168"/>
      <w:r w:rsidRPr="003816BF">
        <w:t xml:space="preserve"> and </w:t>
      </w:r>
      <w:proofErr w:type="spellStart"/>
      <w:r w:rsidRPr="003816BF">
        <w:t>Cmax</w:t>
      </w:r>
      <w:bookmarkEnd w:id="54"/>
      <w:proofErr w:type="spellEnd"/>
      <w:r w:rsidRPr="003816BF">
        <w:t>,</w:t>
      </w:r>
      <w:r w:rsidR="003816BF">
        <w:rPr>
          <w:rStyle w:val="FootnoteReference"/>
        </w:rPr>
        <w:footnoteReference w:id="10"/>
      </w:r>
      <w:r w:rsidR="0091219C">
        <w:t xml:space="preserve"> respectively)</w:t>
      </w:r>
      <w:r w:rsidRPr="003816BF">
        <w:t xml:space="preserve"> with 50% inhibition of </w:t>
      </w:r>
      <w:proofErr w:type="spellStart"/>
      <w:r w:rsidRPr="003816BF">
        <w:t>microvessel</w:t>
      </w:r>
      <w:proofErr w:type="spellEnd"/>
      <w:r w:rsidRPr="003816BF">
        <w:t xml:space="preserve"> density at around 30 mg/kg.</w:t>
      </w:r>
      <w:proofErr w:type="gramEnd"/>
      <w:r w:rsidRPr="003816BF">
        <w:t xml:space="preserve"> Two studies compared the efficacy of </w:t>
      </w:r>
      <w:proofErr w:type="spellStart"/>
      <w:r w:rsidRPr="003816BF">
        <w:t>lenvatinib</w:t>
      </w:r>
      <w:proofErr w:type="spellEnd"/>
      <w:r w:rsidRPr="003816BF">
        <w:t xml:space="preserve"> and </w:t>
      </w:r>
      <w:proofErr w:type="spellStart"/>
      <w:r w:rsidRPr="003816BF">
        <w:t>sorafenib</w:t>
      </w:r>
      <w:proofErr w:type="spellEnd"/>
      <w:r w:rsidRPr="003816BF">
        <w:t xml:space="preserve"> in inhibiting the growth of papillary and follicular thyroid cancer cell lines. Both significantly inhibited thyroid cancer cell xenografts, but </w:t>
      </w:r>
      <w:proofErr w:type="spellStart"/>
      <w:r w:rsidRPr="003816BF">
        <w:t>lenvatinib</w:t>
      </w:r>
      <w:proofErr w:type="spellEnd"/>
      <w:r w:rsidRPr="003816BF">
        <w:t xml:space="preserve"> did so at lower doses compared to </w:t>
      </w:r>
      <w:proofErr w:type="spellStart"/>
      <w:r w:rsidRPr="003816BF">
        <w:t>sorafenib</w:t>
      </w:r>
      <w:proofErr w:type="spellEnd"/>
      <w:r w:rsidRPr="003816BF">
        <w:t xml:space="preserve"> (ED50 values of 5</w:t>
      </w:r>
      <w:r w:rsidRPr="003816BF">
        <w:noBreakHyphen/>
        <w:t xml:space="preserve">7 mg/kg/day and 61–96 mg/kg/day, respectively), consistent with the difference in VEGFR2 binding affinity (KD 2.1 </w:t>
      </w:r>
      <w:proofErr w:type="spellStart"/>
      <w:r w:rsidRPr="003816BF">
        <w:t>nM</w:t>
      </w:r>
      <w:proofErr w:type="spellEnd"/>
      <w:r w:rsidRPr="003816BF">
        <w:t xml:space="preserve"> for </w:t>
      </w:r>
      <w:proofErr w:type="spellStart"/>
      <w:r w:rsidRPr="003816BF">
        <w:t>lenvatinib</w:t>
      </w:r>
      <w:proofErr w:type="spellEnd"/>
      <w:r w:rsidRPr="003816BF">
        <w:t xml:space="preserve"> and 33 </w:t>
      </w:r>
      <w:proofErr w:type="spellStart"/>
      <w:r w:rsidRPr="003816BF">
        <w:t>nM</w:t>
      </w:r>
      <w:proofErr w:type="spellEnd"/>
      <w:r w:rsidRPr="003816BF">
        <w:t xml:space="preserve"> for </w:t>
      </w:r>
      <w:proofErr w:type="spellStart"/>
      <w:r w:rsidRPr="003816BF">
        <w:t>sorafenib</w:t>
      </w:r>
      <w:proofErr w:type="spellEnd"/>
      <w:r w:rsidRPr="003816BF">
        <w:t>).</w:t>
      </w:r>
    </w:p>
    <w:p w:rsidR="00A54FD8" w:rsidRPr="00EB69F1" w:rsidRDefault="00A54FD8" w:rsidP="003816BF">
      <w:pPr>
        <w:pStyle w:val="Heading4"/>
      </w:pPr>
      <w:r w:rsidRPr="00EB69F1">
        <w:t>Secondary pharmacodynamics and safety pharmacology</w:t>
      </w:r>
    </w:p>
    <w:p w:rsidR="00A54FD8" w:rsidRPr="003816BF" w:rsidRDefault="00A54FD8" w:rsidP="003816BF">
      <w:r w:rsidRPr="003816BF">
        <w:t xml:space="preserve">A secondary pharmacodynamic pharmacology study revealed 10 </w:t>
      </w:r>
      <w:proofErr w:type="spellStart"/>
      <w:r w:rsidRPr="003816BF">
        <w:t>μM</w:t>
      </w:r>
      <w:proofErr w:type="spellEnd"/>
      <w:r w:rsidRPr="003816BF">
        <w:t xml:space="preserve"> </w:t>
      </w:r>
      <w:proofErr w:type="spellStart"/>
      <w:r w:rsidRPr="003816BF">
        <w:t>lenvatinib</w:t>
      </w:r>
      <w:proofErr w:type="spellEnd"/>
      <w:r w:rsidRPr="003816BF">
        <w:t xml:space="preserve"> inhibited the serotonin 5</w:t>
      </w:r>
      <w:r w:rsidRPr="003816BF">
        <w:noBreakHyphen/>
        <w:t>HT1A and 5-HT1B receptors, and no</w:t>
      </w:r>
      <w:r w:rsidR="001E0E16">
        <w:t>radrenaline transporter, by ~40-</w:t>
      </w:r>
      <w:r w:rsidRPr="003816BF">
        <w:t xml:space="preserve">60%. This is unlikely to occur clinically as the unbound </w:t>
      </w:r>
      <w:proofErr w:type="spellStart"/>
      <w:r w:rsidRPr="003816BF">
        <w:t>Cmax</w:t>
      </w:r>
      <w:proofErr w:type="spellEnd"/>
      <w:r w:rsidRPr="003816BF">
        <w:t xml:space="preserve"> is &gt;500</w:t>
      </w:r>
      <w:r w:rsidR="001E0E16">
        <w:t>x</w:t>
      </w:r>
      <w:r w:rsidRPr="003816BF">
        <w:t xml:space="preserve"> lower than the lenvatinib concentration at which inhibition occurred. No other off</w:t>
      </w:r>
      <w:r w:rsidR="001E0E16">
        <w:t xml:space="preserve"> </w:t>
      </w:r>
      <w:r w:rsidRPr="003816BF">
        <w:t>target binding was observed.</w:t>
      </w:r>
    </w:p>
    <w:p w:rsidR="00772CC0" w:rsidRDefault="00A54FD8" w:rsidP="003816BF">
      <w:r w:rsidRPr="003816BF">
        <w:t>Specialised safety pharmacology studies</w:t>
      </w:r>
      <w:r w:rsidR="00905D20">
        <w:t xml:space="preserve"> covered the cardiovascular, central nervous system (CNS)</w:t>
      </w:r>
      <w:r w:rsidRPr="003816BF">
        <w:t xml:space="preserve"> and respiratory systems. They revealed no adverse effects on lenvatinib on the respiratory or CNS systems in male SD rats a</w:t>
      </w:r>
      <w:r w:rsidR="002D01E7">
        <w:t>t doses ≤100 mg/kg oral (PO)</w:t>
      </w:r>
      <w:r w:rsidRPr="003816BF">
        <w:t xml:space="preserve"> (~150</w:t>
      </w:r>
      <w:r w:rsidR="00800CDB">
        <w:t>x</w:t>
      </w:r>
      <w:r w:rsidRPr="003816BF">
        <w:t xml:space="preserve"> unbound clinical </w:t>
      </w:r>
      <w:proofErr w:type="spellStart"/>
      <w:r w:rsidRPr="003816BF">
        <w:t>Cmax</w:t>
      </w:r>
      <w:proofErr w:type="spellEnd"/>
      <w:r w:rsidRPr="003816BF">
        <w:t>).</w:t>
      </w:r>
      <w:r w:rsidR="003816BF">
        <w:rPr>
          <w:rStyle w:val="FootnoteReference"/>
        </w:rPr>
        <w:footnoteReference w:id="11"/>
      </w:r>
      <w:r w:rsidRPr="003816BF">
        <w:t xml:space="preserve"> In vitro studies found no effect of 10 </w:t>
      </w:r>
      <w:proofErr w:type="spellStart"/>
      <w:r w:rsidRPr="003816BF">
        <w:t>μM</w:t>
      </w:r>
      <w:proofErr w:type="spellEnd"/>
      <w:r w:rsidRPr="003816BF">
        <w:t xml:space="preserve"> </w:t>
      </w:r>
      <w:proofErr w:type="spellStart"/>
      <w:r w:rsidRPr="003816BF">
        <w:t>lenvatinib</w:t>
      </w:r>
      <w:proofErr w:type="spellEnd"/>
      <w:r w:rsidRPr="003816BF">
        <w:t xml:space="preserve"> on the action potential in papillary muscles isolated from guinea pigs. </w:t>
      </w:r>
      <w:proofErr w:type="spellStart"/>
      <w:r w:rsidRPr="003816BF">
        <w:t>Lenvatinib</w:t>
      </w:r>
      <w:proofErr w:type="spellEnd"/>
      <w:r w:rsidRPr="003816BF">
        <w:t xml:space="preserve"> inhibited </w:t>
      </w:r>
      <w:proofErr w:type="spellStart"/>
      <w:r w:rsidRPr="003816BF">
        <w:t>hERG</w:t>
      </w:r>
      <w:proofErr w:type="spellEnd"/>
      <w:r w:rsidRPr="003816BF">
        <w:t xml:space="preserve"> tail currents with an IC50</w:t>
      </w:r>
      <w:r w:rsidR="00800CDB">
        <w:t xml:space="preserve"> of ~12 </w:t>
      </w:r>
      <w:proofErr w:type="spellStart"/>
      <w:r w:rsidR="00800CDB">
        <w:t>μM</w:t>
      </w:r>
      <w:proofErr w:type="spellEnd"/>
      <w:r w:rsidR="00800CDB">
        <w:t xml:space="preserve"> (&gt;500x</w:t>
      </w:r>
      <w:r w:rsidRPr="003816BF">
        <w:t xml:space="preserve"> clinical unbound </w:t>
      </w:r>
      <w:proofErr w:type="spellStart"/>
      <w:r w:rsidRPr="003816BF">
        <w:t>Cmax</w:t>
      </w:r>
      <w:proofErr w:type="spellEnd"/>
      <w:r w:rsidRPr="003816BF">
        <w:t xml:space="preserve">). There was no effect of </w:t>
      </w:r>
      <w:proofErr w:type="spellStart"/>
      <w:r w:rsidRPr="003816BF">
        <w:t>lenvatinib</w:t>
      </w:r>
      <w:proofErr w:type="spellEnd"/>
      <w:r w:rsidRPr="003816BF">
        <w:t xml:space="preserve"> on </w:t>
      </w:r>
      <w:proofErr w:type="spellStart"/>
      <w:r w:rsidRPr="003816BF">
        <w:t>QTc</w:t>
      </w:r>
      <w:proofErr w:type="spellEnd"/>
      <w:r w:rsidRPr="003816BF">
        <w:t xml:space="preserve"> in conscious dogs (≤30 mg/kg; 33</w:t>
      </w:r>
      <w:r w:rsidR="00800CDB">
        <w:t>x</w:t>
      </w:r>
      <w:r w:rsidRPr="003816BF">
        <w:t xml:space="preserve"> unbound clinical </w:t>
      </w:r>
      <w:proofErr w:type="spellStart"/>
      <w:r w:rsidRPr="003816BF">
        <w:t>Cmax</w:t>
      </w:r>
      <w:proofErr w:type="spellEnd"/>
      <w:r w:rsidRPr="003816BF">
        <w:t>)</w:t>
      </w:r>
      <w:r w:rsidR="003816BF">
        <w:rPr>
          <w:rStyle w:val="FootnoteReference"/>
        </w:rPr>
        <w:footnoteReference w:id="12"/>
      </w:r>
      <w:r w:rsidRPr="003816BF">
        <w:t xml:space="preserve"> or in monkeys in the repeat dose toxicity studies at up to 3 mg/kg/day for 9 months (~7x the unbound clinical unbound </w:t>
      </w:r>
      <w:proofErr w:type="spellStart"/>
      <w:r w:rsidRPr="003816BF">
        <w:t>Cmax</w:t>
      </w:r>
      <w:proofErr w:type="spellEnd"/>
      <w:r w:rsidRPr="003816BF">
        <w:t xml:space="preserve">). The nonclinical study findings suggest low potential for QT prolongation in humans. Blood pressure was increased in dogs that received ≥6 mg/kg (9× unbound clinical </w:t>
      </w:r>
      <w:proofErr w:type="spellStart"/>
      <w:r w:rsidRPr="003816BF">
        <w:t>Cmax</w:t>
      </w:r>
      <w:proofErr w:type="spellEnd"/>
      <w:r w:rsidRPr="003816BF">
        <w:t>), suggesting that hypertension is a potential risk in patients</w:t>
      </w:r>
      <w:r w:rsidR="00772CC0">
        <w:t>.</w:t>
      </w:r>
    </w:p>
    <w:p w:rsidR="008E7846" w:rsidRDefault="008E7846" w:rsidP="008E7846">
      <w:pPr>
        <w:pStyle w:val="Heading3"/>
      </w:pPr>
      <w:bookmarkStart w:id="55" w:name="_Toc247691513"/>
      <w:bookmarkStart w:id="56" w:name="_Toc314842497"/>
      <w:bookmarkStart w:id="57" w:name="_Toc461092040"/>
      <w:r>
        <w:t>Pharmacokinetics</w:t>
      </w:r>
      <w:bookmarkEnd w:id="55"/>
      <w:bookmarkEnd w:id="56"/>
      <w:bookmarkEnd w:id="57"/>
    </w:p>
    <w:p w:rsidR="0004435D" w:rsidRPr="000B19B9" w:rsidRDefault="0004435D" w:rsidP="000B19B9">
      <w:bookmarkStart w:id="58" w:name="_Toc247691514"/>
      <w:bookmarkStart w:id="59" w:name="_Toc314842498"/>
      <w:r w:rsidRPr="000B19B9">
        <w:t>Lenvatinib was absorbed rapidly in rodents (</w:t>
      </w:r>
      <w:proofErr w:type="spellStart"/>
      <w:r w:rsidRPr="000B19B9">
        <w:t>Tmax</w:t>
      </w:r>
      <w:proofErr w:type="spellEnd"/>
      <w:r w:rsidRPr="000B19B9">
        <w:t xml:space="preserve"> ≤1</w:t>
      </w:r>
      <w:r w:rsidR="001E0E16">
        <w:t xml:space="preserve"> </w:t>
      </w:r>
      <w:r w:rsidRPr="000B19B9">
        <w:t>h, delayed at high doses), but more slowly in d</w:t>
      </w:r>
      <w:r w:rsidR="001E0E16">
        <w:t>ogs, monkeys and humans (</w:t>
      </w:r>
      <w:proofErr w:type="spellStart"/>
      <w:r w:rsidR="001E0E16">
        <w:t>Tmax</w:t>
      </w:r>
      <w:proofErr w:type="spellEnd"/>
      <w:r w:rsidR="001E0E16">
        <w:t xml:space="preserve"> 1-</w:t>
      </w:r>
      <w:r w:rsidRPr="000B19B9">
        <w:t>8</w:t>
      </w:r>
      <w:r w:rsidR="001E0E16">
        <w:t xml:space="preserve"> </w:t>
      </w:r>
      <w:r w:rsidRPr="000B19B9">
        <w:t>h, 2</w:t>
      </w:r>
      <w:r w:rsidR="001E0E16">
        <w:t xml:space="preserve"> </w:t>
      </w:r>
      <w:r w:rsidRPr="000B19B9">
        <w:t xml:space="preserve">h in humans). Lenvatinib had good oral bioavailability in nude mice, SD rats, </w:t>
      </w:r>
      <w:proofErr w:type="gramStart"/>
      <w:r w:rsidRPr="000B19B9">
        <w:t>beagle</w:t>
      </w:r>
      <w:proofErr w:type="gramEnd"/>
      <w:r w:rsidRPr="000B19B9">
        <w:t xml:space="preserve"> </w:t>
      </w:r>
      <w:r w:rsidR="001E0E16">
        <w:t xml:space="preserve">dogs and </w:t>
      </w:r>
      <w:proofErr w:type="spellStart"/>
      <w:r w:rsidR="001E0E16">
        <w:t>cynomolgus</w:t>
      </w:r>
      <w:proofErr w:type="spellEnd"/>
      <w:r w:rsidR="001E0E16">
        <w:t xml:space="preserve"> monkeys (64-</w:t>
      </w:r>
      <w:r w:rsidRPr="000B19B9">
        <w:t xml:space="preserve">78%). Plasma </w:t>
      </w:r>
      <w:r w:rsidR="00772CC0" w:rsidRPr="000B19B9">
        <w:t>half</w:t>
      </w:r>
      <w:r w:rsidR="00772CC0">
        <w:t>-</w:t>
      </w:r>
      <w:r w:rsidR="00772CC0" w:rsidRPr="000B19B9">
        <w:t>life</w:t>
      </w:r>
      <w:r w:rsidRPr="000B19B9">
        <w:t xml:space="preserve"> was moderate in laborato</w:t>
      </w:r>
      <w:r w:rsidR="001E0E16">
        <w:t>ry animals (2-5h) and humans (6-</w:t>
      </w:r>
      <w:r w:rsidRPr="000B19B9">
        <w:t>7h). At high doses, exposure was generally higher in female compared to male rats and dogs, but there were no clear effects of gender on AUC in monkeys. In the pivotal studies, exposure to lenvatinib (as AUC) was approximately dose</w:t>
      </w:r>
      <w:r w:rsidR="001E0E16">
        <w:t xml:space="preserve"> </w:t>
      </w:r>
      <w:r w:rsidRPr="000B19B9">
        <w:t>proportional in rats and monkeys.</w:t>
      </w:r>
    </w:p>
    <w:p w:rsidR="0004435D" w:rsidRPr="000B19B9" w:rsidRDefault="0004435D" w:rsidP="000B19B9">
      <w:r w:rsidRPr="000B19B9">
        <w:t>Plasma protein binding was high in all species (~98% in rats and humans, 97% in mice, 96% in monkeys and 91% in dogs). The mean free fraction in plasma at the concentration range of 0.3</w:t>
      </w:r>
      <w:r w:rsidRPr="000B19B9">
        <w:noBreakHyphen/>
        <w:t>30 </w:t>
      </w:r>
      <w:proofErr w:type="spellStart"/>
      <w:r w:rsidRPr="000B19B9">
        <w:t>μg</w:t>
      </w:r>
      <w:proofErr w:type="spellEnd"/>
      <w:r w:rsidRPr="000B19B9">
        <w:t xml:space="preserve">/mL was 3.3% (mouse), 2.0% (rat), 8.9% (dog), 3.9% (monkey) and 1.7% (human). In human serum, lenvatinib was predominantly bound to albumin. The volume of distribution was small in rats and moderate in mice, dogs and monkeys. Tissue distribution studies in rats found high levels of lenvatinib and/or its metabolites in liver, kidneys and adrenal gland, with high levels of radioactivity also observed in the stomach </w:t>
      </w:r>
      <w:r w:rsidRPr="000B19B9">
        <w:lastRenderedPageBreak/>
        <w:t xml:space="preserve">and </w:t>
      </w:r>
      <w:r w:rsidR="009E4D7B">
        <w:t>GI</w:t>
      </w:r>
      <w:r w:rsidRPr="000B19B9">
        <w:t xml:space="preserve"> tract. In monkeys lenvatinib and/or its metabolites distributed to liver, kidneys, gall bladder, kidney, renal cortex and renal medulla as well as to the iris, ciliary body and choroid, with retention in ocular tissues. Very high levels were detected in bile (in gall bladder), suggesting biliary excretion. Measurable and limited distribution to the brain and reproductive tissues (males) were observed.</w:t>
      </w:r>
    </w:p>
    <w:p w:rsidR="0004435D" w:rsidRPr="000B19B9" w:rsidRDefault="0004435D" w:rsidP="000B19B9">
      <w:r w:rsidRPr="000B19B9">
        <w:t>Lenvatinib was extensively metabolised to over 70 metabolites by reactions including O-</w:t>
      </w:r>
      <w:proofErr w:type="spellStart"/>
      <w:r w:rsidRPr="000B19B9">
        <w:t>dearylation</w:t>
      </w:r>
      <w:proofErr w:type="spellEnd"/>
      <w:r w:rsidRPr="000B19B9">
        <w:t xml:space="preserve">, demethylation, </w:t>
      </w:r>
      <w:proofErr w:type="spellStart"/>
      <w:r w:rsidRPr="000B19B9">
        <w:t>dealkylation</w:t>
      </w:r>
      <w:proofErr w:type="spellEnd"/>
      <w:r w:rsidRPr="000B19B9">
        <w:t>, oxidation, hydroxylation, glutathione conjugation and/or combinations of these processes. The dominant circulating species was unchanged lenvatinib, and there were no major metabolites identified in plasma of humans, rats or monkeys when lenvatinib was radiolabelled on the quinolone moiety. One major plasma metabolite was identified in monkeys when lenvatinib radiolabelled on the chlorobenzene moiety was used (me50;</w:t>
      </w:r>
      <w:r w:rsidR="000B19B9">
        <w:rPr>
          <w:rStyle w:val="FootnoteReference"/>
        </w:rPr>
        <w:footnoteReference w:id="13"/>
      </w:r>
      <w:r w:rsidRPr="000B19B9">
        <w:t xml:space="preserve"> 13–39%). The in vitro metabolite profile was very similar in monkey and human liver </w:t>
      </w:r>
      <w:proofErr w:type="spellStart"/>
      <w:r w:rsidRPr="000B19B9">
        <w:t>microsomes</w:t>
      </w:r>
      <w:proofErr w:type="spellEnd"/>
      <w:r w:rsidRPr="000B19B9">
        <w:t xml:space="preserve">, with 5 of 8 identified metabolites also observed in mouse, rat and dog liver </w:t>
      </w:r>
      <w:proofErr w:type="spellStart"/>
      <w:r w:rsidRPr="000B19B9">
        <w:t>microsomes</w:t>
      </w:r>
      <w:proofErr w:type="spellEnd"/>
      <w:r w:rsidRPr="000B19B9">
        <w:t>. In humans, low levels of metabolite M2-glucuronide was observed in plasma (2.5%), with other minor plasma metabolites also observed in monkeys. Multiple metabolites were identified in urine and faeces, with the metabolite profile differing between species. Low levels of unchanged drug were detected in either excreta of monkeys and humans and rat urine, but high levels in rat faeces (44% of faecal radioactivity) and bile (16% of biliary radioactivity) were observed. Unique faecal and urinary metabolites were observed in humans, with me10 (quinolone GSH derivative) accounting for 6.8% of dose (30% of total urine radioactivity) and me46 (structure unidentified) 3.7% of dose (16% of total urine radioactivity). Metabolite me10 was also detected in monkey liver and kidneys, and me46 was not detected in animal species. CYP3A4 was the major CYP isoform responsible for metabolite formation, with aldehyde oxidase also involved in metabolite formation.</w:t>
      </w:r>
    </w:p>
    <w:p w:rsidR="0004435D" w:rsidRPr="000B19B9" w:rsidRDefault="0004435D" w:rsidP="000B19B9">
      <w:r w:rsidRPr="000B19B9">
        <w:t>In studies using lenvatinib radiolabelled on the quinolone moiety the majority of radioactivity was excreted in the faeces (62-87%) with urinary excretion also observed (12-19%). Biliary excretion was demonstrated in rats and monkeys. A similar excretion profile was observed in humans (65% faeces, 23% urine). In monkeys that were administered 14C</w:t>
      </w:r>
      <w:r w:rsidRPr="000B19B9">
        <w:noBreakHyphen/>
        <w:t xml:space="preserve">CB-lenvatinib the majority of radioactivity was excreted in the urine (80%) with lower levels of excretion via the faeces (14%). </w:t>
      </w:r>
      <w:r w:rsidRPr="001E0E16">
        <w:rPr>
          <w:vertAlign w:val="superscript"/>
        </w:rPr>
        <w:t>14</w:t>
      </w:r>
      <w:r w:rsidRPr="000B19B9">
        <w:t>C</w:t>
      </w:r>
      <w:r w:rsidRPr="000B19B9">
        <w:noBreakHyphen/>
        <w:t>CB-lenvatinib was not used in human studies. Together, the data indicate that lenvatinib is predominantly cleared by metabolism in monkeys, while biliary excretion also plays an important role, in addition to metabolism, in rats. Both the biliary/faecal and urinary excretion routes are likely to contribute to the excretion of lenvatinib and metabolites.</w:t>
      </w:r>
    </w:p>
    <w:p w:rsidR="0004435D" w:rsidRPr="000B19B9" w:rsidRDefault="0004435D" w:rsidP="000B19B9">
      <w:r w:rsidRPr="000B19B9">
        <w:t>The pharmacokinetic profile in humans and monkeys were highly similar, with sufficient similarity in rodents and dogs to make these animal models suitable for assessing the toxicity profile of lenvatinib. The differences in metabolic profile in the urine and faeces of animals and humans are not considered problematic given the similarity of in vitro metabolites and the detection of one major human urine metabolite in monkey liver and kidney tissues. The plasma metabolite profile has not been fully established in humans or ra</w:t>
      </w:r>
      <w:r w:rsidR="001E0E16">
        <w:t>ts, but based on ICH guidance</w:t>
      </w:r>
      <w:r w:rsidR="001E0E16">
        <w:rPr>
          <w:rStyle w:val="FootnoteReference"/>
        </w:rPr>
        <w:footnoteReference w:id="14"/>
      </w:r>
      <w:r w:rsidRPr="000B19B9">
        <w:t xml:space="preserve"> this is not considered a major deficiency for an anti-cancer pharmaceutical for the treatment of advanced cancer.</w:t>
      </w:r>
      <w:r w:rsidR="000B19B9">
        <w:rPr>
          <w:rStyle w:val="FootnoteReference"/>
        </w:rPr>
        <w:footnoteReference w:id="15"/>
      </w:r>
    </w:p>
    <w:p w:rsidR="0004435D" w:rsidRPr="00EB69F1" w:rsidRDefault="0004435D" w:rsidP="00034B98">
      <w:pPr>
        <w:pStyle w:val="Heading4"/>
      </w:pPr>
      <w:bookmarkStart w:id="60" w:name="_Toc294861725"/>
      <w:r w:rsidRPr="00EB69F1">
        <w:lastRenderedPageBreak/>
        <w:t>Pharmacokinetic drug interactions</w:t>
      </w:r>
      <w:bookmarkEnd w:id="60"/>
    </w:p>
    <w:p w:rsidR="0004435D" w:rsidRPr="00034B98" w:rsidRDefault="0004435D" w:rsidP="00034B98">
      <w:r w:rsidRPr="00034B98">
        <w:t xml:space="preserve">Lenvatinib did not induce the expression or activity of CYP and UGT enzymes at concentrations that were clinically relevant. Lenvatinib inhibited CYP2C8 and CPY3A4 with Ki values of 11 and 106 </w:t>
      </w:r>
      <w:proofErr w:type="spellStart"/>
      <w:r w:rsidRPr="00034B98">
        <w:t>μM</w:t>
      </w:r>
      <w:proofErr w:type="spellEnd"/>
      <w:r w:rsidRPr="00034B98">
        <w:t xml:space="preserve">, respectively, and inhibited UGT1A1 and 1A4 with IC50 values of 10.6 and 14.0 </w:t>
      </w:r>
      <w:proofErr w:type="spellStart"/>
      <w:r w:rsidRPr="00034B98">
        <w:t>μM</w:t>
      </w:r>
      <w:proofErr w:type="spellEnd"/>
      <w:r w:rsidRPr="00034B98">
        <w:t xml:space="preserve">, respectively. As the anticipated unbound </w:t>
      </w:r>
      <w:proofErr w:type="spellStart"/>
      <w:r w:rsidRPr="00034B98">
        <w:t>Cmax</w:t>
      </w:r>
      <w:proofErr w:type="spellEnd"/>
      <w:r w:rsidRPr="00034B98">
        <w:t xml:space="preserve"> at the MRHD is ~20 </w:t>
      </w:r>
      <w:proofErr w:type="spellStart"/>
      <w:r w:rsidRPr="00034B98">
        <w:t>nM</w:t>
      </w:r>
      <w:proofErr w:type="spellEnd"/>
      <w:r w:rsidRPr="00034B98">
        <w:t xml:space="preserve">, these effects are unlikely to occur clinically even when the increased distribution to liver is considered. No inhibition of other CYP (1A2, 2A6, 2B6, 2C9, 2C19, 2D6 and 2E1) or UGT (1A6, 1A9 and 2B7) enzymes was observed in in vitro assays. However, a pharmacokinetic modelling study predicted minor inhibition of CYP3A4. Lenvatinib also inhibited UGT1A1, 1A4 and 1A9, but with IC50 values &gt;10 </w:t>
      </w:r>
      <w:proofErr w:type="spellStart"/>
      <w:r w:rsidRPr="00034B98">
        <w:t>μM</w:t>
      </w:r>
      <w:proofErr w:type="spellEnd"/>
      <w:r w:rsidRPr="00034B98">
        <w:t>. This is unlikely to be clinically relevant.</w:t>
      </w:r>
    </w:p>
    <w:p w:rsidR="00772CC0" w:rsidRDefault="0004435D" w:rsidP="00034B98">
      <w:r w:rsidRPr="00034B98">
        <w:t>Lenvatinib was a substrate for P</w:t>
      </w:r>
      <w:r w:rsidRPr="00034B98">
        <w:noBreakHyphen/>
        <w:t>glycoprotein (P-</w:t>
      </w:r>
      <w:proofErr w:type="spellStart"/>
      <w:r w:rsidRPr="00034B98">
        <w:t>gp</w:t>
      </w:r>
      <w:proofErr w:type="spellEnd"/>
      <w:r w:rsidRPr="00034B98">
        <w:t>) and BCRP, suggesting that its bioavailability may be altered by inhibitors or inducers of these transporters. However, it is noted that only minor changes in the bioavailability of lenvatinib were observed in clinical studies when co-administered with a P-</w:t>
      </w:r>
      <w:proofErr w:type="spellStart"/>
      <w:r w:rsidRPr="00034B98">
        <w:t>gp</w:t>
      </w:r>
      <w:proofErr w:type="spellEnd"/>
      <w:r w:rsidRPr="00034B98">
        <w:t xml:space="preserve"> inhibitor or inducer (Summary of Clinical Pharmacology Studies). </w:t>
      </w:r>
      <w:proofErr w:type="spellStart"/>
      <w:r w:rsidRPr="00034B98">
        <w:t>Lenvatinib</w:t>
      </w:r>
      <w:proofErr w:type="spellEnd"/>
      <w:r w:rsidRPr="00034B98">
        <w:t xml:space="preserve"> inhibited P</w:t>
      </w:r>
      <w:r w:rsidRPr="00034B98">
        <w:noBreakHyphen/>
      </w:r>
      <w:proofErr w:type="spellStart"/>
      <w:r w:rsidRPr="00034B98">
        <w:t>gp</w:t>
      </w:r>
      <w:proofErr w:type="spellEnd"/>
      <w:r w:rsidRPr="00034B98">
        <w:t xml:space="preserve"> and BCRP with estimated IC50 values of &gt;30 </w:t>
      </w:r>
      <w:proofErr w:type="spellStart"/>
      <w:r w:rsidRPr="00034B98">
        <w:t>μM</w:t>
      </w:r>
      <w:proofErr w:type="spellEnd"/>
      <w:r w:rsidRPr="00034B98">
        <w:t xml:space="preserve">. The actual IC50 may be much higher as the maximum concentrations of lenvatinib tested were 10 </w:t>
      </w:r>
      <w:proofErr w:type="spellStart"/>
      <w:r w:rsidRPr="00034B98">
        <w:t>μM</w:t>
      </w:r>
      <w:proofErr w:type="spellEnd"/>
      <w:r w:rsidRPr="00034B98">
        <w:t xml:space="preserve"> (P-</w:t>
      </w:r>
      <w:proofErr w:type="spellStart"/>
      <w:r w:rsidRPr="00034B98">
        <w:t>gp</w:t>
      </w:r>
      <w:proofErr w:type="spellEnd"/>
      <w:r w:rsidRPr="00034B98">
        <w:t xml:space="preserve">) and 30 </w:t>
      </w:r>
      <w:proofErr w:type="spellStart"/>
      <w:r w:rsidRPr="00034B98">
        <w:t>μM</w:t>
      </w:r>
      <w:proofErr w:type="spellEnd"/>
      <w:r w:rsidRPr="00034B98">
        <w:t xml:space="preserve"> (BCRP). The anticipated intestinal concentration of </w:t>
      </w:r>
      <w:proofErr w:type="spellStart"/>
      <w:r w:rsidRPr="00034B98">
        <w:t>lenvatinib</w:t>
      </w:r>
      <w:proofErr w:type="spellEnd"/>
      <w:r w:rsidRPr="00034B98">
        <w:t xml:space="preserve"> is 22 </w:t>
      </w:r>
      <w:proofErr w:type="spellStart"/>
      <w:r w:rsidRPr="00034B98">
        <w:t>μM</w:t>
      </w:r>
      <w:proofErr w:type="spellEnd"/>
      <w:r w:rsidRPr="00034B98">
        <w:t>.</w:t>
      </w:r>
      <w:r w:rsidR="00034B98">
        <w:rPr>
          <w:rStyle w:val="FootnoteReference"/>
        </w:rPr>
        <w:footnoteReference w:id="16"/>
      </w:r>
      <w:r w:rsidRPr="00034B98">
        <w:t xml:space="preserve"> As the estimated IC50 was higher than the anticipated intestinal concentration and &gt;1000 fold higher than the unbound clinical </w:t>
      </w:r>
      <w:proofErr w:type="spellStart"/>
      <w:r w:rsidRPr="00034B98">
        <w:t>Cmax</w:t>
      </w:r>
      <w:proofErr w:type="spellEnd"/>
      <w:r w:rsidRPr="00034B98">
        <w:t xml:space="preserve">, </w:t>
      </w:r>
      <w:proofErr w:type="spellStart"/>
      <w:r w:rsidRPr="00034B98">
        <w:t>lenvatinib</w:t>
      </w:r>
      <w:proofErr w:type="spellEnd"/>
      <w:r w:rsidRPr="00034B98">
        <w:t xml:space="preserve"> is not expected to have significant effects on the bioavailability of P-</w:t>
      </w:r>
      <w:proofErr w:type="spellStart"/>
      <w:r w:rsidRPr="00034B98">
        <w:t>gp</w:t>
      </w:r>
      <w:proofErr w:type="spellEnd"/>
      <w:r w:rsidRPr="00034B98">
        <w:t xml:space="preserve"> and BCRP substrates</w:t>
      </w:r>
      <w:r w:rsidR="00772CC0">
        <w:t>.</w:t>
      </w:r>
    </w:p>
    <w:p w:rsidR="0004435D" w:rsidRPr="00034B98" w:rsidRDefault="0004435D" w:rsidP="00034B98">
      <w:proofErr w:type="spellStart"/>
      <w:r w:rsidRPr="00034B98">
        <w:t>Lenvatinib</w:t>
      </w:r>
      <w:proofErr w:type="spellEnd"/>
      <w:r w:rsidRPr="00034B98">
        <w:t xml:space="preserve"> was not a substrate for OAT1, OAT3, OCT1, OCT2, OATP1B1, OATP1B3 or BSEP, but it inhibited these transporters with IC50 values ranging from 4 </w:t>
      </w:r>
      <w:proofErr w:type="spellStart"/>
      <w:r w:rsidRPr="00034B98">
        <w:t>μM</w:t>
      </w:r>
      <w:proofErr w:type="spellEnd"/>
      <w:r w:rsidRPr="00034B98">
        <w:t xml:space="preserve"> to over 30 </w:t>
      </w:r>
      <w:proofErr w:type="spellStart"/>
      <w:r w:rsidRPr="00034B98">
        <w:t>μM</w:t>
      </w:r>
      <w:proofErr w:type="spellEnd"/>
      <w:r w:rsidRPr="00034B98">
        <w:t xml:space="preserve">. As the unbound clinical </w:t>
      </w:r>
      <w:proofErr w:type="spellStart"/>
      <w:r w:rsidRPr="00034B98">
        <w:t>C</w:t>
      </w:r>
      <w:r w:rsidRPr="00034B98">
        <w:rPr>
          <w:vertAlign w:val="subscript"/>
        </w:rPr>
        <w:t>max</w:t>
      </w:r>
      <w:proofErr w:type="spellEnd"/>
      <w:r w:rsidRPr="00034B98">
        <w:rPr>
          <w:vertAlign w:val="subscript"/>
        </w:rPr>
        <w:t xml:space="preserve"> </w:t>
      </w:r>
      <w:r w:rsidRPr="00034B98">
        <w:t xml:space="preserve">was ~20 </w:t>
      </w:r>
      <w:proofErr w:type="spellStart"/>
      <w:r w:rsidRPr="00034B98">
        <w:t>nM</w:t>
      </w:r>
      <w:proofErr w:type="spellEnd"/>
      <w:r w:rsidRPr="00034B98">
        <w:t>, inhibition of these transporters is not expected clinically.</w:t>
      </w:r>
    </w:p>
    <w:p w:rsidR="001B5C90" w:rsidRDefault="008E7846" w:rsidP="001B5C90">
      <w:pPr>
        <w:pStyle w:val="Heading3"/>
      </w:pPr>
      <w:bookmarkStart w:id="61" w:name="_Toc461092041"/>
      <w:r>
        <w:t>Toxicology</w:t>
      </w:r>
      <w:bookmarkEnd w:id="58"/>
      <w:bookmarkEnd w:id="59"/>
      <w:bookmarkEnd w:id="61"/>
    </w:p>
    <w:p w:rsidR="0004435D" w:rsidRPr="00EB69F1" w:rsidRDefault="0004435D" w:rsidP="00034B98">
      <w:pPr>
        <w:pStyle w:val="Heading4"/>
      </w:pPr>
      <w:bookmarkStart w:id="62" w:name="_Toc294861727"/>
      <w:r w:rsidRPr="00EB69F1">
        <w:t>Acute toxicity</w:t>
      </w:r>
      <w:bookmarkEnd w:id="62"/>
    </w:p>
    <w:p w:rsidR="0004435D" w:rsidRPr="00034B98" w:rsidRDefault="0004435D" w:rsidP="00034B98">
      <w:r w:rsidRPr="00034B98">
        <w:t xml:space="preserve">Acute oral toxicity was assessed in SD rats, beagle dogs and </w:t>
      </w:r>
      <w:proofErr w:type="spellStart"/>
      <w:r w:rsidRPr="00034B98">
        <w:t>cynomolgus</w:t>
      </w:r>
      <w:proofErr w:type="spellEnd"/>
      <w:r w:rsidRPr="00034B98">
        <w:t xml:space="preserve"> monkeys. The studies were of limited predictive value as the observation period was generally less than one week. The exception to this was a rat study which had an observation period of 4 weeks. In this study, mortality was observed in rats that received ≥1000 mg/kg, with mortality occurring between days 14 and 24. The maximum </w:t>
      </w:r>
      <w:proofErr w:type="spellStart"/>
      <w:r w:rsidRPr="00034B98">
        <w:t>non</w:t>
      </w:r>
      <w:r w:rsidR="00923F58">
        <w:t xml:space="preserve"> </w:t>
      </w:r>
      <w:r w:rsidRPr="00034B98">
        <w:t>lethal</w:t>
      </w:r>
      <w:proofErr w:type="spellEnd"/>
      <w:r w:rsidRPr="00034B98">
        <w:t xml:space="preserve"> dose in rats was 500 mg/kg, which is associated with an estimated exposure of &gt;240</w:t>
      </w:r>
      <w:r w:rsidR="00923F58">
        <w:t>x</w:t>
      </w:r>
      <w:r w:rsidRPr="00034B98">
        <w:t xml:space="preserve"> based on unbound </w:t>
      </w:r>
      <w:proofErr w:type="spellStart"/>
      <w:r w:rsidRPr="00034B98">
        <w:t>C</w:t>
      </w:r>
      <w:r w:rsidRPr="00923F58">
        <w:t>max</w:t>
      </w:r>
      <w:proofErr w:type="spellEnd"/>
      <w:r w:rsidRPr="00034B98">
        <w:t>.</w:t>
      </w:r>
      <w:r w:rsidR="00034B98">
        <w:rPr>
          <w:rStyle w:val="FootnoteReference"/>
        </w:rPr>
        <w:footnoteReference w:id="17"/>
      </w:r>
      <w:r w:rsidRPr="00034B98">
        <w:t xml:space="preserve"> The estimated maximum non-lethal dose in dogs and monkeys was 1000 mg/kg, but this is expected to be lower had a longer observation period been used. These data indicated that lenvatinib has a low order of acute toxicity.</w:t>
      </w:r>
    </w:p>
    <w:p w:rsidR="0004435D" w:rsidRPr="00EB69F1" w:rsidRDefault="0004435D" w:rsidP="00034B98">
      <w:pPr>
        <w:pStyle w:val="Heading4"/>
      </w:pPr>
      <w:bookmarkStart w:id="63" w:name="_Toc294861728"/>
      <w:r w:rsidRPr="00EB69F1">
        <w:t>Repeat</w:t>
      </w:r>
      <w:r w:rsidR="000B19B9">
        <w:t xml:space="preserve"> </w:t>
      </w:r>
      <w:r w:rsidRPr="00EB69F1">
        <w:t>dose toxicity</w:t>
      </w:r>
      <w:bookmarkEnd w:id="63"/>
    </w:p>
    <w:p w:rsidR="0004435D" w:rsidRPr="00034B98" w:rsidRDefault="0004435D" w:rsidP="00034B98">
      <w:r w:rsidRPr="00034B98">
        <w:t xml:space="preserve">Studies of up to 6 months in SD rats, 4 weeks in beagle dogs and 9 months in </w:t>
      </w:r>
      <w:proofErr w:type="spellStart"/>
      <w:r w:rsidRPr="00034B98">
        <w:t>cynomolgus</w:t>
      </w:r>
      <w:proofErr w:type="spellEnd"/>
      <w:r w:rsidRPr="00034B98">
        <w:t xml:space="preserve"> monkeys were conducted to assess the toxicity profile of daily oral dosing with lenvatinib. Pivotal studies were GLP compliant, and the duration, species and number of animals </w:t>
      </w:r>
      <w:r w:rsidRPr="00034B98">
        <w:lastRenderedPageBreak/>
        <w:t>addressed the requirements of ICH guideline S9.</w:t>
      </w:r>
      <w:r w:rsidR="004B6952">
        <w:rPr>
          <w:rStyle w:val="FootnoteReference"/>
        </w:rPr>
        <w:footnoteReference w:id="18"/>
      </w:r>
      <w:r w:rsidRPr="00034B98">
        <w:t xml:space="preserve"> In each species, there was a 4 week study with a 4 week recovery period to investigate the reversibility of effects.</w:t>
      </w:r>
    </w:p>
    <w:p w:rsidR="0004435D" w:rsidRPr="00EB69F1" w:rsidRDefault="0004435D" w:rsidP="00034B98">
      <w:pPr>
        <w:pStyle w:val="Heading5"/>
      </w:pPr>
      <w:r w:rsidRPr="00EB69F1">
        <w:t>Relative exposure</w:t>
      </w:r>
    </w:p>
    <w:p w:rsidR="0004435D" w:rsidRPr="003A060B" w:rsidRDefault="0004435D" w:rsidP="003A060B">
      <w:r w:rsidRPr="003A060B">
        <w:t>Exposure ratios have been calculated based on animal: human plasma AUC</w:t>
      </w:r>
      <w:r w:rsidR="003A060B" w:rsidRPr="003A060B">
        <w:rPr>
          <w:vertAlign w:val="subscript"/>
        </w:rPr>
        <w:t>0-</w:t>
      </w:r>
      <w:r w:rsidRPr="003A060B">
        <w:rPr>
          <w:vertAlign w:val="subscript"/>
        </w:rPr>
        <w:t>24h</w:t>
      </w:r>
      <w:r w:rsidRPr="003A060B">
        <w:t>, with both total and unb</w:t>
      </w:r>
      <w:r w:rsidR="00034B98" w:rsidRPr="003A060B">
        <w:t xml:space="preserve">ound ratios presented in Table </w:t>
      </w:r>
      <w:r w:rsidR="005E63A9">
        <w:t>4</w:t>
      </w:r>
      <w:r w:rsidRPr="003A060B">
        <w:t>. The unbound ratios are referred to in the discussion of observed toxicities. There was little effect of gender at the doses used in the pivotal studies, and therefore genders were combined for the calculation of exposure ratios. The exposure at the last time point was used in the animal studies. Moderate exposure ratios were achieved at the high dose in the pivotal repeat dose studies in rats and monkeys. Relative exposures in dogs were below that anticipated clinically.</w:t>
      </w:r>
    </w:p>
    <w:p w:rsidR="0004435D" w:rsidRDefault="005E63A9" w:rsidP="0004435D">
      <w:pPr>
        <w:pStyle w:val="TableTitle"/>
      </w:pPr>
      <w:proofErr w:type="gramStart"/>
      <w:r>
        <w:t>Table 4</w:t>
      </w:r>
      <w:r w:rsidR="0004435D">
        <w:t>.</w:t>
      </w:r>
      <w:proofErr w:type="gramEnd"/>
      <w:r w:rsidR="0004435D">
        <w:t xml:space="preserve"> </w:t>
      </w:r>
      <w:proofErr w:type="gramStart"/>
      <w:r w:rsidR="0004435D" w:rsidRPr="00EB69F1">
        <w:t>Relative exposure in repeat</w:t>
      </w:r>
      <w:r w:rsidR="003D10E5">
        <w:t xml:space="preserve"> </w:t>
      </w:r>
      <w:r w:rsidR="0004435D" w:rsidRPr="00EB69F1">
        <w:t>dose toxicity and carcinogenicity studies</w:t>
      </w:r>
      <w:r w:rsidR="0004435D">
        <w:t>.</w:t>
      </w:r>
      <w:proofErr w:type="gramEnd"/>
    </w:p>
    <w:tbl>
      <w:tblPr>
        <w:tblStyle w:val="TableTGAblue"/>
        <w:tblW w:w="8755" w:type="dxa"/>
        <w:tblLayout w:type="fixed"/>
        <w:tblLook w:val="01E0" w:firstRow="1" w:lastRow="1" w:firstColumn="1" w:lastColumn="1" w:noHBand="0" w:noVBand="0"/>
      </w:tblPr>
      <w:tblGrid>
        <w:gridCol w:w="1384"/>
        <w:gridCol w:w="1559"/>
        <w:gridCol w:w="993"/>
        <w:gridCol w:w="992"/>
        <w:gridCol w:w="1417"/>
        <w:gridCol w:w="993"/>
        <w:gridCol w:w="1417"/>
      </w:tblGrid>
      <w:tr w:rsidR="00337AC7" w:rsidRPr="00AE0F54" w:rsidTr="00AE0F54">
        <w:trPr>
          <w:cnfStyle w:val="100000000000" w:firstRow="1" w:lastRow="0" w:firstColumn="0" w:lastColumn="0" w:oddVBand="0" w:evenVBand="0" w:oddHBand="0" w:evenHBand="0" w:firstRowFirstColumn="0" w:firstRowLastColumn="0" w:lastRowFirstColumn="0" w:lastRowLastColumn="0"/>
          <w:trHeight w:val="410"/>
        </w:trPr>
        <w:tc>
          <w:tcPr>
            <w:tcW w:w="1384" w:type="dxa"/>
            <w:vMerge w:val="restart"/>
          </w:tcPr>
          <w:p w:rsidR="00337AC7" w:rsidRPr="00AE0F54" w:rsidRDefault="00337AC7" w:rsidP="00AE0F54">
            <w:pPr>
              <w:ind w:left="0"/>
              <w:rPr>
                <w:sz w:val="20"/>
                <w:szCs w:val="20"/>
              </w:rPr>
            </w:pPr>
            <w:r w:rsidRPr="00AE0F54">
              <w:rPr>
                <w:sz w:val="20"/>
                <w:szCs w:val="20"/>
              </w:rPr>
              <w:t>Species</w:t>
            </w:r>
          </w:p>
        </w:tc>
        <w:tc>
          <w:tcPr>
            <w:tcW w:w="1559" w:type="dxa"/>
            <w:vMerge w:val="restart"/>
          </w:tcPr>
          <w:p w:rsidR="00337AC7" w:rsidRPr="00AE0F54" w:rsidRDefault="00337AC7" w:rsidP="00AE0F54">
            <w:pPr>
              <w:ind w:left="33"/>
              <w:rPr>
                <w:sz w:val="20"/>
                <w:szCs w:val="20"/>
              </w:rPr>
            </w:pPr>
            <w:r w:rsidRPr="00AE0F54">
              <w:rPr>
                <w:sz w:val="20"/>
                <w:szCs w:val="20"/>
              </w:rPr>
              <w:t>Study duration</w:t>
            </w:r>
            <w:r w:rsidR="00AE0F54" w:rsidRPr="00AE0F54">
              <w:rPr>
                <w:sz w:val="20"/>
                <w:szCs w:val="20"/>
              </w:rPr>
              <w:t xml:space="preserve"> </w:t>
            </w:r>
            <w:r w:rsidRPr="00AE0F54">
              <w:rPr>
                <w:sz w:val="20"/>
                <w:szCs w:val="20"/>
              </w:rPr>
              <w:t>[Study ID]</w:t>
            </w:r>
          </w:p>
        </w:tc>
        <w:tc>
          <w:tcPr>
            <w:tcW w:w="993" w:type="dxa"/>
            <w:vMerge w:val="restart"/>
          </w:tcPr>
          <w:p w:rsidR="00337AC7" w:rsidRPr="00AE0F54" w:rsidRDefault="00337AC7" w:rsidP="00AE0F54">
            <w:pPr>
              <w:ind w:left="34"/>
              <w:rPr>
                <w:sz w:val="20"/>
                <w:szCs w:val="20"/>
              </w:rPr>
            </w:pPr>
            <w:r w:rsidRPr="00AE0F54">
              <w:rPr>
                <w:sz w:val="20"/>
                <w:szCs w:val="20"/>
              </w:rPr>
              <w:t>Dose</w:t>
            </w:r>
            <w:r w:rsidR="00AE0F54" w:rsidRPr="00AE0F54">
              <w:rPr>
                <w:sz w:val="20"/>
                <w:szCs w:val="20"/>
              </w:rPr>
              <w:t xml:space="preserve"> </w:t>
            </w:r>
            <w:r w:rsidRPr="00AE0F54">
              <w:rPr>
                <w:sz w:val="20"/>
                <w:szCs w:val="20"/>
              </w:rPr>
              <w:t>(mg/ kg/ day)</w:t>
            </w:r>
          </w:p>
        </w:tc>
        <w:tc>
          <w:tcPr>
            <w:tcW w:w="2409" w:type="dxa"/>
            <w:gridSpan w:val="2"/>
          </w:tcPr>
          <w:p w:rsidR="00337AC7" w:rsidRPr="00AE0F54" w:rsidRDefault="00337AC7" w:rsidP="00AE0F54">
            <w:pPr>
              <w:ind w:left="34"/>
              <w:rPr>
                <w:sz w:val="20"/>
                <w:szCs w:val="20"/>
              </w:rPr>
            </w:pPr>
            <w:r w:rsidRPr="00AE0F54">
              <w:rPr>
                <w:sz w:val="20"/>
                <w:szCs w:val="20"/>
              </w:rPr>
              <w:t>AUC0–24 h</w:t>
            </w:r>
            <w:r w:rsidR="00AE0F54" w:rsidRPr="00AE0F54">
              <w:rPr>
                <w:sz w:val="20"/>
                <w:szCs w:val="20"/>
              </w:rPr>
              <w:t xml:space="preserve"> </w:t>
            </w:r>
            <w:r w:rsidRPr="00AE0F54">
              <w:rPr>
                <w:sz w:val="20"/>
                <w:szCs w:val="20"/>
              </w:rPr>
              <w:t>(</w:t>
            </w:r>
            <w:proofErr w:type="spellStart"/>
            <w:r w:rsidRPr="00AE0F54">
              <w:rPr>
                <w:sz w:val="20"/>
                <w:szCs w:val="20"/>
              </w:rPr>
              <w:t>ng∙h</w:t>
            </w:r>
            <w:proofErr w:type="spellEnd"/>
            <w:r w:rsidRPr="00AE0F54">
              <w:rPr>
                <w:sz w:val="20"/>
                <w:szCs w:val="20"/>
              </w:rPr>
              <w:t>/mL)</w:t>
            </w:r>
          </w:p>
        </w:tc>
        <w:tc>
          <w:tcPr>
            <w:tcW w:w="2410" w:type="dxa"/>
            <w:gridSpan w:val="2"/>
          </w:tcPr>
          <w:p w:rsidR="00337AC7" w:rsidRPr="00AE0F54" w:rsidRDefault="00337AC7" w:rsidP="00AE0F54">
            <w:pPr>
              <w:ind w:left="0"/>
              <w:rPr>
                <w:sz w:val="20"/>
                <w:szCs w:val="20"/>
              </w:rPr>
            </w:pPr>
            <w:r w:rsidRPr="00AE0F54">
              <w:rPr>
                <w:sz w:val="20"/>
                <w:szCs w:val="20"/>
              </w:rPr>
              <w:t>E</w:t>
            </w:r>
            <w:r w:rsidR="003D10E5" w:rsidRPr="00AE0F54">
              <w:rPr>
                <w:sz w:val="20"/>
                <w:szCs w:val="20"/>
              </w:rPr>
              <w:t xml:space="preserve">xposure </w:t>
            </w:r>
            <w:r w:rsidRPr="00AE0F54">
              <w:rPr>
                <w:sz w:val="20"/>
                <w:szCs w:val="20"/>
              </w:rPr>
              <w:t>R</w:t>
            </w:r>
            <w:r w:rsidR="003D10E5" w:rsidRPr="00AE0F54">
              <w:rPr>
                <w:sz w:val="20"/>
                <w:szCs w:val="20"/>
              </w:rPr>
              <w:t xml:space="preserve">atio (ER) </w:t>
            </w:r>
            <w:r w:rsidRPr="00AE0F54">
              <w:rPr>
                <w:sz w:val="20"/>
                <w:szCs w:val="20"/>
              </w:rPr>
              <w:t>#</w:t>
            </w:r>
          </w:p>
        </w:tc>
      </w:tr>
      <w:tr w:rsidR="00337AC7" w:rsidRPr="00AE0F54" w:rsidTr="00AE0F54">
        <w:trPr>
          <w:cnfStyle w:val="100000000000" w:firstRow="1" w:lastRow="0" w:firstColumn="0" w:lastColumn="0" w:oddVBand="0" w:evenVBand="0" w:oddHBand="0" w:evenHBand="0" w:firstRowFirstColumn="0" w:firstRowLastColumn="0" w:lastRowFirstColumn="0" w:lastRowLastColumn="0"/>
          <w:trHeight w:val="120"/>
        </w:trPr>
        <w:tc>
          <w:tcPr>
            <w:tcW w:w="1384" w:type="dxa"/>
            <w:vMerge/>
          </w:tcPr>
          <w:p w:rsidR="00337AC7" w:rsidRPr="00AE0F54" w:rsidRDefault="00337AC7" w:rsidP="00AE0F54">
            <w:pPr>
              <w:ind w:left="0"/>
              <w:rPr>
                <w:sz w:val="20"/>
                <w:szCs w:val="20"/>
              </w:rPr>
            </w:pPr>
          </w:p>
        </w:tc>
        <w:tc>
          <w:tcPr>
            <w:tcW w:w="1559" w:type="dxa"/>
            <w:vMerge/>
          </w:tcPr>
          <w:p w:rsidR="00337AC7" w:rsidRPr="00AE0F54" w:rsidRDefault="00337AC7" w:rsidP="00AE0F54">
            <w:pPr>
              <w:ind w:left="33"/>
              <w:rPr>
                <w:sz w:val="20"/>
                <w:szCs w:val="20"/>
              </w:rPr>
            </w:pPr>
          </w:p>
        </w:tc>
        <w:tc>
          <w:tcPr>
            <w:tcW w:w="993" w:type="dxa"/>
            <w:vMerge/>
          </w:tcPr>
          <w:p w:rsidR="00337AC7" w:rsidRPr="00AE0F54" w:rsidRDefault="00337AC7" w:rsidP="00AE0F54">
            <w:pPr>
              <w:ind w:left="34"/>
              <w:rPr>
                <w:sz w:val="20"/>
                <w:szCs w:val="20"/>
              </w:rPr>
            </w:pPr>
          </w:p>
        </w:tc>
        <w:tc>
          <w:tcPr>
            <w:tcW w:w="992" w:type="dxa"/>
          </w:tcPr>
          <w:p w:rsidR="00337AC7" w:rsidRPr="00AE0F54" w:rsidRDefault="00337AC7" w:rsidP="00AE0F54">
            <w:pPr>
              <w:ind w:left="34"/>
              <w:rPr>
                <w:sz w:val="20"/>
                <w:szCs w:val="20"/>
              </w:rPr>
            </w:pPr>
            <w:r w:rsidRPr="00AE0F54">
              <w:rPr>
                <w:sz w:val="20"/>
                <w:szCs w:val="20"/>
              </w:rPr>
              <w:t>Total</w:t>
            </w:r>
          </w:p>
        </w:tc>
        <w:tc>
          <w:tcPr>
            <w:tcW w:w="1417" w:type="dxa"/>
          </w:tcPr>
          <w:p w:rsidR="00337AC7" w:rsidRPr="00AE0F54" w:rsidRDefault="00337AC7" w:rsidP="00AE0F54">
            <w:pPr>
              <w:ind w:left="34"/>
              <w:rPr>
                <w:sz w:val="20"/>
                <w:szCs w:val="20"/>
              </w:rPr>
            </w:pPr>
            <w:r w:rsidRPr="00AE0F54">
              <w:rPr>
                <w:sz w:val="20"/>
                <w:szCs w:val="20"/>
              </w:rPr>
              <w:t>Unbound†</w:t>
            </w:r>
          </w:p>
        </w:tc>
        <w:tc>
          <w:tcPr>
            <w:tcW w:w="993" w:type="dxa"/>
          </w:tcPr>
          <w:p w:rsidR="00337AC7" w:rsidRPr="00AE0F54" w:rsidRDefault="00337AC7" w:rsidP="00AE0F54">
            <w:pPr>
              <w:ind w:left="0"/>
              <w:rPr>
                <w:sz w:val="20"/>
                <w:szCs w:val="20"/>
              </w:rPr>
            </w:pPr>
            <w:r w:rsidRPr="00AE0F54">
              <w:rPr>
                <w:sz w:val="20"/>
                <w:szCs w:val="20"/>
              </w:rPr>
              <w:t>Total</w:t>
            </w:r>
          </w:p>
        </w:tc>
        <w:tc>
          <w:tcPr>
            <w:tcW w:w="1417" w:type="dxa"/>
          </w:tcPr>
          <w:p w:rsidR="00337AC7" w:rsidRPr="00AE0F54" w:rsidRDefault="00337AC7" w:rsidP="00AE0F54">
            <w:pPr>
              <w:ind w:left="0"/>
              <w:rPr>
                <w:sz w:val="20"/>
                <w:szCs w:val="20"/>
              </w:rPr>
            </w:pPr>
            <w:r w:rsidRPr="00AE0F54">
              <w:rPr>
                <w:sz w:val="20"/>
                <w:szCs w:val="20"/>
              </w:rPr>
              <w:t>Unbound</w:t>
            </w:r>
          </w:p>
        </w:tc>
      </w:tr>
      <w:tr w:rsidR="00337AC7" w:rsidRPr="00AE0F54" w:rsidTr="00AE0F54">
        <w:trPr>
          <w:trHeight w:val="227"/>
        </w:trPr>
        <w:tc>
          <w:tcPr>
            <w:tcW w:w="1384" w:type="dxa"/>
            <w:vMerge w:val="restart"/>
          </w:tcPr>
          <w:p w:rsidR="00337AC7" w:rsidRPr="00AE0F54" w:rsidRDefault="00337AC7" w:rsidP="00AE0F54">
            <w:pPr>
              <w:ind w:left="0"/>
              <w:rPr>
                <w:sz w:val="20"/>
                <w:szCs w:val="20"/>
              </w:rPr>
            </w:pPr>
            <w:r w:rsidRPr="00AE0F54">
              <w:rPr>
                <w:sz w:val="20"/>
                <w:szCs w:val="20"/>
              </w:rPr>
              <w:t>Rat</w:t>
            </w:r>
            <w:r w:rsidR="00AE0F54" w:rsidRPr="00AE0F54">
              <w:rPr>
                <w:sz w:val="20"/>
                <w:szCs w:val="20"/>
              </w:rPr>
              <w:t xml:space="preserve"> </w:t>
            </w:r>
            <w:r w:rsidRPr="00AE0F54">
              <w:rPr>
                <w:sz w:val="20"/>
                <w:szCs w:val="20"/>
              </w:rPr>
              <w:t>(SD)</w:t>
            </w:r>
          </w:p>
        </w:tc>
        <w:tc>
          <w:tcPr>
            <w:tcW w:w="1559" w:type="dxa"/>
            <w:vMerge w:val="restart"/>
          </w:tcPr>
          <w:p w:rsidR="00337AC7" w:rsidRPr="00AE0F54" w:rsidRDefault="00337AC7" w:rsidP="00AE0F54">
            <w:pPr>
              <w:ind w:left="33"/>
              <w:rPr>
                <w:sz w:val="20"/>
                <w:szCs w:val="20"/>
              </w:rPr>
            </w:pPr>
            <w:r w:rsidRPr="00AE0F54">
              <w:rPr>
                <w:sz w:val="20"/>
                <w:szCs w:val="20"/>
              </w:rPr>
              <w:t>6 months</w:t>
            </w:r>
            <w:r w:rsidR="00AE0F54" w:rsidRPr="00AE0F54">
              <w:rPr>
                <w:sz w:val="20"/>
                <w:szCs w:val="20"/>
              </w:rPr>
              <w:t xml:space="preserve"> </w:t>
            </w:r>
            <w:r w:rsidRPr="00AE0F54">
              <w:rPr>
                <w:sz w:val="20"/>
                <w:szCs w:val="20"/>
              </w:rPr>
              <w:t>[S08037]</w:t>
            </w:r>
          </w:p>
        </w:tc>
        <w:tc>
          <w:tcPr>
            <w:tcW w:w="993" w:type="dxa"/>
          </w:tcPr>
          <w:p w:rsidR="00337AC7" w:rsidRPr="00AE0F54" w:rsidRDefault="00337AC7" w:rsidP="00AE0F54">
            <w:pPr>
              <w:ind w:left="34"/>
              <w:rPr>
                <w:sz w:val="20"/>
                <w:szCs w:val="20"/>
              </w:rPr>
            </w:pPr>
            <w:r w:rsidRPr="00AE0F54">
              <w:rPr>
                <w:sz w:val="20"/>
                <w:szCs w:val="20"/>
              </w:rPr>
              <w:t>0.4</w:t>
            </w:r>
          </w:p>
        </w:tc>
        <w:tc>
          <w:tcPr>
            <w:tcW w:w="992" w:type="dxa"/>
          </w:tcPr>
          <w:p w:rsidR="00337AC7" w:rsidRPr="00AE0F54" w:rsidRDefault="00337AC7" w:rsidP="00AE0F54">
            <w:pPr>
              <w:ind w:left="34"/>
              <w:rPr>
                <w:sz w:val="20"/>
                <w:szCs w:val="20"/>
              </w:rPr>
            </w:pPr>
            <w:r w:rsidRPr="00AE0F54">
              <w:rPr>
                <w:sz w:val="20"/>
                <w:szCs w:val="20"/>
              </w:rPr>
              <w:t>3383</w:t>
            </w:r>
          </w:p>
        </w:tc>
        <w:tc>
          <w:tcPr>
            <w:tcW w:w="1417" w:type="dxa"/>
          </w:tcPr>
          <w:p w:rsidR="00337AC7" w:rsidRPr="00AE0F54" w:rsidRDefault="00337AC7" w:rsidP="00AE0F54">
            <w:pPr>
              <w:ind w:left="34"/>
              <w:rPr>
                <w:sz w:val="20"/>
                <w:szCs w:val="20"/>
              </w:rPr>
            </w:pPr>
            <w:r w:rsidRPr="00AE0F54">
              <w:rPr>
                <w:sz w:val="20"/>
                <w:szCs w:val="20"/>
              </w:rPr>
              <w:t>68</w:t>
            </w:r>
          </w:p>
        </w:tc>
        <w:tc>
          <w:tcPr>
            <w:tcW w:w="993" w:type="dxa"/>
          </w:tcPr>
          <w:p w:rsidR="00337AC7" w:rsidRPr="00AE0F54" w:rsidRDefault="00337AC7" w:rsidP="00AE0F54">
            <w:pPr>
              <w:ind w:left="0"/>
              <w:rPr>
                <w:sz w:val="20"/>
                <w:szCs w:val="20"/>
              </w:rPr>
            </w:pPr>
            <w:r w:rsidRPr="00AE0F54">
              <w:rPr>
                <w:sz w:val="20"/>
                <w:szCs w:val="20"/>
              </w:rPr>
              <w:t>0.7</w:t>
            </w:r>
          </w:p>
        </w:tc>
        <w:tc>
          <w:tcPr>
            <w:tcW w:w="1417" w:type="dxa"/>
          </w:tcPr>
          <w:p w:rsidR="00337AC7" w:rsidRPr="00AE0F54" w:rsidRDefault="00337AC7" w:rsidP="00AE0F54">
            <w:pPr>
              <w:ind w:left="0"/>
              <w:rPr>
                <w:sz w:val="20"/>
                <w:szCs w:val="20"/>
              </w:rPr>
            </w:pPr>
            <w:r w:rsidRPr="00AE0F54">
              <w:rPr>
                <w:sz w:val="20"/>
                <w:szCs w:val="20"/>
              </w:rPr>
              <w:t>0.8</w:t>
            </w:r>
          </w:p>
        </w:tc>
      </w:tr>
      <w:tr w:rsidR="00337AC7" w:rsidRPr="00AE0F54" w:rsidTr="00AE0F54">
        <w:trPr>
          <w:trHeight w:val="227"/>
        </w:trPr>
        <w:tc>
          <w:tcPr>
            <w:tcW w:w="1384" w:type="dxa"/>
            <w:vMerge/>
          </w:tcPr>
          <w:p w:rsidR="00337AC7" w:rsidRPr="00AE0F54" w:rsidRDefault="00337AC7" w:rsidP="00AE0F54">
            <w:pPr>
              <w:ind w:left="0"/>
              <w:rPr>
                <w:sz w:val="20"/>
                <w:szCs w:val="20"/>
              </w:rPr>
            </w:pPr>
          </w:p>
        </w:tc>
        <w:tc>
          <w:tcPr>
            <w:tcW w:w="1559" w:type="dxa"/>
            <w:vMerge/>
          </w:tcPr>
          <w:p w:rsidR="00337AC7" w:rsidRPr="00AE0F54" w:rsidRDefault="00337AC7" w:rsidP="00AE0F54">
            <w:pPr>
              <w:ind w:left="33"/>
              <w:rPr>
                <w:sz w:val="20"/>
                <w:szCs w:val="20"/>
              </w:rPr>
            </w:pPr>
          </w:p>
        </w:tc>
        <w:tc>
          <w:tcPr>
            <w:tcW w:w="993" w:type="dxa"/>
          </w:tcPr>
          <w:p w:rsidR="00337AC7" w:rsidRPr="00AE0F54" w:rsidRDefault="00337AC7" w:rsidP="00AE0F54">
            <w:pPr>
              <w:ind w:left="34"/>
              <w:rPr>
                <w:sz w:val="20"/>
                <w:szCs w:val="20"/>
              </w:rPr>
            </w:pPr>
            <w:r w:rsidRPr="00AE0F54">
              <w:rPr>
                <w:sz w:val="20"/>
                <w:szCs w:val="20"/>
              </w:rPr>
              <w:t>2</w:t>
            </w:r>
          </w:p>
        </w:tc>
        <w:tc>
          <w:tcPr>
            <w:tcW w:w="992" w:type="dxa"/>
          </w:tcPr>
          <w:p w:rsidR="00337AC7" w:rsidRPr="00AE0F54" w:rsidRDefault="00337AC7" w:rsidP="00AE0F54">
            <w:pPr>
              <w:ind w:left="34"/>
              <w:rPr>
                <w:sz w:val="20"/>
                <w:szCs w:val="20"/>
              </w:rPr>
            </w:pPr>
            <w:r w:rsidRPr="00AE0F54">
              <w:rPr>
                <w:sz w:val="20"/>
                <w:szCs w:val="20"/>
              </w:rPr>
              <w:t>17,612</w:t>
            </w:r>
          </w:p>
        </w:tc>
        <w:tc>
          <w:tcPr>
            <w:tcW w:w="1417" w:type="dxa"/>
          </w:tcPr>
          <w:p w:rsidR="00337AC7" w:rsidRPr="00AE0F54" w:rsidRDefault="00337AC7" w:rsidP="00AE0F54">
            <w:pPr>
              <w:ind w:left="34"/>
              <w:rPr>
                <w:sz w:val="20"/>
                <w:szCs w:val="20"/>
              </w:rPr>
            </w:pPr>
            <w:r w:rsidRPr="00AE0F54">
              <w:rPr>
                <w:sz w:val="20"/>
                <w:szCs w:val="20"/>
              </w:rPr>
              <w:t>352</w:t>
            </w:r>
          </w:p>
        </w:tc>
        <w:tc>
          <w:tcPr>
            <w:tcW w:w="993" w:type="dxa"/>
          </w:tcPr>
          <w:p w:rsidR="00337AC7" w:rsidRPr="00AE0F54" w:rsidRDefault="00337AC7" w:rsidP="00AE0F54">
            <w:pPr>
              <w:ind w:left="0"/>
              <w:rPr>
                <w:sz w:val="20"/>
                <w:szCs w:val="20"/>
              </w:rPr>
            </w:pPr>
            <w:r w:rsidRPr="00AE0F54">
              <w:rPr>
                <w:sz w:val="20"/>
                <w:szCs w:val="20"/>
              </w:rPr>
              <w:t>3.5</w:t>
            </w:r>
          </w:p>
        </w:tc>
        <w:tc>
          <w:tcPr>
            <w:tcW w:w="1417" w:type="dxa"/>
          </w:tcPr>
          <w:p w:rsidR="00337AC7" w:rsidRPr="00AE0F54" w:rsidRDefault="00337AC7" w:rsidP="00AE0F54">
            <w:pPr>
              <w:ind w:left="0"/>
              <w:rPr>
                <w:sz w:val="20"/>
                <w:szCs w:val="20"/>
              </w:rPr>
            </w:pPr>
            <w:r w:rsidRPr="00AE0F54">
              <w:rPr>
                <w:sz w:val="20"/>
                <w:szCs w:val="20"/>
              </w:rPr>
              <w:t>4.1</w:t>
            </w:r>
          </w:p>
        </w:tc>
      </w:tr>
      <w:tr w:rsidR="00337AC7" w:rsidRPr="00AE0F54" w:rsidTr="00AE0F54">
        <w:trPr>
          <w:trHeight w:val="227"/>
        </w:trPr>
        <w:tc>
          <w:tcPr>
            <w:tcW w:w="1384" w:type="dxa"/>
            <w:vMerge/>
          </w:tcPr>
          <w:p w:rsidR="00337AC7" w:rsidRPr="00AE0F54" w:rsidRDefault="00337AC7" w:rsidP="00AE0F54">
            <w:pPr>
              <w:ind w:left="0"/>
              <w:rPr>
                <w:sz w:val="20"/>
                <w:szCs w:val="20"/>
              </w:rPr>
            </w:pPr>
          </w:p>
        </w:tc>
        <w:tc>
          <w:tcPr>
            <w:tcW w:w="1559" w:type="dxa"/>
            <w:vMerge/>
          </w:tcPr>
          <w:p w:rsidR="00337AC7" w:rsidRPr="00AE0F54" w:rsidRDefault="00337AC7" w:rsidP="00AE0F54">
            <w:pPr>
              <w:ind w:left="33"/>
              <w:rPr>
                <w:sz w:val="20"/>
                <w:szCs w:val="20"/>
              </w:rPr>
            </w:pPr>
          </w:p>
        </w:tc>
        <w:tc>
          <w:tcPr>
            <w:tcW w:w="993" w:type="dxa"/>
          </w:tcPr>
          <w:p w:rsidR="00337AC7" w:rsidRPr="00AE0F54" w:rsidRDefault="00337AC7" w:rsidP="00AE0F54">
            <w:pPr>
              <w:ind w:left="34"/>
              <w:rPr>
                <w:sz w:val="20"/>
                <w:szCs w:val="20"/>
              </w:rPr>
            </w:pPr>
            <w:r w:rsidRPr="00AE0F54">
              <w:rPr>
                <w:sz w:val="20"/>
                <w:szCs w:val="20"/>
              </w:rPr>
              <w:t>10</w:t>
            </w:r>
          </w:p>
        </w:tc>
        <w:tc>
          <w:tcPr>
            <w:tcW w:w="992" w:type="dxa"/>
          </w:tcPr>
          <w:p w:rsidR="00337AC7" w:rsidRPr="00AE0F54" w:rsidRDefault="00337AC7" w:rsidP="00AE0F54">
            <w:pPr>
              <w:ind w:left="34"/>
              <w:rPr>
                <w:sz w:val="20"/>
                <w:szCs w:val="20"/>
              </w:rPr>
            </w:pPr>
            <w:r w:rsidRPr="00AE0F54">
              <w:rPr>
                <w:sz w:val="20"/>
                <w:szCs w:val="20"/>
              </w:rPr>
              <w:t>63,396</w:t>
            </w:r>
          </w:p>
        </w:tc>
        <w:tc>
          <w:tcPr>
            <w:tcW w:w="1417" w:type="dxa"/>
          </w:tcPr>
          <w:p w:rsidR="00337AC7" w:rsidRPr="00AE0F54" w:rsidRDefault="00337AC7" w:rsidP="00AE0F54">
            <w:pPr>
              <w:ind w:left="34"/>
              <w:rPr>
                <w:sz w:val="20"/>
                <w:szCs w:val="20"/>
              </w:rPr>
            </w:pPr>
            <w:r w:rsidRPr="00AE0F54">
              <w:rPr>
                <w:sz w:val="20"/>
                <w:szCs w:val="20"/>
              </w:rPr>
              <w:t>1268</w:t>
            </w:r>
          </w:p>
        </w:tc>
        <w:tc>
          <w:tcPr>
            <w:tcW w:w="993" w:type="dxa"/>
          </w:tcPr>
          <w:p w:rsidR="00337AC7" w:rsidRPr="00AE0F54" w:rsidRDefault="00337AC7" w:rsidP="00AE0F54">
            <w:pPr>
              <w:ind w:left="0"/>
              <w:rPr>
                <w:sz w:val="20"/>
                <w:szCs w:val="20"/>
              </w:rPr>
            </w:pPr>
            <w:r w:rsidRPr="00AE0F54">
              <w:rPr>
                <w:sz w:val="20"/>
                <w:szCs w:val="20"/>
              </w:rPr>
              <w:t>13</w:t>
            </w:r>
          </w:p>
        </w:tc>
        <w:tc>
          <w:tcPr>
            <w:tcW w:w="1417" w:type="dxa"/>
          </w:tcPr>
          <w:p w:rsidR="00337AC7" w:rsidRPr="00AE0F54" w:rsidRDefault="00337AC7" w:rsidP="00AE0F54">
            <w:pPr>
              <w:ind w:left="0"/>
              <w:rPr>
                <w:sz w:val="20"/>
                <w:szCs w:val="20"/>
              </w:rPr>
            </w:pPr>
            <w:r w:rsidRPr="00AE0F54">
              <w:rPr>
                <w:sz w:val="20"/>
                <w:szCs w:val="20"/>
              </w:rPr>
              <w:t>15</w:t>
            </w:r>
          </w:p>
        </w:tc>
      </w:tr>
      <w:tr w:rsidR="00337AC7" w:rsidRPr="00AE0F54" w:rsidTr="00AE0F54">
        <w:trPr>
          <w:trHeight w:val="227"/>
        </w:trPr>
        <w:tc>
          <w:tcPr>
            <w:tcW w:w="1384" w:type="dxa"/>
            <w:vMerge w:val="restart"/>
          </w:tcPr>
          <w:p w:rsidR="00337AC7" w:rsidRPr="00AE0F54" w:rsidRDefault="00337AC7" w:rsidP="00AE0F54">
            <w:pPr>
              <w:ind w:left="0"/>
              <w:rPr>
                <w:sz w:val="20"/>
                <w:szCs w:val="20"/>
              </w:rPr>
            </w:pPr>
            <w:r w:rsidRPr="00AE0F54">
              <w:rPr>
                <w:sz w:val="20"/>
                <w:szCs w:val="20"/>
              </w:rPr>
              <w:t>Dog</w:t>
            </w:r>
            <w:r w:rsidR="00AE0F54" w:rsidRPr="00AE0F54">
              <w:rPr>
                <w:sz w:val="20"/>
                <w:szCs w:val="20"/>
              </w:rPr>
              <w:t xml:space="preserve"> </w:t>
            </w:r>
            <w:r w:rsidRPr="00AE0F54">
              <w:rPr>
                <w:sz w:val="20"/>
                <w:szCs w:val="20"/>
              </w:rPr>
              <w:t>(Beagle)</w:t>
            </w:r>
          </w:p>
        </w:tc>
        <w:tc>
          <w:tcPr>
            <w:tcW w:w="1559" w:type="dxa"/>
            <w:vMerge w:val="restart"/>
          </w:tcPr>
          <w:p w:rsidR="00337AC7" w:rsidRPr="00AE0F54" w:rsidRDefault="00337AC7" w:rsidP="00AE0F54">
            <w:pPr>
              <w:ind w:left="33"/>
              <w:rPr>
                <w:sz w:val="20"/>
                <w:szCs w:val="20"/>
              </w:rPr>
            </w:pPr>
            <w:r w:rsidRPr="00AE0F54">
              <w:rPr>
                <w:sz w:val="20"/>
                <w:szCs w:val="20"/>
              </w:rPr>
              <w:t>4 weeks</w:t>
            </w:r>
            <w:r w:rsidR="00AE0F54" w:rsidRPr="00AE0F54">
              <w:rPr>
                <w:sz w:val="20"/>
                <w:szCs w:val="20"/>
              </w:rPr>
              <w:t xml:space="preserve"> </w:t>
            </w:r>
            <w:r w:rsidRPr="00AE0F54">
              <w:rPr>
                <w:sz w:val="20"/>
                <w:szCs w:val="20"/>
              </w:rPr>
              <w:t>[S03077]</w:t>
            </w:r>
          </w:p>
        </w:tc>
        <w:tc>
          <w:tcPr>
            <w:tcW w:w="993" w:type="dxa"/>
          </w:tcPr>
          <w:p w:rsidR="00337AC7" w:rsidRPr="00AE0F54" w:rsidRDefault="00337AC7" w:rsidP="00AE0F54">
            <w:pPr>
              <w:ind w:left="34"/>
              <w:rPr>
                <w:sz w:val="20"/>
                <w:szCs w:val="20"/>
              </w:rPr>
            </w:pPr>
            <w:r w:rsidRPr="00AE0F54">
              <w:rPr>
                <w:sz w:val="20"/>
                <w:szCs w:val="20"/>
              </w:rPr>
              <w:t>0.1</w:t>
            </w:r>
          </w:p>
        </w:tc>
        <w:tc>
          <w:tcPr>
            <w:tcW w:w="992" w:type="dxa"/>
          </w:tcPr>
          <w:p w:rsidR="00337AC7" w:rsidRPr="00AE0F54" w:rsidRDefault="00337AC7" w:rsidP="00AE0F54">
            <w:pPr>
              <w:ind w:left="34"/>
              <w:rPr>
                <w:sz w:val="20"/>
                <w:szCs w:val="20"/>
              </w:rPr>
            </w:pPr>
            <w:r w:rsidRPr="00AE0F54">
              <w:rPr>
                <w:sz w:val="20"/>
                <w:szCs w:val="20"/>
              </w:rPr>
              <w:t>137</w:t>
            </w:r>
          </w:p>
        </w:tc>
        <w:tc>
          <w:tcPr>
            <w:tcW w:w="1417" w:type="dxa"/>
          </w:tcPr>
          <w:p w:rsidR="00337AC7" w:rsidRPr="00AE0F54" w:rsidRDefault="00337AC7" w:rsidP="00AE0F54">
            <w:pPr>
              <w:ind w:left="34"/>
              <w:rPr>
                <w:sz w:val="20"/>
                <w:szCs w:val="20"/>
              </w:rPr>
            </w:pPr>
            <w:r w:rsidRPr="00AE0F54">
              <w:rPr>
                <w:sz w:val="20"/>
                <w:szCs w:val="20"/>
              </w:rPr>
              <w:t>12</w:t>
            </w:r>
          </w:p>
        </w:tc>
        <w:tc>
          <w:tcPr>
            <w:tcW w:w="993" w:type="dxa"/>
          </w:tcPr>
          <w:p w:rsidR="00337AC7" w:rsidRPr="00AE0F54" w:rsidRDefault="00337AC7" w:rsidP="00AE0F54">
            <w:pPr>
              <w:ind w:left="0"/>
              <w:rPr>
                <w:sz w:val="20"/>
                <w:szCs w:val="20"/>
              </w:rPr>
            </w:pPr>
            <w:r w:rsidRPr="00AE0F54">
              <w:rPr>
                <w:sz w:val="20"/>
                <w:szCs w:val="20"/>
              </w:rPr>
              <w:t>0.03</w:t>
            </w:r>
          </w:p>
        </w:tc>
        <w:tc>
          <w:tcPr>
            <w:tcW w:w="1417" w:type="dxa"/>
          </w:tcPr>
          <w:p w:rsidR="00337AC7" w:rsidRPr="00AE0F54" w:rsidRDefault="00337AC7" w:rsidP="00AE0F54">
            <w:pPr>
              <w:ind w:left="0"/>
              <w:rPr>
                <w:sz w:val="20"/>
                <w:szCs w:val="20"/>
              </w:rPr>
            </w:pPr>
            <w:r w:rsidRPr="00AE0F54">
              <w:rPr>
                <w:sz w:val="20"/>
                <w:szCs w:val="20"/>
              </w:rPr>
              <w:t>0.14</w:t>
            </w:r>
          </w:p>
        </w:tc>
      </w:tr>
      <w:tr w:rsidR="00337AC7" w:rsidRPr="00AE0F54" w:rsidTr="00AE0F54">
        <w:trPr>
          <w:trHeight w:val="227"/>
        </w:trPr>
        <w:tc>
          <w:tcPr>
            <w:tcW w:w="1384" w:type="dxa"/>
            <w:vMerge/>
          </w:tcPr>
          <w:p w:rsidR="00337AC7" w:rsidRPr="00AE0F54" w:rsidRDefault="00337AC7" w:rsidP="00AE0F54">
            <w:pPr>
              <w:ind w:left="0"/>
              <w:rPr>
                <w:sz w:val="20"/>
                <w:szCs w:val="20"/>
              </w:rPr>
            </w:pPr>
          </w:p>
        </w:tc>
        <w:tc>
          <w:tcPr>
            <w:tcW w:w="1559" w:type="dxa"/>
            <w:vMerge/>
          </w:tcPr>
          <w:p w:rsidR="00337AC7" w:rsidRPr="00AE0F54" w:rsidRDefault="00337AC7" w:rsidP="00AE0F54">
            <w:pPr>
              <w:ind w:left="33"/>
              <w:rPr>
                <w:sz w:val="20"/>
                <w:szCs w:val="20"/>
              </w:rPr>
            </w:pPr>
          </w:p>
        </w:tc>
        <w:tc>
          <w:tcPr>
            <w:tcW w:w="993" w:type="dxa"/>
          </w:tcPr>
          <w:p w:rsidR="00337AC7" w:rsidRPr="00AE0F54" w:rsidRDefault="00337AC7" w:rsidP="00AE0F54">
            <w:pPr>
              <w:ind w:left="34"/>
              <w:rPr>
                <w:sz w:val="20"/>
                <w:szCs w:val="20"/>
              </w:rPr>
            </w:pPr>
            <w:r w:rsidRPr="00AE0F54">
              <w:rPr>
                <w:sz w:val="20"/>
                <w:szCs w:val="20"/>
              </w:rPr>
              <w:t>0.5</w:t>
            </w:r>
          </w:p>
        </w:tc>
        <w:tc>
          <w:tcPr>
            <w:tcW w:w="992" w:type="dxa"/>
          </w:tcPr>
          <w:p w:rsidR="00337AC7" w:rsidRPr="00AE0F54" w:rsidRDefault="00337AC7" w:rsidP="00AE0F54">
            <w:pPr>
              <w:ind w:left="34"/>
              <w:rPr>
                <w:sz w:val="20"/>
                <w:szCs w:val="20"/>
              </w:rPr>
            </w:pPr>
            <w:r w:rsidRPr="00AE0F54">
              <w:rPr>
                <w:sz w:val="20"/>
                <w:szCs w:val="20"/>
              </w:rPr>
              <w:t>563</w:t>
            </w:r>
          </w:p>
        </w:tc>
        <w:tc>
          <w:tcPr>
            <w:tcW w:w="1417" w:type="dxa"/>
          </w:tcPr>
          <w:p w:rsidR="00337AC7" w:rsidRPr="00AE0F54" w:rsidRDefault="00337AC7" w:rsidP="00AE0F54">
            <w:pPr>
              <w:ind w:left="34"/>
              <w:rPr>
                <w:sz w:val="20"/>
                <w:szCs w:val="20"/>
              </w:rPr>
            </w:pPr>
            <w:r w:rsidRPr="00AE0F54">
              <w:rPr>
                <w:sz w:val="20"/>
                <w:szCs w:val="20"/>
              </w:rPr>
              <w:t>50</w:t>
            </w:r>
          </w:p>
        </w:tc>
        <w:tc>
          <w:tcPr>
            <w:tcW w:w="993" w:type="dxa"/>
          </w:tcPr>
          <w:p w:rsidR="00337AC7" w:rsidRPr="00AE0F54" w:rsidRDefault="00337AC7" w:rsidP="00AE0F54">
            <w:pPr>
              <w:ind w:left="0"/>
              <w:rPr>
                <w:sz w:val="20"/>
                <w:szCs w:val="20"/>
              </w:rPr>
            </w:pPr>
            <w:r w:rsidRPr="00AE0F54">
              <w:rPr>
                <w:sz w:val="20"/>
                <w:szCs w:val="20"/>
              </w:rPr>
              <w:t>0.1</w:t>
            </w:r>
          </w:p>
        </w:tc>
        <w:tc>
          <w:tcPr>
            <w:tcW w:w="1417" w:type="dxa"/>
          </w:tcPr>
          <w:p w:rsidR="00337AC7" w:rsidRPr="00AE0F54" w:rsidRDefault="00337AC7" w:rsidP="00AE0F54">
            <w:pPr>
              <w:ind w:left="0"/>
              <w:rPr>
                <w:sz w:val="20"/>
                <w:szCs w:val="20"/>
              </w:rPr>
            </w:pPr>
            <w:r w:rsidRPr="00AE0F54">
              <w:rPr>
                <w:sz w:val="20"/>
                <w:szCs w:val="20"/>
              </w:rPr>
              <w:t>0.6</w:t>
            </w:r>
          </w:p>
        </w:tc>
      </w:tr>
      <w:tr w:rsidR="00337AC7" w:rsidRPr="00AE0F54" w:rsidTr="00AE0F54">
        <w:trPr>
          <w:trHeight w:val="227"/>
        </w:trPr>
        <w:tc>
          <w:tcPr>
            <w:tcW w:w="1384" w:type="dxa"/>
            <w:vMerge w:val="restart"/>
          </w:tcPr>
          <w:p w:rsidR="00337AC7" w:rsidRPr="00AE0F54" w:rsidRDefault="00337AC7" w:rsidP="00AE0F54">
            <w:pPr>
              <w:ind w:left="0"/>
              <w:rPr>
                <w:sz w:val="20"/>
                <w:szCs w:val="20"/>
              </w:rPr>
            </w:pPr>
            <w:r w:rsidRPr="00AE0F54">
              <w:rPr>
                <w:sz w:val="20"/>
                <w:szCs w:val="20"/>
              </w:rPr>
              <w:t>Monkey</w:t>
            </w:r>
            <w:r w:rsidR="00AE0F54" w:rsidRPr="00AE0F54">
              <w:rPr>
                <w:sz w:val="20"/>
                <w:szCs w:val="20"/>
              </w:rPr>
              <w:t xml:space="preserve"> </w:t>
            </w:r>
            <w:r w:rsidRPr="00AE0F54">
              <w:rPr>
                <w:sz w:val="20"/>
                <w:szCs w:val="20"/>
              </w:rPr>
              <w:t>(</w:t>
            </w:r>
            <w:proofErr w:type="spellStart"/>
            <w:r w:rsidRPr="00AE0F54">
              <w:rPr>
                <w:sz w:val="20"/>
                <w:szCs w:val="20"/>
              </w:rPr>
              <w:t>Cynomolgus</w:t>
            </w:r>
            <w:proofErr w:type="spellEnd"/>
            <w:r w:rsidRPr="00AE0F54">
              <w:rPr>
                <w:sz w:val="20"/>
                <w:szCs w:val="20"/>
              </w:rPr>
              <w:t>)</w:t>
            </w:r>
          </w:p>
        </w:tc>
        <w:tc>
          <w:tcPr>
            <w:tcW w:w="1559" w:type="dxa"/>
            <w:vMerge w:val="restart"/>
          </w:tcPr>
          <w:p w:rsidR="00337AC7" w:rsidRPr="00AE0F54" w:rsidRDefault="00337AC7" w:rsidP="00AE0F54">
            <w:pPr>
              <w:ind w:left="33"/>
              <w:rPr>
                <w:sz w:val="20"/>
                <w:szCs w:val="20"/>
              </w:rPr>
            </w:pPr>
            <w:r w:rsidRPr="00AE0F54">
              <w:rPr>
                <w:sz w:val="20"/>
                <w:szCs w:val="20"/>
              </w:rPr>
              <w:t>9 months</w:t>
            </w:r>
            <w:r w:rsidR="00AE0F54" w:rsidRPr="00AE0F54">
              <w:rPr>
                <w:sz w:val="20"/>
                <w:szCs w:val="20"/>
              </w:rPr>
              <w:t xml:space="preserve"> </w:t>
            </w:r>
            <w:r w:rsidRPr="00AE0F54">
              <w:rPr>
                <w:sz w:val="20"/>
                <w:szCs w:val="20"/>
              </w:rPr>
              <w:t>[SBL038-031]</w:t>
            </w:r>
          </w:p>
        </w:tc>
        <w:tc>
          <w:tcPr>
            <w:tcW w:w="993" w:type="dxa"/>
          </w:tcPr>
          <w:p w:rsidR="00337AC7" w:rsidRPr="00AE0F54" w:rsidRDefault="00337AC7" w:rsidP="00AE0F54">
            <w:pPr>
              <w:ind w:left="34"/>
              <w:rPr>
                <w:sz w:val="20"/>
                <w:szCs w:val="20"/>
              </w:rPr>
            </w:pPr>
            <w:r w:rsidRPr="00AE0F54">
              <w:rPr>
                <w:sz w:val="20"/>
                <w:szCs w:val="20"/>
              </w:rPr>
              <w:t>0.1</w:t>
            </w:r>
          </w:p>
        </w:tc>
        <w:tc>
          <w:tcPr>
            <w:tcW w:w="992" w:type="dxa"/>
          </w:tcPr>
          <w:p w:rsidR="00337AC7" w:rsidRPr="00AE0F54" w:rsidRDefault="00337AC7" w:rsidP="00AE0F54">
            <w:pPr>
              <w:ind w:left="34"/>
              <w:rPr>
                <w:sz w:val="20"/>
                <w:szCs w:val="20"/>
              </w:rPr>
            </w:pPr>
            <w:r w:rsidRPr="00AE0F54">
              <w:rPr>
                <w:sz w:val="20"/>
                <w:szCs w:val="20"/>
              </w:rPr>
              <w:t>235</w:t>
            </w:r>
          </w:p>
        </w:tc>
        <w:tc>
          <w:tcPr>
            <w:tcW w:w="1417" w:type="dxa"/>
          </w:tcPr>
          <w:p w:rsidR="00337AC7" w:rsidRPr="00AE0F54" w:rsidRDefault="00337AC7" w:rsidP="00AE0F54">
            <w:pPr>
              <w:ind w:left="34"/>
              <w:rPr>
                <w:sz w:val="20"/>
                <w:szCs w:val="20"/>
              </w:rPr>
            </w:pPr>
            <w:r w:rsidRPr="00AE0F54">
              <w:rPr>
                <w:sz w:val="20"/>
                <w:szCs w:val="20"/>
              </w:rPr>
              <w:t>9</w:t>
            </w:r>
          </w:p>
        </w:tc>
        <w:tc>
          <w:tcPr>
            <w:tcW w:w="993" w:type="dxa"/>
          </w:tcPr>
          <w:p w:rsidR="00337AC7" w:rsidRPr="00AE0F54" w:rsidRDefault="00337AC7" w:rsidP="00AE0F54">
            <w:pPr>
              <w:ind w:left="0"/>
              <w:rPr>
                <w:sz w:val="20"/>
                <w:szCs w:val="20"/>
              </w:rPr>
            </w:pPr>
            <w:r w:rsidRPr="00AE0F54">
              <w:rPr>
                <w:sz w:val="20"/>
                <w:szCs w:val="20"/>
              </w:rPr>
              <w:t>0.05</w:t>
            </w:r>
          </w:p>
        </w:tc>
        <w:tc>
          <w:tcPr>
            <w:tcW w:w="1417" w:type="dxa"/>
          </w:tcPr>
          <w:p w:rsidR="00337AC7" w:rsidRPr="00AE0F54" w:rsidRDefault="00337AC7" w:rsidP="00AE0F54">
            <w:pPr>
              <w:ind w:left="0"/>
              <w:rPr>
                <w:sz w:val="20"/>
                <w:szCs w:val="20"/>
              </w:rPr>
            </w:pPr>
            <w:r w:rsidRPr="00AE0F54">
              <w:rPr>
                <w:sz w:val="20"/>
                <w:szCs w:val="20"/>
              </w:rPr>
              <w:t>0.1</w:t>
            </w:r>
          </w:p>
        </w:tc>
      </w:tr>
      <w:tr w:rsidR="00337AC7" w:rsidRPr="00AE0F54" w:rsidTr="00AE0F54">
        <w:trPr>
          <w:trHeight w:val="227"/>
        </w:trPr>
        <w:tc>
          <w:tcPr>
            <w:tcW w:w="1384" w:type="dxa"/>
            <w:vMerge/>
          </w:tcPr>
          <w:p w:rsidR="00337AC7" w:rsidRPr="00AE0F54" w:rsidRDefault="00337AC7" w:rsidP="00AE0F54">
            <w:pPr>
              <w:ind w:left="0"/>
              <w:rPr>
                <w:sz w:val="20"/>
                <w:szCs w:val="20"/>
              </w:rPr>
            </w:pPr>
          </w:p>
        </w:tc>
        <w:tc>
          <w:tcPr>
            <w:tcW w:w="1559" w:type="dxa"/>
            <w:vMerge/>
          </w:tcPr>
          <w:p w:rsidR="00337AC7" w:rsidRPr="00AE0F54" w:rsidRDefault="00337AC7" w:rsidP="00AE0F54">
            <w:pPr>
              <w:ind w:left="33"/>
              <w:rPr>
                <w:sz w:val="20"/>
                <w:szCs w:val="20"/>
              </w:rPr>
            </w:pPr>
          </w:p>
        </w:tc>
        <w:tc>
          <w:tcPr>
            <w:tcW w:w="993" w:type="dxa"/>
          </w:tcPr>
          <w:p w:rsidR="00337AC7" w:rsidRPr="00AE0F54" w:rsidRDefault="00337AC7" w:rsidP="00AE0F54">
            <w:pPr>
              <w:ind w:left="34"/>
              <w:rPr>
                <w:sz w:val="20"/>
                <w:szCs w:val="20"/>
              </w:rPr>
            </w:pPr>
            <w:r w:rsidRPr="00AE0F54">
              <w:rPr>
                <w:sz w:val="20"/>
                <w:szCs w:val="20"/>
              </w:rPr>
              <w:t>0.5</w:t>
            </w:r>
          </w:p>
        </w:tc>
        <w:tc>
          <w:tcPr>
            <w:tcW w:w="992" w:type="dxa"/>
          </w:tcPr>
          <w:p w:rsidR="00337AC7" w:rsidRPr="00AE0F54" w:rsidRDefault="00337AC7" w:rsidP="00AE0F54">
            <w:pPr>
              <w:ind w:left="34"/>
              <w:rPr>
                <w:sz w:val="20"/>
                <w:szCs w:val="20"/>
              </w:rPr>
            </w:pPr>
            <w:r w:rsidRPr="00AE0F54">
              <w:rPr>
                <w:sz w:val="20"/>
                <w:szCs w:val="20"/>
              </w:rPr>
              <w:t>1418</w:t>
            </w:r>
          </w:p>
        </w:tc>
        <w:tc>
          <w:tcPr>
            <w:tcW w:w="1417" w:type="dxa"/>
          </w:tcPr>
          <w:p w:rsidR="00337AC7" w:rsidRPr="00AE0F54" w:rsidRDefault="00337AC7" w:rsidP="00AE0F54">
            <w:pPr>
              <w:ind w:left="34"/>
              <w:rPr>
                <w:sz w:val="20"/>
                <w:szCs w:val="20"/>
              </w:rPr>
            </w:pPr>
            <w:r w:rsidRPr="00AE0F54">
              <w:rPr>
                <w:sz w:val="20"/>
                <w:szCs w:val="20"/>
              </w:rPr>
              <w:t>55</w:t>
            </w:r>
          </w:p>
        </w:tc>
        <w:tc>
          <w:tcPr>
            <w:tcW w:w="993" w:type="dxa"/>
          </w:tcPr>
          <w:p w:rsidR="00337AC7" w:rsidRPr="00AE0F54" w:rsidRDefault="00337AC7" w:rsidP="00AE0F54">
            <w:pPr>
              <w:ind w:left="0"/>
              <w:rPr>
                <w:sz w:val="20"/>
                <w:szCs w:val="20"/>
              </w:rPr>
            </w:pPr>
            <w:r w:rsidRPr="00AE0F54">
              <w:rPr>
                <w:sz w:val="20"/>
                <w:szCs w:val="20"/>
              </w:rPr>
              <w:t>0.3</w:t>
            </w:r>
          </w:p>
        </w:tc>
        <w:tc>
          <w:tcPr>
            <w:tcW w:w="1417" w:type="dxa"/>
          </w:tcPr>
          <w:p w:rsidR="00337AC7" w:rsidRPr="00AE0F54" w:rsidRDefault="00337AC7" w:rsidP="00AE0F54">
            <w:pPr>
              <w:ind w:left="0"/>
              <w:rPr>
                <w:sz w:val="20"/>
                <w:szCs w:val="20"/>
              </w:rPr>
            </w:pPr>
            <w:r w:rsidRPr="00AE0F54">
              <w:rPr>
                <w:sz w:val="20"/>
                <w:szCs w:val="20"/>
              </w:rPr>
              <w:t>0.6</w:t>
            </w:r>
          </w:p>
        </w:tc>
      </w:tr>
      <w:tr w:rsidR="00337AC7" w:rsidRPr="00AE0F54" w:rsidTr="00AE0F54">
        <w:trPr>
          <w:trHeight w:val="227"/>
        </w:trPr>
        <w:tc>
          <w:tcPr>
            <w:tcW w:w="1384" w:type="dxa"/>
            <w:vMerge/>
          </w:tcPr>
          <w:p w:rsidR="00337AC7" w:rsidRPr="00AE0F54" w:rsidRDefault="00337AC7" w:rsidP="00AE0F54">
            <w:pPr>
              <w:ind w:left="0"/>
              <w:rPr>
                <w:sz w:val="20"/>
                <w:szCs w:val="20"/>
              </w:rPr>
            </w:pPr>
          </w:p>
        </w:tc>
        <w:tc>
          <w:tcPr>
            <w:tcW w:w="1559" w:type="dxa"/>
            <w:vMerge/>
          </w:tcPr>
          <w:p w:rsidR="00337AC7" w:rsidRPr="00AE0F54" w:rsidRDefault="00337AC7" w:rsidP="00AE0F54">
            <w:pPr>
              <w:ind w:left="33"/>
              <w:rPr>
                <w:sz w:val="20"/>
                <w:szCs w:val="20"/>
              </w:rPr>
            </w:pPr>
          </w:p>
        </w:tc>
        <w:tc>
          <w:tcPr>
            <w:tcW w:w="993" w:type="dxa"/>
          </w:tcPr>
          <w:p w:rsidR="00337AC7" w:rsidRPr="00AE0F54" w:rsidRDefault="00337AC7" w:rsidP="00AE0F54">
            <w:pPr>
              <w:ind w:left="34"/>
              <w:rPr>
                <w:sz w:val="20"/>
                <w:szCs w:val="20"/>
              </w:rPr>
            </w:pPr>
            <w:r w:rsidRPr="00AE0F54">
              <w:rPr>
                <w:sz w:val="20"/>
                <w:szCs w:val="20"/>
              </w:rPr>
              <w:t>3</w:t>
            </w:r>
          </w:p>
        </w:tc>
        <w:tc>
          <w:tcPr>
            <w:tcW w:w="992" w:type="dxa"/>
          </w:tcPr>
          <w:p w:rsidR="00337AC7" w:rsidRPr="00AE0F54" w:rsidRDefault="00337AC7" w:rsidP="00AE0F54">
            <w:pPr>
              <w:ind w:left="34"/>
              <w:rPr>
                <w:sz w:val="20"/>
                <w:szCs w:val="20"/>
              </w:rPr>
            </w:pPr>
            <w:r w:rsidRPr="00AE0F54">
              <w:rPr>
                <w:sz w:val="20"/>
                <w:szCs w:val="20"/>
              </w:rPr>
              <w:t>9778</w:t>
            </w:r>
          </w:p>
        </w:tc>
        <w:tc>
          <w:tcPr>
            <w:tcW w:w="1417" w:type="dxa"/>
          </w:tcPr>
          <w:p w:rsidR="00337AC7" w:rsidRPr="00AE0F54" w:rsidRDefault="00337AC7" w:rsidP="00AE0F54">
            <w:pPr>
              <w:ind w:left="34"/>
              <w:rPr>
                <w:sz w:val="20"/>
                <w:szCs w:val="20"/>
              </w:rPr>
            </w:pPr>
            <w:r w:rsidRPr="00AE0F54">
              <w:rPr>
                <w:sz w:val="20"/>
                <w:szCs w:val="20"/>
              </w:rPr>
              <w:t>381</w:t>
            </w:r>
          </w:p>
        </w:tc>
        <w:tc>
          <w:tcPr>
            <w:tcW w:w="993" w:type="dxa"/>
          </w:tcPr>
          <w:p w:rsidR="00337AC7" w:rsidRPr="00AE0F54" w:rsidRDefault="00337AC7" w:rsidP="00AE0F54">
            <w:pPr>
              <w:ind w:left="0"/>
              <w:rPr>
                <w:sz w:val="20"/>
                <w:szCs w:val="20"/>
              </w:rPr>
            </w:pPr>
            <w:r w:rsidRPr="00AE0F54">
              <w:rPr>
                <w:sz w:val="20"/>
                <w:szCs w:val="20"/>
              </w:rPr>
              <w:t>1.9</w:t>
            </w:r>
          </w:p>
        </w:tc>
        <w:tc>
          <w:tcPr>
            <w:tcW w:w="1417" w:type="dxa"/>
          </w:tcPr>
          <w:p w:rsidR="00337AC7" w:rsidRPr="00AE0F54" w:rsidRDefault="00337AC7" w:rsidP="00AE0F54">
            <w:pPr>
              <w:ind w:left="0"/>
              <w:rPr>
                <w:sz w:val="20"/>
                <w:szCs w:val="20"/>
              </w:rPr>
            </w:pPr>
            <w:r w:rsidRPr="00AE0F54">
              <w:rPr>
                <w:sz w:val="20"/>
                <w:szCs w:val="20"/>
              </w:rPr>
              <w:t>4.4</w:t>
            </w:r>
          </w:p>
        </w:tc>
      </w:tr>
      <w:tr w:rsidR="00337AC7" w:rsidRPr="00AE0F54" w:rsidTr="00AE0F54">
        <w:trPr>
          <w:trHeight w:val="227"/>
        </w:trPr>
        <w:tc>
          <w:tcPr>
            <w:tcW w:w="1384" w:type="dxa"/>
          </w:tcPr>
          <w:p w:rsidR="00337AC7" w:rsidRPr="00AE0F54" w:rsidRDefault="00337AC7" w:rsidP="00AE0F54">
            <w:pPr>
              <w:ind w:left="0"/>
              <w:rPr>
                <w:sz w:val="20"/>
                <w:szCs w:val="20"/>
              </w:rPr>
            </w:pPr>
            <w:r w:rsidRPr="00AE0F54">
              <w:rPr>
                <w:sz w:val="20"/>
                <w:szCs w:val="20"/>
              </w:rPr>
              <w:t>Human</w:t>
            </w:r>
            <w:r w:rsidR="00AE0F54" w:rsidRPr="00AE0F54">
              <w:rPr>
                <w:sz w:val="20"/>
                <w:szCs w:val="20"/>
              </w:rPr>
              <w:t xml:space="preserve"> </w:t>
            </w:r>
            <w:r w:rsidRPr="00AE0F54">
              <w:rPr>
                <w:sz w:val="20"/>
                <w:szCs w:val="20"/>
              </w:rPr>
              <w:t>(patients)</w:t>
            </w:r>
          </w:p>
        </w:tc>
        <w:tc>
          <w:tcPr>
            <w:tcW w:w="1559" w:type="dxa"/>
          </w:tcPr>
          <w:p w:rsidR="00337AC7" w:rsidRPr="00AE0F54" w:rsidRDefault="00337AC7" w:rsidP="00AE0F54">
            <w:pPr>
              <w:ind w:left="33"/>
              <w:rPr>
                <w:sz w:val="20"/>
                <w:szCs w:val="20"/>
              </w:rPr>
            </w:pPr>
            <w:r w:rsidRPr="00AE0F54">
              <w:rPr>
                <w:sz w:val="20"/>
                <w:szCs w:val="20"/>
              </w:rPr>
              <w:t>steady state</w:t>
            </w:r>
            <w:r w:rsidR="00AE0F54" w:rsidRPr="00AE0F54">
              <w:rPr>
                <w:sz w:val="20"/>
                <w:szCs w:val="20"/>
              </w:rPr>
              <w:t xml:space="preserve"> </w:t>
            </w:r>
            <w:r w:rsidRPr="00AE0F54">
              <w:rPr>
                <w:sz w:val="20"/>
                <w:szCs w:val="20"/>
              </w:rPr>
              <w:t>[E7080-J081-105]</w:t>
            </w:r>
          </w:p>
        </w:tc>
        <w:tc>
          <w:tcPr>
            <w:tcW w:w="993" w:type="dxa"/>
          </w:tcPr>
          <w:p w:rsidR="00337AC7" w:rsidRPr="00AE0F54" w:rsidRDefault="00337AC7" w:rsidP="00AE0F54">
            <w:pPr>
              <w:ind w:left="34"/>
              <w:rPr>
                <w:sz w:val="20"/>
                <w:szCs w:val="20"/>
              </w:rPr>
            </w:pPr>
            <w:r w:rsidRPr="00AE0F54">
              <w:rPr>
                <w:sz w:val="20"/>
                <w:szCs w:val="20"/>
              </w:rPr>
              <w:t>24 mg</w:t>
            </w:r>
          </w:p>
        </w:tc>
        <w:tc>
          <w:tcPr>
            <w:tcW w:w="992" w:type="dxa"/>
          </w:tcPr>
          <w:p w:rsidR="00337AC7" w:rsidRPr="00AE0F54" w:rsidRDefault="00337AC7" w:rsidP="00AE0F54">
            <w:pPr>
              <w:ind w:left="34"/>
              <w:rPr>
                <w:sz w:val="20"/>
                <w:szCs w:val="20"/>
              </w:rPr>
            </w:pPr>
            <w:r w:rsidRPr="00AE0F54">
              <w:rPr>
                <w:sz w:val="20"/>
                <w:szCs w:val="20"/>
              </w:rPr>
              <w:t>5072*</w:t>
            </w:r>
          </w:p>
        </w:tc>
        <w:tc>
          <w:tcPr>
            <w:tcW w:w="1417" w:type="dxa"/>
          </w:tcPr>
          <w:p w:rsidR="00337AC7" w:rsidRPr="00AE0F54" w:rsidRDefault="00337AC7" w:rsidP="00AE0F54">
            <w:pPr>
              <w:ind w:left="34"/>
              <w:rPr>
                <w:sz w:val="20"/>
                <w:szCs w:val="20"/>
              </w:rPr>
            </w:pPr>
            <w:r w:rsidRPr="00AE0F54">
              <w:rPr>
                <w:sz w:val="20"/>
                <w:szCs w:val="20"/>
              </w:rPr>
              <w:t>86</w:t>
            </w:r>
          </w:p>
        </w:tc>
        <w:tc>
          <w:tcPr>
            <w:tcW w:w="993" w:type="dxa"/>
          </w:tcPr>
          <w:p w:rsidR="00337AC7" w:rsidRPr="00AE0F54" w:rsidRDefault="00337AC7" w:rsidP="00AE0F54">
            <w:pPr>
              <w:ind w:left="0"/>
              <w:rPr>
                <w:sz w:val="20"/>
                <w:szCs w:val="20"/>
              </w:rPr>
            </w:pPr>
            <w:r w:rsidRPr="00AE0F54">
              <w:rPr>
                <w:sz w:val="20"/>
                <w:szCs w:val="20"/>
              </w:rPr>
              <w:t>–</w:t>
            </w:r>
          </w:p>
        </w:tc>
        <w:tc>
          <w:tcPr>
            <w:tcW w:w="1417" w:type="dxa"/>
          </w:tcPr>
          <w:p w:rsidR="00337AC7" w:rsidRPr="00AE0F54" w:rsidRDefault="00337AC7" w:rsidP="00AE0F54">
            <w:pPr>
              <w:ind w:left="0"/>
              <w:rPr>
                <w:sz w:val="20"/>
                <w:szCs w:val="20"/>
              </w:rPr>
            </w:pPr>
            <w:r w:rsidRPr="00AE0F54">
              <w:rPr>
                <w:sz w:val="20"/>
                <w:szCs w:val="20"/>
              </w:rPr>
              <w:t>–</w:t>
            </w:r>
          </w:p>
        </w:tc>
      </w:tr>
    </w:tbl>
    <w:p w:rsidR="00772CC0" w:rsidRDefault="00337AC7" w:rsidP="000B19B9">
      <w:pPr>
        <w:pStyle w:val="TableDescription"/>
      </w:pPr>
      <w:r w:rsidRPr="00EB69F1">
        <w:rPr>
          <w:position w:val="-2"/>
          <w:vertAlign w:val="superscript"/>
        </w:rPr>
        <w:t>#</w:t>
      </w:r>
      <w:r w:rsidRPr="00EB69F1">
        <w:t xml:space="preserve"> = </w:t>
      </w:r>
      <w:proofErr w:type="spellStart"/>
      <w:r w:rsidRPr="00EB69F1">
        <w:t>animal</w:t>
      </w:r>
      <w:proofErr w:type="gramStart"/>
      <w:r w:rsidRPr="00EB69F1">
        <w:t>:human</w:t>
      </w:r>
      <w:proofErr w:type="spellEnd"/>
      <w:proofErr w:type="gramEnd"/>
      <w:r w:rsidRPr="00EB69F1">
        <w:t xml:space="preserve"> plasma AUC</w:t>
      </w:r>
      <w:r w:rsidRPr="00EB69F1">
        <w:rPr>
          <w:vertAlign w:val="subscript"/>
        </w:rPr>
        <w:t>0–24</w:t>
      </w:r>
      <w:r w:rsidRPr="00EB69F1">
        <w:rPr>
          <w:w w:val="50"/>
          <w:vertAlign w:val="subscript"/>
        </w:rPr>
        <w:t> </w:t>
      </w:r>
      <w:r w:rsidRPr="00EB69F1">
        <w:rPr>
          <w:vertAlign w:val="subscript"/>
        </w:rPr>
        <w:t>h</w:t>
      </w:r>
      <w:r>
        <w:t xml:space="preserve">; † Based on mean free fraction values of 2.0% (rat), 8.9% (dog), 3.9% (monkey) and 1.7% (human); * Converted from 4104 </w:t>
      </w:r>
      <w:proofErr w:type="spellStart"/>
      <w:r>
        <w:t>ng∙h</w:t>
      </w:r>
      <w:proofErr w:type="spellEnd"/>
      <w:r>
        <w:t xml:space="preserve">/mL of the </w:t>
      </w:r>
      <w:proofErr w:type="spellStart"/>
      <w:r>
        <w:t>lenvatinib</w:t>
      </w:r>
      <w:proofErr w:type="spellEnd"/>
      <w:r>
        <w:t xml:space="preserve"> base to the </w:t>
      </w:r>
      <w:proofErr w:type="spellStart"/>
      <w:r>
        <w:t>mesilate</w:t>
      </w:r>
      <w:proofErr w:type="spellEnd"/>
      <w:r>
        <w:t xml:space="preserve"> salt</w:t>
      </w:r>
      <w:r w:rsidR="00772CC0">
        <w:t>.</w:t>
      </w:r>
    </w:p>
    <w:p w:rsidR="00337AC7" w:rsidRPr="00111493" w:rsidRDefault="00337AC7" w:rsidP="003A060B">
      <w:pPr>
        <w:pStyle w:val="Heading5"/>
      </w:pPr>
      <w:r w:rsidRPr="00111493">
        <w:t>Major toxicities</w:t>
      </w:r>
    </w:p>
    <w:p w:rsidR="00772CC0" w:rsidRDefault="00337AC7" w:rsidP="003A060B">
      <w:r w:rsidRPr="003A060B">
        <w:t>The major target organs f</w:t>
      </w:r>
      <w:r w:rsidR="009E4D7B">
        <w:t>or lenvatinib were the kidney, GI</w:t>
      </w:r>
      <w:r w:rsidRPr="003A060B">
        <w:t xml:space="preserve"> tract (in particular duodenum an</w:t>
      </w:r>
      <w:r w:rsidR="003D10E5">
        <w:t>d stomach), liver, gallbladder/</w:t>
      </w:r>
      <w:r w:rsidRPr="003A060B">
        <w:t xml:space="preserve">common bile duct, reproductive organs and tissues, bone (including marrow), teeth and adrenals. Some effects also observed on pituitary, brain (choroid plexus), pancreas, spleen and other lymphoid tissues. Vascular lesions (arterial </w:t>
      </w:r>
      <w:proofErr w:type="spellStart"/>
      <w:r w:rsidRPr="003A060B">
        <w:t>fibrinoid</w:t>
      </w:r>
      <w:proofErr w:type="spellEnd"/>
      <w:r w:rsidRPr="003A060B">
        <w:t xml:space="preserve"> necrosis and/or medial arterial degeneration) were observed in all species at multiple anatomical sites and were responsible for the many of the target organ toxicities</w:t>
      </w:r>
      <w:r w:rsidR="00772CC0">
        <w:t>.</w:t>
      </w:r>
    </w:p>
    <w:p w:rsidR="00337AC7" w:rsidRPr="003A060B" w:rsidRDefault="00337AC7" w:rsidP="003A060B">
      <w:r w:rsidRPr="003A060B">
        <w:t>Mortality was observed in all species, at doses ≥10 mg/kg/day in rats (ER ≥15</w:t>
      </w:r>
      <w:r w:rsidR="003D10E5">
        <w:t>x</w:t>
      </w:r>
      <w:r w:rsidRPr="003A060B">
        <w:t>) and ≥3 mg/kg/day in monkeys (ER ≥4</w:t>
      </w:r>
      <w:r w:rsidR="003D10E5">
        <w:t>x</w:t>
      </w:r>
      <w:r w:rsidRPr="003A060B">
        <w:t xml:space="preserve">). In dogs, excessive toxicity led to early termination of </w:t>
      </w:r>
      <w:r w:rsidRPr="003A060B">
        <w:lastRenderedPageBreak/>
        <w:t>dosing, with subsequent mortality in a male dog that received 30 mg/kg/day. Mortality was frequently associated with severe duodenal lesions and/or renal toxicity. In rats, cholangitis and pancreatitis were also observed in premature decedents. In addition, bacterial infections and associated elevations in white blood cells were observed in rats that received ≥10 mg/kg/day lenvatinib.</w:t>
      </w:r>
    </w:p>
    <w:p w:rsidR="00337AC7" w:rsidRPr="003A060B" w:rsidRDefault="00337AC7" w:rsidP="003A060B">
      <w:r w:rsidRPr="003A060B">
        <w:t xml:space="preserve">Many of the observed toxicities were consistent with exaggerated pharmacological effects, and are considered class effects of receptor tyrosine kinase inhibitors. For example, similar finding have been reported for </w:t>
      </w:r>
      <w:proofErr w:type="spellStart"/>
      <w:r w:rsidRPr="003A060B">
        <w:t>sunitinib</w:t>
      </w:r>
      <w:proofErr w:type="spellEnd"/>
      <w:r w:rsidRPr="003A060B">
        <w:t xml:space="preserve">, </w:t>
      </w:r>
      <w:proofErr w:type="spellStart"/>
      <w:r w:rsidRPr="003A060B">
        <w:t>sorafenib</w:t>
      </w:r>
      <w:proofErr w:type="spellEnd"/>
      <w:r w:rsidRPr="003A060B">
        <w:t xml:space="preserve">, </w:t>
      </w:r>
      <w:proofErr w:type="spellStart"/>
      <w:r w:rsidRPr="003A060B">
        <w:t>axitinib</w:t>
      </w:r>
      <w:proofErr w:type="spellEnd"/>
      <w:r w:rsidRPr="003A060B">
        <w:t xml:space="preserve"> and </w:t>
      </w:r>
      <w:proofErr w:type="spellStart"/>
      <w:r w:rsidRPr="003A060B">
        <w:t>regorafenib</w:t>
      </w:r>
      <w:proofErr w:type="spellEnd"/>
      <w:r w:rsidRPr="003A060B">
        <w:t>.</w:t>
      </w:r>
      <w:r w:rsidR="003A060B">
        <w:rPr>
          <w:rStyle w:val="FootnoteReference"/>
        </w:rPr>
        <w:footnoteReference w:id="19"/>
      </w:r>
      <w:r w:rsidRPr="003A060B">
        <w:t xml:space="preserve"> In particular, inhibition of angiogenesis through effects on VEGF signalling provides a mechanistic basis for many of the observed toxicities, including renal and </w:t>
      </w:r>
      <w:r w:rsidR="003D10E5">
        <w:t>gastrointestinal (</w:t>
      </w:r>
      <w:r w:rsidRPr="003A060B">
        <w:t>GI</w:t>
      </w:r>
      <w:r w:rsidR="003D10E5">
        <w:t>)</w:t>
      </w:r>
      <w:r w:rsidRPr="003A060B">
        <w:t xml:space="preserve"> lesions, and effects on reproductive tissues. In the studies that included a recovery period (4</w:t>
      </w:r>
      <w:r w:rsidR="003D10E5">
        <w:t xml:space="preserve"> </w:t>
      </w:r>
      <w:r w:rsidRPr="003A060B">
        <w:t>week studies in rats, dogs and monkeys) almost all lesions were shown to be reversible, except where indicated below. The observed class effects included:</w:t>
      </w:r>
    </w:p>
    <w:p w:rsidR="00337AC7" w:rsidRPr="009E7845" w:rsidRDefault="00337AC7" w:rsidP="009E7845">
      <w:pPr>
        <w:pStyle w:val="ListBullet"/>
      </w:pPr>
      <w:r w:rsidRPr="009E7845">
        <w:t xml:space="preserve">Vascular lesions were observed in all species at multiple sites including kidney, GI tract, spleen, testis, heart, liver, gallbladder, urinary bladder, ovaries, uterus, vagina, adrenals, sciatic and optic nerves, mammary gland and choroid plexus. The lesions were characterised as arterial </w:t>
      </w:r>
      <w:proofErr w:type="spellStart"/>
      <w:r w:rsidRPr="009E7845">
        <w:t>fibrinoid</w:t>
      </w:r>
      <w:proofErr w:type="spellEnd"/>
      <w:r w:rsidRPr="009E7845">
        <w:t xml:space="preserve"> necrosis, medial degeneration and haemorrhage. Lesions were observed at doses of ≥10 mg/kg/day in rats (ER 15</w:t>
      </w:r>
      <w:r w:rsidR="003D10E5">
        <w:t>x</w:t>
      </w:r>
      <w:r w:rsidRPr="009E7845">
        <w:t>), ≥0.5 mg/kg/day in dogs (ER 0.6</w:t>
      </w:r>
      <w:r w:rsidR="003D10E5">
        <w:t>x</w:t>
      </w:r>
      <w:r w:rsidRPr="009E7845">
        <w:t>) and ≥3 mg/kg/day in monkeys (ER 4</w:t>
      </w:r>
      <w:r w:rsidR="003D10E5">
        <w:t>x</w:t>
      </w:r>
      <w:r w:rsidRPr="009E7845">
        <w:t>). Vascular lesions were reversible following cessation of dosing.</w:t>
      </w:r>
    </w:p>
    <w:p w:rsidR="00337AC7" w:rsidRPr="009E7845" w:rsidRDefault="00337AC7" w:rsidP="009E7845">
      <w:pPr>
        <w:pStyle w:val="ListBullet"/>
      </w:pPr>
      <w:r w:rsidRPr="009E7845">
        <w:t>Inflammation, atrophy, necrosis and/or hyperplasia were observed in the duodenum in rats (≥10 mg/kg, ER 15</w:t>
      </w:r>
      <w:r w:rsidR="003D10E5">
        <w:t>x</w:t>
      </w:r>
      <w:r w:rsidRPr="009E7845">
        <w:t>) and monkeys (≥3 mg/kg/day, ER 4</w:t>
      </w:r>
      <w:r w:rsidR="003D10E5">
        <w:t>x</w:t>
      </w:r>
      <w:r w:rsidRPr="009E7845">
        <w:t>). Similar lesions were reported at other intestinal sites at similar doses in rats, in dogs and at higher doses in monkeys, with oedema and autolysis also observed. Hyperplasia and inflammatory cell infiltration were observed in the stomach of rats that received ≥10 mg/kg/day lenvatinib. Vascular lesions were also observed in the stomach of rats and dogs. Severe GI lesions were commonly observed and considered the cause of death in premature decedents in all species. There were also increased blood neutrophil counts in rats, suggesting bacterial inf</w:t>
      </w:r>
      <w:r w:rsidR="009E4D7B">
        <w:t>ection probably secondary to GI tract</w:t>
      </w:r>
      <w:r w:rsidRPr="009E7845">
        <w:t xml:space="preserve"> tissue damage. Clinical signs of abnormal faeces, vomiting and/or decreased food intake were also consistent with the observed microscopic GI toxicity. GI lesions were generally reversible, however in some rats and dogs there were incidences of mortality following cessation of dosing due to the severity of GI lesions.</w:t>
      </w:r>
    </w:p>
    <w:p w:rsidR="00337AC7" w:rsidRPr="009E7845" w:rsidRDefault="00337AC7" w:rsidP="009E7845">
      <w:pPr>
        <w:pStyle w:val="ListBullet"/>
      </w:pPr>
      <w:proofErr w:type="spellStart"/>
      <w:r w:rsidRPr="009E7845">
        <w:t>Glomerulopathy</w:t>
      </w:r>
      <w:proofErr w:type="spellEnd"/>
      <w:r w:rsidRPr="009E7845">
        <w:t xml:space="preserve"> was observed in the kidney in rats (≥2 mg/kg, ER 4</w:t>
      </w:r>
      <w:r w:rsidR="00CD4E08">
        <w:t>x</w:t>
      </w:r>
      <w:r w:rsidRPr="009E7845">
        <w:t>), dogs (≥0.5 mg/kg/day, ER 0.6</w:t>
      </w:r>
      <w:r w:rsidR="00CD4E08">
        <w:t>x</w:t>
      </w:r>
      <w:r w:rsidRPr="009E7845">
        <w:t>) and monkeys (≥0.5 mg/kg/day, ER 0.6</w:t>
      </w:r>
      <w:r w:rsidR="00CD4E08">
        <w:t>x</w:t>
      </w:r>
      <w:r w:rsidRPr="009E7845">
        <w:t xml:space="preserve">). Increased plasma BUN (all species) and, to a smaller extent, creatinine (monkeys) and proteinuria were observed at higher doses. Similar effects at or below anticipated clinical exposures have been reported for other tyrosine kinase receptor inhibitors, including </w:t>
      </w:r>
      <w:proofErr w:type="spellStart"/>
      <w:r w:rsidRPr="009E7845">
        <w:t>regorafenib</w:t>
      </w:r>
      <w:proofErr w:type="spellEnd"/>
      <w:r w:rsidRPr="009E7845">
        <w:t xml:space="preserve"> and </w:t>
      </w:r>
      <w:proofErr w:type="spellStart"/>
      <w:r w:rsidRPr="009E7845">
        <w:t>sorafenib</w:t>
      </w:r>
      <w:proofErr w:type="spellEnd"/>
      <w:r w:rsidRPr="009E7845">
        <w:t>. The renal toxicity observed with lenvatinib was reversible.</w:t>
      </w:r>
    </w:p>
    <w:p w:rsidR="00337AC7" w:rsidRPr="009E7845" w:rsidRDefault="00337AC7" w:rsidP="009E7845">
      <w:pPr>
        <w:pStyle w:val="ListBullet"/>
      </w:pPr>
      <w:r w:rsidRPr="009E7845">
        <w:t>Hepatotoxicity was observed at higher doses in rats (≥10 mg/kg/day, ER 15</w:t>
      </w:r>
      <w:r w:rsidR="00CD4E08">
        <w:t>x</w:t>
      </w:r>
      <w:r w:rsidRPr="009E7845">
        <w:t>), dogs (≥100 mg/kg/day, ER ≥60</w:t>
      </w:r>
      <w:r w:rsidR="00CD4E08">
        <w:t>x</w:t>
      </w:r>
      <w:r w:rsidRPr="009E7845">
        <w:t>) and monkeys (≥3 mg/kg/day, ER 4</w:t>
      </w:r>
      <w:r w:rsidR="00CD4E08">
        <w:t>x</w:t>
      </w:r>
      <w:r w:rsidRPr="009E7845">
        <w:t xml:space="preserve">). Variable increases in ALT and/or AST, and in some cases, ALP and bilirubin were reported, with histological findings of hepatocyte necrosis, </w:t>
      </w:r>
      <w:proofErr w:type="spellStart"/>
      <w:r w:rsidRPr="009E7845">
        <w:t>vacuolation</w:t>
      </w:r>
      <w:proofErr w:type="spellEnd"/>
      <w:r w:rsidRPr="009E7845">
        <w:t xml:space="preserve"> and/or pigmentation, sinusoidal dilatation, </w:t>
      </w:r>
      <w:proofErr w:type="spellStart"/>
      <w:r w:rsidRPr="009E7845">
        <w:t>Kupffer</w:t>
      </w:r>
      <w:proofErr w:type="spellEnd"/>
      <w:r w:rsidRPr="009E7845">
        <w:t xml:space="preserve"> cell hypertrophy/ hyperplasia, cholangitis and/or inflammation. Vascular lesions were observed in the gallbladder (dogs and monkeys) and common bile duct (rats), as well as inflammation in the gallbladder (monkeys).</w:t>
      </w:r>
    </w:p>
    <w:p w:rsidR="00337AC7" w:rsidRPr="009E7845" w:rsidRDefault="00337AC7" w:rsidP="009E7845">
      <w:pPr>
        <w:pStyle w:val="ListBullet"/>
      </w:pPr>
      <w:r w:rsidRPr="009E7845">
        <w:lastRenderedPageBreak/>
        <w:t>Pancreatic toxicity was observed in all species, with decreased zymogen granules in rats (≥10 mg/kg/day, ER 15</w:t>
      </w:r>
      <w:r w:rsidR="00CD4E08">
        <w:t>x</w:t>
      </w:r>
      <w:r w:rsidRPr="009E7845">
        <w:t>) and monkeys (≥3 mg/kg/day, ER 4</w:t>
      </w:r>
      <w:r w:rsidR="00CD4E08">
        <w:t>x</w:t>
      </w:r>
      <w:r w:rsidRPr="009E7845">
        <w:t>) and acinar atrophy in dogs (≥2 mg/kg/day, ER 3</w:t>
      </w:r>
      <w:r w:rsidR="00CD4E08">
        <w:t>x</w:t>
      </w:r>
      <w:r w:rsidRPr="009E7845">
        <w:t>). Pancreatitis was also observed in some premature decedent male rats (10 mg/kg/day).</w:t>
      </w:r>
    </w:p>
    <w:p w:rsidR="00772CC0" w:rsidRDefault="00337AC7" w:rsidP="009E7845">
      <w:pPr>
        <w:pStyle w:val="ListBullet"/>
      </w:pPr>
      <w:r w:rsidRPr="009E7845">
        <w:t>In bone, there was an increased epiphyseal growth plate in femur and/or increased epiphyseal cartilage in the sternum in rats (≥10 mg/kg/day, ER 15</w:t>
      </w:r>
      <w:r w:rsidR="00CD4E08">
        <w:t>x</w:t>
      </w:r>
      <w:r w:rsidRPr="009E7845">
        <w:t>) and monkeys (≥0.5 mg/kg/day, ER 0.6</w:t>
      </w:r>
      <w:r w:rsidR="00CD4E08">
        <w:t>x</w:t>
      </w:r>
      <w:r w:rsidRPr="009E7845">
        <w:t xml:space="preserve">). </w:t>
      </w:r>
      <w:proofErr w:type="spellStart"/>
      <w:r w:rsidRPr="009E7845">
        <w:t>Hypocellularity</w:t>
      </w:r>
      <w:proofErr w:type="spellEnd"/>
      <w:r w:rsidRPr="009E7845">
        <w:t xml:space="preserve"> was also observed in the bone marrow of these species at the same doses</w:t>
      </w:r>
      <w:r w:rsidR="00772CC0">
        <w:t>.</w:t>
      </w:r>
    </w:p>
    <w:p w:rsidR="00772CC0" w:rsidRDefault="00337AC7" w:rsidP="009E7845">
      <w:pPr>
        <w:pStyle w:val="ListBullet"/>
      </w:pPr>
      <w:r w:rsidRPr="009E7845">
        <w:t>Discolouration, weakness (broken or missing teeth) and microscopic abnormalities (dysplasia, inflammation in pulp and gingiva) were observed in the incisors in rats that received ≥2 mg/kg/day lenvatinib (ER 4</w:t>
      </w:r>
      <w:r w:rsidR="00CD4E08">
        <w:t>x</w:t>
      </w:r>
      <w:r w:rsidRPr="009E7845">
        <w:t>). These findings are likely secondary to the role of VEGF and FGF in the development of normal dentition. However, they are unlikely to be relevant to adult humans, as rat incisors are constantly growing and there were no adverse effects on teeth in the pivotal monkey study</w:t>
      </w:r>
      <w:r w:rsidR="00772CC0">
        <w:t>.</w:t>
      </w:r>
    </w:p>
    <w:p w:rsidR="00772CC0" w:rsidRDefault="00337AC7" w:rsidP="009E7845">
      <w:pPr>
        <w:pStyle w:val="ListBullet"/>
      </w:pPr>
      <w:r w:rsidRPr="009E7845">
        <w:t xml:space="preserve">In females, follicular atresia, atrophy of the vaginal epithelium and/or vaginal </w:t>
      </w:r>
      <w:proofErr w:type="spellStart"/>
      <w:r w:rsidRPr="009E7845">
        <w:t>mucification</w:t>
      </w:r>
      <w:proofErr w:type="spellEnd"/>
      <w:r w:rsidRPr="009E7845">
        <w:t xml:space="preserve"> were observed in rats (≥2 mg/kg/day, ER 4</w:t>
      </w:r>
      <w:r w:rsidR="00CD4E08">
        <w:t>x</w:t>
      </w:r>
      <w:r w:rsidRPr="009E7845">
        <w:t>), dogs (≥2 mg/kg/day, ER 3</w:t>
      </w:r>
      <w:r w:rsidR="00CD4E08">
        <w:t>x</w:t>
      </w:r>
      <w:r w:rsidRPr="009E7845">
        <w:t>) and monkeys (≥0.5 mg/kg/day, ER 0.6</w:t>
      </w:r>
      <w:r w:rsidR="00CD4E08">
        <w:t>x</w:t>
      </w:r>
      <w:r w:rsidRPr="009E7845">
        <w:t xml:space="preserve">). Reduced menstruation was also observed in monkeys. In males, </w:t>
      </w:r>
      <w:proofErr w:type="spellStart"/>
      <w:r w:rsidRPr="009E7845">
        <w:t>hypocellularity</w:t>
      </w:r>
      <w:proofErr w:type="spellEnd"/>
      <w:r w:rsidRPr="009E7845">
        <w:t xml:space="preserve"> in the testes and desquamated seminiferous epithelial cells in the </w:t>
      </w:r>
      <w:proofErr w:type="spellStart"/>
      <w:r w:rsidRPr="009E7845">
        <w:t>epididymides</w:t>
      </w:r>
      <w:proofErr w:type="spellEnd"/>
      <w:r w:rsidRPr="009E7845">
        <w:t xml:space="preserve"> were observed in rats (≥10 mg/kg/day, ER 15</w:t>
      </w:r>
      <w:r w:rsidR="00CD4E08">
        <w:t>x</w:t>
      </w:r>
      <w:r w:rsidRPr="009E7845">
        <w:t>), dogs (≥0.1 mg/kg/day, ER 0.1</w:t>
      </w:r>
      <w:r w:rsidR="00CD4E08">
        <w:t>x</w:t>
      </w:r>
      <w:r w:rsidRPr="009E7845">
        <w:t>) and monkeys (≥30 mg/kg/day, ER 14</w:t>
      </w:r>
      <w:r w:rsidR="00CD4E08">
        <w:t>x</w:t>
      </w:r>
      <w:r w:rsidRPr="009E7845">
        <w:t>)</w:t>
      </w:r>
      <w:r w:rsidR="00772CC0">
        <w:t>.</w:t>
      </w:r>
    </w:p>
    <w:p w:rsidR="00337AC7" w:rsidRPr="009E7845" w:rsidRDefault="00337AC7" w:rsidP="009E7845">
      <w:pPr>
        <w:pStyle w:val="ListBullet"/>
      </w:pPr>
      <w:r w:rsidRPr="009E7845">
        <w:t>Lymphoid depletion or atrophy was observed in lymphoid tissues including spleen, thymus and mesenteric lymph node in rats (≥10 mg/kg/day, ER 15</w:t>
      </w:r>
      <w:r w:rsidR="00CD4E08">
        <w:t>x</w:t>
      </w:r>
      <w:r w:rsidRPr="009E7845">
        <w:t>) and monkeys (≥3 mg/kg/day, ER 4</w:t>
      </w:r>
      <w:r w:rsidR="00CD4E08">
        <w:t>x</w:t>
      </w:r>
      <w:r w:rsidRPr="009E7845">
        <w:t>). Lymphoid depletion/ necrosis was also observed in the jejunum of dogs that received 0.5 mg/kg/day lenvatinib (ER 0.6</w:t>
      </w:r>
      <w:r w:rsidR="00CD4E08">
        <w:t>x</w:t>
      </w:r>
      <w:r w:rsidRPr="009E7845">
        <w:t>).</w:t>
      </w:r>
    </w:p>
    <w:p w:rsidR="00337AC7" w:rsidRPr="009E7845" w:rsidRDefault="00337AC7" w:rsidP="009E7845">
      <w:pPr>
        <w:pStyle w:val="ListBullet"/>
      </w:pPr>
      <w:r w:rsidRPr="009E7845">
        <w:t>Eosinophilic exudate and perivascular mononuclear cell infiltration were observed in the choroid plexus in rats (10 mg/kg/day, ER 15</w:t>
      </w:r>
      <w:r w:rsidR="00CD4E08">
        <w:t>x</w:t>
      </w:r>
      <w:r w:rsidRPr="009E7845">
        <w:t>) dogs (≥2 mg/kg/day, ER 3</w:t>
      </w:r>
      <w:r w:rsidR="00CD4E08">
        <w:t>x</w:t>
      </w:r>
      <w:r w:rsidRPr="009E7845">
        <w:t>) and monkeys (3 mg/kg/day, ER 4</w:t>
      </w:r>
      <w:r w:rsidR="00CD4E08">
        <w:t>x</w:t>
      </w:r>
      <w:r w:rsidRPr="009E7845">
        <w:t>). Vascular lesions were also observed in the choroid plexus in monkeys.</w:t>
      </w:r>
    </w:p>
    <w:p w:rsidR="00337AC7" w:rsidRPr="009E7845" w:rsidRDefault="00337AC7" w:rsidP="009E7845">
      <w:pPr>
        <w:pStyle w:val="ListBullet"/>
      </w:pPr>
      <w:r w:rsidRPr="009E7845">
        <w:t xml:space="preserve">In the adrenals, cortical hypertrophy, necrosis and/or </w:t>
      </w:r>
      <w:proofErr w:type="spellStart"/>
      <w:r w:rsidRPr="009E7845">
        <w:t>vacuolation</w:t>
      </w:r>
      <w:proofErr w:type="spellEnd"/>
      <w:r w:rsidRPr="009E7845">
        <w:t xml:space="preserve"> was observed in rats (≥2 mg/kg/day ER 4</w:t>
      </w:r>
      <w:r w:rsidR="00CD4E08">
        <w:t>x</w:t>
      </w:r>
      <w:r w:rsidRPr="009E7845">
        <w:t>), dogs (≥2 mg/kg/day, ER 3</w:t>
      </w:r>
      <w:r w:rsidR="00CD4E08">
        <w:t>x</w:t>
      </w:r>
      <w:r w:rsidRPr="009E7845">
        <w:t>) and monkeys (≥0.1 mg/kg/day, ER 0.1</w:t>
      </w:r>
      <w:r w:rsidR="00CD4E08">
        <w:t>x</w:t>
      </w:r>
      <w:r w:rsidRPr="009E7845">
        <w:t>).</w:t>
      </w:r>
    </w:p>
    <w:p w:rsidR="00337AC7" w:rsidRPr="009E7845" w:rsidRDefault="00337AC7" w:rsidP="009E7845">
      <w:pPr>
        <w:pStyle w:val="ListBullet"/>
      </w:pPr>
      <w:r w:rsidRPr="009E7845">
        <w:t xml:space="preserve">Basophilic cell </w:t>
      </w:r>
      <w:proofErr w:type="spellStart"/>
      <w:r w:rsidRPr="009E7845">
        <w:t>vacuolation</w:t>
      </w:r>
      <w:proofErr w:type="spellEnd"/>
      <w:r w:rsidRPr="009E7845">
        <w:t xml:space="preserve"> was observed in the pituitary of rats (≥10 mg/kg/day, ER 15</w:t>
      </w:r>
      <w:r w:rsidR="00CD4E08">
        <w:t>x</w:t>
      </w:r>
      <w:r w:rsidRPr="009E7845">
        <w:t>), dogs (≥2 mg/kg/day, ER 3</w:t>
      </w:r>
      <w:r w:rsidR="00CD4E08">
        <w:t>x</w:t>
      </w:r>
      <w:r w:rsidRPr="009E7845">
        <w:t>) and monkeys (≥0.5 mg/kg/day, ER 0.6</w:t>
      </w:r>
      <w:r w:rsidR="00CD4E08">
        <w:t>x</w:t>
      </w:r>
      <w:r w:rsidRPr="009E7845">
        <w:t>)</w:t>
      </w:r>
    </w:p>
    <w:p w:rsidR="00772CC0" w:rsidRDefault="00337AC7" w:rsidP="009E7845">
      <w:r w:rsidRPr="009E7845">
        <w:t>In summary, the toxicity profile of lenvatinib is consistent with its pharmacological effects and is comparable with other medicines in this class. Based on the low to moderate exposure ratios it is expected that many of the reported effects may be observed clinically. Importantly, the nonclinical studies demonstrated reversibility of these effects. The teeth and bone effects are unlikely to be clinically relevant in the proposed adult population</w:t>
      </w:r>
      <w:r w:rsidR="00772CC0">
        <w:t>.</w:t>
      </w:r>
    </w:p>
    <w:p w:rsidR="00337AC7" w:rsidRPr="00EB69F1" w:rsidRDefault="00337AC7" w:rsidP="009E7845">
      <w:pPr>
        <w:pStyle w:val="Heading4"/>
      </w:pPr>
      <w:bookmarkStart w:id="64" w:name="_Toc294861729"/>
      <w:r w:rsidRPr="00EB69F1">
        <w:t>Genotoxicity</w:t>
      </w:r>
      <w:bookmarkEnd w:id="64"/>
    </w:p>
    <w:p w:rsidR="00337AC7" w:rsidRPr="009E7845" w:rsidRDefault="00337AC7" w:rsidP="009E7845">
      <w:r w:rsidRPr="009E7845">
        <w:t xml:space="preserve">The genotoxicity of </w:t>
      </w:r>
      <w:proofErr w:type="spellStart"/>
      <w:r w:rsidRPr="009E7845">
        <w:t>lenvatinib</w:t>
      </w:r>
      <w:proofErr w:type="spellEnd"/>
      <w:r w:rsidRPr="009E7845">
        <w:t xml:space="preserve"> was assessed in in vitro mutagenicity assays in bacterial and mammalian cells (mouse lymphoma L5178Y cells), and in vivo using a micronucleus assay in rats. This testing strategy is consistent with ICH guideline S2 (R1),</w:t>
      </w:r>
      <w:r w:rsidR="00CD4E08">
        <w:rPr>
          <w:rStyle w:val="FootnoteReference"/>
        </w:rPr>
        <w:footnoteReference w:id="20"/>
      </w:r>
      <w:r w:rsidRPr="009E7845">
        <w:t xml:space="preserve"> and the studies were appropriately conducted and validated. Lenvatinib was not mutagenic in bacteria or mammalian cells, or </w:t>
      </w:r>
      <w:proofErr w:type="spellStart"/>
      <w:r w:rsidRPr="009E7845">
        <w:t>clastogenic</w:t>
      </w:r>
      <w:proofErr w:type="spellEnd"/>
      <w:r w:rsidRPr="009E7845">
        <w:t xml:space="preserve"> in mammalian cells or SD rats at doses ≤2000 mg/kg. </w:t>
      </w:r>
      <w:r w:rsidRPr="009E7845">
        <w:lastRenderedPageBreak/>
        <w:t>Estimated relative exposure at this dose level is &gt;240</w:t>
      </w:r>
      <w:r w:rsidR="006461FE">
        <w:t>x</w:t>
      </w:r>
      <w:r w:rsidRPr="009E7845">
        <w:t xml:space="preserve"> the exposure in humans based on unbound </w:t>
      </w:r>
      <w:proofErr w:type="spellStart"/>
      <w:r w:rsidRPr="009E7845">
        <w:t>C</w:t>
      </w:r>
      <w:r w:rsidRPr="009E7845">
        <w:rPr>
          <w:vertAlign w:val="subscript"/>
        </w:rPr>
        <w:t>max</w:t>
      </w:r>
      <w:proofErr w:type="spellEnd"/>
      <w:r w:rsidRPr="009E7845">
        <w:rPr>
          <w:vertAlign w:val="subscript"/>
        </w:rPr>
        <w:t xml:space="preserve"> </w:t>
      </w:r>
      <w:r w:rsidRPr="009E7845">
        <w:t>in rats dosed with 1000 mg/kg PO.</w:t>
      </w:r>
      <w:r w:rsidR="009E7845">
        <w:rPr>
          <w:rStyle w:val="FootnoteReference"/>
        </w:rPr>
        <w:footnoteReference w:id="21"/>
      </w:r>
      <w:r w:rsidRPr="009E7845">
        <w:t xml:space="preserve"> Together, the data indicate a low genotoxic potential for </w:t>
      </w:r>
      <w:proofErr w:type="spellStart"/>
      <w:r w:rsidRPr="009E7845">
        <w:t>lenvatinib</w:t>
      </w:r>
      <w:proofErr w:type="spellEnd"/>
      <w:r w:rsidRPr="009E7845">
        <w:t>.</w:t>
      </w:r>
    </w:p>
    <w:p w:rsidR="00337AC7" w:rsidRPr="00EB69F1" w:rsidRDefault="00337AC7" w:rsidP="009E7845">
      <w:pPr>
        <w:pStyle w:val="Heading4"/>
      </w:pPr>
      <w:bookmarkStart w:id="65" w:name="_Toc294861730"/>
      <w:r w:rsidRPr="00EB69F1">
        <w:t>Carcinogenicity</w:t>
      </w:r>
      <w:bookmarkEnd w:id="65"/>
    </w:p>
    <w:p w:rsidR="00337AC7" w:rsidRPr="009E7845" w:rsidRDefault="00337AC7" w:rsidP="009E7845">
      <w:r w:rsidRPr="009E7845">
        <w:t>No carcinogenicity studies were submitted</w:t>
      </w:r>
      <w:r w:rsidR="004275A6">
        <w:t>,</w:t>
      </w:r>
      <w:r w:rsidRPr="009E7845">
        <w:t xml:space="preserve"> which is acceptable for a pharmaceutical for th</w:t>
      </w:r>
      <w:r w:rsidR="004275A6">
        <w:t>e treatment of advanced cancer</w:t>
      </w:r>
      <w:r w:rsidRPr="009E7845">
        <w:t>.</w:t>
      </w:r>
      <w:r w:rsidR="004275A6">
        <w:rPr>
          <w:rStyle w:val="FootnoteReference"/>
        </w:rPr>
        <w:footnoteReference w:id="22"/>
      </w:r>
    </w:p>
    <w:p w:rsidR="00337AC7" w:rsidRPr="00EB69F1" w:rsidRDefault="00337AC7" w:rsidP="009E7845">
      <w:pPr>
        <w:pStyle w:val="Heading4"/>
      </w:pPr>
      <w:r w:rsidRPr="00EB69F1">
        <w:t>Reproductive toxicity</w:t>
      </w:r>
    </w:p>
    <w:p w:rsidR="00337AC7" w:rsidRPr="009E7845" w:rsidRDefault="00337AC7" w:rsidP="009E7845">
      <w:r w:rsidRPr="009E7845">
        <w:t>Embryof</w:t>
      </w:r>
      <w:r w:rsidR="006461FE">
        <w:t>o</w:t>
      </w:r>
      <w:r w:rsidRPr="009E7845">
        <w:t xml:space="preserve">etal development studies were conducted in SD rats and NZW rabbits. Studies of fertility, early embryo development and </w:t>
      </w:r>
      <w:r w:rsidR="004275A6">
        <w:t>pre/post</w:t>
      </w:r>
      <w:r w:rsidRPr="009E7845">
        <w:t>natal development were not conducted which</w:t>
      </w:r>
      <w:r w:rsidR="004275A6">
        <w:t xml:space="preserve"> is acceptable</w:t>
      </w:r>
      <w:r w:rsidRPr="009E7845">
        <w:t>.</w:t>
      </w:r>
      <w:r w:rsidR="004275A6">
        <w:rPr>
          <w:rStyle w:val="FootnoteReference"/>
        </w:rPr>
        <w:footnoteReference w:id="23"/>
      </w:r>
      <w:r w:rsidRPr="009E7845">
        <w:t xml:space="preserve"> The design and conduct of the </w:t>
      </w:r>
      <w:proofErr w:type="spellStart"/>
      <w:r w:rsidRPr="009E7845">
        <w:t>embryofetal</w:t>
      </w:r>
      <w:proofErr w:type="spellEnd"/>
      <w:r w:rsidRPr="009E7845">
        <w:t xml:space="preserve"> development studies was appropriate. Pregnant animals were exposed to lenvatinib during t</w:t>
      </w:r>
      <w:r w:rsidR="004275A6">
        <w:t>he period of organogenesis (</w:t>
      </w:r>
      <w:r w:rsidR="006461FE">
        <w:t>gestation day [</w:t>
      </w:r>
      <w:r w:rsidR="004275A6">
        <w:t>GD</w:t>
      </w:r>
      <w:r w:rsidR="006461FE">
        <w:t xml:space="preserve">] </w:t>
      </w:r>
      <w:r w:rsidR="004275A6">
        <w:t>6-</w:t>
      </w:r>
      <w:r w:rsidRPr="009E7845">
        <w:t>17/18), with appropriate numbers of animals exposed.</w:t>
      </w:r>
    </w:p>
    <w:p w:rsidR="00337AC7" w:rsidRPr="009E7845" w:rsidRDefault="00337AC7" w:rsidP="009E7845">
      <w:proofErr w:type="spellStart"/>
      <w:r w:rsidRPr="009E7845">
        <w:t>Toxicokinetic</w:t>
      </w:r>
      <w:proofErr w:type="spellEnd"/>
      <w:r w:rsidRPr="009E7845">
        <w:t xml:space="preserve"> data were not collected in the embryof</w:t>
      </w:r>
      <w:r w:rsidR="009E7845">
        <w:t>o</w:t>
      </w:r>
      <w:r w:rsidRPr="009E7845">
        <w:t>etal development data, so exposure ratios were estimated using body surface area. A conversion factor of 6 or 12 was applied for rats and rabbits, respectively. The estimated exposure ratios in the pivotal studies were all very low. Higher doses in the pilot studies were associated with total litter loss due to early resorptions. The exposures achieved were adequate to demonstrate the reproductive toxicity of lenvatinib.</w:t>
      </w:r>
    </w:p>
    <w:p w:rsidR="00337AC7" w:rsidRDefault="00337AC7" w:rsidP="00AE0F54">
      <w:pPr>
        <w:pStyle w:val="Heading5"/>
      </w:pPr>
      <w:r w:rsidRPr="00EB69F1">
        <w:t>Relative exposure</w:t>
      </w:r>
    </w:p>
    <w:p w:rsidR="009E7845" w:rsidRPr="009E7845" w:rsidRDefault="009E7845" w:rsidP="009E7845">
      <w:r w:rsidRPr="009E7845">
        <w:t xml:space="preserve">Table </w:t>
      </w:r>
      <w:r w:rsidR="005E63A9">
        <w:t>5</w:t>
      </w:r>
      <w:r w:rsidRPr="009E7845">
        <w:t xml:space="preserve"> shows relative exposure.</w:t>
      </w:r>
    </w:p>
    <w:p w:rsidR="009E7845" w:rsidRDefault="009E7845" w:rsidP="009E7845">
      <w:pPr>
        <w:pStyle w:val="TableTitle"/>
      </w:pPr>
      <w:proofErr w:type="gramStart"/>
      <w:r>
        <w:t xml:space="preserve">Table </w:t>
      </w:r>
      <w:r w:rsidR="005E63A9">
        <w:t>5</w:t>
      </w:r>
      <w:r>
        <w:t>.</w:t>
      </w:r>
      <w:proofErr w:type="gramEnd"/>
      <w:r>
        <w:t xml:space="preserve"> </w:t>
      </w:r>
      <w:proofErr w:type="gramStart"/>
      <w:r w:rsidRPr="00EB69F1">
        <w:t>Relative exposure in repeat-dose toxicity and carcinogenicity studies</w:t>
      </w:r>
      <w:r>
        <w:t>.</w:t>
      </w:r>
      <w:proofErr w:type="gramEnd"/>
    </w:p>
    <w:tbl>
      <w:tblPr>
        <w:tblStyle w:val="TableTGAblue"/>
        <w:tblW w:w="8472" w:type="dxa"/>
        <w:tblLayout w:type="fixed"/>
        <w:tblLook w:val="01E0" w:firstRow="1" w:lastRow="1" w:firstColumn="1" w:lastColumn="1" w:noHBand="0" w:noVBand="0"/>
      </w:tblPr>
      <w:tblGrid>
        <w:gridCol w:w="1384"/>
        <w:gridCol w:w="2693"/>
        <w:gridCol w:w="1843"/>
        <w:gridCol w:w="1276"/>
        <w:gridCol w:w="1276"/>
      </w:tblGrid>
      <w:tr w:rsidR="00337AC7" w:rsidRPr="00EB69F1" w:rsidTr="00AE0F54">
        <w:trPr>
          <w:cnfStyle w:val="100000000000" w:firstRow="1" w:lastRow="0" w:firstColumn="0" w:lastColumn="0" w:oddVBand="0" w:evenVBand="0" w:oddHBand="0" w:evenHBand="0" w:firstRowFirstColumn="0" w:firstRowLastColumn="0" w:lastRowFirstColumn="0" w:lastRowLastColumn="0"/>
        </w:trPr>
        <w:tc>
          <w:tcPr>
            <w:tcW w:w="1384" w:type="dxa"/>
          </w:tcPr>
          <w:p w:rsidR="00337AC7" w:rsidRPr="00592871" w:rsidRDefault="00337AC7" w:rsidP="00AE0F54">
            <w:pPr>
              <w:ind w:left="0"/>
            </w:pPr>
            <w:r w:rsidRPr="00592871">
              <w:t>Species</w:t>
            </w:r>
          </w:p>
        </w:tc>
        <w:tc>
          <w:tcPr>
            <w:tcW w:w="2693" w:type="dxa"/>
          </w:tcPr>
          <w:p w:rsidR="00337AC7" w:rsidRPr="00592871" w:rsidRDefault="00337AC7" w:rsidP="00AE0F54">
            <w:pPr>
              <w:ind w:left="0"/>
            </w:pPr>
            <w:r w:rsidRPr="00592871">
              <w:t>Study</w:t>
            </w:r>
          </w:p>
        </w:tc>
        <w:tc>
          <w:tcPr>
            <w:tcW w:w="1843" w:type="dxa"/>
          </w:tcPr>
          <w:p w:rsidR="00337AC7" w:rsidRPr="00592871" w:rsidRDefault="00337AC7" w:rsidP="00AE0F54">
            <w:pPr>
              <w:ind w:left="34"/>
            </w:pPr>
            <w:r w:rsidRPr="00592871">
              <w:t>Dose</w:t>
            </w:r>
            <w:r w:rsidR="00AE0F54">
              <w:t xml:space="preserve"> </w:t>
            </w:r>
            <w:r w:rsidRPr="00592871">
              <w:t>(mg/kg/day)</w:t>
            </w:r>
          </w:p>
        </w:tc>
        <w:tc>
          <w:tcPr>
            <w:tcW w:w="1276" w:type="dxa"/>
          </w:tcPr>
          <w:p w:rsidR="00337AC7" w:rsidRPr="00592871" w:rsidRDefault="00337AC7" w:rsidP="00AE0F54">
            <w:pPr>
              <w:ind w:left="0"/>
            </w:pPr>
            <w:r w:rsidRPr="00592871">
              <w:t>Dose</w:t>
            </w:r>
            <w:r w:rsidR="00AE0F54">
              <w:t xml:space="preserve"> </w:t>
            </w:r>
            <w:r w:rsidRPr="00592871">
              <w:t>(mg/m</w:t>
            </w:r>
            <w:r w:rsidRPr="00592871">
              <w:rPr>
                <w:vertAlign w:val="superscript"/>
              </w:rPr>
              <w:t>2</w:t>
            </w:r>
            <w:r w:rsidRPr="00592871">
              <w:t>)</w:t>
            </w:r>
          </w:p>
        </w:tc>
        <w:tc>
          <w:tcPr>
            <w:tcW w:w="1276" w:type="dxa"/>
          </w:tcPr>
          <w:p w:rsidR="00337AC7" w:rsidRPr="00592871" w:rsidRDefault="009E7845" w:rsidP="00AE0F54">
            <w:r w:rsidRPr="00592871">
              <w:t>ER</w:t>
            </w:r>
            <w:r w:rsidR="00337AC7" w:rsidRPr="00592871">
              <w:rPr>
                <w:vertAlign w:val="superscript"/>
              </w:rPr>
              <w:t>#</w:t>
            </w:r>
          </w:p>
        </w:tc>
      </w:tr>
      <w:tr w:rsidR="00337AC7" w:rsidRPr="00EB69F1" w:rsidTr="00AE0F54">
        <w:trPr>
          <w:trHeight w:val="227"/>
        </w:trPr>
        <w:tc>
          <w:tcPr>
            <w:tcW w:w="1384" w:type="dxa"/>
            <w:vMerge w:val="restart"/>
          </w:tcPr>
          <w:p w:rsidR="00337AC7" w:rsidRPr="00592871" w:rsidRDefault="00337AC7" w:rsidP="00AE0F54">
            <w:pPr>
              <w:ind w:left="0"/>
            </w:pPr>
            <w:r w:rsidRPr="00592871">
              <w:t>Rat</w:t>
            </w:r>
            <w:r w:rsidR="00AE0F54">
              <w:t xml:space="preserve"> </w:t>
            </w:r>
            <w:r w:rsidRPr="00592871">
              <w:t>(SD)</w:t>
            </w:r>
          </w:p>
        </w:tc>
        <w:tc>
          <w:tcPr>
            <w:tcW w:w="2693" w:type="dxa"/>
            <w:vMerge w:val="restart"/>
          </w:tcPr>
          <w:p w:rsidR="00337AC7" w:rsidRPr="00592871" w:rsidRDefault="00337AC7" w:rsidP="00AE0F54">
            <w:pPr>
              <w:ind w:left="0"/>
            </w:pPr>
            <w:proofErr w:type="spellStart"/>
            <w:r w:rsidRPr="00592871">
              <w:t>Embryof</w:t>
            </w:r>
            <w:r w:rsidR="00592871" w:rsidRPr="00592871">
              <w:t>o</w:t>
            </w:r>
            <w:r w:rsidRPr="00592871">
              <w:t>etal</w:t>
            </w:r>
            <w:proofErr w:type="spellEnd"/>
            <w:r w:rsidRPr="00592871">
              <w:t xml:space="preserve"> development</w:t>
            </w:r>
            <w:r w:rsidR="00AE0F54">
              <w:t xml:space="preserve"> </w:t>
            </w:r>
            <w:r w:rsidR="00AE0F54">
              <w:br/>
            </w:r>
            <w:r w:rsidRPr="00592871">
              <w:t>[Study S05152]</w:t>
            </w:r>
          </w:p>
        </w:tc>
        <w:tc>
          <w:tcPr>
            <w:tcW w:w="1843" w:type="dxa"/>
          </w:tcPr>
          <w:p w:rsidR="00337AC7" w:rsidRPr="00592871" w:rsidRDefault="00337AC7" w:rsidP="00AE0F54">
            <w:pPr>
              <w:ind w:left="34"/>
            </w:pPr>
            <w:r w:rsidRPr="00592871">
              <w:t>0.1</w:t>
            </w:r>
          </w:p>
        </w:tc>
        <w:tc>
          <w:tcPr>
            <w:tcW w:w="1276" w:type="dxa"/>
          </w:tcPr>
          <w:p w:rsidR="00337AC7" w:rsidRPr="00592871" w:rsidRDefault="00337AC7" w:rsidP="00AE0F54">
            <w:pPr>
              <w:ind w:left="0"/>
            </w:pPr>
            <w:r w:rsidRPr="00592871">
              <w:t>0.6</w:t>
            </w:r>
          </w:p>
        </w:tc>
        <w:tc>
          <w:tcPr>
            <w:tcW w:w="1276" w:type="dxa"/>
          </w:tcPr>
          <w:p w:rsidR="00337AC7" w:rsidRPr="00592871" w:rsidRDefault="00337AC7" w:rsidP="00AE0F54">
            <w:r w:rsidRPr="00592871">
              <w:rPr>
                <w:rFonts w:hint="eastAsia"/>
              </w:rPr>
              <w:t>0.03</w:t>
            </w:r>
          </w:p>
        </w:tc>
      </w:tr>
      <w:tr w:rsidR="00337AC7" w:rsidRPr="00EB69F1" w:rsidTr="00AE0F54">
        <w:trPr>
          <w:trHeight w:val="227"/>
        </w:trPr>
        <w:tc>
          <w:tcPr>
            <w:tcW w:w="1384" w:type="dxa"/>
            <w:vMerge/>
          </w:tcPr>
          <w:p w:rsidR="00337AC7" w:rsidRPr="00592871" w:rsidRDefault="00337AC7" w:rsidP="00AE0F54">
            <w:pPr>
              <w:ind w:left="0"/>
            </w:pPr>
          </w:p>
        </w:tc>
        <w:tc>
          <w:tcPr>
            <w:tcW w:w="2693" w:type="dxa"/>
            <w:vMerge/>
          </w:tcPr>
          <w:p w:rsidR="00337AC7" w:rsidRPr="00592871" w:rsidRDefault="00337AC7" w:rsidP="00AE0F54">
            <w:pPr>
              <w:ind w:left="0"/>
            </w:pPr>
          </w:p>
        </w:tc>
        <w:tc>
          <w:tcPr>
            <w:tcW w:w="1843" w:type="dxa"/>
          </w:tcPr>
          <w:p w:rsidR="00337AC7" w:rsidRPr="00592871" w:rsidRDefault="00337AC7" w:rsidP="00AE0F54">
            <w:pPr>
              <w:ind w:left="34"/>
            </w:pPr>
            <w:r w:rsidRPr="00592871">
              <w:t>0.3</w:t>
            </w:r>
          </w:p>
        </w:tc>
        <w:tc>
          <w:tcPr>
            <w:tcW w:w="1276" w:type="dxa"/>
          </w:tcPr>
          <w:p w:rsidR="00337AC7" w:rsidRPr="00592871" w:rsidRDefault="00337AC7" w:rsidP="00AE0F54">
            <w:pPr>
              <w:ind w:left="0"/>
            </w:pPr>
            <w:r w:rsidRPr="00592871">
              <w:t>1.8</w:t>
            </w:r>
          </w:p>
        </w:tc>
        <w:tc>
          <w:tcPr>
            <w:tcW w:w="1276" w:type="dxa"/>
          </w:tcPr>
          <w:p w:rsidR="00337AC7" w:rsidRPr="00592871" w:rsidRDefault="00337AC7" w:rsidP="00AE0F54">
            <w:r w:rsidRPr="00592871">
              <w:rPr>
                <w:rFonts w:hint="eastAsia"/>
              </w:rPr>
              <w:t>0.09</w:t>
            </w:r>
          </w:p>
        </w:tc>
      </w:tr>
      <w:tr w:rsidR="00337AC7" w:rsidRPr="00EB69F1" w:rsidTr="00AE0F54">
        <w:trPr>
          <w:trHeight w:val="227"/>
        </w:trPr>
        <w:tc>
          <w:tcPr>
            <w:tcW w:w="1384" w:type="dxa"/>
            <w:vMerge/>
          </w:tcPr>
          <w:p w:rsidR="00337AC7" w:rsidRPr="00592871" w:rsidRDefault="00337AC7" w:rsidP="00AE0F54">
            <w:pPr>
              <w:ind w:left="0"/>
            </w:pPr>
          </w:p>
        </w:tc>
        <w:tc>
          <w:tcPr>
            <w:tcW w:w="2693" w:type="dxa"/>
            <w:vMerge/>
          </w:tcPr>
          <w:p w:rsidR="00337AC7" w:rsidRPr="00592871" w:rsidRDefault="00337AC7" w:rsidP="00AE0F54">
            <w:pPr>
              <w:ind w:left="0"/>
            </w:pPr>
          </w:p>
        </w:tc>
        <w:tc>
          <w:tcPr>
            <w:tcW w:w="1843" w:type="dxa"/>
          </w:tcPr>
          <w:p w:rsidR="00337AC7" w:rsidRPr="00592871" w:rsidRDefault="00337AC7" w:rsidP="00AE0F54">
            <w:pPr>
              <w:ind w:left="34"/>
            </w:pPr>
            <w:r w:rsidRPr="00592871">
              <w:t>1</w:t>
            </w:r>
          </w:p>
        </w:tc>
        <w:tc>
          <w:tcPr>
            <w:tcW w:w="1276" w:type="dxa"/>
          </w:tcPr>
          <w:p w:rsidR="00337AC7" w:rsidRPr="00592871" w:rsidRDefault="00337AC7" w:rsidP="00AE0F54">
            <w:pPr>
              <w:ind w:left="0"/>
            </w:pPr>
            <w:r w:rsidRPr="00592871">
              <w:t>6.0</w:t>
            </w:r>
          </w:p>
        </w:tc>
        <w:tc>
          <w:tcPr>
            <w:tcW w:w="1276" w:type="dxa"/>
          </w:tcPr>
          <w:p w:rsidR="00337AC7" w:rsidRPr="00592871" w:rsidRDefault="00337AC7" w:rsidP="00AE0F54">
            <w:r w:rsidRPr="00592871">
              <w:rPr>
                <w:rFonts w:hint="eastAsia"/>
              </w:rPr>
              <w:t>0.3</w:t>
            </w:r>
          </w:p>
        </w:tc>
      </w:tr>
      <w:tr w:rsidR="00337AC7" w:rsidRPr="00EB69F1" w:rsidTr="00AE0F54">
        <w:trPr>
          <w:trHeight w:val="227"/>
        </w:trPr>
        <w:tc>
          <w:tcPr>
            <w:tcW w:w="1384" w:type="dxa"/>
            <w:vMerge w:val="restart"/>
          </w:tcPr>
          <w:p w:rsidR="00337AC7" w:rsidRPr="00592871" w:rsidRDefault="00337AC7" w:rsidP="00AE0F54">
            <w:pPr>
              <w:ind w:left="0"/>
            </w:pPr>
            <w:r w:rsidRPr="00592871">
              <w:t>Rabbit</w:t>
            </w:r>
            <w:r w:rsidR="00AE0F54">
              <w:t xml:space="preserve"> </w:t>
            </w:r>
            <w:r w:rsidRPr="00592871">
              <w:t>(NZW)</w:t>
            </w:r>
          </w:p>
        </w:tc>
        <w:tc>
          <w:tcPr>
            <w:tcW w:w="2693" w:type="dxa"/>
            <w:vMerge w:val="restart"/>
          </w:tcPr>
          <w:p w:rsidR="00337AC7" w:rsidRPr="00592871" w:rsidRDefault="00337AC7" w:rsidP="00AE0F54">
            <w:pPr>
              <w:ind w:left="0"/>
            </w:pPr>
            <w:r w:rsidRPr="00592871">
              <w:t>Embryof</w:t>
            </w:r>
            <w:r w:rsidR="00592871" w:rsidRPr="00592871">
              <w:t>o</w:t>
            </w:r>
            <w:r w:rsidRPr="00592871">
              <w:t>etal development</w:t>
            </w:r>
            <w:r w:rsidRPr="00592871">
              <w:br/>
              <w:t>[Study S06009]</w:t>
            </w:r>
          </w:p>
        </w:tc>
        <w:tc>
          <w:tcPr>
            <w:tcW w:w="1843" w:type="dxa"/>
          </w:tcPr>
          <w:p w:rsidR="00337AC7" w:rsidRPr="00592871" w:rsidRDefault="00337AC7" w:rsidP="00AE0F54">
            <w:pPr>
              <w:ind w:left="34"/>
            </w:pPr>
            <w:r w:rsidRPr="00592871">
              <w:t>0.03</w:t>
            </w:r>
          </w:p>
        </w:tc>
        <w:tc>
          <w:tcPr>
            <w:tcW w:w="1276" w:type="dxa"/>
          </w:tcPr>
          <w:p w:rsidR="00337AC7" w:rsidRPr="00592871" w:rsidRDefault="00337AC7" w:rsidP="00AE0F54">
            <w:pPr>
              <w:ind w:left="0"/>
            </w:pPr>
            <w:r w:rsidRPr="00592871">
              <w:t>0.4</w:t>
            </w:r>
          </w:p>
        </w:tc>
        <w:tc>
          <w:tcPr>
            <w:tcW w:w="1276" w:type="dxa"/>
          </w:tcPr>
          <w:p w:rsidR="00337AC7" w:rsidRPr="00592871" w:rsidRDefault="00337AC7" w:rsidP="00AE0F54">
            <w:r w:rsidRPr="00592871">
              <w:t>0.02</w:t>
            </w:r>
          </w:p>
        </w:tc>
      </w:tr>
      <w:tr w:rsidR="00337AC7" w:rsidRPr="00EB69F1" w:rsidTr="00AE0F54">
        <w:trPr>
          <w:trHeight w:val="227"/>
        </w:trPr>
        <w:tc>
          <w:tcPr>
            <w:tcW w:w="1384" w:type="dxa"/>
            <w:vMerge/>
          </w:tcPr>
          <w:p w:rsidR="00337AC7" w:rsidRPr="00592871" w:rsidRDefault="00337AC7" w:rsidP="00AE0F54">
            <w:pPr>
              <w:ind w:left="0"/>
            </w:pPr>
          </w:p>
        </w:tc>
        <w:tc>
          <w:tcPr>
            <w:tcW w:w="2693" w:type="dxa"/>
            <w:vMerge/>
          </w:tcPr>
          <w:p w:rsidR="00337AC7" w:rsidRPr="00592871" w:rsidRDefault="00337AC7" w:rsidP="00AE0F54">
            <w:pPr>
              <w:ind w:left="0"/>
            </w:pPr>
          </w:p>
        </w:tc>
        <w:tc>
          <w:tcPr>
            <w:tcW w:w="1843" w:type="dxa"/>
          </w:tcPr>
          <w:p w:rsidR="00337AC7" w:rsidRPr="00592871" w:rsidRDefault="00337AC7" w:rsidP="00AE0F54">
            <w:pPr>
              <w:ind w:left="34"/>
            </w:pPr>
            <w:r w:rsidRPr="00592871">
              <w:t>0.1</w:t>
            </w:r>
          </w:p>
        </w:tc>
        <w:tc>
          <w:tcPr>
            <w:tcW w:w="1276" w:type="dxa"/>
          </w:tcPr>
          <w:p w:rsidR="00337AC7" w:rsidRPr="00592871" w:rsidRDefault="00337AC7" w:rsidP="00AE0F54">
            <w:pPr>
              <w:ind w:left="0"/>
            </w:pPr>
            <w:r w:rsidRPr="00592871">
              <w:t>1.2</w:t>
            </w:r>
          </w:p>
        </w:tc>
        <w:tc>
          <w:tcPr>
            <w:tcW w:w="1276" w:type="dxa"/>
          </w:tcPr>
          <w:p w:rsidR="00337AC7" w:rsidRPr="00592871" w:rsidRDefault="00337AC7" w:rsidP="00AE0F54">
            <w:r w:rsidRPr="00592871">
              <w:t>0.06</w:t>
            </w:r>
          </w:p>
        </w:tc>
      </w:tr>
      <w:tr w:rsidR="00337AC7" w:rsidRPr="00EB69F1" w:rsidTr="00AE0F54">
        <w:trPr>
          <w:trHeight w:val="227"/>
        </w:trPr>
        <w:tc>
          <w:tcPr>
            <w:tcW w:w="1384" w:type="dxa"/>
            <w:vMerge/>
          </w:tcPr>
          <w:p w:rsidR="00337AC7" w:rsidRPr="00592871" w:rsidRDefault="00337AC7" w:rsidP="00AE0F54">
            <w:pPr>
              <w:ind w:left="0"/>
            </w:pPr>
          </w:p>
        </w:tc>
        <w:tc>
          <w:tcPr>
            <w:tcW w:w="2693" w:type="dxa"/>
            <w:vMerge/>
          </w:tcPr>
          <w:p w:rsidR="00337AC7" w:rsidRPr="00592871" w:rsidRDefault="00337AC7" w:rsidP="00AE0F54">
            <w:pPr>
              <w:ind w:left="0"/>
            </w:pPr>
          </w:p>
        </w:tc>
        <w:tc>
          <w:tcPr>
            <w:tcW w:w="1843" w:type="dxa"/>
          </w:tcPr>
          <w:p w:rsidR="00337AC7" w:rsidRPr="00592871" w:rsidRDefault="00337AC7" w:rsidP="00AE0F54">
            <w:pPr>
              <w:ind w:left="34"/>
            </w:pPr>
            <w:r w:rsidRPr="00592871">
              <w:t>0.5</w:t>
            </w:r>
          </w:p>
        </w:tc>
        <w:tc>
          <w:tcPr>
            <w:tcW w:w="1276" w:type="dxa"/>
          </w:tcPr>
          <w:p w:rsidR="00337AC7" w:rsidRPr="00592871" w:rsidRDefault="00337AC7" w:rsidP="00AE0F54">
            <w:pPr>
              <w:ind w:left="0"/>
            </w:pPr>
            <w:r w:rsidRPr="00592871">
              <w:t>6.0</w:t>
            </w:r>
          </w:p>
        </w:tc>
        <w:tc>
          <w:tcPr>
            <w:tcW w:w="1276" w:type="dxa"/>
          </w:tcPr>
          <w:p w:rsidR="00337AC7" w:rsidRPr="00592871" w:rsidRDefault="00337AC7" w:rsidP="00AE0F54">
            <w:r w:rsidRPr="00592871">
              <w:t>0.3</w:t>
            </w:r>
          </w:p>
        </w:tc>
      </w:tr>
      <w:tr w:rsidR="00337AC7" w:rsidRPr="00EB69F1" w:rsidTr="00AE0F54">
        <w:trPr>
          <w:trHeight w:val="227"/>
        </w:trPr>
        <w:tc>
          <w:tcPr>
            <w:tcW w:w="1384" w:type="dxa"/>
          </w:tcPr>
          <w:p w:rsidR="00337AC7" w:rsidRPr="00592871" w:rsidRDefault="00337AC7" w:rsidP="00AE0F54">
            <w:pPr>
              <w:ind w:left="0"/>
              <w:rPr>
                <w:kern w:val="2"/>
              </w:rPr>
            </w:pPr>
            <w:r w:rsidRPr="00592871">
              <w:rPr>
                <w:kern w:val="2"/>
              </w:rPr>
              <w:t>Human</w:t>
            </w:r>
            <w:r w:rsidR="00AE0F54">
              <w:rPr>
                <w:kern w:val="2"/>
              </w:rPr>
              <w:t xml:space="preserve"> </w:t>
            </w:r>
            <w:r w:rsidRPr="00592871">
              <w:rPr>
                <w:kern w:val="2"/>
              </w:rPr>
              <w:t>(patients)</w:t>
            </w:r>
          </w:p>
        </w:tc>
        <w:tc>
          <w:tcPr>
            <w:tcW w:w="2693" w:type="dxa"/>
          </w:tcPr>
          <w:p w:rsidR="00337AC7" w:rsidRPr="00592871" w:rsidRDefault="00337AC7" w:rsidP="00AE0F54">
            <w:pPr>
              <w:ind w:left="0"/>
              <w:rPr>
                <w:kern w:val="2"/>
              </w:rPr>
            </w:pPr>
            <w:r w:rsidRPr="00592871">
              <w:rPr>
                <w:kern w:val="2"/>
              </w:rPr>
              <w:t>steady state</w:t>
            </w:r>
            <w:r w:rsidRPr="00592871">
              <w:rPr>
                <w:kern w:val="2"/>
              </w:rPr>
              <w:br/>
            </w:r>
            <w:r w:rsidRPr="00592871">
              <w:t>[Study E7080-J081-105]</w:t>
            </w:r>
          </w:p>
        </w:tc>
        <w:tc>
          <w:tcPr>
            <w:tcW w:w="1843" w:type="dxa"/>
          </w:tcPr>
          <w:p w:rsidR="00337AC7" w:rsidRPr="00592871" w:rsidRDefault="00337AC7" w:rsidP="00AE0F54">
            <w:pPr>
              <w:ind w:left="34"/>
              <w:rPr>
                <w:kern w:val="2"/>
              </w:rPr>
            </w:pPr>
            <w:r w:rsidRPr="00592871">
              <w:rPr>
                <w:kern w:val="2"/>
              </w:rPr>
              <w:t>24 mg</w:t>
            </w:r>
          </w:p>
        </w:tc>
        <w:tc>
          <w:tcPr>
            <w:tcW w:w="1276" w:type="dxa"/>
          </w:tcPr>
          <w:p w:rsidR="00337AC7" w:rsidRPr="00592871" w:rsidRDefault="00337AC7" w:rsidP="00AE0F54">
            <w:pPr>
              <w:ind w:left="0"/>
              <w:rPr>
                <w:rFonts w:eastAsiaTheme="minorEastAsia"/>
                <w:kern w:val="2"/>
                <w:lang w:eastAsia="zh-CN"/>
              </w:rPr>
            </w:pPr>
            <w:r w:rsidRPr="00592871">
              <w:rPr>
                <w:rFonts w:eastAsiaTheme="minorEastAsia" w:hint="eastAsia"/>
                <w:kern w:val="2"/>
                <w:lang w:eastAsia="zh-CN"/>
              </w:rPr>
              <w:t>19.4*</w:t>
            </w:r>
          </w:p>
        </w:tc>
        <w:tc>
          <w:tcPr>
            <w:tcW w:w="1276" w:type="dxa"/>
          </w:tcPr>
          <w:p w:rsidR="00337AC7" w:rsidRPr="00592871" w:rsidRDefault="00337AC7" w:rsidP="00AE0F54">
            <w:pPr>
              <w:rPr>
                <w:kern w:val="2"/>
              </w:rPr>
            </w:pPr>
            <w:r w:rsidRPr="00592871">
              <w:rPr>
                <w:kern w:val="2"/>
              </w:rPr>
              <w:t>–</w:t>
            </w:r>
          </w:p>
        </w:tc>
      </w:tr>
    </w:tbl>
    <w:p w:rsidR="00337AC7" w:rsidRPr="00B76CAA" w:rsidRDefault="00337AC7" w:rsidP="009E7845">
      <w:pPr>
        <w:pStyle w:val="TableDescription"/>
      </w:pPr>
      <w:r w:rsidRPr="00EB69F1">
        <w:rPr>
          <w:position w:val="-2"/>
          <w:vertAlign w:val="superscript"/>
        </w:rPr>
        <w:t>#</w:t>
      </w:r>
      <w:r w:rsidRPr="00EB69F1">
        <w:t xml:space="preserve"> </w:t>
      </w:r>
      <w:r>
        <w:t xml:space="preserve">based on body surface area as </w:t>
      </w:r>
      <w:proofErr w:type="spellStart"/>
      <w:r>
        <w:t>toxicokinetic</w:t>
      </w:r>
      <w:proofErr w:type="spellEnd"/>
      <w:r>
        <w:t xml:space="preserve"> dat</w:t>
      </w:r>
      <w:r>
        <w:rPr>
          <w:rFonts w:eastAsiaTheme="minorEastAsia" w:hint="eastAsia"/>
          <w:lang w:eastAsia="zh-CN"/>
        </w:rPr>
        <w:t>a</w:t>
      </w:r>
      <w:r>
        <w:t xml:space="preserve"> were not collected</w:t>
      </w:r>
      <w:r>
        <w:rPr>
          <w:rFonts w:eastAsiaTheme="minorEastAsia" w:hint="eastAsia"/>
          <w:lang w:eastAsia="zh-CN"/>
        </w:rPr>
        <w:t xml:space="preserve">; * </w:t>
      </w:r>
      <w:r>
        <w:rPr>
          <w:rFonts w:eastAsiaTheme="minorEastAsia"/>
          <w:lang w:eastAsia="zh-CN"/>
        </w:rPr>
        <w:t>D</w:t>
      </w:r>
      <w:r>
        <w:rPr>
          <w:rFonts w:eastAsiaTheme="minorEastAsia" w:hint="eastAsia"/>
          <w:lang w:eastAsia="zh-CN"/>
        </w:rPr>
        <w:t>ose converted to mesilate salt.</w:t>
      </w:r>
    </w:p>
    <w:p w:rsidR="00337AC7" w:rsidRPr="00592871" w:rsidRDefault="00337AC7" w:rsidP="00592871">
      <w:r w:rsidRPr="00592871">
        <w:lastRenderedPageBreak/>
        <w:t xml:space="preserve">Placental transfer of lenvatinib was very low following a single 3 mg/kg PO dose of lenvatinib on GD13 or GD18. The ratio of maternal plasma: tissue at the approximate </w:t>
      </w:r>
      <w:proofErr w:type="spellStart"/>
      <w:r w:rsidRPr="00592871">
        <w:t>Tmax</w:t>
      </w:r>
      <w:proofErr w:type="spellEnd"/>
      <w:r w:rsidRPr="00592871">
        <w:t xml:space="preserve"> (0.5h) was ≤0.04 in f</w:t>
      </w:r>
      <w:r w:rsidR="00592871" w:rsidRPr="00592871">
        <w:t>o</w:t>
      </w:r>
      <w:r w:rsidRPr="00592871">
        <w:t xml:space="preserve">etal plasma and tissues, with the highest level observed in </w:t>
      </w:r>
      <w:proofErr w:type="spellStart"/>
      <w:r w:rsidRPr="00592871">
        <w:t>fetal</w:t>
      </w:r>
      <w:proofErr w:type="spellEnd"/>
      <w:r w:rsidRPr="00592871">
        <w:t xml:space="preserve"> liver. Lenvatinib was excreted in the milk of lactating SD rats following a single 3 mg/kg PO dose on LD 9. The milk to plasma ratio was ~2 based on AUC.</w:t>
      </w:r>
    </w:p>
    <w:p w:rsidR="00337AC7" w:rsidRPr="00592871" w:rsidRDefault="00337AC7" w:rsidP="00592871">
      <w:r w:rsidRPr="00592871">
        <w:t>Fertility studies were not conducted. However, lenvatinib administration was associated with lesions in male and female reproductive organs in the repeat dose studies. It is expected that female fertility would be impaired by lenvatinib treatment based on decreased menstruation and follicular atresia observed in monkeys at clinically relevant doses (ER 0.</w:t>
      </w:r>
      <w:r w:rsidRPr="00592871">
        <w:rPr>
          <w:rFonts w:hint="eastAsia"/>
        </w:rPr>
        <w:t>6</w:t>
      </w:r>
      <w:r w:rsidR="006461FE">
        <w:t>x</w:t>
      </w:r>
      <w:r w:rsidRPr="00592871">
        <w:t>). Angiogenesis mediated by VEGF is critical for the development and function of the corpus luteum.</w:t>
      </w:r>
      <w:r w:rsidR="00592871">
        <w:rPr>
          <w:rStyle w:val="FootnoteReference"/>
        </w:rPr>
        <w:footnoteReference w:id="24"/>
      </w:r>
      <w:r w:rsidRPr="00592871">
        <w:t xml:space="preserve"> Therefore, impaired female fertility is an expected effect of VEGF inhibition. Adverse effects in testes were observed in rats and dogs at exposures ≥14</w:t>
      </w:r>
      <w:r w:rsidR="00856366">
        <w:t>x</w:t>
      </w:r>
      <w:r w:rsidRPr="00592871">
        <w:t xml:space="preserve"> that expected at the </w:t>
      </w:r>
      <w:r w:rsidR="006461FE" w:rsidRPr="006461FE">
        <w:t xml:space="preserve">Maximum Recommended Human Dose </w:t>
      </w:r>
      <w:r w:rsidR="006461FE">
        <w:t>(</w:t>
      </w:r>
      <w:r w:rsidRPr="00592871">
        <w:t>MRHD</w:t>
      </w:r>
      <w:r w:rsidR="006461FE">
        <w:t>)</w:t>
      </w:r>
      <w:r w:rsidRPr="00592871">
        <w:t>. Impaired male fertility is also a plausible effect of VEGF inhibition based on its functional role in the testes.</w:t>
      </w:r>
      <w:r w:rsidR="00592871">
        <w:rPr>
          <w:rStyle w:val="FootnoteReference"/>
        </w:rPr>
        <w:footnoteReference w:id="25"/>
      </w:r>
    </w:p>
    <w:p w:rsidR="00337AC7" w:rsidRPr="00E65D6D" w:rsidRDefault="00337AC7" w:rsidP="00E65D6D">
      <w:r w:rsidRPr="00E65D6D">
        <w:t xml:space="preserve">Lenvatinib administration during organogenesis caused increased early resorptions at doses ≥1 mg/kg/day PO in rats and ≥0.5 mg/kg/day PO in rabbits (relative exposure ≤0.3× based on BSA). Total litter loss occurred at higher doses. Abortions were also induced in rabbits at doses ≥0.5 mg/kg/day (relative exposure </w:t>
      </w:r>
      <w:proofErr w:type="gramStart"/>
      <w:r w:rsidRPr="00E65D6D">
        <w:t>0.3</w:t>
      </w:r>
      <w:r w:rsidR="00856366">
        <w:t>x</w:t>
      </w:r>
      <w:proofErr w:type="gramEnd"/>
      <w:r w:rsidRPr="00E65D6D">
        <w:t>). F</w:t>
      </w:r>
      <w:r w:rsidR="00856366">
        <w:t>o</w:t>
      </w:r>
      <w:r w:rsidRPr="00E65D6D">
        <w:t>etal malformations were observed at doses of ≥0.1 mg/kg/day in rats and rabbits (relative exposure &lt;0.1× for both species). In rats, external malformations (</w:t>
      </w:r>
      <w:r w:rsidRPr="00E65D6D">
        <w:rPr>
          <w:rFonts w:hint="eastAsia"/>
        </w:rPr>
        <w:t xml:space="preserve">parietal oedema, </w:t>
      </w:r>
      <w:proofErr w:type="spellStart"/>
      <w:r w:rsidRPr="00E65D6D">
        <w:t>cryptophthalmia</w:t>
      </w:r>
      <w:proofErr w:type="spellEnd"/>
      <w:r w:rsidRPr="00E65D6D">
        <w:t xml:space="preserve"> and missing, bent, kinked or short tail), visceral malformations (</w:t>
      </w:r>
      <w:proofErr w:type="spellStart"/>
      <w:r w:rsidRPr="00E65D6D">
        <w:t>retroesophageal</w:t>
      </w:r>
      <w:proofErr w:type="spellEnd"/>
      <w:r w:rsidRPr="00E65D6D">
        <w:t xml:space="preserve"> subclavian artery) and skeletal malformations (discontinuous rib cartilage, </w:t>
      </w:r>
      <w:proofErr w:type="spellStart"/>
      <w:r w:rsidRPr="00E65D6D">
        <w:t>hemicentric</w:t>
      </w:r>
      <w:proofErr w:type="spellEnd"/>
      <w:r w:rsidRPr="00E65D6D">
        <w:t xml:space="preserve"> and/or split cartilage in the thoracic centrum</w:t>
      </w:r>
      <w:r w:rsidRPr="00E65D6D">
        <w:rPr>
          <w:rFonts w:hint="eastAsia"/>
        </w:rPr>
        <w:t>/split vertebral centrum</w:t>
      </w:r>
      <w:r w:rsidRPr="00E65D6D">
        <w:t xml:space="preserve">) were observed. </w:t>
      </w:r>
      <w:r w:rsidRPr="00E65D6D">
        <w:rPr>
          <w:rFonts w:hint="eastAsia"/>
        </w:rPr>
        <w:t>M</w:t>
      </w:r>
      <w:r w:rsidRPr="00E65D6D">
        <w:t>alformations observed in rabbits</w:t>
      </w:r>
      <w:r w:rsidRPr="00E65D6D">
        <w:rPr>
          <w:rFonts w:hint="eastAsia"/>
        </w:rPr>
        <w:t xml:space="preserve"> were short tail, </w:t>
      </w:r>
      <w:proofErr w:type="spellStart"/>
      <w:r w:rsidRPr="00E65D6D">
        <w:t>retroesophageal</w:t>
      </w:r>
      <w:proofErr w:type="spellEnd"/>
      <w:r w:rsidRPr="00E65D6D">
        <w:t xml:space="preserve"> subclavian artery</w:t>
      </w:r>
      <w:r w:rsidRPr="00E65D6D">
        <w:rPr>
          <w:rFonts w:hint="eastAsia"/>
        </w:rPr>
        <w:t>, fused ribs, and vertebral anomalies (absent lumbar vertebra, fused cartilage/</w:t>
      </w:r>
      <w:proofErr w:type="spellStart"/>
      <w:r w:rsidRPr="00E65D6D">
        <w:rPr>
          <w:rFonts w:hint="eastAsia"/>
        </w:rPr>
        <w:t>hemicentric</w:t>
      </w:r>
      <w:proofErr w:type="spellEnd"/>
      <w:r w:rsidRPr="00E65D6D">
        <w:rPr>
          <w:rFonts w:hint="eastAsia"/>
        </w:rPr>
        <w:t xml:space="preserve"> thoracic centrum,</w:t>
      </w:r>
      <w:r w:rsidRPr="00E65D6D">
        <w:t xml:space="preserve"> misshapen lumbar arch</w:t>
      </w:r>
      <w:r w:rsidRPr="00E65D6D">
        <w:rPr>
          <w:rFonts w:hint="eastAsia"/>
        </w:rPr>
        <w:t>,</w:t>
      </w:r>
      <w:r w:rsidRPr="00E65D6D">
        <w:t xml:space="preserve"> and thoracic </w:t>
      </w:r>
      <w:proofErr w:type="spellStart"/>
      <w:r w:rsidRPr="00E65D6D">
        <w:t>hemivertebrae</w:t>
      </w:r>
      <w:proofErr w:type="spellEnd"/>
      <w:r w:rsidRPr="00E65D6D">
        <w:rPr>
          <w:rFonts w:hint="eastAsia"/>
        </w:rPr>
        <w:t>)</w:t>
      </w:r>
      <w:r w:rsidRPr="00E65D6D">
        <w:t>. Maternal toxicity (reduced weight gain and food intake) was observed at doses ≥1 mg/kg/day in rats and ≥0.5 mg/kg/day in rabbits.</w:t>
      </w:r>
    </w:p>
    <w:p w:rsidR="00337AC7" w:rsidRPr="00EB69F1" w:rsidRDefault="00337AC7" w:rsidP="00E65D6D">
      <w:pPr>
        <w:pStyle w:val="Heading5"/>
      </w:pPr>
      <w:r w:rsidRPr="00EB69F1">
        <w:t>Pregnancy classification</w:t>
      </w:r>
    </w:p>
    <w:p w:rsidR="00337AC7" w:rsidRPr="00E65D6D" w:rsidRDefault="00337AC7" w:rsidP="00E65D6D">
      <w:r w:rsidRPr="00E65D6D">
        <w:t>The sponsor has proposed Pregnancy Category D,</w:t>
      </w:r>
      <w:r w:rsidR="00924994">
        <w:rPr>
          <w:rStyle w:val="FootnoteReference"/>
        </w:rPr>
        <w:footnoteReference w:id="26"/>
      </w:r>
      <w:r w:rsidRPr="00E65D6D">
        <w:t xml:space="preserve"> which is appropriate based on the teratogenic and </w:t>
      </w:r>
      <w:proofErr w:type="spellStart"/>
      <w:r w:rsidRPr="00E65D6D">
        <w:t>embryof</w:t>
      </w:r>
      <w:r w:rsidR="0019641D">
        <w:t>o</w:t>
      </w:r>
      <w:r w:rsidRPr="00E65D6D">
        <w:t>etal</w:t>
      </w:r>
      <w:proofErr w:type="spellEnd"/>
      <w:r w:rsidRPr="00E65D6D">
        <w:t xml:space="preserve"> lethality observed in rats and rabbits. This category is also cons</w:t>
      </w:r>
      <w:r w:rsidR="0019641D">
        <w:t>istent with that of other multi TKIs</w:t>
      </w:r>
      <w:r w:rsidRPr="00E65D6D">
        <w:t>.</w:t>
      </w:r>
    </w:p>
    <w:p w:rsidR="00337AC7" w:rsidRDefault="00337AC7" w:rsidP="00E65D6D">
      <w:pPr>
        <w:pStyle w:val="Heading4"/>
      </w:pPr>
      <w:r w:rsidRPr="00EB69F1">
        <w:t>Impurities</w:t>
      </w:r>
    </w:p>
    <w:p w:rsidR="00337AC7" w:rsidRPr="00E65D6D" w:rsidRDefault="00337AC7" w:rsidP="00E65D6D">
      <w:r w:rsidRPr="00E65D6D">
        <w:t>The proposed specifications for impurities and/or degradants in the drug substance and product are acceptable based on ICH guidelines M7, Q3B and S9.</w:t>
      </w:r>
      <w:r w:rsidR="00C915CF">
        <w:rPr>
          <w:rStyle w:val="FootnoteReference"/>
        </w:rPr>
        <w:footnoteReference w:id="27"/>
      </w:r>
    </w:p>
    <w:p w:rsidR="00337AC7" w:rsidRDefault="00337AC7" w:rsidP="00E65D6D">
      <w:pPr>
        <w:pStyle w:val="Heading4"/>
      </w:pPr>
      <w:r>
        <w:lastRenderedPageBreak/>
        <w:t>Paediatric use</w:t>
      </w:r>
    </w:p>
    <w:p w:rsidR="00337AC7" w:rsidRPr="00E65D6D" w:rsidRDefault="00337AC7" w:rsidP="00E65D6D">
      <w:r w:rsidRPr="00E65D6D">
        <w:t xml:space="preserve">Juvenile rats were more sensitive to lenvatinib compared to adult rats, despite similar or lower systemic exposure. In one week old rats, doses of ≥1 mg/kg/day PO lenvatinib caused mortality within 2 weeks, whereas doses of ≤25 mg/kg/day PO for 2 weeks were tolerated in 3 weeks old rats. The toxicity profile was similar in juvenile rats with duodenal lesions and </w:t>
      </w:r>
      <w:r w:rsidR="009E4D7B">
        <w:t>GI</w:t>
      </w:r>
      <w:r w:rsidRPr="00E65D6D">
        <w:t xml:space="preserve"> toxicity associated with mortality, and similar lesions observed in the other target organs. When dosing was initiated at 3 weeks of age, mortality occurred more rapidly than in comparable doses given to adults (10 mg/kg/day). In addition, lenvatinib was associated with growth retardations and delayed physical and sexual development. Lenvatinib is not proposed to be used in children, but these studies demonstrate that an exacerbation of lenvatinib toxicity is likely to occur in this population. In addition, the observed effects on teeth and bones would be relevant to a paediatric population (see </w:t>
      </w:r>
      <w:r w:rsidR="00D67BF0">
        <w:t>‘</w:t>
      </w:r>
      <w:r w:rsidRPr="00E65D6D">
        <w:t>Repeat</w:t>
      </w:r>
      <w:r w:rsidR="00D67BF0">
        <w:t xml:space="preserve"> </w:t>
      </w:r>
      <w:r w:rsidRPr="00E65D6D">
        <w:t>dose toxicity</w:t>
      </w:r>
      <w:r w:rsidR="00D67BF0">
        <w:t>’</w:t>
      </w:r>
      <w:r w:rsidRPr="00E65D6D">
        <w:t xml:space="preserve"> section).</w:t>
      </w:r>
    </w:p>
    <w:p w:rsidR="00337AC7" w:rsidRDefault="00337AC7" w:rsidP="00E65D6D">
      <w:pPr>
        <w:pStyle w:val="Heading4"/>
      </w:pPr>
      <w:proofErr w:type="spellStart"/>
      <w:r w:rsidRPr="00EB69F1">
        <w:t>P</w:t>
      </w:r>
      <w:r>
        <w:t>hototoxicity</w:t>
      </w:r>
      <w:proofErr w:type="spellEnd"/>
    </w:p>
    <w:p w:rsidR="00337AC7" w:rsidRPr="00E65D6D" w:rsidRDefault="00337AC7" w:rsidP="00E65D6D">
      <w:r w:rsidRPr="00E65D6D">
        <w:t xml:space="preserve">The </w:t>
      </w:r>
      <w:proofErr w:type="spellStart"/>
      <w:r w:rsidRPr="00E65D6D">
        <w:t>phototoxicity</w:t>
      </w:r>
      <w:proofErr w:type="spellEnd"/>
      <w:r w:rsidRPr="00E65D6D">
        <w:t xml:space="preserve"> of </w:t>
      </w:r>
      <w:proofErr w:type="spellStart"/>
      <w:r w:rsidRPr="00E65D6D">
        <w:t>lenvatinib</w:t>
      </w:r>
      <w:proofErr w:type="spellEnd"/>
      <w:r w:rsidRPr="00E65D6D">
        <w:t xml:space="preserve"> was assessed in a validated in vitro assay (3T3 Neutral Red uptake). Minimal cytotoxicity was observed in the presence or absence of light at </w:t>
      </w:r>
      <w:proofErr w:type="spellStart"/>
      <w:r w:rsidRPr="00E65D6D">
        <w:t>lenvatin</w:t>
      </w:r>
      <w:r w:rsidR="00367013">
        <w:t>ib</w:t>
      </w:r>
      <w:proofErr w:type="spellEnd"/>
      <w:r w:rsidR="00367013">
        <w:t xml:space="preserve"> concentrations ≤20 </w:t>
      </w:r>
      <w:proofErr w:type="spellStart"/>
      <w:r w:rsidR="00367013">
        <w:t>μg</w:t>
      </w:r>
      <w:proofErr w:type="spellEnd"/>
      <w:r w:rsidR="00367013">
        <w:t>/mL (32x</w:t>
      </w:r>
      <w:r w:rsidRPr="00E65D6D">
        <w:t xml:space="preserve"> clinical </w:t>
      </w:r>
      <w:r w:rsidRPr="00741B2E">
        <w:t xml:space="preserve">total </w:t>
      </w:r>
      <w:proofErr w:type="spellStart"/>
      <w:r w:rsidRPr="00741B2E">
        <w:t>Cmax</w:t>
      </w:r>
      <w:proofErr w:type="spellEnd"/>
      <w:r w:rsidR="00367013" w:rsidRPr="00741B2E">
        <w:t>, and 1854x</w:t>
      </w:r>
      <w:r w:rsidRPr="00741B2E">
        <w:t xml:space="preserve"> unbound </w:t>
      </w:r>
      <w:proofErr w:type="spellStart"/>
      <w:r w:rsidRPr="00741B2E">
        <w:t>Cmax</w:t>
      </w:r>
      <w:proofErr w:type="spellEnd"/>
      <w:r w:rsidRPr="00741B2E">
        <w:t>).</w:t>
      </w:r>
      <w:r w:rsidRPr="00E65D6D">
        <w:t xml:space="preserve"> No further testing for </w:t>
      </w:r>
      <w:proofErr w:type="spellStart"/>
      <w:r w:rsidRPr="00E65D6D">
        <w:t>phototoxicity</w:t>
      </w:r>
      <w:proofErr w:type="spellEnd"/>
      <w:r w:rsidRPr="00E65D6D">
        <w:t xml:space="preserve"> was performed which is consistent with ICH guidance</w:t>
      </w:r>
      <w:r w:rsidR="00BB525F">
        <w:t>.</w:t>
      </w:r>
      <w:r w:rsidR="00BB525F">
        <w:rPr>
          <w:rStyle w:val="FootnoteReference"/>
        </w:rPr>
        <w:footnoteReference w:id="28"/>
      </w:r>
    </w:p>
    <w:p w:rsidR="008E7846" w:rsidRDefault="008E7846" w:rsidP="008E7846">
      <w:pPr>
        <w:pStyle w:val="Heading3"/>
      </w:pPr>
      <w:bookmarkStart w:id="66" w:name="_Toc247691515"/>
      <w:bookmarkStart w:id="67" w:name="_Toc314842499"/>
      <w:bookmarkStart w:id="68" w:name="_Toc461092042"/>
      <w:r>
        <w:t>Nonclinical summary and conclusions</w:t>
      </w:r>
      <w:bookmarkEnd w:id="66"/>
      <w:bookmarkEnd w:id="67"/>
      <w:bookmarkEnd w:id="68"/>
    </w:p>
    <w:p w:rsidR="00232A97" w:rsidRDefault="00BC585E" w:rsidP="00DE72A3">
      <w:pPr>
        <w:pStyle w:val="Heading4"/>
      </w:pPr>
      <w:r>
        <w:t>Summary</w:t>
      </w:r>
    </w:p>
    <w:p w:rsidR="00BC585E" w:rsidRPr="00BC585E" w:rsidRDefault="00BC585E" w:rsidP="00BC585E">
      <w:pPr>
        <w:pStyle w:val="ListBullet"/>
      </w:pPr>
      <w:r w:rsidRPr="00BC585E">
        <w:t xml:space="preserve">The </w:t>
      </w:r>
      <w:r>
        <w:t>nonclinical</w:t>
      </w:r>
      <w:r w:rsidRPr="00BC585E">
        <w:t xml:space="preserve"> dossier was of high quality. All </w:t>
      </w:r>
      <w:r w:rsidR="00CB7B13">
        <w:t xml:space="preserve">pivotal safety studies were </w:t>
      </w:r>
      <w:r w:rsidR="00E6443D">
        <w:t>Good Laboratory Practice (</w:t>
      </w:r>
      <w:r w:rsidR="00CB7B13">
        <w:t>GLP</w:t>
      </w:r>
      <w:r w:rsidR="00E6443D">
        <w:t>)</w:t>
      </w:r>
      <w:r w:rsidR="00CB7B13">
        <w:t xml:space="preserve"> </w:t>
      </w:r>
      <w:r w:rsidRPr="00BC585E">
        <w:t xml:space="preserve">compliant. The dossier addressed the requirements of the ICH guideline for </w:t>
      </w:r>
      <w:r w:rsidR="00AE0F54" w:rsidRPr="00BC585E">
        <w:t>an</w:t>
      </w:r>
      <w:r w:rsidR="00AE0F54">
        <w:t>ti-cancer</w:t>
      </w:r>
      <w:r w:rsidR="00CB7B13">
        <w:t xml:space="preserve"> pharmaceuticals (S9).</w:t>
      </w:r>
      <w:r w:rsidR="00CB7B13">
        <w:rPr>
          <w:rStyle w:val="FootnoteReference"/>
        </w:rPr>
        <w:footnoteReference w:id="29"/>
      </w:r>
    </w:p>
    <w:p w:rsidR="00BC585E" w:rsidRPr="00BC585E" w:rsidRDefault="00BC585E" w:rsidP="00BC585E">
      <w:pPr>
        <w:pStyle w:val="ListBullet"/>
      </w:pPr>
      <w:r w:rsidRPr="00BC585E">
        <w:t>Lenvatinib inhibited the tyros</w:t>
      </w:r>
      <w:r w:rsidR="00837166">
        <w:t>ine kinase activity of VEGF</w:t>
      </w:r>
      <w:r w:rsidRPr="00BC585E">
        <w:t xml:space="preserve"> receptors -1 (Flt-1), -2 (KDR) and -3 (Flt-4) and the proto</w:t>
      </w:r>
      <w:r w:rsidR="00837166">
        <w:t xml:space="preserve"> </w:t>
      </w:r>
      <w:r w:rsidRPr="00BC585E">
        <w:t>oncogene RET at clinically relevant concentrations. Lenvat</w:t>
      </w:r>
      <w:r w:rsidR="007004F7">
        <w:t>inib is also likely to inhibit PDGF</w:t>
      </w:r>
      <w:r w:rsidRPr="00BC585E">
        <w:t xml:space="preserve"> receptor α and β, FGF</w:t>
      </w:r>
      <w:r w:rsidR="00DD4F69">
        <w:t xml:space="preserve"> receptors FGFR1-</w:t>
      </w:r>
      <w:r w:rsidRPr="00BC585E">
        <w:t>4 and KIT clinically. In vitro studies demonstrated inhibition of VEGF</w:t>
      </w:r>
      <w:r w:rsidR="00DD4F69">
        <w:t xml:space="preserve"> </w:t>
      </w:r>
      <w:r w:rsidRPr="00BC585E">
        <w:t>signalling and associated angiogenesis by lenvatinib at clinically relevant concentrations.</w:t>
      </w:r>
      <w:r w:rsidR="00DE72A3">
        <w:t xml:space="preserve"> </w:t>
      </w:r>
      <w:r w:rsidRPr="00BC585E">
        <w:t>In vivo, lenvatinib inhibited the growth of papillary, follicular, medullary and anaplastic thyroid cancer cell line xenografts in nude mice at estimated exposures at or below that anticipated clinically. Tumour angiogenesis was also inhibited.</w:t>
      </w:r>
    </w:p>
    <w:p w:rsidR="00BC585E" w:rsidRPr="007004F7" w:rsidRDefault="00BC585E" w:rsidP="00BC585E">
      <w:pPr>
        <w:pStyle w:val="ListBullet"/>
      </w:pPr>
      <w:r w:rsidRPr="00BC585E">
        <w:t>No clinically relevant off target binding was identified in secondary pharmacodynamics studies. Safety pharmacology studies found no adverse effects on the CNS or respiratory systems in rats at high exposure levels. Increased blood pressure was observed in dogs at moderate exposures (9</w:t>
      </w:r>
      <w:r w:rsidR="00DE72A3">
        <w:t>x</w:t>
      </w:r>
      <w:r w:rsidRPr="00BC585E">
        <w:t xml:space="preserve"> </w:t>
      </w:r>
      <w:r w:rsidRPr="007004F7">
        <w:t xml:space="preserve">unbound </w:t>
      </w:r>
      <w:proofErr w:type="spellStart"/>
      <w:r w:rsidRPr="007004F7">
        <w:t>Cmax</w:t>
      </w:r>
      <w:proofErr w:type="spellEnd"/>
      <w:r w:rsidRPr="00BC585E">
        <w:t xml:space="preserve"> at the MRHD). In vitro studies found inhibition of </w:t>
      </w:r>
      <w:proofErr w:type="spellStart"/>
      <w:r w:rsidRPr="00BC585E">
        <w:t>hERG</w:t>
      </w:r>
      <w:proofErr w:type="spellEnd"/>
      <w:r w:rsidRPr="00BC585E">
        <w:t xml:space="preserve"> channels, but the IC50 was &gt;500</w:t>
      </w:r>
      <w:r w:rsidR="00DE72A3">
        <w:t>x</w:t>
      </w:r>
      <w:r w:rsidRPr="00BC585E">
        <w:t xml:space="preserve"> the anticipated </w:t>
      </w:r>
      <w:r w:rsidRPr="007004F7">
        <w:t xml:space="preserve">unbound </w:t>
      </w:r>
      <w:proofErr w:type="spellStart"/>
      <w:r w:rsidRPr="007004F7">
        <w:t>Cmax</w:t>
      </w:r>
      <w:proofErr w:type="spellEnd"/>
      <w:r w:rsidRPr="007004F7">
        <w:t xml:space="preserve">, and no </w:t>
      </w:r>
      <w:proofErr w:type="spellStart"/>
      <w:r w:rsidRPr="007004F7">
        <w:t>QTc</w:t>
      </w:r>
      <w:proofErr w:type="spellEnd"/>
      <w:r w:rsidRPr="007004F7">
        <w:t xml:space="preserve"> prolongation was observed in dogs at exposures 33</w:t>
      </w:r>
      <w:r w:rsidR="00DE72A3" w:rsidRPr="007004F7">
        <w:t>x</w:t>
      </w:r>
      <w:r w:rsidRPr="007004F7">
        <w:t xml:space="preserve"> unbound </w:t>
      </w:r>
      <w:proofErr w:type="spellStart"/>
      <w:r w:rsidRPr="007004F7">
        <w:t>Cmax</w:t>
      </w:r>
      <w:proofErr w:type="spellEnd"/>
      <w:r w:rsidRPr="007004F7">
        <w:t xml:space="preserve"> or in monkeys in repeat dose toxicity studies at exposures ~7</w:t>
      </w:r>
      <w:r w:rsidR="00DE72A3" w:rsidRPr="007004F7">
        <w:t>x</w:t>
      </w:r>
      <w:r w:rsidRPr="007004F7">
        <w:t xml:space="preserve"> unbound </w:t>
      </w:r>
      <w:proofErr w:type="spellStart"/>
      <w:r w:rsidRPr="007004F7">
        <w:t>Cmax</w:t>
      </w:r>
      <w:proofErr w:type="spellEnd"/>
      <w:r w:rsidRPr="007004F7">
        <w:t>.</w:t>
      </w:r>
    </w:p>
    <w:p w:rsidR="00772CC0" w:rsidRDefault="00BC585E" w:rsidP="00BC585E">
      <w:pPr>
        <w:pStyle w:val="ListBullet"/>
      </w:pPr>
      <w:r w:rsidRPr="00BC585E">
        <w:t xml:space="preserve">The pharmacokinetics of lenvatinib was similar between monkeys, rats, dogs and humans, making these animals suitable for assessing lenvatinib toxicity. Lenvatinib </w:t>
      </w:r>
      <w:r w:rsidRPr="00BC585E">
        <w:lastRenderedPageBreak/>
        <w:t>had good oral bioavailability in animals and a moderate plasma half-life in animals and humans. Plasma protein binding was high in all species. Lenvatinib was widely distributed with highest levels in the liver and kidneys as well as ocular tissues which showed retention of lenvatinib. Over 70 metabolites of lenvatinib were observed in urine and/or faeces, which were the major routes of excretion. There were no major plasma metabolites identified in humans or animals, except for one in monkeys. The in vitro metabolite profile was similar between human and animal hepatocytes. CYP3A4 was responsible for the majority of metabolism, with aldehyde oxidase also involved</w:t>
      </w:r>
      <w:r w:rsidR="00772CC0">
        <w:t>.</w:t>
      </w:r>
    </w:p>
    <w:p w:rsidR="00BC585E" w:rsidRPr="00BC585E" w:rsidRDefault="00BC585E" w:rsidP="00BC585E">
      <w:pPr>
        <w:pStyle w:val="ListBullet"/>
      </w:pPr>
      <w:r w:rsidRPr="00BC585E">
        <w:t>Based on in vitro studies, lenvatinib was a substrate for, and weak inhibitor of, P</w:t>
      </w:r>
      <w:r w:rsidRPr="00BC585E">
        <w:noBreakHyphen/>
        <w:t>glycoprotein and BCRP. There was no clinically relevant inhibition or induction of CYP or UGT enzymes in vitro.</w:t>
      </w:r>
    </w:p>
    <w:p w:rsidR="00BC585E" w:rsidRPr="00BC585E" w:rsidRDefault="00BC585E" w:rsidP="00BC585E">
      <w:pPr>
        <w:pStyle w:val="ListBullet"/>
      </w:pPr>
      <w:r w:rsidRPr="00BC585E">
        <w:t>Lenvatinib had a low order of acute toxicity in SD rats, with the acute toxicity in dogs and monkeys also appearing to be low.</w:t>
      </w:r>
    </w:p>
    <w:p w:rsidR="00BC585E" w:rsidRPr="00BC585E" w:rsidRDefault="00BC585E" w:rsidP="00BC585E">
      <w:pPr>
        <w:pStyle w:val="ListBullet"/>
      </w:pPr>
      <w:r w:rsidRPr="00BC585E">
        <w:t xml:space="preserve">Repeat dose studies by the oral route were conducted in SD rats (up to 6 months), beagle dogs (up to 4 weeks) and </w:t>
      </w:r>
      <w:proofErr w:type="spellStart"/>
      <w:r w:rsidRPr="00BC585E">
        <w:t>cynomolgus</w:t>
      </w:r>
      <w:proofErr w:type="spellEnd"/>
      <w:r w:rsidRPr="00BC585E">
        <w:t xml:space="preserve"> monkeys (up to 9 months). Maximum exposures (as unbound AUC) were high in the pivotal studies in rats (15</w:t>
      </w:r>
      <w:r w:rsidR="00DE72A3">
        <w:t>x</w:t>
      </w:r>
      <w:r w:rsidRPr="00BC585E">
        <w:t>), low in dogs (</w:t>
      </w:r>
      <w:proofErr w:type="gramStart"/>
      <w:r w:rsidRPr="00BC585E">
        <w:t>0.6</w:t>
      </w:r>
      <w:r w:rsidR="00DE72A3">
        <w:t>x</w:t>
      </w:r>
      <w:proofErr w:type="gramEnd"/>
      <w:r w:rsidRPr="00BC585E">
        <w:t>) and moderate in monkeys (4</w:t>
      </w:r>
      <w:r w:rsidR="00DE72A3">
        <w:t>x</w:t>
      </w:r>
      <w:r w:rsidRPr="00BC585E">
        <w:t xml:space="preserve">). Mortality secondary to </w:t>
      </w:r>
      <w:r w:rsidR="009E4D7B">
        <w:t>GI</w:t>
      </w:r>
      <w:r w:rsidRPr="00BC585E">
        <w:t xml:space="preserve"> and/or renal toxicity was observed in all species at relative exposures of 4 (in monkeys) or greater.</w:t>
      </w:r>
    </w:p>
    <w:p w:rsidR="00BC585E" w:rsidRPr="00BC585E" w:rsidRDefault="00BC585E" w:rsidP="00BC585E">
      <w:pPr>
        <w:pStyle w:val="ListBullet"/>
      </w:pPr>
      <w:r w:rsidRPr="00BC585E">
        <w:t>The target organs for toxicity were consistent with class effects of receptor tyrosine kinase inhibitors and in</w:t>
      </w:r>
      <w:r w:rsidR="009E4D7B">
        <w:t>cluded the GI</w:t>
      </w:r>
      <w:r w:rsidRPr="00BC585E">
        <w:t xml:space="preserve"> tract (in particular duodenum), kidneys, liver and gallbladder/bile ducts, pancreas, bone, teeth, ovaries, testes, </w:t>
      </w:r>
      <w:proofErr w:type="spellStart"/>
      <w:r w:rsidRPr="00BC585E">
        <w:t>epididymides</w:t>
      </w:r>
      <w:proofErr w:type="spellEnd"/>
      <w:r w:rsidRPr="00BC585E">
        <w:t xml:space="preserve">, brain (choroid plexus), adrenals, pituitary, heart and lymphoid tissues. Vascular (arterial) lesions and associated pathology were commonly observed in a variety of anatomical sites, and are related to the pharmacology of lenvatinib. The observed toxicities were generally reversible. However, in some animals severe </w:t>
      </w:r>
      <w:r w:rsidR="009E4D7B">
        <w:t xml:space="preserve">GI </w:t>
      </w:r>
      <w:r w:rsidRPr="00BC585E">
        <w:t>toxicity led to death even after cessation of dosing. There was also an apparent increase in susceptibility to bacterial infection in rats.</w:t>
      </w:r>
    </w:p>
    <w:p w:rsidR="00BC585E" w:rsidRPr="00BC585E" w:rsidRDefault="00BC585E" w:rsidP="00BC585E">
      <w:pPr>
        <w:pStyle w:val="ListBullet"/>
      </w:pPr>
      <w:r w:rsidRPr="00BC585E">
        <w:t xml:space="preserve">Lenvatinib was not mutagenic in bacterial or mammalian cells in vitro, and was not </w:t>
      </w:r>
      <w:proofErr w:type="spellStart"/>
      <w:r w:rsidRPr="00BC585E">
        <w:t>clastogenic</w:t>
      </w:r>
      <w:proofErr w:type="spellEnd"/>
      <w:r w:rsidRPr="00BC585E">
        <w:t xml:space="preserve"> in vivo in a rat micronucleus assay. Carcinogenicity studies were not conducted which is acceptable.</w:t>
      </w:r>
    </w:p>
    <w:p w:rsidR="00BC585E" w:rsidRPr="00BC585E" w:rsidRDefault="00BC585E" w:rsidP="00BC585E">
      <w:pPr>
        <w:pStyle w:val="ListBullet"/>
      </w:pPr>
      <w:r w:rsidRPr="00BC585E">
        <w:t>Reproductive toxicity studies were restricted to embryof</w:t>
      </w:r>
      <w:r w:rsidR="00924994">
        <w:t>o</w:t>
      </w:r>
      <w:r w:rsidRPr="00BC585E">
        <w:t>etal development in rats and rabbits. Lenvatinib induced abortions (rabbits) and early resorptions (rats and rabbits) and was teratogenic at subclinical exposures. Lenvatinib crossed the placental barrier at low levels, and was excreted in the milk of lactating rats.</w:t>
      </w:r>
      <w:r w:rsidR="00AD4923">
        <w:t xml:space="preserve"> </w:t>
      </w:r>
      <w:r w:rsidRPr="00BC585E">
        <w:t xml:space="preserve">Effects on male and female fertility were not directly assessed, but could be impaired clinically based on the toxicities observed in ovaries, testes and </w:t>
      </w:r>
      <w:proofErr w:type="spellStart"/>
      <w:r w:rsidRPr="00BC585E">
        <w:t>epididymides</w:t>
      </w:r>
      <w:proofErr w:type="spellEnd"/>
      <w:r w:rsidRPr="00BC585E">
        <w:t xml:space="preserve"> in repeat dose toxicity studies.</w:t>
      </w:r>
    </w:p>
    <w:p w:rsidR="00772CC0" w:rsidRDefault="00BC585E" w:rsidP="00BC585E">
      <w:pPr>
        <w:pStyle w:val="ListBullet"/>
      </w:pPr>
      <w:r w:rsidRPr="00BC585E">
        <w:t>The toxicity profile of lenvatinib was similar between juvenile and adult rats, but mortality occurred at lower doses in neonatal rats (PND7), and was accelerated in weanling rats (PND21)</w:t>
      </w:r>
      <w:r w:rsidR="00772CC0">
        <w:t>.</w:t>
      </w:r>
    </w:p>
    <w:p w:rsidR="00BC585E" w:rsidRPr="00BC585E" w:rsidRDefault="00BC585E" w:rsidP="00BC585E">
      <w:pPr>
        <w:pStyle w:val="ListBullet"/>
      </w:pPr>
      <w:proofErr w:type="spellStart"/>
      <w:r w:rsidRPr="00BC585E">
        <w:t>Lenvatinib</w:t>
      </w:r>
      <w:proofErr w:type="spellEnd"/>
      <w:r w:rsidRPr="00BC585E">
        <w:t xml:space="preserve"> was not phototoxic in a validated in vitro assay (3T3 Neutral Red uptake).</w:t>
      </w:r>
    </w:p>
    <w:p w:rsidR="00BC585E" w:rsidRPr="00BC585E" w:rsidRDefault="00BC585E" w:rsidP="00BC585E">
      <w:pPr>
        <w:pStyle w:val="ListBullet"/>
      </w:pPr>
      <w:r w:rsidRPr="00BC585E">
        <w:t>The propos</w:t>
      </w:r>
      <w:r w:rsidR="00214B69">
        <w:t xml:space="preserve">ed limits for genotoxic and </w:t>
      </w:r>
      <w:r w:rsidR="00AE0F54">
        <w:t>non-</w:t>
      </w:r>
      <w:r w:rsidR="00AE0F54" w:rsidRPr="00BC585E">
        <w:t>genotoxic</w:t>
      </w:r>
      <w:r w:rsidRPr="00BC585E">
        <w:t xml:space="preserve"> impurities were not toxicologically qualified but are adequate based on the proposed indicatio</w:t>
      </w:r>
      <w:r w:rsidR="00214B69">
        <w:t>n (treatment of advanced cancer).</w:t>
      </w:r>
      <w:r w:rsidR="00214B69">
        <w:rPr>
          <w:rStyle w:val="FootnoteReference"/>
        </w:rPr>
        <w:footnoteReference w:id="30"/>
      </w:r>
    </w:p>
    <w:p w:rsidR="00BC585E" w:rsidRDefault="00BC585E" w:rsidP="00DE72A3">
      <w:pPr>
        <w:pStyle w:val="Heading4"/>
      </w:pPr>
      <w:r>
        <w:lastRenderedPageBreak/>
        <w:t>Conclusions</w:t>
      </w:r>
    </w:p>
    <w:p w:rsidR="00DE72A3" w:rsidRPr="00DE72A3" w:rsidRDefault="00DE72A3" w:rsidP="00DE72A3">
      <w:pPr>
        <w:pStyle w:val="ListBullet"/>
      </w:pPr>
      <w:r w:rsidRPr="00DE72A3">
        <w:t>The primary pharmacology studies support the proposed indication with efficacy against a variety of thyroid cancer cell line xenografts demonstrated in vivo at relevant doses.</w:t>
      </w:r>
    </w:p>
    <w:p w:rsidR="00772CC0" w:rsidRDefault="00DE72A3" w:rsidP="00DE72A3">
      <w:pPr>
        <w:pStyle w:val="ListBullet"/>
      </w:pPr>
      <w:r w:rsidRPr="00DE72A3">
        <w:t>No clinically relevant hazards were identified in secondary and safety pharmacology studies except for hypertension in dogs</w:t>
      </w:r>
      <w:r w:rsidR="00772CC0">
        <w:t>.</w:t>
      </w:r>
    </w:p>
    <w:p w:rsidR="00DE72A3" w:rsidRPr="00DE72A3" w:rsidRDefault="00DE72A3" w:rsidP="00DE72A3">
      <w:pPr>
        <w:pStyle w:val="ListBullet"/>
      </w:pPr>
      <w:r w:rsidRPr="00DE72A3">
        <w:t>Repeat</w:t>
      </w:r>
      <w:r w:rsidR="00214B69">
        <w:t xml:space="preserve"> </w:t>
      </w:r>
      <w:r w:rsidRPr="00DE72A3">
        <w:t>dose studies revealed the following findings which may be clinically relevant:</w:t>
      </w:r>
    </w:p>
    <w:p w:rsidR="00772CC0" w:rsidRDefault="00DE72A3" w:rsidP="00DE72A3">
      <w:pPr>
        <w:pStyle w:val="ListBullet2"/>
      </w:pPr>
      <w:r w:rsidRPr="00DE72A3">
        <w:t>Arterial lesi</w:t>
      </w:r>
      <w:r w:rsidR="00214B69">
        <w:t>ons and associated pathology (for example,</w:t>
      </w:r>
      <w:r w:rsidRPr="00DE72A3">
        <w:t xml:space="preserve"> haemorrhage)</w:t>
      </w:r>
    </w:p>
    <w:p w:rsidR="00DE72A3" w:rsidRPr="00DE72A3" w:rsidRDefault="00DE72A3" w:rsidP="00DE72A3">
      <w:pPr>
        <w:pStyle w:val="ListBullet2"/>
      </w:pPr>
      <w:r w:rsidRPr="00DE72A3">
        <w:t>Gastrointestinal toxicity (in particular duodenum, and including pancreas)</w:t>
      </w:r>
    </w:p>
    <w:p w:rsidR="00DE72A3" w:rsidRPr="00DE72A3" w:rsidRDefault="00DE72A3" w:rsidP="00DE72A3">
      <w:pPr>
        <w:pStyle w:val="ListBullet2"/>
      </w:pPr>
      <w:r w:rsidRPr="00DE72A3">
        <w:t>Renal toxicity (</w:t>
      </w:r>
      <w:proofErr w:type="spellStart"/>
      <w:r w:rsidRPr="00DE72A3">
        <w:t>glomerulopathy</w:t>
      </w:r>
      <w:proofErr w:type="spellEnd"/>
      <w:r w:rsidRPr="00DE72A3">
        <w:t>)</w:t>
      </w:r>
    </w:p>
    <w:p w:rsidR="00DE72A3" w:rsidRPr="00DE72A3" w:rsidRDefault="00DE72A3" w:rsidP="00DE72A3">
      <w:pPr>
        <w:pStyle w:val="ListBullet2"/>
      </w:pPr>
      <w:r w:rsidRPr="00DE72A3">
        <w:t>Hepatotoxicity</w:t>
      </w:r>
    </w:p>
    <w:p w:rsidR="00DE72A3" w:rsidRPr="00DE72A3" w:rsidRDefault="00DE72A3" w:rsidP="00DE72A3">
      <w:pPr>
        <w:pStyle w:val="ListBullet2"/>
      </w:pPr>
      <w:r w:rsidRPr="00DE72A3">
        <w:t>Ovarian and testicular changes which may impair fertility</w:t>
      </w:r>
    </w:p>
    <w:p w:rsidR="00DE72A3" w:rsidRPr="00DE72A3" w:rsidRDefault="00DE72A3" w:rsidP="00DE72A3">
      <w:pPr>
        <w:pStyle w:val="ListBullet2"/>
      </w:pPr>
      <w:r w:rsidRPr="00DE72A3">
        <w:t>Endocrine system toxicity (pituitary and adrenals)</w:t>
      </w:r>
    </w:p>
    <w:p w:rsidR="00DE72A3" w:rsidRPr="00DE72A3" w:rsidRDefault="00DE72A3" w:rsidP="00DE72A3">
      <w:pPr>
        <w:pStyle w:val="ListBullet2"/>
      </w:pPr>
      <w:r w:rsidRPr="00DE72A3">
        <w:t>Increased bacterial infections.</w:t>
      </w:r>
    </w:p>
    <w:p w:rsidR="00DE72A3" w:rsidRPr="00DE72A3" w:rsidRDefault="00DE72A3" w:rsidP="00DE72A3">
      <w:pPr>
        <w:pStyle w:val="ListBullet"/>
      </w:pPr>
      <w:r w:rsidRPr="00DE72A3">
        <w:t>Lenvatinib does not pose a genotoxic hazard.</w:t>
      </w:r>
    </w:p>
    <w:p w:rsidR="00DE72A3" w:rsidRPr="00DE72A3" w:rsidRDefault="00DE72A3" w:rsidP="00DE72A3">
      <w:pPr>
        <w:pStyle w:val="ListBullet"/>
      </w:pPr>
      <w:r w:rsidRPr="00DE72A3">
        <w:t>Lenvatinib is a severe reproductive and developmental toxicant. The proposed Pregnancy Category D is appropriate.</w:t>
      </w:r>
    </w:p>
    <w:p w:rsidR="00DE72A3" w:rsidRPr="00DE72A3" w:rsidRDefault="00DE72A3" w:rsidP="00DE72A3">
      <w:pPr>
        <w:pStyle w:val="ListBullet"/>
      </w:pPr>
      <w:r w:rsidRPr="00DE72A3">
        <w:t>Lenvatinib is excreted in the milk of lactating rats. Juvenile animals are more sensitive to the effects of lenvatinib, even at lower systemic exposures. Therefore, lenvatinib may pose a significant risk to breastfed infants.</w:t>
      </w:r>
    </w:p>
    <w:p w:rsidR="00DE72A3" w:rsidRPr="00DE72A3" w:rsidRDefault="00DE72A3" w:rsidP="00DE72A3">
      <w:pPr>
        <w:pStyle w:val="ListBullet"/>
      </w:pPr>
      <w:r w:rsidRPr="00DE72A3">
        <w:t>There are no nonclinical object</w:t>
      </w:r>
      <w:r w:rsidR="00C73DF8">
        <w:t>ions to registration of Lenvima</w:t>
      </w:r>
      <w:r w:rsidRPr="00DE72A3">
        <w:t xml:space="preserve"> for the proposed indication.</w:t>
      </w:r>
    </w:p>
    <w:p w:rsidR="008E7846" w:rsidRPr="00254787" w:rsidRDefault="008E7846" w:rsidP="008E7846">
      <w:pPr>
        <w:pStyle w:val="Heading2"/>
      </w:pPr>
      <w:bookmarkStart w:id="69" w:name="_Toc196046462"/>
      <w:bookmarkStart w:id="70" w:name="_Toc247691516"/>
      <w:bookmarkStart w:id="71" w:name="_Toc314842500"/>
      <w:bookmarkStart w:id="72" w:name="_Toc163441353"/>
      <w:bookmarkStart w:id="73" w:name="_Toc163441348"/>
      <w:bookmarkStart w:id="74" w:name="_Toc461092043"/>
      <w:r>
        <w:t xml:space="preserve">IV. </w:t>
      </w:r>
      <w:r w:rsidRPr="00254787">
        <w:t>Clinical</w:t>
      </w:r>
      <w:bookmarkEnd w:id="69"/>
      <w:r>
        <w:t xml:space="preserve"> </w:t>
      </w:r>
      <w:r w:rsidR="003A7F6C">
        <w:t>f</w:t>
      </w:r>
      <w:r>
        <w:t>indings</w:t>
      </w:r>
      <w:bookmarkEnd w:id="70"/>
      <w:bookmarkEnd w:id="71"/>
      <w:bookmarkEnd w:id="74"/>
    </w:p>
    <w:p w:rsidR="00C80137" w:rsidRDefault="00C80137" w:rsidP="00D425BB">
      <w:bookmarkStart w:id="75"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76" w:name="_Toc247691517"/>
      <w:bookmarkStart w:id="77" w:name="_Toc314842501"/>
      <w:bookmarkStart w:id="78" w:name="_Toc461092044"/>
      <w:r w:rsidRPr="00254787">
        <w:t>Introduction</w:t>
      </w:r>
      <w:bookmarkEnd w:id="75"/>
      <w:bookmarkEnd w:id="76"/>
      <w:bookmarkEnd w:id="77"/>
      <w:bookmarkEnd w:id="78"/>
    </w:p>
    <w:p w:rsidR="00605AD4" w:rsidRDefault="00605AD4" w:rsidP="00605AD4">
      <w:pPr>
        <w:pStyle w:val="Heading4"/>
      </w:pPr>
      <w:bookmarkStart w:id="79" w:name="_Toc196046464"/>
      <w:bookmarkStart w:id="80" w:name="_Toc247691518"/>
      <w:bookmarkStart w:id="81" w:name="_Toc314842502"/>
      <w:r w:rsidRPr="00605AD4">
        <w:t xml:space="preserve">Clinical </w:t>
      </w:r>
      <w:r w:rsidR="00F45446">
        <w:t>r</w:t>
      </w:r>
      <w:r w:rsidRPr="00605AD4">
        <w:t>ationale</w:t>
      </w:r>
    </w:p>
    <w:p w:rsidR="00924994" w:rsidRPr="00924994" w:rsidRDefault="00C73DF8" w:rsidP="00924994">
      <w:r>
        <w:t>DTC</w:t>
      </w:r>
      <w:r w:rsidR="00924994" w:rsidRPr="00924994">
        <w:t xml:space="preserve"> </w:t>
      </w:r>
      <w:r>
        <w:t>arises</w:t>
      </w:r>
      <w:r w:rsidR="00924994" w:rsidRPr="00924994">
        <w:t xml:space="preserve"> from follicular epithelial cells and are generally grouped into 2 cancer types, papillary thyroid cancers and follicular thyroid cancers.</w:t>
      </w:r>
      <w:r w:rsidR="00AD4923">
        <w:t xml:space="preserve"> </w:t>
      </w:r>
      <w:r w:rsidR="00924994" w:rsidRPr="00924994">
        <w:t>Differentiated thyroid cancer is usually asymptomatic for long period and commonly presented as a solitary thyroid nodule. The current treatment of choice for primary DTC is surgery, usually then followed by 131</w:t>
      </w:r>
      <w:r w:rsidR="00290031">
        <w:t>-</w:t>
      </w:r>
      <w:r w:rsidR="00924994" w:rsidRPr="00924994">
        <w:t xml:space="preserve">I ablation and thyroxine therapy. Approximately 1/3 of metastatic thyroid cancers lose functional ability to concentrate iodine and radioiodine treatment may not be as effective. Once </w:t>
      </w:r>
      <w:r w:rsidR="00290031">
        <w:t>RR</w:t>
      </w:r>
      <w:r w:rsidR="00924994" w:rsidRPr="00924994">
        <w:t>, DTC exhibits a more aggressive behaviour. The European Society of Medical Oncology and the National Comprehensive Cancer Network Oncology Guidelines 2013 recommend that patients with the RR-DTC move to treatment with anti</w:t>
      </w:r>
      <w:r w:rsidR="0000658A">
        <w:t xml:space="preserve"> </w:t>
      </w:r>
      <w:proofErr w:type="spellStart"/>
      <w:r w:rsidR="00924994" w:rsidRPr="00924994">
        <w:t>angiogenic</w:t>
      </w:r>
      <w:proofErr w:type="spellEnd"/>
      <w:r w:rsidR="00924994" w:rsidRPr="00924994">
        <w:t xml:space="preserve"> TKIs in clinical trials.</w:t>
      </w:r>
    </w:p>
    <w:p w:rsidR="00924994" w:rsidRPr="00924994" w:rsidRDefault="00924994" w:rsidP="00924994">
      <w:r w:rsidRPr="00924994">
        <w:t xml:space="preserve">Elevated levels of </w:t>
      </w:r>
      <w:r>
        <w:t xml:space="preserve">VEGF </w:t>
      </w:r>
      <w:r w:rsidRPr="00924994">
        <w:t>have been noted in thyroid tumours. The intensity of VEGF expression has been correlated with a higher risk of metastasis and shorter disease</w:t>
      </w:r>
      <w:r w:rsidR="0000658A">
        <w:t xml:space="preserve"> </w:t>
      </w:r>
      <w:r w:rsidRPr="00924994">
        <w:t>free survival in patients</w:t>
      </w:r>
      <w:r w:rsidR="0000658A">
        <w:t xml:space="preserve"> with papillary thyroid cancer; </w:t>
      </w:r>
      <w:r w:rsidRPr="00924994">
        <w:t>however</w:t>
      </w:r>
      <w:r w:rsidR="0000658A">
        <w:t>,</w:t>
      </w:r>
      <w:r w:rsidRPr="00924994">
        <w:t xml:space="preserve"> its precise role in the </w:t>
      </w:r>
      <w:r w:rsidRPr="00924994">
        <w:lastRenderedPageBreak/>
        <w:t>pathophysiology is not clear. The preclinical summary notes that the antitumor activity of lenvatinib in combination with other anticancer agents in several xenograft models was greater than that of lenvatinib or the other agents alone. Therefore, lenvatinib is also being developed as an anticancer therapy for use as in combination with other anticancer agents for the treatment of malignancies including thyroid cancer.</w:t>
      </w:r>
    </w:p>
    <w:p w:rsidR="00924994" w:rsidRPr="00924994" w:rsidRDefault="00924994" w:rsidP="00924994">
      <w:r w:rsidRPr="00924994">
        <w:t>Lenvatini</w:t>
      </w:r>
      <w:r w:rsidR="0000658A">
        <w:t xml:space="preserve">b is an oral, multiple </w:t>
      </w:r>
      <w:r>
        <w:t>TK</w:t>
      </w:r>
      <w:r w:rsidR="0000658A">
        <w:t>Is</w:t>
      </w:r>
      <w:r>
        <w:t xml:space="preserve"> </w:t>
      </w:r>
      <w:r w:rsidRPr="00924994">
        <w:t xml:space="preserve">that inhibits the kinase activities of VEGF receptors in addition to other pro </w:t>
      </w:r>
      <w:proofErr w:type="spellStart"/>
      <w:r w:rsidRPr="00924994">
        <w:t>angiogenic</w:t>
      </w:r>
      <w:proofErr w:type="spellEnd"/>
      <w:r w:rsidRPr="00924994">
        <w:t xml:space="preserve"> and oncogenic pathway</w:t>
      </w:r>
      <w:r w:rsidR="0000524F">
        <w:t xml:space="preserve"> </w:t>
      </w:r>
      <w:r w:rsidRPr="00924994">
        <w:t xml:space="preserve">related </w:t>
      </w:r>
      <w:r w:rsidR="0000524F">
        <w:t>TKIs</w:t>
      </w:r>
      <w:r w:rsidRPr="00924994">
        <w:t>.</w:t>
      </w:r>
      <w:r w:rsidRPr="00924994">
        <w:tab/>
      </w:r>
    </w:p>
    <w:p w:rsidR="00924994" w:rsidRPr="00924994" w:rsidRDefault="00924994" w:rsidP="00924994">
      <w:pPr>
        <w:ind w:left="720"/>
        <w:rPr>
          <w:i/>
        </w:rPr>
      </w:pPr>
      <w:r w:rsidRPr="00924994">
        <w:rPr>
          <w:i/>
        </w:rPr>
        <w:t>Comment: The rationale is reasonable. However although the intensity of VEGF expression has been correlated with survival, whether inhibiting a kinase that is involved in this pathway improves survival, or is a correlation is unclear.</w:t>
      </w:r>
    </w:p>
    <w:p w:rsidR="00605AD4" w:rsidRDefault="00605AD4" w:rsidP="00605AD4">
      <w:pPr>
        <w:pStyle w:val="Heading4"/>
      </w:pPr>
      <w:r w:rsidRPr="00605AD4">
        <w:t>Guidance</w:t>
      </w:r>
    </w:p>
    <w:p w:rsidR="00924994" w:rsidRPr="00924994" w:rsidRDefault="00924994" w:rsidP="00924994">
      <w:r w:rsidRPr="00924994">
        <w:t xml:space="preserve">There is a single pivotal trial. The </w:t>
      </w:r>
      <w:r w:rsidR="00BD03E4">
        <w:t xml:space="preserve">relevant </w:t>
      </w:r>
      <w:r w:rsidRPr="00924994">
        <w:t>TGA</w:t>
      </w:r>
      <w:r w:rsidR="00290390">
        <w:t xml:space="preserve"> </w:t>
      </w:r>
      <w:r w:rsidR="00BD03E4">
        <w:t>adopted EU guideline</w:t>
      </w:r>
      <w:r w:rsidR="00BD03E4">
        <w:rPr>
          <w:rStyle w:val="FootnoteReference"/>
        </w:rPr>
        <w:footnoteReference w:id="31"/>
      </w:r>
      <w:r w:rsidRPr="00924994">
        <w:t xml:space="preserve"> was used as a reference in this evaluation.</w:t>
      </w:r>
    </w:p>
    <w:p w:rsidR="00924994" w:rsidRPr="00924994" w:rsidRDefault="008448C0" w:rsidP="00924994">
      <w:r>
        <w:t>The EMA</w:t>
      </w:r>
      <w:r w:rsidR="00924994" w:rsidRPr="00924994">
        <w:t xml:space="preserve"> CHMP Guidelines</w:t>
      </w:r>
      <w:r w:rsidR="0068562D">
        <w:t xml:space="preserve"> </w:t>
      </w:r>
      <w:r w:rsidR="0068562D" w:rsidRPr="0068562D">
        <w:t>on the evaluation of anticancer medicinal products in man</w:t>
      </w:r>
      <w:r w:rsidR="00290390">
        <w:rPr>
          <w:rStyle w:val="FootnoteReference"/>
        </w:rPr>
        <w:footnoteReference w:id="32"/>
      </w:r>
      <w:r w:rsidR="0068562D">
        <w:t xml:space="preserve"> </w:t>
      </w:r>
      <w:r w:rsidR="00924994" w:rsidRPr="00924994">
        <w:t xml:space="preserve">was also used as a reference for discussion on appropriateness of the choice of PFS in the pivotal </w:t>
      </w:r>
      <w:r>
        <w:t>S</w:t>
      </w:r>
      <w:r w:rsidR="00924994" w:rsidRPr="00924994">
        <w:t xml:space="preserve">tudy 303 in this </w:t>
      </w:r>
      <w:r>
        <w:t>s</w:t>
      </w:r>
      <w:r w:rsidR="00924994" w:rsidRPr="00924994">
        <w:t>ubmission.</w:t>
      </w:r>
    </w:p>
    <w:p w:rsidR="00772CC0" w:rsidRDefault="006E083B" w:rsidP="00924994">
      <w:r>
        <w:t>The PI</w:t>
      </w:r>
      <w:r w:rsidR="00924994" w:rsidRPr="00924994">
        <w:t xml:space="preserve"> was used to examine safety issues for the VEGF inhibitor class, specifically for those that are kinase inhibitors. The following have been in clinical practice for a period of time in a number of pop</w:t>
      </w:r>
      <w:r w:rsidR="001252FD">
        <w:t xml:space="preserve">ulation groups: </w:t>
      </w:r>
      <w:proofErr w:type="spellStart"/>
      <w:r w:rsidR="00924994" w:rsidRPr="00924994">
        <w:t>sunitinib</w:t>
      </w:r>
      <w:proofErr w:type="spellEnd"/>
      <w:r w:rsidR="00924994" w:rsidRPr="00924994">
        <w:t xml:space="preserve">, </w:t>
      </w:r>
      <w:proofErr w:type="spellStart"/>
      <w:r w:rsidR="00924994" w:rsidRPr="00924994">
        <w:t>sorafenib</w:t>
      </w:r>
      <w:proofErr w:type="spellEnd"/>
      <w:r w:rsidR="00924994" w:rsidRPr="00924994">
        <w:t>,</w:t>
      </w:r>
      <w:r w:rsidR="00AD4923">
        <w:t xml:space="preserve"> </w:t>
      </w:r>
      <w:proofErr w:type="spellStart"/>
      <w:r w:rsidR="001252FD">
        <w:t>axitinib</w:t>
      </w:r>
      <w:proofErr w:type="spellEnd"/>
      <w:r w:rsidR="001252FD">
        <w:t xml:space="preserve">, </w:t>
      </w:r>
      <w:proofErr w:type="spellStart"/>
      <w:r w:rsidR="001252FD">
        <w:t>regorafenib</w:t>
      </w:r>
      <w:proofErr w:type="spellEnd"/>
      <w:r w:rsidR="001252FD">
        <w:t xml:space="preserve">, </w:t>
      </w:r>
      <w:r w:rsidR="00924994" w:rsidRPr="00924994">
        <w:t>etc</w:t>
      </w:r>
      <w:r w:rsidR="001252FD">
        <w:t>etera, and also the monoclonal antibodies</w:t>
      </w:r>
      <w:r w:rsidR="00B75E09">
        <w:t xml:space="preserve"> (</w:t>
      </w:r>
      <w:proofErr w:type="spellStart"/>
      <w:r w:rsidR="00B75E09">
        <w:t>mAbs</w:t>
      </w:r>
      <w:proofErr w:type="spellEnd"/>
      <w:r w:rsidR="00B75E09">
        <w:t>)</w:t>
      </w:r>
      <w:r w:rsidR="001252FD">
        <w:t>, for example,</w:t>
      </w:r>
      <w:r w:rsidR="00924994" w:rsidRPr="00924994">
        <w:t xml:space="preserve"> </w:t>
      </w:r>
      <w:proofErr w:type="spellStart"/>
      <w:r w:rsidR="00924994" w:rsidRPr="00924994">
        <w:t>aflibercept</w:t>
      </w:r>
      <w:proofErr w:type="spellEnd"/>
      <w:r w:rsidR="00924994" w:rsidRPr="00924994">
        <w:t xml:space="preserve">, </w:t>
      </w:r>
      <w:proofErr w:type="spellStart"/>
      <w:r w:rsidR="00924994" w:rsidRPr="00924994">
        <w:t>ramucirumab</w:t>
      </w:r>
      <w:proofErr w:type="spellEnd"/>
      <w:r w:rsidR="00B75E09">
        <w:t>,</w:t>
      </w:r>
      <w:r w:rsidR="00F05C62">
        <w:t xml:space="preserve"> or VEGF </w:t>
      </w:r>
      <w:proofErr w:type="spellStart"/>
      <w:r w:rsidR="00F05C62">
        <w:t>mAb</w:t>
      </w:r>
      <w:proofErr w:type="spellEnd"/>
      <w:r w:rsidR="00F05C62">
        <w:t xml:space="preserve"> (for example, </w:t>
      </w:r>
      <w:r w:rsidR="00924994" w:rsidRPr="00924994">
        <w:t>bevacizumab)</w:t>
      </w:r>
      <w:r w:rsidR="00772CC0">
        <w:t>.</w:t>
      </w:r>
    </w:p>
    <w:p w:rsidR="00924994" w:rsidRPr="00924994" w:rsidRDefault="00924994" w:rsidP="00924994">
      <w:r w:rsidRPr="00924994">
        <w:t>The PI for the FDA submission for lenvatinib is available on the FDA site.</w:t>
      </w:r>
    </w:p>
    <w:p w:rsidR="00924994" w:rsidRPr="00924994" w:rsidRDefault="00924994" w:rsidP="00924994">
      <w:pPr>
        <w:ind w:firstLine="720"/>
        <w:rPr>
          <w:i/>
        </w:rPr>
      </w:pPr>
      <w:r w:rsidRPr="00924994">
        <w:rPr>
          <w:i/>
        </w:rPr>
        <w:t>Comment:</w:t>
      </w:r>
      <w:r>
        <w:rPr>
          <w:i/>
        </w:rPr>
        <w:t xml:space="preserve"> The s</w:t>
      </w:r>
      <w:r w:rsidRPr="00924994">
        <w:rPr>
          <w:i/>
        </w:rPr>
        <w:t xml:space="preserve">ponsor has followed </w:t>
      </w:r>
      <w:r w:rsidR="008448C0">
        <w:rPr>
          <w:i/>
        </w:rPr>
        <w:t xml:space="preserve">the </w:t>
      </w:r>
      <w:r w:rsidRPr="00924994">
        <w:rPr>
          <w:i/>
        </w:rPr>
        <w:t>relevant TGA guidance.</w:t>
      </w:r>
    </w:p>
    <w:p w:rsidR="00605AD4" w:rsidRDefault="00605AD4" w:rsidP="00605AD4">
      <w:pPr>
        <w:pStyle w:val="Heading4"/>
      </w:pPr>
      <w:r w:rsidRPr="00605AD4">
        <w:t>Contents of the clinical dossier</w:t>
      </w:r>
    </w:p>
    <w:p w:rsidR="00D60DCE" w:rsidRPr="00A32404" w:rsidRDefault="00D60DCE" w:rsidP="00A32404">
      <w:r w:rsidRPr="00A32404">
        <w:t xml:space="preserve">The clinical dosser documented a full clinical development program of pharmacology, efficacy and safety studies. </w:t>
      </w:r>
      <w:r w:rsidR="00AE0EDE" w:rsidRPr="00A32404">
        <w:t>T</w:t>
      </w:r>
      <w:r w:rsidRPr="00A32404">
        <w:t>he submission contained the following clinical information:</w:t>
      </w:r>
    </w:p>
    <w:p w:rsidR="00772CC0" w:rsidRDefault="00D60DCE" w:rsidP="00AE0EDE">
      <w:pPr>
        <w:pStyle w:val="ListBullet"/>
      </w:pPr>
      <w:r w:rsidRPr="00AE0EDE">
        <w:t>Literature references</w:t>
      </w:r>
    </w:p>
    <w:p w:rsidR="00D60DCE" w:rsidRPr="00AE0EDE" w:rsidRDefault="00D60DCE" w:rsidP="00AE0EDE">
      <w:pPr>
        <w:pStyle w:val="ListBullet"/>
      </w:pPr>
      <w:r w:rsidRPr="00AE0EDE">
        <w:t>A single pivotal efficacy study</w:t>
      </w:r>
      <w:r w:rsidR="00E107D5">
        <w:t>,</w:t>
      </w:r>
      <w:r w:rsidRPr="00AE0EDE">
        <w:t xml:space="preserve"> E7080 G000-303. This was a placebo</w:t>
      </w:r>
      <w:r w:rsidR="003F4872">
        <w:t xml:space="preserve"> controlled, Phase III </w:t>
      </w:r>
      <w:r w:rsidRPr="00AE0EDE">
        <w:t>study in subjects with RR‐DTC.</w:t>
      </w:r>
      <w:r w:rsidRPr="00AE0EDE">
        <w:tab/>
      </w:r>
    </w:p>
    <w:p w:rsidR="00D60DCE" w:rsidRPr="00AE0EDE" w:rsidRDefault="00D60DCE" w:rsidP="00AE0EDE">
      <w:pPr>
        <w:pStyle w:val="ListBullet"/>
      </w:pPr>
      <w:r w:rsidRPr="00AE0EDE">
        <w:t xml:space="preserve">Phase II studies. There were </w:t>
      </w:r>
      <w:r w:rsidR="00C019E8">
        <w:t>2 open label studies submitted:</w:t>
      </w:r>
      <w:r w:rsidRPr="00AE0EDE">
        <w:t xml:space="preserve"> E7080-J081-208 (A Phase II study in thyroid cancer) and E7080-G000-201 (A </w:t>
      </w:r>
      <w:r w:rsidR="00C019E8">
        <w:t xml:space="preserve">Phase II, Multicentre, Open </w:t>
      </w:r>
      <w:r w:rsidRPr="00AE0EDE">
        <w:t xml:space="preserve">label, Single Arm Trial to Evaluate the Safety and Efficacy of Oral E7080 in Medullary and Iodine-131 Refractory, </w:t>
      </w:r>
      <w:proofErr w:type="spellStart"/>
      <w:r w:rsidRPr="00AE0EDE">
        <w:t>Unresectable</w:t>
      </w:r>
      <w:proofErr w:type="spellEnd"/>
      <w:r w:rsidRPr="00AE0EDE">
        <w:t xml:space="preserve"> Differentiated Thyroid Cancers, Stratified by Histology). Thus</w:t>
      </w:r>
      <w:r w:rsidR="00C019E8">
        <w:t>,</w:t>
      </w:r>
      <w:r w:rsidRPr="00AE0EDE">
        <w:t xml:space="preserve"> these included subjects with RR-DTC as well as other forms </w:t>
      </w:r>
      <w:r w:rsidR="00C019E8">
        <w:t>of advanced thyroid cancer (that is</w:t>
      </w:r>
      <w:r w:rsidRPr="00AE0EDE">
        <w:t>, anaplastic or medullary thyroid cancer).</w:t>
      </w:r>
    </w:p>
    <w:p w:rsidR="00D60DCE" w:rsidRPr="00AE0EDE" w:rsidRDefault="00D60DCE" w:rsidP="00AE0EDE">
      <w:pPr>
        <w:pStyle w:val="ListBullet"/>
      </w:pPr>
      <w:r w:rsidRPr="00AE0EDE">
        <w:t>Studies in other indications</w:t>
      </w:r>
      <w:r w:rsidR="00D96022">
        <w:t>,</w:t>
      </w:r>
      <w:r w:rsidRPr="00AE0EDE">
        <w:t xml:space="preserve"> used for the safety analysis only</w:t>
      </w:r>
      <w:r w:rsidR="0092031D">
        <w:t>:</w:t>
      </w:r>
    </w:p>
    <w:p w:rsidR="00D60DCE" w:rsidRPr="00AE0EDE" w:rsidRDefault="00D60DCE" w:rsidP="00AE0EDE">
      <w:pPr>
        <w:pStyle w:val="ListBullet2"/>
      </w:pPr>
      <w:r w:rsidRPr="00AE0EDE">
        <w:t>Stu</w:t>
      </w:r>
      <w:r w:rsidR="00D96022">
        <w:t xml:space="preserve">dy 701 </w:t>
      </w:r>
      <w:proofErr w:type="gramStart"/>
      <w:r w:rsidR="00D96022">
        <w:t>An</w:t>
      </w:r>
      <w:proofErr w:type="gramEnd"/>
      <w:r w:rsidR="00D96022">
        <w:t xml:space="preserve"> Open-Label, Multicent</w:t>
      </w:r>
      <w:r w:rsidRPr="00AE0EDE">
        <w:t>r</w:t>
      </w:r>
      <w:r w:rsidR="00D96022">
        <w:t>e</w:t>
      </w:r>
      <w:r w:rsidRPr="00AE0EDE">
        <w:t>, Randomi</w:t>
      </w:r>
      <w:r w:rsidR="00D96022">
        <w:t>s</w:t>
      </w:r>
      <w:r w:rsidR="005F3389">
        <w:t xml:space="preserve">ed, Phase </w:t>
      </w:r>
      <w:proofErr w:type="spellStart"/>
      <w:r w:rsidR="005F3389">
        <w:t>Ib</w:t>
      </w:r>
      <w:proofErr w:type="spellEnd"/>
      <w:r w:rsidR="005F3389">
        <w:t>/II</w:t>
      </w:r>
      <w:r w:rsidRPr="00AE0EDE">
        <w:t xml:space="preserve"> Study of E7080 in Combination With Carboplatin + Gemcitabine Versus Carboplatin + Gemcitabine Alone as Second Line Therapy in Patients With Platinum-Sensitive Recurrent Ovarian Cancer by CA125.</w:t>
      </w:r>
    </w:p>
    <w:p w:rsidR="00D60DCE" w:rsidRPr="00AE0EDE" w:rsidRDefault="00D60DCE" w:rsidP="00AE0EDE">
      <w:pPr>
        <w:pStyle w:val="ListBullet2"/>
      </w:pPr>
      <w:r w:rsidRPr="00AE0EDE">
        <w:lastRenderedPageBreak/>
        <w:t>Study 702 An Open</w:t>
      </w:r>
      <w:r w:rsidR="00E107D5">
        <w:t xml:space="preserve"> Label, Multicent</w:t>
      </w:r>
      <w:r w:rsidRPr="00AE0EDE">
        <w:t>r</w:t>
      </w:r>
      <w:r w:rsidR="00E107D5">
        <w:t>e</w:t>
      </w:r>
      <w:r w:rsidR="0053290E">
        <w:t xml:space="preserve">, Randomized, Phase </w:t>
      </w:r>
      <w:proofErr w:type="spellStart"/>
      <w:r w:rsidR="0053290E">
        <w:t>Ib</w:t>
      </w:r>
      <w:proofErr w:type="spellEnd"/>
      <w:r w:rsidR="0053290E">
        <w:t xml:space="preserve">/II </w:t>
      </w:r>
      <w:r w:rsidRPr="00AE0EDE">
        <w:t xml:space="preserve">Study of E7080 (Lenvatinib) in Combination with </w:t>
      </w:r>
      <w:proofErr w:type="spellStart"/>
      <w:r w:rsidRPr="00AE0EDE">
        <w:t>Dacarbazine</w:t>
      </w:r>
      <w:proofErr w:type="spellEnd"/>
      <w:r w:rsidRPr="00AE0EDE">
        <w:t xml:space="preserve"> versus </w:t>
      </w:r>
      <w:proofErr w:type="spellStart"/>
      <w:r w:rsidRPr="00AE0EDE">
        <w:t>Dacarbazine</w:t>
      </w:r>
      <w:proofErr w:type="spellEnd"/>
      <w:r w:rsidRPr="00AE0EDE">
        <w:t xml:space="preserve"> Alone as First Line Therapy in Patients with Stage IV Melanoma</w:t>
      </w:r>
    </w:p>
    <w:p w:rsidR="00D60DCE" w:rsidRPr="00AE0EDE" w:rsidRDefault="0053290E" w:rsidP="00AE0EDE">
      <w:pPr>
        <w:pStyle w:val="ListBullet2"/>
      </w:pPr>
      <w:r>
        <w:t>Study 703:</w:t>
      </w:r>
      <w:r w:rsidR="00D60DCE" w:rsidRPr="00AE0EDE">
        <w:t xml:space="preserve"> Safety Report for A Phase II, Randomi</w:t>
      </w:r>
      <w:r w:rsidR="00C55C86">
        <w:t>s</w:t>
      </w:r>
      <w:r w:rsidR="00D60DCE" w:rsidRPr="00AE0EDE">
        <w:t>ed, Double</w:t>
      </w:r>
      <w:r w:rsidR="00C55C86">
        <w:t xml:space="preserve"> </w:t>
      </w:r>
      <w:r w:rsidR="00D60DCE" w:rsidRPr="00AE0EDE">
        <w:t>Blind, Placebo</w:t>
      </w:r>
      <w:r w:rsidR="00C55C86">
        <w:t xml:space="preserve"> </w:t>
      </w:r>
      <w:r w:rsidR="00D60DCE" w:rsidRPr="00AE0EDE">
        <w:t xml:space="preserve">Controlled Study of Oral E7080 in Addition to Best Supportive Care (BSC) versus BSC Alone in Patients with Locally Advanced or Metastatic Non Squamous </w:t>
      </w:r>
      <w:r w:rsidR="00AE0F54" w:rsidRPr="00AE0EDE">
        <w:t>Non-Small</w:t>
      </w:r>
      <w:r w:rsidR="00D60DCE" w:rsidRPr="00AE0EDE">
        <w:t xml:space="preserve"> Cell Lung Cancer Who Have Failed at Least Two Systemic Anticancer Regimens.</w:t>
      </w:r>
    </w:p>
    <w:p w:rsidR="00D60DCE" w:rsidRPr="00AE0EDE" w:rsidRDefault="0048110C" w:rsidP="00AE0EDE">
      <w:pPr>
        <w:pStyle w:val="ListBullet2"/>
      </w:pPr>
      <w:r>
        <w:t>Study G000-203:</w:t>
      </w:r>
      <w:r w:rsidR="00D60DCE" w:rsidRPr="00AE0EDE">
        <w:t xml:space="preserve"> An Open</w:t>
      </w:r>
      <w:r>
        <w:t xml:space="preserve"> </w:t>
      </w:r>
      <w:r w:rsidR="00D60DCE" w:rsidRPr="00AE0EDE">
        <w:t>Label, Three</w:t>
      </w:r>
      <w:r>
        <w:t xml:space="preserve"> Cohort, Phase II </w:t>
      </w:r>
      <w:r w:rsidR="00D60DCE" w:rsidRPr="00AE0EDE">
        <w:t>Study of E7080 in Subjects With Recurrent Malignant Glioma</w:t>
      </w:r>
    </w:p>
    <w:p w:rsidR="00D60DCE" w:rsidRPr="00AE0EDE" w:rsidRDefault="001D3AFF" w:rsidP="00AE0EDE">
      <w:pPr>
        <w:pStyle w:val="ListBullet2"/>
      </w:pPr>
      <w:r>
        <w:t>Study G000-204:</w:t>
      </w:r>
      <w:r w:rsidR="00D60DCE" w:rsidRPr="00AE0EDE">
        <w:t xml:space="preserve"> An Open</w:t>
      </w:r>
      <w:r>
        <w:t xml:space="preserve"> Label, Single-Arm, Multicent</w:t>
      </w:r>
      <w:r w:rsidR="00D60DCE" w:rsidRPr="00AE0EDE">
        <w:t>r</w:t>
      </w:r>
      <w:r>
        <w:t>e Phase II</w:t>
      </w:r>
      <w:r w:rsidR="00D60DCE" w:rsidRPr="00AE0EDE">
        <w:t xml:space="preserve"> Study of E7080 [Lenvatinib] in Subjects with Advanced Endometrial Cancer and Disease Progression Following First</w:t>
      </w:r>
      <w:r w:rsidR="006123F4">
        <w:t xml:space="preserve"> </w:t>
      </w:r>
      <w:r w:rsidR="00D60DCE" w:rsidRPr="00AE0EDE">
        <w:t>Line Chemotherapy</w:t>
      </w:r>
    </w:p>
    <w:p w:rsidR="00D60DCE" w:rsidRPr="00AE0EDE" w:rsidRDefault="006123F4" w:rsidP="00AE0EDE">
      <w:pPr>
        <w:pStyle w:val="ListBullet2"/>
      </w:pPr>
      <w:r>
        <w:t>Study G000-205:</w:t>
      </w:r>
      <w:r w:rsidR="00D60DCE" w:rsidRPr="00AE0EDE">
        <w:t xml:space="preserve"> Safety report only. An Open</w:t>
      </w:r>
      <w:r w:rsidR="00243060">
        <w:t xml:space="preserve"> Label, Multicent</w:t>
      </w:r>
      <w:r w:rsidR="00D60DCE" w:rsidRPr="00AE0EDE">
        <w:t>r</w:t>
      </w:r>
      <w:r w:rsidR="00243060">
        <w:t xml:space="preserve">e Phase </w:t>
      </w:r>
      <w:proofErr w:type="spellStart"/>
      <w:r w:rsidR="00243060">
        <w:t>Ib</w:t>
      </w:r>
      <w:proofErr w:type="spellEnd"/>
      <w:r w:rsidR="00243060">
        <w:t>/II</w:t>
      </w:r>
      <w:r w:rsidR="00D60DCE" w:rsidRPr="00AE0EDE">
        <w:t xml:space="preserve"> Study of E7080 Alone, and in Combination With </w:t>
      </w:r>
      <w:proofErr w:type="spellStart"/>
      <w:r w:rsidR="00D60DCE" w:rsidRPr="00AE0EDE">
        <w:t>Everolimus</w:t>
      </w:r>
      <w:proofErr w:type="spellEnd"/>
      <w:r w:rsidR="00D60DCE" w:rsidRPr="00AE0EDE">
        <w:t xml:space="preserve"> in Subjects With </w:t>
      </w:r>
      <w:proofErr w:type="spellStart"/>
      <w:r w:rsidR="00D60DCE" w:rsidRPr="00AE0EDE">
        <w:t>Unresectable</w:t>
      </w:r>
      <w:proofErr w:type="spellEnd"/>
      <w:r w:rsidR="00D60DCE" w:rsidRPr="00AE0EDE">
        <w:t xml:space="preserve"> Advanced or Metastatic Renal Cell Carcinoma Following One Prior VEGF-Targeted Treatment</w:t>
      </w:r>
    </w:p>
    <w:p w:rsidR="00D60DCE" w:rsidRPr="00AE0EDE" w:rsidRDefault="00011B05" w:rsidP="00AE0EDE">
      <w:pPr>
        <w:pStyle w:val="ListBullet2"/>
      </w:pPr>
      <w:r>
        <w:t>Study G000-206:</w:t>
      </w:r>
      <w:r w:rsidR="00D60DCE" w:rsidRPr="00AE0EDE">
        <w:t xml:space="preserve"> Safety Report only. An Ope</w:t>
      </w:r>
      <w:r w:rsidR="0092031D">
        <w:t>n</w:t>
      </w:r>
      <w:r>
        <w:t xml:space="preserve"> </w:t>
      </w:r>
      <w:r w:rsidR="0092031D">
        <w:t>Label, 2</w:t>
      </w:r>
      <w:r>
        <w:t xml:space="preserve"> Cohort, Multicent</w:t>
      </w:r>
      <w:r w:rsidR="0092031D">
        <w:t>r</w:t>
      </w:r>
      <w:r>
        <w:t>e</w:t>
      </w:r>
      <w:r w:rsidR="0092031D">
        <w:t xml:space="preserve">, Phase </w:t>
      </w:r>
      <w:r>
        <w:t>II</w:t>
      </w:r>
      <w:r w:rsidR="00D60DCE" w:rsidRPr="00AE0EDE">
        <w:t xml:space="preserve"> </w:t>
      </w:r>
      <w:r w:rsidR="0092031D">
        <w:t xml:space="preserve">Study of E7080 </w:t>
      </w:r>
      <w:r w:rsidR="00D60DCE" w:rsidRPr="00AE0EDE">
        <w:t xml:space="preserve">(Lenvatinib) in Previously Treated Subjects With </w:t>
      </w:r>
      <w:proofErr w:type="spellStart"/>
      <w:r w:rsidR="00D60DCE" w:rsidRPr="00AE0EDE">
        <w:t>Unresectable</w:t>
      </w:r>
      <w:proofErr w:type="spellEnd"/>
      <w:r w:rsidR="00D60DCE" w:rsidRPr="00AE0EDE">
        <w:t xml:space="preserve"> Stage III or Stage IV Melanoma</w:t>
      </w:r>
    </w:p>
    <w:p w:rsidR="00D60DCE" w:rsidRPr="00AE0EDE" w:rsidRDefault="00011B05" w:rsidP="00AE0EDE">
      <w:pPr>
        <w:pStyle w:val="ListBullet2"/>
      </w:pPr>
      <w:r>
        <w:t>Study G000-209:</w:t>
      </w:r>
      <w:r w:rsidR="00D60DCE" w:rsidRPr="00AE0EDE">
        <w:t xml:space="preserve"> </w:t>
      </w:r>
      <w:r>
        <w:t>Safety Report only. A Multicent</w:t>
      </w:r>
      <w:r w:rsidR="00D60DCE" w:rsidRPr="00AE0EDE">
        <w:t>r</w:t>
      </w:r>
      <w:r>
        <w:t>e, Open Label Phase II</w:t>
      </w:r>
      <w:r w:rsidR="00D60DCE" w:rsidRPr="00AE0EDE">
        <w:t xml:space="preserve"> Study of the Safety and Activity of Lenvatinib (E7080) in Subjects With KIF5B-RET</w:t>
      </w:r>
      <w:r w:rsidR="00936179">
        <w:t xml:space="preserve"> </w:t>
      </w:r>
      <w:r w:rsidR="00D60DCE" w:rsidRPr="00AE0EDE">
        <w:t>Positive Adenocarcinoma of the Lung</w:t>
      </w:r>
    </w:p>
    <w:p w:rsidR="00772CC0" w:rsidRDefault="00936179" w:rsidP="00AE0EDE">
      <w:pPr>
        <w:pStyle w:val="ListBullet2"/>
      </w:pPr>
      <w:r>
        <w:t>Study G000-304. A Multicent</w:t>
      </w:r>
      <w:r w:rsidR="00D60DCE" w:rsidRPr="00AE0EDE">
        <w:t>r</w:t>
      </w:r>
      <w:r>
        <w:t>e</w:t>
      </w:r>
      <w:r w:rsidR="00D60DCE" w:rsidRPr="00AE0EDE">
        <w:t>, Randomi</w:t>
      </w:r>
      <w:r>
        <w:t>s</w:t>
      </w:r>
      <w:r w:rsidR="00D60DCE" w:rsidRPr="00AE0EDE">
        <w:t>ed, Open</w:t>
      </w:r>
      <w:r>
        <w:t xml:space="preserve"> Label, Phase III</w:t>
      </w:r>
      <w:r w:rsidR="00D60DCE" w:rsidRPr="00AE0EDE">
        <w:t xml:space="preserve"> Trial to Compare the Efficacy and Safety of </w:t>
      </w:r>
      <w:proofErr w:type="spellStart"/>
      <w:r w:rsidR="00D60DCE" w:rsidRPr="00AE0EDE">
        <w:t>Lenvatinib</w:t>
      </w:r>
      <w:proofErr w:type="spellEnd"/>
      <w:r w:rsidR="00D60DCE" w:rsidRPr="00AE0EDE">
        <w:t xml:space="preserve"> (E</w:t>
      </w:r>
      <w:r w:rsidR="00784FEB">
        <w:t xml:space="preserve">7080) Versus </w:t>
      </w:r>
      <w:proofErr w:type="spellStart"/>
      <w:r w:rsidR="00784FEB">
        <w:t>Sorafenib</w:t>
      </w:r>
      <w:proofErr w:type="spellEnd"/>
      <w:r w:rsidR="00784FEB">
        <w:t xml:space="preserve"> in First </w:t>
      </w:r>
      <w:r w:rsidR="00D60DCE" w:rsidRPr="00AE0EDE">
        <w:t xml:space="preserve">Line Treatment of Subjects </w:t>
      </w:r>
      <w:proofErr w:type="gramStart"/>
      <w:r w:rsidR="00D60DCE" w:rsidRPr="00AE0EDE">
        <w:t>With</w:t>
      </w:r>
      <w:proofErr w:type="gramEnd"/>
      <w:r w:rsidR="00D60DCE" w:rsidRPr="00AE0EDE">
        <w:t xml:space="preserve"> </w:t>
      </w:r>
      <w:proofErr w:type="spellStart"/>
      <w:r w:rsidR="00D60DCE" w:rsidRPr="00AE0EDE">
        <w:t>Unresectable</w:t>
      </w:r>
      <w:proofErr w:type="spellEnd"/>
      <w:r w:rsidR="00D60DCE" w:rsidRPr="00AE0EDE">
        <w:t xml:space="preserve"> Hepatocellular Carcinoma</w:t>
      </w:r>
      <w:r w:rsidR="00772CC0">
        <w:t>.</w:t>
      </w:r>
    </w:p>
    <w:p w:rsidR="00D60DCE" w:rsidRPr="00AE0EDE" w:rsidRDefault="00784FEB" w:rsidP="00AE0EDE">
      <w:pPr>
        <w:pStyle w:val="ListBullet2"/>
      </w:pPr>
      <w:r>
        <w:t>E7080-J081-110. A Phase I Dose E</w:t>
      </w:r>
      <w:r w:rsidR="00D60DCE" w:rsidRPr="00AE0EDE">
        <w:t xml:space="preserve">scalation Study of E7080 in Combination with Carboplatin and Paclitaxel in Patients with Stage IIIB or IV </w:t>
      </w:r>
      <w:r w:rsidR="00AE0F54" w:rsidRPr="00AE0EDE">
        <w:t>Non</w:t>
      </w:r>
      <w:r w:rsidR="00AE0F54">
        <w:t>-S</w:t>
      </w:r>
      <w:r w:rsidR="00AE0F54" w:rsidRPr="00AE0EDE">
        <w:t>mall</w:t>
      </w:r>
      <w:r w:rsidR="00D60DCE" w:rsidRPr="00AE0EDE">
        <w:t xml:space="preserve"> Cell Lung Cancer</w:t>
      </w:r>
    </w:p>
    <w:p w:rsidR="00D60DCE" w:rsidRPr="00AE0EDE" w:rsidRDefault="00784FEB" w:rsidP="00AE0EDE">
      <w:pPr>
        <w:pStyle w:val="ListBullet2"/>
      </w:pPr>
      <w:r>
        <w:t>E7080-J081-202:</w:t>
      </w:r>
      <w:r w:rsidR="00484974">
        <w:t xml:space="preserve"> Safety Progress Report. </w:t>
      </w:r>
      <w:proofErr w:type="gramStart"/>
      <w:r w:rsidR="00484974">
        <w:t>Phase</w:t>
      </w:r>
      <w:proofErr w:type="gramEnd"/>
      <w:r w:rsidR="00484974">
        <w:t xml:space="preserve"> I</w:t>
      </w:r>
      <w:r w:rsidR="00D60DCE" w:rsidRPr="00AE0EDE">
        <w:t>/</w:t>
      </w:r>
      <w:r w:rsidR="00484974">
        <w:t>II</w:t>
      </w:r>
      <w:r w:rsidR="00D60DCE" w:rsidRPr="00AE0EDE">
        <w:t xml:space="preserve"> Study of E7080 in Patients With Advanced Hepatocellular Carcinoma (HCC).</w:t>
      </w:r>
    </w:p>
    <w:p w:rsidR="00D60DCE" w:rsidRPr="00AE0EDE" w:rsidRDefault="00E903AE" w:rsidP="00AE0EDE">
      <w:pPr>
        <w:pStyle w:val="ListBullet"/>
      </w:pPr>
      <w:r>
        <w:t>Integrated Safety summary</w:t>
      </w:r>
    </w:p>
    <w:p w:rsidR="00772CC0" w:rsidRDefault="00D60DCE" w:rsidP="00AE0EDE">
      <w:pPr>
        <w:pStyle w:val="ListBullet"/>
      </w:pPr>
      <w:r w:rsidRPr="00AE0EDE">
        <w:t>Integrated Efficacy (pivotal study 303)</w:t>
      </w:r>
    </w:p>
    <w:p w:rsidR="00605AD4" w:rsidRDefault="00605AD4" w:rsidP="00605AD4">
      <w:pPr>
        <w:pStyle w:val="Heading4"/>
      </w:pPr>
      <w:r w:rsidRPr="00605AD4">
        <w:t>Paediatric data</w:t>
      </w:r>
    </w:p>
    <w:p w:rsidR="00A32404" w:rsidRPr="00A32404" w:rsidRDefault="00A32404" w:rsidP="00A32404">
      <w:r w:rsidRPr="00A32404">
        <w:t xml:space="preserve">The submission did not submit data to support use in a paediatric population however a Paediatric Investigation Plan (PIP) is agreed in Europe. The date a study is requested to be reported as part of the PIP is June 2018. The </w:t>
      </w:r>
      <w:r w:rsidR="00AE2570">
        <w:t>s</w:t>
      </w:r>
      <w:r w:rsidRPr="00A32404">
        <w:t>ponsor has a waiver from having to submit a P</w:t>
      </w:r>
      <w:r w:rsidR="007372CC">
        <w:t>a</w:t>
      </w:r>
      <w:r w:rsidRPr="00A32404">
        <w:t>e</w:t>
      </w:r>
      <w:r w:rsidR="00AE2570">
        <w:t>diatric Assessment in the US</w:t>
      </w:r>
      <w:r w:rsidRPr="00A32404">
        <w:t>. As lenvatinib has been granted orphan</w:t>
      </w:r>
      <w:r w:rsidR="007372CC">
        <w:t xml:space="preserve"> </w:t>
      </w:r>
      <w:r w:rsidRPr="00A32404">
        <w:t xml:space="preserve">drug designation in the </w:t>
      </w:r>
      <w:r w:rsidR="00D11184">
        <w:t>US</w:t>
      </w:r>
      <w:r w:rsidRPr="00A32404">
        <w:t xml:space="preserve"> for treatment of follicular, medullary, anaplastic, and metastatic or locally advanced papillary thyroid cancer, the </w:t>
      </w:r>
      <w:r w:rsidR="00D77BD3">
        <w:t>s</w:t>
      </w:r>
      <w:r w:rsidRPr="00A32404">
        <w:t>ponsor states it is exempt from the P</w:t>
      </w:r>
      <w:r w:rsidR="007372CC">
        <w:t>a</w:t>
      </w:r>
      <w:r w:rsidRPr="00A32404">
        <w:t>ediatric Research Equity Act requirements.</w:t>
      </w:r>
    </w:p>
    <w:p w:rsidR="00A32404" w:rsidRPr="00A32404" w:rsidRDefault="00A32404" w:rsidP="00A32404">
      <w:pPr>
        <w:ind w:left="720"/>
        <w:rPr>
          <w:i/>
        </w:rPr>
      </w:pPr>
      <w:r w:rsidRPr="00A32404">
        <w:rPr>
          <w:i/>
        </w:rPr>
        <w:t xml:space="preserve">Comment: the </w:t>
      </w:r>
      <w:r>
        <w:rPr>
          <w:i/>
        </w:rPr>
        <w:t>s</w:t>
      </w:r>
      <w:r w:rsidRPr="00A32404">
        <w:rPr>
          <w:i/>
        </w:rPr>
        <w:t>ponsor did not specify if there was an unmet need for a treatment in this group. As there is no current data, this drug should not be used in paediatric patients and stated in the PI and CMI until data on efficacy and safety in this group becomes available.</w:t>
      </w:r>
    </w:p>
    <w:p w:rsidR="00605AD4" w:rsidRDefault="00605AD4" w:rsidP="00605AD4">
      <w:pPr>
        <w:pStyle w:val="Heading4"/>
      </w:pPr>
      <w:r w:rsidRPr="00605AD4">
        <w:lastRenderedPageBreak/>
        <w:t>Good clinical practice</w:t>
      </w:r>
    </w:p>
    <w:p w:rsidR="00AE2570" w:rsidRPr="00AE2570" w:rsidRDefault="00AE2570" w:rsidP="00AE2570">
      <w:bookmarkStart w:id="82" w:name="_Toc241374282"/>
      <w:r w:rsidRPr="00AE2570">
        <w:t>The clinical studies in the submission complied with CPMP/ICH/135/95 Note for Guidance on Good Clinical Practice (as annotated with TGA comments), including</w:t>
      </w:r>
      <w:r w:rsidR="00D11184">
        <w:t xml:space="preserve"> appropriate ethical standards.</w:t>
      </w:r>
      <w:r w:rsidR="00D11184">
        <w:rPr>
          <w:rStyle w:val="FootnoteReference"/>
        </w:rPr>
        <w:footnoteReference w:id="33"/>
      </w:r>
    </w:p>
    <w:p w:rsidR="00AE2570" w:rsidRPr="00AE2570" w:rsidRDefault="00AE2570" w:rsidP="00AE2570">
      <w:r w:rsidRPr="00AE2570">
        <w:t>Specifically, the pivotal study (303) was conducted in accordance with standard operating procedures (SOPs) of the sponsor or designee to Good Clinical Practice (GCP) guidelines as required by the following:</w:t>
      </w:r>
    </w:p>
    <w:p w:rsidR="00AE2570" w:rsidRPr="00AE2570" w:rsidRDefault="00AE2570" w:rsidP="00AE2570">
      <w:pPr>
        <w:pStyle w:val="ListBullet"/>
      </w:pPr>
      <w:r w:rsidRPr="00AE2570">
        <w:t>Principles of the World Medical Association Declaration of Helsinki, 2008</w:t>
      </w:r>
      <w:r w:rsidR="00D11184">
        <w:t>;</w:t>
      </w:r>
    </w:p>
    <w:p w:rsidR="00AE2570" w:rsidRPr="00AE2570" w:rsidRDefault="00AE2570" w:rsidP="00AE2570">
      <w:pPr>
        <w:pStyle w:val="ListBullet"/>
      </w:pPr>
      <w:r w:rsidRPr="00AE2570">
        <w:t>ICH E6 Guideline for GCP (CPMP/ICH/135/95) of the European Agency for the Evaluation of Medicinal Products, Committee for Proprietary Medicinal Products, International Conference on Harmonisation of Pharmaceuticals for Human Use</w:t>
      </w:r>
      <w:r w:rsidR="00D11184">
        <w:t>;</w:t>
      </w:r>
      <w:r w:rsidR="00C17533">
        <w:rPr>
          <w:rStyle w:val="FootnoteReference"/>
        </w:rPr>
        <w:footnoteReference w:id="34"/>
      </w:r>
    </w:p>
    <w:p w:rsidR="00AE2570" w:rsidRPr="00AE2570" w:rsidRDefault="00AE2570" w:rsidP="00AE2570">
      <w:pPr>
        <w:pStyle w:val="ListBullet"/>
      </w:pPr>
      <w:r w:rsidRPr="00AE2570">
        <w:t>Title 21 of the United States Code of Federal Regulations (US 21 CFR) regarding clinical studies, including Part 50 and Part 56 concerning informed subject consent and IRB regulations and applicable sections of US 21 CFR Part 312</w:t>
      </w:r>
      <w:r w:rsidR="00D11184">
        <w:t>;</w:t>
      </w:r>
    </w:p>
    <w:p w:rsidR="00AE2570" w:rsidRPr="00AE2570" w:rsidRDefault="00AE2570" w:rsidP="00AE2570">
      <w:pPr>
        <w:pStyle w:val="ListBullet"/>
      </w:pPr>
      <w:r w:rsidRPr="00AE2570">
        <w:t xml:space="preserve">European Good Clinical Practice Directive 2005/28/EC and Clinical Trial Directive 2001/20/EC for studies conducted within any </w:t>
      </w:r>
      <w:r w:rsidR="003012B9">
        <w:t>EU</w:t>
      </w:r>
      <w:r w:rsidRPr="00AE2570">
        <w:t xml:space="preserve"> country. All suspected unexpected serious adverse reactions (SUSARs) were reported, as required, to the Competent Authorities of all involved EU </w:t>
      </w:r>
      <w:r w:rsidR="00D11184">
        <w:t>member states;</w:t>
      </w:r>
    </w:p>
    <w:p w:rsidR="00AE2570" w:rsidRPr="00AE2570" w:rsidRDefault="00AE2570" w:rsidP="00AE2570">
      <w:pPr>
        <w:pStyle w:val="ListBullet"/>
      </w:pPr>
      <w:r w:rsidRPr="00AE2570">
        <w:t>Article 14, Paragraph 3, and Article 80-2 of the Pharmaceutical Affairs Law (Law No. 145, 1960) for studies conducted in Japan, in addition to Japan’s GCP.</w:t>
      </w:r>
    </w:p>
    <w:p w:rsidR="008E7846" w:rsidRDefault="008E7846" w:rsidP="00605AD4">
      <w:pPr>
        <w:pStyle w:val="Heading3"/>
      </w:pPr>
      <w:bookmarkStart w:id="83" w:name="_Toc461092045"/>
      <w:bookmarkEnd w:id="82"/>
      <w:r w:rsidRPr="00254787">
        <w:t>Pharmacokinetics</w:t>
      </w:r>
      <w:bookmarkEnd w:id="72"/>
      <w:bookmarkEnd w:id="79"/>
      <w:bookmarkEnd w:id="80"/>
      <w:bookmarkEnd w:id="81"/>
      <w:bookmarkEnd w:id="83"/>
    </w:p>
    <w:p w:rsidR="00232A97" w:rsidRDefault="00232A97" w:rsidP="00232A97">
      <w:pPr>
        <w:pStyle w:val="Heading4"/>
      </w:pPr>
      <w:r>
        <w:t>Studies providing pharmacokinetic data</w:t>
      </w:r>
    </w:p>
    <w:p w:rsidR="00232A97" w:rsidRDefault="009E15E9" w:rsidP="00232A97">
      <w:r w:rsidRPr="009E15E9">
        <w:t xml:space="preserve">Table </w:t>
      </w:r>
      <w:r w:rsidR="005E63A9">
        <w:t>6</w:t>
      </w:r>
      <w:r w:rsidRPr="009E15E9">
        <w:t xml:space="preserve"> shows the studies relating to each pharmacokinetic topic.</w:t>
      </w:r>
    </w:p>
    <w:p w:rsidR="009E15E9" w:rsidRDefault="009E15E9" w:rsidP="00431F9E">
      <w:pPr>
        <w:pStyle w:val="TableTitle"/>
      </w:pPr>
      <w:proofErr w:type="gramStart"/>
      <w:r>
        <w:t xml:space="preserve">Table </w:t>
      </w:r>
      <w:r w:rsidR="005E63A9">
        <w:t>6</w:t>
      </w:r>
      <w:r>
        <w:t>.</w:t>
      </w:r>
      <w:proofErr w:type="gramEnd"/>
      <w:r w:rsidR="00632F69" w:rsidRPr="00632F69">
        <w:t xml:space="preserve"> </w:t>
      </w:r>
      <w:proofErr w:type="gramStart"/>
      <w:r w:rsidR="00632F69" w:rsidRPr="00632F69">
        <w:t>Submitted pharmacokinetic studies</w:t>
      </w:r>
      <w:r w:rsidR="00632F69">
        <w:t>.</w:t>
      </w:r>
      <w:proofErr w:type="gramEnd"/>
    </w:p>
    <w:tbl>
      <w:tblPr>
        <w:tblStyle w:val="TableTGAblue"/>
        <w:tblW w:w="8472" w:type="dxa"/>
        <w:tblLayout w:type="fixed"/>
        <w:tblLook w:val="04A0" w:firstRow="1" w:lastRow="0" w:firstColumn="1" w:lastColumn="0" w:noHBand="0" w:noVBand="1"/>
      </w:tblPr>
      <w:tblGrid>
        <w:gridCol w:w="1526"/>
        <w:gridCol w:w="2551"/>
        <w:gridCol w:w="3402"/>
        <w:gridCol w:w="993"/>
      </w:tblGrid>
      <w:tr w:rsidR="00786DDA" w:rsidRPr="00834B2C" w:rsidTr="0097127E">
        <w:trPr>
          <w:cnfStyle w:val="100000000000" w:firstRow="1" w:lastRow="0" w:firstColumn="0" w:lastColumn="0" w:oddVBand="0" w:evenVBand="0" w:oddHBand="0" w:evenHBand="0" w:firstRowFirstColumn="0" w:firstRowLastColumn="0" w:lastRowFirstColumn="0" w:lastRowLastColumn="0"/>
        </w:trPr>
        <w:tc>
          <w:tcPr>
            <w:tcW w:w="1526" w:type="dxa"/>
          </w:tcPr>
          <w:p w:rsidR="00786DDA" w:rsidRPr="00834B2C" w:rsidRDefault="00786DDA" w:rsidP="00AE0F54">
            <w:pPr>
              <w:ind w:left="0"/>
            </w:pPr>
            <w:r w:rsidRPr="00834B2C">
              <w:t>PK topic</w:t>
            </w:r>
          </w:p>
        </w:tc>
        <w:tc>
          <w:tcPr>
            <w:tcW w:w="2551" w:type="dxa"/>
          </w:tcPr>
          <w:p w:rsidR="00786DDA" w:rsidRPr="00834B2C" w:rsidRDefault="00786DDA" w:rsidP="00AE0F54">
            <w:pPr>
              <w:ind w:left="34"/>
            </w:pPr>
            <w:r w:rsidRPr="00834B2C">
              <w:t>Subtopic</w:t>
            </w:r>
          </w:p>
        </w:tc>
        <w:tc>
          <w:tcPr>
            <w:tcW w:w="3402" w:type="dxa"/>
          </w:tcPr>
          <w:p w:rsidR="00786DDA" w:rsidRPr="00834B2C" w:rsidRDefault="00786DDA" w:rsidP="00AE0F54">
            <w:pPr>
              <w:ind w:left="34"/>
            </w:pPr>
            <w:r w:rsidRPr="00834B2C">
              <w:t>Study ID</w:t>
            </w:r>
          </w:p>
        </w:tc>
        <w:tc>
          <w:tcPr>
            <w:tcW w:w="993" w:type="dxa"/>
          </w:tcPr>
          <w:p w:rsidR="00786DDA" w:rsidRPr="00834B2C" w:rsidRDefault="00786DDA" w:rsidP="00AE0F54">
            <w:r w:rsidRPr="00834B2C">
              <w:t>*</w:t>
            </w:r>
          </w:p>
        </w:tc>
      </w:tr>
      <w:tr w:rsidR="00786DDA" w:rsidRPr="00834B2C" w:rsidTr="0097127E">
        <w:tc>
          <w:tcPr>
            <w:tcW w:w="1526" w:type="dxa"/>
            <w:vMerge w:val="restart"/>
          </w:tcPr>
          <w:p w:rsidR="00786DDA" w:rsidRPr="00834B2C" w:rsidRDefault="00786DDA" w:rsidP="00AE0F54">
            <w:pPr>
              <w:ind w:left="0"/>
            </w:pPr>
            <w:r w:rsidRPr="00834B2C">
              <w:t>PK in healthy adults</w:t>
            </w:r>
          </w:p>
        </w:tc>
        <w:tc>
          <w:tcPr>
            <w:tcW w:w="2551" w:type="dxa"/>
          </w:tcPr>
          <w:p w:rsidR="00786DDA" w:rsidRPr="00834B2C" w:rsidRDefault="00786DDA" w:rsidP="00AE0F54">
            <w:pPr>
              <w:ind w:left="34"/>
            </w:pPr>
            <w:r w:rsidRPr="00834B2C">
              <w:t>General PK</w:t>
            </w:r>
          </w:p>
        </w:tc>
        <w:tc>
          <w:tcPr>
            <w:tcW w:w="3402" w:type="dxa"/>
          </w:tcPr>
          <w:p w:rsidR="00786DDA" w:rsidRPr="00834B2C" w:rsidRDefault="00786DDA" w:rsidP="00AE0F54">
            <w:pPr>
              <w:ind w:left="34"/>
            </w:pPr>
          </w:p>
        </w:tc>
        <w:tc>
          <w:tcPr>
            <w:tcW w:w="993" w:type="dxa"/>
          </w:tcPr>
          <w:p w:rsidR="00786DDA" w:rsidRPr="00834B2C" w:rsidRDefault="00786DDA" w:rsidP="00AE0F54"/>
        </w:tc>
      </w:tr>
      <w:tr w:rsidR="00786DDA" w:rsidRPr="00834B2C" w:rsidTr="0097127E">
        <w:tc>
          <w:tcPr>
            <w:tcW w:w="1526" w:type="dxa"/>
            <w:vMerge/>
          </w:tcPr>
          <w:p w:rsidR="00786DDA" w:rsidRPr="00834B2C" w:rsidRDefault="00786DDA" w:rsidP="00AE0F54">
            <w:pPr>
              <w:ind w:left="0"/>
            </w:pPr>
          </w:p>
        </w:tc>
        <w:tc>
          <w:tcPr>
            <w:tcW w:w="2551" w:type="dxa"/>
          </w:tcPr>
          <w:p w:rsidR="00786DDA" w:rsidRPr="00834B2C" w:rsidRDefault="0097127E" w:rsidP="00AE0F54">
            <w:pPr>
              <w:ind w:left="34"/>
            </w:pPr>
            <w:r>
              <w:t xml:space="preserve">Single </w:t>
            </w:r>
            <w:r w:rsidR="00786DDA" w:rsidRPr="00834B2C">
              <w:t>dose</w:t>
            </w:r>
          </w:p>
        </w:tc>
        <w:tc>
          <w:tcPr>
            <w:tcW w:w="3402" w:type="dxa"/>
          </w:tcPr>
          <w:p w:rsidR="00786DDA" w:rsidRPr="00834B2C" w:rsidRDefault="00786DDA" w:rsidP="00AE0F54">
            <w:pPr>
              <w:ind w:left="34"/>
            </w:pPr>
          </w:p>
        </w:tc>
        <w:tc>
          <w:tcPr>
            <w:tcW w:w="993" w:type="dxa"/>
          </w:tcPr>
          <w:p w:rsidR="00786DDA" w:rsidRPr="00834B2C" w:rsidRDefault="00786DDA" w:rsidP="00AE0F54"/>
        </w:tc>
      </w:tr>
      <w:tr w:rsidR="00786DDA" w:rsidRPr="00834B2C" w:rsidTr="0097127E">
        <w:tc>
          <w:tcPr>
            <w:tcW w:w="1526" w:type="dxa"/>
            <w:vMerge/>
          </w:tcPr>
          <w:p w:rsidR="00786DDA" w:rsidRPr="00834B2C" w:rsidRDefault="00786DDA" w:rsidP="00AE0F54">
            <w:pPr>
              <w:ind w:left="0"/>
            </w:pPr>
          </w:p>
        </w:tc>
        <w:tc>
          <w:tcPr>
            <w:tcW w:w="2551" w:type="dxa"/>
          </w:tcPr>
          <w:p w:rsidR="00786DDA" w:rsidRPr="00834B2C" w:rsidRDefault="00786DDA" w:rsidP="00AE0F54">
            <w:pPr>
              <w:ind w:left="34"/>
            </w:pPr>
            <w:r w:rsidRPr="00834B2C">
              <w:t xml:space="preserve">Bioequivalence </w:t>
            </w:r>
            <w:r w:rsidR="0097127E">
              <w:t>†</w:t>
            </w:r>
          </w:p>
        </w:tc>
        <w:tc>
          <w:tcPr>
            <w:tcW w:w="3402" w:type="dxa"/>
          </w:tcPr>
          <w:p w:rsidR="00786DDA" w:rsidRPr="00834B2C" w:rsidRDefault="00786DDA" w:rsidP="00AE0F54">
            <w:pPr>
              <w:ind w:left="34"/>
            </w:pPr>
            <w:r w:rsidRPr="00834B2C">
              <w:t>E7080-A001-008</w:t>
            </w:r>
          </w:p>
          <w:p w:rsidR="00786DDA" w:rsidRPr="00834B2C" w:rsidRDefault="00786DDA" w:rsidP="00AE0F54">
            <w:pPr>
              <w:ind w:left="34"/>
            </w:pPr>
            <w:r w:rsidRPr="00834B2C">
              <w:t>Open</w:t>
            </w:r>
            <w:r w:rsidR="003012B9">
              <w:t xml:space="preserve"> </w:t>
            </w:r>
            <w:r w:rsidRPr="00834B2C">
              <w:t>label, randomi</w:t>
            </w:r>
            <w:r w:rsidR="003012B9">
              <w:t>s</w:t>
            </w:r>
            <w:r w:rsidRPr="00834B2C">
              <w:t>ed, 2</w:t>
            </w:r>
            <w:r w:rsidR="003012B9">
              <w:t xml:space="preserve"> </w:t>
            </w:r>
            <w:proofErr w:type="gramStart"/>
            <w:r w:rsidR="003012B9">
              <w:t>period</w:t>
            </w:r>
            <w:proofErr w:type="gramEnd"/>
            <w:r w:rsidR="003012B9">
              <w:t xml:space="preserve">, 2 </w:t>
            </w:r>
            <w:r w:rsidRPr="00834B2C">
              <w:t>sequence crossover study to evaluate BE o</w:t>
            </w:r>
            <w:r w:rsidR="003012B9">
              <w:t xml:space="preserve">f 2 oral capsule formulations: </w:t>
            </w:r>
            <w:r w:rsidRPr="00834B2C">
              <w:t xml:space="preserve">both were bioequivalent to the reference formulation. </w:t>
            </w:r>
          </w:p>
        </w:tc>
        <w:tc>
          <w:tcPr>
            <w:tcW w:w="993" w:type="dxa"/>
          </w:tcPr>
          <w:p w:rsidR="00786DDA" w:rsidRPr="00834B2C" w:rsidRDefault="00786DDA" w:rsidP="00AE0F54">
            <w:r w:rsidRPr="00834B2C">
              <w:t>*</w:t>
            </w:r>
          </w:p>
        </w:tc>
      </w:tr>
      <w:tr w:rsidR="00786DDA" w:rsidRPr="00834B2C" w:rsidTr="0097127E">
        <w:tc>
          <w:tcPr>
            <w:tcW w:w="1526" w:type="dxa"/>
            <w:vMerge/>
          </w:tcPr>
          <w:p w:rsidR="00786DDA" w:rsidRPr="00834B2C" w:rsidRDefault="00786DDA" w:rsidP="00AE0F54">
            <w:pPr>
              <w:ind w:left="0"/>
            </w:pPr>
          </w:p>
        </w:tc>
        <w:tc>
          <w:tcPr>
            <w:tcW w:w="2551" w:type="dxa"/>
          </w:tcPr>
          <w:p w:rsidR="00786DDA" w:rsidRPr="00834B2C" w:rsidRDefault="00786DDA" w:rsidP="00AE0F54">
            <w:pPr>
              <w:ind w:left="34"/>
            </w:pPr>
          </w:p>
        </w:tc>
        <w:tc>
          <w:tcPr>
            <w:tcW w:w="3402" w:type="dxa"/>
          </w:tcPr>
          <w:p w:rsidR="00786DDA" w:rsidRPr="00834B2C" w:rsidRDefault="00786DDA" w:rsidP="00AE0F54">
            <w:pPr>
              <w:ind w:left="34"/>
            </w:pPr>
            <w:r w:rsidRPr="00834B2C">
              <w:t>E7080-A001-001</w:t>
            </w:r>
            <w:r w:rsidR="00AE0F54">
              <w:t xml:space="preserve"> </w:t>
            </w:r>
            <w:r w:rsidRPr="00834B2C">
              <w:t>Comparative bioavailability study of a 10</w:t>
            </w:r>
            <w:r w:rsidR="001E75BA">
              <w:t xml:space="preserve"> </w:t>
            </w:r>
            <w:r w:rsidRPr="00834B2C">
              <w:t>mg new formulation (capsule) and a 10</w:t>
            </w:r>
            <w:r w:rsidR="001E75BA">
              <w:t xml:space="preserve"> </w:t>
            </w:r>
            <w:r w:rsidRPr="00834B2C">
              <w:t xml:space="preserve">mg old formulation </w:t>
            </w:r>
            <w:r w:rsidRPr="00834B2C">
              <w:lastRenderedPageBreak/>
              <w:t>(tablet) of lenvatinib in healthy subjects.</w:t>
            </w:r>
          </w:p>
          <w:p w:rsidR="00786DDA" w:rsidRPr="00834B2C" w:rsidRDefault="00786DDA" w:rsidP="00AE0F54">
            <w:pPr>
              <w:ind w:left="34"/>
            </w:pPr>
            <w:r w:rsidRPr="00834B2C">
              <w:t xml:space="preserve">Mean total exposure from capsule was approximately 10% less than that of the tablet. Mean </w:t>
            </w:r>
            <w:proofErr w:type="spellStart"/>
            <w:r w:rsidRPr="00834B2C">
              <w:t>Cmax</w:t>
            </w:r>
            <w:proofErr w:type="spellEnd"/>
            <w:r w:rsidRPr="00834B2C">
              <w:t xml:space="preserve"> was approximately 14% lower and mean t1/2 and median </w:t>
            </w:r>
            <w:proofErr w:type="spellStart"/>
            <w:r w:rsidR="001E75BA">
              <w:t>T</w:t>
            </w:r>
            <w:r w:rsidRPr="00834B2C">
              <w:t>max</w:t>
            </w:r>
            <w:proofErr w:type="spellEnd"/>
            <w:r w:rsidRPr="00834B2C">
              <w:t xml:space="preserve"> values were comparable between the capsule and tablet.</w:t>
            </w:r>
          </w:p>
        </w:tc>
        <w:tc>
          <w:tcPr>
            <w:tcW w:w="993" w:type="dxa"/>
          </w:tcPr>
          <w:p w:rsidR="00786DDA" w:rsidRPr="00834B2C" w:rsidRDefault="00786DDA" w:rsidP="00AE0F54">
            <w:r w:rsidRPr="00834B2C">
              <w:lastRenderedPageBreak/>
              <w:t>*</w:t>
            </w:r>
          </w:p>
        </w:tc>
      </w:tr>
      <w:tr w:rsidR="00786DDA" w:rsidRPr="00834B2C" w:rsidTr="0097127E">
        <w:tc>
          <w:tcPr>
            <w:tcW w:w="1526" w:type="dxa"/>
            <w:vMerge/>
          </w:tcPr>
          <w:p w:rsidR="00786DDA" w:rsidRPr="00834B2C" w:rsidRDefault="00786DDA" w:rsidP="00AE0F54">
            <w:pPr>
              <w:ind w:left="0"/>
            </w:pPr>
          </w:p>
        </w:tc>
        <w:tc>
          <w:tcPr>
            <w:tcW w:w="2551" w:type="dxa"/>
          </w:tcPr>
          <w:p w:rsidR="00786DDA" w:rsidRPr="00834B2C" w:rsidRDefault="00786DDA" w:rsidP="00AE0F54">
            <w:pPr>
              <w:ind w:left="34"/>
            </w:pPr>
            <w:r w:rsidRPr="00834B2C">
              <w:t>Multi</w:t>
            </w:r>
            <w:r w:rsidR="0097127E">
              <w:t xml:space="preserve"> </w:t>
            </w:r>
            <w:r w:rsidRPr="00834B2C">
              <w:t>dose</w:t>
            </w:r>
          </w:p>
        </w:tc>
        <w:tc>
          <w:tcPr>
            <w:tcW w:w="3402" w:type="dxa"/>
          </w:tcPr>
          <w:p w:rsidR="00786DDA" w:rsidRPr="00834B2C" w:rsidRDefault="00786DDA" w:rsidP="00AE0F54">
            <w:pPr>
              <w:ind w:left="34"/>
            </w:pPr>
          </w:p>
        </w:tc>
        <w:tc>
          <w:tcPr>
            <w:tcW w:w="993" w:type="dxa"/>
          </w:tcPr>
          <w:p w:rsidR="00786DDA" w:rsidRPr="00834B2C" w:rsidRDefault="00786DDA" w:rsidP="00AE0F54"/>
        </w:tc>
      </w:tr>
      <w:tr w:rsidR="00786DDA" w:rsidRPr="00834B2C" w:rsidTr="0097127E">
        <w:tc>
          <w:tcPr>
            <w:tcW w:w="1526" w:type="dxa"/>
            <w:vMerge/>
          </w:tcPr>
          <w:p w:rsidR="00786DDA" w:rsidRPr="00834B2C" w:rsidRDefault="00786DDA" w:rsidP="00AE0F54">
            <w:pPr>
              <w:ind w:left="0"/>
            </w:pPr>
          </w:p>
        </w:tc>
        <w:tc>
          <w:tcPr>
            <w:tcW w:w="2551" w:type="dxa"/>
          </w:tcPr>
          <w:p w:rsidR="00786DDA" w:rsidRPr="00834B2C" w:rsidRDefault="00786DDA" w:rsidP="00AE0F54">
            <w:pPr>
              <w:ind w:left="34"/>
            </w:pPr>
            <w:r w:rsidRPr="00834B2C">
              <w:t>Food effect</w:t>
            </w:r>
          </w:p>
        </w:tc>
        <w:tc>
          <w:tcPr>
            <w:tcW w:w="3402" w:type="dxa"/>
          </w:tcPr>
          <w:p w:rsidR="00786DDA" w:rsidRPr="00834B2C" w:rsidRDefault="00786DDA" w:rsidP="00AE0F54">
            <w:pPr>
              <w:ind w:left="34"/>
            </w:pPr>
            <w:r w:rsidRPr="00834B2C">
              <w:t>E7080-A001-003</w:t>
            </w:r>
          </w:p>
          <w:p w:rsidR="00786DDA" w:rsidRPr="00834B2C" w:rsidRDefault="00786DDA" w:rsidP="00AE0F54">
            <w:pPr>
              <w:ind w:left="34"/>
            </w:pPr>
            <w:r w:rsidRPr="00834B2C">
              <w:t>Open-label, randomi</w:t>
            </w:r>
            <w:r w:rsidR="001658E9">
              <w:t>s</w:t>
            </w:r>
            <w:r w:rsidRPr="00834B2C">
              <w:t>ed, 2</w:t>
            </w:r>
            <w:r w:rsidR="001658E9">
              <w:t xml:space="preserve"> </w:t>
            </w:r>
            <w:r w:rsidRPr="00834B2C">
              <w:t xml:space="preserve">way crossover bioavailability </w:t>
            </w:r>
            <w:proofErr w:type="gramStart"/>
            <w:r w:rsidRPr="00834B2C">
              <w:t>study</w:t>
            </w:r>
            <w:proofErr w:type="gramEnd"/>
            <w:r w:rsidRPr="00834B2C">
              <w:t xml:space="preserve"> to evaluate the effect of food on the PK of lenvatinib. Tota</w:t>
            </w:r>
            <w:r w:rsidR="001658E9">
              <w:t>l lenvatinib exposure (AUC</w:t>
            </w:r>
            <w:r w:rsidR="001658E9" w:rsidRPr="001658E9">
              <w:rPr>
                <w:vertAlign w:val="subscript"/>
              </w:rPr>
              <w:t>0-</w:t>
            </w:r>
            <w:r w:rsidR="001658E9" w:rsidRPr="001658E9">
              <w:rPr>
                <w:rFonts w:ascii="Times New Roman" w:hAnsi="Times New Roman"/>
                <w:vertAlign w:val="subscript"/>
              </w:rPr>
              <w:t>∞</w:t>
            </w:r>
            <w:r w:rsidRPr="00834B2C">
              <w:t xml:space="preserve">) for the fed group was ~ 6% greater than that of the fasted group. </w:t>
            </w:r>
            <w:proofErr w:type="spellStart"/>
            <w:r w:rsidRPr="00834B2C">
              <w:t>Cmax</w:t>
            </w:r>
            <w:proofErr w:type="spellEnd"/>
            <w:r w:rsidRPr="00834B2C">
              <w:t xml:space="preserve"> for the fed group was variable and</w:t>
            </w:r>
            <w:r w:rsidR="00AD4923">
              <w:t xml:space="preserve"> </w:t>
            </w:r>
            <w:r w:rsidRPr="00834B2C">
              <w:t xml:space="preserve">4.5% lower than that of the fasted group. The study was </w:t>
            </w:r>
            <w:proofErr w:type="gramStart"/>
            <w:r w:rsidRPr="00834B2C">
              <w:t>unpowered,</w:t>
            </w:r>
            <w:proofErr w:type="gramEnd"/>
            <w:r w:rsidRPr="00834B2C">
              <w:t xml:space="preserve"> the 90% CIs for </w:t>
            </w:r>
            <w:r w:rsidR="001658E9">
              <w:t>AUC</w:t>
            </w:r>
            <w:r w:rsidR="001658E9" w:rsidRPr="001658E9">
              <w:rPr>
                <w:vertAlign w:val="subscript"/>
              </w:rPr>
              <w:t>0-</w:t>
            </w:r>
            <w:r w:rsidR="001658E9" w:rsidRPr="001658E9">
              <w:rPr>
                <w:rFonts w:ascii="Times New Roman" w:hAnsi="Times New Roman"/>
                <w:vertAlign w:val="subscript"/>
              </w:rPr>
              <w:t>∞</w:t>
            </w:r>
            <w:r w:rsidR="001658E9">
              <w:rPr>
                <w:rFonts w:ascii="Times New Roman" w:hAnsi="Times New Roman"/>
                <w:vertAlign w:val="subscript"/>
              </w:rPr>
              <w:t xml:space="preserve"> </w:t>
            </w:r>
            <w:r w:rsidR="001658E9">
              <w:t>and AUC</w:t>
            </w:r>
            <w:r w:rsidR="001658E9" w:rsidRPr="001658E9">
              <w:rPr>
                <w:vertAlign w:val="subscript"/>
              </w:rPr>
              <w:t>0-t</w:t>
            </w:r>
            <w:r w:rsidRPr="001658E9">
              <w:rPr>
                <w:vertAlign w:val="subscript"/>
              </w:rPr>
              <w:t xml:space="preserve"> </w:t>
            </w:r>
            <w:r w:rsidRPr="00834B2C">
              <w:t xml:space="preserve">were within the 80-125% CI BE range. </w:t>
            </w:r>
          </w:p>
        </w:tc>
        <w:tc>
          <w:tcPr>
            <w:tcW w:w="993" w:type="dxa"/>
          </w:tcPr>
          <w:p w:rsidR="00786DDA" w:rsidRPr="00834B2C" w:rsidRDefault="00786DDA" w:rsidP="00AE0F54">
            <w:r w:rsidRPr="00834B2C">
              <w:t>*</w:t>
            </w:r>
          </w:p>
        </w:tc>
      </w:tr>
      <w:tr w:rsidR="00786DDA" w:rsidRPr="00834B2C" w:rsidTr="0097127E">
        <w:tc>
          <w:tcPr>
            <w:tcW w:w="1526" w:type="dxa"/>
            <w:vMerge/>
          </w:tcPr>
          <w:p w:rsidR="00786DDA" w:rsidRPr="00834B2C" w:rsidRDefault="00786DDA" w:rsidP="00AE0F54">
            <w:pPr>
              <w:ind w:left="0"/>
            </w:pPr>
          </w:p>
        </w:tc>
        <w:tc>
          <w:tcPr>
            <w:tcW w:w="2551" w:type="dxa"/>
          </w:tcPr>
          <w:p w:rsidR="00786DDA" w:rsidRPr="00834B2C" w:rsidRDefault="00786DDA" w:rsidP="00AE0F54">
            <w:pPr>
              <w:ind w:left="34"/>
            </w:pPr>
            <w:r w:rsidRPr="00834B2C">
              <w:t>Drug interaction, healthy volunteers</w:t>
            </w:r>
          </w:p>
        </w:tc>
        <w:tc>
          <w:tcPr>
            <w:tcW w:w="3402" w:type="dxa"/>
          </w:tcPr>
          <w:p w:rsidR="00786DDA" w:rsidRPr="00834B2C" w:rsidRDefault="00786DDA" w:rsidP="00AE0F54">
            <w:pPr>
              <w:ind w:left="34"/>
            </w:pPr>
            <w:r w:rsidRPr="00834B2C">
              <w:t>E7080-A001-004</w:t>
            </w:r>
          </w:p>
          <w:p w:rsidR="00786DDA" w:rsidRPr="00834B2C" w:rsidRDefault="00D22B8C" w:rsidP="00AE0F54">
            <w:pPr>
              <w:ind w:left="34"/>
            </w:pPr>
            <w:r>
              <w:t>A single centre, randomis</w:t>
            </w:r>
            <w:r w:rsidR="00786DDA" w:rsidRPr="00834B2C">
              <w:t>ed, crossover PK study in healthy volunteers</w:t>
            </w:r>
            <w:r w:rsidR="00AD4923">
              <w:t xml:space="preserve"> </w:t>
            </w:r>
            <w:r w:rsidR="00786DDA" w:rsidRPr="00834B2C">
              <w:t>to assess the influence of simultaneous CYP3A4 and P-</w:t>
            </w:r>
            <w:proofErr w:type="spellStart"/>
            <w:r w:rsidR="00786DDA" w:rsidRPr="00834B2C">
              <w:t>gp</w:t>
            </w:r>
            <w:proofErr w:type="spellEnd"/>
            <w:r w:rsidR="00786DDA" w:rsidRPr="00834B2C">
              <w:t xml:space="preserve"> inhibition on </w:t>
            </w:r>
            <w:proofErr w:type="spellStart"/>
            <w:r w:rsidR="00786DDA" w:rsidRPr="00834B2C">
              <w:t>lenvatinib</w:t>
            </w:r>
            <w:proofErr w:type="spellEnd"/>
            <w:r w:rsidR="00786DDA" w:rsidRPr="00834B2C">
              <w:t xml:space="preserve"> PK following single dose oral</w:t>
            </w:r>
            <w:r w:rsidR="00AD4923">
              <w:t xml:space="preserve"> </w:t>
            </w:r>
            <w:r w:rsidR="00786DDA" w:rsidRPr="00834B2C">
              <w:t>5 mg ketoconazole increases AUC (15-19%)</w:t>
            </w:r>
            <w:r w:rsidR="00AD4923">
              <w:t xml:space="preserve"> </w:t>
            </w:r>
            <w:r w:rsidR="001658E9">
              <w:t xml:space="preserve">but no change in t1/2, </w:t>
            </w:r>
            <w:proofErr w:type="spellStart"/>
            <w:r w:rsidR="001658E9">
              <w:t>T</w:t>
            </w:r>
            <w:r w:rsidR="00786DDA" w:rsidRPr="00834B2C">
              <w:t>max</w:t>
            </w:r>
            <w:proofErr w:type="spellEnd"/>
            <w:r w:rsidR="00786DDA" w:rsidRPr="00834B2C">
              <w:t xml:space="preserve"> </w:t>
            </w:r>
          </w:p>
        </w:tc>
        <w:tc>
          <w:tcPr>
            <w:tcW w:w="993" w:type="dxa"/>
          </w:tcPr>
          <w:p w:rsidR="00786DDA" w:rsidRPr="00834B2C" w:rsidRDefault="00786DDA" w:rsidP="00AE0F54">
            <w:r w:rsidRPr="00834B2C">
              <w:t>*</w:t>
            </w:r>
          </w:p>
        </w:tc>
      </w:tr>
      <w:tr w:rsidR="00786DDA" w:rsidRPr="00834B2C" w:rsidTr="0097127E">
        <w:tc>
          <w:tcPr>
            <w:tcW w:w="1526" w:type="dxa"/>
            <w:vMerge/>
          </w:tcPr>
          <w:p w:rsidR="00786DDA" w:rsidRPr="00834B2C" w:rsidRDefault="00786DDA" w:rsidP="00AE0F54">
            <w:pPr>
              <w:ind w:left="0"/>
            </w:pPr>
          </w:p>
        </w:tc>
        <w:tc>
          <w:tcPr>
            <w:tcW w:w="2551" w:type="dxa"/>
          </w:tcPr>
          <w:p w:rsidR="00786DDA" w:rsidRPr="00834B2C" w:rsidRDefault="00786DDA" w:rsidP="00AE0F54">
            <w:pPr>
              <w:ind w:left="34"/>
            </w:pPr>
          </w:p>
        </w:tc>
        <w:tc>
          <w:tcPr>
            <w:tcW w:w="3402" w:type="dxa"/>
          </w:tcPr>
          <w:p w:rsidR="00786DDA" w:rsidRPr="00834B2C" w:rsidRDefault="00786DDA" w:rsidP="00AE0F54">
            <w:pPr>
              <w:ind w:left="34"/>
            </w:pPr>
            <w:r w:rsidRPr="00834B2C">
              <w:t>E7080-A001-007</w:t>
            </w:r>
          </w:p>
          <w:p w:rsidR="00786DDA" w:rsidRPr="00834B2C" w:rsidRDefault="00822DB0" w:rsidP="00AE0F54">
            <w:pPr>
              <w:ind w:left="34"/>
            </w:pPr>
            <w:r>
              <w:t>A single cent</w:t>
            </w:r>
            <w:r w:rsidR="00786DDA" w:rsidRPr="00834B2C">
              <w:t>r</w:t>
            </w:r>
            <w:r>
              <w:t>e</w:t>
            </w:r>
            <w:r w:rsidR="00786DDA" w:rsidRPr="00834B2C">
              <w:t xml:space="preserve">, sequential design, PK study to assess the influence of CYP3A4 induction with multiple doses of </w:t>
            </w:r>
            <w:proofErr w:type="spellStart"/>
            <w:r w:rsidR="00786DDA" w:rsidRPr="00834B2C">
              <w:t>rifampin</w:t>
            </w:r>
            <w:proofErr w:type="spellEnd"/>
            <w:r w:rsidR="00786DDA" w:rsidRPr="00834B2C">
              <w:t xml:space="preserve">, unbound </w:t>
            </w:r>
            <w:proofErr w:type="spellStart"/>
            <w:r w:rsidR="00786DDA" w:rsidRPr="00834B2C">
              <w:t>lenvatinib</w:t>
            </w:r>
            <w:proofErr w:type="spellEnd"/>
            <w:r w:rsidR="00786DDA" w:rsidRPr="00834B2C">
              <w:t xml:space="preserve"> exposure was reduced about 9% and about 18% for total lenvatinib. </w:t>
            </w:r>
          </w:p>
        </w:tc>
        <w:tc>
          <w:tcPr>
            <w:tcW w:w="993" w:type="dxa"/>
          </w:tcPr>
          <w:p w:rsidR="00786DDA" w:rsidRPr="00834B2C" w:rsidRDefault="00786DDA" w:rsidP="00AE0F54">
            <w:r w:rsidRPr="00834B2C">
              <w:t>*</w:t>
            </w:r>
          </w:p>
        </w:tc>
      </w:tr>
      <w:tr w:rsidR="00834B2C" w:rsidRPr="00834B2C" w:rsidTr="0097127E">
        <w:tc>
          <w:tcPr>
            <w:tcW w:w="1526" w:type="dxa"/>
            <w:vMerge w:val="restart"/>
          </w:tcPr>
          <w:p w:rsidR="00834B2C" w:rsidRPr="00834B2C" w:rsidRDefault="00834B2C" w:rsidP="00AE0F54">
            <w:pPr>
              <w:ind w:left="0"/>
            </w:pPr>
            <w:r w:rsidRPr="00834B2C">
              <w:lastRenderedPageBreak/>
              <w:t>PK in special population</w:t>
            </w:r>
          </w:p>
        </w:tc>
        <w:tc>
          <w:tcPr>
            <w:tcW w:w="2551" w:type="dxa"/>
          </w:tcPr>
          <w:p w:rsidR="00834B2C" w:rsidRPr="00834B2C" w:rsidRDefault="0097127E" w:rsidP="00AE0F54">
            <w:pPr>
              <w:ind w:left="34"/>
            </w:pPr>
            <w:r>
              <w:t>Target population</w:t>
            </w:r>
            <w:r w:rsidR="00AD4923">
              <w:t xml:space="preserve"> </w:t>
            </w:r>
            <w:r>
              <w:t>(cancer)</w:t>
            </w:r>
          </w:p>
        </w:tc>
        <w:tc>
          <w:tcPr>
            <w:tcW w:w="3402" w:type="dxa"/>
          </w:tcPr>
          <w:p w:rsidR="00834B2C" w:rsidRPr="00834B2C" w:rsidRDefault="00834B2C" w:rsidP="00AE0F54">
            <w:pPr>
              <w:ind w:left="34"/>
            </w:pPr>
          </w:p>
        </w:tc>
        <w:tc>
          <w:tcPr>
            <w:tcW w:w="993" w:type="dxa"/>
          </w:tcPr>
          <w:p w:rsidR="00834B2C" w:rsidRPr="00834B2C" w:rsidRDefault="00834B2C" w:rsidP="00AE0F54"/>
        </w:tc>
      </w:tr>
      <w:tr w:rsidR="00834B2C" w:rsidRPr="00834B2C" w:rsidTr="0097127E">
        <w:tc>
          <w:tcPr>
            <w:tcW w:w="1526" w:type="dxa"/>
            <w:vMerge/>
          </w:tcPr>
          <w:p w:rsidR="00834B2C" w:rsidRPr="00834B2C" w:rsidRDefault="00834B2C" w:rsidP="00AE0F54">
            <w:pPr>
              <w:ind w:left="0"/>
            </w:pPr>
          </w:p>
        </w:tc>
        <w:tc>
          <w:tcPr>
            <w:tcW w:w="2551" w:type="dxa"/>
          </w:tcPr>
          <w:p w:rsidR="00834B2C" w:rsidRPr="00834B2C" w:rsidRDefault="00834B2C" w:rsidP="00AE0F54">
            <w:pPr>
              <w:ind w:left="34"/>
            </w:pPr>
            <w:r w:rsidRPr="00834B2C">
              <w:t>Multi</w:t>
            </w:r>
            <w:r w:rsidR="0097127E">
              <w:t xml:space="preserve"> </w:t>
            </w:r>
            <w:r w:rsidRPr="00834B2C">
              <w:t>dose</w:t>
            </w:r>
          </w:p>
        </w:tc>
        <w:tc>
          <w:tcPr>
            <w:tcW w:w="3402" w:type="dxa"/>
          </w:tcPr>
          <w:p w:rsidR="00834B2C" w:rsidRPr="00834B2C" w:rsidRDefault="00E903AE" w:rsidP="00AE0F54">
            <w:pPr>
              <w:ind w:left="34"/>
            </w:pPr>
            <w:r>
              <w:t>E7080-E044</w:t>
            </w:r>
            <w:r w:rsidRPr="00834B2C">
              <w:t>-101</w:t>
            </w:r>
          </w:p>
        </w:tc>
        <w:tc>
          <w:tcPr>
            <w:tcW w:w="993" w:type="dxa"/>
          </w:tcPr>
          <w:p w:rsidR="00834B2C" w:rsidRPr="00834B2C" w:rsidRDefault="00834B2C" w:rsidP="00AE0F54">
            <w:r w:rsidRPr="00834B2C">
              <w:t>*</w:t>
            </w:r>
          </w:p>
        </w:tc>
      </w:tr>
      <w:tr w:rsidR="00834B2C" w:rsidRPr="00834B2C" w:rsidTr="0097127E">
        <w:tc>
          <w:tcPr>
            <w:tcW w:w="1526" w:type="dxa"/>
            <w:vMerge/>
          </w:tcPr>
          <w:p w:rsidR="00834B2C" w:rsidRPr="00834B2C" w:rsidRDefault="00834B2C" w:rsidP="00AE0F54">
            <w:pPr>
              <w:ind w:left="0"/>
            </w:pPr>
          </w:p>
        </w:tc>
        <w:tc>
          <w:tcPr>
            <w:tcW w:w="2551" w:type="dxa"/>
          </w:tcPr>
          <w:p w:rsidR="00834B2C" w:rsidRPr="00834B2C" w:rsidRDefault="00834B2C" w:rsidP="00AE0F54">
            <w:pPr>
              <w:ind w:left="34"/>
            </w:pPr>
          </w:p>
        </w:tc>
        <w:tc>
          <w:tcPr>
            <w:tcW w:w="3402" w:type="dxa"/>
          </w:tcPr>
          <w:p w:rsidR="00834B2C" w:rsidRPr="00834B2C" w:rsidRDefault="00834B2C" w:rsidP="00AE0F54">
            <w:pPr>
              <w:ind w:left="34"/>
            </w:pPr>
            <w:r w:rsidRPr="00834B2C">
              <w:t>E7080-A001-102</w:t>
            </w:r>
          </w:p>
        </w:tc>
        <w:tc>
          <w:tcPr>
            <w:tcW w:w="993" w:type="dxa"/>
          </w:tcPr>
          <w:p w:rsidR="00834B2C" w:rsidRPr="00834B2C" w:rsidRDefault="00834B2C" w:rsidP="00AE0F54">
            <w:r w:rsidRPr="00834B2C">
              <w:t>*</w:t>
            </w:r>
          </w:p>
        </w:tc>
      </w:tr>
      <w:tr w:rsidR="00834B2C" w:rsidRPr="00834B2C" w:rsidTr="0097127E">
        <w:tc>
          <w:tcPr>
            <w:tcW w:w="1526" w:type="dxa"/>
            <w:vMerge/>
          </w:tcPr>
          <w:p w:rsidR="00834B2C" w:rsidRPr="00834B2C" w:rsidRDefault="00834B2C" w:rsidP="00AE0F54">
            <w:pPr>
              <w:ind w:left="0"/>
            </w:pPr>
          </w:p>
        </w:tc>
        <w:tc>
          <w:tcPr>
            <w:tcW w:w="2551" w:type="dxa"/>
          </w:tcPr>
          <w:p w:rsidR="00834B2C" w:rsidRPr="00834B2C" w:rsidRDefault="00834B2C" w:rsidP="00AE0F54">
            <w:pPr>
              <w:ind w:left="34"/>
            </w:pPr>
          </w:p>
        </w:tc>
        <w:tc>
          <w:tcPr>
            <w:tcW w:w="3402" w:type="dxa"/>
          </w:tcPr>
          <w:p w:rsidR="00834B2C" w:rsidRPr="00834B2C" w:rsidRDefault="00834B2C" w:rsidP="00AE0F54">
            <w:pPr>
              <w:ind w:left="34"/>
            </w:pPr>
            <w:r w:rsidRPr="00834B2C">
              <w:t>E7080-J081-103</w:t>
            </w:r>
          </w:p>
        </w:tc>
        <w:tc>
          <w:tcPr>
            <w:tcW w:w="993" w:type="dxa"/>
          </w:tcPr>
          <w:p w:rsidR="00834B2C" w:rsidRPr="00834B2C" w:rsidRDefault="00834B2C" w:rsidP="00AE0F54"/>
        </w:tc>
      </w:tr>
      <w:tr w:rsidR="00834B2C" w:rsidRPr="00834B2C" w:rsidTr="0097127E">
        <w:tc>
          <w:tcPr>
            <w:tcW w:w="1526" w:type="dxa"/>
            <w:vMerge/>
          </w:tcPr>
          <w:p w:rsidR="00834B2C" w:rsidRPr="00834B2C" w:rsidRDefault="00834B2C" w:rsidP="00AE0F54">
            <w:pPr>
              <w:ind w:left="0"/>
            </w:pPr>
          </w:p>
        </w:tc>
        <w:tc>
          <w:tcPr>
            <w:tcW w:w="2551" w:type="dxa"/>
          </w:tcPr>
          <w:p w:rsidR="00834B2C" w:rsidRPr="00834B2C" w:rsidRDefault="00834B2C" w:rsidP="00AE0F54">
            <w:pPr>
              <w:ind w:left="34"/>
            </w:pPr>
          </w:p>
        </w:tc>
        <w:tc>
          <w:tcPr>
            <w:tcW w:w="3402" w:type="dxa"/>
          </w:tcPr>
          <w:p w:rsidR="00834B2C" w:rsidRPr="00834B2C" w:rsidRDefault="00834B2C" w:rsidP="00AE0F54">
            <w:pPr>
              <w:ind w:left="34"/>
            </w:pPr>
            <w:r w:rsidRPr="00834B2C">
              <w:t>E7080-J081-105</w:t>
            </w:r>
          </w:p>
        </w:tc>
        <w:tc>
          <w:tcPr>
            <w:tcW w:w="993" w:type="dxa"/>
          </w:tcPr>
          <w:p w:rsidR="00834B2C" w:rsidRPr="00834B2C" w:rsidRDefault="00834B2C" w:rsidP="00AE0F54">
            <w:r w:rsidRPr="00834B2C">
              <w:t>*</w:t>
            </w:r>
          </w:p>
        </w:tc>
      </w:tr>
      <w:tr w:rsidR="00834B2C" w:rsidRPr="00834B2C" w:rsidTr="0097127E">
        <w:tc>
          <w:tcPr>
            <w:tcW w:w="1526" w:type="dxa"/>
            <w:vMerge/>
          </w:tcPr>
          <w:p w:rsidR="00834B2C" w:rsidRPr="00834B2C" w:rsidRDefault="00834B2C" w:rsidP="00AE0F54">
            <w:pPr>
              <w:ind w:left="0"/>
            </w:pPr>
          </w:p>
        </w:tc>
        <w:tc>
          <w:tcPr>
            <w:tcW w:w="2551" w:type="dxa"/>
          </w:tcPr>
          <w:p w:rsidR="00834B2C" w:rsidRPr="00834B2C" w:rsidRDefault="00834B2C" w:rsidP="00AE0F54">
            <w:pPr>
              <w:ind w:left="34"/>
            </w:pPr>
          </w:p>
        </w:tc>
        <w:tc>
          <w:tcPr>
            <w:tcW w:w="3402" w:type="dxa"/>
          </w:tcPr>
          <w:p w:rsidR="00834B2C" w:rsidRPr="00834B2C" w:rsidRDefault="00834B2C" w:rsidP="00AE0F54">
            <w:pPr>
              <w:ind w:left="34"/>
            </w:pPr>
            <w:r w:rsidRPr="00834B2C">
              <w:t>E7080-E044-104</w:t>
            </w:r>
          </w:p>
          <w:p w:rsidR="00834B2C" w:rsidRPr="00834B2C" w:rsidRDefault="00834B2C" w:rsidP="00AE0F54">
            <w:pPr>
              <w:ind w:left="34"/>
            </w:pPr>
            <w:r w:rsidRPr="00834B2C">
              <w:t>Mass balance study of 14C Lenvatinib</w:t>
            </w:r>
          </w:p>
        </w:tc>
        <w:tc>
          <w:tcPr>
            <w:tcW w:w="993" w:type="dxa"/>
          </w:tcPr>
          <w:p w:rsidR="00834B2C" w:rsidRPr="00834B2C" w:rsidRDefault="00834B2C" w:rsidP="00AE0F54">
            <w:r w:rsidRPr="00834B2C">
              <w:t>*</w:t>
            </w:r>
          </w:p>
        </w:tc>
      </w:tr>
      <w:tr w:rsidR="00834B2C" w:rsidRPr="00834B2C" w:rsidTr="0097127E">
        <w:tc>
          <w:tcPr>
            <w:tcW w:w="1526" w:type="dxa"/>
            <w:vMerge/>
          </w:tcPr>
          <w:p w:rsidR="00834B2C" w:rsidRPr="00834B2C" w:rsidRDefault="00834B2C" w:rsidP="00AE0F54">
            <w:pPr>
              <w:ind w:left="0"/>
            </w:pPr>
          </w:p>
        </w:tc>
        <w:tc>
          <w:tcPr>
            <w:tcW w:w="2551" w:type="dxa"/>
          </w:tcPr>
          <w:p w:rsidR="00834B2C" w:rsidRPr="00834B2C" w:rsidRDefault="00834B2C" w:rsidP="00AE0F54">
            <w:pPr>
              <w:ind w:left="34"/>
            </w:pPr>
            <w:r w:rsidRPr="00834B2C">
              <w:t>Lung cancer</w:t>
            </w:r>
          </w:p>
        </w:tc>
        <w:tc>
          <w:tcPr>
            <w:tcW w:w="3402" w:type="dxa"/>
          </w:tcPr>
          <w:p w:rsidR="00834B2C" w:rsidRPr="00834B2C" w:rsidRDefault="00834B2C" w:rsidP="00AE0F54">
            <w:pPr>
              <w:ind w:left="34"/>
            </w:pPr>
            <w:r w:rsidRPr="00834B2C">
              <w:t>E7080-J081-110</w:t>
            </w:r>
          </w:p>
          <w:p w:rsidR="00834B2C" w:rsidRPr="00834B2C" w:rsidRDefault="00822DB0" w:rsidP="00AE0F54">
            <w:pPr>
              <w:ind w:left="34"/>
            </w:pPr>
            <w:r>
              <w:t xml:space="preserve">Phase I dose </w:t>
            </w:r>
            <w:r w:rsidR="00834B2C" w:rsidRPr="00834B2C">
              <w:t xml:space="preserve">escalation study of lenvatinib with carboplatin and paclitaxel in Stage IIIB or </w:t>
            </w:r>
            <w:r>
              <w:t xml:space="preserve">IV </w:t>
            </w:r>
            <w:proofErr w:type="spellStart"/>
            <w:r>
              <w:t xml:space="preserve">non </w:t>
            </w:r>
            <w:r w:rsidR="00834B2C" w:rsidRPr="00834B2C">
              <w:t>small</w:t>
            </w:r>
            <w:proofErr w:type="spellEnd"/>
            <w:r w:rsidR="00834B2C" w:rsidRPr="00834B2C">
              <w:t xml:space="preserve"> cell lung cancer after multiple doses of lenvatinib; PK was not significantly affected by the </w:t>
            </w:r>
            <w:proofErr w:type="spellStart"/>
            <w:r w:rsidR="00834B2C" w:rsidRPr="00834B2C">
              <w:t>coadministration</w:t>
            </w:r>
            <w:proofErr w:type="spellEnd"/>
            <w:r w:rsidR="00834B2C" w:rsidRPr="00834B2C">
              <w:t xml:space="preserve"> </w:t>
            </w:r>
          </w:p>
        </w:tc>
        <w:tc>
          <w:tcPr>
            <w:tcW w:w="993" w:type="dxa"/>
          </w:tcPr>
          <w:p w:rsidR="00834B2C" w:rsidRPr="00834B2C" w:rsidRDefault="00834B2C" w:rsidP="00AE0F54"/>
        </w:tc>
      </w:tr>
      <w:tr w:rsidR="00834B2C" w:rsidRPr="00834B2C" w:rsidTr="0097127E">
        <w:tc>
          <w:tcPr>
            <w:tcW w:w="1526" w:type="dxa"/>
            <w:vMerge/>
          </w:tcPr>
          <w:p w:rsidR="00834B2C" w:rsidRPr="00834B2C" w:rsidRDefault="00834B2C" w:rsidP="00AE0F54">
            <w:pPr>
              <w:ind w:left="0"/>
            </w:pPr>
          </w:p>
        </w:tc>
        <w:tc>
          <w:tcPr>
            <w:tcW w:w="2551" w:type="dxa"/>
          </w:tcPr>
          <w:p w:rsidR="00834B2C" w:rsidRPr="00834B2C" w:rsidRDefault="00834B2C" w:rsidP="00AE0F54">
            <w:pPr>
              <w:ind w:left="34"/>
            </w:pPr>
            <w:r w:rsidRPr="00834B2C">
              <w:t>Hepatic Impairment</w:t>
            </w:r>
          </w:p>
        </w:tc>
        <w:tc>
          <w:tcPr>
            <w:tcW w:w="3402" w:type="dxa"/>
          </w:tcPr>
          <w:p w:rsidR="00772CC0" w:rsidRDefault="00834B2C" w:rsidP="00AE0F54">
            <w:pPr>
              <w:ind w:left="34"/>
            </w:pPr>
            <w:r w:rsidRPr="00834B2C">
              <w:t>E7080-A001-006</w:t>
            </w:r>
          </w:p>
          <w:p w:rsidR="00834B2C" w:rsidRPr="00834B2C" w:rsidRDefault="00834B2C" w:rsidP="00AE0F54">
            <w:pPr>
              <w:ind w:left="34"/>
            </w:pPr>
          </w:p>
        </w:tc>
        <w:tc>
          <w:tcPr>
            <w:tcW w:w="993" w:type="dxa"/>
          </w:tcPr>
          <w:p w:rsidR="00834B2C" w:rsidRPr="00834B2C" w:rsidRDefault="00834B2C" w:rsidP="00AE0F54">
            <w:r w:rsidRPr="00834B2C">
              <w:t>*</w:t>
            </w:r>
          </w:p>
        </w:tc>
      </w:tr>
      <w:tr w:rsidR="00834B2C" w:rsidRPr="00834B2C" w:rsidTr="0097127E">
        <w:tc>
          <w:tcPr>
            <w:tcW w:w="1526" w:type="dxa"/>
            <w:vMerge/>
          </w:tcPr>
          <w:p w:rsidR="00834B2C" w:rsidRPr="00834B2C" w:rsidRDefault="00834B2C" w:rsidP="00AE0F54">
            <w:pPr>
              <w:ind w:left="0"/>
            </w:pPr>
          </w:p>
        </w:tc>
        <w:tc>
          <w:tcPr>
            <w:tcW w:w="2551" w:type="dxa"/>
          </w:tcPr>
          <w:p w:rsidR="00834B2C" w:rsidRPr="00834B2C" w:rsidRDefault="00834B2C" w:rsidP="00AE0F54">
            <w:pPr>
              <w:ind w:left="34"/>
            </w:pPr>
            <w:r w:rsidRPr="00834B2C">
              <w:t>Renal Impairment</w:t>
            </w:r>
          </w:p>
        </w:tc>
        <w:tc>
          <w:tcPr>
            <w:tcW w:w="3402" w:type="dxa"/>
          </w:tcPr>
          <w:p w:rsidR="00834B2C" w:rsidRPr="00834B2C" w:rsidRDefault="00834B2C" w:rsidP="00AE0F54">
            <w:pPr>
              <w:ind w:left="34"/>
            </w:pPr>
            <w:r w:rsidRPr="00834B2C">
              <w:t>E7080-A001-005</w:t>
            </w:r>
          </w:p>
        </w:tc>
        <w:tc>
          <w:tcPr>
            <w:tcW w:w="993" w:type="dxa"/>
          </w:tcPr>
          <w:p w:rsidR="00834B2C" w:rsidRPr="00834B2C" w:rsidRDefault="00834B2C" w:rsidP="00AE0F54">
            <w:r w:rsidRPr="00834B2C">
              <w:t>*</w:t>
            </w:r>
          </w:p>
        </w:tc>
      </w:tr>
      <w:tr w:rsidR="00834B2C" w:rsidRPr="00834B2C" w:rsidTr="0097127E">
        <w:tc>
          <w:tcPr>
            <w:tcW w:w="1526" w:type="dxa"/>
            <w:vMerge/>
          </w:tcPr>
          <w:p w:rsidR="00834B2C" w:rsidRPr="00834B2C" w:rsidRDefault="00834B2C" w:rsidP="00AE0F54">
            <w:pPr>
              <w:ind w:left="0"/>
            </w:pPr>
          </w:p>
        </w:tc>
        <w:tc>
          <w:tcPr>
            <w:tcW w:w="2551" w:type="dxa"/>
          </w:tcPr>
          <w:p w:rsidR="00834B2C" w:rsidRPr="00834B2C" w:rsidRDefault="00834B2C" w:rsidP="00AE0F54">
            <w:pPr>
              <w:ind w:left="34"/>
            </w:pPr>
            <w:r w:rsidRPr="00834B2C">
              <w:t>Food effect</w:t>
            </w:r>
          </w:p>
        </w:tc>
        <w:tc>
          <w:tcPr>
            <w:tcW w:w="3402" w:type="dxa"/>
          </w:tcPr>
          <w:p w:rsidR="00834B2C" w:rsidRPr="00834B2C" w:rsidRDefault="00E903AE" w:rsidP="00AE0F54">
            <w:pPr>
              <w:ind w:left="34"/>
            </w:pPr>
            <w:r>
              <w:t>E7080-A001-003</w:t>
            </w:r>
          </w:p>
        </w:tc>
        <w:tc>
          <w:tcPr>
            <w:tcW w:w="993" w:type="dxa"/>
          </w:tcPr>
          <w:p w:rsidR="00834B2C" w:rsidRPr="00834B2C" w:rsidRDefault="00834B2C" w:rsidP="00AE0F54"/>
        </w:tc>
      </w:tr>
      <w:tr w:rsidR="00834B2C" w:rsidRPr="00834B2C" w:rsidTr="0097127E">
        <w:tc>
          <w:tcPr>
            <w:tcW w:w="1526" w:type="dxa"/>
            <w:vMerge/>
          </w:tcPr>
          <w:p w:rsidR="00834B2C" w:rsidRPr="00834B2C" w:rsidRDefault="00834B2C" w:rsidP="00AE0F54">
            <w:pPr>
              <w:ind w:left="0"/>
            </w:pPr>
          </w:p>
        </w:tc>
        <w:tc>
          <w:tcPr>
            <w:tcW w:w="2551" w:type="dxa"/>
          </w:tcPr>
          <w:p w:rsidR="00834B2C" w:rsidRPr="00834B2C" w:rsidRDefault="00834B2C" w:rsidP="00AE0F54">
            <w:pPr>
              <w:ind w:left="34"/>
            </w:pPr>
          </w:p>
        </w:tc>
        <w:tc>
          <w:tcPr>
            <w:tcW w:w="3402" w:type="dxa"/>
          </w:tcPr>
          <w:p w:rsidR="00834B2C" w:rsidRPr="00834B2C" w:rsidRDefault="00834B2C" w:rsidP="00AE0F54">
            <w:pPr>
              <w:ind w:left="34"/>
            </w:pPr>
            <w:r w:rsidRPr="00834B2C">
              <w:t>E7080-E044-101</w:t>
            </w:r>
          </w:p>
          <w:p w:rsidR="00834B2C" w:rsidRPr="00834B2C" w:rsidRDefault="004E50FA" w:rsidP="00AE0F54">
            <w:pPr>
              <w:ind w:left="34"/>
            </w:pPr>
            <w:r>
              <w:t>Open l</w:t>
            </w:r>
            <w:r w:rsidRPr="006F08C4">
              <w:t xml:space="preserve">abel Phase I </w:t>
            </w:r>
            <w:r>
              <w:t>dose escalation s</w:t>
            </w:r>
            <w:r w:rsidRPr="006F08C4">
              <w:t>tudy</w:t>
            </w:r>
            <w:r>
              <w:t xml:space="preserve"> in subject with resistant and refractory solid tumours or lymphomas; a</w:t>
            </w:r>
            <w:r w:rsidRPr="006F08C4">
              <w:t xml:space="preserve"> pilot food effect investigation was initiated once the MTD had been established and at least 12 subjects across both study sites were asked to participate</w:t>
            </w:r>
          </w:p>
        </w:tc>
        <w:tc>
          <w:tcPr>
            <w:tcW w:w="993" w:type="dxa"/>
          </w:tcPr>
          <w:p w:rsidR="00834B2C" w:rsidRPr="00834B2C" w:rsidRDefault="00834B2C" w:rsidP="00AE0F54">
            <w:r w:rsidRPr="00834B2C">
              <w:t>*</w:t>
            </w:r>
          </w:p>
        </w:tc>
      </w:tr>
      <w:tr w:rsidR="00834B2C" w:rsidRPr="00834B2C" w:rsidTr="0097127E">
        <w:tc>
          <w:tcPr>
            <w:tcW w:w="1526" w:type="dxa"/>
          </w:tcPr>
          <w:p w:rsidR="00834B2C" w:rsidRPr="00834B2C" w:rsidRDefault="00834B2C" w:rsidP="00AE0F54">
            <w:pPr>
              <w:ind w:left="0"/>
            </w:pPr>
            <w:r w:rsidRPr="00834B2C">
              <w:t>Genetic/</w:t>
            </w:r>
            <w:r>
              <w:t xml:space="preserve"> gender </w:t>
            </w:r>
            <w:r w:rsidRPr="00834B2C">
              <w:t>related PK</w:t>
            </w:r>
          </w:p>
        </w:tc>
        <w:tc>
          <w:tcPr>
            <w:tcW w:w="2551" w:type="dxa"/>
          </w:tcPr>
          <w:p w:rsidR="00834B2C" w:rsidRPr="00834B2C" w:rsidRDefault="00834B2C" w:rsidP="00AE0F54">
            <w:pPr>
              <w:ind w:left="34"/>
            </w:pPr>
            <w:r>
              <w:t>Males versus</w:t>
            </w:r>
            <w:r w:rsidRPr="00834B2C">
              <w:t xml:space="preserve"> females</w:t>
            </w:r>
          </w:p>
        </w:tc>
        <w:tc>
          <w:tcPr>
            <w:tcW w:w="3402" w:type="dxa"/>
          </w:tcPr>
          <w:p w:rsidR="00834B2C" w:rsidRPr="00834B2C" w:rsidRDefault="00834B2C" w:rsidP="00AE0F54">
            <w:pPr>
              <w:ind w:left="34"/>
            </w:pPr>
            <w:r w:rsidRPr="00834B2C">
              <w:t>Not undertaken (gender modelled in population model)</w:t>
            </w:r>
          </w:p>
        </w:tc>
        <w:tc>
          <w:tcPr>
            <w:tcW w:w="993" w:type="dxa"/>
          </w:tcPr>
          <w:p w:rsidR="00834B2C" w:rsidRPr="00834B2C" w:rsidRDefault="00834B2C" w:rsidP="00AE0F54"/>
        </w:tc>
      </w:tr>
      <w:tr w:rsidR="00834B2C" w:rsidRPr="00834B2C" w:rsidTr="0097127E">
        <w:tc>
          <w:tcPr>
            <w:tcW w:w="1526" w:type="dxa"/>
            <w:vMerge w:val="restart"/>
          </w:tcPr>
          <w:p w:rsidR="00834B2C" w:rsidRPr="00834B2C" w:rsidRDefault="00834B2C" w:rsidP="00AE0F54">
            <w:pPr>
              <w:ind w:left="0"/>
            </w:pPr>
            <w:r w:rsidRPr="00834B2C">
              <w:t>PK interactions</w:t>
            </w:r>
          </w:p>
        </w:tc>
        <w:tc>
          <w:tcPr>
            <w:tcW w:w="2551" w:type="dxa"/>
          </w:tcPr>
          <w:p w:rsidR="00834B2C" w:rsidRPr="00834B2C" w:rsidRDefault="00834B2C" w:rsidP="00AE0F54">
            <w:pPr>
              <w:ind w:left="34"/>
            </w:pPr>
          </w:p>
        </w:tc>
        <w:tc>
          <w:tcPr>
            <w:tcW w:w="3402" w:type="dxa"/>
          </w:tcPr>
          <w:p w:rsidR="00834B2C" w:rsidRPr="00834B2C" w:rsidRDefault="00834B2C" w:rsidP="00AE0F54">
            <w:pPr>
              <w:ind w:left="34"/>
            </w:pPr>
            <w:r w:rsidRPr="00834B2C">
              <w:t>Under drug interactions above</w:t>
            </w:r>
          </w:p>
        </w:tc>
        <w:tc>
          <w:tcPr>
            <w:tcW w:w="993" w:type="dxa"/>
          </w:tcPr>
          <w:p w:rsidR="00834B2C" w:rsidRPr="00834B2C" w:rsidRDefault="00834B2C" w:rsidP="00AE0F54"/>
        </w:tc>
      </w:tr>
      <w:tr w:rsidR="00834B2C" w:rsidRPr="00834B2C" w:rsidTr="0097127E">
        <w:tc>
          <w:tcPr>
            <w:tcW w:w="1526" w:type="dxa"/>
            <w:vMerge/>
          </w:tcPr>
          <w:p w:rsidR="00834B2C" w:rsidRPr="00834B2C" w:rsidRDefault="00834B2C" w:rsidP="00AE0F54">
            <w:pPr>
              <w:ind w:left="0"/>
            </w:pPr>
          </w:p>
        </w:tc>
        <w:tc>
          <w:tcPr>
            <w:tcW w:w="2551" w:type="dxa"/>
          </w:tcPr>
          <w:p w:rsidR="00834B2C" w:rsidRPr="00834B2C" w:rsidRDefault="00834B2C" w:rsidP="00AE0F54">
            <w:pPr>
              <w:ind w:left="34"/>
            </w:pPr>
            <w:r w:rsidRPr="00834B2C">
              <w:t>Target population</w:t>
            </w:r>
          </w:p>
        </w:tc>
        <w:tc>
          <w:tcPr>
            <w:tcW w:w="3402" w:type="dxa"/>
          </w:tcPr>
          <w:p w:rsidR="00834B2C" w:rsidRPr="00834B2C" w:rsidRDefault="00834B2C" w:rsidP="00AE0F54">
            <w:pPr>
              <w:ind w:left="34"/>
            </w:pPr>
          </w:p>
        </w:tc>
        <w:tc>
          <w:tcPr>
            <w:tcW w:w="993" w:type="dxa"/>
          </w:tcPr>
          <w:p w:rsidR="00834B2C" w:rsidRPr="00834B2C" w:rsidRDefault="00834B2C" w:rsidP="00AE0F54"/>
        </w:tc>
      </w:tr>
    </w:tbl>
    <w:p w:rsidR="00431F9E" w:rsidRDefault="00431F9E" w:rsidP="00431F9E">
      <w:pPr>
        <w:keepNext/>
        <w:rPr>
          <w:sz w:val="20"/>
        </w:rPr>
      </w:pPr>
      <w:r>
        <w:rPr>
          <w:sz w:val="20"/>
        </w:rPr>
        <w:lastRenderedPageBreak/>
        <w:t>* Indicates the primary aim of the study.</w:t>
      </w:r>
    </w:p>
    <w:p w:rsidR="00772CC0" w:rsidRDefault="00431F9E" w:rsidP="00431F9E">
      <w:r>
        <w:t>None of the pharmacokinetic studies had deficiencies that excluded their results from consideration. However</w:t>
      </w:r>
      <w:r w:rsidR="00786DDA">
        <w:t>,</w:t>
      </w:r>
      <w:r>
        <w:t xml:space="preserve"> some of the studies included subjects with a variety of tumours including brain, skin, endometrial and haematological malignancies where the clinical pharmacokinetics may to be different</w:t>
      </w:r>
      <w:r w:rsidR="00772CC0">
        <w:t>.</w:t>
      </w:r>
    </w:p>
    <w:p w:rsidR="00605AD4" w:rsidRDefault="00605AD4" w:rsidP="00605AD4">
      <w:pPr>
        <w:pStyle w:val="Heading4"/>
      </w:pPr>
      <w:r>
        <w:t>Evaluator’s conclusions on pharmacokinetics</w:t>
      </w:r>
    </w:p>
    <w:p w:rsidR="00772CC0" w:rsidRDefault="0097127E" w:rsidP="0097127E">
      <w:proofErr w:type="spellStart"/>
      <w:r w:rsidRPr="0097127E">
        <w:t>Levatinib</w:t>
      </w:r>
      <w:proofErr w:type="spellEnd"/>
      <w:r w:rsidRPr="0097127E">
        <w:t xml:space="preserve"> is orally absorbed and does not have a significant extent of absorption interaction with drugs that modify gastric pH nor with a standard food intake. Food affects the rate of absorption however. </w:t>
      </w:r>
      <w:proofErr w:type="spellStart"/>
      <w:r w:rsidRPr="0097127E">
        <w:t>Levatinib</w:t>
      </w:r>
      <w:proofErr w:type="spellEnd"/>
      <w:r w:rsidRPr="0097127E">
        <w:t xml:space="preserve"> has relatively linear PK between doses of 3.2 to 32 mg QD</w:t>
      </w:r>
      <w:r w:rsidR="00F67AF1">
        <w:t xml:space="preserve"> (once daily)</w:t>
      </w:r>
      <w:r w:rsidRPr="0097127E">
        <w:t xml:space="preserve">, the range that includes the dose in the indication. It has elimination mediated predominantly by cytochrome P450 (CYP) 3A, aldehyde oxidase (AO) and </w:t>
      </w:r>
      <w:proofErr w:type="spellStart"/>
      <w:r w:rsidRPr="0097127E">
        <w:t>nonenzymatic</w:t>
      </w:r>
      <w:proofErr w:type="spellEnd"/>
      <w:r w:rsidRPr="0097127E">
        <w:t xml:space="preserve"> processes in humans. Urinary and </w:t>
      </w:r>
      <w:proofErr w:type="spellStart"/>
      <w:r w:rsidRPr="0097127E">
        <w:t>fecal</w:t>
      </w:r>
      <w:proofErr w:type="spellEnd"/>
      <w:r w:rsidRPr="0097127E">
        <w:t xml:space="preserve"> elimination of </w:t>
      </w:r>
      <w:proofErr w:type="spellStart"/>
      <w:r w:rsidRPr="0097127E">
        <w:t>lenvatinib</w:t>
      </w:r>
      <w:proofErr w:type="spellEnd"/>
      <w:r w:rsidRPr="0097127E">
        <w:t xml:space="preserve"> are minor pathways in humans,</w:t>
      </w:r>
    </w:p>
    <w:p w:rsidR="0097127E" w:rsidRPr="0097127E" w:rsidRDefault="0097127E" w:rsidP="0097127E">
      <w:r w:rsidRPr="0097127E">
        <w:t>Both ketoconazole (P-</w:t>
      </w:r>
      <w:proofErr w:type="spellStart"/>
      <w:r w:rsidRPr="0097127E">
        <w:t>gp</w:t>
      </w:r>
      <w:proofErr w:type="spellEnd"/>
      <w:r w:rsidRPr="0097127E">
        <w:t xml:space="preserve"> and CYP3A inhibitor) and rifampicin (a P-</w:t>
      </w:r>
      <w:proofErr w:type="spellStart"/>
      <w:r w:rsidRPr="0097127E">
        <w:t>gp</w:t>
      </w:r>
      <w:proofErr w:type="spellEnd"/>
      <w:r w:rsidRPr="0097127E">
        <w:t xml:space="preserve"> and CYP3A inducer) had a small impact on lenvatinib PK. There are no major circulating metabolites. In human plasma, lenvatinib accounted for approximately 97% of extracted radioactivity on average across all time points.</w:t>
      </w:r>
    </w:p>
    <w:p w:rsidR="0097127E" w:rsidRPr="0097127E" w:rsidRDefault="0097127E" w:rsidP="0097127E">
      <w:r w:rsidRPr="0097127E">
        <w:t xml:space="preserve">Severe renal impairment increases exposure by nearly two fold and severe hepatic impairment increases exposure by 2.7 fold (unbound). No significant ethnic differences were found in lenvatinib PK, although most patients were Caucasian. There were minimal </w:t>
      </w:r>
      <w:r w:rsidR="00F67AF1">
        <w:t>pharmacokinetic</w:t>
      </w:r>
      <w:r w:rsidRPr="0097127E">
        <w:t xml:space="preserve"> differences between sexes and across the age range in lenvatinib exposure.</w:t>
      </w:r>
    </w:p>
    <w:p w:rsidR="0097127E" w:rsidRPr="0097127E" w:rsidRDefault="0097127E" w:rsidP="0097127E">
      <w:r w:rsidRPr="0097127E">
        <w:t>Subjects with body weight &lt;60 kg had 36% higher exposure compared with subjects &gt;60 kg.</w:t>
      </w:r>
    </w:p>
    <w:p w:rsidR="0097127E" w:rsidRPr="0097127E" w:rsidRDefault="0097127E" w:rsidP="0097127E">
      <w:r w:rsidRPr="0097127E">
        <w:t xml:space="preserve">Apparent total clearance following oral administration was 15% higher in healthy subjects and was comparable among DTC, medullary thyroid cancer (MTC) and other </w:t>
      </w:r>
      <w:proofErr w:type="spellStart"/>
      <w:r w:rsidRPr="0097127E">
        <w:t>tumor</w:t>
      </w:r>
      <w:proofErr w:type="spellEnd"/>
      <w:r w:rsidRPr="0097127E">
        <w:t xml:space="preserve"> types.</w:t>
      </w:r>
    </w:p>
    <w:p w:rsidR="00772CC0" w:rsidRDefault="0097127E" w:rsidP="0097127E">
      <w:r w:rsidRPr="0097127E">
        <w:t xml:space="preserve">Overall, the significant pharmacokinetic issues are around the likely CYP3A4 and </w:t>
      </w:r>
      <w:proofErr w:type="spellStart"/>
      <w:r w:rsidRPr="0097127E">
        <w:t>Pgp</w:t>
      </w:r>
      <w:proofErr w:type="spellEnd"/>
      <w:r w:rsidRPr="0097127E">
        <w:t xml:space="preserve"> interactions, the increased exposure in renal and hepatic disease and the limitations of extrapolating data from the healthy volunteers to the DTC patients</w:t>
      </w:r>
      <w:r w:rsidR="00772CC0">
        <w:t>.</w:t>
      </w:r>
    </w:p>
    <w:p w:rsidR="008E7846" w:rsidRDefault="008E7846" w:rsidP="008E7846">
      <w:pPr>
        <w:pStyle w:val="Heading3"/>
      </w:pPr>
      <w:bookmarkStart w:id="84" w:name="_Toc196046481"/>
      <w:bookmarkStart w:id="85" w:name="_Toc247691520"/>
      <w:bookmarkStart w:id="86" w:name="_Toc314842503"/>
      <w:bookmarkStart w:id="87" w:name="_Toc461092046"/>
      <w:r w:rsidRPr="00254787">
        <w:t>Pharmacodynamics</w:t>
      </w:r>
      <w:bookmarkEnd w:id="73"/>
      <w:bookmarkEnd w:id="84"/>
      <w:bookmarkEnd w:id="85"/>
      <w:bookmarkEnd w:id="86"/>
      <w:bookmarkEnd w:id="87"/>
    </w:p>
    <w:p w:rsidR="00605AD4" w:rsidRDefault="00605AD4" w:rsidP="00605AD4">
      <w:pPr>
        <w:pStyle w:val="Heading4"/>
      </w:pPr>
      <w:r>
        <w:t>Studies providing pharmacodynamic data</w:t>
      </w:r>
    </w:p>
    <w:p w:rsidR="0097127E" w:rsidRDefault="0097127E" w:rsidP="0097127E">
      <w:r>
        <w:t xml:space="preserve">Table </w:t>
      </w:r>
      <w:r w:rsidR="005E63A9">
        <w:t>7</w:t>
      </w:r>
      <w:r>
        <w:t xml:space="preserve"> shows the studies relating to each pharmacodynamic topic and the location of each study summary.</w:t>
      </w:r>
    </w:p>
    <w:p w:rsidR="0097127E" w:rsidRDefault="0097127E" w:rsidP="0097127E">
      <w:pPr>
        <w:pStyle w:val="TableTitle"/>
      </w:pPr>
      <w:bookmarkStart w:id="88" w:name="_Ref269985397"/>
      <w:bookmarkStart w:id="89" w:name="_Toc296335772"/>
      <w:proofErr w:type="gramStart"/>
      <w:r>
        <w:t>Tabl</w:t>
      </w:r>
      <w:bookmarkEnd w:id="88"/>
      <w:r>
        <w:t xml:space="preserve">e </w:t>
      </w:r>
      <w:r w:rsidR="005E63A9">
        <w:t>7</w:t>
      </w:r>
      <w:r>
        <w:t>.</w:t>
      </w:r>
      <w:proofErr w:type="gramEnd"/>
      <w:r>
        <w:t xml:space="preserve"> </w:t>
      </w:r>
      <w:proofErr w:type="gramStart"/>
      <w:r>
        <w:t>Submitted pharmacodynamic studies.</w:t>
      </w:r>
      <w:bookmarkEnd w:id="89"/>
      <w:proofErr w:type="gramEnd"/>
    </w:p>
    <w:tbl>
      <w:tblPr>
        <w:tblStyle w:val="TableTGAblue"/>
        <w:tblW w:w="8613" w:type="dxa"/>
        <w:tblLayout w:type="fixed"/>
        <w:tblLook w:val="04A0" w:firstRow="1" w:lastRow="0" w:firstColumn="1" w:lastColumn="0" w:noHBand="0" w:noVBand="1"/>
      </w:tblPr>
      <w:tblGrid>
        <w:gridCol w:w="1951"/>
        <w:gridCol w:w="3119"/>
        <w:gridCol w:w="1559"/>
        <w:gridCol w:w="1984"/>
      </w:tblGrid>
      <w:tr w:rsidR="0097127E" w:rsidRPr="0097127E" w:rsidTr="00890F23">
        <w:trPr>
          <w:cnfStyle w:val="100000000000" w:firstRow="1" w:lastRow="0" w:firstColumn="0" w:lastColumn="0" w:oddVBand="0" w:evenVBand="0" w:oddHBand="0" w:evenHBand="0" w:firstRowFirstColumn="0" w:firstRowLastColumn="0" w:lastRowFirstColumn="0" w:lastRowLastColumn="0"/>
        </w:trPr>
        <w:tc>
          <w:tcPr>
            <w:tcW w:w="1951" w:type="dxa"/>
          </w:tcPr>
          <w:p w:rsidR="0097127E" w:rsidRPr="0097127E" w:rsidRDefault="0097127E" w:rsidP="00AE0F54">
            <w:r w:rsidRPr="0097127E">
              <w:t>PD Topic</w:t>
            </w:r>
          </w:p>
        </w:tc>
        <w:tc>
          <w:tcPr>
            <w:tcW w:w="3119" w:type="dxa"/>
          </w:tcPr>
          <w:p w:rsidR="0097127E" w:rsidRPr="0097127E" w:rsidRDefault="0097127E" w:rsidP="00AE0F54">
            <w:r w:rsidRPr="0097127E">
              <w:t>Subtopic</w:t>
            </w:r>
          </w:p>
        </w:tc>
        <w:tc>
          <w:tcPr>
            <w:tcW w:w="1559" w:type="dxa"/>
          </w:tcPr>
          <w:p w:rsidR="0097127E" w:rsidRPr="0097127E" w:rsidRDefault="0097127E" w:rsidP="00AE0F54">
            <w:r w:rsidRPr="0097127E">
              <w:t>Study ID</w:t>
            </w:r>
          </w:p>
        </w:tc>
        <w:tc>
          <w:tcPr>
            <w:tcW w:w="1984" w:type="dxa"/>
          </w:tcPr>
          <w:p w:rsidR="0097127E" w:rsidRPr="0097127E" w:rsidRDefault="0097127E" w:rsidP="00AE0F54">
            <w:r w:rsidRPr="0097127E">
              <w:t>Summary</w:t>
            </w:r>
            <w:r w:rsidR="00AE0F54">
              <w:t xml:space="preserve"> </w:t>
            </w:r>
            <w:r w:rsidRPr="0097127E">
              <w:t>page</w:t>
            </w:r>
          </w:p>
        </w:tc>
      </w:tr>
      <w:tr w:rsidR="0097127E" w:rsidRPr="0097127E" w:rsidTr="00890F23">
        <w:tc>
          <w:tcPr>
            <w:tcW w:w="1951" w:type="dxa"/>
            <w:vMerge w:val="restart"/>
          </w:tcPr>
          <w:p w:rsidR="0097127E" w:rsidRPr="0097127E" w:rsidRDefault="0097127E" w:rsidP="00AE0F54">
            <w:r w:rsidRPr="0097127E">
              <w:t>Primary Pharmacology</w:t>
            </w:r>
          </w:p>
        </w:tc>
        <w:tc>
          <w:tcPr>
            <w:tcW w:w="3119" w:type="dxa"/>
          </w:tcPr>
          <w:p w:rsidR="0097127E" w:rsidRPr="0097127E" w:rsidRDefault="0097127E" w:rsidP="00AE0F54">
            <w:r w:rsidRPr="0097127E">
              <w:t>Effect on tumour size, relationship of exposure to outcome</w:t>
            </w:r>
          </w:p>
        </w:tc>
        <w:tc>
          <w:tcPr>
            <w:tcW w:w="1559" w:type="dxa"/>
          </w:tcPr>
          <w:p w:rsidR="0097127E" w:rsidRPr="0097127E" w:rsidRDefault="0097127E" w:rsidP="00AE0F54">
            <w:r w:rsidRPr="0097127E">
              <w:t>E7080-G000-201</w:t>
            </w:r>
          </w:p>
        </w:tc>
        <w:tc>
          <w:tcPr>
            <w:tcW w:w="1984" w:type="dxa"/>
          </w:tcPr>
          <w:p w:rsidR="0097127E" w:rsidRPr="0097127E" w:rsidRDefault="00CD211B" w:rsidP="00AE0F54">
            <w:r>
              <w:t>C</w:t>
            </w:r>
            <w:r w:rsidR="0097127E" w:rsidRPr="0097127E">
              <w:t>linical studies</w:t>
            </w:r>
          </w:p>
        </w:tc>
      </w:tr>
      <w:tr w:rsidR="0097127E" w:rsidRPr="0097127E" w:rsidTr="00890F23">
        <w:tc>
          <w:tcPr>
            <w:tcW w:w="1951" w:type="dxa"/>
            <w:vMerge/>
          </w:tcPr>
          <w:p w:rsidR="0097127E" w:rsidRPr="0097127E" w:rsidRDefault="0097127E" w:rsidP="00AE0F54"/>
        </w:tc>
        <w:tc>
          <w:tcPr>
            <w:tcW w:w="3119" w:type="dxa"/>
          </w:tcPr>
          <w:p w:rsidR="0097127E" w:rsidRPr="0097127E" w:rsidRDefault="0097127E" w:rsidP="00AE0F54">
            <w:r w:rsidRPr="0097127E">
              <w:t>Effect on size on MRI</w:t>
            </w:r>
          </w:p>
        </w:tc>
        <w:tc>
          <w:tcPr>
            <w:tcW w:w="1559" w:type="dxa"/>
          </w:tcPr>
          <w:p w:rsidR="0097127E" w:rsidRPr="0097127E" w:rsidRDefault="0097127E" w:rsidP="00AE0F54">
            <w:r w:rsidRPr="0097127E">
              <w:t>E7080-J081-103</w:t>
            </w:r>
          </w:p>
        </w:tc>
        <w:tc>
          <w:tcPr>
            <w:tcW w:w="1984" w:type="dxa"/>
          </w:tcPr>
          <w:p w:rsidR="0097127E" w:rsidRPr="0097127E" w:rsidRDefault="0097127E" w:rsidP="00AE0F54">
            <w:r w:rsidRPr="0097127E">
              <w:t>NFE</w:t>
            </w:r>
          </w:p>
        </w:tc>
      </w:tr>
      <w:tr w:rsidR="0097127E" w:rsidRPr="0097127E" w:rsidTr="00890F23">
        <w:tc>
          <w:tcPr>
            <w:tcW w:w="1951" w:type="dxa"/>
            <w:vMerge/>
          </w:tcPr>
          <w:p w:rsidR="0097127E" w:rsidRPr="0097127E" w:rsidRDefault="0097127E" w:rsidP="00AE0F54"/>
        </w:tc>
        <w:tc>
          <w:tcPr>
            <w:tcW w:w="3119" w:type="dxa"/>
          </w:tcPr>
          <w:p w:rsidR="0097127E" w:rsidRPr="0097127E" w:rsidRDefault="0097127E" w:rsidP="00AE0F54">
            <w:r w:rsidRPr="0097127E">
              <w:t xml:space="preserve">This study was predominantly a bioavailability study, a PD endpoint length or tumour on DCE-MRI was also measured. </w:t>
            </w:r>
          </w:p>
        </w:tc>
        <w:tc>
          <w:tcPr>
            <w:tcW w:w="1559" w:type="dxa"/>
          </w:tcPr>
          <w:p w:rsidR="0097127E" w:rsidRPr="0097127E" w:rsidRDefault="0097127E" w:rsidP="00AE0F54">
            <w:r w:rsidRPr="0097127E">
              <w:t>E7080-A001-102</w:t>
            </w:r>
          </w:p>
        </w:tc>
        <w:tc>
          <w:tcPr>
            <w:tcW w:w="1984" w:type="dxa"/>
          </w:tcPr>
          <w:p w:rsidR="0097127E" w:rsidRPr="0097127E" w:rsidRDefault="0097127E" w:rsidP="00AE0F54"/>
        </w:tc>
      </w:tr>
      <w:tr w:rsidR="0097127E" w:rsidRPr="0097127E" w:rsidTr="00890F23">
        <w:tc>
          <w:tcPr>
            <w:tcW w:w="1951" w:type="dxa"/>
            <w:vMerge w:val="restart"/>
          </w:tcPr>
          <w:p w:rsidR="0097127E" w:rsidRPr="0097127E" w:rsidRDefault="0097127E" w:rsidP="00AE0F54">
            <w:r w:rsidRPr="0097127E">
              <w:t>Secondary Pharmacology</w:t>
            </w:r>
          </w:p>
        </w:tc>
        <w:tc>
          <w:tcPr>
            <w:tcW w:w="3119" w:type="dxa"/>
          </w:tcPr>
          <w:p w:rsidR="0097127E" w:rsidRPr="0097127E" w:rsidRDefault="0097127E" w:rsidP="00AE0F54">
            <w:r w:rsidRPr="0097127E">
              <w:t xml:space="preserve">Effect on </w:t>
            </w:r>
            <w:proofErr w:type="spellStart"/>
            <w:r w:rsidRPr="0097127E">
              <w:t>QTc</w:t>
            </w:r>
            <w:proofErr w:type="spellEnd"/>
          </w:p>
        </w:tc>
        <w:tc>
          <w:tcPr>
            <w:tcW w:w="1559" w:type="dxa"/>
          </w:tcPr>
          <w:p w:rsidR="0097127E" w:rsidRPr="0097127E" w:rsidRDefault="0097127E" w:rsidP="00AE0F54">
            <w:r w:rsidRPr="0097127E">
              <w:t>E7080-A001-002</w:t>
            </w:r>
          </w:p>
        </w:tc>
        <w:tc>
          <w:tcPr>
            <w:tcW w:w="1984" w:type="dxa"/>
          </w:tcPr>
          <w:p w:rsidR="0097127E" w:rsidRPr="0097127E" w:rsidRDefault="0097127E" w:rsidP="00AE0F54"/>
        </w:tc>
      </w:tr>
      <w:tr w:rsidR="0097127E" w:rsidRPr="0097127E" w:rsidTr="00890F23">
        <w:tc>
          <w:tcPr>
            <w:tcW w:w="1951" w:type="dxa"/>
            <w:vMerge/>
          </w:tcPr>
          <w:p w:rsidR="0097127E" w:rsidRPr="0097127E" w:rsidRDefault="0097127E" w:rsidP="00AE0F54"/>
        </w:tc>
        <w:tc>
          <w:tcPr>
            <w:tcW w:w="3119" w:type="dxa"/>
          </w:tcPr>
          <w:p w:rsidR="0097127E" w:rsidRPr="0097127E" w:rsidRDefault="0097127E" w:rsidP="00AE0F54">
            <w:r w:rsidRPr="0097127E">
              <w:t>Cancer biomarkers</w:t>
            </w:r>
          </w:p>
        </w:tc>
        <w:tc>
          <w:tcPr>
            <w:tcW w:w="1559" w:type="dxa"/>
          </w:tcPr>
          <w:p w:rsidR="0097127E" w:rsidRPr="0097127E" w:rsidRDefault="0097127E" w:rsidP="00AE0F54">
            <w:r w:rsidRPr="0097127E">
              <w:t xml:space="preserve">E7080-J081-105 </w:t>
            </w:r>
          </w:p>
        </w:tc>
        <w:tc>
          <w:tcPr>
            <w:tcW w:w="1984" w:type="dxa"/>
          </w:tcPr>
          <w:p w:rsidR="0097127E" w:rsidRPr="0097127E" w:rsidRDefault="0097127E" w:rsidP="00AE0F54">
            <w:r w:rsidRPr="0097127E">
              <w:t xml:space="preserve">NFE - Mean changes in VEGF from baseline at Day 8 and Day 15 of Cycle 1 were 253.43% and 365.39%. </w:t>
            </w:r>
          </w:p>
        </w:tc>
      </w:tr>
      <w:tr w:rsidR="0097127E" w:rsidRPr="0097127E" w:rsidTr="00890F23">
        <w:tc>
          <w:tcPr>
            <w:tcW w:w="1951" w:type="dxa"/>
            <w:vMerge/>
          </w:tcPr>
          <w:p w:rsidR="0097127E" w:rsidRPr="0097127E" w:rsidRDefault="0097127E" w:rsidP="00AE0F54"/>
        </w:tc>
        <w:tc>
          <w:tcPr>
            <w:tcW w:w="3119" w:type="dxa"/>
          </w:tcPr>
          <w:p w:rsidR="0097127E" w:rsidRPr="0097127E" w:rsidRDefault="0097127E" w:rsidP="00AE0F54">
            <w:r w:rsidRPr="0097127E">
              <w:t>Cancer biomarkers</w:t>
            </w:r>
          </w:p>
        </w:tc>
        <w:tc>
          <w:tcPr>
            <w:tcW w:w="1559" w:type="dxa"/>
          </w:tcPr>
          <w:p w:rsidR="0097127E" w:rsidRPr="0097127E" w:rsidRDefault="0097127E" w:rsidP="00AE0F54">
            <w:r w:rsidRPr="0097127E">
              <w:t>E7080-E044-101</w:t>
            </w:r>
          </w:p>
        </w:tc>
        <w:tc>
          <w:tcPr>
            <w:tcW w:w="1984" w:type="dxa"/>
          </w:tcPr>
          <w:p w:rsidR="0097127E" w:rsidRPr="0097127E" w:rsidRDefault="0097127E" w:rsidP="00AE0F54">
            <w:r w:rsidRPr="0097127E">
              <w:t>6 and added to Summary of the Phase II study E7080-G000-201 to enrich it.</w:t>
            </w:r>
          </w:p>
        </w:tc>
      </w:tr>
      <w:tr w:rsidR="0097127E" w:rsidRPr="0097127E" w:rsidTr="00890F23">
        <w:tc>
          <w:tcPr>
            <w:tcW w:w="1951" w:type="dxa"/>
            <w:vMerge w:val="restart"/>
          </w:tcPr>
          <w:p w:rsidR="0097127E" w:rsidRPr="0097127E" w:rsidRDefault="0097127E" w:rsidP="00AE0F54">
            <w:r w:rsidRPr="0097127E">
              <w:t>Population PD and PK-PD analyses</w:t>
            </w:r>
          </w:p>
        </w:tc>
        <w:tc>
          <w:tcPr>
            <w:tcW w:w="3119" w:type="dxa"/>
          </w:tcPr>
          <w:p w:rsidR="0097127E" w:rsidRPr="0097127E" w:rsidRDefault="0097127E" w:rsidP="00AE0F54">
            <w:r w:rsidRPr="0097127E">
              <w:t>Healthy subjects</w:t>
            </w:r>
          </w:p>
        </w:tc>
        <w:tc>
          <w:tcPr>
            <w:tcW w:w="1559" w:type="dxa"/>
          </w:tcPr>
          <w:p w:rsidR="0097127E" w:rsidRPr="0097127E" w:rsidRDefault="0097127E" w:rsidP="00AE0F54"/>
        </w:tc>
        <w:tc>
          <w:tcPr>
            <w:tcW w:w="1984" w:type="dxa"/>
          </w:tcPr>
          <w:p w:rsidR="0097127E" w:rsidRPr="0097127E" w:rsidRDefault="0097127E" w:rsidP="00AE0F54"/>
        </w:tc>
      </w:tr>
      <w:tr w:rsidR="0097127E" w:rsidRPr="0097127E" w:rsidTr="00890F23">
        <w:tc>
          <w:tcPr>
            <w:tcW w:w="1951" w:type="dxa"/>
            <w:vMerge/>
          </w:tcPr>
          <w:p w:rsidR="0097127E" w:rsidRPr="0097127E" w:rsidRDefault="0097127E" w:rsidP="00AE0F54"/>
        </w:tc>
        <w:tc>
          <w:tcPr>
            <w:tcW w:w="3119" w:type="dxa"/>
          </w:tcPr>
          <w:p w:rsidR="0097127E" w:rsidRPr="0097127E" w:rsidRDefault="0097127E" w:rsidP="00AE0F54">
            <w:r w:rsidRPr="0097127E">
              <w:t>Target population – relationship of exposure to response</w:t>
            </w:r>
          </w:p>
        </w:tc>
        <w:tc>
          <w:tcPr>
            <w:tcW w:w="1559" w:type="dxa"/>
          </w:tcPr>
          <w:p w:rsidR="0097127E" w:rsidRPr="0097127E" w:rsidRDefault="0097127E" w:rsidP="00AE0F54">
            <w:r w:rsidRPr="0097127E">
              <w:t>E7080-E044-101</w:t>
            </w:r>
          </w:p>
        </w:tc>
        <w:tc>
          <w:tcPr>
            <w:tcW w:w="1984" w:type="dxa"/>
          </w:tcPr>
          <w:p w:rsidR="0097127E" w:rsidRPr="0097127E" w:rsidRDefault="0097127E" w:rsidP="00AE0F54">
            <w:r w:rsidRPr="0097127E">
              <w:t>8 (clear relationship between exposure and hypertension and proteinuria)</w:t>
            </w:r>
          </w:p>
        </w:tc>
      </w:tr>
    </w:tbl>
    <w:p w:rsidR="0097127E" w:rsidRPr="0097127E" w:rsidRDefault="0097127E" w:rsidP="0097127E">
      <w:r w:rsidRPr="0097127E">
        <w:t>PD endpoints in the Phase I E7080-J081-103 were surrogates in a different indication, the PK data form this study was added to the thyroid cancer population PK study.</w:t>
      </w:r>
    </w:p>
    <w:p w:rsidR="0097127E" w:rsidRPr="0097127E" w:rsidRDefault="0097127E" w:rsidP="0097127E">
      <w:r w:rsidRPr="0097127E">
        <w:t>E7080-a001-002 was a double</w:t>
      </w:r>
      <w:r w:rsidR="009E6B3C">
        <w:t xml:space="preserve"> </w:t>
      </w:r>
      <w:r w:rsidRPr="0097127E">
        <w:t>blind study in healthy volunteers to assess the effe</w:t>
      </w:r>
      <w:r w:rsidR="00E72B5A">
        <w:t xml:space="preserve">ct of E7080 on the </w:t>
      </w:r>
      <w:proofErr w:type="spellStart"/>
      <w:r w:rsidR="00E72B5A">
        <w:t>QTc</w:t>
      </w:r>
      <w:proofErr w:type="spellEnd"/>
      <w:r w:rsidR="00E72B5A">
        <w:t xml:space="preserve"> interval.</w:t>
      </w:r>
    </w:p>
    <w:p w:rsidR="0097127E" w:rsidRPr="0097127E" w:rsidRDefault="0097127E" w:rsidP="0097127E">
      <w:r w:rsidRPr="0097127E">
        <w:t xml:space="preserve">Study E7080-E044-101 included both PK data and </w:t>
      </w:r>
      <w:r w:rsidR="009E6B3C">
        <w:t>PD</w:t>
      </w:r>
      <w:r w:rsidRPr="0097127E">
        <w:t xml:space="preserve"> biomarkers. These were identified and the biological effects of E7080 explored.</w:t>
      </w:r>
    </w:p>
    <w:p w:rsidR="0097127E" w:rsidRPr="0097127E" w:rsidRDefault="0097127E" w:rsidP="0097127E">
      <w:r w:rsidRPr="0097127E">
        <w:t xml:space="preserve">In Study E7080-A001-102, which was predominantly a bioavailability study, a PD endpoint DCE-MRI was also measured. Decreases in median </w:t>
      </w:r>
      <w:proofErr w:type="spellStart"/>
      <w:r w:rsidRPr="0097127E">
        <w:t>Ktrans</w:t>
      </w:r>
      <w:proofErr w:type="spellEnd"/>
      <w:r w:rsidRPr="0097127E">
        <w:t xml:space="preserve"> of tumo</w:t>
      </w:r>
      <w:r w:rsidR="009E6B3C">
        <w:t>u</w:t>
      </w:r>
      <w:r w:rsidRPr="0097127E">
        <w:t>r lesion (L/min) from baseline to 48 h post</w:t>
      </w:r>
      <w:r w:rsidR="009E6B3C">
        <w:t xml:space="preserve"> </w:t>
      </w:r>
      <w:r w:rsidRPr="0097127E">
        <w:t>baseline were observed for all treatment cohorts.</w:t>
      </w:r>
    </w:p>
    <w:p w:rsidR="0097127E" w:rsidRPr="0097127E" w:rsidRDefault="0097127E" w:rsidP="0097127E">
      <w:r w:rsidRPr="0097127E">
        <w:t>Study E7080-J081-105 undertook</w:t>
      </w:r>
      <w:r w:rsidR="009E6B3C">
        <w:t xml:space="preserve"> exploratory PD studies and </w:t>
      </w:r>
      <w:r w:rsidRPr="0097127E">
        <w:t>noted the plasma VEGF level tended to increase in subjects at Days 8 and 15 of Cycle 1. Mean changes in VEGF from baseline at Day 8 and Day 15 of Cycle 1 were 253.43% and 365.39%, respectively. In other PD biomarkers, there were no relevant differences.</w:t>
      </w:r>
    </w:p>
    <w:p w:rsidR="0097127E" w:rsidRPr="0097127E" w:rsidRDefault="0097127E" w:rsidP="0097127E">
      <w:r w:rsidRPr="0097127E">
        <w:lastRenderedPageBreak/>
        <w:t>E7050-G000-901</w:t>
      </w:r>
      <w:r>
        <w:t>:</w:t>
      </w:r>
      <w:r w:rsidR="00021FEB">
        <w:t xml:space="preserve"> An Open </w:t>
      </w:r>
      <w:r w:rsidR="009E6B3C">
        <w:t>Label, Multicent</w:t>
      </w:r>
      <w:r w:rsidRPr="0097127E">
        <w:t>r</w:t>
      </w:r>
      <w:r w:rsidR="009E6B3C">
        <w:t xml:space="preserve">e Phase </w:t>
      </w:r>
      <w:proofErr w:type="spellStart"/>
      <w:r w:rsidR="009E6B3C">
        <w:t>Ib</w:t>
      </w:r>
      <w:proofErr w:type="spellEnd"/>
      <w:r w:rsidR="009E6B3C">
        <w:t>/II</w:t>
      </w:r>
      <w:r w:rsidRPr="0097127E">
        <w:t xml:space="preserve"> Study of E7050 in Combination With E7080 in Subjects With Advanced Solid </w:t>
      </w:r>
      <w:proofErr w:type="spellStart"/>
      <w:r w:rsidRPr="0097127E">
        <w:t>Tumors</w:t>
      </w:r>
      <w:proofErr w:type="spellEnd"/>
      <w:r w:rsidRPr="0097127E">
        <w:t xml:space="preserve"> (Dose Escalation) and in Subjects With Recurrent Glioblastoma or </w:t>
      </w:r>
      <w:proofErr w:type="spellStart"/>
      <w:r w:rsidRPr="0097127E">
        <w:t>Unresectable</w:t>
      </w:r>
      <w:proofErr w:type="spellEnd"/>
      <w:r w:rsidRPr="0097127E">
        <w:t xml:space="preserve"> Stage III or Stage IV Melanoma After Prior Systemic Thera</w:t>
      </w:r>
      <w:r w:rsidR="00B93909">
        <w:t>py (Expansion Cohort and Phase II</w:t>
      </w:r>
      <w:r w:rsidRPr="0097127E">
        <w:t>). This was excluded from the PD analysis as it was a study in a different disease</w:t>
      </w:r>
      <w:r w:rsidR="00E54C9B">
        <w:t>;</w:t>
      </w:r>
      <w:r w:rsidRPr="0097127E">
        <w:t xml:space="preserve"> howe</w:t>
      </w:r>
      <w:r w:rsidR="00E54C9B">
        <w:t xml:space="preserve">ver, it did have a safety data, </w:t>
      </w:r>
      <w:r w:rsidRPr="0097127E">
        <w:t>but this was not evaluable in the submission.</w:t>
      </w:r>
    </w:p>
    <w:p w:rsidR="0097127E" w:rsidRDefault="005E63A9" w:rsidP="0097127E">
      <w:r>
        <w:t>Table 8</w:t>
      </w:r>
      <w:r w:rsidR="00890F23">
        <w:t xml:space="preserve"> </w:t>
      </w:r>
      <w:r w:rsidR="0097127E">
        <w:t xml:space="preserve">lists pharmacodynamic results that were excluded from consideration due to study </w:t>
      </w:r>
      <w:r w:rsidR="004F6D83">
        <w:t>deficiencies</w:t>
      </w:r>
      <w:r w:rsidR="0097127E">
        <w:t>.</w:t>
      </w:r>
    </w:p>
    <w:p w:rsidR="0097127E" w:rsidRDefault="0097127E" w:rsidP="00890F23">
      <w:pPr>
        <w:pStyle w:val="TableTitle"/>
      </w:pPr>
      <w:bookmarkStart w:id="90" w:name="_Ref271033791"/>
      <w:bookmarkStart w:id="91" w:name="_Ref271120967"/>
      <w:bookmarkStart w:id="92" w:name="_Toc296335773"/>
      <w:proofErr w:type="gramStart"/>
      <w:r>
        <w:t>Table</w:t>
      </w:r>
      <w:bookmarkEnd w:id="90"/>
      <w:r w:rsidR="005E63A9">
        <w:t xml:space="preserve"> 8</w:t>
      </w:r>
      <w:r>
        <w:t>.</w:t>
      </w:r>
      <w:proofErr w:type="gramEnd"/>
      <w:r>
        <w:t xml:space="preserve"> Pharmacodynamic results excluded from consideration.</w:t>
      </w:r>
      <w:bookmarkEnd w:id="91"/>
      <w:bookmarkEnd w:id="92"/>
    </w:p>
    <w:tbl>
      <w:tblPr>
        <w:tblStyle w:val="TableTGAblue"/>
        <w:tblW w:w="9180" w:type="dxa"/>
        <w:tblLayout w:type="fixed"/>
        <w:tblLook w:val="04A0" w:firstRow="1" w:lastRow="0" w:firstColumn="1" w:lastColumn="0" w:noHBand="0" w:noVBand="1"/>
      </w:tblPr>
      <w:tblGrid>
        <w:gridCol w:w="2376"/>
        <w:gridCol w:w="6804"/>
      </w:tblGrid>
      <w:tr w:rsidR="0097127E" w:rsidRPr="002A7F45" w:rsidTr="002A7F45">
        <w:trPr>
          <w:cnfStyle w:val="100000000000" w:firstRow="1" w:lastRow="0" w:firstColumn="0" w:lastColumn="0" w:oddVBand="0" w:evenVBand="0" w:oddHBand="0" w:evenHBand="0" w:firstRowFirstColumn="0" w:firstRowLastColumn="0" w:lastRowFirstColumn="0" w:lastRowLastColumn="0"/>
          <w:trHeight w:val="307"/>
        </w:trPr>
        <w:tc>
          <w:tcPr>
            <w:tcW w:w="2376" w:type="dxa"/>
          </w:tcPr>
          <w:p w:rsidR="0097127E" w:rsidRPr="002A7F45" w:rsidRDefault="0097127E" w:rsidP="00AE0F54">
            <w:r w:rsidRPr="002A7F45">
              <w:t>Study ID</w:t>
            </w:r>
          </w:p>
        </w:tc>
        <w:tc>
          <w:tcPr>
            <w:tcW w:w="6804" w:type="dxa"/>
          </w:tcPr>
          <w:p w:rsidR="0097127E" w:rsidRPr="002A7F45" w:rsidRDefault="0097127E" w:rsidP="00AE0F54">
            <w:r w:rsidRPr="002A7F45">
              <w:t>PD results excluded</w:t>
            </w:r>
          </w:p>
        </w:tc>
      </w:tr>
      <w:tr w:rsidR="0097127E" w:rsidRPr="002A7F45" w:rsidTr="002A7F45">
        <w:tc>
          <w:tcPr>
            <w:tcW w:w="2376" w:type="dxa"/>
          </w:tcPr>
          <w:p w:rsidR="0097127E" w:rsidRPr="002A7F45" w:rsidRDefault="0097127E" w:rsidP="00AE0F54">
            <w:r w:rsidRPr="002A7F45">
              <w:t>Study e7080-J081-103</w:t>
            </w:r>
          </w:p>
        </w:tc>
        <w:tc>
          <w:tcPr>
            <w:tcW w:w="6804" w:type="dxa"/>
          </w:tcPr>
          <w:p w:rsidR="0097127E" w:rsidRPr="002A7F45" w:rsidRDefault="0097127E" w:rsidP="00AE0F54">
            <w:r w:rsidRPr="002A7F45">
              <w:t>Effect on VEGF, SDF1</w:t>
            </w:r>
            <w:r w:rsidR="00CB453D">
              <w:rPr>
                <w:rFonts w:ascii="Times New Roman" w:hAnsi="Times New Roman"/>
              </w:rPr>
              <w:t>α</w:t>
            </w:r>
            <w:r w:rsidR="00CB453D">
              <w:t xml:space="preserve"> a</w:t>
            </w:r>
            <w:r w:rsidRPr="002A7F45">
              <w:t xml:space="preserve">nd </w:t>
            </w:r>
            <w:proofErr w:type="spellStart"/>
            <w:r w:rsidRPr="002A7F45">
              <w:t>thrombopoietin</w:t>
            </w:r>
            <w:proofErr w:type="spellEnd"/>
            <w:r w:rsidRPr="002A7F45">
              <w:t xml:space="preserve"> (increased at doses of 13 mg BID).</w:t>
            </w:r>
          </w:p>
        </w:tc>
      </w:tr>
      <w:tr w:rsidR="0097127E" w:rsidRPr="002A7F45" w:rsidTr="002A7F45">
        <w:tc>
          <w:tcPr>
            <w:tcW w:w="2376" w:type="dxa"/>
          </w:tcPr>
          <w:p w:rsidR="0097127E" w:rsidRPr="002A7F45" w:rsidRDefault="0097127E" w:rsidP="00AE0F54">
            <w:r w:rsidRPr="002A7F45">
              <w:t>Study e7080-E044-101</w:t>
            </w:r>
          </w:p>
        </w:tc>
        <w:tc>
          <w:tcPr>
            <w:tcW w:w="6804" w:type="dxa"/>
          </w:tcPr>
          <w:p w:rsidR="0097127E" w:rsidRPr="002A7F45" w:rsidRDefault="0097127E" w:rsidP="00AE0F54">
            <w:r w:rsidRPr="002A7F45">
              <w:t>Effect on PD biomarkers (exploratory)</w:t>
            </w:r>
          </w:p>
        </w:tc>
      </w:tr>
      <w:tr w:rsidR="0097127E" w:rsidRPr="002A7F45" w:rsidTr="00140AA1">
        <w:trPr>
          <w:trHeight w:val="560"/>
        </w:trPr>
        <w:tc>
          <w:tcPr>
            <w:tcW w:w="2376" w:type="dxa"/>
          </w:tcPr>
          <w:p w:rsidR="0097127E" w:rsidRPr="002A7F45" w:rsidRDefault="0097127E" w:rsidP="00AE0F54">
            <w:r w:rsidRPr="002A7F45">
              <w:t>Study e7080-J081-105</w:t>
            </w:r>
          </w:p>
        </w:tc>
        <w:tc>
          <w:tcPr>
            <w:tcW w:w="6804" w:type="dxa"/>
          </w:tcPr>
          <w:p w:rsidR="0097127E" w:rsidRPr="002A7F45" w:rsidRDefault="0097127E" w:rsidP="00AE0F54">
            <w:r w:rsidRPr="002A7F45">
              <w:t>Effect on VEGF and other cancer biomarkers (exploratory PD)</w:t>
            </w:r>
          </w:p>
        </w:tc>
      </w:tr>
    </w:tbl>
    <w:p w:rsidR="00605AD4" w:rsidRDefault="00605AD4" w:rsidP="00605AD4">
      <w:pPr>
        <w:pStyle w:val="Heading4"/>
      </w:pPr>
      <w:r>
        <w:t>Evaluator’s conclusions on pharmacodynamics</w:t>
      </w:r>
    </w:p>
    <w:p w:rsidR="004F6D83" w:rsidRPr="004F6D83" w:rsidRDefault="004F6D83" w:rsidP="004F6D83">
      <w:r w:rsidRPr="004F6D83">
        <w:t>There are a number of reports with PD endpoint. Most of these were exploratory.</w:t>
      </w:r>
    </w:p>
    <w:p w:rsidR="00772CC0" w:rsidRDefault="004F6D83" w:rsidP="004F6D83">
      <w:r w:rsidRPr="004F6D83">
        <w:t>Exposure is likely to be related to both a reduction in tumour size (although there are a number of confounders, and exposure is also related to the risk of hypertension. The relationship of exposure to outcomes appears to be mediated via a reduction in tumour size</w:t>
      </w:r>
      <w:r w:rsidR="00772CC0">
        <w:t>.</w:t>
      </w:r>
    </w:p>
    <w:p w:rsidR="008E7846" w:rsidRDefault="00605AD4" w:rsidP="00605AD4">
      <w:pPr>
        <w:pStyle w:val="Heading3"/>
      </w:pPr>
      <w:bookmarkStart w:id="93" w:name="_Toc461092047"/>
      <w:r>
        <w:t>Dosage selection for the pivotal studies</w:t>
      </w:r>
      <w:bookmarkEnd w:id="93"/>
    </w:p>
    <w:p w:rsidR="004F6D83" w:rsidRPr="004F6D83" w:rsidRDefault="004F6D83" w:rsidP="004F6D83">
      <w:r w:rsidRPr="004F6D83">
        <w:t>The maximum tolerated dose (MTD) was determined to be 25</w:t>
      </w:r>
      <w:r w:rsidR="008363C3">
        <w:t xml:space="preserve"> </w:t>
      </w:r>
      <w:r w:rsidRPr="004F6D83">
        <w:t>mg once daily as doses higher than this had a high</w:t>
      </w:r>
      <w:r w:rsidR="00323F98">
        <w:t>er rate of associated higher adverse events (AEs)</w:t>
      </w:r>
      <w:r w:rsidRPr="004F6D83">
        <w:t xml:space="preserve"> (hypertension and proteinuria). However</w:t>
      </w:r>
      <w:r w:rsidR="007A29DA">
        <w:t>,</w:t>
      </w:r>
      <w:r w:rsidRPr="004F6D83">
        <w:t xml:space="preserve"> it was also noted that an increasing reduction in tumour growth was seen up to 32 mg dose.</w:t>
      </w:r>
    </w:p>
    <w:p w:rsidR="004F6D83" w:rsidRPr="004F6D83" w:rsidRDefault="00F265A7" w:rsidP="004F6D83">
      <w:r>
        <w:t xml:space="preserve">Three </w:t>
      </w:r>
      <w:proofErr w:type="gramStart"/>
      <w:r>
        <w:t>Phase</w:t>
      </w:r>
      <w:proofErr w:type="gramEnd"/>
      <w:r>
        <w:t xml:space="preserve"> </w:t>
      </w:r>
      <w:r w:rsidR="007A29DA">
        <w:t>I</w:t>
      </w:r>
      <w:r w:rsidR="004F6D83" w:rsidRPr="004F6D83">
        <w:t xml:space="preserve"> studies (E7080-E044-101; E7080-J081-103; and E7080-A001-102) were conducted to determine the MTD of lenvatinib and the optimal frequency of administration. These studies examined escalating doses of lenvatinib administered QD or BID using continuous and interrupted dosing schedules. In Study E7080-E044-101, escalating doses of lenvatinib from 0.2 to 32 mg were given QD in continuous 28</w:t>
      </w:r>
      <w:r w:rsidR="00927442">
        <w:t xml:space="preserve"> </w:t>
      </w:r>
      <w:r w:rsidR="004F6D83" w:rsidRPr="004F6D83">
        <w:t>day cycles to 82 subjects with advanced solid tumo</w:t>
      </w:r>
      <w:r w:rsidR="00F1133E">
        <w:t>u</w:t>
      </w:r>
      <w:r w:rsidR="004F6D83" w:rsidRPr="004F6D83">
        <w:t xml:space="preserve">rs. In Study E7080‐E044-101, the MTD was determined to be 25 mg QD. Study E7080-A001-102 (monotherapy portion) was a dose escalation study (0.1 to 3.2 mg BID 7 </w:t>
      </w:r>
      <w:proofErr w:type="gramStart"/>
      <w:r w:rsidR="004F6D83" w:rsidRPr="004F6D83">
        <w:t>days</w:t>
      </w:r>
      <w:proofErr w:type="gramEnd"/>
      <w:r w:rsidR="004F6D83" w:rsidRPr="004F6D83">
        <w:t xml:space="preserve"> on/7 days off followed by 3.2 to 12 mg BID continuously) conducted in 77 subjects with solid tumo</w:t>
      </w:r>
      <w:r w:rsidR="00927442">
        <w:t>u</w:t>
      </w:r>
      <w:r w:rsidR="004F6D83" w:rsidRPr="004F6D83">
        <w:t>rs or resistant/refractory lymphomas. Study E7080-J081-103 was a dose escalation study (0.5 to 20 mg BID) in which 27 subjects with advanced solid tumo</w:t>
      </w:r>
      <w:r w:rsidR="00927442">
        <w:t>u</w:t>
      </w:r>
      <w:r w:rsidR="004F6D83" w:rsidRPr="004F6D83">
        <w:t>rs who were treated with lenvatinib BID in a 2 week on/1 week off schedule. In Study E7080-J081- 103, the MTD was determined to be 13 mg BID.</w:t>
      </w:r>
    </w:p>
    <w:p w:rsidR="00772CC0" w:rsidRDefault="004F6D83" w:rsidP="004F6D83">
      <w:r w:rsidRPr="004F6D83">
        <w:t>In Study E7080-E044-101</w:t>
      </w:r>
      <w:r w:rsidR="00927442">
        <w:t>,</w:t>
      </w:r>
      <w:r w:rsidRPr="004F6D83">
        <w:t xml:space="preserve"> although there was a trend towards a dose-response relationship with respect to partial response and progressive disease, there was also a clear relationship between dose and the probability of developing hypertension and </w:t>
      </w:r>
      <w:r w:rsidRPr="004F6D83">
        <w:lastRenderedPageBreak/>
        <w:t>proteinuria. Proteinuria was the dose</w:t>
      </w:r>
      <w:r w:rsidR="000F0B90">
        <w:t xml:space="preserve"> </w:t>
      </w:r>
      <w:r w:rsidRPr="004F6D83">
        <w:t>limiting toxicity, and the MTD of lenvatinib was determined to be 25 mg QD because as the dose of lenvatinib increased, the number of subjects requiring a dose reduction did</w:t>
      </w:r>
      <w:r w:rsidR="00772CC0">
        <w:t>.</w:t>
      </w:r>
    </w:p>
    <w:p w:rsidR="004F6D83" w:rsidRPr="004F6D83" w:rsidRDefault="004F6D83" w:rsidP="004F6D83">
      <w:r w:rsidRPr="004F6D83">
        <w:t xml:space="preserve">The relationship of hypertension to efficacy is discussed in the </w:t>
      </w:r>
      <w:r w:rsidR="000F0B90">
        <w:t>s</w:t>
      </w:r>
      <w:r w:rsidRPr="004F6D83">
        <w:t xml:space="preserve">ubmission and the </w:t>
      </w:r>
      <w:r w:rsidR="000F0B90">
        <w:t>s</w:t>
      </w:r>
      <w:r w:rsidRPr="004F6D83">
        <w:t xml:space="preserve">ponsor provided an abstract reference which suggests there is a correlation between diastolic hypertension and response for another angiogenesis inhibitor, </w:t>
      </w:r>
      <w:proofErr w:type="spellStart"/>
      <w:r w:rsidRPr="004F6D83">
        <w:t>axitinib</w:t>
      </w:r>
      <w:proofErr w:type="spellEnd"/>
      <w:r w:rsidRPr="004F6D83">
        <w:t>.</w:t>
      </w:r>
      <w:r w:rsidR="000F0B90">
        <w:rPr>
          <w:rStyle w:val="FootnoteReference"/>
        </w:rPr>
        <w:footnoteReference w:id="35"/>
      </w:r>
    </w:p>
    <w:p w:rsidR="00772CC0" w:rsidRDefault="004F6D83" w:rsidP="004F6D83">
      <w:r w:rsidRPr="004F6D83">
        <w:t>Although 25</w:t>
      </w:r>
      <w:r w:rsidR="00AF259D">
        <w:t xml:space="preserve"> </w:t>
      </w:r>
      <w:r w:rsidRPr="004F6D83">
        <w:t>mg once daily was subsequently chosen for the pivotal study, it was acknowledged that maintaining that dosage for long</w:t>
      </w:r>
      <w:r w:rsidR="00A903E7">
        <w:t xml:space="preserve"> </w:t>
      </w:r>
      <w:r w:rsidRPr="004F6D83">
        <w:t>term administration of lenvatinib could be challenging, as dose reductions were required in 54% of subjects. Dose reductions were required for 11% of the subjects with hypertension and for 17% of the subjects with proteinuria</w:t>
      </w:r>
      <w:r w:rsidR="00772CC0">
        <w:t>.</w:t>
      </w:r>
    </w:p>
    <w:p w:rsidR="004F6D83" w:rsidRPr="004F6D83" w:rsidRDefault="004F6D83" w:rsidP="004F6D83">
      <w:r w:rsidRPr="004F6D83">
        <w:t>The starting dose of 25 mg Q</w:t>
      </w:r>
      <w:r w:rsidR="00E53C46">
        <w:t>D was supported however by the p</w:t>
      </w:r>
      <w:r w:rsidRPr="004F6D83">
        <w:t xml:space="preserve">opulation PK/PD analysis of the results from the combined 3 Phase </w:t>
      </w:r>
      <w:r w:rsidR="00A903E7">
        <w:t>I</w:t>
      </w:r>
      <w:r w:rsidRPr="004F6D83">
        <w:t xml:space="preserve"> studies which included E7080‐E044-101 (and also E7080-J081-103; and E7080-A001-102). The PK/PD analyses indicated that PFS was better with higher lenvatinib exposure and that other factors including ECOG PS, schedule effect, and development of hypertension or proteinuria were not significant f</w:t>
      </w:r>
      <w:r w:rsidR="008F04B3">
        <w:t>actors. Analyses of response (Partial Response [PR] or durable Stable Disease [SD]</w:t>
      </w:r>
      <w:r w:rsidRPr="004F6D83">
        <w:t xml:space="preserve">) also showed that the probability of achieving a PR or durable SD significantly increased with an increase in </w:t>
      </w:r>
      <w:proofErr w:type="spellStart"/>
      <w:r w:rsidRPr="004F6D83">
        <w:t>Cmax</w:t>
      </w:r>
      <w:proofErr w:type="spellEnd"/>
      <w:r w:rsidRPr="004F6D83">
        <w:t>, AUC</w:t>
      </w:r>
      <w:r w:rsidRPr="00977C44">
        <w:rPr>
          <w:vertAlign w:val="subscript"/>
        </w:rPr>
        <w:t>0-24</w:t>
      </w:r>
      <w:r w:rsidR="008F04B3">
        <w:rPr>
          <w:vertAlign w:val="subscript"/>
        </w:rPr>
        <w:t>h</w:t>
      </w:r>
      <w:r w:rsidRPr="004F6D83">
        <w:t xml:space="preserve">, and </w:t>
      </w:r>
      <w:proofErr w:type="spellStart"/>
      <w:r w:rsidRPr="004F6D83">
        <w:t>Cmin</w:t>
      </w:r>
      <w:proofErr w:type="spellEnd"/>
      <w:r w:rsidRPr="004F6D83">
        <w:t xml:space="preserve"> at steady state and that the dosing schedule (BID v</w:t>
      </w:r>
      <w:r w:rsidR="00615BA9">
        <w:t>ersu</w:t>
      </w:r>
      <w:r w:rsidRPr="004F6D83">
        <w:t xml:space="preserve">s QD) was not correlated with response. Therefore, it was recommended that the daily dose in future clinical trials be administered QD rather than BID to allow for higher </w:t>
      </w:r>
      <w:proofErr w:type="spellStart"/>
      <w:r w:rsidRPr="004F6D83">
        <w:t>lenvatinib</w:t>
      </w:r>
      <w:proofErr w:type="spellEnd"/>
      <w:r w:rsidRPr="004F6D83">
        <w:t xml:space="preserve"> </w:t>
      </w:r>
      <w:proofErr w:type="spellStart"/>
      <w:r w:rsidRPr="004F6D83">
        <w:t>Cmax</w:t>
      </w:r>
      <w:proofErr w:type="spellEnd"/>
      <w:r w:rsidRPr="004F6D83">
        <w:t xml:space="preserve"> at steady state. To simplify drug administration, a dosage of 24 mg once daily (two 10</w:t>
      </w:r>
      <w:r w:rsidR="00C84E97">
        <w:t xml:space="preserve"> mg capsules + one 4 </w:t>
      </w:r>
      <w:r w:rsidRPr="004F6D83">
        <w:t>mg capsule) was selected for continued lenvatinib development.</w:t>
      </w:r>
    </w:p>
    <w:p w:rsidR="00772CC0" w:rsidRDefault="004F6D83" w:rsidP="004F6D83">
      <w:r w:rsidRPr="004F6D83">
        <w:t>Following completion of</w:t>
      </w:r>
      <w:r w:rsidR="00CC31AD">
        <w:t xml:space="preserve"> the Phase I</w:t>
      </w:r>
      <w:r w:rsidR="00C84E97">
        <w:t xml:space="preserve"> trials, the Phase II</w:t>
      </w:r>
      <w:r w:rsidRPr="004F6D83">
        <w:t xml:space="preserve"> study E7080-G000-201 was conducted in 117 subjects, 58 subjects with RR-DTC. Lenvatinib dosage was 24 mg QD (2 subjects received 10 mg BID prior to a protocol amendment). The ORR was 50% for RR-DTC subjects, and median PFS was 12.6 months (follow</w:t>
      </w:r>
      <w:r w:rsidR="0076425E">
        <w:t xml:space="preserve"> </w:t>
      </w:r>
      <w:r w:rsidRPr="004F6D83">
        <w:t>up time of 14 months). There was no comparison group. No direct relationship between lenvatinib exposure (AUC at steady state) and response was detected. Reduction in tumo</w:t>
      </w:r>
      <w:r w:rsidR="00FE070D">
        <w:t>u</w:t>
      </w:r>
      <w:r w:rsidRPr="004F6D83">
        <w:t>r size was indeed found to be correlated to lenvatinib ex</w:t>
      </w:r>
      <w:r w:rsidR="00FE070D">
        <w:t>posure in this Phase II</w:t>
      </w:r>
      <w:r w:rsidRPr="004F6D83">
        <w:t xml:space="preserve"> study</w:t>
      </w:r>
      <w:r w:rsidR="00772CC0">
        <w:t>.</w:t>
      </w:r>
    </w:p>
    <w:p w:rsidR="004F6D83" w:rsidRPr="004F6D83" w:rsidRDefault="004F6D83" w:rsidP="004F6D83">
      <w:r w:rsidRPr="004F6D83">
        <w:t>Based on these results, the current study was conducted using a lenvatinib dosage of 24</w:t>
      </w:r>
      <w:r w:rsidR="00E03567">
        <w:t xml:space="preserve"> mg QD given continuously in 28 </w:t>
      </w:r>
      <w:r w:rsidRPr="004F6D83">
        <w:t>day cycles using an algorithm of dose interruptions/reductions and concomitant medications to manage lenvatinib toxicity.</w:t>
      </w:r>
    </w:p>
    <w:p w:rsidR="00772CC0" w:rsidRDefault="004F6D83" w:rsidP="004F6D83">
      <w:r w:rsidRPr="004F6D83">
        <w:t xml:space="preserve">During the conduct of the study, the </w:t>
      </w:r>
      <w:r w:rsidR="00E03567" w:rsidRPr="00E03567">
        <w:t>data monitoring committee</w:t>
      </w:r>
      <w:r w:rsidR="00E03567">
        <w:t xml:space="preserve"> (DMC)</w:t>
      </w:r>
      <w:r w:rsidRPr="004F6D83">
        <w:t xml:space="preserve"> recommended in February 2013 that the dosage of lenvatinib be reduced to 20 mg QD for subjects entering the OOL Lenvatinib Treatment Period due to frequent dose reductions observed with the 24 mg QD regimen. This change was made in Protocol Amendment 4 (dose reduction was implemented on 16 Feb</w:t>
      </w:r>
      <w:r w:rsidR="0076425E">
        <w:t>ruary</w:t>
      </w:r>
      <w:r w:rsidRPr="004F6D83">
        <w:t xml:space="preserve"> 2013). Pursuant to Protocol Amendment 5, the starting dosage of lenvatinib returned to 24 mg QD</w:t>
      </w:r>
      <w:r w:rsidR="00772CC0">
        <w:t>.</w:t>
      </w:r>
    </w:p>
    <w:p w:rsidR="004F6D83" w:rsidRPr="004F6D83" w:rsidRDefault="004F6D83" w:rsidP="004F6D83">
      <w:pPr>
        <w:ind w:left="720"/>
        <w:rPr>
          <w:i/>
        </w:rPr>
      </w:pPr>
      <w:r w:rsidRPr="004F6D83">
        <w:rPr>
          <w:i/>
        </w:rPr>
        <w:t xml:space="preserve">Comment: </w:t>
      </w:r>
      <w:r>
        <w:rPr>
          <w:i/>
        </w:rPr>
        <w:t>T</w:t>
      </w:r>
      <w:r w:rsidRPr="004F6D83">
        <w:rPr>
          <w:i/>
        </w:rPr>
        <w:t>he dose chosen for the single pivotal study is appropriate. The ability to reduce the dose as needed for toxicity is noted</w:t>
      </w:r>
    </w:p>
    <w:p w:rsidR="008E7846" w:rsidRPr="00254787" w:rsidRDefault="008E7846" w:rsidP="008E7846">
      <w:pPr>
        <w:pStyle w:val="Heading3"/>
      </w:pPr>
      <w:bookmarkStart w:id="94" w:name="_Toc163441372"/>
      <w:bookmarkStart w:id="95" w:name="_Toc196046485"/>
      <w:bookmarkStart w:id="96" w:name="_Toc247691521"/>
      <w:bookmarkStart w:id="97" w:name="_Toc314842504"/>
      <w:bookmarkStart w:id="98" w:name="_Toc461092048"/>
      <w:r w:rsidRPr="00254787">
        <w:lastRenderedPageBreak/>
        <w:t>Efficacy</w:t>
      </w:r>
      <w:bookmarkEnd w:id="94"/>
      <w:bookmarkEnd w:id="95"/>
      <w:bookmarkEnd w:id="96"/>
      <w:bookmarkEnd w:id="97"/>
      <w:bookmarkEnd w:id="98"/>
    </w:p>
    <w:p w:rsidR="00605AD4" w:rsidRDefault="00605AD4" w:rsidP="00605AD4">
      <w:pPr>
        <w:pStyle w:val="Heading4"/>
      </w:pPr>
      <w:bookmarkStart w:id="99" w:name="_Toc184439992"/>
      <w:bookmarkStart w:id="100" w:name="_Toc184440279"/>
      <w:bookmarkStart w:id="101" w:name="_Toc184444657"/>
      <w:bookmarkStart w:id="102" w:name="_Toc196046487"/>
      <w:r>
        <w:t>Studies providing efficacy data</w:t>
      </w:r>
    </w:p>
    <w:p w:rsidR="00FE17DA" w:rsidRPr="0062630D" w:rsidRDefault="00FE17DA" w:rsidP="00FE17DA">
      <w:pPr>
        <w:rPr>
          <w:rFonts w:asciiTheme="minorHAnsi" w:hAnsiTheme="minorHAnsi"/>
          <w:sz w:val="24"/>
        </w:rPr>
      </w:pPr>
      <w:r>
        <w:t>Efficacy in the proposed indication is support</w:t>
      </w:r>
      <w:r w:rsidR="0083358D">
        <w:t>ed by a single pivotal, placebo controlled, Phase III</w:t>
      </w:r>
      <w:r w:rsidR="00AD4923">
        <w:t xml:space="preserve"> </w:t>
      </w:r>
      <w:r>
        <w:t>study in subjects with RR-DTC (E7080 G000-303)</w:t>
      </w:r>
      <w:r w:rsidR="0083358D">
        <w:t xml:space="preserve"> and 2 open label Phase II</w:t>
      </w:r>
      <w:r>
        <w:t xml:space="preserve"> studies (E7080-G000-201 and E7080-J081-208) including subjects with RR-DTC as well as other forms of advanced thyroid cancer.</w:t>
      </w:r>
    </w:p>
    <w:p w:rsidR="008E7846" w:rsidRDefault="00605AD4" w:rsidP="00605AD4">
      <w:pPr>
        <w:pStyle w:val="Heading4"/>
      </w:pPr>
      <w:r>
        <w:t>Evaluator’s conclusions on efficacy</w:t>
      </w:r>
    </w:p>
    <w:p w:rsidR="00655A29" w:rsidRPr="00655A29" w:rsidRDefault="00655A29" w:rsidP="00655A29">
      <w:r w:rsidRPr="00655A29">
        <w:t xml:space="preserve">The submission complies with TGA </w:t>
      </w:r>
      <w:r w:rsidR="005938D4">
        <w:t>g</w:t>
      </w:r>
      <w:r w:rsidRPr="00655A29">
        <w:t>uidance. The single pivotal trial is noted. The primary endpoint of the pivotal study was achieved. There was a significant difference in l</w:t>
      </w:r>
      <w:r w:rsidR="005938D4">
        <w:t>envatinib versus</w:t>
      </w:r>
      <w:r w:rsidRPr="00655A29">
        <w:t xml:space="preserve"> placebo in </w:t>
      </w:r>
      <w:r w:rsidR="00D32521">
        <w:t>PFS</w:t>
      </w:r>
      <w:r w:rsidRPr="00655A29">
        <w:t>. Overall</w:t>
      </w:r>
      <w:r w:rsidR="005938D4">
        <w:t>,</w:t>
      </w:r>
      <w:r w:rsidRPr="00655A29">
        <w:t xml:space="preserve"> survival was not significantly different however.</w:t>
      </w:r>
    </w:p>
    <w:p w:rsidR="00655A29" w:rsidRPr="00655A29" w:rsidRDefault="00655A29" w:rsidP="00655A29">
      <w:r w:rsidRPr="00655A29">
        <w:t>Study design was appropriate.</w:t>
      </w:r>
    </w:p>
    <w:p w:rsidR="00655A29" w:rsidRPr="00655A29" w:rsidRDefault="00655A29" w:rsidP="00655A29">
      <w:r w:rsidRPr="00655A29">
        <w:t xml:space="preserve">PFS is a relevant clinical endpoint. The </w:t>
      </w:r>
      <w:r>
        <w:t>EMA</w:t>
      </w:r>
      <w:r w:rsidRPr="00655A29">
        <w:t xml:space="preserve"> CHMP </w:t>
      </w:r>
      <w:r>
        <w:t>guidelines</w:t>
      </w:r>
      <w:r>
        <w:rPr>
          <w:rStyle w:val="FootnoteReference"/>
        </w:rPr>
        <w:footnoteReference w:id="36"/>
      </w:r>
      <w:r>
        <w:t xml:space="preserve"> were </w:t>
      </w:r>
      <w:r w:rsidRPr="00655A29">
        <w:t>also used as a reference for discussion on appropriateness of the choice of PFS in the pivotal study.</w:t>
      </w:r>
    </w:p>
    <w:p w:rsidR="00655A29" w:rsidRPr="00655A29" w:rsidRDefault="00655A29" w:rsidP="00655A29">
      <w:r w:rsidRPr="00655A29">
        <w:t>The lack of apparent relationship between PFS and OS is noted.</w:t>
      </w:r>
    </w:p>
    <w:p w:rsidR="00655A29" w:rsidRPr="00655A29" w:rsidRDefault="00655A29" w:rsidP="00655A29">
      <w:r w:rsidRPr="00655A29">
        <w:t xml:space="preserve">In the first </w:t>
      </w:r>
      <w:r w:rsidR="002E11E3">
        <w:t xml:space="preserve">of the two Phase II studies, </w:t>
      </w:r>
      <w:r w:rsidRPr="00655A29">
        <w:t>the pooled data showed there was</w:t>
      </w:r>
      <w:r>
        <w:t xml:space="preserve"> very wide variability in AUC. </w:t>
      </w:r>
      <w:r w:rsidRPr="00655A29">
        <w:t>Statistical effects of weight were seen, no differences were noted in age and gender however numbers were small for each stratum.</w:t>
      </w:r>
    </w:p>
    <w:p w:rsidR="00655A29" w:rsidRPr="00655A29" w:rsidRDefault="00655A29" w:rsidP="00655A29">
      <w:r w:rsidRPr="00655A29">
        <w:t xml:space="preserve">In the second Phase II study, at the time of data </w:t>
      </w:r>
      <w:proofErr w:type="spellStart"/>
      <w:r w:rsidRPr="00655A29">
        <w:t>cutoff</w:t>
      </w:r>
      <w:proofErr w:type="spellEnd"/>
      <w:r w:rsidRPr="00655A29">
        <w:t xml:space="preserve"> all evaluable subjects experienced tumo</w:t>
      </w:r>
      <w:r w:rsidR="0054502C">
        <w:t>u</w:t>
      </w:r>
      <w:r w:rsidRPr="00655A29">
        <w:t>r shrinkage after the init</w:t>
      </w:r>
      <w:r>
        <w:t xml:space="preserve">iation of lenvatinib treatment. </w:t>
      </w:r>
      <w:r w:rsidRPr="00655A29">
        <w:t xml:space="preserve">The median PFS in DTC subjects had not yet been reached. The median PFS was 6.5 months (95% CI: 5.6, 7.3) in MTC subjects and 5.5 months (95% CI: 1.4, –) in </w:t>
      </w:r>
      <w:r w:rsidR="00E22045" w:rsidRPr="00E22045">
        <w:t xml:space="preserve">Anatomical Therapeutic Chemical </w:t>
      </w:r>
      <w:r w:rsidR="00E22045">
        <w:t>(</w:t>
      </w:r>
      <w:r w:rsidRPr="00655A29">
        <w:t>ATC</w:t>
      </w:r>
      <w:r w:rsidR="00E22045">
        <w:t>)</w:t>
      </w:r>
      <w:r w:rsidRPr="00655A29">
        <w:t xml:space="preserve"> subjects. In all histologic subtypes, the median OS had not yet been reached.</w:t>
      </w:r>
    </w:p>
    <w:p w:rsidR="00655A29" w:rsidRPr="00655A29" w:rsidRDefault="00655A29" w:rsidP="00655A29">
      <w:r w:rsidRPr="00655A29">
        <w:t>The dose range chosen is reasonable, with the algorithm used in the clinical trial to reduce dose to toxicity.</w:t>
      </w:r>
    </w:p>
    <w:p w:rsidR="00655A29" w:rsidRPr="00655A29" w:rsidRDefault="00655A29" w:rsidP="00655A29">
      <w:r w:rsidRPr="00655A29">
        <w:t>The clinical studies are reasonably applicable to the predominantly Caucasian, middle age a</w:t>
      </w:r>
      <w:r w:rsidR="00F57B55">
        <w:t>nd lack of comorbidity patients;</w:t>
      </w:r>
      <w:r w:rsidRPr="00655A29">
        <w:t xml:space="preserve"> however</w:t>
      </w:r>
      <w:r w:rsidR="00F57B55">
        <w:t>,</w:t>
      </w:r>
      <w:r w:rsidRPr="00655A29">
        <w:t xml:space="preserve"> the data does not support generalisability to the elderly and children. The findings of the simulated model da</w:t>
      </w:r>
      <w:r w:rsidR="00625D7E">
        <w:t>ta and population PK analysis are</w:t>
      </w:r>
      <w:r w:rsidRPr="00655A29">
        <w:t xml:space="preserve"> noted.</w:t>
      </w:r>
    </w:p>
    <w:p w:rsidR="00655A29" w:rsidRPr="00655A29" w:rsidRDefault="00655A29" w:rsidP="00655A29">
      <w:r w:rsidRPr="00655A29">
        <w:t>Long term efficacy data, especially in the context of a short</w:t>
      </w:r>
      <w:r w:rsidR="003139C5">
        <w:t xml:space="preserve"> </w:t>
      </w:r>
      <w:r w:rsidRPr="00655A29">
        <w:t>term drug in a potentially chronic condition is unknown.</w:t>
      </w:r>
    </w:p>
    <w:p w:rsidR="008E7846" w:rsidRPr="002E238E" w:rsidRDefault="008E7846" w:rsidP="008E7846">
      <w:pPr>
        <w:pStyle w:val="Heading3"/>
      </w:pPr>
      <w:bookmarkStart w:id="103" w:name="_Toc163441378"/>
      <w:bookmarkStart w:id="104" w:name="_Toc196046495"/>
      <w:bookmarkStart w:id="105" w:name="_Toc247691522"/>
      <w:bookmarkStart w:id="106" w:name="_Toc314842505"/>
      <w:bookmarkStart w:id="107" w:name="_Toc461092049"/>
      <w:bookmarkEnd w:id="99"/>
      <w:bookmarkEnd w:id="100"/>
      <w:bookmarkEnd w:id="101"/>
      <w:bookmarkEnd w:id="102"/>
      <w:r w:rsidRPr="002E238E">
        <w:t>Safety</w:t>
      </w:r>
      <w:bookmarkEnd w:id="103"/>
      <w:bookmarkEnd w:id="104"/>
      <w:bookmarkEnd w:id="105"/>
      <w:bookmarkEnd w:id="106"/>
      <w:bookmarkEnd w:id="107"/>
    </w:p>
    <w:p w:rsidR="00605AD4" w:rsidRDefault="00605AD4" w:rsidP="00605AD4">
      <w:pPr>
        <w:pStyle w:val="Heading4"/>
      </w:pPr>
      <w:bookmarkStart w:id="108" w:name="_Toc247691524"/>
      <w:bookmarkStart w:id="109" w:name="_Toc314842508"/>
      <w:bookmarkStart w:id="110" w:name="_Toc196046504"/>
      <w:bookmarkStart w:id="111" w:name="_Toc163441390"/>
      <w:r w:rsidRPr="00605AD4">
        <w:t>Studies providing safety data</w:t>
      </w:r>
    </w:p>
    <w:p w:rsidR="00A66C7E" w:rsidRPr="00A66C7E" w:rsidRDefault="00A66C7E" w:rsidP="00A66C7E">
      <w:bookmarkStart w:id="112" w:name="_Ref268776745"/>
      <w:r w:rsidRPr="00A66C7E">
        <w:t>The safety profile is provided by the 3 clinical</w:t>
      </w:r>
      <w:r w:rsidR="00470536">
        <w:t xml:space="preserve"> studies:</w:t>
      </w:r>
      <w:r w:rsidRPr="00A66C7E">
        <w:t xml:space="preserve"> 452 subjects with RR-DTC and MTC. </w:t>
      </w:r>
      <w:r w:rsidR="00470536">
        <w:t xml:space="preserve">A total of </w:t>
      </w:r>
      <w:r w:rsidRPr="00A66C7E">
        <w:t>7 additional studies provided safety data</w:t>
      </w:r>
      <w:r w:rsidR="002F04A7">
        <w:t>:</w:t>
      </w:r>
      <w:r w:rsidRPr="00A66C7E">
        <w:t xml:space="preserve"> 656 subjects in total received lenvatinib.</w:t>
      </w:r>
    </w:p>
    <w:p w:rsidR="00A66C7E" w:rsidRPr="00A66C7E" w:rsidRDefault="00A66C7E" w:rsidP="00A66C7E">
      <w:r w:rsidRPr="00A66C7E">
        <w:t xml:space="preserve">All subjects had at least one </w:t>
      </w:r>
      <w:r w:rsidR="002F04A7" w:rsidRPr="002F04A7">
        <w:t>t</w:t>
      </w:r>
      <w:r w:rsidR="002F04A7">
        <w:t>reatment emergent adverse event (</w:t>
      </w:r>
      <w:r w:rsidRPr="00A66C7E">
        <w:t>TEAE</w:t>
      </w:r>
      <w:r w:rsidR="002F04A7">
        <w:t>)</w:t>
      </w:r>
      <w:r w:rsidRPr="00A66C7E">
        <w:t>, with profiles seen with other VEGF inhibitors.</w:t>
      </w:r>
    </w:p>
    <w:p w:rsidR="00A66C7E" w:rsidRPr="00027276" w:rsidRDefault="00A66C7E" w:rsidP="00A66C7E">
      <w:pPr>
        <w:pStyle w:val="Heading5"/>
      </w:pPr>
      <w:r w:rsidRPr="00027276">
        <w:lastRenderedPageBreak/>
        <w:t>Pivotal efficacy stud</w:t>
      </w:r>
      <w:bookmarkEnd w:id="112"/>
      <w:r>
        <w:t>y</w:t>
      </w:r>
    </w:p>
    <w:p w:rsidR="00772CC0" w:rsidRDefault="00A66C7E" w:rsidP="00A66C7E">
      <w:r w:rsidRPr="00A66C7E">
        <w:t>In the pivotal efficacy study (303), the following safety data were collected: TEAEs, clinical laborator</w:t>
      </w:r>
      <w:r w:rsidR="00E222E7">
        <w:t xml:space="preserve">y test results, vital signs, 12 </w:t>
      </w:r>
      <w:r w:rsidRPr="00A66C7E">
        <w:t xml:space="preserve">lead </w:t>
      </w:r>
      <w:r w:rsidR="00F831EB" w:rsidRPr="00F831EB">
        <w:t xml:space="preserve">electrocardiogram </w:t>
      </w:r>
      <w:r w:rsidR="00F831EB">
        <w:t>(</w:t>
      </w:r>
      <w:r w:rsidRPr="00A66C7E">
        <w:t>ECG</w:t>
      </w:r>
      <w:r w:rsidR="00F831EB">
        <w:t>)</w:t>
      </w:r>
      <w:r w:rsidRPr="00A66C7E">
        <w:t xml:space="preserve"> results, and </w:t>
      </w:r>
      <w:r w:rsidR="007F61BD">
        <w:t>l</w:t>
      </w:r>
      <w:r w:rsidR="007F61BD" w:rsidRPr="007F61BD">
        <w:t xml:space="preserve">eft ventricular ejection fraction </w:t>
      </w:r>
      <w:r w:rsidR="007F61BD">
        <w:t>(</w:t>
      </w:r>
      <w:r w:rsidRPr="00A66C7E">
        <w:t>LVEF</w:t>
      </w:r>
      <w:r w:rsidR="007F61BD">
        <w:t>)</w:t>
      </w:r>
      <w:r w:rsidRPr="00A66C7E">
        <w:t>. The AE verbatim descriptions were classified into standardized medical terminology using the Medical Dictionary for Regulatory Activities (</w:t>
      </w:r>
      <w:proofErr w:type="spellStart"/>
      <w:r w:rsidRPr="00A66C7E">
        <w:t>MedDRA</w:t>
      </w:r>
      <w:proofErr w:type="spellEnd"/>
      <w:r w:rsidRPr="00A66C7E">
        <w:t xml:space="preserve">) (Version 16.0). </w:t>
      </w:r>
      <w:r w:rsidR="004C1331">
        <w:t>AEs</w:t>
      </w:r>
      <w:r w:rsidRPr="00A66C7E">
        <w:t xml:space="preserve"> were coded to the </w:t>
      </w:r>
      <w:proofErr w:type="spellStart"/>
      <w:r w:rsidRPr="00A66C7E">
        <w:t>MedDRA</w:t>
      </w:r>
      <w:proofErr w:type="spellEnd"/>
      <w:r w:rsidRPr="00A66C7E">
        <w:t xml:space="preserve"> primary system organ class (SOC) and preferred term (PT). Progression of malignant disease was not recorded as an AE in this study</w:t>
      </w:r>
      <w:r w:rsidR="00772CC0">
        <w:t>.</w:t>
      </w:r>
    </w:p>
    <w:p w:rsidR="00A66C7E" w:rsidRPr="00A66C7E" w:rsidRDefault="00A66C7E" w:rsidP="00A66C7E">
      <w:r w:rsidRPr="00A66C7E">
        <w:t xml:space="preserve">AEs of particular interest, based on safety data from lenvatinib clinical and pharmacovigilance databases were closely monitored during the study. These were hypertension, proteinuria, </w:t>
      </w:r>
      <w:r w:rsidR="009E4D7B">
        <w:t xml:space="preserve">GI </w:t>
      </w:r>
      <w:r w:rsidRPr="00A66C7E">
        <w:t>events, fatigue, decreased weight, h</w:t>
      </w:r>
      <w:r w:rsidR="00E152D8">
        <w:t>a</w:t>
      </w:r>
      <w:r w:rsidRPr="00A66C7E">
        <w:t xml:space="preserve">emorrhagic events, </w:t>
      </w:r>
      <w:r w:rsidR="009E4D7B">
        <w:t>GI</w:t>
      </w:r>
      <w:r w:rsidRPr="00A66C7E">
        <w:t xml:space="preserve"> perforation and fistula formation events, arterial, venous, and mixed vessel thromboembolic events, pancreatic events, renal events.</w:t>
      </w:r>
    </w:p>
    <w:p w:rsidR="00A66C7E" w:rsidRPr="00A66C7E" w:rsidRDefault="00A66C7E" w:rsidP="00A66C7E">
      <w:r w:rsidRPr="00A66C7E">
        <w:t xml:space="preserve">After database lock, the following events were identified as clinically significant: hypertension </w:t>
      </w:r>
      <w:r w:rsidR="000A2F8A">
        <w:t xml:space="preserve">proteinuria, atrial and venous thromboembolic </w:t>
      </w:r>
      <w:r w:rsidRPr="00A66C7E">
        <w:t>events, renal failure/impairment, liver injury/failure, and posterior reversible encephalopathy syndrome (PRES). These events are referred to as clinically significant AEs in this clinical study report.</w:t>
      </w:r>
    </w:p>
    <w:p w:rsidR="00772CC0" w:rsidRDefault="00A66C7E" w:rsidP="00A66C7E">
      <w:r w:rsidRPr="00A66C7E">
        <w:t>Laboratory tests were summarised by visit for all visits with data for at least 10% of subjects in lenvatinib arm and by worst post</w:t>
      </w:r>
      <w:r w:rsidR="004B7A3D">
        <w:t xml:space="preserve"> </w:t>
      </w:r>
      <w:r w:rsidRPr="00A66C7E">
        <w:t>baseline visit</w:t>
      </w:r>
      <w:r w:rsidR="00772CC0">
        <w:t>.</w:t>
      </w:r>
    </w:p>
    <w:p w:rsidR="00772CC0" w:rsidRDefault="00A66C7E" w:rsidP="00A66C7E">
      <w:pPr>
        <w:rPr>
          <w:i/>
        </w:rPr>
      </w:pPr>
      <w:r w:rsidRPr="00A66C7E">
        <w:rPr>
          <w:i/>
        </w:rPr>
        <w:t xml:space="preserve">Descriptive statistics for vital sign parameters (sitting systolic and diastolic BP, sitting heart rate, RR, temperature, weight) and changes from baseline were presented by visit for all visits with data for at least 10% of subjects in </w:t>
      </w:r>
      <w:proofErr w:type="spellStart"/>
      <w:r w:rsidRPr="00A66C7E">
        <w:rPr>
          <w:i/>
        </w:rPr>
        <w:t>lenvatinib</w:t>
      </w:r>
      <w:proofErr w:type="spellEnd"/>
      <w:r w:rsidRPr="00A66C7E">
        <w:rPr>
          <w:i/>
        </w:rPr>
        <w:t xml:space="preserve"> arm</w:t>
      </w:r>
      <w:r w:rsidR="00772CC0">
        <w:rPr>
          <w:i/>
        </w:rPr>
        <w:t>.</w:t>
      </w:r>
    </w:p>
    <w:p w:rsidR="00A66C7E" w:rsidRPr="00A66C7E" w:rsidRDefault="00A66C7E" w:rsidP="00A66C7E">
      <w:r w:rsidRPr="00A66C7E">
        <w:t xml:space="preserve">There was no </w:t>
      </w:r>
      <w:r w:rsidR="003A0135">
        <w:t>p</w:t>
      </w:r>
      <w:r w:rsidRPr="00A66C7E">
        <w:t>ivotal study that assessed safety as a primary outcome</w:t>
      </w:r>
    </w:p>
    <w:p w:rsidR="00605AD4" w:rsidRDefault="00605AD4" w:rsidP="00605AD4">
      <w:pPr>
        <w:pStyle w:val="Heading4"/>
      </w:pPr>
      <w:r w:rsidRPr="00605AD4">
        <w:t>Patient exposure</w:t>
      </w:r>
    </w:p>
    <w:p w:rsidR="00E82FB7" w:rsidRDefault="00E10CB8" w:rsidP="00E10CB8">
      <w:r w:rsidRPr="00E10CB8">
        <w:t>The lenvatinib clinical development program (which includes a variety of othe</w:t>
      </w:r>
      <w:r w:rsidR="003A0135">
        <w:t>r cancers) consists of 2 Phase III</w:t>
      </w:r>
      <w:r w:rsidR="004B7A3D">
        <w:t xml:space="preserve"> studies, 18 Phase I/</w:t>
      </w:r>
      <w:proofErr w:type="spellStart"/>
      <w:r w:rsidR="004B7A3D">
        <w:t>I</w:t>
      </w:r>
      <w:r w:rsidRPr="00E10CB8">
        <w:t>b</w:t>
      </w:r>
      <w:proofErr w:type="spellEnd"/>
      <w:r w:rsidRPr="00E10CB8">
        <w:t>/2 studies in subjects with various cancers,</w:t>
      </w:r>
      <w:r w:rsidR="004B7A3D">
        <w:t xml:space="preserve"> 6 </w:t>
      </w:r>
      <w:proofErr w:type="gramStart"/>
      <w:r w:rsidR="004B7A3D">
        <w:t>Phase</w:t>
      </w:r>
      <w:proofErr w:type="gramEnd"/>
      <w:r w:rsidR="004B7A3D">
        <w:t xml:space="preserve"> I </w:t>
      </w:r>
      <w:r w:rsidRPr="00E10CB8">
        <w:t>studies in healthy volunteers, and 1 study each in subjects with renal or hepatic impairment. The safety pooled analyses were based on dat</w:t>
      </w:r>
      <w:r w:rsidR="00E82FB7">
        <w:t>a from subjects in studies that:</w:t>
      </w:r>
    </w:p>
    <w:p w:rsidR="00E82FB7" w:rsidRDefault="00E10CB8" w:rsidP="00E82FB7">
      <w:pPr>
        <w:pStyle w:val="ListBullet"/>
      </w:pPr>
      <w:r w:rsidRPr="00E10CB8">
        <w:t xml:space="preserve">included subjects with cancer who received </w:t>
      </w:r>
      <w:proofErr w:type="spellStart"/>
      <w:r w:rsidRPr="00E10CB8">
        <w:t>lenvatinib</w:t>
      </w:r>
      <w:proofErr w:type="spellEnd"/>
      <w:r w:rsidRPr="00E10CB8">
        <w:t xml:space="preserve"> continuously as mo</w:t>
      </w:r>
      <w:r w:rsidR="00E82FB7">
        <w:t>notherapy</w:t>
      </w:r>
    </w:p>
    <w:p w:rsidR="00E82FB7" w:rsidRDefault="00E10CB8" w:rsidP="00E82FB7">
      <w:pPr>
        <w:pStyle w:val="ListBullet"/>
      </w:pPr>
      <w:r w:rsidRPr="00E10CB8">
        <w:t xml:space="preserve">had a </w:t>
      </w:r>
      <w:r w:rsidR="00E82FB7">
        <w:t>completed primary analysis, an</w:t>
      </w:r>
      <w:r w:rsidR="005407E9">
        <w:t>d</w:t>
      </w:r>
    </w:p>
    <w:p w:rsidR="00E82FB7" w:rsidRDefault="00E82FB7" w:rsidP="00E82FB7">
      <w:pPr>
        <w:pStyle w:val="ListBullet"/>
      </w:pPr>
      <w:proofErr w:type="gramStart"/>
      <w:r>
        <w:t>had</w:t>
      </w:r>
      <w:proofErr w:type="gramEnd"/>
      <w:r>
        <w:t xml:space="preserve"> a completed Clinical S</w:t>
      </w:r>
      <w:r w:rsidR="002D1A69">
        <w:t xml:space="preserve">tudy </w:t>
      </w:r>
      <w:r>
        <w:t>Report</w:t>
      </w:r>
      <w:r w:rsidR="00E10CB8" w:rsidRPr="00E10CB8">
        <w:t>: 101, 102 (monotherapy cohort/continuous dosing), 104, 105, 201, 203 (</w:t>
      </w:r>
      <w:proofErr w:type="spellStart"/>
      <w:r w:rsidR="00E10CB8" w:rsidRPr="00E10CB8">
        <w:t>lenvatinib</w:t>
      </w:r>
      <w:proofErr w:type="spellEnd"/>
      <w:r>
        <w:t xml:space="preserve"> </w:t>
      </w:r>
      <w:r w:rsidR="00E10CB8" w:rsidRPr="00E10CB8">
        <w:t>treated/monotherapy c</w:t>
      </w:r>
      <w:r>
        <w:t>ohort), 204, 206, 208, and 303.</w:t>
      </w:r>
    </w:p>
    <w:p w:rsidR="00E10CB8" w:rsidRPr="00E10CB8" w:rsidRDefault="00E10CB8" w:rsidP="00E10CB8">
      <w:r w:rsidRPr="00E10CB8">
        <w:t>Selected safety data have been included for the following studies in healthy subjects, including those that also enrolled subjects with renal or hepatic impairment: E7080-A001-001, E7080-A001-002, E7080-A001-003, E7080-A001-004, E7080-A001-005, E7080-A001-006, E7080-A001-007, and E7080-A001-008.</w:t>
      </w:r>
    </w:p>
    <w:p w:rsidR="00E10CB8" w:rsidRPr="00E10CB8" w:rsidRDefault="00E10CB8" w:rsidP="00E10CB8">
      <w:r w:rsidRPr="00E10CB8">
        <w:t>Patient exposure data includes all studies up to 15 Sep</w:t>
      </w:r>
      <w:r>
        <w:t>tember</w:t>
      </w:r>
      <w:r w:rsidRPr="00E10CB8">
        <w:t xml:space="preserve"> 2013 for all studies for which study participation was ongoing except the pivotal Study 303 which was 15 Mar 2014.</w:t>
      </w:r>
    </w:p>
    <w:p w:rsidR="00E10CB8" w:rsidRPr="00E10CB8" w:rsidRDefault="00E10CB8" w:rsidP="00E10CB8">
      <w:r w:rsidRPr="00E10CB8">
        <w:t>The main analyses of safety are based on the following 4 analysis sets for the pooled studies, with emphasis on the studies in subjects with DTC.</w:t>
      </w:r>
    </w:p>
    <w:p w:rsidR="00E10CB8" w:rsidRPr="00E10CB8" w:rsidRDefault="00E10CB8" w:rsidP="00E10CB8">
      <w:pPr>
        <w:pStyle w:val="ListBullet"/>
      </w:pPr>
      <w:r w:rsidRPr="00E10CB8">
        <w:t>DTC Randomi</w:t>
      </w:r>
      <w:r w:rsidR="00E37367">
        <w:t>s</w:t>
      </w:r>
      <w:r w:rsidRPr="00E10CB8">
        <w:t>ed Safety Set which includes placebo</w:t>
      </w:r>
      <w:r w:rsidR="00650C2E">
        <w:t xml:space="preserve"> </w:t>
      </w:r>
      <w:r w:rsidRPr="00E10CB8">
        <w:t>treated (</w:t>
      </w:r>
      <w:r w:rsidR="00650C2E">
        <w:t>n</w:t>
      </w:r>
      <w:r>
        <w:t xml:space="preserve"> </w:t>
      </w:r>
      <w:r w:rsidRPr="00E10CB8">
        <w:t>=</w:t>
      </w:r>
      <w:r>
        <w:t xml:space="preserve"> </w:t>
      </w:r>
      <w:r w:rsidRPr="00E10CB8">
        <w:t>131)</w:t>
      </w:r>
      <w:r w:rsidR="00F1133E">
        <w:t xml:space="preserve"> </w:t>
      </w:r>
      <w:r w:rsidR="00650C2E">
        <w:t xml:space="preserve">and lenvatinib </w:t>
      </w:r>
      <w:r w:rsidR="00E37367">
        <w:t>treated (n</w:t>
      </w:r>
      <w:r>
        <w:t xml:space="preserve"> </w:t>
      </w:r>
      <w:r w:rsidRPr="00E10CB8">
        <w:t>=</w:t>
      </w:r>
      <w:r>
        <w:t xml:space="preserve"> </w:t>
      </w:r>
      <w:r w:rsidRPr="00E10CB8">
        <w:t>261) subjects from the randomi</w:t>
      </w:r>
      <w:r w:rsidR="00650C2E">
        <w:t>s</w:t>
      </w:r>
      <w:r w:rsidRPr="00E10CB8">
        <w:t>ed portion only of Study 303.</w:t>
      </w:r>
    </w:p>
    <w:p w:rsidR="00E10CB8" w:rsidRPr="00E10CB8" w:rsidRDefault="00E10CB8" w:rsidP="00AB3DC6">
      <w:pPr>
        <w:pStyle w:val="ListBullet"/>
      </w:pPr>
      <w:r w:rsidRPr="00E10CB8">
        <w:lastRenderedPageBreak/>
        <w:t>DTC Non</w:t>
      </w:r>
      <w:r w:rsidR="00073282">
        <w:t xml:space="preserve"> </w:t>
      </w:r>
      <w:r w:rsidRPr="00E10CB8">
        <w:t>randomi</w:t>
      </w:r>
      <w:r w:rsidR="00073282">
        <w:t>s</w:t>
      </w:r>
      <w:r w:rsidRPr="00E10CB8">
        <w:t>ed Safety Set (</w:t>
      </w:r>
      <w:r w:rsidR="00073282">
        <w:t>n</w:t>
      </w:r>
      <w:r>
        <w:t xml:space="preserve"> </w:t>
      </w:r>
      <w:r w:rsidRPr="00E10CB8">
        <w:t>=</w:t>
      </w:r>
      <w:r>
        <w:t xml:space="preserve"> </w:t>
      </w:r>
      <w:r w:rsidRPr="00E10CB8">
        <w:t xml:space="preserve">191), which includes subjects with the proposed indication of DTC from Studies 201 and 208, as well as subjects from the </w:t>
      </w:r>
      <w:r w:rsidR="00AB3DC6" w:rsidRPr="00AB3DC6">
        <w:t xml:space="preserve">optional open label </w:t>
      </w:r>
      <w:r w:rsidR="00AB3DC6">
        <w:t>(</w:t>
      </w:r>
      <w:r w:rsidRPr="00E10CB8">
        <w:t>OOL</w:t>
      </w:r>
      <w:r w:rsidR="00AB3DC6">
        <w:t>)</w:t>
      </w:r>
      <w:r w:rsidRPr="00E10CB8">
        <w:t xml:space="preserve"> portion of Study 303. All subjects included in this Safety Set received lenvatinib treatment only.</w:t>
      </w:r>
    </w:p>
    <w:p w:rsidR="00E10CB8" w:rsidRPr="00E10CB8" w:rsidRDefault="00E10CB8" w:rsidP="00E10CB8">
      <w:pPr>
        <w:pStyle w:val="ListBullet"/>
      </w:pPr>
      <w:r w:rsidRPr="00E10CB8">
        <w:t>All DTC Lenvatinib Safety Set (</w:t>
      </w:r>
      <w:r w:rsidR="00073282">
        <w:t>n</w:t>
      </w:r>
      <w:r>
        <w:t xml:space="preserve"> </w:t>
      </w:r>
      <w:r w:rsidRPr="00E10CB8">
        <w:t>=</w:t>
      </w:r>
      <w:r>
        <w:t xml:space="preserve"> </w:t>
      </w:r>
      <w:r w:rsidRPr="00E10CB8">
        <w:t>452), which includes all lenvatinib</w:t>
      </w:r>
      <w:r w:rsidR="00073282">
        <w:t xml:space="preserve"> </w:t>
      </w:r>
      <w:r w:rsidRPr="00E10CB8">
        <w:t>treated subjects from Studies 201, 208, and 303 (both the randomi</w:t>
      </w:r>
      <w:r w:rsidR="00073282">
        <w:t>s</w:t>
      </w:r>
      <w:r w:rsidRPr="00E10CB8">
        <w:t>ed and the OOL portions of the study).</w:t>
      </w:r>
    </w:p>
    <w:p w:rsidR="00E10CB8" w:rsidRPr="00E10CB8" w:rsidRDefault="00E10CB8" w:rsidP="00E10CB8">
      <w:pPr>
        <w:pStyle w:val="ListBullet"/>
      </w:pPr>
      <w:r w:rsidRPr="00E10CB8">
        <w:t>Non</w:t>
      </w:r>
      <w:r w:rsidR="00073282">
        <w:t xml:space="preserve"> </w:t>
      </w:r>
      <w:r w:rsidRPr="00E10CB8">
        <w:t>DTC Monotherapy Safety Set (</w:t>
      </w:r>
      <w:r w:rsidR="00073282">
        <w:t>n</w:t>
      </w:r>
      <w:r>
        <w:t xml:space="preserve"> </w:t>
      </w:r>
      <w:r w:rsidRPr="00E10CB8">
        <w:t>=</w:t>
      </w:r>
      <w:r>
        <w:t xml:space="preserve"> </w:t>
      </w:r>
      <w:r w:rsidRPr="00E10CB8">
        <w:t>656),</w:t>
      </w:r>
      <w:r w:rsidR="00F1133E">
        <w:t xml:space="preserve"> </w:t>
      </w:r>
      <w:r w:rsidRPr="00E10CB8">
        <w:t>which includes all subjects who received single</w:t>
      </w:r>
      <w:r w:rsidR="00073282">
        <w:t xml:space="preserve"> </w:t>
      </w:r>
      <w:r w:rsidRPr="00E10CB8">
        <w:t>agent lenvatinib in studies conducted in subjects with cancer, excluding DTC: Studies 101, 102 (monotherapy cohort only/continuous dosing), 104, 105, 201 (MTC subjects only), 203, 204, 206, and 208 (MTC and ATC subjects only).</w:t>
      </w:r>
    </w:p>
    <w:p w:rsidR="00772CC0" w:rsidRDefault="00E10CB8" w:rsidP="00E10CB8">
      <w:r w:rsidRPr="00E10CB8">
        <w:t>Individual Studies</w:t>
      </w:r>
      <w:r w:rsidR="00F1133E">
        <w:t xml:space="preserve">: Selected safety data (that is, </w:t>
      </w:r>
      <w:r w:rsidRPr="00E10CB8">
        <w:t>exposure to study drug and TEAEs) were provided for the studies in healthy subjects (Studies 001, 002, 003, 004, 007, and 008) as well as for those that also enrolled subjects with renal impairment (Study 005) or hepatic impairment (Study 006). For the ongoing studies that h</w:t>
      </w:r>
      <w:r w:rsidR="001F48A5">
        <w:t xml:space="preserve">ad not yet reached the protocol </w:t>
      </w:r>
      <w:r w:rsidRPr="00E10CB8">
        <w:t>specified primary analysis as of 15 Sep</w:t>
      </w:r>
      <w:r w:rsidR="001F48A5">
        <w:t>tember</w:t>
      </w:r>
      <w:r w:rsidRPr="00E10CB8">
        <w:t xml:space="preserve"> 2013, safety progress reports only are provided. These include the following studies: 202, 205, 304, and 703</w:t>
      </w:r>
      <w:r w:rsidR="00772CC0">
        <w:t>.</w:t>
      </w:r>
    </w:p>
    <w:p w:rsidR="00E10CB8" w:rsidRDefault="005E63A9" w:rsidP="00F1133E">
      <w:pPr>
        <w:pStyle w:val="TableTitle"/>
        <w:rPr>
          <w:lang w:val="en-US"/>
        </w:rPr>
      </w:pPr>
      <w:proofErr w:type="gramStart"/>
      <w:r>
        <w:rPr>
          <w:lang w:val="en-US"/>
        </w:rPr>
        <w:t>Table 9</w:t>
      </w:r>
      <w:r w:rsidR="00F1133E">
        <w:rPr>
          <w:lang w:val="en-US"/>
        </w:rPr>
        <w:t>.</w:t>
      </w:r>
      <w:proofErr w:type="gramEnd"/>
      <w:r w:rsidR="00F1133E">
        <w:rPr>
          <w:lang w:val="en-US"/>
        </w:rPr>
        <w:t xml:space="preserve"> </w:t>
      </w:r>
      <w:r w:rsidR="00E10CB8" w:rsidRPr="00084976">
        <w:rPr>
          <w:lang w:val="en-US"/>
        </w:rPr>
        <w:t xml:space="preserve">Number of </w:t>
      </w:r>
      <w:r w:rsidR="00F1133E">
        <w:rPr>
          <w:lang w:val="en-US"/>
        </w:rPr>
        <w:t>lenvatinib t</w:t>
      </w:r>
      <w:r w:rsidR="00E10CB8" w:rsidRPr="00084976">
        <w:rPr>
          <w:lang w:val="en-US"/>
        </w:rPr>
        <w:t xml:space="preserve">reated </w:t>
      </w:r>
      <w:r w:rsidR="00F1133E">
        <w:rPr>
          <w:lang w:val="en-US"/>
        </w:rPr>
        <w:t>s</w:t>
      </w:r>
      <w:r w:rsidR="00E10CB8" w:rsidRPr="00084976">
        <w:rPr>
          <w:lang w:val="en-US"/>
        </w:rPr>
        <w:t xml:space="preserve">ubjects by </w:t>
      </w:r>
      <w:r w:rsidR="00F1133E">
        <w:rPr>
          <w:lang w:val="en-US"/>
        </w:rPr>
        <w:t>d</w:t>
      </w:r>
      <w:r w:rsidR="00E10CB8" w:rsidRPr="00084976">
        <w:rPr>
          <w:lang w:val="en-US"/>
        </w:rPr>
        <w:t xml:space="preserve">evelopment </w:t>
      </w:r>
      <w:r w:rsidR="00F1133E">
        <w:rPr>
          <w:lang w:val="en-US"/>
        </w:rPr>
        <w:t>p</w:t>
      </w:r>
      <w:r w:rsidR="00E10CB8" w:rsidRPr="00084976">
        <w:rPr>
          <w:lang w:val="en-US"/>
        </w:rPr>
        <w:t xml:space="preserve">hase and </w:t>
      </w:r>
      <w:r w:rsidR="00F1133E">
        <w:rPr>
          <w:lang w:val="en-US"/>
        </w:rPr>
        <w:t>i</w:t>
      </w:r>
      <w:r w:rsidR="00E10CB8" w:rsidRPr="00084976">
        <w:rPr>
          <w:lang w:val="en-US"/>
        </w:rPr>
        <w:t>ndication – All Safety Sets</w:t>
      </w:r>
      <w:r w:rsidR="001F48A5">
        <w:rPr>
          <w:lang w:val="en-US"/>
        </w:rPr>
        <w:t>.</w:t>
      </w:r>
    </w:p>
    <w:p w:rsidR="00E10CB8" w:rsidRDefault="00F1133E" w:rsidP="00E10CB8">
      <w:pPr>
        <w:autoSpaceDE w:val="0"/>
        <w:autoSpaceDN w:val="0"/>
        <w:adjustRightInd w:val="0"/>
        <w:rPr>
          <w:rFonts w:ascii="Arial" w:hAnsi="Arial" w:cs="Arial"/>
          <w:b/>
          <w:color w:val="000000"/>
          <w:sz w:val="24"/>
          <w:lang w:val="en-US"/>
        </w:rPr>
      </w:pPr>
      <w:r>
        <w:rPr>
          <w:noProof/>
          <w:lang w:eastAsia="en-AU"/>
        </w:rPr>
        <w:drawing>
          <wp:inline distT="0" distB="0" distL="0" distR="0" wp14:anchorId="295DA83A" wp14:editId="090B82BA">
            <wp:extent cx="5400040" cy="1614243"/>
            <wp:effectExtent l="0" t="0" r="0" b="5080"/>
            <wp:docPr id="12" name="Picture 12" descr="Table 9. Number of lenvatinib treated subjects by development phase and indication – All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1614243"/>
                    </a:xfrm>
                    <a:prstGeom prst="rect">
                      <a:avLst/>
                    </a:prstGeom>
                  </pic:spPr>
                </pic:pic>
              </a:graphicData>
            </a:graphic>
          </wp:inline>
        </w:drawing>
      </w:r>
    </w:p>
    <w:p w:rsidR="00E10CB8" w:rsidRPr="00F1133E" w:rsidRDefault="00E10CB8" w:rsidP="00F1133E">
      <w:r w:rsidRPr="00F1133E">
        <w:t>At the time of data cut</w:t>
      </w:r>
      <w:r w:rsidR="001F48A5">
        <w:t xml:space="preserve"> </w:t>
      </w:r>
      <w:r w:rsidRPr="00F1133E">
        <w:t>off, the median duration of treatment with lenvatinib was 11.1 months in the ‘All DTC Lenvatinib Safety Set’ and 3.5 months in the Non</w:t>
      </w:r>
      <w:r w:rsidR="001F48A5">
        <w:t xml:space="preserve"> </w:t>
      </w:r>
      <w:r w:rsidRPr="00F1133E">
        <w:t>DTC Monotherapy Safety Set. In the DTC Randomi</w:t>
      </w:r>
      <w:r w:rsidR="001F48A5">
        <w:t>s</w:t>
      </w:r>
      <w:r w:rsidRPr="00F1133E">
        <w:t>ed Safety Set, the median duration of treatment was 16.1 months in the lenvatinib arm and 3.9 months in the placebo arm.</w:t>
      </w:r>
    </w:p>
    <w:p w:rsidR="00E10CB8" w:rsidRDefault="005E63A9" w:rsidP="00F1133E">
      <w:pPr>
        <w:pStyle w:val="TableTitle"/>
        <w:rPr>
          <w:lang w:val="en-US"/>
        </w:rPr>
      </w:pPr>
      <w:proofErr w:type="gramStart"/>
      <w:r>
        <w:rPr>
          <w:lang w:val="en-US"/>
        </w:rPr>
        <w:lastRenderedPageBreak/>
        <w:t>Table 10</w:t>
      </w:r>
      <w:r w:rsidR="00F1133E">
        <w:rPr>
          <w:lang w:val="en-US"/>
        </w:rPr>
        <w:t>.</w:t>
      </w:r>
      <w:proofErr w:type="gramEnd"/>
      <w:r w:rsidR="00F1133E">
        <w:rPr>
          <w:lang w:val="en-US"/>
        </w:rPr>
        <w:t xml:space="preserve"> </w:t>
      </w:r>
      <w:proofErr w:type="gramStart"/>
      <w:r w:rsidR="00E10CB8" w:rsidRPr="00315B03">
        <w:rPr>
          <w:lang w:val="en-US"/>
        </w:rPr>
        <w:t xml:space="preserve">Summary of </w:t>
      </w:r>
      <w:r w:rsidR="00F1133E">
        <w:rPr>
          <w:lang w:val="en-US"/>
        </w:rPr>
        <w:t>s</w:t>
      </w:r>
      <w:r w:rsidR="00E10CB8" w:rsidRPr="00315B03">
        <w:rPr>
          <w:lang w:val="en-US"/>
        </w:rPr>
        <w:t xml:space="preserve">tudy </w:t>
      </w:r>
      <w:r w:rsidR="00F1133E">
        <w:rPr>
          <w:lang w:val="en-US"/>
        </w:rPr>
        <w:t>d</w:t>
      </w:r>
      <w:r w:rsidR="00E10CB8" w:rsidRPr="00315B03">
        <w:rPr>
          <w:lang w:val="en-US"/>
        </w:rPr>
        <w:t xml:space="preserve">rug </w:t>
      </w:r>
      <w:r w:rsidR="00F1133E">
        <w:rPr>
          <w:lang w:val="en-US"/>
        </w:rPr>
        <w:t>e</w:t>
      </w:r>
      <w:r w:rsidR="00E10CB8" w:rsidRPr="00315B03">
        <w:rPr>
          <w:lang w:val="en-US"/>
        </w:rPr>
        <w:t>xposure – All Safety Sets</w:t>
      </w:r>
      <w:r w:rsidR="001F48A5">
        <w:rPr>
          <w:lang w:val="en-US"/>
        </w:rPr>
        <w:t>.</w:t>
      </w:r>
      <w:proofErr w:type="gramEnd"/>
    </w:p>
    <w:p w:rsidR="00E10CB8" w:rsidRPr="00315B03" w:rsidRDefault="00E10CB8" w:rsidP="00E10CB8">
      <w:pPr>
        <w:autoSpaceDE w:val="0"/>
        <w:autoSpaceDN w:val="0"/>
        <w:adjustRightInd w:val="0"/>
        <w:rPr>
          <w:rFonts w:asciiTheme="majorHAnsi" w:hAnsiTheme="majorHAnsi"/>
          <w:b/>
        </w:rPr>
      </w:pPr>
      <w:r>
        <w:rPr>
          <w:rFonts w:asciiTheme="majorHAnsi" w:hAnsiTheme="majorHAnsi"/>
          <w:b/>
          <w:noProof/>
          <w:lang w:eastAsia="en-AU"/>
        </w:rPr>
        <w:drawing>
          <wp:inline distT="0" distB="0" distL="0" distR="0" wp14:anchorId="19A2E241" wp14:editId="18CE926F">
            <wp:extent cx="5245178" cy="6134925"/>
            <wp:effectExtent l="0" t="0" r="0" b="0"/>
            <wp:docPr id="18" name="Picture 18" descr="Table 10. Summary of study drug exposure – All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tiff"/>
                    <pic:cNvPicPr/>
                  </pic:nvPicPr>
                  <pic:blipFill>
                    <a:blip r:embed="rId21">
                      <a:extLst>
                        <a:ext uri="{28A0092B-C50C-407E-A947-70E740481C1C}">
                          <a14:useLocalDpi xmlns:a14="http://schemas.microsoft.com/office/drawing/2010/main" val="0"/>
                        </a:ext>
                      </a:extLst>
                    </a:blip>
                    <a:stretch>
                      <a:fillRect/>
                    </a:stretch>
                  </pic:blipFill>
                  <pic:spPr>
                    <a:xfrm>
                      <a:off x="0" y="0"/>
                      <a:ext cx="5247376" cy="6137496"/>
                    </a:xfrm>
                    <a:prstGeom prst="rect">
                      <a:avLst/>
                    </a:prstGeom>
                  </pic:spPr>
                </pic:pic>
              </a:graphicData>
            </a:graphic>
          </wp:inline>
        </w:drawing>
      </w:r>
    </w:p>
    <w:p w:rsidR="00605AD4" w:rsidRDefault="00605AD4" w:rsidP="00605AD4">
      <w:pPr>
        <w:pStyle w:val="Heading4"/>
      </w:pPr>
      <w:r w:rsidRPr="00605AD4">
        <w:t>Post</w:t>
      </w:r>
      <w:r w:rsidR="00E63418">
        <w:t xml:space="preserve"> </w:t>
      </w:r>
      <w:r w:rsidRPr="00605AD4">
        <w:t>marketing data</w:t>
      </w:r>
    </w:p>
    <w:p w:rsidR="00232A97" w:rsidRPr="00232A97" w:rsidRDefault="003A0135" w:rsidP="00232A97">
      <w:r>
        <w:t>Not applicable.</w:t>
      </w:r>
    </w:p>
    <w:p w:rsidR="00605AD4" w:rsidRPr="00605AD4" w:rsidRDefault="00605AD4" w:rsidP="00605AD4">
      <w:pPr>
        <w:pStyle w:val="Heading4"/>
      </w:pPr>
      <w:r w:rsidRPr="00605AD4">
        <w:t>Evaluator’s conclusions on safety</w:t>
      </w:r>
    </w:p>
    <w:p w:rsidR="003A0135" w:rsidRPr="005C6BEE" w:rsidRDefault="003A0135" w:rsidP="005C6BEE">
      <w:r w:rsidRPr="005C6BEE">
        <w:t xml:space="preserve">Lenvatinib was associated with significant rates of hypertension, proteinuria, arterial thromboembolic events, renal events, liver events, GI perforation and fistula formation, </w:t>
      </w:r>
      <w:proofErr w:type="spellStart"/>
      <w:r w:rsidRPr="005C6BEE">
        <w:t>QTc</w:t>
      </w:r>
      <w:proofErr w:type="spellEnd"/>
      <w:r w:rsidRPr="005C6BEE">
        <w:t xml:space="preserve"> prolongation, decreased </w:t>
      </w:r>
      <w:r w:rsidR="0048031E" w:rsidRPr="0048031E">
        <w:t>ejection fraction</w:t>
      </w:r>
      <w:r w:rsidRPr="005C6BEE">
        <w:t>, hypocalc</w:t>
      </w:r>
      <w:r w:rsidR="004E2E59">
        <w:t>a</w:t>
      </w:r>
      <w:r w:rsidRPr="005C6BEE">
        <w:t>emia, h</w:t>
      </w:r>
      <w:r w:rsidR="001F48A5">
        <w:t>a</w:t>
      </w:r>
      <w:r w:rsidRPr="005C6BEE">
        <w:t xml:space="preserve">emorrhage, and </w:t>
      </w:r>
      <w:r w:rsidR="000A4073" w:rsidRPr="000A4073">
        <w:t xml:space="preserve">presumed </w:t>
      </w:r>
      <w:proofErr w:type="spellStart"/>
      <w:r w:rsidR="000A4073" w:rsidRPr="000A4073">
        <w:t>perih</w:t>
      </w:r>
      <w:r w:rsidR="000D275B">
        <w:t>a</w:t>
      </w:r>
      <w:r w:rsidR="000A4073" w:rsidRPr="000A4073">
        <w:t>ematomal</w:t>
      </w:r>
      <w:proofErr w:type="spellEnd"/>
      <w:r w:rsidR="000A4073" w:rsidRPr="000A4073">
        <w:t xml:space="preserve"> </w:t>
      </w:r>
      <w:proofErr w:type="spellStart"/>
      <w:r w:rsidR="000A4073" w:rsidRPr="000A4073">
        <w:t>edema</w:t>
      </w:r>
      <w:proofErr w:type="spellEnd"/>
      <w:r w:rsidR="000A4073" w:rsidRPr="000A4073">
        <w:t xml:space="preserve"> </w:t>
      </w:r>
      <w:r w:rsidR="000A4073">
        <w:t>(</w:t>
      </w:r>
      <w:r w:rsidRPr="005C6BEE">
        <w:t>PPE</w:t>
      </w:r>
      <w:r w:rsidR="000A4073">
        <w:t>)</w:t>
      </w:r>
      <w:r w:rsidRPr="005C6BEE">
        <w:t>. The majority of these events were mild to moderate and did not result in discontinuation of treatment. These AEs are consistent with published dat</w:t>
      </w:r>
      <w:r w:rsidR="000A4073">
        <w:t xml:space="preserve">a for other TKIs and VEGF/VEGFR </w:t>
      </w:r>
      <w:r w:rsidRPr="005C6BEE">
        <w:t>targeted therapies.</w:t>
      </w:r>
    </w:p>
    <w:p w:rsidR="003A0135" w:rsidRPr="005C6BEE" w:rsidRDefault="003A0135" w:rsidP="005C6BEE">
      <w:r w:rsidRPr="005C6BEE">
        <w:t xml:space="preserve">There were no unexpected </w:t>
      </w:r>
      <w:r w:rsidR="00140AA1">
        <w:t>AEs</w:t>
      </w:r>
      <w:r w:rsidRPr="005C6BEE">
        <w:t>.</w:t>
      </w:r>
    </w:p>
    <w:p w:rsidR="00605AD4" w:rsidRPr="00605AD4" w:rsidRDefault="00605AD4" w:rsidP="00605AD4">
      <w:pPr>
        <w:pStyle w:val="Heading3"/>
        <w:rPr>
          <w:rFonts w:eastAsia="Cambria"/>
        </w:rPr>
      </w:pPr>
      <w:bookmarkStart w:id="113" w:name="_Toc461092050"/>
      <w:r w:rsidRPr="00605AD4">
        <w:rPr>
          <w:rFonts w:eastAsia="Cambria"/>
        </w:rPr>
        <w:lastRenderedPageBreak/>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13"/>
    </w:p>
    <w:p w:rsidR="00605AD4" w:rsidRDefault="00605AD4" w:rsidP="00605AD4">
      <w:pPr>
        <w:pStyle w:val="Heading4"/>
      </w:pPr>
      <w:r w:rsidRPr="00605AD4">
        <w:t>First round assessment of benefits</w:t>
      </w:r>
    </w:p>
    <w:p w:rsidR="005C6BEE" w:rsidRPr="005C6BEE" w:rsidRDefault="005C6BEE" w:rsidP="005C6BEE">
      <w:r w:rsidRPr="005C6BEE">
        <w:t>The benefits of lenvatinib in the proposed usage are:</w:t>
      </w:r>
    </w:p>
    <w:p w:rsidR="005C6BEE" w:rsidRPr="005C6BEE" w:rsidRDefault="005C6BEE" w:rsidP="005C6BEE">
      <w:pPr>
        <w:pStyle w:val="ListBullet"/>
      </w:pPr>
      <w:r w:rsidRPr="005C6BEE">
        <w:t>Significantly improved PFS.</w:t>
      </w:r>
    </w:p>
    <w:p w:rsidR="005C6BEE" w:rsidRPr="005C6BEE" w:rsidRDefault="005C6BEE" w:rsidP="005C6BEE">
      <w:pPr>
        <w:pStyle w:val="ListBullet"/>
      </w:pPr>
      <w:r w:rsidRPr="005C6BEE">
        <w:t>Trend towards improved OS.</w:t>
      </w:r>
    </w:p>
    <w:p w:rsidR="00605AD4" w:rsidRDefault="00605AD4" w:rsidP="00605AD4">
      <w:pPr>
        <w:pStyle w:val="Heading4"/>
      </w:pPr>
      <w:r w:rsidRPr="00605AD4">
        <w:t>First round assessment of risks</w:t>
      </w:r>
    </w:p>
    <w:p w:rsidR="005C6BEE" w:rsidRPr="005C6BEE" w:rsidRDefault="005C6BEE" w:rsidP="005C6BEE">
      <w:r w:rsidRPr="005C6BEE">
        <w:t xml:space="preserve">The risks of </w:t>
      </w:r>
      <w:proofErr w:type="spellStart"/>
      <w:r w:rsidRPr="005C6BEE">
        <w:t>lenvatanib</w:t>
      </w:r>
      <w:proofErr w:type="spellEnd"/>
      <w:r w:rsidRPr="005C6BEE">
        <w:t xml:space="preserve"> in the proposed usage are:</w:t>
      </w:r>
    </w:p>
    <w:p w:rsidR="005C6BEE" w:rsidRPr="005C6BEE" w:rsidRDefault="005C6BEE" w:rsidP="005C6BEE">
      <w:pPr>
        <w:pStyle w:val="ListBullet"/>
      </w:pPr>
      <w:r w:rsidRPr="005C6BEE">
        <w:t>Unknown clinical need (does asymptomatic disease need treatment).</w:t>
      </w:r>
    </w:p>
    <w:p w:rsidR="005C6BEE" w:rsidRPr="005C6BEE" w:rsidRDefault="005C6BEE" w:rsidP="005C6BEE">
      <w:pPr>
        <w:pStyle w:val="ListBullet"/>
      </w:pPr>
      <w:r w:rsidRPr="005C6BEE">
        <w:t>Large incidence of serious AEs.</w:t>
      </w:r>
    </w:p>
    <w:p w:rsidR="005C6BEE" w:rsidRPr="005C6BEE" w:rsidRDefault="005C6BEE" w:rsidP="005C6BEE">
      <w:pPr>
        <w:pStyle w:val="ListBullet"/>
      </w:pPr>
      <w:r w:rsidRPr="005C6BEE">
        <w:t>Survival benefit unclear.</w:t>
      </w:r>
    </w:p>
    <w:p w:rsidR="00772CC0" w:rsidRDefault="00001FB3" w:rsidP="005C6BEE">
      <w:pPr>
        <w:pStyle w:val="ListBullet"/>
      </w:pPr>
      <w:r>
        <w:t>Significant inter</w:t>
      </w:r>
      <w:r w:rsidR="005C6BEE" w:rsidRPr="005C6BEE">
        <w:t>patie</w:t>
      </w:r>
      <w:r w:rsidR="00AE4219">
        <w:t xml:space="preserve">nt variability in </w:t>
      </w:r>
      <w:proofErr w:type="spellStart"/>
      <w:r w:rsidR="00AE4219">
        <w:t>Cmax</w:t>
      </w:r>
      <w:proofErr w:type="spellEnd"/>
      <w:r w:rsidR="00AE4219">
        <w:t>, AUC0-t, and AUC0-</w:t>
      </w:r>
      <w:r w:rsidR="00AE4219">
        <w:rPr>
          <w:rFonts w:ascii="Times New Roman" w:hAnsi="Times New Roman"/>
        </w:rPr>
        <w:t>∞</w:t>
      </w:r>
      <w:r w:rsidR="005C6BEE" w:rsidRPr="005C6BEE">
        <w:t>;</w:t>
      </w:r>
    </w:p>
    <w:p w:rsidR="00772CC0" w:rsidRDefault="005C6BEE" w:rsidP="005C6BEE">
      <w:pPr>
        <w:pStyle w:val="ListBullet"/>
      </w:pPr>
      <w:r w:rsidRPr="005C6BEE">
        <w:t xml:space="preserve">Likely significant CYP3A4 and </w:t>
      </w:r>
      <w:proofErr w:type="spellStart"/>
      <w:r w:rsidRPr="005C6BEE">
        <w:t>Pgp</w:t>
      </w:r>
      <w:proofErr w:type="spellEnd"/>
      <w:r w:rsidRPr="005C6BEE">
        <w:t xml:space="preserve"> interactions,</w:t>
      </w:r>
    </w:p>
    <w:p w:rsidR="005C6BEE" w:rsidRPr="005C6BEE" w:rsidRDefault="005C6BEE" w:rsidP="005C6BEE">
      <w:pPr>
        <w:pStyle w:val="ListBullet"/>
      </w:pPr>
      <w:r w:rsidRPr="005C6BEE">
        <w:t>The increased exposure in hepatic disease and patients of small body size</w:t>
      </w:r>
    </w:p>
    <w:p w:rsidR="005C6BEE" w:rsidRPr="005C6BEE" w:rsidRDefault="005C6BEE" w:rsidP="005C6BEE">
      <w:pPr>
        <w:pStyle w:val="ListBullet"/>
      </w:pPr>
      <w:r w:rsidRPr="005C6BEE">
        <w:t>T</w:t>
      </w:r>
      <w:r>
        <w:t xml:space="preserve">he </w:t>
      </w:r>
      <w:r w:rsidR="00001FB3">
        <w:t>AUC0-</w:t>
      </w:r>
      <w:r w:rsidR="00001FB3">
        <w:rPr>
          <w:rFonts w:ascii="Times New Roman" w:hAnsi="Times New Roman"/>
        </w:rPr>
        <w:t xml:space="preserve">∞ </w:t>
      </w:r>
      <w:r w:rsidRPr="005C6BEE">
        <w:t xml:space="preserve">of the unbound </w:t>
      </w:r>
      <w:proofErr w:type="spellStart"/>
      <w:r w:rsidRPr="005C6BEE">
        <w:t>lenvatanib</w:t>
      </w:r>
      <w:proofErr w:type="spellEnd"/>
      <w:r w:rsidRPr="005C6BEE">
        <w:t xml:space="preserve"> for subjects with mild, moderate, and severe renal impairment were significantly elevated compared to that for normal subjects.</w:t>
      </w:r>
    </w:p>
    <w:p w:rsidR="00605AD4" w:rsidRPr="00605AD4" w:rsidRDefault="00605AD4" w:rsidP="00605AD4">
      <w:pPr>
        <w:pStyle w:val="Heading4"/>
      </w:pPr>
      <w:r w:rsidRPr="00605AD4">
        <w:t>First round assessment of benefit-risk balance</w:t>
      </w:r>
    </w:p>
    <w:p w:rsidR="005C6BEE" w:rsidRDefault="005C6BEE" w:rsidP="005C6BEE">
      <w:r>
        <w:t xml:space="preserve">The benefit-risk balance of </w:t>
      </w:r>
      <w:proofErr w:type="spellStart"/>
      <w:r>
        <w:t>lenvatanib</w:t>
      </w:r>
      <w:proofErr w:type="spellEnd"/>
      <w:r>
        <w:t>, given the proposed usage, could be favourable for a popula</w:t>
      </w:r>
      <w:r w:rsidR="008C04E8">
        <w:t xml:space="preserve">tion with no other treatments: </w:t>
      </w:r>
      <w:r>
        <w:t>PFS is statistically significantly lengthened. However</w:t>
      </w:r>
      <w:r w:rsidR="008C04E8">
        <w:t>,</w:t>
      </w:r>
      <w:r>
        <w:t xml:space="preserve"> the clinical need for this treatment in an asymptomatic group is not clear, notwithstanding the high incidence of potentially lif</w:t>
      </w:r>
      <w:r w:rsidR="008C04E8">
        <w:t xml:space="preserve">e </w:t>
      </w:r>
      <w:r>
        <w:t>threatening toxicities.</w:t>
      </w:r>
    </w:p>
    <w:p w:rsidR="00605AD4" w:rsidRPr="00605AD4" w:rsidRDefault="00605AD4" w:rsidP="00605AD4">
      <w:pPr>
        <w:pStyle w:val="Heading3"/>
        <w:rPr>
          <w:rFonts w:eastAsia="Cambria"/>
        </w:rPr>
      </w:pPr>
      <w:bookmarkStart w:id="114" w:name="_Toc461092051"/>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114"/>
    </w:p>
    <w:p w:rsidR="005C6BEE" w:rsidRDefault="005C6BEE" w:rsidP="005C6BEE">
      <w:r>
        <w:t xml:space="preserve">Approval </w:t>
      </w:r>
      <w:r w:rsidR="004E2E59">
        <w:t xml:space="preserve">was recommended </w:t>
      </w:r>
      <w:r>
        <w:t>in the targeted population of RR-DTC.</w:t>
      </w:r>
    </w:p>
    <w:p w:rsidR="00605AD4" w:rsidRPr="00605AD4" w:rsidRDefault="00605AD4" w:rsidP="00605AD4">
      <w:pPr>
        <w:pStyle w:val="Heading3"/>
        <w:rPr>
          <w:rFonts w:eastAsia="Cambria"/>
        </w:rPr>
      </w:pPr>
      <w:bookmarkStart w:id="115" w:name="_Toc461092052"/>
      <w:r w:rsidRPr="00605AD4">
        <w:rPr>
          <w:rFonts w:eastAsia="Cambria"/>
        </w:rPr>
        <w:t xml:space="preserve">Clinical </w:t>
      </w:r>
      <w:r w:rsidR="00E63418">
        <w:rPr>
          <w:rFonts w:eastAsia="Cambria"/>
        </w:rPr>
        <w:t>q</w:t>
      </w:r>
      <w:r w:rsidRPr="00605AD4">
        <w:rPr>
          <w:rFonts w:eastAsia="Cambria"/>
        </w:rPr>
        <w:t>uestions</w:t>
      </w:r>
      <w:bookmarkEnd w:id="115"/>
    </w:p>
    <w:p w:rsidR="005C6BEE" w:rsidRPr="00193E2F" w:rsidRDefault="005C6BEE" w:rsidP="005C6BEE">
      <w:pPr>
        <w:pStyle w:val="Heading4"/>
      </w:pPr>
      <w:bookmarkStart w:id="116" w:name="_Ref272312341"/>
      <w:bookmarkStart w:id="117" w:name="_Toc272414700"/>
      <w:bookmarkStart w:id="118" w:name="_Toc290888566"/>
      <w:bookmarkStart w:id="119" w:name="_Toc304752391"/>
      <w:r w:rsidRPr="00193E2F">
        <w:t>Additional expert input</w:t>
      </w:r>
      <w:bookmarkEnd w:id="116"/>
      <w:bookmarkEnd w:id="117"/>
      <w:bookmarkEnd w:id="118"/>
      <w:bookmarkEnd w:id="119"/>
    </w:p>
    <w:p w:rsidR="003C524B" w:rsidRPr="003C524B" w:rsidRDefault="003C524B" w:rsidP="003C524B">
      <w:pPr>
        <w:pStyle w:val="ListBullet"/>
      </w:pPr>
      <w:r w:rsidRPr="003C524B">
        <w:t>In the pivotal trial the choice of the rank preserving structural failure time (RPSFT) models to re-estimate the survival curves was unclear; and the upper limit of the CI was bordering on 1. The sponsor was requested to consider instead using a marginal structural model based on inverse probability of censoring weighting analysis as this may display CI that cross 1.</w:t>
      </w:r>
    </w:p>
    <w:p w:rsidR="005C6BEE" w:rsidRDefault="005C6BEE" w:rsidP="005C6BEE">
      <w:pPr>
        <w:pStyle w:val="Heading4"/>
      </w:pPr>
      <w:bookmarkStart w:id="120" w:name="_Ref269908779"/>
      <w:bookmarkStart w:id="121" w:name="_Toc272414701"/>
      <w:bookmarkStart w:id="122" w:name="_Toc290888567"/>
      <w:bookmarkStart w:id="123" w:name="_Toc304752392"/>
      <w:r w:rsidRPr="00193E2F">
        <w:t>Clinical questions</w:t>
      </w:r>
      <w:bookmarkEnd w:id="120"/>
      <w:bookmarkEnd w:id="121"/>
      <w:bookmarkEnd w:id="122"/>
      <w:bookmarkEnd w:id="123"/>
    </w:p>
    <w:p w:rsidR="003C524B" w:rsidRPr="003C524B" w:rsidRDefault="003C524B" w:rsidP="003C524B">
      <w:r w:rsidRPr="003C524B">
        <w:t>Responses to questions in some areas needed to be considered to understand the significance of the achievement of primary outcome significa</w:t>
      </w:r>
      <w:r w:rsidR="004746BC">
        <w:t>nce noted in the clinical trial:</w:t>
      </w:r>
    </w:p>
    <w:p w:rsidR="003C524B" w:rsidRPr="003C524B" w:rsidRDefault="003C524B" w:rsidP="003C524B">
      <w:pPr>
        <w:pStyle w:val="Numberbullet0"/>
        <w:numPr>
          <w:ilvl w:val="0"/>
          <w:numId w:val="8"/>
        </w:numPr>
      </w:pPr>
      <w:r w:rsidRPr="003C524B">
        <w:t>Firstly, whether placebo was an appropriate comparator in this single pivotal study an understanding of the current comparative treatments in Australia for this group is required and if known, the comparative efficacy (to placebo) of those treatments</w:t>
      </w:r>
      <w:r w:rsidR="002326B2">
        <w:t>;</w:t>
      </w:r>
    </w:p>
    <w:p w:rsidR="003C524B" w:rsidRPr="003C524B" w:rsidRDefault="003C524B" w:rsidP="003C524B">
      <w:pPr>
        <w:pStyle w:val="Numberbullet0"/>
        <w:numPr>
          <w:ilvl w:val="0"/>
          <w:numId w:val="8"/>
        </w:numPr>
      </w:pPr>
      <w:r w:rsidRPr="003C524B">
        <w:lastRenderedPageBreak/>
        <w:t>Why was placebo chosen as the comparator</w:t>
      </w:r>
      <w:r w:rsidR="002326B2">
        <w:t>;</w:t>
      </w:r>
    </w:p>
    <w:p w:rsidR="003C524B" w:rsidRPr="003C524B" w:rsidRDefault="003C524B" w:rsidP="003C524B">
      <w:pPr>
        <w:pStyle w:val="Numberbullet0"/>
        <w:numPr>
          <w:ilvl w:val="0"/>
          <w:numId w:val="8"/>
        </w:numPr>
      </w:pPr>
      <w:r w:rsidRPr="003C524B">
        <w:t>The c</w:t>
      </w:r>
      <w:r w:rsidR="002326B2">
        <w:t>linical significance of the PFS;</w:t>
      </w:r>
    </w:p>
    <w:p w:rsidR="003C524B" w:rsidRPr="003C524B" w:rsidRDefault="003C524B" w:rsidP="003C524B">
      <w:pPr>
        <w:pStyle w:val="Numberbullet0"/>
        <w:numPr>
          <w:ilvl w:val="0"/>
          <w:numId w:val="8"/>
        </w:numPr>
      </w:pPr>
      <w:r w:rsidRPr="003C524B">
        <w:t>The plasma concentrations of a number of blood parameters measured in the exploratory marker are interesting but several appear inconsistent in their magnitude or direction of change of concentration. The sponsor was requested to provide evidence of the clinical relevance of those parameters in PFS, OS or Quality of Life (</w:t>
      </w:r>
      <w:proofErr w:type="spellStart"/>
      <w:r w:rsidRPr="003C524B">
        <w:t>QoL</w:t>
      </w:r>
      <w:proofErr w:type="spellEnd"/>
      <w:r w:rsidRPr="003C524B">
        <w:t>)</w:t>
      </w:r>
      <w:r w:rsidR="002326B2">
        <w:t>;</w:t>
      </w:r>
    </w:p>
    <w:p w:rsidR="003C524B" w:rsidRPr="003C524B" w:rsidRDefault="003C524B" w:rsidP="003C524B">
      <w:pPr>
        <w:pStyle w:val="Numberbullet0"/>
        <w:numPr>
          <w:ilvl w:val="0"/>
          <w:numId w:val="8"/>
        </w:numPr>
      </w:pPr>
      <w:r w:rsidRPr="003C524B">
        <w:t>The inclusion criteria for the pivotal clinical trial did not include patients who were symptomatic. It is important to clarify if these patients (who clearly have imaging progression) need treatment, specifically as these drugs have significant side effects. The sponsor was requested to advise on the clinical need for this group</w:t>
      </w:r>
      <w:r w:rsidR="002326B2">
        <w:t>; and</w:t>
      </w:r>
    </w:p>
    <w:p w:rsidR="003C524B" w:rsidRPr="003C524B" w:rsidRDefault="003C524B" w:rsidP="003C524B">
      <w:pPr>
        <w:pStyle w:val="Numberbullet0"/>
        <w:numPr>
          <w:ilvl w:val="0"/>
          <w:numId w:val="8"/>
        </w:numPr>
      </w:pPr>
      <w:r w:rsidRPr="003C524B">
        <w:t xml:space="preserve">Was there any </w:t>
      </w:r>
      <w:proofErr w:type="spellStart"/>
      <w:r w:rsidRPr="003C524B">
        <w:t>QoL</w:t>
      </w:r>
      <w:proofErr w:type="spellEnd"/>
      <w:r w:rsidR="009552FE">
        <w:t xml:space="preserve"> data collected in this study and, </w:t>
      </w:r>
      <w:r w:rsidRPr="003C524B">
        <w:t>if so</w:t>
      </w:r>
      <w:r w:rsidR="009552FE">
        <w:t>,</w:t>
      </w:r>
      <w:r w:rsidRPr="003C524B">
        <w:t xml:space="preserve"> the sponsor be requested to provide it.</w:t>
      </w:r>
    </w:p>
    <w:p w:rsidR="00605AD4" w:rsidRDefault="00605AD4" w:rsidP="00605AD4">
      <w:pPr>
        <w:pStyle w:val="Heading3"/>
        <w:rPr>
          <w:rFonts w:eastAsia="Cambria"/>
        </w:rPr>
      </w:pPr>
      <w:bookmarkStart w:id="124" w:name="_Toc461092053"/>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e</w:t>
      </w:r>
      <w:r w:rsidRPr="00605AD4">
        <w:rPr>
          <w:rFonts w:eastAsia="Cambria"/>
        </w:rPr>
        <w:t>valuation</w:t>
      </w:r>
      <w:bookmarkEnd w:id="124"/>
    </w:p>
    <w:p w:rsidR="00235B38" w:rsidRPr="00605AD4" w:rsidRDefault="00235B38" w:rsidP="00235B38">
      <w:r>
        <w:t>Details of sponsor’s responses to clinical questions and evaluator’s subsequent comments are contained in Attachment 2.</w:t>
      </w:r>
    </w:p>
    <w:p w:rsidR="00605AD4" w:rsidRPr="00605AD4" w:rsidRDefault="00605AD4" w:rsidP="00546154">
      <w:pPr>
        <w:pStyle w:val="Heading3"/>
        <w:rPr>
          <w:rFonts w:eastAsia="Cambria"/>
        </w:rPr>
      </w:pPr>
      <w:bookmarkStart w:id="125" w:name="_Toc461092054"/>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25"/>
    </w:p>
    <w:p w:rsidR="00DA203E" w:rsidRDefault="00DA203E" w:rsidP="00DA203E">
      <w:pPr>
        <w:pStyle w:val="Heading4"/>
      </w:pPr>
      <w:bookmarkStart w:id="126" w:name="_Toc272414709"/>
      <w:bookmarkStart w:id="127" w:name="_Toc290888575"/>
      <w:bookmarkStart w:id="128" w:name="_Toc304752395"/>
      <w:r>
        <w:t>Second round assessment of benefits</w:t>
      </w:r>
      <w:bookmarkEnd w:id="126"/>
      <w:bookmarkEnd w:id="127"/>
      <w:bookmarkEnd w:id="128"/>
    </w:p>
    <w:p w:rsidR="00DA203E" w:rsidRDefault="00DA203E" w:rsidP="00DA203E">
      <w:r>
        <w:t xml:space="preserve">After consideration of the responses to clinical questions, the benefits </w:t>
      </w:r>
      <w:r w:rsidR="00EE27D9">
        <w:t>of Lenvi</w:t>
      </w:r>
      <w:r>
        <w:t>ma in the proposed usage have been reassessed. Although not the requested indication, the potential PFS benefits of a therapy available for RR-DTC with symptomatic progressive disease unresponsive to other therapies could be clinically relevant.</w:t>
      </w:r>
    </w:p>
    <w:p w:rsidR="00DA203E" w:rsidRDefault="00DA203E" w:rsidP="00DA203E">
      <w:pPr>
        <w:pStyle w:val="Heading4"/>
      </w:pPr>
      <w:bookmarkStart w:id="129" w:name="_Toc272414710"/>
      <w:bookmarkStart w:id="130" w:name="_Toc290888576"/>
      <w:bookmarkStart w:id="131" w:name="_Toc304752396"/>
      <w:r>
        <w:t>Second round assessment of risks</w:t>
      </w:r>
      <w:bookmarkEnd w:id="129"/>
      <w:bookmarkEnd w:id="130"/>
      <w:bookmarkEnd w:id="131"/>
    </w:p>
    <w:p w:rsidR="00DA203E" w:rsidRDefault="00DA203E" w:rsidP="00DA203E">
      <w:pPr>
        <w:autoSpaceDE w:val="0"/>
        <w:autoSpaceDN w:val="0"/>
        <w:adjustRightInd w:val="0"/>
      </w:pPr>
      <w:r>
        <w:t xml:space="preserve">No new clinical information was submitted in response to questions. </w:t>
      </w:r>
      <w:r w:rsidR="00EE27D9">
        <w:t>Accordingly, the risks of Lenvi</w:t>
      </w:r>
      <w:r>
        <w:t>ma are unchanged from those identified in the first round.</w:t>
      </w:r>
    </w:p>
    <w:p w:rsidR="00DA203E" w:rsidRDefault="00DA203E" w:rsidP="00DA203E">
      <w:pPr>
        <w:pStyle w:val="Heading4"/>
      </w:pPr>
      <w:bookmarkStart w:id="132" w:name="_Toc272414711"/>
      <w:bookmarkStart w:id="133" w:name="_Toc290888577"/>
      <w:bookmarkStart w:id="134" w:name="_Toc304752397"/>
      <w:r>
        <w:t>Second round assessment of benefit-risk balance</w:t>
      </w:r>
      <w:bookmarkEnd w:id="132"/>
      <w:bookmarkEnd w:id="133"/>
      <w:bookmarkEnd w:id="134"/>
    </w:p>
    <w:p w:rsidR="00DA203E" w:rsidRDefault="00DA203E" w:rsidP="00DA203E">
      <w:r>
        <w:t>The benefit-risk balance of Lenvima, given the proposed usage, is favourable.</w:t>
      </w:r>
    </w:p>
    <w:p w:rsidR="00DA203E" w:rsidRDefault="00DA203E" w:rsidP="00DA203E">
      <w:r>
        <w:t xml:space="preserve">The evaluator continues to believe benefit-risk balance of </w:t>
      </w:r>
      <w:proofErr w:type="spellStart"/>
      <w:r>
        <w:t>lenvatanib</w:t>
      </w:r>
      <w:proofErr w:type="spellEnd"/>
      <w:r>
        <w:t>, given the proposed usage, could be favourable for a popula</w:t>
      </w:r>
      <w:r w:rsidR="00EE27D9">
        <w:t xml:space="preserve">tion with no other treatments: </w:t>
      </w:r>
      <w:r>
        <w:t>PFS is statistically significantly lengthened. However the clinical need for this treatment in an asymptomatic group is not clear, notwithstanding the high incidence of potentially life</w:t>
      </w:r>
      <w:r w:rsidR="00EE27D9">
        <w:t xml:space="preserve"> </w:t>
      </w:r>
      <w:r>
        <w:t xml:space="preserve">threatening toxicities and the lack of clinical evidence to assess the relative risk-benefit of this therapy in terms of </w:t>
      </w:r>
      <w:proofErr w:type="spellStart"/>
      <w:r w:rsidR="00EE27D9">
        <w:t>QoL</w:t>
      </w:r>
      <w:proofErr w:type="spellEnd"/>
      <w:r>
        <w:t>.</w:t>
      </w:r>
    </w:p>
    <w:p w:rsidR="00AE503C" w:rsidRDefault="00AE503C" w:rsidP="00DA203E">
      <w:pPr>
        <w:pStyle w:val="Heading3"/>
      </w:pPr>
      <w:bookmarkStart w:id="135" w:name="_Toc461092055"/>
      <w:r>
        <w:t>Second round recommendation regarding authorisation</w:t>
      </w:r>
      <w:bookmarkEnd w:id="135"/>
    </w:p>
    <w:p w:rsidR="00955214" w:rsidRDefault="00F85868" w:rsidP="00F85868">
      <w:r>
        <w:t>As the evidence for early versus</w:t>
      </w:r>
      <w:r w:rsidRPr="00F85868">
        <w:t xml:space="preserve"> late use is not made, and the medicine has significant toxicities, it is recommended to change</w:t>
      </w:r>
      <w:r w:rsidR="00955214">
        <w:t xml:space="preserve"> the indication to:</w:t>
      </w:r>
    </w:p>
    <w:p w:rsidR="00772CC0" w:rsidRDefault="00F85868" w:rsidP="00955214">
      <w:pPr>
        <w:ind w:left="720"/>
        <w:rPr>
          <w:i/>
        </w:rPr>
      </w:pPr>
      <w:r w:rsidRPr="00955214">
        <w:rPr>
          <w:i/>
        </w:rPr>
        <w:t>L</w:t>
      </w:r>
      <w:r w:rsidR="00955214">
        <w:rPr>
          <w:i/>
        </w:rPr>
        <w:t>envima</w:t>
      </w:r>
      <w:r w:rsidRPr="00955214">
        <w:rPr>
          <w:i/>
        </w:rPr>
        <w:t xml:space="preserve"> is indicated for the treatment of patients with progressive, symptomatic radioactive iodine refractory differentiated thyroid cancer in whom other treatment options have failed</w:t>
      </w:r>
      <w:r w:rsidR="00772CC0">
        <w:rPr>
          <w:i/>
        </w:rPr>
        <w:t>.</w:t>
      </w:r>
    </w:p>
    <w:p w:rsidR="00F85868" w:rsidRPr="00F85868" w:rsidRDefault="00F85868" w:rsidP="00F85868">
      <w:r w:rsidRPr="00F85868">
        <w:lastRenderedPageBreak/>
        <w:t xml:space="preserve">The PI and </w:t>
      </w:r>
      <w:r w:rsidR="00DA203E" w:rsidRPr="00DA203E">
        <w:t>Consumer Medicines Information</w:t>
      </w:r>
      <w:r w:rsidR="00DA203E">
        <w:t xml:space="preserve"> (</w:t>
      </w:r>
      <w:r w:rsidRPr="00F85868">
        <w:t>CM</w:t>
      </w:r>
      <w:r w:rsidR="00944E35">
        <w:t>I</w:t>
      </w:r>
      <w:r w:rsidR="00DA203E">
        <w:t>)</w:t>
      </w:r>
      <w:r w:rsidRPr="00F85868">
        <w:t xml:space="preserve"> need to be clear that the treatment improved</w:t>
      </w:r>
      <w:r w:rsidR="0038296C">
        <w:t xml:space="preserve"> PFS, </w:t>
      </w:r>
      <w:r w:rsidRPr="00F85868">
        <w:t xml:space="preserve">although </w:t>
      </w:r>
      <w:proofErr w:type="spellStart"/>
      <w:r w:rsidR="0038296C">
        <w:t>QoL</w:t>
      </w:r>
      <w:proofErr w:type="spellEnd"/>
      <w:r w:rsidRPr="00F85868">
        <w:t xml:space="preserve"> may not be improved</w:t>
      </w:r>
      <w:r w:rsidR="0038296C">
        <w:t>,</w:t>
      </w:r>
      <w:r w:rsidRPr="00F85868">
        <w:t xml:space="preserve"> and that the </w:t>
      </w:r>
      <w:r w:rsidR="0038296C">
        <w:t>OS</w:t>
      </w:r>
      <w:r w:rsidRPr="00F85868">
        <w:t xml:space="preserve"> was no better than placebo.</w:t>
      </w:r>
    </w:p>
    <w:p w:rsidR="008E7846" w:rsidRPr="00E41208" w:rsidRDefault="008E7846" w:rsidP="00546154">
      <w:pPr>
        <w:pStyle w:val="Heading2"/>
      </w:pPr>
      <w:bookmarkStart w:id="136" w:name="_Toc461092056"/>
      <w:r w:rsidRPr="00E41208">
        <w:t xml:space="preserve">V. Pharmacovigilance </w:t>
      </w:r>
      <w:r>
        <w:t>f</w:t>
      </w:r>
      <w:r w:rsidRPr="00E41208">
        <w:t>indings</w:t>
      </w:r>
      <w:bookmarkEnd w:id="108"/>
      <w:bookmarkEnd w:id="109"/>
      <w:bookmarkEnd w:id="136"/>
    </w:p>
    <w:p w:rsidR="008E7846" w:rsidRDefault="00386150" w:rsidP="008E7846">
      <w:pPr>
        <w:pStyle w:val="Heading3"/>
        <w:rPr>
          <w:lang w:eastAsia="en-AU"/>
        </w:rPr>
      </w:pPr>
      <w:bookmarkStart w:id="137" w:name="_Toc247691526"/>
      <w:bookmarkStart w:id="138" w:name="_Toc314842509"/>
      <w:bookmarkStart w:id="139" w:name="_Toc461092057"/>
      <w:r>
        <w:rPr>
          <w:lang w:eastAsia="en-AU"/>
        </w:rPr>
        <w:t>Risk m</w:t>
      </w:r>
      <w:r w:rsidR="008E7846">
        <w:rPr>
          <w:lang w:eastAsia="en-AU"/>
        </w:rPr>
        <w:t xml:space="preserve">anagement </w:t>
      </w:r>
      <w:r>
        <w:rPr>
          <w:lang w:eastAsia="en-AU"/>
        </w:rPr>
        <w:t>p</w:t>
      </w:r>
      <w:r w:rsidR="008E7846">
        <w:rPr>
          <w:lang w:eastAsia="en-AU"/>
        </w:rPr>
        <w:t>lan</w:t>
      </w:r>
      <w:bookmarkEnd w:id="137"/>
      <w:bookmarkEnd w:id="138"/>
      <w:bookmarkEnd w:id="139"/>
    </w:p>
    <w:p w:rsidR="00E70B46" w:rsidRPr="00E70B46" w:rsidRDefault="00004260" w:rsidP="00E70B46">
      <w:r>
        <w:t xml:space="preserve">The sponsor submitted an </w:t>
      </w:r>
      <w:r w:rsidR="00E70B46" w:rsidRPr="00E70B46">
        <w:t>EU-</w:t>
      </w:r>
      <w:r w:rsidR="00F41344" w:rsidRPr="00E70B46">
        <w:t xml:space="preserve">Risk Management Plan </w:t>
      </w:r>
      <w:r w:rsidR="00F41344">
        <w:t>(</w:t>
      </w:r>
      <w:r w:rsidR="00E70B46" w:rsidRPr="00E70B46">
        <w:t>RMP</w:t>
      </w:r>
      <w:r w:rsidR="00F41344">
        <w:t>)</w:t>
      </w:r>
      <w:r w:rsidR="00E70B46" w:rsidRPr="00E70B46">
        <w:t xml:space="preserve"> version 6.0 dated 26 March 2015 (data lock point: 15 September 2013, 15 March 2014 for Study 303), Australian Specific Annex </w:t>
      </w:r>
      <w:r>
        <w:t xml:space="preserve">(ASA) </w:t>
      </w:r>
      <w:r w:rsidR="00E70B46" w:rsidRPr="00E70B46">
        <w:t>dated February 2015 (align with EU-RMP version 1)</w:t>
      </w:r>
      <w:r>
        <w:t>, and u</w:t>
      </w:r>
      <w:r w:rsidR="00E70B46" w:rsidRPr="00E70B46">
        <w:t xml:space="preserve">pdated </w:t>
      </w:r>
      <w:r w:rsidR="00615A92">
        <w:t>ASA</w:t>
      </w:r>
      <w:r w:rsidR="00E70B46" w:rsidRPr="00E70B46">
        <w:t xml:space="preserve"> version 2 dated August 2015</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141EA2">
        <w:rPr>
          <w:lang w:eastAsia="en-AU"/>
        </w:rPr>
        <w:t>1</w:t>
      </w:r>
      <w:r w:rsidR="005E63A9">
        <w:rPr>
          <w:lang w:eastAsia="en-AU"/>
        </w:rPr>
        <w:t>1</w:t>
      </w:r>
      <w:r>
        <w:rPr>
          <w:lang w:eastAsia="en-AU"/>
        </w:rPr>
        <w:t>.</w:t>
      </w:r>
    </w:p>
    <w:p w:rsidR="00232A97" w:rsidRDefault="00232A97" w:rsidP="00232A97">
      <w:pPr>
        <w:pStyle w:val="TableTitle"/>
      </w:pPr>
      <w:proofErr w:type="gramStart"/>
      <w:r>
        <w:t xml:space="preserve">Table </w:t>
      </w:r>
      <w:r w:rsidR="00141EA2">
        <w:t>1</w:t>
      </w:r>
      <w:r w:rsidR="005E63A9">
        <w:t>1</w:t>
      </w:r>
      <w:r>
        <w:t>:</w:t>
      </w:r>
      <w:r w:rsidRPr="004C5C28">
        <w:t xml:space="preserve"> </w:t>
      </w:r>
      <w:r>
        <w:t>Ongoing safety concerns.</w:t>
      </w:r>
      <w:proofErr w:type="gramEnd"/>
    </w:p>
    <w:tbl>
      <w:tblPr>
        <w:tblStyle w:val="TableTGAblue"/>
        <w:tblW w:w="0" w:type="auto"/>
        <w:tblLook w:val="04A0" w:firstRow="1" w:lastRow="0" w:firstColumn="1" w:lastColumn="0" w:noHBand="0" w:noVBand="1"/>
      </w:tblPr>
      <w:tblGrid>
        <w:gridCol w:w="2943"/>
        <w:gridCol w:w="5777"/>
      </w:tblGrid>
      <w:tr w:rsidR="00545DE4" w:rsidRPr="00545DE4" w:rsidTr="00F408AC">
        <w:trPr>
          <w:cnfStyle w:val="100000000000" w:firstRow="1" w:lastRow="0" w:firstColumn="0" w:lastColumn="0" w:oddVBand="0" w:evenVBand="0" w:oddHBand="0" w:evenHBand="0" w:firstRowFirstColumn="0" w:firstRowLastColumn="0" w:lastRowFirstColumn="0" w:lastRowLastColumn="0"/>
        </w:trPr>
        <w:tc>
          <w:tcPr>
            <w:tcW w:w="2943" w:type="dxa"/>
          </w:tcPr>
          <w:p w:rsidR="00545DE4" w:rsidRPr="00545DE4" w:rsidRDefault="00545DE4" w:rsidP="00F408AC">
            <w:r w:rsidRPr="00545DE4">
              <w:t>Summary of safety concerns</w:t>
            </w:r>
          </w:p>
        </w:tc>
        <w:tc>
          <w:tcPr>
            <w:tcW w:w="5777" w:type="dxa"/>
          </w:tcPr>
          <w:p w:rsidR="00545DE4" w:rsidRPr="00545DE4" w:rsidRDefault="00545DE4" w:rsidP="00F408AC"/>
        </w:tc>
      </w:tr>
      <w:tr w:rsidR="00545DE4" w:rsidRPr="00A14E11" w:rsidTr="00F408AC">
        <w:tc>
          <w:tcPr>
            <w:tcW w:w="2943" w:type="dxa"/>
          </w:tcPr>
          <w:p w:rsidR="00545DE4" w:rsidRPr="00F408AC" w:rsidRDefault="00545DE4" w:rsidP="00F408AC">
            <w:r w:rsidRPr="00F408AC">
              <w:t>Important identified risks</w:t>
            </w:r>
          </w:p>
        </w:tc>
        <w:tc>
          <w:tcPr>
            <w:tcW w:w="5777" w:type="dxa"/>
          </w:tcPr>
          <w:p w:rsidR="00545DE4" w:rsidRPr="00F408AC" w:rsidRDefault="00A14E11" w:rsidP="00F408AC">
            <w:pPr>
              <w:pStyle w:val="ListBullet"/>
            </w:pPr>
            <w:r w:rsidRPr="00F408AC">
              <w:t>Hypertension</w:t>
            </w:r>
          </w:p>
          <w:p w:rsidR="00A14E11" w:rsidRPr="00F408AC" w:rsidRDefault="00A14E11" w:rsidP="00F408AC">
            <w:pPr>
              <w:pStyle w:val="ListBullet"/>
            </w:pPr>
            <w:r w:rsidRPr="00F408AC">
              <w:t>Proteinuria</w:t>
            </w:r>
          </w:p>
          <w:p w:rsidR="00166A00" w:rsidRPr="00F408AC" w:rsidRDefault="00166A00" w:rsidP="00F408AC">
            <w:pPr>
              <w:pStyle w:val="ListBullet"/>
            </w:pPr>
            <w:r w:rsidRPr="00F408AC">
              <w:t>Renal failure or impairment</w:t>
            </w:r>
          </w:p>
          <w:p w:rsidR="00166A00" w:rsidRPr="00F408AC" w:rsidRDefault="00166A00" w:rsidP="00F408AC">
            <w:pPr>
              <w:pStyle w:val="ListBullet"/>
            </w:pPr>
            <w:r w:rsidRPr="00F408AC">
              <w:t>Hypokalaemia</w:t>
            </w:r>
          </w:p>
          <w:p w:rsidR="00166A00" w:rsidRPr="00F408AC" w:rsidRDefault="00166A00" w:rsidP="00F408AC">
            <w:pPr>
              <w:pStyle w:val="ListBullet"/>
            </w:pPr>
            <w:r w:rsidRPr="00F408AC">
              <w:t>Cardiac failure</w:t>
            </w:r>
          </w:p>
          <w:p w:rsidR="00805EBA" w:rsidRPr="00F408AC" w:rsidRDefault="00805EBA" w:rsidP="00F408AC">
            <w:pPr>
              <w:pStyle w:val="ListBullet"/>
            </w:pPr>
            <w:r w:rsidRPr="00F408AC">
              <w:t>Posterior reversible encephalopathy syndrome (PRES)</w:t>
            </w:r>
          </w:p>
          <w:p w:rsidR="00805EBA" w:rsidRPr="00F408AC" w:rsidRDefault="00805EBA" w:rsidP="00F408AC">
            <w:pPr>
              <w:pStyle w:val="ListBullet"/>
            </w:pPr>
            <w:proofErr w:type="spellStart"/>
            <w:r w:rsidRPr="00F408AC">
              <w:t>Hepatoxicity</w:t>
            </w:r>
            <w:proofErr w:type="spellEnd"/>
          </w:p>
          <w:p w:rsidR="00805EBA" w:rsidRPr="00F408AC" w:rsidRDefault="00805EBA" w:rsidP="00F408AC">
            <w:pPr>
              <w:pStyle w:val="ListBullet"/>
            </w:pPr>
            <w:r w:rsidRPr="00F408AC">
              <w:t>Haemorrhagic events</w:t>
            </w:r>
          </w:p>
          <w:p w:rsidR="00805EBA" w:rsidRPr="00F408AC" w:rsidRDefault="00805EBA" w:rsidP="00F408AC">
            <w:pPr>
              <w:pStyle w:val="ListBullet"/>
            </w:pPr>
            <w:r w:rsidRPr="00F408AC">
              <w:t>Arterial thromboembolic events (ATEs)</w:t>
            </w:r>
          </w:p>
          <w:p w:rsidR="00805EBA" w:rsidRPr="00F408AC" w:rsidRDefault="00805EBA" w:rsidP="00F408AC">
            <w:pPr>
              <w:pStyle w:val="ListBullet"/>
            </w:pPr>
            <w:proofErr w:type="spellStart"/>
            <w:r w:rsidRPr="00F408AC">
              <w:t>QTc</w:t>
            </w:r>
            <w:proofErr w:type="spellEnd"/>
            <w:r w:rsidRPr="00F408AC">
              <w:t xml:space="preserve"> prolongation</w:t>
            </w:r>
          </w:p>
          <w:p w:rsidR="00805EBA" w:rsidRPr="00F408AC" w:rsidRDefault="00805EBA" w:rsidP="00F408AC">
            <w:pPr>
              <w:pStyle w:val="ListBullet"/>
            </w:pPr>
            <w:proofErr w:type="spellStart"/>
            <w:r w:rsidRPr="00F408AC">
              <w:t>Hypocalcemia</w:t>
            </w:r>
            <w:proofErr w:type="spellEnd"/>
          </w:p>
        </w:tc>
      </w:tr>
      <w:tr w:rsidR="00545DE4" w:rsidRPr="00A14E11" w:rsidTr="00F408AC">
        <w:tc>
          <w:tcPr>
            <w:tcW w:w="2943" w:type="dxa"/>
          </w:tcPr>
          <w:p w:rsidR="00545DE4" w:rsidRPr="00F408AC" w:rsidRDefault="00545DE4" w:rsidP="00F408AC">
            <w:r w:rsidRPr="00F408AC">
              <w:t>Important potential risks</w:t>
            </w:r>
          </w:p>
        </w:tc>
        <w:tc>
          <w:tcPr>
            <w:tcW w:w="5777" w:type="dxa"/>
          </w:tcPr>
          <w:p w:rsidR="00545DE4" w:rsidRPr="00F408AC" w:rsidRDefault="00805EBA" w:rsidP="00F408AC">
            <w:pPr>
              <w:pStyle w:val="ListBullet"/>
            </w:pPr>
            <w:r w:rsidRPr="00F408AC">
              <w:t>Gastrointestinal perforation and fistula formation</w:t>
            </w:r>
          </w:p>
          <w:p w:rsidR="00805EBA" w:rsidRPr="00F408AC" w:rsidRDefault="00805EBA" w:rsidP="00F408AC">
            <w:pPr>
              <w:pStyle w:val="ListBullet"/>
            </w:pPr>
            <w:r w:rsidRPr="00F408AC">
              <w:t>Venous thromboembolic events (VTEs)</w:t>
            </w:r>
          </w:p>
          <w:p w:rsidR="00805EBA" w:rsidRPr="00F408AC" w:rsidRDefault="00805EBA" w:rsidP="00F408AC">
            <w:pPr>
              <w:pStyle w:val="ListBullet"/>
            </w:pPr>
            <w:r w:rsidRPr="00F408AC">
              <w:t>Abnormal pregnancy outcome, excretion of lenvatinib in milk</w:t>
            </w:r>
          </w:p>
          <w:p w:rsidR="00805EBA" w:rsidRPr="00F408AC" w:rsidRDefault="00805EBA" w:rsidP="00F408AC">
            <w:pPr>
              <w:pStyle w:val="ListBullet"/>
            </w:pPr>
            <w:r w:rsidRPr="00F408AC">
              <w:t>Male and female fertility</w:t>
            </w:r>
          </w:p>
          <w:p w:rsidR="00805EBA" w:rsidRPr="00F408AC" w:rsidRDefault="00805EBA" w:rsidP="00F408AC">
            <w:pPr>
              <w:pStyle w:val="ListBullet"/>
            </w:pPr>
            <w:r w:rsidRPr="00F408AC">
              <w:t>Pancreatitis</w:t>
            </w:r>
          </w:p>
          <w:p w:rsidR="00805EBA" w:rsidRPr="00F408AC" w:rsidRDefault="00805EBA" w:rsidP="00F408AC">
            <w:pPr>
              <w:pStyle w:val="ListBullet"/>
            </w:pPr>
            <w:r w:rsidRPr="00F408AC">
              <w:t>Bone and teeth abnormalities in the paediatric population</w:t>
            </w:r>
          </w:p>
          <w:p w:rsidR="00805EBA" w:rsidRPr="00F408AC" w:rsidRDefault="00805EBA" w:rsidP="00F408AC">
            <w:pPr>
              <w:pStyle w:val="ListBullet"/>
            </w:pPr>
            <w:r w:rsidRPr="00F408AC">
              <w:t>Impaired wound healing</w:t>
            </w:r>
          </w:p>
          <w:p w:rsidR="00805EBA" w:rsidRPr="00F408AC" w:rsidRDefault="00805EBA" w:rsidP="00F408AC">
            <w:pPr>
              <w:pStyle w:val="ListBullet"/>
            </w:pPr>
            <w:r w:rsidRPr="00F408AC">
              <w:lastRenderedPageBreak/>
              <w:t>Interstitial Lung Disease (ILD) like conditions</w:t>
            </w:r>
          </w:p>
          <w:p w:rsidR="00805EBA" w:rsidRPr="00F408AC" w:rsidRDefault="00805EBA" w:rsidP="00F408AC">
            <w:pPr>
              <w:pStyle w:val="ListBullet"/>
            </w:pPr>
            <w:r w:rsidRPr="00F408AC">
              <w:t>Potential of lenvatinib for induction/inhibition of CYP-3A4 mediated drug metabolism</w:t>
            </w:r>
          </w:p>
        </w:tc>
      </w:tr>
      <w:tr w:rsidR="00545DE4" w:rsidRPr="00A14E11" w:rsidTr="00F408AC">
        <w:tc>
          <w:tcPr>
            <w:tcW w:w="2943" w:type="dxa"/>
          </w:tcPr>
          <w:p w:rsidR="00545DE4" w:rsidRPr="00F408AC" w:rsidRDefault="00545DE4" w:rsidP="00F408AC">
            <w:r w:rsidRPr="00F408AC">
              <w:lastRenderedPageBreak/>
              <w:t>Missing information</w:t>
            </w:r>
          </w:p>
        </w:tc>
        <w:tc>
          <w:tcPr>
            <w:tcW w:w="5777" w:type="dxa"/>
          </w:tcPr>
          <w:p w:rsidR="00545DE4" w:rsidRPr="00F408AC" w:rsidRDefault="00B16322" w:rsidP="00F408AC">
            <w:pPr>
              <w:pStyle w:val="ListBullet"/>
            </w:pPr>
            <w:r w:rsidRPr="00F408AC">
              <w:t>Use in the paediatric population</w:t>
            </w:r>
          </w:p>
          <w:p w:rsidR="00B16322" w:rsidRPr="00F408AC" w:rsidRDefault="00B16322" w:rsidP="00F408AC">
            <w:pPr>
              <w:pStyle w:val="ListBullet"/>
            </w:pPr>
            <w:r w:rsidRPr="00F408AC">
              <w:t>Use in severe hepatic impairment</w:t>
            </w:r>
          </w:p>
          <w:p w:rsidR="00B16322" w:rsidRPr="00F408AC" w:rsidRDefault="00B16322" w:rsidP="00F408AC">
            <w:pPr>
              <w:pStyle w:val="ListBullet"/>
            </w:pPr>
            <w:r w:rsidRPr="00F408AC">
              <w:t>Use in severe renal impairment</w:t>
            </w:r>
          </w:p>
          <w:p w:rsidR="00B16322" w:rsidRPr="00F408AC" w:rsidRDefault="00B16322" w:rsidP="00F408AC">
            <w:pPr>
              <w:pStyle w:val="ListBullet"/>
            </w:pPr>
            <w:r w:rsidRPr="00F408AC">
              <w:t>Use in patients from ethnic origins other than Caucasian or Asian</w:t>
            </w:r>
          </w:p>
          <w:p w:rsidR="00B16322" w:rsidRPr="00F408AC" w:rsidRDefault="00B16322" w:rsidP="00F408AC">
            <w:pPr>
              <w:pStyle w:val="ListBullet"/>
            </w:pPr>
            <w:r w:rsidRPr="00F408AC">
              <w:t>Use in patients aged ≥ 75 years</w:t>
            </w:r>
          </w:p>
        </w:tc>
      </w:tr>
    </w:tbl>
    <w:p w:rsidR="00141EA2" w:rsidRPr="004B1F1F" w:rsidRDefault="00141EA2" w:rsidP="00141EA2">
      <w:pPr>
        <w:rPr>
          <w:rFonts w:asciiTheme="minorHAnsi" w:hAnsiTheme="minorHAnsi"/>
        </w:rPr>
      </w:pPr>
      <w:r w:rsidRPr="004B1F1F">
        <w:rPr>
          <w:rFonts w:asciiTheme="minorHAnsi" w:hAnsiTheme="minorHAnsi"/>
          <w:b/>
          <w:i/>
        </w:rPr>
        <w:t>RMP</w:t>
      </w:r>
      <w:r w:rsidR="00C4281D">
        <w:rPr>
          <w:rFonts w:asciiTheme="minorHAnsi" w:hAnsiTheme="minorHAnsi"/>
          <w:b/>
          <w:i/>
        </w:rPr>
        <w:t xml:space="preserve"> eva</w:t>
      </w:r>
      <w:r w:rsidR="006C2F93">
        <w:rPr>
          <w:rFonts w:asciiTheme="minorHAnsi" w:hAnsiTheme="minorHAnsi"/>
          <w:b/>
          <w:i/>
        </w:rPr>
        <w:t>luator</w:t>
      </w:r>
    </w:p>
    <w:p w:rsidR="00141EA2" w:rsidRPr="00C4281D" w:rsidRDefault="00141EA2" w:rsidP="00C4281D">
      <w:r w:rsidRPr="00C4281D">
        <w:t>The evaluator has noted that h</w:t>
      </w:r>
      <w:r w:rsidR="000D1260">
        <w:t>a</w:t>
      </w:r>
      <w:r w:rsidRPr="00C4281D">
        <w:t>emorrhagic events are listed as an important identified risk. The sponsor states in the EU-RMP that this risk could be due to the inhibition of VGEF.</w:t>
      </w:r>
    </w:p>
    <w:p w:rsidR="00141EA2" w:rsidRPr="00C4281D" w:rsidRDefault="00141EA2" w:rsidP="00C4281D">
      <w:r w:rsidRPr="00C4281D">
        <w:t>The sponsor has included all the class effects listed in the EU-RMP on the list of safety concerns. In addition, the sponsor has provided the following comments regarding the issue of impaired wound healing:</w:t>
      </w:r>
    </w:p>
    <w:p w:rsidR="00141EA2" w:rsidRPr="00C4281D" w:rsidRDefault="00141EA2" w:rsidP="00C4281D">
      <w:pPr>
        <w:ind w:left="720"/>
        <w:rPr>
          <w:i/>
        </w:rPr>
      </w:pPr>
      <w:r w:rsidRPr="00C4281D">
        <w:rPr>
          <w:i/>
        </w:rPr>
        <w:t>Patients who were about to undergo major surgery up to 1 month or less before starting treatment in clinical studies were not treated with lenvatinib, and all the patients in the lenvatinib studies with impaired wound healing recovered without any serious complications. On this basis, impaired wound healing is not an identified risk but is classified as a potential risk.</w:t>
      </w:r>
    </w:p>
    <w:p w:rsidR="00772CC0" w:rsidRDefault="00141EA2" w:rsidP="00C4281D">
      <w:r w:rsidRPr="00C4281D">
        <w:t>This is acceptable</w:t>
      </w:r>
      <w:r w:rsidR="00772CC0">
        <w:t>.</w:t>
      </w:r>
    </w:p>
    <w:p w:rsidR="00772CC0" w:rsidRDefault="00141EA2" w:rsidP="00C4281D">
      <w:r w:rsidRPr="00C4281D">
        <w:t>Subject to the</w:t>
      </w:r>
      <w:r w:rsidR="00C4281D" w:rsidRPr="00C4281D">
        <w:t xml:space="preserve"> evaluation outcomes of the non</w:t>
      </w:r>
      <w:r w:rsidRPr="00C4281D">
        <w:t>clinica</w:t>
      </w:r>
      <w:r w:rsidR="00195C1A">
        <w:t>l and clinical aspects of the Safety Specification</w:t>
      </w:r>
      <w:r w:rsidRPr="00C4281D">
        <w:t>, it is noted that the following adverse events have occurred in patients in the clinical trials:</w:t>
      </w:r>
    </w:p>
    <w:p w:rsidR="00772CC0" w:rsidRDefault="00141EA2" w:rsidP="00C4281D">
      <w:pPr>
        <w:pStyle w:val="ListBullet"/>
      </w:pPr>
      <w:r w:rsidRPr="00C4281D">
        <w:t>Thrombocytopenia (very common);</w:t>
      </w:r>
    </w:p>
    <w:p w:rsidR="00772CC0" w:rsidRDefault="00141EA2" w:rsidP="00C4281D">
      <w:pPr>
        <w:pStyle w:val="ListBullet"/>
      </w:pPr>
      <w:r w:rsidRPr="00C4281D">
        <w:t>Blood thyroid stimulating hormone (TSH) increase (common)</w:t>
      </w:r>
      <w:r w:rsidR="00772CC0">
        <w:t>.</w:t>
      </w:r>
    </w:p>
    <w:p w:rsidR="00065A3F" w:rsidRDefault="00141EA2" w:rsidP="00C4281D">
      <w:r w:rsidRPr="00C4281D">
        <w:t xml:space="preserve">It is noted that the sponsor has stated in the EU-RMP that </w:t>
      </w:r>
      <w:r w:rsidR="00065A3F">
        <w:t>thrombocytopenia is:</w:t>
      </w:r>
    </w:p>
    <w:p w:rsidR="00065A3F" w:rsidRPr="00065A3F" w:rsidRDefault="00141EA2" w:rsidP="00065A3F">
      <w:pPr>
        <w:ind w:left="720"/>
        <w:rPr>
          <w:i/>
        </w:rPr>
      </w:pPr>
      <w:proofErr w:type="gramStart"/>
      <w:r w:rsidRPr="00065A3F">
        <w:rPr>
          <w:i/>
        </w:rPr>
        <w:t>reversible</w:t>
      </w:r>
      <w:proofErr w:type="gramEnd"/>
      <w:r w:rsidRPr="00065A3F">
        <w:rPr>
          <w:i/>
        </w:rPr>
        <w:t xml:space="preserve"> and manageable using the dose reduction algorithm in the SmPC.</w:t>
      </w:r>
    </w:p>
    <w:p w:rsidR="00772CC0" w:rsidRDefault="00141EA2" w:rsidP="00C4281D">
      <w:r w:rsidRPr="00C4281D">
        <w:t>Nonetheless, the sponsor should still provide justification as to why they are not considered safety concerns of lenvatinib or add them to the list of safety concerns in the ASA</w:t>
      </w:r>
      <w:r w:rsidR="00772CC0">
        <w:t>.</w:t>
      </w:r>
    </w:p>
    <w:p w:rsidR="00772CC0" w:rsidRDefault="00141EA2" w:rsidP="00C4281D">
      <w:r w:rsidRPr="00C4281D">
        <w:t>The pharmacovigilance and risk minimisation sections should be updated accordingly to provide plans for managing these safety issues</w:t>
      </w:r>
      <w:r w:rsidR="00772CC0">
        <w:t>.</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772CC0" w:rsidRDefault="00065A3F" w:rsidP="00065A3F">
      <w:r w:rsidRPr="00065A3F">
        <w:t xml:space="preserve">Routine pharmacovigilance has been proposed for all the safety concerns. In addition, </w:t>
      </w:r>
      <w:r w:rsidR="00195C1A">
        <w:t>S</w:t>
      </w:r>
      <w:r w:rsidRPr="00065A3F">
        <w:t>tudy 201, 208, 211 and 303 have been proposed to monitor the following safety concerns:</w:t>
      </w:r>
    </w:p>
    <w:p w:rsidR="00772CC0" w:rsidRDefault="00065A3F" w:rsidP="00065A3F">
      <w:pPr>
        <w:pStyle w:val="ListBullet"/>
      </w:pPr>
      <w:r w:rsidRPr="00065A3F">
        <w:lastRenderedPageBreak/>
        <w:t xml:space="preserve">Important identified risk: hypertension, proteinuria, renal failure or impairment, hypokalaemia, cardiac failure, hepatotoxicity, haemorrhage events, arterial thromboembolic events, </w:t>
      </w:r>
      <w:proofErr w:type="spellStart"/>
      <w:r w:rsidRPr="00065A3F">
        <w:t>QTc</w:t>
      </w:r>
      <w:proofErr w:type="spellEnd"/>
      <w:r w:rsidRPr="00065A3F">
        <w:t xml:space="preserve"> prolongation, hypocalcaemia;</w:t>
      </w:r>
    </w:p>
    <w:p w:rsidR="00772CC0" w:rsidRDefault="00065A3F" w:rsidP="00065A3F">
      <w:pPr>
        <w:pStyle w:val="ListBullet"/>
      </w:pPr>
      <w:r w:rsidRPr="00065A3F">
        <w:t xml:space="preserve">Important potential risk: </w:t>
      </w:r>
      <w:r w:rsidR="009E4D7B">
        <w:t>GI</w:t>
      </w:r>
      <w:r w:rsidRPr="00065A3F">
        <w:t xml:space="preserve"> perforation and fistula formation, venous thromboembolic events, impaired wound healing, ILD</w:t>
      </w:r>
      <w:r w:rsidR="004A60F5">
        <w:t xml:space="preserve"> </w:t>
      </w:r>
      <w:r w:rsidRPr="00065A3F">
        <w:t>like conditions</w:t>
      </w:r>
      <w:r w:rsidR="00772CC0">
        <w:t>.</w:t>
      </w:r>
    </w:p>
    <w:p w:rsidR="00772CC0" w:rsidRDefault="00065A3F" w:rsidP="00065A3F">
      <w:r w:rsidRPr="00065A3F">
        <w:t>A paediatric investigation plan (</w:t>
      </w:r>
      <w:r w:rsidR="006C2F93">
        <w:t>S</w:t>
      </w:r>
      <w:r w:rsidRPr="00065A3F">
        <w:t>tudy 207) has been agreed in the EU to monitor ‘bone and teeth abnormalities in the paediatric population’ (potential risk) and ‘use in the paediatric population’ (missing information). A drug-drug interaction study has also been proposed to monitor ‘potential of lenvatinib for induction/inhibition of CYP-3A4 mediated drug metabolism’ (potential risk)</w:t>
      </w:r>
      <w:r w:rsidR="00772CC0">
        <w:t>.</w:t>
      </w:r>
    </w:p>
    <w:p w:rsidR="006C2F93" w:rsidRPr="004B1F1F" w:rsidRDefault="006C2F93" w:rsidP="006C2F93">
      <w:pPr>
        <w:rPr>
          <w:rFonts w:asciiTheme="minorHAnsi" w:hAnsiTheme="minorHAnsi"/>
        </w:rPr>
      </w:pPr>
      <w:r w:rsidRPr="004B1F1F">
        <w:rPr>
          <w:rFonts w:asciiTheme="minorHAnsi" w:hAnsiTheme="minorHAnsi"/>
          <w:b/>
          <w:i/>
        </w:rPr>
        <w:t>RMP</w:t>
      </w:r>
      <w:r>
        <w:rPr>
          <w:rFonts w:asciiTheme="minorHAnsi" w:hAnsiTheme="minorHAnsi"/>
          <w:b/>
          <w:i/>
        </w:rPr>
        <w:t xml:space="preserve"> evaluator</w:t>
      </w:r>
    </w:p>
    <w:p w:rsidR="006C2F93" w:rsidRPr="006C2F93" w:rsidRDefault="006C2F93" w:rsidP="006C2F93">
      <w:r w:rsidRPr="006C2F93">
        <w:t>Protocols of ongoing and completed studies are not reviewed as part of this evaluation. There are two planned studies listed as additional pharmacovigilance activity:</w:t>
      </w:r>
    </w:p>
    <w:p w:rsidR="00772CC0" w:rsidRDefault="004A60F5" w:rsidP="006C2F93">
      <w:pPr>
        <w:pStyle w:val="ListBullet"/>
      </w:pPr>
      <w:r>
        <w:t xml:space="preserve">Study 211: </w:t>
      </w:r>
      <w:r w:rsidR="006C2F93" w:rsidRPr="006C2F93">
        <w:t>the sponsor has advised that the primary objective of this study is to determine whether a starting dose of 20</w:t>
      </w:r>
      <w:r>
        <w:t xml:space="preserve"> </w:t>
      </w:r>
      <w:r w:rsidR="006C2F93" w:rsidRPr="006C2F93">
        <w:t>mg or 14</w:t>
      </w:r>
      <w:r>
        <w:t xml:space="preserve"> </w:t>
      </w:r>
      <w:r w:rsidR="006C2F93" w:rsidRPr="006C2F93">
        <w:t>mg QD will provide comparable efficacy with an improved safety profile to 24</w:t>
      </w:r>
      <w:r>
        <w:t xml:space="preserve"> </w:t>
      </w:r>
      <w:r w:rsidR="006C2F93" w:rsidRPr="006C2F93">
        <w:t>mg QD dose. The secondary objective of the study is to evaluate progress free survival period in patients treated with doses of 24</w:t>
      </w:r>
      <w:r>
        <w:t xml:space="preserve"> </w:t>
      </w:r>
      <w:r w:rsidR="006C2F93" w:rsidRPr="006C2F93">
        <w:t>mg, 20</w:t>
      </w:r>
      <w:r>
        <w:t xml:space="preserve"> </w:t>
      </w:r>
      <w:r w:rsidR="006C2F93" w:rsidRPr="006C2F93">
        <w:t>mg and 14 mg QD; to evaluate safety and tolerability of doses of 24 mg, 20 mg, and 14 mg QD of lenvatinib; and to evaluate PK/PD relationship between exposure and efficacy/safety. The expected date for submission of the interim/final report is 31 August 2020</w:t>
      </w:r>
      <w:r w:rsidR="00772CC0">
        <w:t>.</w:t>
      </w:r>
    </w:p>
    <w:p w:rsidR="00772CC0" w:rsidRDefault="006C2F93" w:rsidP="006C2F93">
      <w:pPr>
        <w:pStyle w:val="ListBullet"/>
      </w:pPr>
      <w:r w:rsidRPr="006C2F93">
        <w:t>Th</w:t>
      </w:r>
      <w:r w:rsidR="004A60F5">
        <w:t xml:space="preserve">e drug-drug interaction study: </w:t>
      </w:r>
      <w:r w:rsidRPr="006C2F93">
        <w:t>the sponsor has advised that the aim of the study is to investigate the potential of lenvatinib for CYP3A4 inhibition/induction. The expected date for submission of the interim/final report is March 2018</w:t>
      </w:r>
      <w:r w:rsidR="00772CC0">
        <w:t>.</w:t>
      </w:r>
    </w:p>
    <w:p w:rsidR="00772CC0" w:rsidRDefault="006C2F93" w:rsidP="006C2F93">
      <w:r w:rsidRPr="006C2F93">
        <w:t>The sponsor has advised in the ASA that ongoing and planned studies referenced in the EU-RMP will not be conducted in Australia. The sponsor should clarify whether the study results are applicable to the Australian context.</w:t>
      </w:r>
      <w:r w:rsidR="00AD4923">
        <w:t xml:space="preserve">  </w:t>
      </w:r>
    </w:p>
    <w:p w:rsidR="00772CC0" w:rsidRDefault="006C2F93" w:rsidP="006C2F93">
      <w:r w:rsidRPr="006C2F93">
        <w:t>It is noted that the sponsor stated in the ASA that ‘In addition to routine pharmacovigilance measures, the following additional pharmacovigilance activities will occur’. No additional pharmacovigilance activities are listed in the section following the statement. The sponsor should provide clarification to this</w:t>
      </w:r>
      <w:r w:rsidR="00772CC0">
        <w:t>.</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772CC0" w:rsidRDefault="006C2F93" w:rsidP="006C2F93">
      <w:r w:rsidRPr="006C2F93">
        <w:t>The sponsor considers no additional risk minimisation is necessary. In addition, the sponsor states in the ASA:</w:t>
      </w:r>
    </w:p>
    <w:p w:rsidR="006C2F93" w:rsidRPr="006C2F93" w:rsidRDefault="006C2F93" w:rsidP="006C2F93">
      <w:pPr>
        <w:ind w:left="426"/>
        <w:rPr>
          <w:i/>
        </w:rPr>
      </w:pPr>
      <w:r w:rsidRPr="006C2F93">
        <w:rPr>
          <w:i/>
        </w:rPr>
        <w:t>All of the concerns identified in the EU-RMP are relevant for patients in Australia. The risk minimisation activities proposed in the EU-RMP will be implemented in Australia.</w:t>
      </w:r>
    </w:p>
    <w:p w:rsidR="006C2F93" w:rsidRPr="006C2F93" w:rsidRDefault="006C2F93" w:rsidP="006C2F93">
      <w:pPr>
        <w:pStyle w:val="ListBullet"/>
      </w:pPr>
      <w:r w:rsidRPr="006C2F93">
        <w:t>Potential for overdose</w:t>
      </w:r>
    </w:p>
    <w:p w:rsidR="006C2F93" w:rsidRDefault="006C2F93" w:rsidP="006C2F93">
      <w:pPr>
        <w:rPr>
          <w:rFonts w:asciiTheme="minorHAnsi" w:hAnsiTheme="minorHAnsi"/>
        </w:rPr>
      </w:pPr>
      <w:r>
        <w:rPr>
          <w:rFonts w:asciiTheme="minorHAnsi" w:hAnsiTheme="minorHAnsi"/>
        </w:rPr>
        <w:t>The sponsor states:</w:t>
      </w:r>
    </w:p>
    <w:p w:rsidR="006C2F93" w:rsidRPr="006C2F93" w:rsidRDefault="006C2F93" w:rsidP="006C2F93">
      <w:pPr>
        <w:ind w:left="720"/>
        <w:rPr>
          <w:i/>
        </w:rPr>
      </w:pPr>
      <w:r w:rsidRPr="006C2F93">
        <w:rPr>
          <w:i/>
        </w:rPr>
        <w:t>The highest tested doses of lenvatinib in clinical studies were 32 mg once daily and 20 mg twice daily. Accidental medication errors resulting in single doses of 40 to 48 mg have also occurred in clinical trials. The AEs observed at these doses were primarily hypertension, nausea, diarrh</w:t>
      </w:r>
      <w:r w:rsidR="00691A38">
        <w:rPr>
          <w:i/>
        </w:rPr>
        <w:t>o</w:t>
      </w:r>
      <w:r w:rsidRPr="006C2F93">
        <w:rPr>
          <w:i/>
        </w:rPr>
        <w:t>ea, fatigue, stomatitis, proteinuria, headache, and aggravation of PPE. Cases of accidental overdose at higher than tested doses of lenvatinib have been reported. These were either associated with adverse reactions consistent with the known safety profile of lenvatinib, or were without adverse reactions.</w:t>
      </w:r>
    </w:p>
    <w:p w:rsidR="006C2F93" w:rsidRPr="006C2F93" w:rsidRDefault="006C2F93" w:rsidP="006C2F93">
      <w:pPr>
        <w:ind w:left="720"/>
        <w:rPr>
          <w:i/>
        </w:rPr>
      </w:pPr>
      <w:r w:rsidRPr="006C2F93">
        <w:rPr>
          <w:i/>
        </w:rPr>
        <w:lastRenderedPageBreak/>
        <w:t>One subject in the randomi</w:t>
      </w:r>
      <w:r w:rsidR="00691A38">
        <w:rPr>
          <w:i/>
        </w:rPr>
        <w:t>s</w:t>
      </w:r>
      <w:r w:rsidRPr="006C2F93">
        <w:rPr>
          <w:i/>
        </w:rPr>
        <w:t>ation phase of Study 303 (who had been admitted to Intensive Care Unit with severe hypoxia and respiratory failure secondary to lung metastases and possible opportunistic infection) was accidentally administered a single 144 mg dose of lenvatinib (6 times the recommended dose of 24 mg/day). No TEAEs were reported in association with this overdose. However, as the patient refused intubation and respiratory support and opted for hospice care only, she was withdrawn from the study and discharged to hospice. The subject died of respiratory failure and sepsis 2 days later.</w:t>
      </w:r>
    </w:p>
    <w:p w:rsidR="006C2F93" w:rsidRPr="006C2F93" w:rsidRDefault="006C2F93" w:rsidP="006C2F93">
      <w:pPr>
        <w:ind w:left="720"/>
        <w:rPr>
          <w:i/>
        </w:rPr>
      </w:pPr>
      <w:r w:rsidRPr="006C2F93">
        <w:rPr>
          <w:i/>
        </w:rPr>
        <w:t>One subject participating in Study 304 was accidentally administered a single dose of 120 mg of lenvatinib (10 times the clinical trial dose of 12 mg/day for a subject with hepatocellular carcinoma). The subject was admitted to inten</w:t>
      </w:r>
      <w:r w:rsidR="00787BDD">
        <w:rPr>
          <w:i/>
        </w:rPr>
        <w:t>sive care in a specialist centre</w:t>
      </w:r>
      <w:r w:rsidRPr="006C2F93">
        <w:rPr>
          <w:i/>
        </w:rPr>
        <w:t xml:space="preserve"> for nephrology with acute renal insufficiency, tumo</w:t>
      </w:r>
      <w:r w:rsidR="00787BDD">
        <w:rPr>
          <w:i/>
        </w:rPr>
        <w:t>u</w:t>
      </w:r>
      <w:r w:rsidRPr="006C2F93">
        <w:rPr>
          <w:i/>
        </w:rPr>
        <w:t xml:space="preserve">r lysis syndrome, cardiac insufficiency, and </w:t>
      </w:r>
      <w:proofErr w:type="spellStart"/>
      <w:r w:rsidRPr="006C2F93">
        <w:rPr>
          <w:i/>
        </w:rPr>
        <w:t>pneumopathy</w:t>
      </w:r>
      <w:proofErr w:type="spellEnd"/>
      <w:r w:rsidRPr="006C2F93">
        <w:rPr>
          <w:i/>
        </w:rPr>
        <w:t>. The subject was subsequently transferred back to the study site, withdrew from the study and elected to receive palliative care.</w:t>
      </w:r>
    </w:p>
    <w:p w:rsidR="006C2F93" w:rsidRPr="006C2F93" w:rsidRDefault="006C2F93" w:rsidP="006C2F93">
      <w:pPr>
        <w:ind w:left="720"/>
      </w:pPr>
      <w:r w:rsidRPr="006C2F93">
        <w:rPr>
          <w:i/>
        </w:rPr>
        <w:t>There is no specific antidote for overdose with lenvatinib. In case of suspected overdose, lenvatinib should be withheld and supportive care initiated.</w:t>
      </w:r>
    </w:p>
    <w:p w:rsidR="006C2F93" w:rsidRPr="006C2F93" w:rsidRDefault="006C2F93" w:rsidP="006C2F93">
      <w:pPr>
        <w:pStyle w:val="ListBullet"/>
      </w:pPr>
      <w:r w:rsidRPr="006C2F93">
        <w:t>Potential for transmission of infectious disease</w:t>
      </w:r>
    </w:p>
    <w:p w:rsidR="00772CC0" w:rsidRDefault="006C2F93" w:rsidP="006C2F93">
      <w:pPr>
        <w:rPr>
          <w:rFonts w:asciiTheme="minorHAnsi" w:hAnsiTheme="minorHAnsi"/>
        </w:rPr>
      </w:pPr>
      <w:r>
        <w:rPr>
          <w:rFonts w:asciiTheme="minorHAnsi" w:hAnsiTheme="minorHAnsi"/>
        </w:rPr>
        <w:t>The sponsor states:</w:t>
      </w:r>
    </w:p>
    <w:p w:rsidR="006C2F93" w:rsidRPr="006C2F93" w:rsidRDefault="006C2F93" w:rsidP="006C2F93">
      <w:pPr>
        <w:ind w:left="720"/>
        <w:rPr>
          <w:i/>
        </w:rPr>
      </w:pPr>
      <w:r w:rsidRPr="006C2F93">
        <w:rPr>
          <w:i/>
        </w:rPr>
        <w:t>No excipients or materials of animal origin are used in the manufacture of lenvatinib hard capsules; hence, there is no potential for transmission of infectious agents.</w:t>
      </w:r>
    </w:p>
    <w:p w:rsidR="006C2F93" w:rsidRPr="006C2F93" w:rsidRDefault="006C2F93" w:rsidP="006C2F93">
      <w:pPr>
        <w:pStyle w:val="ListBullet"/>
      </w:pPr>
      <w:r w:rsidRPr="006C2F93">
        <w:t>Potential for misuse for illegal purposes</w:t>
      </w:r>
    </w:p>
    <w:p w:rsidR="00772CC0" w:rsidRDefault="006C2F93" w:rsidP="006C2F93">
      <w:r w:rsidRPr="006C2F93">
        <w:t>The sponsor states:</w:t>
      </w:r>
    </w:p>
    <w:p w:rsidR="006C2F93" w:rsidRPr="006C2F93" w:rsidRDefault="006C2F93" w:rsidP="006C2F93">
      <w:pPr>
        <w:ind w:left="720"/>
        <w:rPr>
          <w:i/>
        </w:rPr>
      </w:pPr>
      <w:r w:rsidRPr="006C2F93">
        <w:rPr>
          <w:i/>
        </w:rPr>
        <w:t>There have been no psychoactive effects reported with the use of lenvatinib. Therefore, there is no perceived potential for lenvatinib to be used for illegal purposes.</w:t>
      </w:r>
    </w:p>
    <w:p w:rsidR="006C2F93" w:rsidRPr="006C2F93" w:rsidRDefault="006C2F93" w:rsidP="006C2F93">
      <w:pPr>
        <w:pStyle w:val="ListBullet"/>
      </w:pPr>
      <w:r w:rsidRPr="006C2F93">
        <w:t>Potential for off-label use</w:t>
      </w:r>
    </w:p>
    <w:p w:rsidR="00772CC0" w:rsidRDefault="006C2F93" w:rsidP="006C2F93">
      <w:pPr>
        <w:rPr>
          <w:rFonts w:asciiTheme="minorHAnsi" w:hAnsiTheme="minorHAnsi"/>
        </w:rPr>
      </w:pPr>
      <w:r>
        <w:rPr>
          <w:rFonts w:asciiTheme="minorHAnsi" w:hAnsiTheme="minorHAnsi"/>
        </w:rPr>
        <w:t>The sponsor states:</w:t>
      </w:r>
    </w:p>
    <w:p w:rsidR="006C2F93" w:rsidRPr="006C2F93" w:rsidRDefault="006C2F93" w:rsidP="006C2F93">
      <w:pPr>
        <w:ind w:left="720"/>
        <w:rPr>
          <w:i/>
        </w:rPr>
      </w:pPr>
      <w:proofErr w:type="spellStart"/>
      <w:r w:rsidRPr="006C2F93">
        <w:rPr>
          <w:i/>
        </w:rPr>
        <w:t>Lenvatinib</w:t>
      </w:r>
      <w:proofErr w:type="spellEnd"/>
      <w:r w:rsidRPr="006C2F93">
        <w:rPr>
          <w:i/>
        </w:rPr>
        <w:t xml:space="preserve"> has been developed only for the subset of patients with DTC who are refractory to radioiodine treatment. Patients whose tumo</w:t>
      </w:r>
      <w:r w:rsidR="007174DA">
        <w:rPr>
          <w:i/>
        </w:rPr>
        <w:t>u</w:t>
      </w:r>
      <w:r w:rsidRPr="006C2F93">
        <w:rPr>
          <w:i/>
        </w:rPr>
        <w:t>r cells retain the ability to uptake radioiodine tend to be cured by standard surgery, radioiodine ablation, and thyroid hormone rep</w:t>
      </w:r>
      <w:r w:rsidR="0000508B">
        <w:rPr>
          <w:i/>
        </w:rPr>
        <w:t>lacement</w:t>
      </w:r>
      <w:r w:rsidRPr="006C2F93">
        <w:rPr>
          <w:i/>
        </w:rPr>
        <w:t>.</w:t>
      </w:r>
      <w:r w:rsidR="000F523D">
        <w:rPr>
          <w:rStyle w:val="FootnoteReference"/>
          <w:i/>
        </w:rPr>
        <w:footnoteReference w:id="37"/>
      </w:r>
      <w:r w:rsidRPr="006C2F93">
        <w:rPr>
          <w:i/>
        </w:rPr>
        <w:t xml:space="preserve"> Therefore, off-label use of lenvatinib in the broader DTC population seems unlikely in the face of its well-recognized clinical toxicities.</w:t>
      </w:r>
    </w:p>
    <w:p w:rsidR="006C2F93" w:rsidRPr="006C2F93" w:rsidRDefault="006C2F93" w:rsidP="006C2F93">
      <w:pPr>
        <w:ind w:left="720"/>
        <w:rPr>
          <w:i/>
        </w:rPr>
      </w:pPr>
      <w:r w:rsidRPr="006C2F93">
        <w:rPr>
          <w:i/>
        </w:rPr>
        <w:t>A broader indication of thyroid cancer is proposed for registration in Japan, including MTC and ATC. Other TKIs are registered for MTC (</w:t>
      </w:r>
      <w:proofErr w:type="spellStart"/>
      <w:r w:rsidRPr="006C2F93">
        <w:rPr>
          <w:i/>
        </w:rPr>
        <w:t>Cometriq</w:t>
      </w:r>
      <w:proofErr w:type="spellEnd"/>
      <w:r w:rsidRPr="006C2F93">
        <w:rPr>
          <w:i/>
        </w:rPr>
        <w:t xml:space="preserve"> [</w:t>
      </w:r>
      <w:proofErr w:type="spellStart"/>
      <w:r w:rsidRPr="006C2F93">
        <w:rPr>
          <w:i/>
        </w:rPr>
        <w:t>cabozantinib</w:t>
      </w:r>
      <w:proofErr w:type="spellEnd"/>
      <w:r w:rsidRPr="006C2F93">
        <w:rPr>
          <w:i/>
        </w:rPr>
        <w:t xml:space="preserve">] and </w:t>
      </w:r>
      <w:proofErr w:type="spellStart"/>
      <w:r w:rsidRPr="006C2F93">
        <w:rPr>
          <w:i/>
        </w:rPr>
        <w:t>Caprelsa</w:t>
      </w:r>
      <w:proofErr w:type="spellEnd"/>
      <w:r w:rsidRPr="006C2F93">
        <w:rPr>
          <w:i/>
        </w:rPr>
        <w:t xml:space="preserve"> [</w:t>
      </w:r>
      <w:proofErr w:type="spellStart"/>
      <w:r w:rsidRPr="006C2F93">
        <w:rPr>
          <w:i/>
        </w:rPr>
        <w:t>vandetanib</w:t>
      </w:r>
      <w:proofErr w:type="spellEnd"/>
      <w:r w:rsidRPr="006C2F93">
        <w:rPr>
          <w:i/>
        </w:rPr>
        <w:t>]) in the EU but none are registered for ATC. Hence, it seems possible that off-label use could occur in this indication.</w:t>
      </w:r>
    </w:p>
    <w:p w:rsidR="006C2F93" w:rsidRPr="006C2F93" w:rsidRDefault="00CB0544" w:rsidP="006C2F93">
      <w:pPr>
        <w:ind w:left="720"/>
      </w:pPr>
      <w:r>
        <w:rPr>
          <w:i/>
        </w:rPr>
        <w:t xml:space="preserve">Data from several Phase </w:t>
      </w:r>
      <w:proofErr w:type="spellStart"/>
      <w:r>
        <w:rPr>
          <w:i/>
        </w:rPr>
        <w:t>Ib</w:t>
      </w:r>
      <w:proofErr w:type="spellEnd"/>
      <w:r>
        <w:rPr>
          <w:i/>
        </w:rPr>
        <w:t>/II</w:t>
      </w:r>
      <w:r w:rsidR="006C2F93" w:rsidRPr="006C2F93">
        <w:rPr>
          <w:i/>
        </w:rPr>
        <w:t xml:space="preserve"> studies have been published on the use of lenvatinib for the treatme</w:t>
      </w:r>
      <w:r w:rsidR="0000508B">
        <w:rPr>
          <w:i/>
        </w:rPr>
        <w:t>nt of RCC</w:t>
      </w:r>
      <w:r w:rsidR="006C2F93" w:rsidRPr="006C2F93">
        <w:rPr>
          <w:i/>
        </w:rPr>
        <w:t>,</w:t>
      </w:r>
      <w:r w:rsidR="0000508B">
        <w:rPr>
          <w:rStyle w:val="FootnoteReference"/>
          <w:i/>
        </w:rPr>
        <w:footnoteReference w:id="38"/>
      </w:r>
      <w:r w:rsidR="00FD1472">
        <w:rPr>
          <w:i/>
        </w:rPr>
        <w:t xml:space="preserve"> HCC</w:t>
      </w:r>
      <w:r w:rsidR="006C2F93" w:rsidRPr="006C2F93">
        <w:rPr>
          <w:i/>
        </w:rPr>
        <w:t>,</w:t>
      </w:r>
      <w:r w:rsidR="00FD1472">
        <w:rPr>
          <w:rStyle w:val="FootnoteReference"/>
          <w:i/>
        </w:rPr>
        <w:footnoteReference w:id="39"/>
      </w:r>
      <w:r w:rsidR="006C2F93" w:rsidRPr="006C2F93">
        <w:rPr>
          <w:i/>
        </w:rPr>
        <w:t xml:space="preserve"> </w:t>
      </w:r>
      <w:r w:rsidR="00520CD9">
        <w:rPr>
          <w:i/>
        </w:rPr>
        <w:t>endometrial cancer</w:t>
      </w:r>
      <w:r w:rsidR="006C2F93" w:rsidRPr="006C2F93">
        <w:rPr>
          <w:i/>
        </w:rPr>
        <w:t>,</w:t>
      </w:r>
      <w:r w:rsidR="00520CD9">
        <w:rPr>
          <w:rStyle w:val="FootnoteReference"/>
          <w:i/>
        </w:rPr>
        <w:footnoteReference w:id="40"/>
      </w:r>
      <w:r w:rsidR="006C2F93" w:rsidRPr="006C2F93">
        <w:rPr>
          <w:i/>
        </w:rPr>
        <w:t xml:space="preserve"> and</w:t>
      </w:r>
      <w:r w:rsidR="00A872DC">
        <w:rPr>
          <w:i/>
        </w:rPr>
        <w:t xml:space="preserve"> melanoma.</w:t>
      </w:r>
      <w:r w:rsidR="00A872DC">
        <w:rPr>
          <w:rStyle w:val="FootnoteReference"/>
          <w:i/>
        </w:rPr>
        <w:footnoteReference w:id="41"/>
      </w:r>
      <w:r w:rsidR="006C2F93" w:rsidRPr="006C2F93">
        <w:rPr>
          <w:i/>
        </w:rPr>
        <w:t xml:space="preserve"> However, </w:t>
      </w:r>
      <w:r w:rsidR="006C2F93" w:rsidRPr="006C2F93">
        <w:rPr>
          <w:i/>
        </w:rPr>
        <w:lastRenderedPageBreak/>
        <w:t>given the early-phase nature of these studies and the multitude of other agents approved for treatment of these conditions, off-label use of lenvatinib in these indications seems unlikely.</w:t>
      </w:r>
    </w:p>
    <w:p w:rsidR="006C2F93" w:rsidRPr="006C2F93" w:rsidRDefault="006C2F93" w:rsidP="006C2F93">
      <w:pPr>
        <w:pStyle w:val="ListBullet"/>
      </w:pPr>
      <w:r w:rsidRPr="006C2F93">
        <w:t>Potential for paediatric off</w:t>
      </w:r>
      <w:r w:rsidR="00214E37">
        <w:t>-</w:t>
      </w:r>
      <w:r w:rsidRPr="006C2F93">
        <w:t>label use</w:t>
      </w:r>
    </w:p>
    <w:p w:rsidR="00772CC0" w:rsidRDefault="006C2F93" w:rsidP="006C2F93">
      <w:r w:rsidRPr="006C2F93">
        <w:t>The sponsor states:</w:t>
      </w:r>
    </w:p>
    <w:p w:rsidR="006C2F93" w:rsidRPr="006C2F93" w:rsidRDefault="006C2F93" w:rsidP="006C2F93">
      <w:pPr>
        <w:ind w:left="720"/>
        <w:rPr>
          <w:i/>
        </w:rPr>
      </w:pPr>
      <w:r w:rsidRPr="006C2F93">
        <w:rPr>
          <w:i/>
        </w:rPr>
        <w:t>DTC is rare in children or adolescents: fewer than 2% of DTC cases occur in individ</w:t>
      </w:r>
      <w:r w:rsidR="000F4BD5">
        <w:rPr>
          <w:i/>
        </w:rPr>
        <w:t>uals below the age of 20 years.</w:t>
      </w:r>
      <w:r w:rsidR="000F4BD5">
        <w:rPr>
          <w:rStyle w:val="FootnoteReference"/>
          <w:i/>
        </w:rPr>
        <w:footnoteReference w:id="42"/>
      </w:r>
      <w:r w:rsidRPr="006C2F93">
        <w:rPr>
          <w:i/>
        </w:rPr>
        <w:t xml:space="preserve"> Clinical studies in the p</w:t>
      </w:r>
      <w:r w:rsidR="00787BDD">
        <w:rPr>
          <w:i/>
        </w:rPr>
        <w:t>a</w:t>
      </w:r>
      <w:r w:rsidRPr="006C2F93">
        <w:rPr>
          <w:i/>
        </w:rPr>
        <w:t>ediatric RR-DTC indication are scheduled to start at sites in Europe by December 2014, which will be prior to commercial launch of lenvatinib in the adult DTC indication; therefore, off</w:t>
      </w:r>
      <w:r w:rsidR="000F4BD5">
        <w:rPr>
          <w:i/>
        </w:rPr>
        <w:t xml:space="preserve"> </w:t>
      </w:r>
      <w:r w:rsidRPr="006C2F93">
        <w:rPr>
          <w:i/>
        </w:rPr>
        <w:t>label use for DTC in the p</w:t>
      </w:r>
      <w:r w:rsidR="00C92BC0">
        <w:rPr>
          <w:i/>
        </w:rPr>
        <w:t>a</w:t>
      </w:r>
      <w:r w:rsidRPr="006C2F93">
        <w:rPr>
          <w:i/>
        </w:rPr>
        <w:t>ediatric population is expected to be negligible.</w:t>
      </w:r>
    </w:p>
    <w:p w:rsidR="006C2F93" w:rsidRDefault="006C2F93" w:rsidP="006C2F93">
      <w:pPr>
        <w:pStyle w:val="Heading5"/>
      </w:pPr>
      <w:r>
        <w:t>RMP</w:t>
      </w:r>
      <w:r w:rsidRPr="007B529C">
        <w:t xml:space="preserve"> </w:t>
      </w:r>
      <w:r>
        <w:t>evaluator</w:t>
      </w:r>
    </w:p>
    <w:p w:rsidR="00772CC0" w:rsidRDefault="006C2F93" w:rsidP="006C2F93">
      <w:r w:rsidRPr="006C2F93">
        <w:t>The sponsor’s justification on routine risk minimisation is acceptable</w:t>
      </w:r>
      <w:r w:rsidR="00772CC0">
        <w:t>.</w:t>
      </w:r>
    </w:p>
    <w:p w:rsidR="00772CC0" w:rsidRDefault="006F25B8" w:rsidP="006F25B8">
      <w:pPr>
        <w:pStyle w:val="Heading4"/>
        <w:rPr>
          <w:lang w:eastAsia="en-AU"/>
        </w:rPr>
      </w:pPr>
      <w:bookmarkStart w:id="140" w:name="_Toc247691527"/>
      <w:r w:rsidRPr="006F25B8">
        <w:rPr>
          <w:lang w:eastAsia="en-AU"/>
        </w:rPr>
        <w:t>Reconciliation of issues outlined in the RMP report</w:t>
      </w:r>
    </w:p>
    <w:p w:rsidR="00F1158B" w:rsidRDefault="00F1158B" w:rsidP="00F1158B">
      <w:pPr>
        <w:rPr>
          <w:lang w:eastAsia="en-AU"/>
        </w:rPr>
      </w:pPr>
      <w:r>
        <w:rPr>
          <w:lang w:eastAsia="en-AU"/>
        </w:rPr>
        <w:t>The following section summarises the first round evaluation of the RMP, the sponsor’s responses to issues raised by the TGA RMP reviewer, and the RMP reviewer’s evaluation of the sponsor’s responses.</w:t>
      </w:r>
    </w:p>
    <w:p w:rsidR="00A61AD1" w:rsidRDefault="00A61AD1" w:rsidP="00A61AD1">
      <w:pPr>
        <w:pStyle w:val="Heading5"/>
      </w:pPr>
      <w:r w:rsidRPr="00A24C10">
        <w:t xml:space="preserve">Recommendation </w:t>
      </w:r>
      <w:r>
        <w:t xml:space="preserve">#1 </w:t>
      </w:r>
      <w:r w:rsidRPr="00A24C10">
        <w:t>in RMP evaluation report</w:t>
      </w:r>
    </w:p>
    <w:p w:rsidR="00A61AD1" w:rsidRPr="00F17CC4" w:rsidRDefault="00F17CC4" w:rsidP="00F17CC4">
      <w:r w:rsidRPr="00F17CC4">
        <w:t>Safety consider</w:t>
      </w:r>
      <w:r w:rsidR="008549AC">
        <w:t>ations may be raised by the non</w:t>
      </w:r>
      <w:r w:rsidRPr="00F17CC4">
        <w:t xml:space="preserve">clinical and clinical evaluators through the consolidated </w:t>
      </w:r>
      <w:r>
        <w:t>S</w:t>
      </w:r>
      <w:r w:rsidRPr="00F17CC4">
        <w:t xml:space="preserve">ection 31 request and/or the </w:t>
      </w:r>
      <w:r w:rsidR="008549AC">
        <w:t>n</w:t>
      </w:r>
      <w:r w:rsidRPr="00F17CC4">
        <w:t xml:space="preserve">onclinical and </w:t>
      </w:r>
      <w:r w:rsidR="008549AC">
        <w:t>c</w:t>
      </w:r>
      <w:r w:rsidRPr="00F17CC4">
        <w:t xml:space="preserve">linical </w:t>
      </w:r>
      <w:r w:rsidR="008549AC">
        <w:t>e</w:t>
      </w:r>
      <w:r w:rsidRPr="00F17CC4">
        <w:t>v</w:t>
      </w:r>
      <w:r>
        <w:t xml:space="preserve">aluation </w:t>
      </w:r>
      <w:r w:rsidR="008549AC">
        <w:t>r</w:t>
      </w:r>
      <w:r>
        <w:t xml:space="preserve">eports respectively. </w:t>
      </w:r>
      <w:r w:rsidRPr="00F17CC4">
        <w:t xml:space="preserve">It is important to ensure that the information provided in response to these includes a consideration of the relevance for the </w:t>
      </w:r>
      <w:r w:rsidR="00C92BC0">
        <w:t>RMP</w:t>
      </w:r>
      <w:r w:rsidRPr="00F17CC4">
        <w:t>, and any specific information needed to address this issue in the RMP.</w:t>
      </w:r>
      <w:r w:rsidR="00AD4923">
        <w:t xml:space="preserve"> </w:t>
      </w:r>
      <w:r w:rsidRPr="00F17CC4">
        <w:t>For any safety considerations so raised, the sponsor should provide information that is relevant and necessary to address the issue in the RMP.</w:t>
      </w:r>
    </w:p>
    <w:p w:rsidR="00A61AD1" w:rsidRDefault="00A61AD1" w:rsidP="00A61AD1">
      <w:pPr>
        <w:pStyle w:val="Heading5"/>
      </w:pPr>
      <w:r>
        <w:t>Sponsor response</w:t>
      </w:r>
    </w:p>
    <w:p w:rsidR="00A61AD1" w:rsidRPr="00F17CC4" w:rsidRDefault="00F17CC4" w:rsidP="00F17CC4">
      <w:r w:rsidRPr="00F17CC4">
        <w:t xml:space="preserve">No safety concerns have been raised by the nonclinical or clinical evaluators that require amendments to the RMP at this time. Should any safety considerations be raised later in the evaluation, where applicable, the sponsor will provide information that is relevant and necessary to address the issue in the </w:t>
      </w:r>
      <w:proofErr w:type="gramStart"/>
      <w:r w:rsidRPr="00F17CC4">
        <w:t>RMP.</w:t>
      </w:r>
      <w:proofErr w:type="gramEnd"/>
    </w:p>
    <w:p w:rsidR="00A61AD1" w:rsidRDefault="00A61AD1" w:rsidP="00A61AD1">
      <w:pPr>
        <w:pStyle w:val="Heading5"/>
      </w:pPr>
      <w:r>
        <w:t>Evaluator’s comment</w:t>
      </w:r>
    </w:p>
    <w:p w:rsidR="00772CC0" w:rsidRDefault="00F17CC4" w:rsidP="00C011BB">
      <w:r w:rsidRPr="00C011BB">
        <w:t>The evaluator has noted the sponsor’s response. The nonclinical evaluation report has recommended correction to the RMP document. The sponsor should update the RMP document as required by the nonclinical evaluator</w:t>
      </w:r>
      <w:r w:rsidR="00772CC0">
        <w:t>.</w:t>
      </w:r>
    </w:p>
    <w:p w:rsidR="009315B4" w:rsidRDefault="009315B4" w:rsidP="009315B4">
      <w:pPr>
        <w:pStyle w:val="Heading5"/>
      </w:pPr>
      <w:r w:rsidRPr="00A24C10">
        <w:t xml:space="preserve">Recommendation </w:t>
      </w:r>
      <w:r>
        <w:t xml:space="preserve">#2 </w:t>
      </w:r>
      <w:r w:rsidRPr="00A24C10">
        <w:t>in RMP evaluation report</w:t>
      </w:r>
    </w:p>
    <w:p w:rsidR="00772CC0" w:rsidRDefault="00C011BB" w:rsidP="00C011BB">
      <w:r w:rsidRPr="00C011BB">
        <w:t>Subject to the</w:t>
      </w:r>
      <w:r w:rsidR="00895F2C">
        <w:t xml:space="preserve"> evaluation outcomes of the non</w:t>
      </w:r>
      <w:r w:rsidRPr="00C011BB">
        <w:t xml:space="preserve">clinical and clinical aspects of the </w:t>
      </w:r>
      <w:r w:rsidR="00CD7C7A">
        <w:t>Safety Specification</w:t>
      </w:r>
      <w:r w:rsidRPr="00C011BB">
        <w:t xml:space="preserve">, it is noted that the following </w:t>
      </w:r>
      <w:r w:rsidR="00895F2C">
        <w:t>AEs</w:t>
      </w:r>
      <w:r w:rsidRPr="00C011BB">
        <w:t xml:space="preserve"> have occurred in patients in the clinical trials:</w:t>
      </w:r>
    </w:p>
    <w:p w:rsidR="00772CC0" w:rsidRDefault="00C011BB" w:rsidP="00C011BB">
      <w:pPr>
        <w:pStyle w:val="ListBullet"/>
      </w:pPr>
      <w:r w:rsidRPr="00C011BB">
        <w:t>Thrombocytopenia (very common);</w:t>
      </w:r>
    </w:p>
    <w:p w:rsidR="00772CC0" w:rsidRDefault="00C011BB" w:rsidP="00C011BB">
      <w:pPr>
        <w:pStyle w:val="ListBullet"/>
      </w:pPr>
      <w:r w:rsidRPr="00C011BB">
        <w:t>Blood thyroid stimulating hormone (TSH) increase (common)</w:t>
      </w:r>
      <w:r w:rsidR="00772CC0">
        <w:t>.</w:t>
      </w:r>
    </w:p>
    <w:p w:rsidR="009315B4" w:rsidRPr="00C011BB" w:rsidRDefault="00C011BB" w:rsidP="00C011BB">
      <w:r w:rsidRPr="00C011BB">
        <w:t xml:space="preserve">It is noted that the sponsor has stated in the EU-RMP that thrombocytopenia is ‘reversible and manageable using the dose reduction algorithm in section 4.2 of the SmPC’. Nonetheless, the sponsor should still provide justification as to why they are not </w:t>
      </w:r>
      <w:r w:rsidRPr="00C011BB">
        <w:lastRenderedPageBreak/>
        <w:t>considered safety concerns of lenvatinib or add them to the list of safety concerns in the ASA.</w:t>
      </w:r>
    </w:p>
    <w:p w:rsidR="009315B4" w:rsidRDefault="009315B4" w:rsidP="009315B4">
      <w:pPr>
        <w:pStyle w:val="Heading5"/>
      </w:pPr>
      <w:r>
        <w:t>Sponsor response</w:t>
      </w:r>
    </w:p>
    <w:p w:rsidR="00772CC0" w:rsidRDefault="00C011BB" w:rsidP="00C011BB">
      <w:r w:rsidRPr="00C011BB">
        <w:t>Referencing the “A</w:t>
      </w:r>
      <w:r w:rsidR="00501E39">
        <w:t xml:space="preserve">ll DTC Lenvatinib Safety Set” (n </w:t>
      </w:r>
      <w:r w:rsidRPr="00C011BB">
        <w:t>=</w:t>
      </w:r>
      <w:r w:rsidR="00501E39">
        <w:t xml:space="preserve"> </w:t>
      </w:r>
      <w:r w:rsidRPr="00C011BB">
        <w:t xml:space="preserve">452), </w:t>
      </w:r>
      <w:r w:rsidR="00495F5F">
        <w:t>TEAEs</w:t>
      </w:r>
      <w:r w:rsidRPr="00C011BB">
        <w:t xml:space="preserve"> of thrombocytopenia and platelet count decreased were reported in 7.7% and 5.5% of subjects, respectively. The overall combined frequency was 12.4% (56 subjects). The majority of events were CTCAE Grade 1 or 2. There was 1 SAE (0.2%) each of thrombocytopenia and platelet count decreased and while the TEAEs did result in dose interruption or dose reduction, there were none that result</w:t>
      </w:r>
      <w:r w:rsidR="00495F5F">
        <w:t>ed in treatment discontinuation</w:t>
      </w:r>
      <w:r w:rsidR="00772CC0">
        <w:t>.</w:t>
      </w:r>
    </w:p>
    <w:p w:rsidR="00772CC0" w:rsidRDefault="00C011BB" w:rsidP="00C011BB">
      <w:r w:rsidRPr="00C011BB">
        <w:t xml:space="preserve">Thrombocytopenia (and the related event, platelet count decreased) is considered an AE related to lenvatinib and is listed in the “Adverse Effects” section of the Australian PI as “Very Common.” The information presented above (specifically pertaining to the severity of events) shows that the majority of events were Grade 1 or 2, very few were serious, and there was a lack of treatment discontinuations as a result). Therefore, using the regulatory definitions per the EU “Guideline on good pharmacovigilance practices (GVP) Module V – Risk management systems (Rev 1)” adopted by the TGA, the sponsor does not consider this event as “Important.” For this reason, the AE term “thrombocytopenia” does not warrant inclusion as an identified risk in the RMP. The statement in the EU‐RMP that thrombocytopenia is ‘reversible and manageable using the dose reduction algorithm in Section 4.2 of the </w:t>
      </w:r>
      <w:proofErr w:type="spellStart"/>
      <w:r w:rsidRPr="00C011BB">
        <w:t>SmPC</w:t>
      </w:r>
      <w:proofErr w:type="spellEnd"/>
      <w:r w:rsidRPr="00C011BB">
        <w:t>’ is supported</w:t>
      </w:r>
      <w:r w:rsidR="00772CC0">
        <w:t>.</w:t>
      </w:r>
    </w:p>
    <w:p w:rsidR="00772CC0" w:rsidRDefault="00C011BB" w:rsidP="00C011BB">
      <w:pPr>
        <w:pStyle w:val="Heading6"/>
      </w:pPr>
      <w:r w:rsidRPr="00C011BB">
        <w:t xml:space="preserve">Blood </w:t>
      </w:r>
      <w:r w:rsidR="00F408AC" w:rsidRPr="00C011BB">
        <w:t xml:space="preserve">thyroid stimulating hormone </w:t>
      </w:r>
      <w:r w:rsidRPr="00C011BB">
        <w:t xml:space="preserve">(TSH) </w:t>
      </w:r>
      <w:r w:rsidR="00F408AC">
        <w:t>i</w:t>
      </w:r>
      <w:r w:rsidRPr="00C011BB">
        <w:t>ncreased</w:t>
      </w:r>
    </w:p>
    <w:p w:rsidR="003D2657" w:rsidRDefault="00C011BB" w:rsidP="00C011BB">
      <w:r w:rsidRPr="00C011BB">
        <w:t xml:space="preserve">Blood </w:t>
      </w:r>
      <w:r w:rsidR="0006010F">
        <w:t xml:space="preserve">TSH </w:t>
      </w:r>
      <w:r w:rsidRPr="00C011BB">
        <w:t>increased and hypothyroidism ha</w:t>
      </w:r>
      <w:r w:rsidR="00771AFE">
        <w:t>s</w:t>
      </w:r>
      <w:r w:rsidRPr="00C011BB">
        <w:t xml:space="preserve"> been reported with the VEGF</w:t>
      </w:r>
      <w:r w:rsidR="0006010F">
        <w:t xml:space="preserve"> </w:t>
      </w:r>
      <w:r w:rsidRPr="00C011BB">
        <w:t>targeted agents and are included as “Common” in the “Adverse Effects” section of the</w:t>
      </w:r>
      <w:r w:rsidR="005C3861">
        <w:t xml:space="preserve"> Australian PI</w:t>
      </w:r>
      <w:r w:rsidRPr="00C011BB">
        <w:t>.</w:t>
      </w:r>
      <w:r w:rsidR="005C3861">
        <w:rPr>
          <w:rStyle w:val="FootnoteReference"/>
        </w:rPr>
        <w:footnoteReference w:id="43"/>
      </w:r>
      <w:r w:rsidRPr="00C011BB">
        <w:t xml:space="preserve"> An overview of the frequency and severity of these terms in the “A</w:t>
      </w:r>
      <w:r w:rsidR="00392937">
        <w:t xml:space="preserve">ll DTC Lenvatinib Safety Set” (n </w:t>
      </w:r>
      <w:r w:rsidRPr="00C011BB">
        <w:t>=</w:t>
      </w:r>
      <w:r w:rsidR="00392937">
        <w:t xml:space="preserve"> </w:t>
      </w:r>
      <w:r w:rsidRPr="00C011BB">
        <w:t>452) is presented. The TEAEs were of mild/moderate severity and did not result in dose reduction or interruption or treatment discontinuation. This may have been due to regular monitoring of thyroid function in the clinical trial setting and hence adjustment of thyroid replacement therapy. The current EU</w:t>
      </w:r>
      <w:r w:rsidR="003D2657">
        <w:t xml:space="preserve"> </w:t>
      </w:r>
      <w:r w:rsidRPr="00C011BB">
        <w:t>SmPC contains the following text in Section 4.4, Special war</w:t>
      </w:r>
      <w:r w:rsidR="003D2657">
        <w:t>nings and precautions for use:</w:t>
      </w:r>
    </w:p>
    <w:p w:rsidR="003D2657" w:rsidRPr="003D2657" w:rsidRDefault="00C011BB" w:rsidP="003D2657">
      <w:pPr>
        <w:ind w:left="720"/>
        <w:rPr>
          <w:i/>
        </w:rPr>
      </w:pPr>
      <w:r w:rsidRPr="003D2657">
        <w:rPr>
          <w:i/>
        </w:rPr>
        <w:t xml:space="preserve">Lenvatinib impairs exogenous thyroid suppression. </w:t>
      </w:r>
      <w:r w:rsidR="0006010F" w:rsidRPr="003D2657">
        <w:rPr>
          <w:i/>
        </w:rPr>
        <w:t>TSH</w:t>
      </w:r>
      <w:r w:rsidRPr="003D2657">
        <w:rPr>
          <w:i/>
        </w:rPr>
        <w:t xml:space="preserve"> levels should be monitored on a regular basis and thyroid hormone administration should be adjusted to reach appropriate TSH levels, according to the</w:t>
      </w:r>
      <w:r w:rsidR="003D2657" w:rsidRPr="003D2657">
        <w:rPr>
          <w:i/>
        </w:rPr>
        <w:t xml:space="preserve"> patient’s therapeutic target</w:t>
      </w:r>
    </w:p>
    <w:p w:rsidR="00C011BB" w:rsidRPr="00C011BB" w:rsidRDefault="00C011BB" w:rsidP="00C011BB">
      <w:proofErr w:type="gramStart"/>
      <w:r w:rsidRPr="00C011BB">
        <w:t>to</w:t>
      </w:r>
      <w:proofErr w:type="gramEnd"/>
      <w:r w:rsidRPr="00C011BB">
        <w:t xml:space="preserve"> reflect the potential for the drug to affect thyroid function. The sponsor proposes to include this statement in the “Precautions” section of the Australian PI but to not include this as an important identified risk in the RMP. Similar wording is included in the US</w:t>
      </w:r>
      <w:r w:rsidR="006643BD">
        <w:t xml:space="preserve"> </w:t>
      </w:r>
      <w:r w:rsidRPr="00C011BB">
        <w:t>PI however the EU SmPC wording will be included in the Australian PI.</w:t>
      </w:r>
    </w:p>
    <w:p w:rsidR="009315B4" w:rsidRDefault="009315B4" w:rsidP="009315B4">
      <w:pPr>
        <w:pStyle w:val="Heading5"/>
      </w:pPr>
      <w:r>
        <w:t>Evaluator’s comment</w:t>
      </w:r>
    </w:p>
    <w:p w:rsidR="00772CC0" w:rsidRDefault="00A1463E" w:rsidP="00A1463E">
      <w:r w:rsidRPr="00A1463E">
        <w:t>The sponsor’s response is acceptable. It is recommended to the Delegate that the following statement proposed by the sponsor be included under ‘Precaution’ in the PI:</w:t>
      </w:r>
    </w:p>
    <w:p w:rsidR="009315B4" w:rsidRPr="00A1463E" w:rsidRDefault="00A1463E" w:rsidP="00A1463E">
      <w:pPr>
        <w:ind w:left="720"/>
        <w:rPr>
          <w:i/>
        </w:rPr>
      </w:pPr>
      <w:proofErr w:type="spellStart"/>
      <w:r w:rsidRPr="00A1463E">
        <w:rPr>
          <w:i/>
        </w:rPr>
        <w:t>Lenvatinib</w:t>
      </w:r>
      <w:proofErr w:type="spellEnd"/>
      <w:r w:rsidRPr="00A1463E">
        <w:rPr>
          <w:i/>
        </w:rPr>
        <w:t xml:space="preserve"> impairs exogenous thyroid suppression. Thyroid stimulating hormone (TSH) levels should be monitored on a regular basis and thyroid hormone administration should be adjusted to reach appropriate TSH levels, according to the patient’s therapeutic target.</w:t>
      </w:r>
    </w:p>
    <w:p w:rsidR="009315B4" w:rsidRDefault="009315B4" w:rsidP="009315B4">
      <w:pPr>
        <w:pStyle w:val="Heading5"/>
      </w:pPr>
      <w:r w:rsidRPr="00A24C10">
        <w:t xml:space="preserve">Recommendation </w:t>
      </w:r>
      <w:r>
        <w:t xml:space="preserve">#3 </w:t>
      </w:r>
      <w:r w:rsidRPr="00A24C10">
        <w:t>in RMP evaluation report</w:t>
      </w:r>
    </w:p>
    <w:p w:rsidR="00772CC0" w:rsidRDefault="00494623" w:rsidP="009315B4">
      <w:pPr>
        <w:rPr>
          <w:rFonts w:asciiTheme="minorHAnsi" w:hAnsiTheme="minorHAnsi"/>
          <w:szCs w:val="23"/>
        </w:rPr>
      </w:pPr>
      <w:r w:rsidRPr="00FB4786">
        <w:rPr>
          <w:rFonts w:asciiTheme="minorHAnsi" w:hAnsiTheme="minorHAnsi"/>
          <w:szCs w:val="23"/>
        </w:rPr>
        <w:t>The pharmacovigilance and risk minimisation sections should be updated accordingly to provide plans for managing these safety issues.</w:t>
      </w:r>
      <w:r w:rsidR="00AD4923">
        <w:rPr>
          <w:rFonts w:asciiTheme="minorHAnsi" w:hAnsiTheme="minorHAnsi"/>
          <w:szCs w:val="23"/>
        </w:rPr>
        <w:t xml:space="preserve"> </w:t>
      </w:r>
    </w:p>
    <w:p w:rsidR="009315B4" w:rsidRDefault="009315B4" w:rsidP="009315B4">
      <w:pPr>
        <w:pStyle w:val="Heading5"/>
      </w:pPr>
      <w:r>
        <w:lastRenderedPageBreak/>
        <w:t>Sponsor response</w:t>
      </w:r>
    </w:p>
    <w:p w:rsidR="009315B4" w:rsidRPr="002C242A" w:rsidRDefault="00494623" w:rsidP="009315B4">
      <w:r>
        <w:t>See response at #2.</w:t>
      </w:r>
    </w:p>
    <w:p w:rsidR="009315B4" w:rsidRDefault="009315B4" w:rsidP="009315B4">
      <w:pPr>
        <w:pStyle w:val="Heading5"/>
      </w:pPr>
      <w:r>
        <w:t>Evaluator’s comment</w:t>
      </w:r>
    </w:p>
    <w:p w:rsidR="009315B4" w:rsidRDefault="00494623" w:rsidP="009315B4">
      <w:pPr>
        <w:rPr>
          <w:lang w:eastAsia="en-AU"/>
        </w:rPr>
      </w:pPr>
      <w:r>
        <w:rPr>
          <w:rFonts w:asciiTheme="minorHAnsi" w:hAnsiTheme="minorHAnsi"/>
          <w:szCs w:val="23"/>
        </w:rPr>
        <w:t>The sponsor has provided acceptable response.</w:t>
      </w:r>
    </w:p>
    <w:p w:rsidR="009315B4" w:rsidRDefault="009315B4" w:rsidP="009315B4">
      <w:pPr>
        <w:pStyle w:val="Heading5"/>
      </w:pPr>
      <w:r w:rsidRPr="00A24C10">
        <w:t xml:space="preserve">Recommendation </w:t>
      </w:r>
      <w:r>
        <w:t xml:space="preserve">#4 </w:t>
      </w:r>
      <w:r w:rsidRPr="00A24C10">
        <w:t>in RMP evaluation report</w:t>
      </w:r>
    </w:p>
    <w:p w:rsidR="00772CC0" w:rsidRDefault="00D44687" w:rsidP="009315B4">
      <w:pPr>
        <w:rPr>
          <w:rFonts w:asciiTheme="minorHAnsi" w:hAnsiTheme="minorHAnsi"/>
          <w:szCs w:val="23"/>
        </w:rPr>
      </w:pPr>
      <w:r w:rsidRPr="00DB061E">
        <w:rPr>
          <w:rFonts w:asciiTheme="minorHAnsi" w:hAnsiTheme="minorHAnsi"/>
          <w:szCs w:val="23"/>
        </w:rPr>
        <w:t>The sponsor has advised in the ASA that ongoing and planned studies referenced in the EU-RMP will not be conducted in Australia. The sponsor should clarify whether the study results are applica</w:t>
      </w:r>
      <w:r>
        <w:rPr>
          <w:rFonts w:asciiTheme="minorHAnsi" w:hAnsiTheme="minorHAnsi"/>
          <w:szCs w:val="23"/>
        </w:rPr>
        <w:t>ble to the Australian context</w:t>
      </w:r>
      <w:r w:rsidR="00772CC0">
        <w:rPr>
          <w:rFonts w:asciiTheme="minorHAnsi" w:hAnsiTheme="minorHAnsi"/>
          <w:szCs w:val="23"/>
        </w:rPr>
        <w:t>.</w:t>
      </w:r>
    </w:p>
    <w:p w:rsidR="009315B4" w:rsidRDefault="009315B4" w:rsidP="009315B4">
      <w:pPr>
        <w:pStyle w:val="Heading5"/>
      </w:pPr>
      <w:r>
        <w:t>Sponsor response</w:t>
      </w:r>
    </w:p>
    <w:p w:rsidR="009315B4" w:rsidRPr="00D44687" w:rsidRDefault="00D44687" w:rsidP="00D44687">
      <w:r w:rsidRPr="00D44687">
        <w:t>The ASA has been updated with this information.</w:t>
      </w:r>
    </w:p>
    <w:p w:rsidR="009315B4" w:rsidRDefault="009315B4" w:rsidP="009315B4">
      <w:pPr>
        <w:pStyle w:val="Heading5"/>
      </w:pPr>
      <w:r>
        <w:t>Evaluator’s comment</w:t>
      </w:r>
    </w:p>
    <w:p w:rsidR="00772CC0" w:rsidRDefault="00D44687" w:rsidP="00D44687">
      <w:pPr>
        <w:rPr>
          <w:rFonts w:asciiTheme="minorHAnsi" w:hAnsiTheme="minorHAnsi"/>
          <w:szCs w:val="23"/>
        </w:rPr>
      </w:pPr>
      <w:r>
        <w:rPr>
          <w:rFonts w:asciiTheme="minorHAnsi" w:hAnsiTheme="minorHAnsi"/>
          <w:szCs w:val="23"/>
        </w:rPr>
        <w:t>The evaluator has noted the addition of table 3.4 ‘Studies referenced in the pharmacovigilance plan of the RMP’, which includes justification to the relevance of studies to Australia. The sponsor’s response is satisfactory</w:t>
      </w:r>
      <w:r w:rsidR="00772CC0">
        <w:rPr>
          <w:rFonts w:asciiTheme="minorHAnsi" w:hAnsiTheme="minorHAnsi"/>
          <w:szCs w:val="23"/>
        </w:rPr>
        <w:t>.</w:t>
      </w:r>
    </w:p>
    <w:p w:rsidR="009315B4" w:rsidRDefault="009315B4" w:rsidP="009315B4">
      <w:pPr>
        <w:pStyle w:val="Heading5"/>
      </w:pPr>
      <w:r w:rsidRPr="00A24C10">
        <w:t xml:space="preserve">Recommendation </w:t>
      </w:r>
      <w:r>
        <w:t xml:space="preserve">#5 </w:t>
      </w:r>
      <w:r w:rsidRPr="00A24C10">
        <w:t>in RMP evaluation report</w:t>
      </w:r>
    </w:p>
    <w:p w:rsidR="009315B4" w:rsidRPr="000B2059" w:rsidRDefault="00D44687" w:rsidP="009315B4">
      <w:r w:rsidRPr="00372CF8">
        <w:rPr>
          <w:rFonts w:asciiTheme="minorHAnsi" w:hAnsiTheme="minorHAnsi"/>
          <w:szCs w:val="23"/>
        </w:rPr>
        <w:t>It is noted that the sponsor stated in section 2.3 of the ASA that ‘In addition to routine pharmacovigilance measures, the following additional pharmacovigilance activities will occur’. No additional pharmacovigilance activities are listed in the section following the statement. The sponsor should provide clarification to this.</w:t>
      </w:r>
    </w:p>
    <w:p w:rsidR="009315B4" w:rsidRDefault="009315B4" w:rsidP="009315B4">
      <w:pPr>
        <w:pStyle w:val="Heading5"/>
      </w:pPr>
      <w:r>
        <w:t>Sponsor response</w:t>
      </w:r>
    </w:p>
    <w:p w:rsidR="00772CC0" w:rsidRDefault="00D44687" w:rsidP="00D44687">
      <w:r w:rsidRPr="00D44687">
        <w:t>Details of additional pharmacovigilance activities have been added the ASA</w:t>
      </w:r>
      <w:r w:rsidR="00772CC0">
        <w:t>.</w:t>
      </w:r>
    </w:p>
    <w:p w:rsidR="009315B4" w:rsidRDefault="009315B4" w:rsidP="009315B4">
      <w:pPr>
        <w:pStyle w:val="Heading5"/>
      </w:pPr>
      <w:r>
        <w:t>Evaluator’s comment</w:t>
      </w:r>
    </w:p>
    <w:p w:rsidR="00D44687" w:rsidRPr="00D44687" w:rsidRDefault="00D44687" w:rsidP="00D44687">
      <w:r w:rsidRPr="00D44687">
        <w:t>The sponsor states in the ASA:</w:t>
      </w:r>
    </w:p>
    <w:p w:rsidR="00D44687" w:rsidRPr="00D44687" w:rsidRDefault="00D44687" w:rsidP="00D44687">
      <w:pPr>
        <w:ind w:firstLine="720"/>
        <w:rPr>
          <w:i/>
        </w:rPr>
      </w:pPr>
      <w:r w:rsidRPr="00D44687">
        <w:rPr>
          <w:i/>
        </w:rPr>
        <w:t>There will be no additional pharmacovigilance measures conducted in Australia.</w:t>
      </w:r>
    </w:p>
    <w:p w:rsidR="00772CC0" w:rsidRDefault="00D44687" w:rsidP="00D44687">
      <w:r w:rsidRPr="00D44687">
        <w:t>The sponsor should note: all the planned and ongoing studies involving Australian patients that have been considered as pharmacovigilance measures are ‘additional pharmacovigilance activities’ conducted in Australia. The sponsor should revise this in its next ASA update</w:t>
      </w:r>
      <w:r w:rsidR="00772CC0">
        <w:t>.</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85175" w:rsidRDefault="00EB5095" w:rsidP="00085175">
      <w:pPr>
        <w:rPr>
          <w:lang w:eastAsia="en-AU"/>
        </w:rPr>
      </w:pPr>
      <w:r w:rsidRPr="00EB5095">
        <w:rPr>
          <w:lang w:eastAsia="en-AU"/>
        </w:rPr>
        <w:t>It is considered that the sponsor’s response to the TGA S</w:t>
      </w:r>
      <w:r w:rsidR="005E72DD">
        <w:rPr>
          <w:lang w:eastAsia="en-AU"/>
        </w:rPr>
        <w:t xml:space="preserve">ection </w:t>
      </w:r>
      <w:r w:rsidRPr="00EB5095">
        <w:rPr>
          <w:lang w:eastAsia="en-AU"/>
        </w:rPr>
        <w:t xml:space="preserve">31 Request has adequately addressed most issues identified in the RMP evaluation report. Outstanding issues are </w:t>
      </w:r>
      <w:r>
        <w:rPr>
          <w:lang w:eastAsia="en-AU"/>
        </w:rPr>
        <w:t>below</w:t>
      </w:r>
      <w:r w:rsidRPr="00EB5095">
        <w:rPr>
          <w:lang w:eastAsia="en-AU"/>
        </w:rPr>
        <w:t>.</w:t>
      </w:r>
    </w:p>
    <w:p w:rsidR="00085175" w:rsidRPr="00107999" w:rsidRDefault="00085175" w:rsidP="00085175">
      <w:pPr>
        <w:pStyle w:val="Heading5"/>
      </w:pPr>
      <w:r w:rsidRPr="00107999">
        <w:t>Outstanding issues</w:t>
      </w:r>
    </w:p>
    <w:p w:rsidR="00772CC0" w:rsidRDefault="00085175" w:rsidP="00085175">
      <w:pPr>
        <w:pStyle w:val="Heading6"/>
      </w:pPr>
      <w:r w:rsidRPr="009F15FD">
        <w:t>Issues in relation to the RMP</w:t>
      </w:r>
    </w:p>
    <w:p w:rsidR="00054F85" w:rsidRPr="00054F85" w:rsidRDefault="00054F85" w:rsidP="00054F85">
      <w:r w:rsidRPr="00054F85">
        <w:rPr>
          <w:b/>
        </w:rPr>
        <w:t>Recommendation 1:</w:t>
      </w:r>
      <w:r w:rsidRPr="00054F85">
        <w:t xml:space="preserve"> The evaluator has noted the sponsor’s response. The nonclinical evaluation report has recommended correction to the RMP document. The sponsor should update the RMP document as required by the nonclinical evaluator.</w:t>
      </w:r>
    </w:p>
    <w:p w:rsidR="00772CC0" w:rsidRDefault="00054F85" w:rsidP="00054F85">
      <w:r w:rsidRPr="00054F85">
        <w:rPr>
          <w:b/>
        </w:rPr>
        <w:t>Recommendation 2:</w:t>
      </w:r>
      <w:r w:rsidRPr="00054F85">
        <w:t xml:space="preserve"> The sponsor’s response is acceptable. It is recommended to the Delegate that the following statement proposed by the sponsor be included under ‘Precaution’ in the PI:</w:t>
      </w:r>
    </w:p>
    <w:p w:rsidR="00054F85" w:rsidRPr="00054F85" w:rsidRDefault="00054F85" w:rsidP="00054F85">
      <w:pPr>
        <w:ind w:left="720"/>
        <w:rPr>
          <w:i/>
        </w:rPr>
      </w:pPr>
      <w:proofErr w:type="spellStart"/>
      <w:r w:rsidRPr="00054F85">
        <w:rPr>
          <w:i/>
        </w:rPr>
        <w:t>Lenvatinib</w:t>
      </w:r>
      <w:proofErr w:type="spellEnd"/>
      <w:r w:rsidRPr="00054F85">
        <w:rPr>
          <w:i/>
        </w:rPr>
        <w:t xml:space="preserve"> impairs exogenous thyroid suppression. Thyroid stimulating hormone (TSH) levels should be monitored on a regular basis and thyroid hormone </w:t>
      </w:r>
      <w:r w:rsidRPr="00054F85">
        <w:rPr>
          <w:i/>
        </w:rPr>
        <w:lastRenderedPageBreak/>
        <w:t>administration should be adjusted to reach appropriate TSH levels, according to the patient’s therapeutic target.</w:t>
      </w:r>
    </w:p>
    <w:p w:rsidR="00772CC0" w:rsidRDefault="00054F85" w:rsidP="00054F85">
      <w:r w:rsidRPr="00054F85">
        <w:rPr>
          <w:b/>
        </w:rPr>
        <w:t>Recommendation 5:</w:t>
      </w:r>
      <w:r w:rsidRPr="00054F85">
        <w:t xml:space="preserve"> The sponsor states in the ASA: ‘There will be no additional pharmacovigilance measures conducted in Australia.’</w:t>
      </w:r>
    </w:p>
    <w:p w:rsidR="00772CC0" w:rsidRDefault="00054F85" w:rsidP="00054F85">
      <w:r w:rsidRPr="00054F85">
        <w:t>The sponsor should note: all the planned and ongoing studies involving Australian patients that have been considered as pharmacovigilance measures are ‘additional pharmacovigilance activities’ conducted in Australia. The sponsor should revise this in its next ASA update.</w:t>
      </w:r>
      <w:r w:rsidR="00AD4923">
        <w:t xml:space="preserve"> </w:t>
      </w:r>
    </w:p>
    <w:p w:rsidR="00054F85" w:rsidRPr="00054F85" w:rsidRDefault="00054F85" w:rsidP="00054F85">
      <w:r w:rsidRPr="00054F85">
        <w:rPr>
          <w:b/>
        </w:rPr>
        <w:t>Recommendation 9:</w:t>
      </w:r>
      <w:r w:rsidRPr="00054F85">
        <w:t xml:space="preserve"> The evaluator has noted that the sponsor has agreed to the recommended PI changes. The recommendations remain for Delegate’s consideration.</w:t>
      </w:r>
    </w:p>
    <w:p w:rsidR="00085175" w:rsidRPr="00E24D4B" w:rsidRDefault="00085175" w:rsidP="00085175">
      <w:pPr>
        <w:pStyle w:val="Heading5"/>
      </w:pPr>
      <w:r w:rsidRPr="00E24D4B">
        <w:t>Comments on the safety specification of the RMP</w:t>
      </w:r>
    </w:p>
    <w:p w:rsidR="00772CC0" w:rsidRDefault="00085175" w:rsidP="00085175">
      <w:pPr>
        <w:pStyle w:val="Heading6"/>
      </w:pPr>
      <w:r w:rsidRPr="00E24D4B">
        <w:t xml:space="preserve">Clinical </w:t>
      </w:r>
      <w:r>
        <w:t>e</w:t>
      </w:r>
      <w:r w:rsidRPr="00E24D4B">
        <w:t xml:space="preserve">valuation </w:t>
      </w:r>
      <w:r>
        <w:t>r</w:t>
      </w:r>
      <w:r w:rsidRPr="00E24D4B">
        <w:t>eport</w:t>
      </w:r>
    </w:p>
    <w:p w:rsidR="00054F85" w:rsidRPr="00054F85" w:rsidRDefault="00054F85" w:rsidP="00054F85">
      <w:r w:rsidRPr="00054F85">
        <w:t xml:space="preserve">The </w:t>
      </w:r>
      <w:r w:rsidR="007D1BEB" w:rsidRPr="007D1BEB">
        <w:t xml:space="preserve">Prescription Medicines Authorisation Branch </w:t>
      </w:r>
      <w:r w:rsidRPr="00054F85">
        <w:t>of the TGA has provided the following comments in the clinical evaluation report:</w:t>
      </w:r>
    </w:p>
    <w:p w:rsidR="00054F85" w:rsidRPr="00054F85" w:rsidRDefault="00054F85" w:rsidP="00054F85">
      <w:pPr>
        <w:ind w:firstLine="720"/>
        <w:rPr>
          <w:i/>
        </w:rPr>
      </w:pPr>
      <w:r w:rsidRPr="00054F85">
        <w:rPr>
          <w:i/>
        </w:rPr>
        <w:t xml:space="preserve">The Safety Specification in the draft </w:t>
      </w:r>
      <w:r>
        <w:rPr>
          <w:i/>
        </w:rPr>
        <w:t>RMP</w:t>
      </w:r>
      <w:r w:rsidRPr="00054F85">
        <w:rPr>
          <w:i/>
        </w:rPr>
        <w:t xml:space="preserve"> is satisfactory.</w:t>
      </w:r>
    </w:p>
    <w:p w:rsidR="00772CC0" w:rsidRDefault="00085175" w:rsidP="00085175">
      <w:pPr>
        <w:pStyle w:val="Heading6"/>
      </w:pPr>
      <w:r>
        <w:t>Nonc</w:t>
      </w:r>
      <w:r w:rsidRPr="004A71C1">
        <w:t xml:space="preserve">linical </w:t>
      </w:r>
      <w:r>
        <w:t>e</w:t>
      </w:r>
      <w:r w:rsidRPr="004A71C1">
        <w:t xml:space="preserve">valuation </w:t>
      </w:r>
      <w:r>
        <w:t>r</w:t>
      </w:r>
      <w:r w:rsidRPr="004A71C1">
        <w:t>eport</w:t>
      </w:r>
    </w:p>
    <w:p w:rsidR="00772CC0" w:rsidRDefault="00074BB6" w:rsidP="003B5A7B">
      <w:r>
        <w:t>The Scientific Evaluation Branch</w:t>
      </w:r>
      <w:r w:rsidR="003B5A7B" w:rsidRPr="003B5A7B">
        <w:t xml:space="preserve"> of the TGA has provided th</w:t>
      </w:r>
      <w:r w:rsidR="00214F28">
        <w:t>e following comments in the non</w:t>
      </w:r>
      <w:r w:rsidR="003B5A7B" w:rsidRPr="003B5A7B">
        <w:t>clinical evaluation report:</w:t>
      </w:r>
    </w:p>
    <w:p w:rsidR="003B5A7B" w:rsidRPr="003B5A7B" w:rsidRDefault="003B5A7B" w:rsidP="003B5A7B">
      <w:pPr>
        <w:ind w:left="720"/>
        <w:rPr>
          <w:i/>
        </w:rPr>
      </w:pPr>
      <w:r w:rsidRPr="003B5A7B">
        <w:rPr>
          <w:i/>
        </w:rPr>
        <w:t xml:space="preserve">Results and conclusions drawn from the nonclinical program for lenvatinib detailed in the sponsor’s draft </w:t>
      </w:r>
      <w:r w:rsidR="007D34BB">
        <w:rPr>
          <w:i/>
        </w:rPr>
        <w:t>RMP</w:t>
      </w:r>
      <w:r w:rsidRPr="003B5A7B">
        <w:rPr>
          <w:i/>
        </w:rPr>
        <w:t xml:space="preserve"> (Part II Module SII) are in general concordance with those of the Nonclinical Evaluator. However, the statement on page 18 regarding no effect of lenvatinib on blood pressure in dogs that received up to 0.5 mg/kg lenvatinib omits the observed increase in blood pressure at higher doses in dogs (6, 30 mg/kg). This should be added, with hypertension included as an “Important nonclinical safety findings (confirmed by clinical data)” on page 23.</w:t>
      </w:r>
    </w:p>
    <w:p w:rsidR="00085175" w:rsidRPr="00734B4D" w:rsidRDefault="00085175" w:rsidP="00085175">
      <w:pPr>
        <w:pStyle w:val="Heading6"/>
      </w:pPr>
      <w:r w:rsidRPr="00734B4D">
        <w:t>RMP evaluator comment</w:t>
      </w:r>
    </w:p>
    <w:p w:rsidR="00772CC0" w:rsidRDefault="003B5A7B" w:rsidP="003B5A7B">
      <w:r w:rsidRPr="003B5A7B">
        <w:t>Hypertension is listed as an important identified risk in the RMP. Nonetheless, the evaluator supports the recommendation made by the nonclinical evaluator. The sponsor should revise the RMP documents as required</w:t>
      </w:r>
      <w:r w:rsidR="00772CC0">
        <w:t>.</w:t>
      </w:r>
    </w:p>
    <w:p w:rsidR="00772CC0" w:rsidRDefault="00085175" w:rsidP="00085175">
      <w:pPr>
        <w:pStyle w:val="Heading5"/>
      </w:pPr>
      <w:r w:rsidRPr="0065641D">
        <w:t>Suggested wording for conditions of registration</w:t>
      </w:r>
    </w:p>
    <w:p w:rsidR="00085175" w:rsidRPr="0065641D" w:rsidRDefault="00085175" w:rsidP="00085175">
      <w:pPr>
        <w:pStyle w:val="Heading6"/>
      </w:pPr>
      <w:r w:rsidRPr="0065641D">
        <w:t>RMP</w:t>
      </w:r>
    </w:p>
    <w:p w:rsidR="003B5A7B" w:rsidRPr="003B5A7B" w:rsidRDefault="003B5A7B" w:rsidP="003B5A7B">
      <w:r w:rsidRPr="003B5A7B">
        <w:t>Any changes to which the sponsor agreed become part of the risk management system, whether they are included in the currently available version of the RMP document, or not included, inadvertently or otherwise.</w:t>
      </w:r>
    </w:p>
    <w:p w:rsidR="003B5A7B" w:rsidRPr="003B5A7B" w:rsidRDefault="003B5A7B" w:rsidP="003B5A7B">
      <w:r w:rsidRPr="003B5A7B">
        <w:t>The suggested wording is:</w:t>
      </w:r>
    </w:p>
    <w:p w:rsidR="003B5A7B" w:rsidRPr="003B5A7B" w:rsidRDefault="003B5A7B" w:rsidP="003B5A7B">
      <w:pPr>
        <w:ind w:left="720"/>
        <w:rPr>
          <w:i/>
        </w:rPr>
      </w:pPr>
      <w:r w:rsidRPr="003B5A7B">
        <w:rPr>
          <w:i/>
        </w:rPr>
        <w:t xml:space="preserve">Implement EU-RMP version 6.0 dated 26 March 2015 (data lock point: 15 September 2013, 15 March 2014 for Study 303) with </w:t>
      </w:r>
      <w:r>
        <w:rPr>
          <w:i/>
        </w:rPr>
        <w:t>ASA</w:t>
      </w:r>
      <w:r w:rsidRPr="003B5A7B">
        <w:rPr>
          <w:i/>
        </w:rPr>
        <w:t xml:space="preserve"> version 2 dated August 2015 and any future updates as agreed by the TGA as a condition of registration.</w:t>
      </w:r>
    </w:p>
    <w:p w:rsidR="008E7846" w:rsidRPr="00792A32" w:rsidRDefault="008E7846" w:rsidP="008E7846">
      <w:pPr>
        <w:pStyle w:val="Heading2"/>
      </w:pPr>
      <w:bookmarkStart w:id="141" w:name="_Toc314842510"/>
      <w:bookmarkStart w:id="142" w:name="_Toc46109205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0"/>
      <w:bookmarkEnd w:id="140"/>
      <w:bookmarkEnd w:id="141"/>
      <w:bookmarkEnd w:id="142"/>
    </w:p>
    <w:p w:rsidR="008E7846" w:rsidRDefault="008E7846" w:rsidP="008E7846">
      <w:bookmarkStart w:id="143"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44" w:name="_Toc314842511"/>
      <w:bookmarkStart w:id="145" w:name="_Toc461092059"/>
      <w:r>
        <w:lastRenderedPageBreak/>
        <w:t>Quality</w:t>
      </w:r>
      <w:bookmarkEnd w:id="143"/>
      <w:bookmarkEnd w:id="144"/>
      <w:bookmarkEnd w:id="145"/>
    </w:p>
    <w:p w:rsidR="007140F2" w:rsidRPr="007140F2" w:rsidRDefault="007140F2" w:rsidP="007140F2">
      <w:r w:rsidRPr="007140F2">
        <w:t>T</w:t>
      </w:r>
      <w:r>
        <w:t xml:space="preserve">he clearance document was considered. </w:t>
      </w:r>
      <w:r w:rsidRPr="007140F2">
        <w:t>The absence of bioequivalence studies of 4 mg an</w:t>
      </w:r>
      <w:r>
        <w:t xml:space="preserve">d 10 mg capsules was accepted. </w:t>
      </w:r>
      <w:r w:rsidRPr="007140F2">
        <w:t>The lack of absolute bioequivalence data was drawn to the Delegate’</w:t>
      </w:r>
      <w:r>
        <w:t xml:space="preserve">s attention. </w:t>
      </w:r>
      <w:r w:rsidRPr="007140F2">
        <w:t>The GMP status of the site of drug substance manufacture was discussed.</w:t>
      </w:r>
    </w:p>
    <w:p w:rsidR="007140F2" w:rsidRPr="007140F2" w:rsidRDefault="007140F2" w:rsidP="007140F2">
      <w:r w:rsidRPr="007140F2">
        <w:t xml:space="preserve">There were no objections to registration on </w:t>
      </w:r>
      <w:r>
        <w:t>chemistry/</w:t>
      </w:r>
      <w:proofErr w:type="spellStart"/>
      <w:r w:rsidRPr="007140F2">
        <w:t>biopharmaceutic</w:t>
      </w:r>
      <w:proofErr w:type="spellEnd"/>
      <w:r w:rsidRPr="007140F2">
        <w:t xml:space="preserve"> grounds.</w:t>
      </w:r>
    </w:p>
    <w:p w:rsidR="008E7846" w:rsidRDefault="008E7846" w:rsidP="008E7846">
      <w:pPr>
        <w:pStyle w:val="Heading3"/>
      </w:pPr>
      <w:bookmarkStart w:id="146" w:name="_Toc314842512"/>
      <w:bookmarkStart w:id="147" w:name="_Toc461092060"/>
      <w:r>
        <w:t>Nonclinical</w:t>
      </w:r>
      <w:bookmarkEnd w:id="146"/>
      <w:bookmarkEnd w:id="147"/>
    </w:p>
    <w:p w:rsidR="007140F2" w:rsidRPr="00987461" w:rsidRDefault="007140F2" w:rsidP="00987461">
      <w:r w:rsidRPr="00987461">
        <w:t xml:space="preserve">There were no objections to registration for the proposed use. The </w:t>
      </w:r>
      <w:r w:rsidR="00987461">
        <w:t xml:space="preserve">nonclinical </w:t>
      </w:r>
      <w:r w:rsidRPr="00987461">
        <w:t>evaluator considered the proposed Pregnancy Category D to be appropriate.</w:t>
      </w:r>
    </w:p>
    <w:p w:rsidR="008E7846" w:rsidRDefault="008E7846" w:rsidP="008E7846">
      <w:pPr>
        <w:pStyle w:val="Heading3"/>
      </w:pPr>
      <w:bookmarkStart w:id="148" w:name="_Toc247691530"/>
      <w:bookmarkStart w:id="149" w:name="_Toc314842513"/>
      <w:bookmarkStart w:id="150" w:name="_Toc461092061"/>
      <w:r>
        <w:t>Clinical</w:t>
      </w:r>
      <w:bookmarkEnd w:id="148"/>
      <w:bookmarkEnd w:id="149"/>
      <w:bookmarkEnd w:id="150"/>
    </w:p>
    <w:p w:rsidR="00C35E76" w:rsidRPr="00C35E76" w:rsidRDefault="00C35E76" w:rsidP="00C35E76">
      <w:bookmarkStart w:id="151" w:name="_Toc314842514"/>
      <w:r w:rsidRPr="00C35E76">
        <w:t>The clinical evaluator supported a narrower ind</w:t>
      </w:r>
      <w:r>
        <w:t>ication</w:t>
      </w:r>
      <w:r w:rsidRPr="00C35E76">
        <w:t>:</w:t>
      </w:r>
    </w:p>
    <w:p w:rsidR="00C35E76" w:rsidRPr="00C35E76" w:rsidRDefault="00AA4EAB" w:rsidP="00C35E76">
      <w:pPr>
        <w:ind w:left="720"/>
        <w:rPr>
          <w:i/>
        </w:rPr>
      </w:pPr>
      <w:r>
        <w:rPr>
          <w:i/>
        </w:rPr>
        <w:t>Lenvima</w:t>
      </w:r>
      <w:r w:rsidR="00C35E76" w:rsidRPr="00C35E76">
        <w:rPr>
          <w:i/>
        </w:rPr>
        <w:t xml:space="preserve"> is indicated for the treatment of patients with progressive, symptomatic radioactive iodine refractory differentiated thyroid cancer in whom other treatment options have failed</w:t>
      </w:r>
    </w:p>
    <w:p w:rsidR="00C35E76" w:rsidRPr="00C35E76" w:rsidRDefault="00C35E76" w:rsidP="00C35E76">
      <w:r w:rsidRPr="00C35E76">
        <w:t>The evaluator emphasised that the PI should make clear that quality of life may not be improved and that OS was not formally shown to be better than in the placebo arm.</w:t>
      </w:r>
    </w:p>
    <w:p w:rsidR="00C35E76" w:rsidRPr="00C35E76" w:rsidRDefault="00C35E76" w:rsidP="00C35E76">
      <w:pPr>
        <w:pStyle w:val="Heading4"/>
      </w:pPr>
      <w:r w:rsidRPr="00C35E76">
        <w:t>Overview of data</w:t>
      </w:r>
    </w:p>
    <w:p w:rsidR="00C35E76" w:rsidRPr="00C35E76" w:rsidRDefault="00C35E76" w:rsidP="00C35E76">
      <w:r w:rsidRPr="00C35E76">
        <w:t>There was one pivotal study, E7080 G000-303.</w:t>
      </w:r>
      <w:r w:rsidR="00AD4923">
        <w:t xml:space="preserve"> </w:t>
      </w:r>
      <w:r w:rsidR="00214F28">
        <w:t xml:space="preserve">This was a Phase III, placebo </w:t>
      </w:r>
      <w:r w:rsidRPr="00C35E76">
        <w:t>controlled study in subjects with RR-DTC.</w:t>
      </w:r>
    </w:p>
    <w:p w:rsidR="00C35E76" w:rsidRPr="00C35E76" w:rsidRDefault="00C35E76" w:rsidP="00C35E76">
      <w:r w:rsidRPr="00C35E76">
        <w:t xml:space="preserve">In </w:t>
      </w:r>
      <w:r>
        <w:t xml:space="preserve">addition, there were </w:t>
      </w:r>
      <w:proofErr w:type="gramStart"/>
      <w:r>
        <w:t>two Phase II</w:t>
      </w:r>
      <w:r w:rsidRPr="00C35E76">
        <w:t>, single arm</w:t>
      </w:r>
      <w:proofErr w:type="gramEnd"/>
      <w:r w:rsidRPr="00C35E76">
        <w:t>, open</w:t>
      </w:r>
      <w:r w:rsidR="00F255FA">
        <w:t xml:space="preserve"> </w:t>
      </w:r>
      <w:r w:rsidRPr="00C35E76">
        <w:t>label studies that included RR-DTC patients as well as patients with other advanced thyroid cancers: E7080-J081-208 and E7080-G000-201.</w:t>
      </w:r>
    </w:p>
    <w:p w:rsidR="00C35E76" w:rsidRPr="00C35E76" w:rsidRDefault="00C35E76" w:rsidP="00C35E76">
      <w:r w:rsidRPr="00C35E76">
        <w:t>Studies in other indication were also provided in th</w:t>
      </w:r>
      <w:r w:rsidR="00F255FA">
        <w:t xml:space="preserve">e submission to inform safety. </w:t>
      </w:r>
      <w:r w:rsidRPr="00C35E76">
        <w:t>Many of these are too removed from the propose</w:t>
      </w:r>
      <w:r w:rsidR="005D6495">
        <w:t xml:space="preserve">d usage to be informative (for example, </w:t>
      </w:r>
      <w:r w:rsidRPr="00C35E76">
        <w:t>use in a different cancer type and in combination with other agents).</w:t>
      </w:r>
    </w:p>
    <w:p w:rsidR="00C35E76" w:rsidRPr="00022D2F" w:rsidRDefault="00022D2F" w:rsidP="00022D2F">
      <w:pPr>
        <w:pStyle w:val="Heading4"/>
      </w:pPr>
      <w:r>
        <w:t>Pharmacokinetics</w:t>
      </w:r>
    </w:p>
    <w:p w:rsidR="00C35E76" w:rsidRPr="00022D2F" w:rsidRDefault="00C35E76" w:rsidP="00022D2F">
      <w:r w:rsidRPr="00022D2F">
        <w:t>Some PK considerations are:</w:t>
      </w:r>
    </w:p>
    <w:p w:rsidR="00C35E76" w:rsidRPr="00022D2F" w:rsidRDefault="00C35E76" w:rsidP="00022D2F">
      <w:pPr>
        <w:pStyle w:val="ListBullet"/>
      </w:pPr>
      <w:r w:rsidRPr="00022D2F">
        <w:t xml:space="preserve">A pronounced food effect is </w:t>
      </w:r>
      <w:r w:rsidRPr="00022D2F">
        <w:rPr>
          <w:b/>
        </w:rPr>
        <w:t xml:space="preserve">not </w:t>
      </w:r>
      <w:r w:rsidRPr="00022D2F">
        <w:t>apparent (</w:t>
      </w:r>
      <w:r w:rsidR="005D6495">
        <w:t>Study E7080-E044-101</w:t>
      </w:r>
      <w:r w:rsidRPr="00022D2F">
        <w:t xml:space="preserve">), though </w:t>
      </w:r>
      <w:proofErr w:type="spellStart"/>
      <w:r w:rsidRPr="00022D2F">
        <w:t>Cmax</w:t>
      </w:r>
      <w:proofErr w:type="spellEnd"/>
      <w:r w:rsidRPr="00022D2F">
        <w:t xml:space="preserve"> w</w:t>
      </w:r>
      <w:r w:rsidR="005D6495">
        <w:t xml:space="preserve">as reduced somewhat with a high </w:t>
      </w:r>
      <w:r w:rsidRPr="00022D2F">
        <w:t xml:space="preserve">fat breakfast, and </w:t>
      </w:r>
      <w:proofErr w:type="spellStart"/>
      <w:r w:rsidRPr="00022D2F">
        <w:t>T</w:t>
      </w:r>
      <w:r w:rsidR="005D6495">
        <w:t>max</w:t>
      </w:r>
      <w:proofErr w:type="spellEnd"/>
      <w:r w:rsidR="005D6495">
        <w:softHyphen/>
        <w:t xml:space="preserve"> prolonged from 2 to 4-5 h</w:t>
      </w:r>
    </w:p>
    <w:p w:rsidR="00C35E76" w:rsidRPr="00022D2F" w:rsidRDefault="00C35E76" w:rsidP="00022D2F">
      <w:pPr>
        <w:pStyle w:val="ListBullet"/>
      </w:pPr>
      <w:r w:rsidRPr="00022D2F">
        <w:t>Half-l</w:t>
      </w:r>
      <w:r w:rsidR="005D6495">
        <w:t>ife is 28 h</w:t>
      </w:r>
      <w:r w:rsidRPr="00022D2F">
        <w:t>.</w:t>
      </w:r>
      <w:r w:rsidR="00AD4923">
        <w:t xml:space="preserve"> </w:t>
      </w:r>
      <w:r w:rsidRPr="00022D2F">
        <w:t>Steady state is achieved in 5 days, with little accumulation.</w:t>
      </w:r>
    </w:p>
    <w:p w:rsidR="00C35E76" w:rsidRPr="00022D2F" w:rsidRDefault="00C35E76" w:rsidP="00022D2F">
      <w:pPr>
        <w:pStyle w:val="ListBullet"/>
      </w:pPr>
      <w:r w:rsidRPr="00022D2F">
        <w:t>Lenvatinib is a substrate for P-</w:t>
      </w:r>
      <w:proofErr w:type="spellStart"/>
      <w:r w:rsidRPr="00022D2F">
        <w:t>gp</w:t>
      </w:r>
      <w:proofErr w:type="spellEnd"/>
      <w:r w:rsidRPr="00022D2F">
        <w:t xml:space="preserve"> and BCRP.</w:t>
      </w:r>
      <w:r w:rsidR="00AD4923">
        <w:t xml:space="preserve"> </w:t>
      </w:r>
      <w:r w:rsidRPr="00022D2F">
        <w:t>The clinical evaluator noted that BCRP inhibition may result in altered lenvatinib exposure.</w:t>
      </w:r>
      <w:r w:rsidR="00AD4923">
        <w:t xml:space="preserve"> </w:t>
      </w:r>
      <w:r w:rsidRPr="00022D2F">
        <w:t>Lenvatinib is a weak inhibitor of P-</w:t>
      </w:r>
      <w:proofErr w:type="spellStart"/>
      <w:r w:rsidRPr="00022D2F">
        <w:t>gp</w:t>
      </w:r>
      <w:proofErr w:type="spellEnd"/>
      <w:r w:rsidRPr="00022D2F">
        <w:t xml:space="preserve"> transport.</w:t>
      </w:r>
    </w:p>
    <w:p w:rsidR="00772CC0" w:rsidRDefault="00C35E76" w:rsidP="00022D2F">
      <w:pPr>
        <w:pStyle w:val="ListBullet"/>
      </w:pPr>
      <w:r w:rsidRPr="00022D2F">
        <w:t>In vitro data suggested lenvatinib inhibits</w:t>
      </w:r>
      <w:r w:rsidR="005D6495">
        <w:t xml:space="preserve"> CYP2C8 and CYP3A4</w:t>
      </w:r>
      <w:r w:rsidRPr="00022D2F">
        <w:t xml:space="preserve">, but modelling suggested a low risk of interaction with midazolam (CYP3A4 substrate) and </w:t>
      </w:r>
      <w:proofErr w:type="spellStart"/>
      <w:r w:rsidRPr="00022D2F">
        <w:t>repaglinide</w:t>
      </w:r>
      <w:proofErr w:type="spellEnd"/>
      <w:r w:rsidRPr="00022D2F">
        <w:t xml:space="preserve"> (CYP2C8 substrate).</w:t>
      </w:r>
      <w:r w:rsidR="00AD4923">
        <w:t xml:space="preserve"> </w:t>
      </w:r>
      <w:r w:rsidRPr="00022D2F">
        <w:t>Modelling may not be predictive of a clinical effect</w:t>
      </w:r>
      <w:r w:rsidR="00772CC0">
        <w:t>.</w:t>
      </w:r>
    </w:p>
    <w:p w:rsidR="00C35E76" w:rsidRPr="00022D2F" w:rsidRDefault="00C35E76" w:rsidP="00022D2F">
      <w:pPr>
        <w:pStyle w:val="ListBullet"/>
      </w:pPr>
      <w:r w:rsidRPr="00022D2F">
        <w:t xml:space="preserve">In vitro, </w:t>
      </w:r>
      <w:r w:rsidRPr="00022D2F">
        <w:rPr>
          <w:b/>
        </w:rPr>
        <w:t>CYP3A4</w:t>
      </w:r>
      <w:r w:rsidRPr="00022D2F">
        <w:t xml:space="preserve"> was t</w:t>
      </w:r>
      <w:r w:rsidR="00786F35">
        <w:t xml:space="preserve">he predominant isoform for P450 </w:t>
      </w:r>
      <w:r w:rsidRPr="00022D2F">
        <w:t xml:space="preserve">mediated metabolism. There was a modest change in exposure to lenvatinib in subjects given </w:t>
      </w:r>
      <w:proofErr w:type="spellStart"/>
      <w:r w:rsidRPr="00022D2F">
        <w:t>rifampin</w:t>
      </w:r>
      <w:proofErr w:type="spellEnd"/>
      <w:r w:rsidRPr="00022D2F">
        <w:t xml:space="preserve"> or ketoconazole, but the clinical evaluator considered that even changes in AUC of the order of 9-19% might be relevant, based on the toxicity profile seen in the do</w:t>
      </w:r>
      <w:r w:rsidR="00786F35">
        <w:t>se-ranging studies</w:t>
      </w:r>
      <w:r w:rsidRPr="00022D2F">
        <w:t>.</w:t>
      </w:r>
    </w:p>
    <w:p w:rsidR="00C35E76" w:rsidRPr="00022D2F" w:rsidRDefault="00C35E76" w:rsidP="00022D2F">
      <w:pPr>
        <w:pStyle w:val="ListBullet"/>
      </w:pPr>
      <w:r w:rsidRPr="00022D2F">
        <w:lastRenderedPageBreak/>
        <w:t>Mass</w:t>
      </w:r>
      <w:r w:rsidR="00786F35">
        <w:t xml:space="preserve"> </w:t>
      </w:r>
      <w:r w:rsidRPr="00022D2F">
        <w:t>balance study (E7080-E044-104) identified multiple metabolic pathways, demethylation via CYP3A</w:t>
      </w:r>
      <w:r w:rsidR="00786F35">
        <w:t>4 to “M2” being one</w:t>
      </w:r>
      <w:r w:rsidRPr="00022D2F">
        <w:t>, and metabolism by aldehyde oxidase being another.</w:t>
      </w:r>
      <w:r w:rsidR="00AD4923">
        <w:t xml:space="preserve"> </w:t>
      </w:r>
      <w:r w:rsidRPr="00022D2F">
        <w:t>Non-enzymatic processes were also invoked.</w:t>
      </w:r>
      <w:r w:rsidR="00AD4923">
        <w:t xml:space="preserve"> </w:t>
      </w:r>
      <w:r w:rsidRPr="00022D2F">
        <w:t>Each of these pathways of lenvatinib clearance (CYP3A4; AO; non-enzymatic) has a similar contribution to overall clearance.</w:t>
      </w:r>
    </w:p>
    <w:p w:rsidR="00C35E76" w:rsidRPr="00022D2F" w:rsidRDefault="00C35E76" w:rsidP="00022D2F">
      <w:pPr>
        <w:pStyle w:val="ListBullet"/>
      </w:pPr>
      <w:r w:rsidRPr="00022D2F">
        <w:t>Metabolism occurs in both liver and kidney; excretion is primarily of metabolites and primarily in bile (~64% of radioactivity was recovered in the faeces; ~25% in urine; in total, only a small fraction was unchanged lenvatinib).</w:t>
      </w:r>
    </w:p>
    <w:p w:rsidR="00C35E76" w:rsidRPr="00022D2F" w:rsidRDefault="00C35E76" w:rsidP="00022D2F">
      <w:pPr>
        <w:pStyle w:val="ListBullet"/>
      </w:pPr>
      <w:r w:rsidRPr="00022D2F">
        <w:t>Exposure to unbound lenvatinib as measured by AUC</w:t>
      </w:r>
      <w:r w:rsidRPr="00786F35">
        <w:rPr>
          <w:vertAlign w:val="subscript"/>
        </w:rPr>
        <w:t>0-∞</w:t>
      </w:r>
      <w:r w:rsidRPr="00022D2F">
        <w:t xml:space="preserve"> was lower in mild renal impairment, 29% higher in moderate renal impairment, and 84% higher in severe renal impairment, relative to healthy subjects.</w:t>
      </w:r>
      <w:r w:rsidR="00AD4923">
        <w:t xml:space="preserve"> </w:t>
      </w:r>
      <w:r w:rsidRPr="00022D2F">
        <w:t>Patients with ESRD were not studied.</w:t>
      </w:r>
      <w:r w:rsidR="00AD4923">
        <w:t xml:space="preserve"> </w:t>
      </w:r>
      <w:r w:rsidRPr="00022D2F">
        <w:t>There was no pronounced increase in total (bound and unbound) exposure, even with severe renal impairment (</w:t>
      </w:r>
      <w:r w:rsidR="00C75EDC">
        <w:t xml:space="preserve">a </w:t>
      </w:r>
      <w:r w:rsidRPr="00022D2F">
        <w:t>22% increase).</w:t>
      </w:r>
    </w:p>
    <w:p w:rsidR="00C35E76" w:rsidRPr="00022D2F" w:rsidRDefault="00C35E76" w:rsidP="00022D2F">
      <w:pPr>
        <w:pStyle w:val="ListBullet"/>
      </w:pPr>
      <w:r w:rsidRPr="00022D2F">
        <w:t xml:space="preserve">Severe hepatic impairment increased exposure to unbound lenvatinib, so that </w:t>
      </w:r>
      <w:r w:rsidR="00786F35" w:rsidRPr="00022D2F">
        <w:t>AUC</w:t>
      </w:r>
      <w:r w:rsidR="00786F35" w:rsidRPr="00786F35">
        <w:rPr>
          <w:vertAlign w:val="subscript"/>
        </w:rPr>
        <w:t>0-∞</w:t>
      </w:r>
      <w:r w:rsidR="00786F35" w:rsidRPr="00022D2F">
        <w:t xml:space="preserve"> </w:t>
      </w:r>
      <w:r w:rsidRPr="00022D2F">
        <w:t>was 2.7</w:t>
      </w:r>
      <w:r w:rsidR="00786F35">
        <w:t xml:space="preserve"> </w:t>
      </w:r>
      <w:r w:rsidRPr="00022D2F">
        <w:t>fold higher than in patients with normal hepatic function (and exposure to total lenvatinib was also substantially higher).</w:t>
      </w:r>
      <w:r w:rsidR="00AD4923">
        <w:t xml:space="preserve"> </w:t>
      </w:r>
      <w:r w:rsidRPr="00022D2F">
        <w:t>Little difference was noted for moderate hepatic impairment.</w:t>
      </w:r>
    </w:p>
    <w:p w:rsidR="00C35E76" w:rsidRPr="00022D2F" w:rsidRDefault="00C35E76" w:rsidP="00022D2F">
      <w:pPr>
        <w:pStyle w:val="ListBullet"/>
      </w:pPr>
      <w:r w:rsidRPr="00022D2F">
        <w:t>There was no clear</w:t>
      </w:r>
      <w:r w:rsidR="00786F35">
        <w:t xml:space="preserve"> </w:t>
      </w:r>
      <w:r w:rsidRPr="00022D2F">
        <w:t>cut interaction with gastric pH modifying agents.</w:t>
      </w:r>
    </w:p>
    <w:p w:rsidR="00C35E76" w:rsidRPr="00022D2F" w:rsidRDefault="00C35E76" w:rsidP="00022D2F">
      <w:pPr>
        <w:pStyle w:val="ListBullet"/>
      </w:pPr>
      <w:r w:rsidRPr="00022D2F">
        <w:t>In population PK analysis E7080-002R-v1, an effect of body weight on PK was noted.</w:t>
      </w:r>
      <w:r w:rsidR="00AD4923">
        <w:t xml:space="preserve"> </w:t>
      </w:r>
      <w:r w:rsidRPr="00022D2F">
        <w:t>This was also noted in population PK analysis E7080-007R-v1.</w:t>
      </w:r>
      <w:r w:rsidR="005F16AE">
        <w:t xml:space="preserve"> </w:t>
      </w:r>
      <w:r w:rsidRPr="00022D2F">
        <w:t>Subjects weighing &lt;60 kg had 36% higher exposure th</w:t>
      </w:r>
      <w:r w:rsidR="005F16AE">
        <w:t>an subjects &gt;60 kg</w:t>
      </w:r>
      <w:r w:rsidRPr="00022D2F">
        <w:t>.</w:t>
      </w:r>
    </w:p>
    <w:p w:rsidR="00C35E76" w:rsidRPr="00022D2F" w:rsidRDefault="00C35E76" w:rsidP="00022D2F">
      <w:pPr>
        <w:pStyle w:val="ListBullet"/>
      </w:pPr>
      <w:r w:rsidRPr="00022D2F">
        <w:t>In Study E7080-G000-201, there was a correlation between lenvatinib exposure and reduction in tumour growth, but AUC did not predict PF</w:t>
      </w:r>
      <w:r w:rsidR="003A3E18">
        <w:t>S in DTC patients</w:t>
      </w:r>
      <w:r w:rsidRPr="00022D2F">
        <w:t>. There was a correlation between exposure and increasing blood pressure and also between exposure and proteinuria.</w:t>
      </w:r>
    </w:p>
    <w:p w:rsidR="00C35E76" w:rsidRDefault="00022D2F" w:rsidP="00022D2F">
      <w:pPr>
        <w:pStyle w:val="Heading4"/>
      </w:pPr>
      <w:r>
        <w:t>Pharmacodynamics</w:t>
      </w:r>
    </w:p>
    <w:p w:rsidR="00C35E76" w:rsidRPr="00022D2F" w:rsidRDefault="00C35E76" w:rsidP="00022D2F">
      <w:r w:rsidRPr="00022D2F">
        <w:t>In the pivotal study, no clear correlation was seen between lenvatinib e</w:t>
      </w:r>
      <w:r w:rsidR="00AA4EAB">
        <w:t>xposure and PFS</w:t>
      </w:r>
      <w:r w:rsidR="005F16AE">
        <w:t xml:space="preserve">. </w:t>
      </w:r>
      <w:r w:rsidRPr="00022D2F">
        <w:t>In the same study, there was a correlation between lenvatinib expos</w:t>
      </w:r>
      <w:r w:rsidR="003A3E18">
        <w:t xml:space="preserve">ure and grade </w:t>
      </w:r>
      <w:proofErr w:type="gramStart"/>
      <w:r w:rsidR="003A3E18">
        <w:t xml:space="preserve">2+ </w:t>
      </w:r>
      <w:r w:rsidR="005F16AE">
        <w:t>hypertension</w:t>
      </w:r>
      <w:proofErr w:type="gramEnd"/>
      <w:r w:rsidR="005F16AE">
        <w:t xml:space="preserve">. </w:t>
      </w:r>
      <w:r w:rsidR="003A3E18">
        <w:t>The clinical evaluation report</w:t>
      </w:r>
      <w:r w:rsidRPr="00022D2F">
        <w:t xml:space="preserve"> states that treatment</w:t>
      </w:r>
      <w:r w:rsidR="0032041D">
        <w:t xml:space="preserve"> </w:t>
      </w:r>
      <w:r w:rsidRPr="00022D2F">
        <w:t>emergent hypertension was associated with greater tumour shrinkage, higher response rates and longer median PFS and OS.</w:t>
      </w:r>
    </w:p>
    <w:p w:rsidR="00C35E76" w:rsidRPr="00022D2F" w:rsidRDefault="00C35E76" w:rsidP="00022D2F">
      <w:pPr>
        <w:pStyle w:val="Heading4"/>
      </w:pPr>
      <w:r w:rsidRPr="00022D2F">
        <w:t>Efficacy</w:t>
      </w:r>
    </w:p>
    <w:p w:rsidR="00C35E76" w:rsidRPr="005F16AE" w:rsidRDefault="00C35E76" w:rsidP="005F16AE">
      <w:r w:rsidRPr="005F16AE">
        <w:t>Dosage selection for the pivotal study is considered and is relevant given the post</w:t>
      </w:r>
      <w:r w:rsidR="0032041D">
        <w:t xml:space="preserve"> </w:t>
      </w:r>
      <w:r w:rsidRPr="005F16AE">
        <w:t>approval requirements in the US / EU for studies of lower starting doses.</w:t>
      </w:r>
      <w:r w:rsidR="00AD4923">
        <w:t xml:space="preserve"> </w:t>
      </w:r>
      <w:r w:rsidRPr="005F16AE">
        <w:t>It is noted that during conduct of the pivotal study, the Data Monitoring Committee recommended that the starting dose be dropped from 24 mg to 20 mg (since there were frequent dose reductions with 24 mg QD); later the 24 mg starting dose was re-instated.</w:t>
      </w:r>
      <w:r w:rsidR="00AD4923">
        <w:t xml:space="preserve"> </w:t>
      </w:r>
      <w:r w:rsidRPr="005F16AE">
        <w:t>This appears to have applied to patients enrolled in the optional ope</w:t>
      </w:r>
      <w:r w:rsidR="0032041D">
        <w:t>n label treatment period (that is,</w:t>
      </w:r>
      <w:r w:rsidRPr="005F16AE">
        <w:t xml:space="preserve"> </w:t>
      </w:r>
      <w:proofErr w:type="gramStart"/>
      <w:r w:rsidRPr="005F16AE">
        <w:t>patients</w:t>
      </w:r>
      <w:proofErr w:type="gramEnd"/>
      <w:r w:rsidRPr="005F16AE">
        <w:t xml:space="preserve"> crossing over from placebo post</w:t>
      </w:r>
      <w:r w:rsidR="00E41CF3">
        <w:t xml:space="preserve"> </w:t>
      </w:r>
      <w:r w:rsidRPr="005F16AE">
        <w:t>progression).</w:t>
      </w:r>
    </w:p>
    <w:p w:rsidR="00C35E76" w:rsidRPr="00022D2F" w:rsidRDefault="00022D2F" w:rsidP="00022D2F">
      <w:pPr>
        <w:pStyle w:val="Heading5"/>
      </w:pPr>
      <w:r>
        <w:t>Study E7080 G000-303 (“303”)</w:t>
      </w:r>
    </w:p>
    <w:p w:rsidR="00C35E76" w:rsidRPr="005F16AE" w:rsidRDefault="00C35E76" w:rsidP="005F16AE">
      <w:r w:rsidRPr="005F16AE">
        <w:t>This was a ra</w:t>
      </w:r>
      <w:r w:rsidR="005F16AE">
        <w:t xml:space="preserve">ndomised, double blind, placebo </w:t>
      </w:r>
      <w:r w:rsidRPr="005F16AE">
        <w:t xml:space="preserve">controlled, </w:t>
      </w:r>
      <w:r w:rsidR="00553D4D">
        <w:t>Phase III</w:t>
      </w:r>
      <w:r w:rsidR="009E1F3B">
        <w:t xml:space="preserve"> study of lenvatinib in 131-Iodine </w:t>
      </w:r>
      <w:r w:rsidRPr="005F16AE">
        <w:t>refractory DTC.</w:t>
      </w:r>
      <w:r w:rsidR="00AD4923">
        <w:t xml:space="preserve"> </w:t>
      </w:r>
      <w:r w:rsidRPr="005F16AE">
        <w:t>The primary endpoint was PFS.</w:t>
      </w:r>
      <w:r w:rsidR="005F16AE">
        <w:t xml:space="preserve"> </w:t>
      </w:r>
      <w:r w:rsidRPr="005F16AE">
        <w:t xml:space="preserve">The study was </w:t>
      </w:r>
      <w:r w:rsidR="003375F5">
        <w:t>conducted at 117 sites globally</w:t>
      </w:r>
      <w:r w:rsidRPr="005F16AE">
        <w:t xml:space="preserve"> from 2011 to 2013 (the data cut</w:t>
      </w:r>
      <w:r w:rsidR="000D70CA">
        <w:t xml:space="preserve"> </w:t>
      </w:r>
      <w:r w:rsidRPr="005F16AE">
        <w:t>off for the primary analysis was 15 Nov</w:t>
      </w:r>
      <w:r w:rsidR="003375F5">
        <w:t>ember</w:t>
      </w:r>
      <w:r w:rsidRPr="005F16AE">
        <w:t xml:space="preserve"> 2013).</w:t>
      </w:r>
      <w:r w:rsidR="00AD4923">
        <w:t xml:space="preserve"> </w:t>
      </w:r>
      <w:r w:rsidRPr="005F16AE">
        <w:t xml:space="preserve">Patients needed </w:t>
      </w:r>
      <w:r w:rsidR="00D84D1A">
        <w:t xml:space="preserve">131-Iodine </w:t>
      </w:r>
      <w:r w:rsidRPr="005F16AE">
        <w:t>refractory or resistant disease, but also evidence of disease progression within 12 months.</w:t>
      </w:r>
      <w:r w:rsidR="00AD4923">
        <w:t xml:space="preserve"> </w:t>
      </w:r>
      <w:r w:rsidRPr="005F16AE">
        <w:t>Patients could have</w:t>
      </w:r>
      <w:r w:rsidR="00186BCA">
        <w:t xml:space="preserve"> no prior VEGF or VEGFR </w:t>
      </w:r>
      <w:r w:rsidRPr="005F16AE">
        <w:t>targeted therapy or 1 prior such therapy (but not 2+ such therapies).</w:t>
      </w:r>
      <w:r w:rsidR="00AD4923">
        <w:t xml:space="preserve"> </w:t>
      </w:r>
      <w:r w:rsidRPr="005F16AE">
        <w:lastRenderedPageBreak/>
        <w:t>Randomisation was 2:1 (lenvatinib; placebo).</w:t>
      </w:r>
      <w:r w:rsidR="00AD4923">
        <w:t xml:space="preserve"> </w:t>
      </w:r>
      <w:r w:rsidRPr="005F16AE">
        <w:t>The starting dose was 24 mg once daily, continuously.</w:t>
      </w:r>
      <w:r w:rsidR="00AD4923">
        <w:t xml:space="preserve"> </w:t>
      </w:r>
      <w:r w:rsidRPr="005F16AE">
        <w:t>Subjects in the placebo arm could opt into open</w:t>
      </w:r>
      <w:r w:rsidR="00C36B81">
        <w:t xml:space="preserve"> </w:t>
      </w:r>
      <w:r w:rsidRPr="005F16AE">
        <w:t>label lenvatinib treatment on progression.</w:t>
      </w:r>
    </w:p>
    <w:p w:rsidR="00C35E76" w:rsidRPr="005F16AE" w:rsidRDefault="000D70CA" w:rsidP="005F16AE">
      <w:r>
        <w:t xml:space="preserve">A total of </w:t>
      </w:r>
      <w:r w:rsidR="00C35E76" w:rsidRPr="005F16AE">
        <w:t xml:space="preserve">261 subjects were randomised to receive lenvatinib, and 131 </w:t>
      </w:r>
      <w:r>
        <w:t>to receive placebo</w:t>
      </w:r>
      <w:r w:rsidR="00C35E76" w:rsidRPr="005F16AE">
        <w:t>. Baseline characteristics were br</w:t>
      </w:r>
      <w:r w:rsidR="00C36B81">
        <w:t>oadly balanced</w:t>
      </w:r>
      <w:r w:rsidR="00C35E76" w:rsidRPr="005F16AE">
        <w:t>, except for gender (48% of lenvatinib subjects were male; 57% of placebo subjects were male).</w:t>
      </w:r>
      <w:r w:rsidR="00AD4923">
        <w:t xml:space="preserve"> </w:t>
      </w:r>
      <w:r w:rsidR="00C35E76" w:rsidRPr="005F16AE">
        <w:t xml:space="preserve">A slightly higher proportion of subjects had TSH 2-5.5 µIU/mL in the lenvatinib arm (3.8% </w:t>
      </w:r>
      <w:r w:rsidR="003C30CF">
        <w:t>versus</w:t>
      </w:r>
      <w:r w:rsidR="00C35E76" w:rsidRPr="005F16AE">
        <w:t xml:space="preserve"> 0.8%) suggestive of incomplete suppression by thyroxine.</w:t>
      </w:r>
      <w:r w:rsidR="00AD4923">
        <w:t xml:space="preserve"> </w:t>
      </w:r>
      <w:r w:rsidR="00C35E76" w:rsidRPr="005F16AE">
        <w:t xml:space="preserve">In the lenvatinib arm, the proportion with ECOG PS = 0 was greater than in the placebo arm (55% </w:t>
      </w:r>
      <w:r w:rsidR="003C30CF">
        <w:t>versus</w:t>
      </w:r>
      <w:r w:rsidR="00C35E76" w:rsidRPr="005F16AE">
        <w:t xml:space="preserve"> 52%) but so was the pr</w:t>
      </w:r>
      <w:r w:rsidR="003C30CF">
        <w:t xml:space="preserve">oportion with ECOG PS &gt;1 (5% versus </w:t>
      </w:r>
      <w:r w:rsidR="00C35E76" w:rsidRPr="005F16AE">
        <w:t>1.5%).</w:t>
      </w:r>
    </w:p>
    <w:p w:rsidR="00C35E76" w:rsidRDefault="00C35E76" w:rsidP="005F16AE">
      <w:r w:rsidRPr="005F16AE">
        <w:t xml:space="preserve">There was a distinct improvement in PFS in patients receiving lenvatinib; median PFS using independent imaging review was 18.3 months in the lenvatinib arm, 3.6 months in the placebo arm (the stratified HR was 0.21 [95% CI 0.14-0.31]) </w:t>
      </w:r>
      <w:r w:rsidR="005F16AE">
        <w:t>as shown in figure below.</w:t>
      </w:r>
    </w:p>
    <w:p w:rsidR="00C35E76" w:rsidRDefault="005774E1" w:rsidP="00023C23">
      <w:pPr>
        <w:pStyle w:val="FigureTitle"/>
      </w:pPr>
      <w:proofErr w:type="gramStart"/>
      <w:r>
        <w:t xml:space="preserve">Figure </w:t>
      </w:r>
      <w:r w:rsidR="00B24EDD">
        <w:t>4</w:t>
      </w:r>
      <w:r>
        <w:t>.</w:t>
      </w:r>
      <w:proofErr w:type="gramEnd"/>
      <w:r>
        <w:t xml:space="preserve"> </w:t>
      </w:r>
      <w:proofErr w:type="gramStart"/>
      <w:r>
        <w:t>PFS</w:t>
      </w:r>
      <w:r w:rsidR="00023C23">
        <w:t>.</w:t>
      </w:r>
      <w:proofErr w:type="gramEnd"/>
    </w:p>
    <w:p w:rsidR="005774E1" w:rsidRPr="005774E1" w:rsidRDefault="005774E1" w:rsidP="00C35E76">
      <w:r>
        <w:rPr>
          <w:noProof/>
          <w:lang w:eastAsia="en-AU"/>
        </w:rPr>
        <w:drawing>
          <wp:inline distT="0" distB="0" distL="0" distR="0" wp14:anchorId="47D4765A" wp14:editId="3CCD4638">
            <wp:extent cx="5149254" cy="2788079"/>
            <wp:effectExtent l="0" t="0" r="0" b="0"/>
            <wp:docPr id="1" name="Picture 1" descr="Figure 4.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51285" cy="2789179"/>
                    </a:xfrm>
                    <a:prstGeom prst="rect">
                      <a:avLst/>
                    </a:prstGeom>
                  </pic:spPr>
                </pic:pic>
              </a:graphicData>
            </a:graphic>
          </wp:inline>
        </w:drawing>
      </w:r>
    </w:p>
    <w:p w:rsidR="00C35E76" w:rsidRPr="00022D2F" w:rsidRDefault="00C35E76" w:rsidP="00022D2F">
      <w:r w:rsidRPr="00022D2F">
        <w:t>ORR was 65% for lenvatinib, 1.5% for placebo: a dramatic effect.</w:t>
      </w:r>
      <w:r w:rsidR="00AD4923">
        <w:t xml:space="preserve"> </w:t>
      </w:r>
      <w:r w:rsidRPr="00022D2F">
        <w:t>ORRs favour lenvatinib in each case (often by a large margin).</w:t>
      </w:r>
    </w:p>
    <w:p w:rsidR="00C35E76" w:rsidRPr="00022D2F" w:rsidRDefault="00C35E76" w:rsidP="00022D2F">
      <w:r w:rsidRPr="00022D2F">
        <w:t>OS was s</w:t>
      </w:r>
      <w:r w:rsidR="0095616B">
        <w:t>imilar across arms; an explanation may be cross</w:t>
      </w:r>
      <w:r w:rsidRPr="00022D2F">
        <w:t>over post progression (83% of placebo subjects crossed after progression).</w:t>
      </w:r>
      <w:r w:rsidR="00AD4923">
        <w:t xml:space="preserve"> </w:t>
      </w:r>
      <w:r w:rsidRPr="00022D2F">
        <w:t>No OS detriment was apparent in the lenvatinib arm.</w:t>
      </w:r>
      <w:r w:rsidR="00AD4923">
        <w:t xml:space="preserve"> </w:t>
      </w:r>
      <w:r w:rsidRPr="00022D2F">
        <w:t>RPSFT modelling was also supportive of no de</w:t>
      </w:r>
      <w:r w:rsidR="0095616B">
        <w:t xml:space="preserve">triment, but has significant in </w:t>
      </w:r>
      <w:r w:rsidRPr="00022D2F">
        <w:t>built limitations.</w:t>
      </w:r>
    </w:p>
    <w:p w:rsidR="00C35E76" w:rsidRPr="00022D2F" w:rsidRDefault="00C35E76" w:rsidP="00022D2F">
      <w:r w:rsidRPr="00022D2F">
        <w:t xml:space="preserve">Quality of life was not addressed, which is unfortunate given the reliance on PFS as the primary endpoint, the potentially long duration of treatment, and the clear toxicity of the agent (while some toxicities such as hypertension and proteinuria can occur in the absence of symptoms, they may cause symptomatic complications; and other toxicities such as diarrhoea are clearly likely to influence </w:t>
      </w:r>
      <w:proofErr w:type="spellStart"/>
      <w:r w:rsidRPr="00022D2F">
        <w:t>QoL</w:t>
      </w:r>
      <w:proofErr w:type="spellEnd"/>
      <w:r w:rsidRPr="00022D2F">
        <w:t>).</w:t>
      </w:r>
    </w:p>
    <w:p w:rsidR="00C35E76" w:rsidRPr="00022D2F" w:rsidRDefault="00C35E76" w:rsidP="00022D2F">
      <w:pPr>
        <w:pStyle w:val="Heading5"/>
      </w:pPr>
      <w:r w:rsidRPr="00022D2F">
        <w:t>Other studies</w:t>
      </w:r>
    </w:p>
    <w:p w:rsidR="00C35E76" w:rsidRPr="00022D2F" w:rsidRDefault="00C35E76" w:rsidP="00022D2F">
      <w:r w:rsidRPr="00022D2F">
        <w:t>Studies E7080-G000-201 and E7080-J081-208 were considered.</w:t>
      </w:r>
    </w:p>
    <w:p w:rsidR="00C35E76" w:rsidRPr="00022D2F" w:rsidRDefault="00C35E76" w:rsidP="00022D2F">
      <w:r w:rsidRPr="00022D2F">
        <w:t>The evaluation of these studies contribute</w:t>
      </w:r>
      <w:r w:rsidR="00022D2F">
        <w:t>d little extra to the benefit-</w:t>
      </w:r>
      <w:r w:rsidRPr="00022D2F">
        <w:t>risk balance for the proposed use, although variability across subjects in lenvatinib exposure was noted to be significant, and without obvious explanation.</w:t>
      </w:r>
    </w:p>
    <w:p w:rsidR="00B57CC0" w:rsidRDefault="00B57CC0" w:rsidP="00022D2F">
      <w:r>
        <w:t>It was noted:</w:t>
      </w:r>
    </w:p>
    <w:p w:rsidR="00C35E76" w:rsidRPr="00B57CC0" w:rsidRDefault="00C35E76" w:rsidP="00B57CC0">
      <w:pPr>
        <w:ind w:left="720"/>
        <w:rPr>
          <w:i/>
        </w:rPr>
      </w:pPr>
      <w:r w:rsidRPr="00B57CC0">
        <w:rPr>
          <w:i/>
        </w:rPr>
        <w:lastRenderedPageBreak/>
        <w:t>With mutation data available from only a limited number of subjects, the influence of KRAS, NRAS, VHL and/or BRAF [tumour mutation status] for DTC subjects and RET, PIK3CA and/or VHL for MTC subjects on the effect of lenvatinib on tu</w:t>
      </w:r>
      <w:r w:rsidR="00B57CC0">
        <w:rPr>
          <w:i/>
        </w:rPr>
        <w:t>mou</w:t>
      </w:r>
      <w:r w:rsidR="00B57CC0" w:rsidRPr="00B57CC0">
        <w:rPr>
          <w:i/>
        </w:rPr>
        <w:t>r size could not be detected.</w:t>
      </w:r>
    </w:p>
    <w:p w:rsidR="00C35E76" w:rsidRPr="00022D2F" w:rsidRDefault="00C35E76" w:rsidP="00022D2F">
      <w:pPr>
        <w:pStyle w:val="Heading4"/>
      </w:pPr>
      <w:r w:rsidRPr="00022D2F">
        <w:t>Safety</w:t>
      </w:r>
    </w:p>
    <w:p w:rsidR="00C35E76" w:rsidRPr="00022D2F" w:rsidRDefault="00C35E76" w:rsidP="00022D2F">
      <w:r w:rsidRPr="00022D2F">
        <w:t>Since lenvatinib inhibits the VEGF pathway, class side effects of VEGF inhibitors were considered to be AEs of p</w:t>
      </w:r>
      <w:r w:rsidR="00B57CC0">
        <w:t>articular interest</w:t>
      </w:r>
      <w:r w:rsidRPr="00022D2F">
        <w:t>.</w:t>
      </w:r>
    </w:p>
    <w:p w:rsidR="00C35E76" w:rsidRPr="00022D2F" w:rsidRDefault="00C35E76" w:rsidP="00022D2F">
      <w:r w:rsidRPr="00022D2F">
        <w:t>The most robust safety data for lenvatinib in the proposed use comes from Study 303, though other analysis</w:t>
      </w:r>
      <w:r w:rsidR="008B4F77">
        <w:t xml:space="preserve"> sets were defined</w:t>
      </w:r>
      <w:r w:rsidR="004E6E52">
        <w:t xml:space="preserve">, for example, the all </w:t>
      </w:r>
      <w:r w:rsidRPr="00022D2F">
        <w:t>DTC lenvatinib safety set (n</w:t>
      </w:r>
      <w:r w:rsidR="00C72D28">
        <w:t xml:space="preserve"> </w:t>
      </w:r>
      <w:r w:rsidRPr="00022D2F">
        <w:t>=</w:t>
      </w:r>
      <w:r w:rsidR="00C72D28">
        <w:t xml:space="preserve"> </w:t>
      </w:r>
      <w:r w:rsidRPr="00022D2F">
        <w:t>452; median duration of treatment 11.1 months).</w:t>
      </w:r>
      <w:r w:rsidR="00AD4923">
        <w:t xml:space="preserve"> </w:t>
      </w:r>
      <w:r w:rsidRPr="00022D2F">
        <w:t>Drug exposure is tabulated.</w:t>
      </w:r>
      <w:r w:rsidR="00AD4923">
        <w:t xml:space="preserve"> </w:t>
      </w:r>
      <w:r w:rsidRPr="00022D2F">
        <w:t>Of interest, in Study 303, the dose most frequently received was 20 mg, not 24 mg; but a sizeable number of subjects most frequently received 14 mg or 10 mg; overall, 90% of lenvatinib patients needed dose modifications.</w:t>
      </w:r>
    </w:p>
    <w:p w:rsidR="00C35E76" w:rsidRPr="00022D2F" w:rsidRDefault="00C35E76" w:rsidP="00022D2F">
      <w:r w:rsidRPr="00022D2F">
        <w:t>In Study 303 (“DTC randomised set”), prominent AEs for lenvatinib were</w:t>
      </w:r>
      <w:r w:rsidR="004E6E52">
        <w:t xml:space="preserve"> hypertension (69% lenvatinib versus</w:t>
      </w:r>
      <w:r w:rsidRPr="00022D2F">
        <w:t xml:space="preserve"> 15% placebo), diarrhoea (67% </w:t>
      </w:r>
      <w:r w:rsidR="000F6AE7">
        <w:t>versus</w:t>
      </w:r>
      <w:r w:rsidR="000F6AE7" w:rsidRPr="00022D2F">
        <w:t xml:space="preserve"> </w:t>
      </w:r>
      <w:r w:rsidRPr="00022D2F">
        <w:t xml:space="preserve">17%), decreased appetite (54% </w:t>
      </w:r>
      <w:r w:rsidR="000F6AE7">
        <w:t>versus</w:t>
      </w:r>
      <w:r w:rsidR="000F6AE7" w:rsidRPr="00022D2F">
        <w:t xml:space="preserve"> </w:t>
      </w:r>
      <w:r w:rsidRPr="00022D2F">
        <w:t xml:space="preserve">18%), weight decreased (51% </w:t>
      </w:r>
      <w:r w:rsidR="000F6AE7">
        <w:t>versus</w:t>
      </w:r>
      <w:r w:rsidR="000F6AE7" w:rsidRPr="00022D2F">
        <w:t xml:space="preserve"> </w:t>
      </w:r>
      <w:r w:rsidRPr="00022D2F">
        <w:t xml:space="preserve">15%), nausea (47% </w:t>
      </w:r>
      <w:r w:rsidR="000F6AE7">
        <w:t>versus</w:t>
      </w:r>
      <w:r w:rsidR="000F6AE7" w:rsidRPr="00022D2F">
        <w:t xml:space="preserve"> </w:t>
      </w:r>
      <w:r w:rsidRPr="00022D2F">
        <w:t xml:space="preserve">25%), fatigue (43% </w:t>
      </w:r>
      <w:r w:rsidR="000F6AE7">
        <w:t>versus</w:t>
      </w:r>
      <w:r w:rsidR="000F6AE7" w:rsidRPr="00022D2F">
        <w:t xml:space="preserve"> </w:t>
      </w:r>
      <w:r w:rsidRPr="00022D2F">
        <w:t xml:space="preserve">24%), headache (38% </w:t>
      </w:r>
      <w:r w:rsidR="000F6AE7">
        <w:t>versus</w:t>
      </w:r>
      <w:r w:rsidRPr="00022D2F">
        <w:t xml:space="preserve"> 12%), stomatitis (37% </w:t>
      </w:r>
      <w:r w:rsidR="000F6AE7">
        <w:t>versus</w:t>
      </w:r>
      <w:r w:rsidR="000F6AE7" w:rsidRPr="00022D2F">
        <w:t xml:space="preserve"> </w:t>
      </w:r>
      <w:r w:rsidRPr="00022D2F">
        <w:t xml:space="preserve">7%), vomiting (36% </w:t>
      </w:r>
      <w:r w:rsidR="000F6AE7">
        <w:t>versus</w:t>
      </w:r>
      <w:r w:rsidR="000F6AE7" w:rsidRPr="00022D2F">
        <w:t xml:space="preserve"> </w:t>
      </w:r>
      <w:r w:rsidRPr="00022D2F">
        <w:t xml:space="preserve">15%), proteinuria (34% </w:t>
      </w:r>
      <w:r w:rsidR="000F6AE7">
        <w:t>versus</w:t>
      </w:r>
      <w:r w:rsidRPr="00022D2F">
        <w:t xml:space="preserve"> 3%), palmar-plantar </w:t>
      </w:r>
      <w:proofErr w:type="spellStart"/>
      <w:r w:rsidRPr="00022D2F">
        <w:t>erythrodysaesthesia</w:t>
      </w:r>
      <w:proofErr w:type="spellEnd"/>
      <w:r w:rsidRPr="00022D2F">
        <w:t xml:space="preserve"> (32% </w:t>
      </w:r>
      <w:r w:rsidR="000F6AE7">
        <w:t>versus</w:t>
      </w:r>
      <w:r w:rsidR="000F6AE7" w:rsidRPr="00022D2F">
        <w:t xml:space="preserve"> </w:t>
      </w:r>
      <w:r w:rsidRPr="00022D2F">
        <w:t xml:space="preserve">1%) and dysphonia (31% </w:t>
      </w:r>
      <w:r w:rsidR="000F6AE7">
        <w:t>versus</w:t>
      </w:r>
      <w:r w:rsidR="000F6AE7" w:rsidRPr="00022D2F">
        <w:t xml:space="preserve"> </w:t>
      </w:r>
      <w:r w:rsidRPr="00022D2F">
        <w:t>5%).</w:t>
      </w:r>
      <w:r w:rsidR="00AD4923">
        <w:t xml:space="preserve"> </w:t>
      </w:r>
      <w:r w:rsidRPr="00022D2F">
        <w:t xml:space="preserve">These significant imbalances extended to grade 3-4 events (grade 3-4 hypocalcaemia was also imbalanced: 5% </w:t>
      </w:r>
      <w:r w:rsidR="000F6AE7">
        <w:t xml:space="preserve">versus 0%) and treatment </w:t>
      </w:r>
      <w:r w:rsidRPr="00022D2F">
        <w:t>related AEs.</w:t>
      </w:r>
      <w:r w:rsidR="00AD4923">
        <w:t xml:space="preserve"> </w:t>
      </w:r>
      <w:r w:rsidRPr="00022D2F">
        <w:t>Evidently length of exposure varied across arms.</w:t>
      </w:r>
      <w:r w:rsidR="00AD4923">
        <w:t xml:space="preserve"> </w:t>
      </w:r>
      <w:r w:rsidRPr="00022D2F">
        <w:t>Incidence rates remai</w:t>
      </w:r>
      <w:r w:rsidR="000F6AE7">
        <w:t xml:space="preserve">ned distinctly imbalanced (that is, &gt;2 </w:t>
      </w:r>
      <w:r w:rsidRPr="00022D2F">
        <w:t>fold difference) for diarrhoea, hypertension, headache, stomatitis, proteinuria, PPE, dysphonia, myalgia, abdominal pain and rash.</w:t>
      </w:r>
    </w:p>
    <w:p w:rsidR="00C35E76" w:rsidRDefault="00C35E76" w:rsidP="00022D2F">
      <w:r w:rsidRPr="00022D2F">
        <w:t>The significant imbalance in serious AEs is worth noting</w:t>
      </w:r>
      <w:r w:rsidR="004101CF">
        <w:t xml:space="preserve"> in the table below.</w:t>
      </w:r>
    </w:p>
    <w:p w:rsidR="004101CF" w:rsidRPr="00022D2F" w:rsidRDefault="00B24EDD" w:rsidP="005179EF">
      <w:pPr>
        <w:pStyle w:val="TableTitle"/>
      </w:pPr>
      <w:proofErr w:type="gramStart"/>
      <w:r>
        <w:t>Table 1</w:t>
      </w:r>
      <w:r w:rsidR="005E63A9">
        <w:t>2</w:t>
      </w:r>
      <w:r w:rsidR="00FD5537">
        <w:t>.</w:t>
      </w:r>
      <w:proofErr w:type="gramEnd"/>
      <w:r w:rsidR="00FD5537">
        <w:t xml:space="preserve"> </w:t>
      </w:r>
      <w:proofErr w:type="gramStart"/>
      <w:r w:rsidR="00FD5537">
        <w:t>Serious AEs.</w:t>
      </w:r>
      <w:proofErr w:type="gramEnd"/>
    </w:p>
    <w:p w:rsidR="00C35E76" w:rsidRDefault="005179EF" w:rsidP="00C35E76">
      <w:pPr>
        <w:rPr>
          <w:sz w:val="24"/>
          <w:szCs w:val="24"/>
        </w:rPr>
      </w:pPr>
      <w:r>
        <w:rPr>
          <w:noProof/>
          <w:lang w:eastAsia="en-AU"/>
        </w:rPr>
        <w:drawing>
          <wp:inline distT="0" distB="0" distL="0" distR="0" wp14:anchorId="2A0B9EEC" wp14:editId="1ADC8FA4">
            <wp:extent cx="5400040" cy="3633488"/>
            <wp:effectExtent l="0" t="0" r="0" b="5080"/>
            <wp:docPr id="5" name="Picture 5" descr="Table 12. Serious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3633488"/>
                    </a:xfrm>
                    <a:prstGeom prst="rect">
                      <a:avLst/>
                    </a:prstGeom>
                  </pic:spPr>
                </pic:pic>
              </a:graphicData>
            </a:graphic>
          </wp:inline>
        </w:drawing>
      </w:r>
    </w:p>
    <w:p w:rsidR="00C35E76" w:rsidRPr="00022D2F" w:rsidRDefault="00C35E76" w:rsidP="00022D2F">
      <w:r w:rsidRPr="00022D2F">
        <w:lastRenderedPageBreak/>
        <w:t>Accompanying the reports of hypertension were three cases of posterior reversible encephalopathy syndrome (PRES) in the lenvatinib safety set.</w:t>
      </w:r>
    </w:p>
    <w:p w:rsidR="00C35E76" w:rsidRPr="00022D2F" w:rsidRDefault="00C35E76" w:rsidP="00022D2F">
      <w:r w:rsidRPr="00022D2F">
        <w:t>About 15% of lenvatinib subjects discontinued treatment prior to disease prog</w:t>
      </w:r>
      <w:r w:rsidR="00FF5241">
        <w:t xml:space="preserve">ression, because of AEs, </w:t>
      </w:r>
      <w:r w:rsidRPr="00022D2F">
        <w:t>and this is after attempts to titrate the dose downwards.</w:t>
      </w:r>
    </w:p>
    <w:p w:rsidR="00C35E76" w:rsidRPr="00022D2F" w:rsidRDefault="00C35E76" w:rsidP="00022D2F">
      <w:r w:rsidRPr="00022D2F">
        <w:t>Review of laboratory abnormalities also detected a small proportion of subjects in the lenvatinib arm with LFT derangements, none meeting ‘</w:t>
      </w:r>
      <w:proofErr w:type="spellStart"/>
      <w:r w:rsidRPr="00022D2F">
        <w:t>Hy’s</w:t>
      </w:r>
      <w:proofErr w:type="spellEnd"/>
      <w:r w:rsidRPr="00022D2F">
        <w:t xml:space="preserve"> Law’ criteria.</w:t>
      </w:r>
      <w:r w:rsidR="00AD4923">
        <w:t xml:space="preserve"> </w:t>
      </w:r>
      <w:r w:rsidRPr="00022D2F">
        <w:t xml:space="preserve">There </w:t>
      </w:r>
      <w:r w:rsidR="00B44C49" w:rsidRPr="00022D2F">
        <w:t>were</w:t>
      </w:r>
      <w:r w:rsidRPr="00022D2F">
        <w:t xml:space="preserve"> a similar small proportion of subjects in the lenvatinib </w:t>
      </w:r>
      <w:r w:rsidR="00B44C49">
        <w:t>arm with elevated amylase and/</w:t>
      </w:r>
      <w:r w:rsidRPr="00022D2F">
        <w:t>or lipase, apparently in the absence of clinical acute pancreatitis.</w:t>
      </w:r>
    </w:p>
    <w:p w:rsidR="00C35E76" w:rsidRPr="00022D2F" w:rsidRDefault="00C35E76" w:rsidP="00022D2F">
      <w:r w:rsidRPr="00022D2F">
        <w:t>Lenvatinib changed the proportion of subject</w:t>
      </w:r>
      <w:r w:rsidR="001F6F21">
        <w:t xml:space="preserve">s whose TSH remained suppressed. </w:t>
      </w:r>
      <w:r w:rsidRPr="00022D2F">
        <w:t>Thyroxine is often part of treatment of DTC, to suppress TSH and so prev</w:t>
      </w:r>
      <w:r w:rsidR="00B44C49">
        <w:t xml:space="preserve">ent TSH </w:t>
      </w:r>
      <w:r w:rsidR="001F6F21">
        <w:t xml:space="preserve">induced tumour growth. </w:t>
      </w:r>
      <w:r w:rsidRPr="00022D2F">
        <w:t>It is also required after thyroidectomy.</w:t>
      </w:r>
      <w:r w:rsidR="00AD4923">
        <w:t xml:space="preserve"> </w:t>
      </w:r>
      <w:r w:rsidRPr="00022D2F">
        <w:t>Given efficacy reported above, and the ease of monitoring thyroid function and dose adjustment</w:t>
      </w:r>
      <w:r w:rsidR="00B44C49">
        <w:t xml:space="preserve">, this is not a major concern, </w:t>
      </w:r>
      <w:r w:rsidRPr="00022D2F">
        <w:t>although 14 subjects in Study 303’s lenvatinib</w:t>
      </w:r>
      <w:r w:rsidR="00B44C49">
        <w:t xml:space="preserve"> arm reported hypothyroidism (versus</w:t>
      </w:r>
      <w:r w:rsidRPr="00022D2F">
        <w:t xml:space="preserve"> no subjects in the placebo arm).</w:t>
      </w:r>
      <w:r w:rsidR="00AD4923">
        <w:t xml:space="preserve"> </w:t>
      </w:r>
      <w:r w:rsidRPr="00022D2F">
        <w:t xml:space="preserve">In the RMP </w:t>
      </w:r>
      <w:r w:rsidR="00B44C49">
        <w:t>e</w:t>
      </w:r>
      <w:r w:rsidRPr="00022D2F">
        <w:t xml:space="preserve">valuation </w:t>
      </w:r>
      <w:r w:rsidR="00B44C49">
        <w:t>r</w:t>
      </w:r>
      <w:r w:rsidRPr="00022D2F">
        <w:t>eport, this topic is discussed:</w:t>
      </w:r>
    </w:p>
    <w:p w:rsidR="00C35E76" w:rsidRPr="00022D2F" w:rsidRDefault="00C35E76" w:rsidP="00022D2F">
      <w:pPr>
        <w:ind w:left="720"/>
        <w:rPr>
          <w:i/>
        </w:rPr>
      </w:pPr>
      <w:r w:rsidRPr="00022D2F">
        <w:rPr>
          <w:i/>
        </w:rPr>
        <w:t xml:space="preserve">Blood thyroid stimulating hormone (TSH) increased and </w:t>
      </w:r>
      <w:proofErr w:type="gramStart"/>
      <w:r w:rsidRPr="00022D2F">
        <w:rPr>
          <w:i/>
        </w:rPr>
        <w:t>hypothyroidism have</w:t>
      </w:r>
      <w:proofErr w:type="gramEnd"/>
      <w:r w:rsidRPr="00022D2F">
        <w:rPr>
          <w:i/>
        </w:rPr>
        <w:t xml:space="preserve"> been reported with the VEGF-targeted agents and are included as “Common” in the “Adverse Effects” section of the Australian PI…</w:t>
      </w:r>
    </w:p>
    <w:p w:rsidR="00C35E76" w:rsidRPr="00022D2F" w:rsidRDefault="00C35E76" w:rsidP="00022D2F">
      <w:r w:rsidRPr="00022D2F">
        <w:t xml:space="preserve">It is noted that </w:t>
      </w:r>
      <w:proofErr w:type="spellStart"/>
      <w:r w:rsidRPr="00022D2F">
        <w:t>sorafenib’s</w:t>
      </w:r>
      <w:proofErr w:type="spellEnd"/>
      <w:r w:rsidRPr="00022D2F">
        <w:t xml:space="preserve"> PI includes a Precaution on this topic:</w:t>
      </w:r>
    </w:p>
    <w:p w:rsidR="00C35E76" w:rsidRPr="00022D2F" w:rsidRDefault="00C35E76" w:rsidP="00022D2F">
      <w:pPr>
        <w:ind w:left="720"/>
        <w:rPr>
          <w:i/>
        </w:rPr>
      </w:pPr>
      <w:r w:rsidRPr="00022D2F">
        <w:rPr>
          <w:i/>
        </w:rPr>
        <w:t xml:space="preserve">In the DTC clinical trials, increases in TSH levels above 0.5mU/L were observed in </w:t>
      </w:r>
      <w:proofErr w:type="spellStart"/>
      <w:r w:rsidRPr="00022D2F">
        <w:rPr>
          <w:i/>
        </w:rPr>
        <w:t>N</w:t>
      </w:r>
      <w:r w:rsidR="007D5E2A">
        <w:rPr>
          <w:i/>
        </w:rPr>
        <w:t>exavar</w:t>
      </w:r>
      <w:proofErr w:type="spellEnd"/>
      <w:r w:rsidR="007D5E2A">
        <w:rPr>
          <w:i/>
        </w:rPr>
        <w:t xml:space="preserve"> </w:t>
      </w:r>
      <w:r w:rsidRPr="00022D2F">
        <w:rPr>
          <w:i/>
        </w:rPr>
        <w:t xml:space="preserve">treated patients. When using </w:t>
      </w:r>
      <w:proofErr w:type="spellStart"/>
      <w:r w:rsidR="00F24ED2" w:rsidRPr="00022D2F">
        <w:rPr>
          <w:i/>
        </w:rPr>
        <w:t>N</w:t>
      </w:r>
      <w:r w:rsidR="00F24ED2">
        <w:rPr>
          <w:i/>
        </w:rPr>
        <w:t>exavar</w:t>
      </w:r>
      <w:proofErr w:type="spellEnd"/>
      <w:r w:rsidRPr="00022D2F">
        <w:rPr>
          <w:i/>
        </w:rPr>
        <w:t xml:space="preserve"> in differentiated thyroid carcinoma patients, close monitoring of TSH level and appropriate adjustment of thyroxine dosing is recommended.</w:t>
      </w:r>
    </w:p>
    <w:p w:rsidR="00C35E76" w:rsidRPr="00022D2F" w:rsidRDefault="00C35E76" w:rsidP="00022D2F">
      <w:r w:rsidRPr="00022D2F">
        <w:t xml:space="preserve">There was a signal that </w:t>
      </w:r>
      <w:proofErr w:type="spellStart"/>
      <w:r w:rsidRPr="00022D2F">
        <w:t>lenvatinib</w:t>
      </w:r>
      <w:proofErr w:type="spellEnd"/>
      <w:r w:rsidRPr="00022D2F">
        <w:t xml:space="preserve"> may induce </w:t>
      </w:r>
      <w:proofErr w:type="spellStart"/>
      <w:r w:rsidRPr="00022D2F">
        <w:t>QT</w:t>
      </w:r>
      <w:r w:rsidR="007D5E2A">
        <w:t>c</w:t>
      </w:r>
      <w:proofErr w:type="spellEnd"/>
      <w:r w:rsidR="007D5E2A">
        <w:t xml:space="preserve"> prolongation</w:t>
      </w:r>
      <w:r w:rsidRPr="00022D2F">
        <w:t>, at least in patients with DTC.</w:t>
      </w:r>
      <w:r w:rsidR="00AD4923">
        <w:t xml:space="preserve"> </w:t>
      </w:r>
      <w:r w:rsidRPr="00022D2F">
        <w:t>This signal is despite a ‘negative’ thorough QT study.</w:t>
      </w:r>
      <w:r w:rsidR="007D5E2A">
        <w:t xml:space="preserve"> </w:t>
      </w:r>
      <w:r w:rsidRPr="00022D2F">
        <w:t>There were no reports of v</w:t>
      </w:r>
      <w:r w:rsidR="007D5E2A">
        <w:t xml:space="preserve">entricular </w:t>
      </w:r>
      <w:proofErr w:type="spellStart"/>
      <w:r w:rsidR="007D5E2A">
        <w:t>tachycardias</w:t>
      </w:r>
      <w:proofErr w:type="spellEnd"/>
      <w:r w:rsidR="007D5E2A">
        <w:t>/</w:t>
      </w:r>
      <w:proofErr w:type="spellStart"/>
      <w:r w:rsidR="007D5E2A">
        <w:t>TdP</w:t>
      </w:r>
      <w:proofErr w:type="spellEnd"/>
      <w:r w:rsidR="007D5E2A">
        <w:t xml:space="preserve">. </w:t>
      </w:r>
      <w:r w:rsidRPr="00022D2F">
        <w:t xml:space="preserve">Diarrhoea, hypokalaemia and </w:t>
      </w:r>
      <w:proofErr w:type="spellStart"/>
      <w:r w:rsidRPr="00022D2F">
        <w:t>QTc</w:t>
      </w:r>
      <w:proofErr w:type="spellEnd"/>
      <w:r w:rsidRPr="00022D2F">
        <w:t xml:space="preserve"> prolongation together were seen in multi</w:t>
      </w:r>
      <w:r w:rsidR="00985228">
        <w:t>ple patients</w:t>
      </w:r>
      <w:r w:rsidRPr="00022D2F">
        <w:t>.</w:t>
      </w:r>
      <w:r w:rsidR="00C7576D">
        <w:rPr>
          <w:rStyle w:val="FootnoteReference"/>
        </w:rPr>
        <w:footnoteReference w:id="44"/>
      </w:r>
    </w:p>
    <w:p w:rsidR="00C35E76" w:rsidRPr="00022D2F" w:rsidRDefault="00C35E76" w:rsidP="00022D2F">
      <w:r w:rsidRPr="00022D2F">
        <w:t>Renal impairment was more common with lenvatinib tha</w:t>
      </w:r>
      <w:r w:rsidR="00022D2F">
        <w:t>n with placebo</w:t>
      </w:r>
      <w:r w:rsidRPr="00022D2F">
        <w:t>, and this extended to acute renal failure.</w:t>
      </w:r>
    </w:p>
    <w:p w:rsidR="00C35E76" w:rsidRPr="00022D2F" w:rsidRDefault="00022D2F" w:rsidP="00022D2F">
      <w:r>
        <w:t>Gastrointestinal perforation/</w:t>
      </w:r>
      <w:r w:rsidR="00C35E76" w:rsidRPr="00022D2F">
        <w:t>fistula formation was also seen, rarely, in lenva</w:t>
      </w:r>
      <w:r>
        <w:t>tinib arm subjects</w:t>
      </w:r>
      <w:r w:rsidR="00C35E76" w:rsidRPr="00022D2F">
        <w:t>.</w:t>
      </w:r>
    </w:p>
    <w:p w:rsidR="008E7846" w:rsidRDefault="00386150" w:rsidP="007B6132">
      <w:pPr>
        <w:pStyle w:val="Heading3"/>
        <w:rPr>
          <w:lang w:eastAsia="en-AU"/>
        </w:rPr>
      </w:pPr>
      <w:bookmarkStart w:id="152" w:name="_Toc461092062"/>
      <w:r>
        <w:rPr>
          <w:lang w:eastAsia="en-AU"/>
        </w:rPr>
        <w:t>Risk m</w:t>
      </w:r>
      <w:r w:rsidR="008E7846">
        <w:rPr>
          <w:lang w:eastAsia="en-AU"/>
        </w:rPr>
        <w:t xml:space="preserve">anagement </w:t>
      </w:r>
      <w:r>
        <w:rPr>
          <w:lang w:eastAsia="en-AU"/>
        </w:rPr>
        <w:t>p</w:t>
      </w:r>
      <w:r w:rsidR="008E7846">
        <w:rPr>
          <w:lang w:eastAsia="en-AU"/>
        </w:rPr>
        <w:t>lan</w:t>
      </w:r>
      <w:bookmarkEnd w:id="151"/>
      <w:bookmarkEnd w:id="152"/>
    </w:p>
    <w:p w:rsidR="00F446F8" w:rsidRPr="00964557" w:rsidRDefault="00F446F8" w:rsidP="00964557">
      <w:r w:rsidRPr="00964557">
        <w:t>The RMP proposed by the sponsor was considered generally acceptable by the TGA’s RMP Evaluation area.</w:t>
      </w:r>
      <w:r w:rsidR="00AD4923">
        <w:t xml:space="preserve"> </w:t>
      </w:r>
      <w:r w:rsidRPr="00964557">
        <w:t>A recommended condition of registration is:</w:t>
      </w:r>
    </w:p>
    <w:p w:rsidR="00F446F8" w:rsidRPr="00964557" w:rsidRDefault="00F446F8" w:rsidP="00964557">
      <w:pPr>
        <w:ind w:left="720"/>
        <w:rPr>
          <w:i/>
        </w:rPr>
      </w:pPr>
      <w:r w:rsidRPr="00964557">
        <w:rPr>
          <w:i/>
        </w:rPr>
        <w:t xml:space="preserve">Implement EU-RMP version 6.0 dated 26 March 2015 (data lock point: 15 September 2013, 15 March 2014 for Study 303) with </w:t>
      </w:r>
      <w:r w:rsidR="00964557">
        <w:rPr>
          <w:i/>
        </w:rPr>
        <w:t>ASA</w:t>
      </w:r>
      <w:r w:rsidRPr="00964557">
        <w:rPr>
          <w:i/>
        </w:rPr>
        <w:t xml:space="preserve"> version 2 dated August 2015 and any future updates as agreed by the TGA as a condition of registration.</w:t>
      </w:r>
    </w:p>
    <w:p w:rsidR="008E7846" w:rsidRDefault="00AA0ED0" w:rsidP="008E7846">
      <w:pPr>
        <w:pStyle w:val="Heading3"/>
      </w:pPr>
      <w:bookmarkStart w:id="153" w:name="_Toc247691531"/>
      <w:bookmarkStart w:id="154" w:name="_Toc314842515"/>
      <w:bookmarkStart w:id="155" w:name="_Toc196046505"/>
      <w:bookmarkStart w:id="156" w:name="_Toc196046949"/>
      <w:bookmarkStart w:id="157" w:name="_Toc461092063"/>
      <w:r>
        <w:lastRenderedPageBreak/>
        <w:t>Risk-benefit a</w:t>
      </w:r>
      <w:r w:rsidR="008E7846">
        <w:t>nalysis</w:t>
      </w:r>
      <w:bookmarkEnd w:id="153"/>
      <w:bookmarkEnd w:id="154"/>
      <w:bookmarkEnd w:id="157"/>
    </w:p>
    <w:p w:rsidR="00772CC0" w:rsidRDefault="00D23139" w:rsidP="00D23139">
      <w:pPr>
        <w:pStyle w:val="Heading4"/>
      </w:pPr>
      <w:r w:rsidRPr="00D23139">
        <w:t>Delegate’s considerations</w:t>
      </w:r>
    </w:p>
    <w:p w:rsidR="001D5DE1" w:rsidRPr="009C2DA8" w:rsidRDefault="001D5DE1" w:rsidP="001D5DE1">
      <w:pPr>
        <w:pStyle w:val="Heading5"/>
      </w:pPr>
      <w:r w:rsidRPr="009C2DA8">
        <w:t>Efficacy</w:t>
      </w:r>
    </w:p>
    <w:p w:rsidR="00772CC0" w:rsidRDefault="001D5DE1" w:rsidP="001D5DE1">
      <w:r w:rsidRPr="001D5DE1">
        <w:t>A single pivotal study was provided i</w:t>
      </w:r>
      <w:r w:rsidR="002E4437">
        <w:t xml:space="preserve">n support of the proposed use. </w:t>
      </w:r>
      <w:r w:rsidRPr="001D5DE1">
        <w:t>In terms of efficacy, this is acceptable since there was a large magnitude of effect accompanied by st</w:t>
      </w:r>
      <w:r w:rsidR="002E4437">
        <w:t xml:space="preserve">rong statistical significance. </w:t>
      </w:r>
      <w:r w:rsidRPr="001D5DE1">
        <w:t>Also, results w</w:t>
      </w:r>
      <w:r w:rsidR="002E4437">
        <w:t>ere consistent across subsets</w:t>
      </w:r>
      <w:r w:rsidR="00772CC0">
        <w:t>.</w:t>
      </w:r>
    </w:p>
    <w:p w:rsidR="001D5DE1" w:rsidRPr="001D5DE1" w:rsidRDefault="001D5DE1" w:rsidP="001D5DE1">
      <w:r w:rsidRPr="001D5DE1">
        <w:t>The TGA clinical evaluator notes that the pivotal study did not provide strong evidence for use in the elderly and in children.</w:t>
      </w:r>
      <w:r w:rsidR="002E4437">
        <w:t xml:space="preserve"> </w:t>
      </w:r>
      <w:r w:rsidRPr="001D5DE1">
        <w:t>While DTC can occur in children, lenvatinib has a mechanism of action that suggests specif</w:t>
      </w:r>
      <w:r w:rsidR="002E4437">
        <w:t xml:space="preserve">ic toxicity in young children. </w:t>
      </w:r>
      <w:r w:rsidRPr="001D5DE1">
        <w:t>The PI contains a suitable warning in the Dosage and Administration section:</w:t>
      </w:r>
    </w:p>
    <w:p w:rsidR="001D5DE1" w:rsidRPr="001D5DE1" w:rsidRDefault="001D5DE1" w:rsidP="001D5DE1">
      <w:pPr>
        <w:ind w:left="720"/>
        <w:rPr>
          <w:i/>
        </w:rPr>
      </w:pPr>
      <w:r w:rsidRPr="001D5DE1">
        <w:rPr>
          <w:i/>
        </w:rPr>
        <w:t>Lenvatinib must not be used in children younger than 2 years of age because of safety concerns identified in animal studies. The safety and efficacy of lenvatinib in children aged 2 to &lt;18 years have not yet been established (see CLINICAL TRIALS). No data are available.</w:t>
      </w:r>
    </w:p>
    <w:p w:rsidR="001D5DE1" w:rsidRPr="001D5DE1" w:rsidRDefault="001D5DE1" w:rsidP="001D5DE1">
      <w:r w:rsidRPr="001D5DE1">
        <w:t>Similarly, for the elderly, the PI states, reasonably:</w:t>
      </w:r>
    </w:p>
    <w:p w:rsidR="001D5DE1" w:rsidRPr="001D5DE1" w:rsidRDefault="001D5DE1" w:rsidP="001D5DE1">
      <w:pPr>
        <w:ind w:left="720"/>
        <w:rPr>
          <w:i/>
        </w:rPr>
      </w:pPr>
      <w:r w:rsidRPr="001D5DE1">
        <w:rPr>
          <w:i/>
        </w:rPr>
        <w:t>No dose adjustment is required on the basis of age. Limited data are available on the use in patients aged ≥ 75 years.</w:t>
      </w:r>
    </w:p>
    <w:p w:rsidR="001D5DE1" w:rsidRPr="001D5DE1" w:rsidRDefault="001D5DE1" w:rsidP="001D5DE1">
      <w:r w:rsidRPr="001D5DE1">
        <w:t>The TGA evaluator notes that long term efficacy is unknown, and that this is relevant given that the condition may be ‘chronic’ in some.</w:t>
      </w:r>
      <w:r w:rsidR="00AD4923">
        <w:t xml:space="preserve"> </w:t>
      </w:r>
      <w:r w:rsidRPr="001D5DE1">
        <w:t>While this is true, the follow-up in Study 303 was reasonable given</w:t>
      </w:r>
      <w:r w:rsidR="00985228">
        <w:t xml:space="preserve"> that patients had progressive, 131-</w:t>
      </w:r>
      <w:r w:rsidRPr="001D5DE1">
        <w:t>I</w:t>
      </w:r>
      <w:r w:rsidR="00985228">
        <w:t>odine</w:t>
      </w:r>
      <w:r w:rsidR="00C72E0A">
        <w:t xml:space="preserve"> </w:t>
      </w:r>
      <w:r w:rsidRPr="001D5DE1">
        <w:t>refractory DTC.</w:t>
      </w:r>
    </w:p>
    <w:p w:rsidR="001D5DE1" w:rsidRPr="00C72E0A" w:rsidRDefault="001D5DE1" w:rsidP="00C72E0A">
      <w:pPr>
        <w:pStyle w:val="Heading5"/>
      </w:pPr>
      <w:r w:rsidRPr="00C72E0A">
        <w:t>Dose</w:t>
      </w:r>
    </w:p>
    <w:p w:rsidR="001D5DE1" w:rsidRPr="00627709" w:rsidRDefault="001D5DE1" w:rsidP="00627709">
      <w:r w:rsidRPr="00627709">
        <w:t>FDA and EMA have asked for s</w:t>
      </w:r>
      <w:r w:rsidR="002E4437">
        <w:t>tudies of lower starting doses.</w:t>
      </w:r>
      <w:r w:rsidRPr="00627709">
        <w:t xml:space="preserve"> In both jurisdictions, the 24 mg starting dose was thought to have a positive benefit-risk balance, but there was a view that a lower starting dose should be studied to determine if it might have an </w:t>
      </w:r>
      <w:r w:rsidR="002E4437">
        <w:t xml:space="preserve">improved benefit-risk balance. </w:t>
      </w:r>
      <w:r w:rsidRPr="00627709">
        <w:t>Refer also</w:t>
      </w:r>
      <w:r w:rsidR="00985228">
        <w:t xml:space="preserve"> to discussion in the FDA Cross </w:t>
      </w:r>
      <w:r w:rsidRPr="00627709">
        <w:t>Disciplina</w:t>
      </w:r>
      <w:r w:rsidR="002E4437">
        <w:t>ry Team Leader’s report</w:t>
      </w:r>
      <w:r w:rsidRPr="00627709">
        <w:t>.</w:t>
      </w:r>
    </w:p>
    <w:p w:rsidR="001D5DE1" w:rsidRPr="009C2DA8" w:rsidRDefault="001D5DE1" w:rsidP="00627709">
      <w:pPr>
        <w:pStyle w:val="Heading5"/>
      </w:pPr>
      <w:r w:rsidRPr="009C2DA8">
        <w:t>I</w:t>
      </w:r>
      <w:r w:rsidR="002E4437">
        <w:t>ndication and overall benefit-</w:t>
      </w:r>
      <w:r w:rsidRPr="009C2DA8">
        <w:t>risk balance</w:t>
      </w:r>
    </w:p>
    <w:p w:rsidR="001D5DE1" w:rsidRPr="00627709" w:rsidRDefault="001D5DE1" w:rsidP="00627709">
      <w:r w:rsidRPr="00627709">
        <w:t>The sponsor’s proposed wording is:</w:t>
      </w:r>
    </w:p>
    <w:p w:rsidR="001D5DE1" w:rsidRPr="00627709" w:rsidRDefault="001D5DE1" w:rsidP="00627709">
      <w:pPr>
        <w:ind w:left="720"/>
        <w:rPr>
          <w:i/>
        </w:rPr>
      </w:pPr>
      <w:r w:rsidRPr="00627709">
        <w:rPr>
          <w:i/>
        </w:rPr>
        <w:t>L</w:t>
      </w:r>
      <w:r w:rsidR="00AB16FF">
        <w:rPr>
          <w:i/>
        </w:rPr>
        <w:t>envima</w:t>
      </w:r>
      <w:r w:rsidRPr="00627709">
        <w:rPr>
          <w:i/>
        </w:rPr>
        <w:t xml:space="preserve"> is indicated for the treatment of patients with progressive, radioactive iodine refractory differentiated thyroid cancer.</w:t>
      </w:r>
    </w:p>
    <w:p w:rsidR="001D5DE1" w:rsidRPr="00627709" w:rsidRDefault="001D5DE1" w:rsidP="00627709">
      <w:r w:rsidRPr="00627709">
        <w:t>In Study 303, almost all patients had distant metastases at baseline; 4/261 patients (in the lenvatinib arm) had locally advanced disease.</w:t>
      </w:r>
    </w:p>
    <w:p w:rsidR="001D5DE1" w:rsidRPr="00627709" w:rsidRDefault="001D5DE1" w:rsidP="00627709">
      <w:r w:rsidRPr="00627709">
        <w:t>The FDA</w:t>
      </w:r>
      <w:r w:rsidR="002E4437">
        <w:t xml:space="preserve"> </w:t>
      </w:r>
      <w:r w:rsidRPr="00627709">
        <w:t>approved indication is narrower than the one proposed in Australia, due to restriction to locally re</w:t>
      </w:r>
      <w:r w:rsidR="002E4437">
        <w:t xml:space="preserve">current or metastatic disease. </w:t>
      </w:r>
      <w:r w:rsidRPr="00627709">
        <w:t>All patients will have had surgery, so progressive disease must be locally recurrent or metastatic.</w:t>
      </w:r>
    </w:p>
    <w:p w:rsidR="001D5DE1" w:rsidRPr="00627709" w:rsidRDefault="001D5DE1" w:rsidP="00627709">
      <w:r w:rsidRPr="00627709">
        <w:t>The EMA’s approach was to refer to locally advanced or metastatic disease.</w:t>
      </w:r>
      <w:r w:rsidR="00AD4923">
        <w:t xml:space="preserve"> </w:t>
      </w:r>
      <w:r w:rsidRPr="00627709">
        <w:t>This would rule out use in patients with no metastases and with locally recurrent disease that was not advanced.</w:t>
      </w:r>
    </w:p>
    <w:p w:rsidR="001D5DE1" w:rsidRPr="00627709" w:rsidRDefault="001D5DE1" w:rsidP="00627709">
      <w:r w:rsidRPr="00627709">
        <w:t>An alternative would be to specify use in metastatic disease, since almost all patients in Study 303 did have metastatic disease at baseline.</w:t>
      </w:r>
      <w:r w:rsidR="00AD4923">
        <w:t xml:space="preserve"> </w:t>
      </w:r>
      <w:r w:rsidRPr="00627709">
        <w:t>However</w:t>
      </w:r>
      <w:r w:rsidR="005B7AAE">
        <w:t>,</w:t>
      </w:r>
      <w:r w:rsidRPr="00627709">
        <w:t xml:space="preserve"> it is reasonable to include patients with locally advanced disease, where surgery is less likely to be curative, given there is also a requirement for radioiodine-refractory disease.</w:t>
      </w:r>
    </w:p>
    <w:p w:rsidR="001D5DE1" w:rsidRPr="00627709" w:rsidRDefault="001D5DE1" w:rsidP="00627709">
      <w:r w:rsidRPr="00627709">
        <w:t xml:space="preserve">The </w:t>
      </w:r>
      <w:r w:rsidR="005B7AAE">
        <w:t>c</w:t>
      </w:r>
      <w:r w:rsidRPr="00627709">
        <w:t xml:space="preserve">linical </w:t>
      </w:r>
      <w:r w:rsidR="005B7AAE">
        <w:t>e</w:t>
      </w:r>
      <w:r w:rsidRPr="00627709">
        <w:t xml:space="preserve">valuator proposed a ‘last line’ indication however there is a reasonable body of evidence from Study 303 in patients who were </w:t>
      </w:r>
      <w:proofErr w:type="spellStart"/>
      <w:r w:rsidRPr="00627709">
        <w:t>sorafenib</w:t>
      </w:r>
      <w:proofErr w:type="spellEnd"/>
      <w:r w:rsidRPr="00627709">
        <w:t>-naïve.</w:t>
      </w:r>
      <w:r w:rsidR="00AD4923">
        <w:t xml:space="preserve"> </w:t>
      </w:r>
      <w:r w:rsidRPr="00627709">
        <w:t xml:space="preserve">A ‘last line’ use would consign patients to receiving </w:t>
      </w:r>
      <w:proofErr w:type="spellStart"/>
      <w:r w:rsidRPr="00627709">
        <w:t>sorafenib</w:t>
      </w:r>
      <w:proofErr w:type="spellEnd"/>
      <w:r w:rsidRPr="00627709">
        <w:t xml:space="preserve"> and theoretically doxorubicin before use.</w:t>
      </w:r>
      <w:r w:rsidR="00AD4923">
        <w:t xml:space="preserve"> </w:t>
      </w:r>
      <w:r w:rsidRPr="00627709">
        <w:t xml:space="preserve">While </w:t>
      </w:r>
      <w:r w:rsidRPr="00627709">
        <w:lastRenderedPageBreak/>
        <w:t xml:space="preserve">lenvatinib was not studied head-to-head with </w:t>
      </w:r>
      <w:proofErr w:type="spellStart"/>
      <w:r w:rsidRPr="00627709">
        <w:t>sorafenib</w:t>
      </w:r>
      <w:proofErr w:type="spellEnd"/>
      <w:r w:rsidRPr="00627709">
        <w:t>, there was no indication from gross cross</w:t>
      </w:r>
      <w:r w:rsidR="002D63A9">
        <w:t xml:space="preserve"> </w:t>
      </w:r>
      <w:r w:rsidRPr="00627709">
        <w:t xml:space="preserve">study comparison that outcomes were worse with </w:t>
      </w:r>
      <w:proofErr w:type="spellStart"/>
      <w:r w:rsidRPr="00627709">
        <w:t>lenvatinib</w:t>
      </w:r>
      <w:proofErr w:type="spellEnd"/>
      <w:r w:rsidRPr="00627709">
        <w:t xml:space="preserve"> than with </w:t>
      </w:r>
      <w:proofErr w:type="spellStart"/>
      <w:r w:rsidRPr="00627709">
        <w:t>sorafenib</w:t>
      </w:r>
      <w:proofErr w:type="spellEnd"/>
      <w:r w:rsidRPr="00627709">
        <w:t xml:space="preserve">; and while toxicities varied across agents, both carry significant safety risks so it cannot be said with any confidence that one is clearly </w:t>
      </w:r>
      <w:r w:rsidR="00F92250">
        <w:t>safer than the other (see EPAR).</w:t>
      </w:r>
    </w:p>
    <w:p w:rsidR="001D5DE1" w:rsidRPr="00627709" w:rsidRDefault="00554755" w:rsidP="00627709">
      <w:pPr>
        <w:rPr>
          <w:highlight w:val="yellow"/>
        </w:rPr>
      </w:pPr>
      <w:r>
        <w:t>The Delegate</w:t>
      </w:r>
      <w:r w:rsidR="001D5DE1" w:rsidRPr="00627709">
        <w:t xml:space="preserve"> support</w:t>
      </w:r>
      <w:r>
        <w:t>s</w:t>
      </w:r>
      <w:r w:rsidR="001D5DE1" w:rsidRPr="00627709">
        <w:t xml:space="preserve"> the following indication:</w:t>
      </w:r>
    </w:p>
    <w:p w:rsidR="001D5DE1" w:rsidRPr="00627709" w:rsidRDefault="001D5DE1" w:rsidP="00627709">
      <w:pPr>
        <w:ind w:left="720"/>
        <w:rPr>
          <w:i/>
        </w:rPr>
      </w:pPr>
      <w:r w:rsidRPr="00627709">
        <w:rPr>
          <w:i/>
        </w:rPr>
        <w:t>L</w:t>
      </w:r>
      <w:r w:rsidR="008450D3">
        <w:rPr>
          <w:i/>
        </w:rPr>
        <w:t>envima</w:t>
      </w:r>
      <w:r w:rsidRPr="00627709">
        <w:rPr>
          <w:i/>
        </w:rPr>
        <w:t xml:space="preserve"> is indicated for the treatment of patients with progressive, locally advanced or metastatic, radioactive iodine refractory differentiated thyroid cancer.</w:t>
      </w:r>
    </w:p>
    <w:p w:rsidR="001D5DE1" w:rsidRDefault="001D5DE1" w:rsidP="00627709">
      <w:pPr>
        <w:pStyle w:val="Heading5"/>
      </w:pPr>
      <w:r>
        <w:t>GMP status</w:t>
      </w:r>
    </w:p>
    <w:p w:rsidR="001D5DE1" w:rsidRPr="00627709" w:rsidRDefault="001D5DE1" w:rsidP="00627709">
      <w:r w:rsidRPr="00627709">
        <w:t>The clearance note draws attention to the GMP status of the site of the drug subs</w:t>
      </w:r>
      <w:r w:rsidR="003513EE">
        <w:t xml:space="preserve">tance manufacturer. </w:t>
      </w:r>
      <w:r w:rsidR="00FB7508">
        <w:t xml:space="preserve">On balance, the Delegate </w:t>
      </w:r>
      <w:r w:rsidRPr="00627709">
        <w:t>consider</w:t>
      </w:r>
      <w:r w:rsidR="00FB7508">
        <w:t>s</w:t>
      </w:r>
      <w:r w:rsidRPr="00627709">
        <w:t xml:space="preserve"> that manufacturing and quality con</w:t>
      </w:r>
      <w:r w:rsidR="003513EE">
        <w:t>trol procedures are acceptable.</w:t>
      </w:r>
      <w:r w:rsidRPr="00627709">
        <w:t xml:space="preserve"> This is because: there was previous clearance at that site; there is a current application for renewal; no issue with the site is known to the </w:t>
      </w:r>
      <w:r w:rsidR="003513EE">
        <w:t>Chemistry</w:t>
      </w:r>
      <w:r w:rsidRPr="00627709">
        <w:t xml:space="preserve"> stream leader</w:t>
      </w:r>
      <w:r w:rsidR="003513EE">
        <w:t xml:space="preserve"> at TGA</w:t>
      </w:r>
      <w:r w:rsidR="00263C77">
        <w:t>,</w:t>
      </w:r>
      <w:r w:rsidRPr="00627709">
        <w:t xml:space="preserve"> and it appears likely that this site is also used to supply lenvatinib to other countries</w:t>
      </w:r>
      <w:r w:rsidR="003513EE">
        <w:rPr>
          <w:rStyle w:val="FootnoteReference"/>
        </w:rPr>
        <w:footnoteReference w:id="45"/>
      </w:r>
      <w:r w:rsidRPr="00627709">
        <w:t xml:space="preserve"> but there has been no</w:t>
      </w:r>
      <w:r w:rsidR="003513EE">
        <w:t xml:space="preserve"> major issue with manufacture/</w:t>
      </w:r>
      <w:r w:rsidRPr="00627709">
        <w:t>quality control of lenvatinib drug s</w:t>
      </w:r>
      <w:r w:rsidR="007B4DC7">
        <w:t>ubstance arising overseas, to the Delegate’s</w:t>
      </w:r>
      <w:r w:rsidRPr="00627709">
        <w:t xml:space="preserve"> knowledge.</w:t>
      </w:r>
    </w:p>
    <w:p w:rsidR="00673447" w:rsidRDefault="00673447" w:rsidP="00EF18B9">
      <w:pPr>
        <w:pStyle w:val="Heading5"/>
      </w:pPr>
      <w:r>
        <w:t>Summary of issues</w:t>
      </w:r>
    </w:p>
    <w:p w:rsidR="00673447" w:rsidRPr="00A62DCD" w:rsidRDefault="00673447" w:rsidP="00673447">
      <w:r w:rsidRPr="00A62DCD">
        <w:t xml:space="preserve">Lenvatinib is a </w:t>
      </w:r>
      <w:r w:rsidR="004C5A8A">
        <w:t>TKI</w:t>
      </w:r>
      <w:r w:rsidRPr="00A62DCD">
        <w:t xml:space="preserve"> with anti</w:t>
      </w:r>
      <w:r w:rsidR="004C5A8A">
        <w:t xml:space="preserve"> </w:t>
      </w:r>
      <w:proofErr w:type="spellStart"/>
      <w:r w:rsidRPr="00A62DCD">
        <w:t>angiogenic</w:t>
      </w:r>
      <w:proofErr w:type="spellEnd"/>
      <w:r w:rsidRPr="00A62DCD">
        <w:t xml:space="preserve"> properties, proposed for use in patients with progressive RR-DTC.</w:t>
      </w:r>
    </w:p>
    <w:p w:rsidR="00673447" w:rsidRPr="00A62DCD" w:rsidRDefault="00673447" w:rsidP="00673447">
      <w:r w:rsidRPr="00A62DCD">
        <w:t>There was only one pivotal study (Study 303). This study was well</w:t>
      </w:r>
      <w:r w:rsidR="004C5A8A">
        <w:t xml:space="preserve"> </w:t>
      </w:r>
      <w:r w:rsidRPr="00A62DCD">
        <w:t xml:space="preserve">designed </w:t>
      </w:r>
      <w:r>
        <w:t>and conducted. Its inclusion/</w:t>
      </w:r>
      <w:r w:rsidRPr="00A62DCD">
        <w:t>exclusion criteria allowed for extrapolation of outcomes to most of the proposed target</w:t>
      </w:r>
      <w:r>
        <w:t xml:space="preserve"> population. </w:t>
      </w:r>
      <w:r w:rsidRPr="00A62DCD">
        <w:t>There was a valuable treatment benefit, with a dramatic extension in the time patients remain progression</w:t>
      </w:r>
      <w:r w:rsidR="004C5A8A">
        <w:t xml:space="preserve"> </w:t>
      </w:r>
      <w:r w:rsidRPr="00A62DCD">
        <w:t xml:space="preserve">free (relative to placebo), from ~4 to ~18 months (accepting that </w:t>
      </w:r>
      <w:r>
        <w:t>PFS</w:t>
      </w:r>
      <w:r w:rsidRPr="00A62DCD">
        <w:t xml:space="preserve"> provides a relevant benefit to patients in this setting, and in the absence of a sign that </w:t>
      </w:r>
      <w:r>
        <w:t xml:space="preserve">overall survival is worsened). </w:t>
      </w:r>
      <w:r w:rsidRPr="00A62DCD">
        <w:t>The estimated benefit relative to placebo was cle</w:t>
      </w:r>
      <w:r w:rsidR="003513EE">
        <w:t>arly statistically significant.</w:t>
      </w:r>
      <w:r w:rsidRPr="00A62DCD">
        <w:t xml:space="preserve"> A subgroup analysis of PFS showed similar efficacy across important subgroups.</w:t>
      </w:r>
    </w:p>
    <w:p w:rsidR="00673447" w:rsidRPr="00A62DCD" w:rsidRDefault="00673447" w:rsidP="00673447">
      <w:r w:rsidRPr="00A62DCD">
        <w:t>Quality of life was not measured, and this was considered a deficiency.</w:t>
      </w:r>
    </w:p>
    <w:p w:rsidR="00673447" w:rsidRPr="00A62DCD" w:rsidRDefault="00673447" w:rsidP="00673447">
      <w:r w:rsidRPr="00A62DCD">
        <w:t>In the same study, lenvatinib demonstrated substantial</w:t>
      </w:r>
      <w:r>
        <w:t xml:space="preserve"> toxicity. </w:t>
      </w:r>
      <w:r w:rsidRPr="00A62DCD">
        <w:t>This was in keeping with its known pharmacological effects</w:t>
      </w:r>
      <w:r>
        <w:t xml:space="preserve">. </w:t>
      </w:r>
      <w:r w:rsidRPr="00A62DCD">
        <w:t>Severe or life</w:t>
      </w:r>
      <w:r w:rsidR="004C5A8A">
        <w:t xml:space="preserve"> </w:t>
      </w:r>
      <w:r w:rsidRPr="00A62DCD">
        <w:t>threatening reactions were very common, and there was an imbalance in toxicity even after adjusting for the distinct imbalance in exposure across arms.</w:t>
      </w:r>
      <w:r>
        <w:t xml:space="preserve"> </w:t>
      </w:r>
      <w:r w:rsidRPr="00A62DCD">
        <w:t>In ~90% of subjects, d</w:t>
      </w:r>
      <w:r>
        <w:t xml:space="preserve">ose modification was required. </w:t>
      </w:r>
      <w:r w:rsidRPr="00A62DCD">
        <w:t xml:space="preserve">However, it is relevant that duration of treatment with lenvatinib was substantially longer than with </w:t>
      </w:r>
      <w:r w:rsidR="004C5A8A">
        <w:t xml:space="preserve">placebo, </w:t>
      </w:r>
      <w:r w:rsidRPr="00A62DCD">
        <w:t>suggesting dose modification is feasible in dealing with toxicity, for most patients.</w:t>
      </w:r>
    </w:p>
    <w:p w:rsidR="00673447" w:rsidRDefault="00673447" w:rsidP="00673447">
      <w:r w:rsidRPr="00A62DCD">
        <w:t>The sponsor is committed to conducting a study of alternative starting doses, and this study’s results should be provided to the TGA when available.</w:t>
      </w:r>
    </w:p>
    <w:p w:rsidR="00D23139" w:rsidRDefault="00D23139" w:rsidP="00D23139">
      <w:pPr>
        <w:pStyle w:val="Heading4"/>
      </w:pPr>
      <w:r w:rsidRPr="00D23139">
        <w:t>Proposed action</w:t>
      </w:r>
    </w:p>
    <w:p w:rsidR="00673447" w:rsidRPr="00673447" w:rsidRDefault="00673447" w:rsidP="00673447">
      <w:r w:rsidRPr="00673447">
        <w:t xml:space="preserve">If the sponsor provides a </w:t>
      </w:r>
      <w:r w:rsidR="004C5A8A">
        <w:t>suitably modified PI document, the Delegate</w:t>
      </w:r>
      <w:r w:rsidRPr="00673447">
        <w:t xml:space="preserve"> will approve the application to register lenvatinib for the following indication:</w:t>
      </w:r>
    </w:p>
    <w:p w:rsidR="00673447" w:rsidRPr="00673447" w:rsidRDefault="00673447" w:rsidP="00673447">
      <w:pPr>
        <w:ind w:left="720"/>
        <w:rPr>
          <w:i/>
        </w:rPr>
      </w:pPr>
      <w:r w:rsidRPr="00673447">
        <w:rPr>
          <w:i/>
        </w:rPr>
        <w:t>L</w:t>
      </w:r>
      <w:r w:rsidR="00EF18B9">
        <w:rPr>
          <w:i/>
        </w:rPr>
        <w:t xml:space="preserve">envima </w:t>
      </w:r>
      <w:r w:rsidRPr="00673447">
        <w:rPr>
          <w:i/>
        </w:rPr>
        <w:t>is indicated for the treatment of patients with progressive, locally advanced or metastatic, radioactive iodine refractory differentiated thyroid cancer.</w:t>
      </w:r>
    </w:p>
    <w:p w:rsidR="00673447" w:rsidRPr="00673447" w:rsidRDefault="004C5A8A" w:rsidP="00673447">
      <w:r>
        <w:t xml:space="preserve">The Delegate </w:t>
      </w:r>
      <w:r w:rsidR="00673447" w:rsidRPr="00673447">
        <w:t>propose</w:t>
      </w:r>
      <w:r>
        <w:t>s</w:t>
      </w:r>
      <w:r w:rsidR="00673447" w:rsidRPr="00673447">
        <w:t xml:space="preserve"> to request from the company a commitment to provide the TGA with results from the planned study of alternative, lower starting doses in DTC, when the </w:t>
      </w:r>
      <w:r w:rsidR="00673447" w:rsidRPr="00673447">
        <w:lastRenderedPageBreak/>
        <w:t>C</w:t>
      </w:r>
      <w:r>
        <w:t>lini</w:t>
      </w:r>
      <w:r w:rsidR="002D1A69">
        <w:t>cal Study</w:t>
      </w:r>
      <w:r>
        <w:t xml:space="preserve"> Report</w:t>
      </w:r>
      <w:r w:rsidR="00673447" w:rsidRPr="00673447">
        <w:t xml:space="preserve"> is available.</w:t>
      </w:r>
      <w:r w:rsidR="00AD4923">
        <w:t xml:space="preserve"> </w:t>
      </w:r>
      <w:r w:rsidR="00673447" w:rsidRPr="00673447">
        <w:t>The midazolam-lenvatinib interaction study results should also be provided when available.</w:t>
      </w:r>
    </w:p>
    <w:p w:rsidR="00D23139" w:rsidRDefault="00D23139" w:rsidP="00D23139">
      <w:pPr>
        <w:pStyle w:val="Heading4"/>
      </w:pPr>
      <w:r w:rsidRPr="00D23139">
        <w:t>Request for ACPM advice</w:t>
      </w:r>
    </w:p>
    <w:p w:rsidR="000E016C" w:rsidRPr="008870E9" w:rsidRDefault="000E016C" w:rsidP="008870E9">
      <w:r w:rsidRPr="008870E9">
        <w:t>Lenvatinib has orphan desi</w:t>
      </w:r>
      <w:r w:rsidR="008870E9">
        <w:t xml:space="preserve">gnation in Australia, for DTC. </w:t>
      </w:r>
      <w:r w:rsidRPr="008870E9">
        <w:t>In the US, lenvatinib a</w:t>
      </w:r>
      <w:r w:rsidR="00553EF6">
        <w:t xml:space="preserve">lso has orphan status for DTC. </w:t>
      </w:r>
      <w:r w:rsidRPr="008870E9">
        <w:t xml:space="preserve">Lenvatinib is approved for use in DTC in the </w:t>
      </w:r>
      <w:r w:rsidR="008870E9">
        <w:t>US.</w:t>
      </w:r>
      <w:r w:rsidRPr="008870E9">
        <w:t xml:space="preserve"> The TGA website states:</w:t>
      </w:r>
    </w:p>
    <w:p w:rsidR="000E016C" w:rsidRPr="0068519D" w:rsidRDefault="000E016C" w:rsidP="0068519D">
      <w:pPr>
        <w:ind w:left="720"/>
        <w:rPr>
          <w:b/>
          <w:i/>
        </w:rPr>
      </w:pPr>
      <w:r w:rsidRPr="0068519D">
        <w:rPr>
          <w:b/>
          <w:i/>
        </w:rPr>
        <w:t>If FDA has approved an orphan drug product for marketing in the USA</w:t>
      </w:r>
    </w:p>
    <w:p w:rsidR="000E016C" w:rsidRPr="0068519D" w:rsidRDefault="000E016C" w:rsidP="0068519D">
      <w:pPr>
        <w:ind w:left="720"/>
        <w:rPr>
          <w:i/>
        </w:rPr>
      </w:pPr>
      <w:r w:rsidRPr="0068519D">
        <w:rPr>
          <w:i/>
        </w:rPr>
        <w:t>Evaluation of the application for registration on the ARTG may be expedited if you can assist us in obtaining copies of the complete FDA evaluation report(s).</w:t>
      </w:r>
    </w:p>
    <w:p w:rsidR="000E016C" w:rsidRPr="0068519D" w:rsidRDefault="000E016C" w:rsidP="0068519D">
      <w:pPr>
        <w:ind w:left="720"/>
        <w:rPr>
          <w:i/>
        </w:rPr>
      </w:pPr>
      <w:r w:rsidRPr="0068519D">
        <w:rPr>
          <w:i/>
        </w:rPr>
        <w:t>In this case:</w:t>
      </w:r>
    </w:p>
    <w:p w:rsidR="000E016C" w:rsidRPr="0068519D" w:rsidRDefault="000E016C" w:rsidP="0068519D">
      <w:pPr>
        <w:pStyle w:val="ListBullet3"/>
        <w:rPr>
          <w:i/>
        </w:rPr>
      </w:pPr>
      <w:r w:rsidRPr="0068519D">
        <w:rPr>
          <w:i/>
        </w:rPr>
        <w:t>provide a comprehensive summary of the similarities/differences between the data package submitted to TGA and the data packages submitted to the FDA</w:t>
      </w:r>
    </w:p>
    <w:p w:rsidR="000E016C" w:rsidRPr="0068519D" w:rsidRDefault="000E016C" w:rsidP="0068519D">
      <w:pPr>
        <w:pStyle w:val="ListBullet3"/>
        <w:rPr>
          <w:i/>
        </w:rPr>
      </w:pPr>
      <w:r w:rsidRPr="0068519D">
        <w:rPr>
          <w:i/>
        </w:rPr>
        <w:t>Include this when submitting the registration dossier.</w:t>
      </w:r>
    </w:p>
    <w:p w:rsidR="000E016C" w:rsidRPr="0068519D" w:rsidRDefault="000E016C" w:rsidP="0068519D">
      <w:pPr>
        <w:ind w:left="720"/>
      </w:pPr>
      <w:r w:rsidRPr="0068519D">
        <w:rPr>
          <w:i/>
        </w:rPr>
        <w:t>Note: This situation will not apply if FDA approval is not recent (more than 2 years) and/or you have become aware of any additional safety issues.</w:t>
      </w:r>
    </w:p>
    <w:p w:rsidR="0056346D" w:rsidRDefault="000E016C" w:rsidP="008870E9">
      <w:r w:rsidRPr="008870E9">
        <w:t>In the spirit of this policy, and given access to US review documen</w:t>
      </w:r>
      <w:r w:rsidR="004C5A8A">
        <w:t xml:space="preserve">ts at </w:t>
      </w:r>
      <w:proofErr w:type="spellStart"/>
      <w:r w:rsidR="004C5A8A">
        <w:t>Drugs@FDA</w:t>
      </w:r>
      <w:proofErr w:type="spellEnd"/>
      <w:r w:rsidR="004C5A8A">
        <w:t xml:space="preserve"> and the EMA European Public Assessment Report (EPAR)</w:t>
      </w:r>
      <w:r w:rsidR="00695F28">
        <w:rPr>
          <w:rStyle w:val="FootnoteReference"/>
        </w:rPr>
        <w:footnoteReference w:id="46"/>
      </w:r>
      <w:r w:rsidRPr="008870E9">
        <w:t xml:space="preserve"> (and other EMA </w:t>
      </w:r>
      <w:r w:rsidR="008870E9">
        <w:t xml:space="preserve">review documents), the Delegate </w:t>
      </w:r>
      <w:r w:rsidRPr="008870E9">
        <w:t>think</w:t>
      </w:r>
      <w:r w:rsidR="008870E9">
        <w:t>s</w:t>
      </w:r>
      <w:r w:rsidRPr="008870E9">
        <w:t xml:space="preserve"> it reasonable to use US FDA and EU EMA c</w:t>
      </w:r>
      <w:r w:rsidR="00695F28">
        <w:t>ritiques of the lenvatinib DTC submission</w:t>
      </w:r>
      <w:r w:rsidRPr="008870E9">
        <w:t xml:space="preserve"> as sources of ‘adv</w:t>
      </w:r>
      <w:r w:rsidR="0056346D">
        <w:t>ice’ about this application.</w:t>
      </w:r>
    </w:p>
    <w:p w:rsidR="00A62DCD" w:rsidRPr="008870E9" w:rsidRDefault="0056346D" w:rsidP="008870E9">
      <w:r>
        <w:t xml:space="preserve">The Delegate </w:t>
      </w:r>
      <w:r w:rsidR="000E016C" w:rsidRPr="008870E9">
        <w:t>elect</w:t>
      </w:r>
      <w:r>
        <w:t>s</w:t>
      </w:r>
      <w:r w:rsidR="000E016C" w:rsidRPr="008870E9">
        <w:t xml:space="preserve"> not to consult the </w:t>
      </w:r>
      <w:r w:rsidR="008F0C17" w:rsidRPr="008F0C17">
        <w:t xml:space="preserve">Advisory Committee on Prescription Medicines </w:t>
      </w:r>
      <w:r w:rsidR="008F0C17">
        <w:t>(</w:t>
      </w:r>
      <w:r w:rsidR="000E016C" w:rsidRPr="008870E9">
        <w:t>ACPM</w:t>
      </w:r>
      <w:r w:rsidR="008F0C17">
        <w:t>)</w:t>
      </w:r>
      <w:r w:rsidR="000E016C" w:rsidRPr="008870E9">
        <w:t xml:space="preserve"> as after reviewing FDA and EMA</w:t>
      </w:r>
      <w:r w:rsidR="000C18B0">
        <w:t xml:space="preserve"> documents and has</w:t>
      </w:r>
      <w:r w:rsidR="000E016C" w:rsidRPr="008870E9">
        <w:t xml:space="preserve"> no substantial questions.</w:t>
      </w:r>
    </w:p>
    <w:p w:rsidR="008E7846" w:rsidRDefault="008E7846" w:rsidP="008E7846">
      <w:pPr>
        <w:pStyle w:val="Heading4"/>
      </w:pPr>
      <w:r>
        <w:t xml:space="preserve">Advisory </w:t>
      </w:r>
      <w:r w:rsidR="00F408AC">
        <w:t>c</w:t>
      </w:r>
      <w:r>
        <w:t xml:space="preserve">ommittee </w:t>
      </w:r>
      <w:r w:rsidR="00E63418">
        <w:t>c</w:t>
      </w:r>
      <w:r>
        <w:t>onsiderations</w:t>
      </w:r>
    </w:p>
    <w:p w:rsidR="009E07AA" w:rsidRPr="009E07AA" w:rsidRDefault="00D23139" w:rsidP="009E07AA">
      <w:pPr>
        <w:rPr>
          <w:bCs/>
        </w:rPr>
      </w:pPr>
      <w:r w:rsidRPr="00D23139">
        <w:rPr>
          <w:bCs/>
        </w:rPr>
        <w:t xml:space="preserve">The </w:t>
      </w:r>
      <w:r w:rsidR="00A62DCD">
        <w:rPr>
          <w:bCs/>
        </w:rPr>
        <w:t>ACPM</w:t>
      </w:r>
      <w:r w:rsidR="009E07AA">
        <w:rPr>
          <w:bCs/>
        </w:rPr>
        <w:t xml:space="preserve"> was not consulted for this submission.</w:t>
      </w:r>
    </w:p>
    <w:p w:rsidR="008E7846" w:rsidRPr="002E238E" w:rsidRDefault="008E7846" w:rsidP="008E7846">
      <w:pPr>
        <w:pStyle w:val="Heading3"/>
      </w:pPr>
      <w:bookmarkStart w:id="158" w:name="_Toc247691532"/>
      <w:bookmarkStart w:id="159" w:name="_Toc314842516"/>
      <w:bookmarkStart w:id="160" w:name="_Toc461092064"/>
      <w:bookmarkEnd w:id="111"/>
      <w:bookmarkEnd w:id="155"/>
      <w:bookmarkEnd w:id="156"/>
      <w:r>
        <w:t>Outcome</w:t>
      </w:r>
      <w:bookmarkEnd w:id="158"/>
      <w:bookmarkEnd w:id="159"/>
      <w:bookmarkEnd w:id="160"/>
    </w:p>
    <w:p w:rsidR="00D23139" w:rsidRPr="00D23139" w:rsidRDefault="00D23139" w:rsidP="00D23139">
      <w:bookmarkStart w:id="161" w:name="_Toc247691533"/>
      <w:bookmarkStart w:id="162" w:name="_Toc314842517"/>
      <w:r w:rsidRPr="00D23139">
        <w:t xml:space="preserve">Based on a review of quality, safety and efficacy, TGA approved the registration of </w:t>
      </w:r>
      <w:r w:rsidR="00956906">
        <w:t xml:space="preserve">Lenvima </w:t>
      </w:r>
      <w:r w:rsidR="00790F4C" w:rsidRPr="00790F4C">
        <w:t>(lenvatinib as lenvatinib mesilate) 4</w:t>
      </w:r>
      <w:r w:rsidR="00B50179">
        <w:t xml:space="preserve"> </w:t>
      </w:r>
      <w:r w:rsidR="00790F4C" w:rsidRPr="00790F4C">
        <w:t>mg and 10</w:t>
      </w:r>
      <w:r w:rsidR="00B50179">
        <w:t xml:space="preserve"> </w:t>
      </w:r>
      <w:r w:rsidR="00790F4C" w:rsidRPr="00790F4C">
        <w:t>mg hard capsule</w:t>
      </w:r>
      <w:r w:rsidR="00790F4C">
        <w:t>s</w:t>
      </w:r>
      <w:r w:rsidRPr="00D23139">
        <w:t xml:space="preserve"> indicated for:</w:t>
      </w:r>
    </w:p>
    <w:p w:rsidR="00D23139" w:rsidRPr="00232A97" w:rsidRDefault="00B50179" w:rsidP="008D4969">
      <w:pPr>
        <w:ind w:left="720"/>
        <w:rPr>
          <w:i/>
        </w:rPr>
      </w:pPr>
      <w:r>
        <w:rPr>
          <w:i/>
        </w:rPr>
        <w:t>Lenvima</w:t>
      </w:r>
      <w:r w:rsidR="008D4969">
        <w:rPr>
          <w:i/>
        </w:rPr>
        <w:t xml:space="preserve"> </w:t>
      </w:r>
      <w:r w:rsidRPr="00B50179">
        <w:rPr>
          <w:i/>
        </w:rPr>
        <w:t>is indicated for the treatment of patients with progressive, locally advanced or metastatic, radioactive iodine refractory differentiated thyroid cancer.</w:t>
      </w:r>
    </w:p>
    <w:p w:rsidR="00D23139" w:rsidRPr="00D23139" w:rsidRDefault="00D23139" w:rsidP="00D23139">
      <w:pPr>
        <w:pStyle w:val="Heading4"/>
      </w:pPr>
      <w:r w:rsidRPr="00D23139">
        <w:t>Specific conditions of registration applying to these goods</w:t>
      </w:r>
    </w:p>
    <w:p w:rsidR="00D23139" w:rsidRPr="0032372F" w:rsidRDefault="0032372F" w:rsidP="0032372F">
      <w:pPr>
        <w:pStyle w:val="ListBullet"/>
      </w:pPr>
      <w:r w:rsidRPr="0032372F">
        <w:t xml:space="preserve">The lenvatinib (lenvatinib as mesilate) EU-RMP version 6.0 dated 26 March 2015 (data lock point: 15 September 2013, 15 March 2014 for Study 303) with </w:t>
      </w:r>
      <w:r w:rsidR="008C36DB">
        <w:t>ASA</w:t>
      </w:r>
      <w:r w:rsidRPr="0032372F">
        <w:t xml:space="preserve"> version 2 dated August 2015 and any future updates as agreed by the TGA will be implemented in Australia</w:t>
      </w:r>
      <w:r w:rsidR="000A505B">
        <w:t>.</w:t>
      </w:r>
    </w:p>
    <w:p w:rsidR="008E7846" w:rsidRDefault="00A80B5B" w:rsidP="00D23139">
      <w:pPr>
        <w:pStyle w:val="Heading2"/>
      </w:pPr>
      <w:bookmarkStart w:id="163" w:name="_Toc461092065"/>
      <w:proofErr w:type="gramStart"/>
      <w:r>
        <w:lastRenderedPageBreak/>
        <w:t>Attachment 1.</w:t>
      </w:r>
      <w:proofErr w:type="gramEnd"/>
      <w:r>
        <w:t xml:space="preserve"> </w:t>
      </w:r>
      <w:r w:rsidR="008E7846">
        <w:t xml:space="preserve">Product </w:t>
      </w:r>
      <w:r w:rsidR="00AA0ED0">
        <w:t>I</w:t>
      </w:r>
      <w:r w:rsidR="008E7846">
        <w:t>nformation</w:t>
      </w:r>
      <w:bookmarkEnd w:id="161"/>
      <w:bookmarkEnd w:id="162"/>
      <w:bookmarkEnd w:id="163"/>
    </w:p>
    <w:p w:rsidR="00C80137" w:rsidRDefault="002B3624" w:rsidP="00C80137">
      <w:pPr>
        <w:rPr>
          <w:color w:val="000000"/>
          <w:lang w:eastAsia="en-AU"/>
        </w:rPr>
      </w:pPr>
      <w:r w:rsidRPr="00232A97">
        <w:t xml:space="preserve">The </w:t>
      </w:r>
      <w:r w:rsidR="00133A1B" w:rsidRPr="00232A97">
        <w:t>PI</w:t>
      </w:r>
      <w:r w:rsidRPr="00232A97">
        <w:t xml:space="preserve"> approved for </w:t>
      </w:r>
      <w:r w:rsidR="00BB3350">
        <w:t>Lenvima</w:t>
      </w:r>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24"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64" w:name="_Toc461092066"/>
      <w:proofErr w:type="gramStart"/>
      <w:r>
        <w:rPr>
          <w:lang w:eastAsia="en-AU"/>
        </w:rPr>
        <w:t>Attachment 2.</w:t>
      </w:r>
      <w:proofErr w:type="gramEnd"/>
      <w:r w:rsidR="00A80B5B">
        <w:rPr>
          <w:lang w:eastAsia="en-AU"/>
        </w:rPr>
        <w:t xml:space="preserve"> </w:t>
      </w:r>
      <w:r>
        <w:rPr>
          <w:lang w:eastAsia="en-AU"/>
        </w:rPr>
        <w:t>Extract from the Clinical Evaluation Report</w:t>
      </w:r>
      <w:bookmarkEnd w:id="164"/>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9" w:history="1">
              <w:r w:rsidRPr="004C239D">
                <w:rPr>
                  <w:rStyle w:val="Hyperlink"/>
                </w:rPr>
                <w:t>info@tga.gov.au</w:t>
              </w:r>
            </w:hyperlink>
            <w:r w:rsidRPr="00487162">
              <w:t xml:space="preserve">  Phone: 1800 020 653  Fax: 02 6232 8605</w:t>
            </w:r>
          </w:p>
          <w:p w:rsidR="001C32CD" w:rsidRPr="004C239D" w:rsidRDefault="00772CC0" w:rsidP="00A05FA4">
            <w:pPr>
              <w:pStyle w:val="Address"/>
              <w:spacing w:line="260" w:lineRule="atLeast"/>
              <w:rPr>
                <w:b/>
                <w:color w:val="0000FF"/>
                <w:u w:val="single"/>
              </w:rPr>
            </w:pPr>
            <w:hyperlink r:id="rId30"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CC0" w:rsidRDefault="00772CC0" w:rsidP="00C40A36">
      <w:pPr>
        <w:spacing w:after="0"/>
      </w:pPr>
      <w:r>
        <w:separator/>
      </w:r>
    </w:p>
  </w:endnote>
  <w:endnote w:type="continuationSeparator" w:id="0">
    <w:p w:rsidR="00772CC0" w:rsidRDefault="00772CC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72CC0" w:rsidRPr="00487162" w:rsidTr="00DB750B">
      <w:trPr>
        <w:trHeight w:val="269"/>
      </w:trPr>
      <w:tc>
        <w:tcPr>
          <w:tcW w:w="7371" w:type="dxa"/>
          <w:tcMar>
            <w:top w:w="142" w:type="dxa"/>
            <w:bottom w:w="0" w:type="dxa"/>
          </w:tcMar>
        </w:tcPr>
        <w:p w:rsidR="00772CC0" w:rsidRPr="00487162" w:rsidRDefault="00772CC0" w:rsidP="005E63A9">
          <w:pPr>
            <w:pStyle w:val="Footer"/>
          </w:pPr>
          <w:r w:rsidRPr="00487162">
            <w:t>AusPA</w:t>
          </w:r>
          <w:r>
            <w:t xml:space="preserve">R Lenvima Eisai Australia Pty Ltd </w:t>
          </w:r>
          <w:r w:rsidRPr="008A6E9E">
            <w:t>PM-2014-04321-1-4</w:t>
          </w:r>
          <w:r>
            <w:br/>
            <w:t>Final 30 August 2016</w:t>
          </w:r>
        </w:p>
      </w:tc>
      <w:tc>
        <w:tcPr>
          <w:tcW w:w="1490" w:type="dxa"/>
          <w:tcMar>
            <w:top w:w="142" w:type="dxa"/>
            <w:bottom w:w="0" w:type="dxa"/>
          </w:tcMar>
        </w:tcPr>
        <w:p w:rsidR="00772CC0" w:rsidRPr="00487162" w:rsidRDefault="00772CC0" w:rsidP="00DB750B">
          <w:pPr>
            <w:pStyle w:val="Footer"/>
            <w:jc w:val="right"/>
          </w:pPr>
          <w:r w:rsidRPr="00487162">
            <w:t xml:space="preserve">Page </w:t>
          </w:r>
          <w:r>
            <w:fldChar w:fldCharType="begin"/>
          </w:r>
          <w:r>
            <w:instrText xml:space="preserve"> PAGE  \* Arabic </w:instrText>
          </w:r>
          <w:r>
            <w:fldChar w:fldCharType="separate"/>
          </w:r>
          <w:r w:rsidR="00A81F26">
            <w:rPr>
              <w:noProof/>
            </w:rPr>
            <w:t>3</w:t>
          </w:r>
          <w:r>
            <w:fldChar w:fldCharType="end"/>
          </w:r>
          <w:r w:rsidRPr="00487162">
            <w:t xml:space="preserve"> of </w:t>
          </w:r>
          <w:r>
            <w:fldChar w:fldCharType="begin"/>
          </w:r>
          <w:r>
            <w:instrText xml:space="preserve"> NUMPAGES  \* Arabic </w:instrText>
          </w:r>
          <w:r>
            <w:fldChar w:fldCharType="separate"/>
          </w:r>
          <w:r w:rsidR="00A81F26">
            <w:rPr>
              <w:noProof/>
            </w:rPr>
            <w:t>64</w:t>
          </w:r>
          <w:r>
            <w:rPr>
              <w:noProof/>
            </w:rPr>
            <w:fldChar w:fldCharType="end"/>
          </w:r>
        </w:p>
      </w:tc>
    </w:tr>
  </w:tbl>
  <w:p w:rsidR="00772CC0" w:rsidRDefault="00772CC0"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72CC0" w:rsidRPr="00487162" w:rsidTr="00E45619">
      <w:trPr>
        <w:trHeight w:val="269"/>
      </w:trPr>
      <w:tc>
        <w:tcPr>
          <w:tcW w:w="4519" w:type="dxa"/>
          <w:tcBorders>
            <w:top w:val="single" w:sz="4" w:space="0" w:color="auto"/>
          </w:tcBorders>
          <w:tcMar>
            <w:top w:w="142" w:type="dxa"/>
            <w:bottom w:w="0" w:type="dxa"/>
          </w:tcMar>
        </w:tcPr>
        <w:p w:rsidR="00772CC0" w:rsidRPr="00487162" w:rsidRDefault="00772CC0" w:rsidP="00FE1DEE">
          <w:pPr>
            <w:pStyle w:val="Footer"/>
          </w:pPr>
          <w:r w:rsidRPr="00487162">
            <w:t>Document title, Part #, Section # - Section title</w:t>
          </w:r>
        </w:p>
        <w:p w:rsidR="00772CC0" w:rsidRPr="00487162" w:rsidRDefault="00772CC0" w:rsidP="00FE1DEE">
          <w:pPr>
            <w:pStyle w:val="Footer"/>
          </w:pPr>
          <w:r w:rsidRPr="00487162">
            <w:t>V1.0 October 2010</w:t>
          </w:r>
        </w:p>
      </w:tc>
      <w:tc>
        <w:tcPr>
          <w:tcW w:w="4342" w:type="dxa"/>
          <w:tcBorders>
            <w:top w:val="single" w:sz="4" w:space="0" w:color="auto"/>
          </w:tcBorders>
          <w:tcMar>
            <w:top w:w="142" w:type="dxa"/>
            <w:bottom w:w="0" w:type="dxa"/>
          </w:tcMar>
        </w:tcPr>
        <w:p w:rsidR="00772CC0" w:rsidRPr="00487162" w:rsidRDefault="00772CC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w:t>
          </w:r>
          <w:r>
            <w:rPr>
              <w:noProof/>
            </w:rPr>
            <w:fldChar w:fldCharType="end"/>
          </w:r>
        </w:p>
      </w:tc>
    </w:tr>
  </w:tbl>
  <w:p w:rsidR="00772CC0" w:rsidRDefault="00772C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CC0" w:rsidRPr="001C32CD" w:rsidRDefault="00772CC0"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72CC0" w:rsidTr="0010601F">
      <w:trPr>
        <w:trHeight w:val="108"/>
      </w:trPr>
      <w:tc>
        <w:tcPr>
          <w:tcW w:w="8875" w:type="dxa"/>
          <w:gridSpan w:val="2"/>
          <w:tcBorders>
            <w:bottom w:val="single" w:sz="4" w:space="0" w:color="auto"/>
          </w:tcBorders>
          <w:tcMar>
            <w:right w:w="284" w:type="dxa"/>
          </w:tcMar>
        </w:tcPr>
        <w:p w:rsidR="00772CC0" w:rsidRDefault="00772CC0" w:rsidP="006E08B3">
          <w:pPr>
            <w:pStyle w:val="Heading3"/>
          </w:pPr>
          <w:r>
            <w:t>Copyright</w:t>
          </w:r>
        </w:p>
        <w:p w:rsidR="00772CC0" w:rsidRDefault="00772CC0" w:rsidP="006E08B3">
          <w:r>
            <w:rPr>
              <w:rFonts w:cs="Arial"/>
            </w:rPr>
            <w:t>©</w:t>
          </w:r>
          <w:r>
            <w:t xml:space="preserve"> Commonwealth of Australia [add year]</w:t>
          </w:r>
        </w:p>
        <w:p w:rsidR="00772CC0" w:rsidRDefault="00772CC0" w:rsidP="006E08B3"/>
        <w:p w:rsidR="00772CC0" w:rsidRDefault="00772CC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72CC0" w:rsidRDefault="00772CC0" w:rsidP="006E08B3"/>
        <w:p w:rsidR="00772CC0" w:rsidRDefault="00772CC0" w:rsidP="006E08B3">
          <w:pPr>
            <w:pStyle w:val="Heading3"/>
          </w:pPr>
          <w:r>
            <w:t>Confidentiality</w:t>
          </w:r>
        </w:p>
        <w:p w:rsidR="00772CC0" w:rsidRDefault="00772CC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72CC0" w:rsidRDefault="00772CC0" w:rsidP="006E08B3"/>
        <w:p w:rsidR="00772CC0" w:rsidRDefault="00772CC0" w:rsidP="006E08B3">
          <w:r>
            <w:t>For submission made by individuals, all personal details, other than your name, will be removed from your submission before it is published on the TGA’s Internet site.</w:t>
          </w:r>
        </w:p>
        <w:p w:rsidR="00772CC0" w:rsidRDefault="00772CC0" w:rsidP="006E08B3"/>
        <w:p w:rsidR="00772CC0" w:rsidRDefault="00772CC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72CC0" w:rsidTr="0010601F">
      <w:trPr>
        <w:trHeight w:val="417"/>
      </w:trPr>
      <w:tc>
        <w:tcPr>
          <w:tcW w:w="4519" w:type="dxa"/>
          <w:tcBorders>
            <w:top w:val="single" w:sz="4" w:space="0" w:color="auto"/>
          </w:tcBorders>
          <w:tcMar>
            <w:top w:w="142" w:type="dxa"/>
            <w:bottom w:w="0" w:type="dxa"/>
          </w:tcMar>
        </w:tcPr>
        <w:p w:rsidR="00772CC0" w:rsidRDefault="00772CC0" w:rsidP="006E08B3">
          <w:r>
            <w:t>Document title, Part #, Section # - Section title</w:t>
          </w:r>
        </w:p>
        <w:p w:rsidR="00772CC0" w:rsidRDefault="00772CC0" w:rsidP="006E08B3">
          <w:r>
            <w:t>V1.0 October 2010</w:t>
          </w:r>
        </w:p>
      </w:tc>
      <w:tc>
        <w:tcPr>
          <w:tcW w:w="4356" w:type="dxa"/>
          <w:tcBorders>
            <w:top w:val="single" w:sz="4" w:space="0" w:color="auto"/>
          </w:tcBorders>
          <w:tcMar>
            <w:top w:w="142" w:type="dxa"/>
            <w:bottom w:w="0" w:type="dxa"/>
          </w:tcMar>
        </w:tcPr>
        <w:p w:rsidR="00772CC0" w:rsidRDefault="00772CC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w:t>
          </w:r>
          <w:r>
            <w:rPr>
              <w:noProof/>
            </w:rPr>
            <w:fldChar w:fldCharType="end"/>
          </w:r>
          <w:r>
            <w:t xml:space="preserve">  </w:t>
          </w:r>
        </w:p>
      </w:tc>
    </w:tr>
  </w:tbl>
  <w:p w:rsidR="00772CC0" w:rsidRDefault="00772C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CC0" w:rsidRDefault="00772CC0" w:rsidP="00C40A36">
      <w:pPr>
        <w:spacing w:after="0"/>
      </w:pPr>
      <w:r>
        <w:separator/>
      </w:r>
    </w:p>
  </w:footnote>
  <w:footnote w:type="continuationSeparator" w:id="0">
    <w:p w:rsidR="00772CC0" w:rsidRDefault="00772CC0" w:rsidP="00C40A36">
      <w:pPr>
        <w:spacing w:after="0"/>
      </w:pPr>
      <w:r>
        <w:continuationSeparator/>
      </w:r>
    </w:p>
  </w:footnote>
  <w:footnote w:id="1">
    <w:p w:rsidR="00772CC0" w:rsidRPr="0049788C" w:rsidRDefault="00772CC0" w:rsidP="00772CC0">
      <w:pPr>
        <w:pStyle w:val="FootnoteText"/>
        <w:rPr>
          <w:lang w:val="en-US"/>
        </w:rPr>
      </w:pPr>
      <w:r>
        <w:rPr>
          <w:rStyle w:val="FootnoteReference"/>
        </w:rPr>
        <w:footnoteRef/>
      </w:r>
      <w:r>
        <w:t xml:space="preserve"> </w:t>
      </w:r>
      <w:proofErr w:type="gramStart"/>
      <w:r>
        <w:t>A</w:t>
      </w:r>
      <w:r w:rsidRPr="00C844A2">
        <w:t>lso known as KDR/FLK-1</w:t>
      </w:r>
      <w:r>
        <w:t>.</w:t>
      </w:r>
      <w:proofErr w:type="gramEnd"/>
    </w:p>
  </w:footnote>
  <w:footnote w:id="2">
    <w:p w:rsidR="00772CC0" w:rsidRDefault="00772CC0" w:rsidP="00642917">
      <w:pPr>
        <w:pStyle w:val="FootnoteText"/>
      </w:pPr>
      <w:r>
        <w:rPr>
          <w:rStyle w:val="FootnoteReference"/>
        </w:rPr>
        <w:footnoteRef/>
      </w:r>
      <w:r>
        <w:t xml:space="preserve"> A third subtype, </w:t>
      </w:r>
      <w:proofErr w:type="spellStart"/>
      <w:r>
        <w:t>Hurthle</w:t>
      </w:r>
      <w:proofErr w:type="spellEnd"/>
      <w:r>
        <w:t xml:space="preserve"> cell, is sometimes referenced as a variant of follicular carcinoma</w:t>
      </w:r>
    </w:p>
  </w:footnote>
  <w:footnote w:id="3">
    <w:p w:rsidR="00772CC0" w:rsidRPr="00C0614C" w:rsidRDefault="00772CC0">
      <w:pPr>
        <w:pStyle w:val="FootnoteText"/>
        <w:rPr>
          <w:lang w:val="en-US"/>
        </w:rPr>
      </w:pPr>
      <w:r>
        <w:rPr>
          <w:rStyle w:val="FootnoteReference"/>
        </w:rPr>
        <w:footnoteRef/>
      </w:r>
      <w:r>
        <w:t xml:space="preserve"> </w:t>
      </w:r>
      <w:r w:rsidRPr="00780D35">
        <w:t>Tuttle RM. Differentiated thyroid cancer: overview of management. Up-to-date Topic 7838 Version 14.0 Topic last updated S</w:t>
      </w:r>
      <w:r>
        <w:t>ep 17, 2014.</w:t>
      </w:r>
    </w:p>
  </w:footnote>
  <w:footnote w:id="4">
    <w:p w:rsidR="00772CC0" w:rsidRPr="00540CAD" w:rsidRDefault="00772CC0">
      <w:pPr>
        <w:pStyle w:val="FootnoteText"/>
        <w:rPr>
          <w:lang w:val="en-US"/>
        </w:rPr>
      </w:pPr>
      <w:r>
        <w:rPr>
          <w:rStyle w:val="FootnoteReference"/>
        </w:rPr>
        <w:footnoteRef/>
      </w:r>
      <w:r>
        <w:t xml:space="preserve"> </w:t>
      </w:r>
      <w:proofErr w:type="gramStart"/>
      <w:r w:rsidRPr="00540CAD">
        <w:t>Sherman SI.</w:t>
      </w:r>
      <w:proofErr w:type="gramEnd"/>
      <w:r w:rsidRPr="00540CAD">
        <w:t xml:space="preserve"> Differentiated thyroid cancer refractory to standard treatment: chemotherapy. Up-to-date Topic 2191 Version 18.0 Topic last updated Mar 04, 2015.</w:t>
      </w:r>
    </w:p>
  </w:footnote>
  <w:footnote w:id="5">
    <w:p w:rsidR="00772CC0" w:rsidRPr="001270BA" w:rsidRDefault="00772CC0">
      <w:pPr>
        <w:pStyle w:val="FootnoteText"/>
        <w:rPr>
          <w:lang w:val="en-US"/>
        </w:rPr>
      </w:pPr>
      <w:r>
        <w:rPr>
          <w:rStyle w:val="FootnoteReference"/>
        </w:rPr>
        <w:footnoteRef/>
      </w:r>
      <w:r>
        <w:t xml:space="preserve"> </w:t>
      </w:r>
      <w:proofErr w:type="spellStart"/>
      <w:proofErr w:type="gramStart"/>
      <w:r w:rsidRPr="001270BA">
        <w:t>LaFranchi</w:t>
      </w:r>
      <w:proofErr w:type="spellEnd"/>
      <w:r w:rsidRPr="001270BA">
        <w:t xml:space="preserve"> S. Thyroid nodules and cancer in children.</w:t>
      </w:r>
      <w:proofErr w:type="gramEnd"/>
      <w:r w:rsidRPr="001270BA">
        <w:t xml:space="preserve"> Up-to-date Topic 5835 Version 14.0 Topic last updated Nov 04, 2015.</w:t>
      </w:r>
    </w:p>
  </w:footnote>
  <w:footnote w:id="6">
    <w:p w:rsidR="00772CC0" w:rsidRPr="000C4D1E" w:rsidRDefault="00772CC0">
      <w:pPr>
        <w:pStyle w:val="FootnoteText"/>
        <w:rPr>
          <w:lang w:val="en-US"/>
        </w:rPr>
      </w:pPr>
      <w:r>
        <w:rPr>
          <w:rStyle w:val="FootnoteReference"/>
        </w:rPr>
        <w:footnoteRef/>
      </w:r>
      <w:r>
        <w:t xml:space="preserve"> </w:t>
      </w:r>
      <w:proofErr w:type="spellStart"/>
      <w:r w:rsidRPr="00E718E7">
        <w:t>Boulton</w:t>
      </w:r>
      <w:proofErr w:type="spellEnd"/>
      <w:r w:rsidRPr="00E718E7">
        <w:t xml:space="preserve"> </w:t>
      </w:r>
      <w:r>
        <w:t xml:space="preserve">DW, </w:t>
      </w:r>
      <w:r w:rsidRPr="00E718E7">
        <w:t xml:space="preserve">et al Simultaneous oral therapeutic and intravenous ¹⁴C-microdoses to determine the absolute oral bioavailability of </w:t>
      </w:r>
      <w:proofErr w:type="spellStart"/>
      <w:r w:rsidRPr="00E718E7">
        <w:t>saxagliptin</w:t>
      </w:r>
      <w:proofErr w:type="spellEnd"/>
      <w:r w:rsidRPr="00E718E7">
        <w:t xml:space="preserve"> and </w:t>
      </w:r>
      <w:proofErr w:type="spellStart"/>
      <w:r w:rsidRPr="00E718E7">
        <w:t>dapagliflozin</w:t>
      </w:r>
      <w:proofErr w:type="spellEnd"/>
      <w:r w:rsidRPr="00E718E7">
        <w:t xml:space="preserve">. </w:t>
      </w:r>
      <w:proofErr w:type="gramStart"/>
      <w:r w:rsidRPr="0071571B">
        <w:rPr>
          <w:i/>
        </w:rPr>
        <w:t xml:space="preserve">Br J </w:t>
      </w:r>
      <w:proofErr w:type="spellStart"/>
      <w:r w:rsidRPr="0071571B">
        <w:rPr>
          <w:i/>
        </w:rPr>
        <w:t>Clin</w:t>
      </w:r>
      <w:proofErr w:type="spellEnd"/>
      <w:r w:rsidRPr="0071571B">
        <w:rPr>
          <w:i/>
        </w:rPr>
        <w:t xml:space="preserve"> </w:t>
      </w:r>
      <w:proofErr w:type="spellStart"/>
      <w:r w:rsidRPr="0071571B">
        <w:rPr>
          <w:i/>
        </w:rPr>
        <w:t>Pharmacol</w:t>
      </w:r>
      <w:proofErr w:type="spellEnd"/>
      <w:r w:rsidRPr="0071571B">
        <w:rPr>
          <w:i/>
        </w:rPr>
        <w:t>.</w:t>
      </w:r>
      <w:proofErr w:type="gramEnd"/>
      <w:r>
        <w:t xml:space="preserve"> 75</w:t>
      </w:r>
      <w:r w:rsidRPr="00E718E7">
        <w:t>:</w:t>
      </w:r>
      <w:r>
        <w:t xml:space="preserve"> </w:t>
      </w:r>
      <w:r w:rsidRPr="00E718E7">
        <w:t>763-</w:t>
      </w:r>
      <w:r>
        <w:t>76</w:t>
      </w:r>
      <w:r w:rsidRPr="00E718E7">
        <w:t>8</w:t>
      </w:r>
      <w:r>
        <w:t xml:space="preserve"> (2013).</w:t>
      </w:r>
    </w:p>
  </w:footnote>
  <w:footnote w:id="7">
    <w:p w:rsidR="00772CC0" w:rsidRPr="005D15FF" w:rsidRDefault="00772CC0">
      <w:pPr>
        <w:pStyle w:val="FootnoteText"/>
        <w:rPr>
          <w:lang w:val="en-US"/>
        </w:rPr>
      </w:pPr>
      <w:r>
        <w:rPr>
          <w:rStyle w:val="FootnoteReference"/>
        </w:rPr>
        <w:footnoteRef/>
      </w:r>
      <w:r>
        <w:t xml:space="preserve"> </w:t>
      </w:r>
      <w:r>
        <w:rPr>
          <w:lang w:val="en-US"/>
        </w:rPr>
        <w:t>European Medicines Agency, “</w:t>
      </w:r>
      <w:r w:rsidRPr="0089447E">
        <w:t>Guideline on the Investigation of Bioequivalence</w:t>
      </w:r>
      <w:r>
        <w:t xml:space="preserve"> (</w:t>
      </w:r>
      <w:r w:rsidRPr="0089447E">
        <w:t>CP</w:t>
      </w:r>
      <w:r>
        <w:t>MP/EWP/QWP/1401/98 Rev. 1/</w:t>
      </w:r>
      <w:proofErr w:type="spellStart"/>
      <w:r>
        <w:t>Corr</w:t>
      </w:r>
      <w:proofErr w:type="spellEnd"/>
      <w:r>
        <w:t>)”, 20 January 2010.</w:t>
      </w:r>
    </w:p>
  </w:footnote>
  <w:footnote w:id="8">
    <w:p w:rsidR="00772CC0" w:rsidRPr="00933D7F" w:rsidRDefault="00772CC0">
      <w:pPr>
        <w:pStyle w:val="FootnoteText"/>
        <w:rPr>
          <w:lang w:val="en-US"/>
        </w:rPr>
      </w:pPr>
      <w:r>
        <w:rPr>
          <w:rStyle w:val="FootnoteReference"/>
        </w:rPr>
        <w:footnoteRef/>
      </w:r>
      <w:r>
        <w:t xml:space="preserve"> </w:t>
      </w:r>
      <w:r w:rsidRPr="002C41C9">
        <w:t>International Conference on Harmonisation</w:t>
      </w:r>
      <w:r>
        <w:t>, “S9: Nonclinical evaluation for anticancer pharmaceuticals”, 29 October 2009.</w:t>
      </w:r>
    </w:p>
  </w:footnote>
  <w:footnote w:id="9">
    <w:p w:rsidR="00772CC0" w:rsidRPr="00986C50" w:rsidRDefault="00772CC0">
      <w:pPr>
        <w:pStyle w:val="FootnoteText"/>
        <w:rPr>
          <w:lang w:val="en-US"/>
        </w:rPr>
      </w:pPr>
      <w:r>
        <w:rPr>
          <w:rStyle w:val="FootnoteReference"/>
        </w:rPr>
        <w:footnoteRef/>
      </w:r>
      <w:r>
        <w:t xml:space="preserve"> </w:t>
      </w:r>
      <w:proofErr w:type="spellStart"/>
      <w:r w:rsidRPr="00A54FD8">
        <w:t>Zuccotto</w:t>
      </w:r>
      <w:proofErr w:type="spellEnd"/>
      <w:r w:rsidRPr="00A54FD8">
        <w:t xml:space="preserve"> F</w:t>
      </w:r>
      <w:r>
        <w:t>,</w:t>
      </w:r>
      <w:r w:rsidRPr="00A54FD8">
        <w:t xml:space="preserve"> et al. Through the "gatekeeper door": Exploiting the active kinase conformation</w:t>
      </w:r>
      <w:r>
        <w:t xml:space="preserve">. </w:t>
      </w:r>
      <w:r w:rsidRPr="00986C50">
        <w:rPr>
          <w:i/>
        </w:rPr>
        <w:t>J Med Chem.</w:t>
      </w:r>
      <w:r>
        <w:t xml:space="preserve"> 53: 2681-2694 (2010).</w:t>
      </w:r>
    </w:p>
  </w:footnote>
  <w:footnote w:id="10">
    <w:p w:rsidR="00772CC0" w:rsidRPr="003816BF" w:rsidRDefault="00772CC0">
      <w:pPr>
        <w:pStyle w:val="FootnoteText"/>
        <w:rPr>
          <w:lang w:val="en-US"/>
        </w:rPr>
      </w:pPr>
      <w:r>
        <w:rPr>
          <w:rStyle w:val="FootnoteReference"/>
        </w:rPr>
        <w:footnoteRef/>
      </w:r>
      <w:r>
        <w:t xml:space="preserve"> </w:t>
      </w:r>
      <w:proofErr w:type="gramStart"/>
      <w:r w:rsidRPr="00986C50">
        <w:t>Based on single 3 mg/kg PO dose in Study B03014</w:t>
      </w:r>
      <w:r>
        <w:t>.</w:t>
      </w:r>
      <w:proofErr w:type="gramEnd"/>
    </w:p>
  </w:footnote>
  <w:footnote w:id="11">
    <w:p w:rsidR="00772CC0" w:rsidRPr="003816BF" w:rsidRDefault="00772CC0">
      <w:pPr>
        <w:pStyle w:val="FootnoteText"/>
        <w:rPr>
          <w:lang w:val="en-US"/>
        </w:rPr>
      </w:pPr>
      <w:r>
        <w:rPr>
          <w:rStyle w:val="FootnoteReference"/>
        </w:rPr>
        <w:footnoteRef/>
      </w:r>
      <w:r>
        <w:t xml:space="preserve"> </w:t>
      </w:r>
      <w:proofErr w:type="spellStart"/>
      <w:r w:rsidRPr="00A54FD8">
        <w:t>C</w:t>
      </w:r>
      <w:r w:rsidRPr="00A54FD8">
        <w:rPr>
          <w:vertAlign w:val="subscript"/>
        </w:rPr>
        <w:t>max</w:t>
      </w:r>
      <w:proofErr w:type="spellEnd"/>
      <w:r w:rsidRPr="00A54FD8">
        <w:t xml:space="preserve"> in rats estimated from day 1 </w:t>
      </w:r>
      <w:proofErr w:type="spellStart"/>
      <w:r w:rsidRPr="00A54FD8">
        <w:t>Cmax</w:t>
      </w:r>
      <w:proofErr w:type="spellEnd"/>
      <w:r w:rsidRPr="00A54FD8">
        <w:t xml:space="preserve"> in male rats that received 100 mg/kg lenvatinib (Study S03016).</w:t>
      </w:r>
    </w:p>
  </w:footnote>
  <w:footnote w:id="12">
    <w:p w:rsidR="00772CC0" w:rsidRPr="003816BF" w:rsidRDefault="00772CC0">
      <w:pPr>
        <w:pStyle w:val="FootnoteText"/>
        <w:rPr>
          <w:lang w:val="en-US"/>
        </w:rPr>
      </w:pPr>
      <w:r>
        <w:rPr>
          <w:rStyle w:val="FootnoteReference"/>
        </w:rPr>
        <w:footnoteRef/>
      </w:r>
      <w:r>
        <w:t xml:space="preserve"> </w:t>
      </w:r>
      <w:proofErr w:type="spellStart"/>
      <w:r w:rsidRPr="00A54FD8">
        <w:t>C</w:t>
      </w:r>
      <w:r w:rsidRPr="00A54FD8">
        <w:rPr>
          <w:vertAlign w:val="subscript"/>
        </w:rPr>
        <w:t>max</w:t>
      </w:r>
      <w:proofErr w:type="spellEnd"/>
      <w:r w:rsidRPr="00A54FD8">
        <w:t xml:space="preserve"> in dogs estimated from day 1 </w:t>
      </w:r>
      <w:proofErr w:type="spellStart"/>
      <w:r w:rsidRPr="00A54FD8">
        <w:t>Cmax</w:t>
      </w:r>
      <w:proofErr w:type="spellEnd"/>
      <w:r w:rsidRPr="00A54FD8">
        <w:t xml:space="preserve"> values in Study B-5108.</w:t>
      </w:r>
    </w:p>
  </w:footnote>
  <w:footnote w:id="13">
    <w:p w:rsidR="00772CC0" w:rsidRPr="000B19B9" w:rsidRDefault="00772CC0">
      <w:pPr>
        <w:pStyle w:val="FootnoteText"/>
        <w:rPr>
          <w:lang w:val="en-US"/>
        </w:rPr>
      </w:pPr>
      <w:r>
        <w:rPr>
          <w:rStyle w:val="FootnoteReference"/>
        </w:rPr>
        <w:footnoteRef/>
      </w:r>
      <w:r>
        <w:t xml:space="preserve"> </w:t>
      </w:r>
      <w:proofErr w:type="spellStart"/>
      <w:proofErr w:type="gramStart"/>
      <w:r>
        <w:t>Glucuronidated</w:t>
      </w:r>
      <w:proofErr w:type="spellEnd"/>
      <w:r>
        <w:t xml:space="preserve"> </w:t>
      </w:r>
      <w:proofErr w:type="spellStart"/>
      <w:r w:rsidRPr="00BB1139">
        <w:t>chloro</w:t>
      </w:r>
      <w:proofErr w:type="spellEnd"/>
      <w:r w:rsidRPr="00BB1139">
        <w:t>-</w:t>
      </w:r>
      <w:proofErr w:type="spellStart"/>
      <w:r w:rsidRPr="00BB1139">
        <w:t>cyclopropylureido</w:t>
      </w:r>
      <w:proofErr w:type="spellEnd"/>
      <w:r w:rsidRPr="00BB1139">
        <w:t>-phenol</w:t>
      </w:r>
      <w:r>
        <w:t>.</w:t>
      </w:r>
      <w:proofErr w:type="gramEnd"/>
    </w:p>
  </w:footnote>
  <w:footnote w:id="14">
    <w:p w:rsidR="00772CC0" w:rsidRPr="001E0E16" w:rsidRDefault="00772CC0">
      <w:pPr>
        <w:pStyle w:val="FootnoteText"/>
        <w:rPr>
          <w:lang w:val="en-US"/>
        </w:rPr>
      </w:pPr>
      <w:r>
        <w:rPr>
          <w:rStyle w:val="FootnoteReference"/>
        </w:rPr>
        <w:footnoteRef/>
      </w:r>
      <w:r>
        <w:t xml:space="preserve"> </w:t>
      </w:r>
      <w:r w:rsidRPr="002C41C9">
        <w:t>International Conference on Harmonisation</w:t>
      </w:r>
      <w:r>
        <w:t>, “S9: Nonclinical evaluation for anticancer pharmaceuticals”, 29 October 2009.</w:t>
      </w:r>
    </w:p>
  </w:footnote>
  <w:footnote w:id="15">
    <w:p w:rsidR="00772CC0" w:rsidRPr="000B19B9" w:rsidRDefault="00772CC0">
      <w:pPr>
        <w:pStyle w:val="FootnoteText"/>
        <w:rPr>
          <w:lang w:val="en-US"/>
        </w:rPr>
      </w:pPr>
      <w:r>
        <w:rPr>
          <w:rStyle w:val="FootnoteReference"/>
        </w:rPr>
        <w:footnoteRef/>
      </w:r>
      <w:r>
        <w:t xml:space="preserve"> </w:t>
      </w:r>
      <w:r w:rsidRPr="0000492A">
        <w:t>ICH guideline S9 on nonclinical evaluation for anticancer pharmaceuticals</w:t>
      </w:r>
      <w:r>
        <w:t xml:space="preserve"> states that nonclinical qualification of metabolites is “generally not warranted”. Therefore, the possibility of a major metabolite in humans does not significantly impact on the nonclinical evaluation.</w:t>
      </w:r>
    </w:p>
  </w:footnote>
  <w:footnote w:id="16">
    <w:p w:rsidR="00772CC0" w:rsidRPr="00034B98" w:rsidRDefault="00772CC0">
      <w:pPr>
        <w:pStyle w:val="FootnoteText"/>
        <w:rPr>
          <w:lang w:val="en-US"/>
        </w:rPr>
      </w:pPr>
      <w:r>
        <w:rPr>
          <w:rStyle w:val="FootnoteReference"/>
        </w:rPr>
        <w:footnoteRef/>
      </w:r>
      <w:r>
        <w:t xml:space="preserve"> </w:t>
      </w:r>
      <w:r w:rsidRPr="00034B98">
        <w:t>Calculated according to</w:t>
      </w:r>
      <w:r>
        <w:t>: European Medicines Agency, “</w:t>
      </w:r>
      <w:r w:rsidRPr="001E0E16">
        <w:t>Guideline on the investigation of drug interactions</w:t>
      </w:r>
      <w:r>
        <w:t xml:space="preserve"> (</w:t>
      </w:r>
      <w:r w:rsidRPr="00173267">
        <w:t>CPMP/EWP/560/95/Rev. 1 Corr. 2**</w:t>
      </w:r>
      <w:r>
        <w:t>)”, 21 June 2012: 0.1x</w:t>
      </w:r>
      <w:r w:rsidRPr="00034B98">
        <w:t xml:space="preserve"> 24 mg/250 mL, with a 24 mg dose equivalent </w:t>
      </w:r>
      <w:r>
        <w:t xml:space="preserve">to 56 </w:t>
      </w:r>
      <w:proofErr w:type="spellStart"/>
      <w:r>
        <w:t>μmol</w:t>
      </w:r>
      <w:proofErr w:type="spellEnd"/>
      <w:r>
        <w:t xml:space="preserve"> </w:t>
      </w:r>
      <w:proofErr w:type="spellStart"/>
      <w:r>
        <w:t>lenvatinib</w:t>
      </w:r>
      <w:proofErr w:type="spellEnd"/>
      <w:r>
        <w:t xml:space="preserve"> free base.</w:t>
      </w:r>
    </w:p>
  </w:footnote>
  <w:footnote w:id="17">
    <w:p w:rsidR="00772CC0" w:rsidRPr="00034B98" w:rsidRDefault="00772CC0">
      <w:pPr>
        <w:pStyle w:val="FootnoteText"/>
        <w:rPr>
          <w:lang w:val="en-US"/>
        </w:rPr>
      </w:pPr>
      <w:r>
        <w:rPr>
          <w:rStyle w:val="FootnoteReference"/>
        </w:rPr>
        <w:footnoteRef/>
      </w:r>
      <w:r>
        <w:t xml:space="preserve"> </w:t>
      </w:r>
      <w:r w:rsidRPr="00034B98">
        <w:t>In Study TKB02007</w:t>
      </w:r>
      <w:r>
        <w:t>,</w:t>
      </w:r>
      <w:r w:rsidRPr="00034B98">
        <w:t xml:space="preserve"> doses of 300 and 1000 mg/kg were associated with plasma </w:t>
      </w:r>
      <w:proofErr w:type="spellStart"/>
      <w:r w:rsidRPr="00034B98">
        <w:t>Cmax</w:t>
      </w:r>
      <w:proofErr w:type="spellEnd"/>
      <w:r w:rsidRPr="00034B98">
        <w:t xml:space="preserve"> values of &gt;130,000 ng/mL on the first day of dosing.</w:t>
      </w:r>
    </w:p>
  </w:footnote>
  <w:footnote w:id="18">
    <w:p w:rsidR="00772CC0" w:rsidRPr="004B6952" w:rsidRDefault="00772CC0">
      <w:pPr>
        <w:pStyle w:val="FootnoteText"/>
        <w:rPr>
          <w:lang w:val="en-US"/>
        </w:rPr>
      </w:pPr>
      <w:r>
        <w:rPr>
          <w:rStyle w:val="FootnoteReference"/>
        </w:rPr>
        <w:footnoteRef/>
      </w:r>
      <w:r>
        <w:t xml:space="preserve"> </w:t>
      </w:r>
      <w:r w:rsidRPr="002C41C9">
        <w:t>International Conference on Harmonisation</w:t>
      </w:r>
      <w:r>
        <w:t>, “S9: Nonclinical evaluation for anticancer pharmaceuticals”, 29 October 2009.</w:t>
      </w:r>
    </w:p>
  </w:footnote>
  <w:footnote w:id="19">
    <w:p w:rsidR="00772CC0" w:rsidRPr="003A060B" w:rsidRDefault="00772CC0">
      <w:pPr>
        <w:pStyle w:val="FootnoteText"/>
        <w:rPr>
          <w:lang w:val="en-US"/>
        </w:rPr>
      </w:pPr>
      <w:r>
        <w:rPr>
          <w:rStyle w:val="FootnoteReference"/>
        </w:rPr>
        <w:footnoteRef/>
      </w:r>
      <w:r>
        <w:t xml:space="preserve"> </w:t>
      </w:r>
      <w:r w:rsidRPr="003A060B">
        <w:t xml:space="preserve">Nonclinical </w:t>
      </w:r>
      <w:r>
        <w:t>e</w:t>
      </w:r>
      <w:r w:rsidRPr="003A060B">
        <w:t xml:space="preserve">valuation </w:t>
      </w:r>
      <w:r>
        <w:t>r</w:t>
      </w:r>
      <w:r w:rsidRPr="003A060B">
        <w:t>e</w:t>
      </w:r>
      <w:r>
        <w:t xml:space="preserve">ports for </w:t>
      </w:r>
      <w:proofErr w:type="spellStart"/>
      <w:r>
        <w:t>sunitinib</w:t>
      </w:r>
      <w:proofErr w:type="spellEnd"/>
      <w:r>
        <w:t xml:space="preserve">, </w:t>
      </w:r>
      <w:proofErr w:type="spellStart"/>
      <w:r>
        <w:t>sorafenib</w:t>
      </w:r>
      <w:proofErr w:type="spellEnd"/>
      <w:r>
        <w:t xml:space="preserve">, </w:t>
      </w:r>
      <w:proofErr w:type="spellStart"/>
      <w:r>
        <w:t>axitinib</w:t>
      </w:r>
      <w:proofErr w:type="spellEnd"/>
      <w:r>
        <w:t xml:space="preserve"> and </w:t>
      </w:r>
      <w:proofErr w:type="spellStart"/>
      <w:r>
        <w:t>regorafenib</w:t>
      </w:r>
      <w:proofErr w:type="spellEnd"/>
      <w:r>
        <w:t xml:space="preserve">; </w:t>
      </w:r>
      <w:proofErr w:type="spellStart"/>
      <w:r w:rsidRPr="003A060B">
        <w:t>Patyna</w:t>
      </w:r>
      <w:proofErr w:type="spellEnd"/>
      <w:r w:rsidRPr="003A060B">
        <w:t xml:space="preserve"> S</w:t>
      </w:r>
      <w:r>
        <w:t>,</w:t>
      </w:r>
      <w:r w:rsidRPr="003A060B">
        <w:t xml:space="preserve"> et al. Nonclinical safety evaluation of </w:t>
      </w:r>
      <w:proofErr w:type="spellStart"/>
      <w:r w:rsidRPr="003A060B">
        <w:t>sunitinib</w:t>
      </w:r>
      <w:proofErr w:type="spellEnd"/>
      <w:r w:rsidRPr="003A060B">
        <w:t xml:space="preserve">: A potent inhibitor of VEGF, PDGF, KIT, FLT3, and RET receptors. </w:t>
      </w:r>
      <w:proofErr w:type="spellStart"/>
      <w:r w:rsidRPr="00F22FE2">
        <w:rPr>
          <w:i/>
        </w:rPr>
        <w:t>Toxicol</w:t>
      </w:r>
      <w:proofErr w:type="spellEnd"/>
      <w:r w:rsidRPr="00F22FE2">
        <w:rPr>
          <w:i/>
        </w:rPr>
        <w:t xml:space="preserve"> </w:t>
      </w:r>
      <w:proofErr w:type="spellStart"/>
      <w:r w:rsidRPr="00F22FE2">
        <w:rPr>
          <w:i/>
        </w:rPr>
        <w:t>Pathol</w:t>
      </w:r>
      <w:proofErr w:type="spellEnd"/>
      <w:r w:rsidRPr="00F22FE2">
        <w:rPr>
          <w:i/>
        </w:rPr>
        <w:t>.</w:t>
      </w:r>
      <w:r>
        <w:t xml:space="preserve"> </w:t>
      </w:r>
      <w:proofErr w:type="gramStart"/>
      <w:r>
        <w:t>36: 905-16 (2008).</w:t>
      </w:r>
      <w:proofErr w:type="gramEnd"/>
    </w:p>
  </w:footnote>
  <w:footnote w:id="20">
    <w:p w:rsidR="00772CC0" w:rsidRPr="00CD4E08" w:rsidRDefault="00772CC0">
      <w:pPr>
        <w:pStyle w:val="FootnoteText"/>
        <w:rPr>
          <w:lang w:val="en-US"/>
        </w:rPr>
      </w:pPr>
      <w:r>
        <w:rPr>
          <w:rStyle w:val="FootnoteReference"/>
        </w:rPr>
        <w:footnoteRef/>
      </w:r>
      <w:r>
        <w:t xml:space="preserve"> </w:t>
      </w:r>
      <w:r w:rsidRPr="0041618E">
        <w:t>International Conference on Harmonisation</w:t>
      </w:r>
      <w:r>
        <w:t>, “</w:t>
      </w:r>
      <w:proofErr w:type="gramStart"/>
      <w:r>
        <w:t>S2(</w:t>
      </w:r>
      <w:proofErr w:type="gramEnd"/>
      <w:r>
        <w:t xml:space="preserve">R1): </w:t>
      </w:r>
      <w:r w:rsidRPr="00AE6697">
        <w:t>Guidance on Genotoxicity Testing and Data Interpretation for Pharmaceuticals Intended for Human Use</w:t>
      </w:r>
      <w:r>
        <w:t>”, 9 November 2011.</w:t>
      </w:r>
    </w:p>
  </w:footnote>
  <w:footnote w:id="21">
    <w:p w:rsidR="00772CC0" w:rsidRPr="009E7845" w:rsidRDefault="00772CC0">
      <w:pPr>
        <w:pStyle w:val="FootnoteText"/>
        <w:rPr>
          <w:lang w:val="en-US"/>
        </w:rPr>
      </w:pPr>
      <w:r>
        <w:rPr>
          <w:rStyle w:val="FootnoteReference"/>
        </w:rPr>
        <w:footnoteRef/>
      </w:r>
      <w:r>
        <w:t xml:space="preserve"> </w:t>
      </w:r>
      <w:proofErr w:type="gramStart"/>
      <w:r w:rsidRPr="009E7845">
        <w:t xml:space="preserve">Based on </w:t>
      </w:r>
      <w:proofErr w:type="spellStart"/>
      <w:r w:rsidRPr="009E7845">
        <w:t>C</w:t>
      </w:r>
      <w:r w:rsidRPr="004275A6">
        <w:t>max</w:t>
      </w:r>
      <w:proofErr w:type="spellEnd"/>
      <w:r w:rsidRPr="009E7845">
        <w:t xml:space="preserve"> 132400 </w:t>
      </w:r>
      <w:proofErr w:type="spellStart"/>
      <w:r w:rsidRPr="009E7845">
        <w:t>μg</w:t>
      </w:r>
      <w:proofErr w:type="spellEnd"/>
      <w:r w:rsidRPr="009E7845">
        <w:t>/mL in male rats receiving a PO dose of 1000 mg/kg</w:t>
      </w:r>
      <w:r>
        <w:t>.</w:t>
      </w:r>
      <w:proofErr w:type="gramEnd"/>
    </w:p>
  </w:footnote>
  <w:footnote w:id="22">
    <w:p w:rsidR="00772CC0" w:rsidRPr="004275A6" w:rsidRDefault="00772CC0">
      <w:pPr>
        <w:pStyle w:val="FootnoteText"/>
        <w:rPr>
          <w:lang w:val="en-US"/>
        </w:rPr>
      </w:pPr>
      <w:r>
        <w:rPr>
          <w:rStyle w:val="FootnoteReference"/>
        </w:rPr>
        <w:footnoteRef/>
      </w:r>
      <w:r>
        <w:t xml:space="preserve"> </w:t>
      </w:r>
      <w:r w:rsidRPr="002C41C9">
        <w:t>International Conference on Harmonisation</w:t>
      </w:r>
      <w:r>
        <w:t>, “S9: Nonclinical evaluation for anticancer pharmaceuticals”, 29 October 2009.</w:t>
      </w:r>
    </w:p>
  </w:footnote>
  <w:footnote w:id="23">
    <w:p w:rsidR="00772CC0" w:rsidRPr="004275A6" w:rsidRDefault="00772CC0">
      <w:pPr>
        <w:pStyle w:val="FootnoteText"/>
        <w:rPr>
          <w:lang w:val="en-US"/>
        </w:rPr>
      </w:pPr>
      <w:r>
        <w:rPr>
          <w:rStyle w:val="FootnoteReference"/>
        </w:rPr>
        <w:footnoteRef/>
      </w:r>
      <w:r>
        <w:t xml:space="preserve"> </w:t>
      </w:r>
      <w:r w:rsidRPr="002C41C9">
        <w:t>International Conference on Harmonisation</w:t>
      </w:r>
      <w:r>
        <w:t>, “S9: Nonclinical evaluation for anticancer pharmaceuticals”, 29 October 2009.</w:t>
      </w:r>
    </w:p>
  </w:footnote>
  <w:footnote w:id="24">
    <w:p w:rsidR="00772CC0" w:rsidRPr="00592871" w:rsidRDefault="00772CC0">
      <w:pPr>
        <w:pStyle w:val="FootnoteText"/>
        <w:rPr>
          <w:lang w:val="en-US"/>
        </w:rPr>
      </w:pPr>
      <w:r>
        <w:rPr>
          <w:rStyle w:val="FootnoteReference"/>
        </w:rPr>
        <w:footnoteRef/>
      </w:r>
      <w:r>
        <w:t xml:space="preserve"> </w:t>
      </w:r>
      <w:r w:rsidRPr="00E65D6D">
        <w:t>Ferrara N</w:t>
      </w:r>
      <w:r>
        <w:t>,</w:t>
      </w:r>
      <w:r w:rsidRPr="00E65D6D">
        <w:t xml:space="preserve"> et al., Vascular endothelial growth factor is essential for corpus luteum angiogenesis. </w:t>
      </w:r>
      <w:r w:rsidRPr="00E65D6D">
        <w:rPr>
          <w:i/>
        </w:rPr>
        <w:t>Nat Med.</w:t>
      </w:r>
      <w:r w:rsidRPr="00E65D6D">
        <w:t xml:space="preserve"> 4: 336-340 (1998).</w:t>
      </w:r>
    </w:p>
  </w:footnote>
  <w:footnote w:id="25">
    <w:p w:rsidR="00772CC0" w:rsidRPr="00592871" w:rsidRDefault="00772CC0">
      <w:pPr>
        <w:pStyle w:val="FootnoteText"/>
        <w:rPr>
          <w:lang w:val="en-US"/>
        </w:rPr>
      </w:pPr>
      <w:r>
        <w:rPr>
          <w:rStyle w:val="FootnoteReference"/>
        </w:rPr>
        <w:footnoteRef/>
      </w:r>
      <w:r>
        <w:t xml:space="preserve"> </w:t>
      </w:r>
      <w:proofErr w:type="spellStart"/>
      <w:proofErr w:type="gramStart"/>
      <w:r w:rsidRPr="00592871">
        <w:t>Rudolfsson</w:t>
      </w:r>
      <w:proofErr w:type="spellEnd"/>
      <w:r w:rsidRPr="00592871">
        <w:t xml:space="preserve"> SH</w:t>
      </w:r>
      <w:r>
        <w:t>,</w:t>
      </w:r>
      <w:r w:rsidRPr="00592871">
        <w:t xml:space="preserve"> et al. Hormonal Regulation and Functional Role of Vascular Endothelial Growth Factor A in the Ra</w:t>
      </w:r>
      <w:r>
        <w:t>t Testis.</w:t>
      </w:r>
      <w:proofErr w:type="gramEnd"/>
      <w:r>
        <w:t xml:space="preserve"> </w:t>
      </w:r>
      <w:proofErr w:type="spellStart"/>
      <w:proofErr w:type="gramStart"/>
      <w:r w:rsidRPr="00E65D6D">
        <w:rPr>
          <w:i/>
        </w:rPr>
        <w:t>Biol</w:t>
      </w:r>
      <w:proofErr w:type="spellEnd"/>
      <w:r w:rsidRPr="00E65D6D">
        <w:rPr>
          <w:i/>
        </w:rPr>
        <w:t xml:space="preserve"> </w:t>
      </w:r>
      <w:proofErr w:type="spellStart"/>
      <w:r w:rsidRPr="00E65D6D">
        <w:rPr>
          <w:i/>
        </w:rPr>
        <w:t>Reprod</w:t>
      </w:r>
      <w:proofErr w:type="spellEnd"/>
      <w:r w:rsidRPr="00E65D6D">
        <w:rPr>
          <w:i/>
        </w:rPr>
        <w:t>.</w:t>
      </w:r>
      <w:proofErr w:type="gramEnd"/>
      <w:r>
        <w:t xml:space="preserve"> 70: </w:t>
      </w:r>
      <w:r w:rsidRPr="00592871">
        <w:t>340-</w:t>
      </w:r>
      <w:r>
        <w:t>34</w:t>
      </w:r>
      <w:r w:rsidRPr="00592871">
        <w:t>7</w:t>
      </w:r>
      <w:r>
        <w:t xml:space="preserve"> (2004).</w:t>
      </w:r>
    </w:p>
  </w:footnote>
  <w:footnote w:id="26">
    <w:p w:rsidR="00772CC0" w:rsidRPr="00924994" w:rsidRDefault="00772CC0">
      <w:pPr>
        <w:pStyle w:val="FootnoteText"/>
        <w:rPr>
          <w:lang w:val="en-US"/>
        </w:rPr>
      </w:pPr>
      <w:r>
        <w:rPr>
          <w:rStyle w:val="FootnoteReference"/>
        </w:rPr>
        <w:footnoteRef/>
      </w:r>
      <w:r>
        <w:t xml:space="preserve"> </w:t>
      </w:r>
      <w:r>
        <w:rPr>
          <w:lang w:val="en-US"/>
        </w:rPr>
        <w:t>Category D: “</w:t>
      </w:r>
      <w:r w:rsidRPr="00924994">
        <w:rPr>
          <w:lang w:val="en-US"/>
        </w:rPr>
        <w:t xml:space="preserve">Drugs which have </w:t>
      </w:r>
      <w:proofErr w:type="gramStart"/>
      <w:r w:rsidRPr="00924994">
        <w:rPr>
          <w:lang w:val="en-US"/>
        </w:rPr>
        <w:t>caused,</w:t>
      </w:r>
      <w:proofErr w:type="gramEnd"/>
      <w:r w:rsidRPr="00924994">
        <w:rPr>
          <w:lang w:val="en-US"/>
        </w:rPr>
        <w:t xml:space="preserve"> are suspected to have caused or may be expected to cause, an increased incidence of human </w:t>
      </w:r>
      <w:proofErr w:type="spellStart"/>
      <w:r w:rsidRPr="00924994">
        <w:rPr>
          <w:lang w:val="en-US"/>
        </w:rPr>
        <w:t>f</w:t>
      </w:r>
      <w:r>
        <w:rPr>
          <w:lang w:val="en-US"/>
        </w:rPr>
        <w:t>o</w:t>
      </w:r>
      <w:r w:rsidRPr="00924994">
        <w:rPr>
          <w:lang w:val="en-US"/>
        </w:rPr>
        <w:t>etal</w:t>
      </w:r>
      <w:proofErr w:type="spellEnd"/>
      <w:r w:rsidRPr="00924994">
        <w:rPr>
          <w:lang w:val="en-US"/>
        </w:rPr>
        <w:t xml:space="preserve"> malformations or irreversible damage. These drugs may also have adverse pharmacological effects. Accompanying texts should be consulted for further details.</w:t>
      </w:r>
      <w:r>
        <w:rPr>
          <w:lang w:val="en-US"/>
        </w:rPr>
        <w:t>”</w:t>
      </w:r>
    </w:p>
  </w:footnote>
  <w:footnote w:id="27">
    <w:p w:rsidR="00772CC0" w:rsidRPr="00C915CF" w:rsidRDefault="00772CC0">
      <w:pPr>
        <w:pStyle w:val="FootnoteText"/>
        <w:rPr>
          <w:lang w:val="en-US"/>
        </w:rPr>
      </w:pPr>
      <w:r>
        <w:rPr>
          <w:rStyle w:val="FootnoteReference"/>
        </w:rPr>
        <w:footnoteRef/>
      </w:r>
      <w:r>
        <w:t xml:space="preserve"> </w:t>
      </w:r>
      <w:r w:rsidRPr="0041618E">
        <w:t>International Conference on Harmonisation</w:t>
      </w:r>
      <w:r>
        <w:t xml:space="preserve">, “M7: Assessment and control of DNA reactive (mutagenic) impurities in pharmaceuticals to limit potential carcinogenic risk”, 23 June 2014; </w:t>
      </w:r>
      <w:r w:rsidRPr="002C41C9">
        <w:t>International Conference on Harmonisation</w:t>
      </w:r>
      <w:r>
        <w:t>, “</w:t>
      </w:r>
      <w:proofErr w:type="gramStart"/>
      <w:r>
        <w:t>Q3B(</w:t>
      </w:r>
      <w:proofErr w:type="gramEnd"/>
      <w:r>
        <w:t xml:space="preserve">R2): Impurities in new drug products”, 2 June 2006; </w:t>
      </w:r>
      <w:r w:rsidRPr="002C41C9">
        <w:t>International Conference on Harmonisation</w:t>
      </w:r>
      <w:r>
        <w:t>, “S9: Nonclinical evaluation for anticancer pharmaceuticals”, 29 October 2009.</w:t>
      </w:r>
    </w:p>
  </w:footnote>
  <w:footnote w:id="28">
    <w:p w:rsidR="00772CC0" w:rsidRPr="00BB525F" w:rsidRDefault="00772CC0">
      <w:pPr>
        <w:pStyle w:val="FootnoteText"/>
        <w:rPr>
          <w:lang w:val="en-US"/>
        </w:rPr>
      </w:pPr>
      <w:r>
        <w:rPr>
          <w:rStyle w:val="FootnoteReference"/>
        </w:rPr>
        <w:footnoteRef/>
      </w:r>
      <w:r>
        <w:t xml:space="preserve"> </w:t>
      </w:r>
      <w:r w:rsidRPr="0041618E">
        <w:t>International Conference on Harmonisation</w:t>
      </w:r>
      <w:r>
        <w:t xml:space="preserve">, “S10: </w:t>
      </w:r>
      <w:proofErr w:type="spellStart"/>
      <w:r w:rsidRPr="00E65D6D">
        <w:t>Photosafety</w:t>
      </w:r>
      <w:proofErr w:type="spellEnd"/>
      <w:r w:rsidRPr="00E65D6D">
        <w:t xml:space="preserve"> evaluation of pharmaceuticals</w:t>
      </w:r>
      <w:r>
        <w:t>”, 13 November 2013.</w:t>
      </w:r>
    </w:p>
  </w:footnote>
  <w:footnote w:id="29">
    <w:p w:rsidR="00772CC0" w:rsidRPr="00CB7B13" w:rsidRDefault="00772CC0">
      <w:pPr>
        <w:pStyle w:val="FootnoteText"/>
        <w:rPr>
          <w:lang w:val="en-US"/>
        </w:rPr>
      </w:pPr>
      <w:r>
        <w:rPr>
          <w:rStyle w:val="FootnoteReference"/>
        </w:rPr>
        <w:footnoteRef/>
      </w:r>
      <w:r>
        <w:t xml:space="preserve"> </w:t>
      </w:r>
      <w:r w:rsidRPr="002C41C9">
        <w:t>International Conference on Harmonisation</w:t>
      </w:r>
      <w:r>
        <w:t>, “S9: Nonclinical evaluation for anticancer pharmaceuticals”, 29 October 2009.</w:t>
      </w:r>
    </w:p>
  </w:footnote>
  <w:footnote w:id="30">
    <w:p w:rsidR="00772CC0" w:rsidRPr="00214B69" w:rsidRDefault="00772CC0">
      <w:pPr>
        <w:pStyle w:val="FootnoteText"/>
        <w:rPr>
          <w:lang w:val="en-US"/>
        </w:rPr>
      </w:pPr>
      <w:r>
        <w:rPr>
          <w:rStyle w:val="FootnoteReference"/>
        </w:rPr>
        <w:footnoteRef/>
      </w:r>
      <w:r>
        <w:t xml:space="preserve"> </w:t>
      </w:r>
      <w:r w:rsidRPr="002C41C9">
        <w:t>International Conference on Harmonisation</w:t>
      </w:r>
      <w:r>
        <w:t>, “S9: Nonclinical evaluation for anticancer pharmaceuticals”, 29 October 2009.</w:t>
      </w:r>
    </w:p>
  </w:footnote>
  <w:footnote w:id="31">
    <w:p w:rsidR="00772CC0" w:rsidRPr="00BD03E4" w:rsidRDefault="00772CC0">
      <w:pPr>
        <w:pStyle w:val="FootnoteText"/>
        <w:rPr>
          <w:lang w:val="en-US"/>
        </w:rPr>
      </w:pPr>
      <w:r>
        <w:rPr>
          <w:rStyle w:val="FootnoteReference"/>
        </w:rPr>
        <w:footnoteRef/>
      </w:r>
      <w:r>
        <w:t xml:space="preserve"> </w:t>
      </w:r>
      <w:r>
        <w:rPr>
          <w:lang w:val="en-US"/>
        </w:rPr>
        <w:t>European Medicines Agency, “</w:t>
      </w:r>
      <w:r w:rsidRPr="00924994">
        <w:t xml:space="preserve">Points to Consider on Applications with 1. </w:t>
      </w:r>
      <w:proofErr w:type="gramStart"/>
      <w:r w:rsidRPr="00924994">
        <w:t>Meta-Analyses; 2.</w:t>
      </w:r>
      <w:proofErr w:type="gramEnd"/>
      <w:r w:rsidRPr="00924994">
        <w:t xml:space="preserve"> One Pivotal Study</w:t>
      </w:r>
      <w:r>
        <w:t xml:space="preserve"> (</w:t>
      </w:r>
      <w:r w:rsidRPr="00924994">
        <w:t>CPMP/EWP/2330/99</w:t>
      </w:r>
      <w:r>
        <w:t>)”, 31 May 2001.</w:t>
      </w:r>
    </w:p>
  </w:footnote>
  <w:footnote w:id="32">
    <w:p w:rsidR="00772CC0" w:rsidRPr="00290390" w:rsidRDefault="00772CC0">
      <w:pPr>
        <w:pStyle w:val="FootnoteText"/>
        <w:rPr>
          <w:lang w:val="en-US"/>
        </w:rPr>
      </w:pPr>
      <w:r>
        <w:rPr>
          <w:rStyle w:val="FootnoteReference"/>
        </w:rPr>
        <w:footnoteRef/>
      </w:r>
      <w:r>
        <w:t xml:space="preserve"> European Medicines Agency, “</w:t>
      </w:r>
      <w:r w:rsidRPr="009E3082">
        <w:t>Appendix 1 to the guideline on the evaluation of anticancer medicinal products in man: Methodological consideration for using progression-free survival (PFS) or disease-free survival (DFS) in confirmatory trials</w:t>
      </w:r>
      <w:r>
        <w:t xml:space="preserve"> (</w:t>
      </w:r>
      <w:r w:rsidRPr="009E3082">
        <w:t>EMA/CHMP/27994/2008</w:t>
      </w:r>
      <w:r>
        <w:t>)”, 5 December 2011.</w:t>
      </w:r>
    </w:p>
  </w:footnote>
  <w:footnote w:id="33">
    <w:p w:rsidR="00772CC0" w:rsidRPr="00D11184" w:rsidRDefault="00772CC0">
      <w:pPr>
        <w:pStyle w:val="FootnoteText"/>
        <w:rPr>
          <w:lang w:val="en-US"/>
        </w:rPr>
      </w:pPr>
      <w:r>
        <w:rPr>
          <w:rStyle w:val="FootnoteReference"/>
        </w:rPr>
        <w:footnoteRef/>
      </w:r>
      <w:r>
        <w:t xml:space="preserve"> “</w:t>
      </w:r>
      <w:r w:rsidRPr="00F356F4">
        <w:t>Note for Guidance on Good Clinical Practice (CPMP/ICH/135/95)</w:t>
      </w:r>
      <w:r>
        <w:t>”, July 2000.</w:t>
      </w:r>
    </w:p>
  </w:footnote>
  <w:footnote w:id="34">
    <w:p w:rsidR="00772CC0" w:rsidRPr="00C17533" w:rsidRDefault="00772CC0">
      <w:pPr>
        <w:pStyle w:val="FootnoteText"/>
        <w:rPr>
          <w:lang w:val="en-US"/>
        </w:rPr>
      </w:pPr>
      <w:r>
        <w:rPr>
          <w:rStyle w:val="FootnoteReference"/>
        </w:rPr>
        <w:footnoteRef/>
      </w:r>
      <w:r>
        <w:t xml:space="preserve"> </w:t>
      </w:r>
      <w:r w:rsidRPr="002C41C9">
        <w:t>International Conference on Harmonisation</w:t>
      </w:r>
      <w:r>
        <w:t>, “</w:t>
      </w:r>
      <w:proofErr w:type="gramStart"/>
      <w:r w:rsidRPr="00C17533">
        <w:t>E6(</w:t>
      </w:r>
      <w:proofErr w:type="gramEnd"/>
      <w:r w:rsidRPr="00C17533">
        <w:t xml:space="preserve">R1): </w:t>
      </w:r>
      <w:r>
        <w:t>Guideline for good clinical practice”, 10 June 1996.</w:t>
      </w:r>
    </w:p>
  </w:footnote>
  <w:footnote w:id="35">
    <w:p w:rsidR="00772CC0" w:rsidRPr="000F0B90" w:rsidRDefault="00772CC0">
      <w:pPr>
        <w:pStyle w:val="FootnoteText"/>
        <w:rPr>
          <w:lang w:val="en-US"/>
        </w:rPr>
      </w:pPr>
      <w:r>
        <w:rPr>
          <w:rStyle w:val="FootnoteReference"/>
        </w:rPr>
        <w:footnoteRef/>
      </w:r>
      <w:r>
        <w:t xml:space="preserve"> </w:t>
      </w:r>
      <w:proofErr w:type="gramStart"/>
      <w:r w:rsidRPr="000F0B90">
        <w:t xml:space="preserve">Kelly RJ, </w:t>
      </w:r>
      <w:proofErr w:type="spellStart"/>
      <w:r w:rsidRPr="000F0B90">
        <w:t>Rixe</w:t>
      </w:r>
      <w:proofErr w:type="spellEnd"/>
      <w:r w:rsidRPr="000F0B90">
        <w:t xml:space="preserve"> O. </w:t>
      </w:r>
      <w:proofErr w:type="spellStart"/>
      <w:r w:rsidRPr="000F0B90">
        <w:t>Axitinib</w:t>
      </w:r>
      <w:proofErr w:type="spellEnd"/>
      <w:r w:rsidRPr="000F0B90">
        <w:t>-a selective inhibitor of the vascular endothelial growth factor (VEGF) recept</w:t>
      </w:r>
      <w:r>
        <w:t>or.</w:t>
      </w:r>
      <w:proofErr w:type="gramEnd"/>
      <w:r>
        <w:t xml:space="preserve"> </w:t>
      </w:r>
      <w:r w:rsidRPr="00AF259D">
        <w:rPr>
          <w:i/>
        </w:rPr>
        <w:t xml:space="preserve">Target </w:t>
      </w:r>
      <w:proofErr w:type="spellStart"/>
      <w:r w:rsidRPr="00AF259D">
        <w:rPr>
          <w:i/>
        </w:rPr>
        <w:t>Oncol</w:t>
      </w:r>
      <w:proofErr w:type="spellEnd"/>
      <w:r w:rsidRPr="00AF259D">
        <w:rPr>
          <w:i/>
        </w:rPr>
        <w:t>.</w:t>
      </w:r>
      <w:r>
        <w:t xml:space="preserve"> 4: 297-</w:t>
      </w:r>
      <w:r w:rsidRPr="000F0B90">
        <w:t>305</w:t>
      </w:r>
      <w:r>
        <w:t xml:space="preserve"> (2009).</w:t>
      </w:r>
    </w:p>
  </w:footnote>
  <w:footnote w:id="36">
    <w:p w:rsidR="00772CC0" w:rsidRPr="00655A29" w:rsidRDefault="00772CC0">
      <w:pPr>
        <w:pStyle w:val="FootnoteText"/>
        <w:rPr>
          <w:lang w:val="en-US"/>
        </w:rPr>
      </w:pPr>
      <w:r>
        <w:rPr>
          <w:rStyle w:val="FootnoteReference"/>
        </w:rPr>
        <w:footnoteRef/>
      </w:r>
      <w:r>
        <w:t xml:space="preserve"> European Medicines Agency, “</w:t>
      </w:r>
      <w:r w:rsidRPr="009E3082">
        <w:t>Appendix 1 to the guideline on the evaluation of anticancer medicinal products in man: Methodological consideration for using progression-free survival (PFS) or disease-free survival (DFS) in confirmatory trials</w:t>
      </w:r>
      <w:r>
        <w:t xml:space="preserve"> (</w:t>
      </w:r>
      <w:r w:rsidRPr="009E3082">
        <w:t>EMA/CHMP/27994/2008</w:t>
      </w:r>
      <w:r>
        <w:t>)”, 5 December 2011.</w:t>
      </w:r>
    </w:p>
  </w:footnote>
  <w:footnote w:id="37">
    <w:p w:rsidR="00772CC0" w:rsidRPr="000F523D" w:rsidRDefault="00772CC0">
      <w:pPr>
        <w:pStyle w:val="FootnoteText"/>
        <w:rPr>
          <w:lang w:val="en-US"/>
        </w:rPr>
      </w:pPr>
      <w:r>
        <w:rPr>
          <w:rStyle w:val="FootnoteReference"/>
        </w:rPr>
        <w:footnoteRef/>
      </w:r>
      <w:r>
        <w:t xml:space="preserve"> </w:t>
      </w:r>
      <w:r w:rsidRPr="000F523D">
        <w:t xml:space="preserve">Durante C, </w:t>
      </w:r>
      <w:r>
        <w:t xml:space="preserve">et al. </w:t>
      </w:r>
      <w:r w:rsidRPr="000F523D">
        <w:t xml:space="preserve">Long-term outcome of 444 patients with distant metastases from papillary and follicular thyroid carcinoma: benefits and limits of radioiodine therapy. </w:t>
      </w:r>
      <w:proofErr w:type="gramStart"/>
      <w:r w:rsidRPr="005310FC">
        <w:rPr>
          <w:i/>
        </w:rPr>
        <w:t xml:space="preserve">J </w:t>
      </w:r>
      <w:proofErr w:type="spellStart"/>
      <w:r w:rsidRPr="005310FC">
        <w:rPr>
          <w:i/>
        </w:rPr>
        <w:t>Clin</w:t>
      </w:r>
      <w:proofErr w:type="spellEnd"/>
      <w:r w:rsidRPr="005310FC">
        <w:rPr>
          <w:i/>
        </w:rPr>
        <w:t xml:space="preserve"> </w:t>
      </w:r>
      <w:proofErr w:type="spellStart"/>
      <w:r w:rsidRPr="005310FC">
        <w:rPr>
          <w:i/>
        </w:rPr>
        <w:t>Endocrinol</w:t>
      </w:r>
      <w:proofErr w:type="spellEnd"/>
      <w:r w:rsidRPr="005310FC">
        <w:rPr>
          <w:i/>
        </w:rPr>
        <w:t xml:space="preserve"> </w:t>
      </w:r>
      <w:proofErr w:type="spellStart"/>
      <w:r w:rsidRPr="005310FC">
        <w:rPr>
          <w:i/>
        </w:rPr>
        <w:t>Metab</w:t>
      </w:r>
      <w:proofErr w:type="spellEnd"/>
      <w:r w:rsidRPr="005310FC">
        <w:rPr>
          <w:i/>
        </w:rPr>
        <w:t>.</w:t>
      </w:r>
      <w:proofErr w:type="gramEnd"/>
      <w:r>
        <w:t xml:space="preserve"> </w:t>
      </w:r>
      <w:proofErr w:type="gramStart"/>
      <w:r>
        <w:t>91: 2892-9 (2006).</w:t>
      </w:r>
      <w:proofErr w:type="gramEnd"/>
    </w:p>
  </w:footnote>
  <w:footnote w:id="38">
    <w:p w:rsidR="00772CC0" w:rsidRPr="0000508B" w:rsidRDefault="00772CC0">
      <w:pPr>
        <w:pStyle w:val="FootnoteText"/>
        <w:rPr>
          <w:lang w:val="en-US"/>
        </w:rPr>
      </w:pPr>
      <w:r>
        <w:rPr>
          <w:rStyle w:val="FootnoteReference"/>
        </w:rPr>
        <w:footnoteRef/>
      </w:r>
      <w:r>
        <w:t xml:space="preserve"> </w:t>
      </w:r>
      <w:r w:rsidRPr="0000508B">
        <w:t xml:space="preserve">Molina </w:t>
      </w:r>
      <w:proofErr w:type="gramStart"/>
      <w:r w:rsidRPr="0000508B">
        <w:t>AM,</w:t>
      </w:r>
      <w:r>
        <w:t xml:space="preserve"> et al</w:t>
      </w:r>
      <w:proofErr w:type="gramEnd"/>
      <w:r w:rsidRPr="0000508B">
        <w:t>.</w:t>
      </w:r>
      <w:r>
        <w:t xml:space="preserve"> </w:t>
      </w:r>
      <w:proofErr w:type="gramStart"/>
      <w:r w:rsidRPr="0000508B">
        <w:t xml:space="preserve">A phase 1b clinical trial of the multi-targeted tyrosine kinase inhibitor lenvatinib (E7080) in combination with </w:t>
      </w:r>
      <w:proofErr w:type="spellStart"/>
      <w:r w:rsidRPr="0000508B">
        <w:t>everolimus</w:t>
      </w:r>
      <w:proofErr w:type="spellEnd"/>
      <w:r w:rsidRPr="0000508B">
        <w:t xml:space="preserve"> for treatment of metasta</w:t>
      </w:r>
      <w:r>
        <w:t>tic renal cell carcinoma (RCC).</w:t>
      </w:r>
      <w:proofErr w:type="gramEnd"/>
      <w:r w:rsidRPr="0000508B">
        <w:t xml:space="preserve"> </w:t>
      </w:r>
      <w:proofErr w:type="gramStart"/>
      <w:r w:rsidRPr="0000508B">
        <w:rPr>
          <w:i/>
        </w:rPr>
        <w:t xml:space="preserve">Cancer </w:t>
      </w:r>
      <w:proofErr w:type="spellStart"/>
      <w:r w:rsidRPr="0000508B">
        <w:rPr>
          <w:i/>
        </w:rPr>
        <w:t>Chemother</w:t>
      </w:r>
      <w:proofErr w:type="spellEnd"/>
      <w:r w:rsidRPr="0000508B">
        <w:rPr>
          <w:i/>
        </w:rPr>
        <w:t xml:space="preserve"> </w:t>
      </w:r>
      <w:proofErr w:type="spellStart"/>
      <w:r w:rsidRPr="0000508B">
        <w:rPr>
          <w:i/>
        </w:rPr>
        <w:t>Pharmacol</w:t>
      </w:r>
      <w:proofErr w:type="spellEnd"/>
      <w:r w:rsidRPr="0000508B">
        <w:rPr>
          <w:i/>
        </w:rPr>
        <w:t>.</w:t>
      </w:r>
      <w:proofErr w:type="gramEnd"/>
      <w:r w:rsidRPr="0000508B">
        <w:rPr>
          <w:i/>
        </w:rPr>
        <w:t xml:space="preserve"> </w:t>
      </w:r>
      <w:r>
        <w:t>73</w:t>
      </w:r>
      <w:r w:rsidRPr="0000508B">
        <w:t>:</w:t>
      </w:r>
      <w:r>
        <w:t xml:space="preserve"> </w:t>
      </w:r>
      <w:r w:rsidRPr="0000508B">
        <w:t>181-</w:t>
      </w:r>
      <w:r>
        <w:t>18</w:t>
      </w:r>
      <w:r w:rsidRPr="0000508B">
        <w:t>9</w:t>
      </w:r>
      <w:r>
        <w:t xml:space="preserve"> (2014).</w:t>
      </w:r>
    </w:p>
  </w:footnote>
  <w:footnote w:id="39">
    <w:p w:rsidR="00772CC0" w:rsidRPr="00FD1472" w:rsidRDefault="00772CC0">
      <w:pPr>
        <w:pStyle w:val="FootnoteText"/>
        <w:rPr>
          <w:lang w:val="en-US"/>
        </w:rPr>
      </w:pPr>
      <w:r>
        <w:rPr>
          <w:rStyle w:val="FootnoteReference"/>
        </w:rPr>
        <w:footnoteRef/>
      </w:r>
      <w:r>
        <w:t xml:space="preserve"> </w:t>
      </w:r>
      <w:r w:rsidRPr="00FD1472">
        <w:t>Ikeda M,</w:t>
      </w:r>
      <w:r>
        <w:t xml:space="preserve"> et al</w:t>
      </w:r>
      <w:r w:rsidRPr="00FD1472">
        <w:t xml:space="preserve">. Current status of hepatocellular carcinoma in Japan. </w:t>
      </w:r>
      <w:r w:rsidRPr="00520CD9">
        <w:rPr>
          <w:i/>
        </w:rPr>
        <w:t xml:space="preserve">Chin </w:t>
      </w:r>
      <w:proofErr w:type="spellStart"/>
      <w:r w:rsidRPr="00520CD9">
        <w:rPr>
          <w:i/>
        </w:rPr>
        <w:t>Clin</w:t>
      </w:r>
      <w:proofErr w:type="spellEnd"/>
      <w:r w:rsidRPr="00520CD9">
        <w:rPr>
          <w:i/>
        </w:rPr>
        <w:t xml:space="preserve"> </w:t>
      </w:r>
      <w:proofErr w:type="spellStart"/>
      <w:r w:rsidRPr="00520CD9">
        <w:rPr>
          <w:i/>
        </w:rPr>
        <w:t>Oncol</w:t>
      </w:r>
      <w:proofErr w:type="spellEnd"/>
      <w:r w:rsidRPr="00520CD9">
        <w:rPr>
          <w:i/>
        </w:rPr>
        <w:t>.</w:t>
      </w:r>
      <w:r>
        <w:t xml:space="preserve"> 2: 40 (2013).</w:t>
      </w:r>
    </w:p>
  </w:footnote>
  <w:footnote w:id="40">
    <w:p w:rsidR="00772CC0" w:rsidRPr="00520CD9" w:rsidRDefault="00772CC0">
      <w:pPr>
        <w:pStyle w:val="FootnoteText"/>
        <w:rPr>
          <w:lang w:val="en-US"/>
        </w:rPr>
      </w:pPr>
      <w:r>
        <w:rPr>
          <w:rStyle w:val="FootnoteReference"/>
        </w:rPr>
        <w:footnoteRef/>
      </w:r>
      <w:r>
        <w:t xml:space="preserve"> </w:t>
      </w:r>
      <w:proofErr w:type="spellStart"/>
      <w:proofErr w:type="gramStart"/>
      <w:r w:rsidRPr="00520CD9">
        <w:t>Vergote</w:t>
      </w:r>
      <w:proofErr w:type="spellEnd"/>
      <w:r w:rsidRPr="00520CD9">
        <w:t xml:space="preserve"> </w:t>
      </w:r>
      <w:r>
        <w:t>I, et al.</w:t>
      </w:r>
      <w:proofErr w:type="gramEnd"/>
      <w:r>
        <w:t xml:space="preserve"> </w:t>
      </w:r>
      <w:r w:rsidRPr="00520CD9">
        <w:t>A phase II trial of lenvatinib in patients with advanced or recurrent endometrial cancer: angiopoietin-2 as a predictive marker for clinical outcomes.</w:t>
      </w:r>
      <w:r>
        <w:t xml:space="preserve"> </w:t>
      </w:r>
      <w:proofErr w:type="gramStart"/>
      <w:r w:rsidRPr="00520CD9">
        <w:t>2013 ASCO Annual Meeting</w:t>
      </w:r>
      <w:r>
        <w:t xml:space="preserve"> poster.</w:t>
      </w:r>
      <w:proofErr w:type="gramEnd"/>
    </w:p>
  </w:footnote>
  <w:footnote w:id="41">
    <w:p w:rsidR="00772CC0" w:rsidRPr="00A872DC" w:rsidRDefault="00772CC0">
      <w:pPr>
        <w:pStyle w:val="FootnoteText"/>
        <w:rPr>
          <w:lang w:val="en-US"/>
        </w:rPr>
      </w:pPr>
      <w:r>
        <w:rPr>
          <w:rStyle w:val="FootnoteReference"/>
        </w:rPr>
        <w:footnoteRef/>
      </w:r>
      <w:r>
        <w:t xml:space="preserve"> </w:t>
      </w:r>
      <w:proofErr w:type="spellStart"/>
      <w:r>
        <w:rPr>
          <w:lang w:val="en-US"/>
        </w:rPr>
        <w:t>O’Day</w:t>
      </w:r>
      <w:proofErr w:type="spellEnd"/>
      <w:r>
        <w:rPr>
          <w:lang w:val="en-US"/>
        </w:rPr>
        <w:t xml:space="preserve"> S, et al. </w:t>
      </w:r>
      <w:r w:rsidRPr="00A872DC">
        <w:rPr>
          <w:lang w:val="en-US"/>
        </w:rPr>
        <w:t xml:space="preserve">A phase II study of the </w:t>
      </w:r>
      <w:proofErr w:type="spellStart"/>
      <w:r w:rsidRPr="00A872DC">
        <w:rPr>
          <w:lang w:val="en-US"/>
        </w:rPr>
        <w:t>multitargeted</w:t>
      </w:r>
      <w:proofErr w:type="spellEnd"/>
      <w:r w:rsidRPr="00A872DC">
        <w:rPr>
          <w:lang w:val="en-US"/>
        </w:rPr>
        <w:t xml:space="preserve"> kinase inhibitor </w:t>
      </w:r>
      <w:proofErr w:type="spellStart"/>
      <w:r w:rsidRPr="00A872DC">
        <w:rPr>
          <w:lang w:val="en-US"/>
        </w:rPr>
        <w:t>lenvatinib</w:t>
      </w:r>
      <w:proofErr w:type="spellEnd"/>
      <w:r w:rsidRPr="00A872DC">
        <w:rPr>
          <w:lang w:val="en-US"/>
        </w:rPr>
        <w:t xml:space="preserve"> in patients with advanced BRAF wild-type melanoma.</w:t>
      </w:r>
      <w:r w:rsidRPr="00A872DC">
        <w:t xml:space="preserve"> </w:t>
      </w:r>
      <w:proofErr w:type="gramStart"/>
      <w:r w:rsidRPr="00520CD9">
        <w:t>2013 ASCO Annual Meeting</w:t>
      </w:r>
      <w:r>
        <w:t xml:space="preserve"> poster.</w:t>
      </w:r>
      <w:proofErr w:type="gramEnd"/>
    </w:p>
  </w:footnote>
  <w:footnote w:id="42">
    <w:p w:rsidR="00772CC0" w:rsidRPr="000F4BD5" w:rsidRDefault="00772CC0">
      <w:pPr>
        <w:pStyle w:val="FootnoteText"/>
        <w:rPr>
          <w:lang w:val="en-US"/>
        </w:rPr>
      </w:pPr>
      <w:r>
        <w:rPr>
          <w:rStyle w:val="FootnoteReference"/>
        </w:rPr>
        <w:footnoteRef/>
      </w:r>
      <w:r>
        <w:t xml:space="preserve"> </w:t>
      </w:r>
      <w:proofErr w:type="gramStart"/>
      <w:r w:rsidRPr="000F4BD5">
        <w:t xml:space="preserve">Agate L, </w:t>
      </w:r>
      <w:r>
        <w:t>et al.</w:t>
      </w:r>
      <w:proofErr w:type="gramEnd"/>
      <w:r>
        <w:t xml:space="preserve"> </w:t>
      </w:r>
      <w:proofErr w:type="gramStart"/>
      <w:r w:rsidRPr="000F4BD5">
        <w:t>New and old knowledge on differentiated thyroid cancer epidemiology and risk factors.</w:t>
      </w:r>
      <w:proofErr w:type="gramEnd"/>
      <w:r w:rsidRPr="000F4BD5">
        <w:t xml:space="preserve"> </w:t>
      </w:r>
      <w:r w:rsidRPr="00C92BC0">
        <w:rPr>
          <w:i/>
        </w:rPr>
        <w:t xml:space="preserve">J </w:t>
      </w:r>
      <w:proofErr w:type="spellStart"/>
      <w:r w:rsidRPr="00C92BC0">
        <w:rPr>
          <w:i/>
        </w:rPr>
        <w:t>Endocrinol</w:t>
      </w:r>
      <w:proofErr w:type="spellEnd"/>
      <w:r w:rsidRPr="00C92BC0">
        <w:rPr>
          <w:i/>
        </w:rPr>
        <w:t xml:space="preserve"> Invest. </w:t>
      </w:r>
      <w:r>
        <w:t xml:space="preserve">35 (6 </w:t>
      </w:r>
      <w:proofErr w:type="spellStart"/>
      <w:r>
        <w:t>Suppl</w:t>
      </w:r>
      <w:proofErr w:type="spellEnd"/>
      <w:r>
        <w:t>): 3-9 (2012).</w:t>
      </w:r>
    </w:p>
  </w:footnote>
  <w:footnote w:id="43">
    <w:p w:rsidR="00772CC0" w:rsidRPr="005C3861" w:rsidRDefault="00772CC0">
      <w:pPr>
        <w:pStyle w:val="FootnoteText"/>
        <w:rPr>
          <w:lang w:val="en-US"/>
        </w:rPr>
      </w:pPr>
      <w:r>
        <w:rPr>
          <w:rStyle w:val="FootnoteReference"/>
        </w:rPr>
        <w:footnoteRef/>
      </w:r>
      <w:r>
        <w:t xml:space="preserve"> </w:t>
      </w:r>
      <w:proofErr w:type="spellStart"/>
      <w:r w:rsidRPr="005C3861">
        <w:t>Haraldsdottir</w:t>
      </w:r>
      <w:proofErr w:type="spellEnd"/>
      <w:r w:rsidRPr="005C3861">
        <w:t xml:space="preserve"> S, Shah MH. </w:t>
      </w:r>
      <w:proofErr w:type="gramStart"/>
      <w:r w:rsidRPr="005C3861">
        <w:t>New era for treatment in differentiated thyroid cancer.</w:t>
      </w:r>
      <w:proofErr w:type="gramEnd"/>
      <w:r w:rsidRPr="005C3861">
        <w:t xml:space="preserve"> </w:t>
      </w:r>
      <w:proofErr w:type="gramStart"/>
      <w:r w:rsidRPr="006643BD">
        <w:rPr>
          <w:i/>
        </w:rPr>
        <w:t>Lancet</w:t>
      </w:r>
      <w:r>
        <w:t xml:space="preserve"> 384: 286-8 (2014).</w:t>
      </w:r>
      <w:proofErr w:type="gramEnd"/>
    </w:p>
  </w:footnote>
  <w:footnote w:id="44">
    <w:p w:rsidR="00772CC0" w:rsidRPr="00C7576D" w:rsidRDefault="00772CC0">
      <w:pPr>
        <w:pStyle w:val="FootnoteText"/>
        <w:rPr>
          <w:lang w:val="en-US"/>
        </w:rPr>
      </w:pPr>
      <w:r>
        <w:rPr>
          <w:rStyle w:val="FootnoteReference"/>
        </w:rPr>
        <w:footnoteRef/>
      </w:r>
      <w:r>
        <w:t xml:space="preserve"> European Medicines Agency, “</w:t>
      </w:r>
      <w:r w:rsidRPr="00DA7DD4">
        <w:t>Lenvima</w:t>
      </w:r>
      <w:r>
        <w:t xml:space="preserve">: </w:t>
      </w:r>
      <w:r>
        <w:rPr>
          <w:lang w:val="en-US"/>
        </w:rPr>
        <w:t>European Public Assessment Report (EPAR) (</w:t>
      </w:r>
      <w:r w:rsidRPr="00DA7DD4">
        <w:rPr>
          <w:lang w:val="en-US"/>
        </w:rPr>
        <w:t>EMA/250082/2015</w:t>
      </w:r>
      <w:r>
        <w:rPr>
          <w:lang w:val="en-US"/>
        </w:rPr>
        <w:t xml:space="preserve">)”, </w:t>
      </w:r>
      <w:r w:rsidRPr="00DA7DD4">
        <w:rPr>
          <w:lang w:val="en-US"/>
        </w:rPr>
        <w:t>26 March 2015</w:t>
      </w:r>
      <w:r>
        <w:rPr>
          <w:lang w:val="en-US"/>
        </w:rPr>
        <w:t>.</w:t>
      </w:r>
    </w:p>
  </w:footnote>
  <w:footnote w:id="45">
    <w:p w:rsidR="00772CC0" w:rsidRPr="003513EE" w:rsidRDefault="00772CC0">
      <w:pPr>
        <w:pStyle w:val="FootnoteText"/>
        <w:rPr>
          <w:lang w:val="en-US"/>
        </w:rPr>
      </w:pPr>
      <w:r>
        <w:rPr>
          <w:rStyle w:val="FootnoteReference"/>
        </w:rPr>
        <w:footnoteRef/>
      </w:r>
      <w:r>
        <w:t xml:space="preserve"> </w:t>
      </w:r>
      <w:r w:rsidRPr="003513EE">
        <w:t xml:space="preserve">For example, the FDA Chemistry review notes lenvatinib is manufactured under cGMP by Eisai Co Ltd at its Kashima Plant in Japan. Also, the EMA Rapporteur day 80 critical assessment </w:t>
      </w:r>
      <w:proofErr w:type="gramStart"/>
      <w:r w:rsidRPr="003513EE">
        <w:t>report</w:t>
      </w:r>
      <w:proofErr w:type="gramEnd"/>
      <w:r w:rsidRPr="003513EE">
        <w:t xml:space="preserve"> on quality aspects notes the same plant as the source of drug substance (Kashima Plant, 22 </w:t>
      </w:r>
      <w:proofErr w:type="spellStart"/>
      <w:r w:rsidRPr="003513EE">
        <w:t>Sunayama</w:t>
      </w:r>
      <w:proofErr w:type="spellEnd"/>
      <w:r w:rsidRPr="003513EE">
        <w:t xml:space="preserve">, </w:t>
      </w:r>
      <w:proofErr w:type="spellStart"/>
      <w:r w:rsidRPr="003513EE">
        <w:t>Kamisu-shi</w:t>
      </w:r>
      <w:proofErr w:type="spellEnd"/>
      <w:r w:rsidRPr="003513EE">
        <w:t>)</w:t>
      </w:r>
      <w:r>
        <w:t>.</w:t>
      </w:r>
    </w:p>
  </w:footnote>
  <w:footnote w:id="46">
    <w:p w:rsidR="00772CC0" w:rsidRPr="00695F28" w:rsidRDefault="00772CC0">
      <w:pPr>
        <w:pStyle w:val="FootnoteText"/>
        <w:rPr>
          <w:lang w:val="en-US"/>
        </w:rPr>
      </w:pPr>
      <w:r>
        <w:rPr>
          <w:rStyle w:val="FootnoteReference"/>
        </w:rPr>
        <w:footnoteRef/>
      </w:r>
      <w:r>
        <w:t xml:space="preserve"> European Medicines Agency, “</w:t>
      </w:r>
      <w:r w:rsidRPr="00DA7DD4">
        <w:t>Lenvima</w:t>
      </w:r>
      <w:r>
        <w:t xml:space="preserve">: </w:t>
      </w:r>
      <w:r>
        <w:rPr>
          <w:lang w:val="en-US"/>
        </w:rPr>
        <w:t>European Public Assessment Report (EPAR) (</w:t>
      </w:r>
      <w:r w:rsidRPr="00DA7DD4">
        <w:rPr>
          <w:lang w:val="en-US"/>
        </w:rPr>
        <w:t>EMA/250082/2015</w:t>
      </w:r>
      <w:r>
        <w:rPr>
          <w:lang w:val="en-US"/>
        </w:rPr>
        <w:t xml:space="preserve">)”, </w:t>
      </w:r>
      <w:r w:rsidRPr="00DA7DD4">
        <w:rPr>
          <w:lang w:val="en-US"/>
        </w:rPr>
        <w:t>26 March 2015</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CC0" w:rsidRDefault="00772CC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CC0" w:rsidRDefault="00772CC0">
    <w:pPr>
      <w:rPr>
        <w:noProof/>
        <w:lang w:eastAsia="en-AU"/>
      </w:rPr>
    </w:pPr>
    <w:r w:rsidRPr="00347824">
      <w:rPr>
        <w:noProof/>
        <w:lang w:eastAsia="en-AU"/>
      </w:rPr>
      <w:drawing>
        <wp:anchor distT="0" distB="0" distL="114300" distR="114300" simplePos="0" relativeHeight="251659264" behindDoc="1" locked="0" layoutInCell="1" allowOverlap="1" wp14:anchorId="1439D7C3" wp14:editId="0A1715A1">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72CC0" w:rsidRDefault="00772CC0" w:rsidP="00593AD1">
    <w:pPr>
      <w:pStyle w:val="HeaderNoLine"/>
    </w:pPr>
    <w:r>
      <w:rPr>
        <w:noProof/>
        <w:lang w:eastAsia="en-AU"/>
      </w:rPr>
      <w:drawing>
        <wp:inline distT="0" distB="0" distL="0" distR="0" wp14:anchorId="32A58766" wp14:editId="13481997">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CC0" w:rsidRDefault="00772C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CC0" w:rsidRDefault="00772CC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CC0" w:rsidRDefault="00772CC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CC0" w:rsidRDefault="00772CC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CC0" w:rsidRDefault="00772CC0"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CC0" w:rsidRDefault="00772CC0" w:rsidP="006E08B3">
    <w:r>
      <w:t>Therapeutic Goods Administration</w:t>
    </w:r>
  </w:p>
  <w:p w:rsidR="00772CC0" w:rsidRDefault="00772CC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
    <w:nsid w:val="3E2B2A5C"/>
    <w:multiLevelType w:val="hybridMultilevel"/>
    <w:tmpl w:val="668A59E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
    <w:nsid w:val="489B15D7"/>
    <w:multiLevelType w:val="hybridMultilevel"/>
    <w:tmpl w:val="7616B270"/>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E3D639FA">
      <w:start w:val="1"/>
      <w:numFmt w:val="bullet"/>
      <w:lvlText w:val="‒"/>
      <w:lvlJc w:val="left"/>
      <w:pPr>
        <w:tabs>
          <w:tab w:val="num" w:pos="1440"/>
        </w:tabs>
        <w:ind w:left="1440" w:hanging="360"/>
      </w:pPr>
      <w:rPr>
        <w:rFonts w:ascii="Times New Roman" w:hAnsi="Times New Roman" w:cs="Times New Roman" w:hint="default"/>
        <w:position w:val="2"/>
        <w:sz w:val="22"/>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4A5443B7"/>
    <w:multiLevelType w:val="multilevel"/>
    <w:tmpl w:val="669A9446"/>
    <w:lvl w:ilvl="0">
      <w:start w:val="1"/>
      <w:numFmt w:val="lowerLett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68DA51E1"/>
    <w:multiLevelType w:val="hybridMultilevel"/>
    <w:tmpl w:val="EBEE992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7">
    <w:nsid w:val="6AC26DBB"/>
    <w:multiLevelType w:val="hybridMultilevel"/>
    <w:tmpl w:val="C088B8A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4"/>
  </w:num>
  <w:num w:numId="6">
    <w:abstractNumId w:val="2"/>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1FB3"/>
    <w:rsid w:val="00002031"/>
    <w:rsid w:val="00004260"/>
    <w:rsid w:val="00004734"/>
    <w:rsid w:val="0000508B"/>
    <w:rsid w:val="0000524F"/>
    <w:rsid w:val="0000658A"/>
    <w:rsid w:val="00006B22"/>
    <w:rsid w:val="00011B05"/>
    <w:rsid w:val="0001276A"/>
    <w:rsid w:val="00012CDA"/>
    <w:rsid w:val="00015A2B"/>
    <w:rsid w:val="000218F4"/>
    <w:rsid w:val="00021FEB"/>
    <w:rsid w:val="00022D2F"/>
    <w:rsid w:val="00023C23"/>
    <w:rsid w:val="000246AE"/>
    <w:rsid w:val="00025C67"/>
    <w:rsid w:val="00034B98"/>
    <w:rsid w:val="00036BB6"/>
    <w:rsid w:val="000416B8"/>
    <w:rsid w:val="0004435D"/>
    <w:rsid w:val="00044772"/>
    <w:rsid w:val="00053696"/>
    <w:rsid w:val="00054F85"/>
    <w:rsid w:val="0005559E"/>
    <w:rsid w:val="0006010F"/>
    <w:rsid w:val="000604D6"/>
    <w:rsid w:val="00065A3F"/>
    <w:rsid w:val="00073282"/>
    <w:rsid w:val="000734D8"/>
    <w:rsid w:val="00074BB6"/>
    <w:rsid w:val="00077775"/>
    <w:rsid w:val="00085175"/>
    <w:rsid w:val="00090471"/>
    <w:rsid w:val="00096AA7"/>
    <w:rsid w:val="000A2F8A"/>
    <w:rsid w:val="000A3AED"/>
    <w:rsid w:val="000A4073"/>
    <w:rsid w:val="000A505B"/>
    <w:rsid w:val="000B12ED"/>
    <w:rsid w:val="000B19B9"/>
    <w:rsid w:val="000B3532"/>
    <w:rsid w:val="000B3A75"/>
    <w:rsid w:val="000B442F"/>
    <w:rsid w:val="000C00C2"/>
    <w:rsid w:val="000C18B0"/>
    <w:rsid w:val="000C2BEE"/>
    <w:rsid w:val="000C3F21"/>
    <w:rsid w:val="000C4D1E"/>
    <w:rsid w:val="000C690F"/>
    <w:rsid w:val="000D01CC"/>
    <w:rsid w:val="000D1260"/>
    <w:rsid w:val="000D1295"/>
    <w:rsid w:val="000D275B"/>
    <w:rsid w:val="000D391B"/>
    <w:rsid w:val="000D3D6D"/>
    <w:rsid w:val="000D4FC7"/>
    <w:rsid w:val="000D4FDD"/>
    <w:rsid w:val="000D70CA"/>
    <w:rsid w:val="000E016C"/>
    <w:rsid w:val="000E6196"/>
    <w:rsid w:val="000F0B90"/>
    <w:rsid w:val="000F22C7"/>
    <w:rsid w:val="000F4869"/>
    <w:rsid w:val="000F4BD5"/>
    <w:rsid w:val="000F523D"/>
    <w:rsid w:val="000F5B42"/>
    <w:rsid w:val="000F6AE7"/>
    <w:rsid w:val="000F6E6F"/>
    <w:rsid w:val="0010601F"/>
    <w:rsid w:val="0010719C"/>
    <w:rsid w:val="0010788A"/>
    <w:rsid w:val="00107A31"/>
    <w:rsid w:val="00110EA5"/>
    <w:rsid w:val="00112F56"/>
    <w:rsid w:val="0011393E"/>
    <w:rsid w:val="00114914"/>
    <w:rsid w:val="00115764"/>
    <w:rsid w:val="001252FD"/>
    <w:rsid w:val="00125318"/>
    <w:rsid w:val="001270BA"/>
    <w:rsid w:val="001305A2"/>
    <w:rsid w:val="0013292F"/>
    <w:rsid w:val="00133238"/>
    <w:rsid w:val="00133A1B"/>
    <w:rsid w:val="00140AA1"/>
    <w:rsid w:val="0014197B"/>
    <w:rsid w:val="00141EA2"/>
    <w:rsid w:val="001447CD"/>
    <w:rsid w:val="0014607F"/>
    <w:rsid w:val="001508F8"/>
    <w:rsid w:val="001516B1"/>
    <w:rsid w:val="00154EBB"/>
    <w:rsid w:val="00156316"/>
    <w:rsid w:val="00161181"/>
    <w:rsid w:val="00161BA5"/>
    <w:rsid w:val="00162D14"/>
    <w:rsid w:val="00165389"/>
    <w:rsid w:val="001658E9"/>
    <w:rsid w:val="00166A00"/>
    <w:rsid w:val="00167FAD"/>
    <w:rsid w:val="00173267"/>
    <w:rsid w:val="0017693F"/>
    <w:rsid w:val="0018110E"/>
    <w:rsid w:val="00181684"/>
    <w:rsid w:val="001843C6"/>
    <w:rsid w:val="001849CA"/>
    <w:rsid w:val="001850E0"/>
    <w:rsid w:val="00186BCA"/>
    <w:rsid w:val="00195C1A"/>
    <w:rsid w:val="0019641D"/>
    <w:rsid w:val="001A2158"/>
    <w:rsid w:val="001A525F"/>
    <w:rsid w:val="001B09F9"/>
    <w:rsid w:val="001B5C90"/>
    <w:rsid w:val="001B6448"/>
    <w:rsid w:val="001C32CD"/>
    <w:rsid w:val="001D2984"/>
    <w:rsid w:val="001D3AFF"/>
    <w:rsid w:val="001D5DE1"/>
    <w:rsid w:val="001D5F7B"/>
    <w:rsid w:val="001E07CF"/>
    <w:rsid w:val="001E0E16"/>
    <w:rsid w:val="001E59F1"/>
    <w:rsid w:val="001E713D"/>
    <w:rsid w:val="001E75BA"/>
    <w:rsid w:val="001F2CEE"/>
    <w:rsid w:val="001F48A5"/>
    <w:rsid w:val="001F49EB"/>
    <w:rsid w:val="001F6CBA"/>
    <w:rsid w:val="001F6F21"/>
    <w:rsid w:val="00201D4E"/>
    <w:rsid w:val="002076C9"/>
    <w:rsid w:val="00214B69"/>
    <w:rsid w:val="00214E37"/>
    <w:rsid w:val="00214F28"/>
    <w:rsid w:val="0021663A"/>
    <w:rsid w:val="00220B8A"/>
    <w:rsid w:val="002257F3"/>
    <w:rsid w:val="00231C8B"/>
    <w:rsid w:val="002326B2"/>
    <w:rsid w:val="00232A97"/>
    <w:rsid w:val="00233456"/>
    <w:rsid w:val="002339A5"/>
    <w:rsid w:val="00235B38"/>
    <w:rsid w:val="00243060"/>
    <w:rsid w:val="002469BB"/>
    <w:rsid w:val="00247370"/>
    <w:rsid w:val="00253232"/>
    <w:rsid w:val="00257848"/>
    <w:rsid w:val="00263C77"/>
    <w:rsid w:val="00264A55"/>
    <w:rsid w:val="0027084A"/>
    <w:rsid w:val="00286434"/>
    <w:rsid w:val="00286C59"/>
    <w:rsid w:val="00290031"/>
    <w:rsid w:val="00290390"/>
    <w:rsid w:val="00291957"/>
    <w:rsid w:val="002942D1"/>
    <w:rsid w:val="0029501A"/>
    <w:rsid w:val="002A3721"/>
    <w:rsid w:val="002A5860"/>
    <w:rsid w:val="002A6218"/>
    <w:rsid w:val="002A6CED"/>
    <w:rsid w:val="002A7F45"/>
    <w:rsid w:val="002B1638"/>
    <w:rsid w:val="002B3624"/>
    <w:rsid w:val="002B528B"/>
    <w:rsid w:val="002C41C9"/>
    <w:rsid w:val="002D01E7"/>
    <w:rsid w:val="002D0952"/>
    <w:rsid w:val="002D1A69"/>
    <w:rsid w:val="002D3FC1"/>
    <w:rsid w:val="002D63A9"/>
    <w:rsid w:val="002E11E3"/>
    <w:rsid w:val="002E40B3"/>
    <w:rsid w:val="002E4437"/>
    <w:rsid w:val="002E4C9A"/>
    <w:rsid w:val="002F04A7"/>
    <w:rsid w:val="002F11F8"/>
    <w:rsid w:val="002F3F56"/>
    <w:rsid w:val="002F3F87"/>
    <w:rsid w:val="002F44B5"/>
    <w:rsid w:val="003012B9"/>
    <w:rsid w:val="00311AC0"/>
    <w:rsid w:val="003139C5"/>
    <w:rsid w:val="0032041D"/>
    <w:rsid w:val="0032372F"/>
    <w:rsid w:val="00323F98"/>
    <w:rsid w:val="0032583B"/>
    <w:rsid w:val="003264AF"/>
    <w:rsid w:val="00327883"/>
    <w:rsid w:val="003338DF"/>
    <w:rsid w:val="00335504"/>
    <w:rsid w:val="003375F5"/>
    <w:rsid w:val="00337AC7"/>
    <w:rsid w:val="00340C18"/>
    <w:rsid w:val="003442FD"/>
    <w:rsid w:val="00347824"/>
    <w:rsid w:val="00350567"/>
    <w:rsid w:val="003513EE"/>
    <w:rsid w:val="003516DE"/>
    <w:rsid w:val="0035176C"/>
    <w:rsid w:val="003521E8"/>
    <w:rsid w:val="0035691D"/>
    <w:rsid w:val="00367013"/>
    <w:rsid w:val="00367817"/>
    <w:rsid w:val="00370CE3"/>
    <w:rsid w:val="003728F3"/>
    <w:rsid w:val="00373162"/>
    <w:rsid w:val="0037496E"/>
    <w:rsid w:val="003816BF"/>
    <w:rsid w:val="0038296C"/>
    <w:rsid w:val="00383221"/>
    <w:rsid w:val="00386150"/>
    <w:rsid w:val="003874CE"/>
    <w:rsid w:val="00390900"/>
    <w:rsid w:val="00392937"/>
    <w:rsid w:val="003A0135"/>
    <w:rsid w:val="003A060B"/>
    <w:rsid w:val="003A3E18"/>
    <w:rsid w:val="003A5B67"/>
    <w:rsid w:val="003A7F6C"/>
    <w:rsid w:val="003B4B83"/>
    <w:rsid w:val="003B4D60"/>
    <w:rsid w:val="003B5A7B"/>
    <w:rsid w:val="003B7E39"/>
    <w:rsid w:val="003C30CF"/>
    <w:rsid w:val="003C524B"/>
    <w:rsid w:val="003C58DC"/>
    <w:rsid w:val="003D10E5"/>
    <w:rsid w:val="003D1E62"/>
    <w:rsid w:val="003D2657"/>
    <w:rsid w:val="003E0B99"/>
    <w:rsid w:val="003E2486"/>
    <w:rsid w:val="003E3208"/>
    <w:rsid w:val="003F0B04"/>
    <w:rsid w:val="003F4872"/>
    <w:rsid w:val="0040134E"/>
    <w:rsid w:val="00406DAF"/>
    <w:rsid w:val="00407600"/>
    <w:rsid w:val="004101CF"/>
    <w:rsid w:val="0041618E"/>
    <w:rsid w:val="004275A6"/>
    <w:rsid w:val="00431F9E"/>
    <w:rsid w:val="004334C7"/>
    <w:rsid w:val="00440A2D"/>
    <w:rsid w:val="00441C3F"/>
    <w:rsid w:val="004515C2"/>
    <w:rsid w:val="00453A1F"/>
    <w:rsid w:val="00453C83"/>
    <w:rsid w:val="00454096"/>
    <w:rsid w:val="004564A7"/>
    <w:rsid w:val="00457316"/>
    <w:rsid w:val="00457BFD"/>
    <w:rsid w:val="004617BF"/>
    <w:rsid w:val="00463658"/>
    <w:rsid w:val="004637A0"/>
    <w:rsid w:val="00470536"/>
    <w:rsid w:val="004722CC"/>
    <w:rsid w:val="004746BC"/>
    <w:rsid w:val="004779A5"/>
    <w:rsid w:val="0048031E"/>
    <w:rsid w:val="0048110C"/>
    <w:rsid w:val="00484974"/>
    <w:rsid w:val="00485D69"/>
    <w:rsid w:val="00487F8C"/>
    <w:rsid w:val="004936E4"/>
    <w:rsid w:val="00494623"/>
    <w:rsid w:val="00494E60"/>
    <w:rsid w:val="00495F5F"/>
    <w:rsid w:val="00497487"/>
    <w:rsid w:val="0049788C"/>
    <w:rsid w:val="004A5453"/>
    <w:rsid w:val="004A5D52"/>
    <w:rsid w:val="004A60F5"/>
    <w:rsid w:val="004A6189"/>
    <w:rsid w:val="004A7390"/>
    <w:rsid w:val="004B3442"/>
    <w:rsid w:val="004B6952"/>
    <w:rsid w:val="004B7A3D"/>
    <w:rsid w:val="004B7B76"/>
    <w:rsid w:val="004C1331"/>
    <w:rsid w:val="004C239D"/>
    <w:rsid w:val="004C2DCA"/>
    <w:rsid w:val="004C5A8A"/>
    <w:rsid w:val="004C61D2"/>
    <w:rsid w:val="004D68A6"/>
    <w:rsid w:val="004E09CC"/>
    <w:rsid w:val="004E2E59"/>
    <w:rsid w:val="004E488E"/>
    <w:rsid w:val="004E50FA"/>
    <w:rsid w:val="004E5645"/>
    <w:rsid w:val="004E6E52"/>
    <w:rsid w:val="004F0C4A"/>
    <w:rsid w:val="004F0F38"/>
    <w:rsid w:val="004F47D6"/>
    <w:rsid w:val="004F4AFB"/>
    <w:rsid w:val="004F6826"/>
    <w:rsid w:val="004F6D83"/>
    <w:rsid w:val="00501921"/>
    <w:rsid w:val="00501E39"/>
    <w:rsid w:val="005179EF"/>
    <w:rsid w:val="0052079D"/>
    <w:rsid w:val="00520CD9"/>
    <w:rsid w:val="00530354"/>
    <w:rsid w:val="005310FC"/>
    <w:rsid w:val="00531F42"/>
    <w:rsid w:val="0053290E"/>
    <w:rsid w:val="0053625B"/>
    <w:rsid w:val="005407E9"/>
    <w:rsid w:val="00540CAD"/>
    <w:rsid w:val="005434C6"/>
    <w:rsid w:val="00543B39"/>
    <w:rsid w:val="005444D6"/>
    <w:rsid w:val="0054502C"/>
    <w:rsid w:val="00545DE4"/>
    <w:rsid w:val="00546154"/>
    <w:rsid w:val="00550096"/>
    <w:rsid w:val="00553D4D"/>
    <w:rsid w:val="00553EF6"/>
    <w:rsid w:val="00554755"/>
    <w:rsid w:val="00555280"/>
    <w:rsid w:val="00557FF9"/>
    <w:rsid w:val="00562327"/>
    <w:rsid w:val="0056346D"/>
    <w:rsid w:val="005711D5"/>
    <w:rsid w:val="00576378"/>
    <w:rsid w:val="00577130"/>
    <w:rsid w:val="005774E1"/>
    <w:rsid w:val="00577945"/>
    <w:rsid w:val="00577E38"/>
    <w:rsid w:val="00585322"/>
    <w:rsid w:val="005857C6"/>
    <w:rsid w:val="00592871"/>
    <w:rsid w:val="00592F6E"/>
    <w:rsid w:val="005938D4"/>
    <w:rsid w:val="00593AD1"/>
    <w:rsid w:val="00594608"/>
    <w:rsid w:val="005A5C15"/>
    <w:rsid w:val="005A68B6"/>
    <w:rsid w:val="005A6C65"/>
    <w:rsid w:val="005A6D05"/>
    <w:rsid w:val="005A7206"/>
    <w:rsid w:val="005B1BCC"/>
    <w:rsid w:val="005B7AAE"/>
    <w:rsid w:val="005C1E01"/>
    <w:rsid w:val="005C3861"/>
    <w:rsid w:val="005C5570"/>
    <w:rsid w:val="005C6BEE"/>
    <w:rsid w:val="005C79A4"/>
    <w:rsid w:val="005D15FF"/>
    <w:rsid w:val="005D2C8E"/>
    <w:rsid w:val="005D5442"/>
    <w:rsid w:val="005D6495"/>
    <w:rsid w:val="005E63A9"/>
    <w:rsid w:val="005E72DD"/>
    <w:rsid w:val="005F0F80"/>
    <w:rsid w:val="005F16AE"/>
    <w:rsid w:val="005F3389"/>
    <w:rsid w:val="00603F32"/>
    <w:rsid w:val="00605AD4"/>
    <w:rsid w:val="006123F4"/>
    <w:rsid w:val="00615A92"/>
    <w:rsid w:val="00615BA9"/>
    <w:rsid w:val="00622750"/>
    <w:rsid w:val="00625A6E"/>
    <w:rsid w:val="00625D7E"/>
    <w:rsid w:val="00627709"/>
    <w:rsid w:val="0063079C"/>
    <w:rsid w:val="00632398"/>
    <w:rsid w:val="00632F69"/>
    <w:rsid w:val="00635DA8"/>
    <w:rsid w:val="00637170"/>
    <w:rsid w:val="00640484"/>
    <w:rsid w:val="00640FC3"/>
    <w:rsid w:val="00642020"/>
    <w:rsid w:val="00642917"/>
    <w:rsid w:val="006461FE"/>
    <w:rsid w:val="00650C2E"/>
    <w:rsid w:val="0065337B"/>
    <w:rsid w:val="0065419D"/>
    <w:rsid w:val="00655A29"/>
    <w:rsid w:val="006604D8"/>
    <w:rsid w:val="006643BD"/>
    <w:rsid w:val="00664A5B"/>
    <w:rsid w:val="0066735C"/>
    <w:rsid w:val="00670618"/>
    <w:rsid w:val="00673447"/>
    <w:rsid w:val="006763D2"/>
    <w:rsid w:val="00680C08"/>
    <w:rsid w:val="00682E41"/>
    <w:rsid w:val="0068363B"/>
    <w:rsid w:val="0068519D"/>
    <w:rsid w:val="0068562D"/>
    <w:rsid w:val="00686BD9"/>
    <w:rsid w:val="006916A0"/>
    <w:rsid w:val="00691A38"/>
    <w:rsid w:val="006931B1"/>
    <w:rsid w:val="00695F28"/>
    <w:rsid w:val="006A15C0"/>
    <w:rsid w:val="006A3977"/>
    <w:rsid w:val="006A4358"/>
    <w:rsid w:val="006B4376"/>
    <w:rsid w:val="006C2F93"/>
    <w:rsid w:val="006C3E2A"/>
    <w:rsid w:val="006C642F"/>
    <w:rsid w:val="006D03E5"/>
    <w:rsid w:val="006D5D3E"/>
    <w:rsid w:val="006E083B"/>
    <w:rsid w:val="006E08B3"/>
    <w:rsid w:val="006F17AC"/>
    <w:rsid w:val="006F25B8"/>
    <w:rsid w:val="006F4595"/>
    <w:rsid w:val="006F572E"/>
    <w:rsid w:val="006F6566"/>
    <w:rsid w:val="007004F7"/>
    <w:rsid w:val="00700E5A"/>
    <w:rsid w:val="0070133A"/>
    <w:rsid w:val="007046D6"/>
    <w:rsid w:val="00705DB0"/>
    <w:rsid w:val="00707F5A"/>
    <w:rsid w:val="0071134C"/>
    <w:rsid w:val="007140F2"/>
    <w:rsid w:val="007146C9"/>
    <w:rsid w:val="0071571B"/>
    <w:rsid w:val="007174DA"/>
    <w:rsid w:val="00722B57"/>
    <w:rsid w:val="00730F8A"/>
    <w:rsid w:val="00735A8C"/>
    <w:rsid w:val="007372CC"/>
    <w:rsid w:val="00741B2E"/>
    <w:rsid w:val="0074253D"/>
    <w:rsid w:val="0074429B"/>
    <w:rsid w:val="007615BC"/>
    <w:rsid w:val="00762F05"/>
    <w:rsid w:val="0076425E"/>
    <w:rsid w:val="00764A5E"/>
    <w:rsid w:val="007652FF"/>
    <w:rsid w:val="00770CAC"/>
    <w:rsid w:val="00770EF1"/>
    <w:rsid w:val="00771AFE"/>
    <w:rsid w:val="00772CC0"/>
    <w:rsid w:val="00773EF7"/>
    <w:rsid w:val="00774E1D"/>
    <w:rsid w:val="007765D8"/>
    <w:rsid w:val="0077675A"/>
    <w:rsid w:val="00780355"/>
    <w:rsid w:val="00780D35"/>
    <w:rsid w:val="007819FD"/>
    <w:rsid w:val="00784FEB"/>
    <w:rsid w:val="00785169"/>
    <w:rsid w:val="00785717"/>
    <w:rsid w:val="00785721"/>
    <w:rsid w:val="00786DDA"/>
    <w:rsid w:val="00786F35"/>
    <w:rsid w:val="00787BDD"/>
    <w:rsid w:val="00790F4C"/>
    <w:rsid w:val="00793A59"/>
    <w:rsid w:val="007A19A7"/>
    <w:rsid w:val="007A29DA"/>
    <w:rsid w:val="007A3B0A"/>
    <w:rsid w:val="007A5556"/>
    <w:rsid w:val="007B4DC7"/>
    <w:rsid w:val="007B6132"/>
    <w:rsid w:val="007B6E9F"/>
    <w:rsid w:val="007C1216"/>
    <w:rsid w:val="007C1AF7"/>
    <w:rsid w:val="007C6B9B"/>
    <w:rsid w:val="007D1809"/>
    <w:rsid w:val="007D1BEB"/>
    <w:rsid w:val="007D34BB"/>
    <w:rsid w:val="007D5E2A"/>
    <w:rsid w:val="007E5C9C"/>
    <w:rsid w:val="007F61BD"/>
    <w:rsid w:val="00800CDB"/>
    <w:rsid w:val="00802B65"/>
    <w:rsid w:val="00805D27"/>
    <w:rsid w:val="00805EBA"/>
    <w:rsid w:val="00806DCB"/>
    <w:rsid w:val="00821776"/>
    <w:rsid w:val="00822DB0"/>
    <w:rsid w:val="00826F52"/>
    <w:rsid w:val="008321F5"/>
    <w:rsid w:val="00832369"/>
    <w:rsid w:val="0083358D"/>
    <w:rsid w:val="00834660"/>
    <w:rsid w:val="00834B2C"/>
    <w:rsid w:val="008363C3"/>
    <w:rsid w:val="00836BC2"/>
    <w:rsid w:val="00837166"/>
    <w:rsid w:val="00841098"/>
    <w:rsid w:val="0084305A"/>
    <w:rsid w:val="008448C0"/>
    <w:rsid w:val="008450D3"/>
    <w:rsid w:val="00846AF6"/>
    <w:rsid w:val="00846B95"/>
    <w:rsid w:val="008501AB"/>
    <w:rsid w:val="00850B05"/>
    <w:rsid w:val="0085156D"/>
    <w:rsid w:val="008549AC"/>
    <w:rsid w:val="00856366"/>
    <w:rsid w:val="0085641B"/>
    <w:rsid w:val="00857136"/>
    <w:rsid w:val="0085737C"/>
    <w:rsid w:val="00862DE3"/>
    <w:rsid w:val="008636B1"/>
    <w:rsid w:val="0087136C"/>
    <w:rsid w:val="00873998"/>
    <w:rsid w:val="00875D95"/>
    <w:rsid w:val="008830C5"/>
    <w:rsid w:val="00885B11"/>
    <w:rsid w:val="00886D15"/>
    <w:rsid w:val="008870E9"/>
    <w:rsid w:val="00887DD8"/>
    <w:rsid w:val="00890F23"/>
    <w:rsid w:val="00891BA9"/>
    <w:rsid w:val="0089447E"/>
    <w:rsid w:val="00895F2C"/>
    <w:rsid w:val="00896018"/>
    <w:rsid w:val="008960DD"/>
    <w:rsid w:val="0089635C"/>
    <w:rsid w:val="00897271"/>
    <w:rsid w:val="008A2B9D"/>
    <w:rsid w:val="008A3972"/>
    <w:rsid w:val="008A3D9F"/>
    <w:rsid w:val="008A5E0B"/>
    <w:rsid w:val="008A6D59"/>
    <w:rsid w:val="008A6E9E"/>
    <w:rsid w:val="008B22EE"/>
    <w:rsid w:val="008B3A52"/>
    <w:rsid w:val="008B4B03"/>
    <w:rsid w:val="008B4F77"/>
    <w:rsid w:val="008B596F"/>
    <w:rsid w:val="008C04E8"/>
    <w:rsid w:val="008C159F"/>
    <w:rsid w:val="008C1623"/>
    <w:rsid w:val="008C1850"/>
    <w:rsid w:val="008C36DB"/>
    <w:rsid w:val="008C51A9"/>
    <w:rsid w:val="008C602C"/>
    <w:rsid w:val="008D19DB"/>
    <w:rsid w:val="008D4969"/>
    <w:rsid w:val="008E7846"/>
    <w:rsid w:val="008F02E5"/>
    <w:rsid w:val="008F04B3"/>
    <w:rsid w:val="008F0C17"/>
    <w:rsid w:val="008F194A"/>
    <w:rsid w:val="008F1CCC"/>
    <w:rsid w:val="008F2967"/>
    <w:rsid w:val="008F6943"/>
    <w:rsid w:val="00902A21"/>
    <w:rsid w:val="00905D20"/>
    <w:rsid w:val="00910BF2"/>
    <w:rsid w:val="0091219C"/>
    <w:rsid w:val="0091605B"/>
    <w:rsid w:val="0092031D"/>
    <w:rsid w:val="00920330"/>
    <w:rsid w:val="009219D7"/>
    <w:rsid w:val="00922D53"/>
    <w:rsid w:val="009233B6"/>
    <w:rsid w:val="00923B70"/>
    <w:rsid w:val="00923F58"/>
    <w:rsid w:val="00924482"/>
    <w:rsid w:val="00924994"/>
    <w:rsid w:val="009254AC"/>
    <w:rsid w:val="00927442"/>
    <w:rsid w:val="00930237"/>
    <w:rsid w:val="00930EE3"/>
    <w:rsid w:val="009315B4"/>
    <w:rsid w:val="00933D7F"/>
    <w:rsid w:val="00936179"/>
    <w:rsid w:val="00937C17"/>
    <w:rsid w:val="00940A89"/>
    <w:rsid w:val="00944E35"/>
    <w:rsid w:val="00946EA5"/>
    <w:rsid w:val="00955214"/>
    <w:rsid w:val="009552FE"/>
    <w:rsid w:val="0095616B"/>
    <w:rsid w:val="00956906"/>
    <w:rsid w:val="00957F33"/>
    <w:rsid w:val="00963C08"/>
    <w:rsid w:val="00964557"/>
    <w:rsid w:val="0097127E"/>
    <w:rsid w:val="009752A5"/>
    <w:rsid w:val="00977C44"/>
    <w:rsid w:val="00980E2C"/>
    <w:rsid w:val="009843E5"/>
    <w:rsid w:val="00985228"/>
    <w:rsid w:val="0098585A"/>
    <w:rsid w:val="00986C50"/>
    <w:rsid w:val="00987461"/>
    <w:rsid w:val="009A4CED"/>
    <w:rsid w:val="009A690D"/>
    <w:rsid w:val="009A6C66"/>
    <w:rsid w:val="009B07E5"/>
    <w:rsid w:val="009B1D12"/>
    <w:rsid w:val="009B416B"/>
    <w:rsid w:val="009B63F2"/>
    <w:rsid w:val="009C1471"/>
    <w:rsid w:val="009C27F9"/>
    <w:rsid w:val="009C4BD5"/>
    <w:rsid w:val="009D7B77"/>
    <w:rsid w:val="009E07AA"/>
    <w:rsid w:val="009E0BB0"/>
    <w:rsid w:val="009E15E9"/>
    <w:rsid w:val="009E1F3B"/>
    <w:rsid w:val="009E2646"/>
    <w:rsid w:val="009E2FEA"/>
    <w:rsid w:val="009E302C"/>
    <w:rsid w:val="009E3082"/>
    <w:rsid w:val="009E3FBB"/>
    <w:rsid w:val="009E4D7B"/>
    <w:rsid w:val="009E6B3C"/>
    <w:rsid w:val="009E7438"/>
    <w:rsid w:val="009E7845"/>
    <w:rsid w:val="009F7353"/>
    <w:rsid w:val="00A04F85"/>
    <w:rsid w:val="00A05FA4"/>
    <w:rsid w:val="00A102E4"/>
    <w:rsid w:val="00A12C42"/>
    <w:rsid w:val="00A1463E"/>
    <w:rsid w:val="00A14DF7"/>
    <w:rsid w:val="00A14E11"/>
    <w:rsid w:val="00A32404"/>
    <w:rsid w:val="00A3246D"/>
    <w:rsid w:val="00A36FA7"/>
    <w:rsid w:val="00A438B7"/>
    <w:rsid w:val="00A44DDB"/>
    <w:rsid w:val="00A475B7"/>
    <w:rsid w:val="00A47AF7"/>
    <w:rsid w:val="00A47C3E"/>
    <w:rsid w:val="00A50226"/>
    <w:rsid w:val="00A54FD8"/>
    <w:rsid w:val="00A60BAD"/>
    <w:rsid w:val="00A61AD1"/>
    <w:rsid w:val="00A62DCD"/>
    <w:rsid w:val="00A64C69"/>
    <w:rsid w:val="00A64F26"/>
    <w:rsid w:val="00A65714"/>
    <w:rsid w:val="00A66C7E"/>
    <w:rsid w:val="00A7085C"/>
    <w:rsid w:val="00A80B5B"/>
    <w:rsid w:val="00A81F26"/>
    <w:rsid w:val="00A848A3"/>
    <w:rsid w:val="00A84E36"/>
    <w:rsid w:val="00A872DC"/>
    <w:rsid w:val="00A903E7"/>
    <w:rsid w:val="00A95ACB"/>
    <w:rsid w:val="00A964D1"/>
    <w:rsid w:val="00AA0ED0"/>
    <w:rsid w:val="00AA1FA6"/>
    <w:rsid w:val="00AA4EAB"/>
    <w:rsid w:val="00AB0D4B"/>
    <w:rsid w:val="00AB16FF"/>
    <w:rsid w:val="00AB3DC6"/>
    <w:rsid w:val="00AC2B40"/>
    <w:rsid w:val="00AC2BB2"/>
    <w:rsid w:val="00AC2C3C"/>
    <w:rsid w:val="00AC512D"/>
    <w:rsid w:val="00AD0083"/>
    <w:rsid w:val="00AD3935"/>
    <w:rsid w:val="00AD4923"/>
    <w:rsid w:val="00AE0EDE"/>
    <w:rsid w:val="00AE0F54"/>
    <w:rsid w:val="00AE228B"/>
    <w:rsid w:val="00AE2570"/>
    <w:rsid w:val="00AE4219"/>
    <w:rsid w:val="00AE503C"/>
    <w:rsid w:val="00AE65EB"/>
    <w:rsid w:val="00AE6697"/>
    <w:rsid w:val="00AE67A7"/>
    <w:rsid w:val="00AE6EAF"/>
    <w:rsid w:val="00AE716C"/>
    <w:rsid w:val="00AF1D94"/>
    <w:rsid w:val="00AF259D"/>
    <w:rsid w:val="00AF60C5"/>
    <w:rsid w:val="00AF76AD"/>
    <w:rsid w:val="00B009C6"/>
    <w:rsid w:val="00B01548"/>
    <w:rsid w:val="00B13EBD"/>
    <w:rsid w:val="00B16322"/>
    <w:rsid w:val="00B175B1"/>
    <w:rsid w:val="00B21D29"/>
    <w:rsid w:val="00B24EDD"/>
    <w:rsid w:val="00B25034"/>
    <w:rsid w:val="00B26F33"/>
    <w:rsid w:val="00B33588"/>
    <w:rsid w:val="00B33863"/>
    <w:rsid w:val="00B36DEE"/>
    <w:rsid w:val="00B37D17"/>
    <w:rsid w:val="00B4175E"/>
    <w:rsid w:val="00B44C49"/>
    <w:rsid w:val="00B452CE"/>
    <w:rsid w:val="00B50179"/>
    <w:rsid w:val="00B51D08"/>
    <w:rsid w:val="00B54C25"/>
    <w:rsid w:val="00B57CC0"/>
    <w:rsid w:val="00B606A9"/>
    <w:rsid w:val="00B75E09"/>
    <w:rsid w:val="00B76B91"/>
    <w:rsid w:val="00B77EB1"/>
    <w:rsid w:val="00B811C6"/>
    <w:rsid w:val="00B855B0"/>
    <w:rsid w:val="00B92E08"/>
    <w:rsid w:val="00B93909"/>
    <w:rsid w:val="00BA52CD"/>
    <w:rsid w:val="00BA6F2D"/>
    <w:rsid w:val="00BB3350"/>
    <w:rsid w:val="00BB525F"/>
    <w:rsid w:val="00BC585E"/>
    <w:rsid w:val="00BC622A"/>
    <w:rsid w:val="00BD03E4"/>
    <w:rsid w:val="00BD0BEA"/>
    <w:rsid w:val="00BD1364"/>
    <w:rsid w:val="00BE0A78"/>
    <w:rsid w:val="00BE548B"/>
    <w:rsid w:val="00BE79F0"/>
    <w:rsid w:val="00BF046D"/>
    <w:rsid w:val="00BF1190"/>
    <w:rsid w:val="00BF5D04"/>
    <w:rsid w:val="00C00492"/>
    <w:rsid w:val="00C009AA"/>
    <w:rsid w:val="00C011BB"/>
    <w:rsid w:val="00C016BB"/>
    <w:rsid w:val="00C019E8"/>
    <w:rsid w:val="00C0614C"/>
    <w:rsid w:val="00C1164D"/>
    <w:rsid w:val="00C11BDF"/>
    <w:rsid w:val="00C16861"/>
    <w:rsid w:val="00C17533"/>
    <w:rsid w:val="00C24292"/>
    <w:rsid w:val="00C2738C"/>
    <w:rsid w:val="00C346AB"/>
    <w:rsid w:val="00C35E76"/>
    <w:rsid w:val="00C36B81"/>
    <w:rsid w:val="00C404A6"/>
    <w:rsid w:val="00C40A36"/>
    <w:rsid w:val="00C4281D"/>
    <w:rsid w:val="00C43C93"/>
    <w:rsid w:val="00C44419"/>
    <w:rsid w:val="00C45E7B"/>
    <w:rsid w:val="00C471B1"/>
    <w:rsid w:val="00C5556C"/>
    <w:rsid w:val="00C55811"/>
    <w:rsid w:val="00C55C86"/>
    <w:rsid w:val="00C6316B"/>
    <w:rsid w:val="00C634A9"/>
    <w:rsid w:val="00C64586"/>
    <w:rsid w:val="00C70D53"/>
    <w:rsid w:val="00C72D28"/>
    <w:rsid w:val="00C72E0A"/>
    <w:rsid w:val="00C73D0B"/>
    <w:rsid w:val="00C73DF8"/>
    <w:rsid w:val="00C7576D"/>
    <w:rsid w:val="00C75EDC"/>
    <w:rsid w:val="00C7654D"/>
    <w:rsid w:val="00C772FF"/>
    <w:rsid w:val="00C80137"/>
    <w:rsid w:val="00C801AF"/>
    <w:rsid w:val="00C80256"/>
    <w:rsid w:val="00C80E61"/>
    <w:rsid w:val="00C81A01"/>
    <w:rsid w:val="00C844A2"/>
    <w:rsid w:val="00C84E97"/>
    <w:rsid w:val="00C915CF"/>
    <w:rsid w:val="00C92BC0"/>
    <w:rsid w:val="00C9475A"/>
    <w:rsid w:val="00C94CD4"/>
    <w:rsid w:val="00C96113"/>
    <w:rsid w:val="00C9747E"/>
    <w:rsid w:val="00CB0544"/>
    <w:rsid w:val="00CB453D"/>
    <w:rsid w:val="00CB6BC0"/>
    <w:rsid w:val="00CB7048"/>
    <w:rsid w:val="00CB7806"/>
    <w:rsid w:val="00CB7B13"/>
    <w:rsid w:val="00CC1B7C"/>
    <w:rsid w:val="00CC31AD"/>
    <w:rsid w:val="00CC362E"/>
    <w:rsid w:val="00CC66CA"/>
    <w:rsid w:val="00CC727F"/>
    <w:rsid w:val="00CD211B"/>
    <w:rsid w:val="00CD39A8"/>
    <w:rsid w:val="00CD3EE5"/>
    <w:rsid w:val="00CD4E08"/>
    <w:rsid w:val="00CD5CF8"/>
    <w:rsid w:val="00CD7C7A"/>
    <w:rsid w:val="00CE0CF6"/>
    <w:rsid w:val="00CE4561"/>
    <w:rsid w:val="00CF15C3"/>
    <w:rsid w:val="00CF2B6F"/>
    <w:rsid w:val="00CF2F3E"/>
    <w:rsid w:val="00CF58B6"/>
    <w:rsid w:val="00CF6424"/>
    <w:rsid w:val="00D0062D"/>
    <w:rsid w:val="00D00657"/>
    <w:rsid w:val="00D009AB"/>
    <w:rsid w:val="00D017ED"/>
    <w:rsid w:val="00D01F2B"/>
    <w:rsid w:val="00D040D3"/>
    <w:rsid w:val="00D04C65"/>
    <w:rsid w:val="00D11184"/>
    <w:rsid w:val="00D15D04"/>
    <w:rsid w:val="00D15E89"/>
    <w:rsid w:val="00D201D2"/>
    <w:rsid w:val="00D224FE"/>
    <w:rsid w:val="00D22B8C"/>
    <w:rsid w:val="00D23139"/>
    <w:rsid w:val="00D2657B"/>
    <w:rsid w:val="00D32521"/>
    <w:rsid w:val="00D338A1"/>
    <w:rsid w:val="00D425BB"/>
    <w:rsid w:val="00D44687"/>
    <w:rsid w:val="00D5596F"/>
    <w:rsid w:val="00D60DCE"/>
    <w:rsid w:val="00D6493E"/>
    <w:rsid w:val="00D67BF0"/>
    <w:rsid w:val="00D7195D"/>
    <w:rsid w:val="00D71962"/>
    <w:rsid w:val="00D7301E"/>
    <w:rsid w:val="00D74B23"/>
    <w:rsid w:val="00D77BD3"/>
    <w:rsid w:val="00D83AE1"/>
    <w:rsid w:val="00D84D1A"/>
    <w:rsid w:val="00D855D4"/>
    <w:rsid w:val="00D902C9"/>
    <w:rsid w:val="00D93466"/>
    <w:rsid w:val="00D96022"/>
    <w:rsid w:val="00DA1124"/>
    <w:rsid w:val="00DA203E"/>
    <w:rsid w:val="00DA2DF7"/>
    <w:rsid w:val="00DA7DD4"/>
    <w:rsid w:val="00DB6124"/>
    <w:rsid w:val="00DB750B"/>
    <w:rsid w:val="00DB75B7"/>
    <w:rsid w:val="00DC35E4"/>
    <w:rsid w:val="00DC6E02"/>
    <w:rsid w:val="00DD28CD"/>
    <w:rsid w:val="00DD3B80"/>
    <w:rsid w:val="00DD4F69"/>
    <w:rsid w:val="00DD71DA"/>
    <w:rsid w:val="00DE02AE"/>
    <w:rsid w:val="00DE72A3"/>
    <w:rsid w:val="00DF1D7F"/>
    <w:rsid w:val="00DF4BE4"/>
    <w:rsid w:val="00DF5557"/>
    <w:rsid w:val="00E02FB4"/>
    <w:rsid w:val="00E03567"/>
    <w:rsid w:val="00E107D5"/>
    <w:rsid w:val="00E10CB8"/>
    <w:rsid w:val="00E13B41"/>
    <w:rsid w:val="00E13FC7"/>
    <w:rsid w:val="00E152D8"/>
    <w:rsid w:val="00E20441"/>
    <w:rsid w:val="00E20571"/>
    <w:rsid w:val="00E22045"/>
    <w:rsid w:val="00E222E7"/>
    <w:rsid w:val="00E235F7"/>
    <w:rsid w:val="00E23659"/>
    <w:rsid w:val="00E239D4"/>
    <w:rsid w:val="00E25E5B"/>
    <w:rsid w:val="00E26130"/>
    <w:rsid w:val="00E274D7"/>
    <w:rsid w:val="00E27D4D"/>
    <w:rsid w:val="00E321E6"/>
    <w:rsid w:val="00E37367"/>
    <w:rsid w:val="00E40B22"/>
    <w:rsid w:val="00E41CF3"/>
    <w:rsid w:val="00E43208"/>
    <w:rsid w:val="00E4470F"/>
    <w:rsid w:val="00E44ED1"/>
    <w:rsid w:val="00E45619"/>
    <w:rsid w:val="00E4588F"/>
    <w:rsid w:val="00E46DA3"/>
    <w:rsid w:val="00E51BB1"/>
    <w:rsid w:val="00E53C46"/>
    <w:rsid w:val="00E54C9B"/>
    <w:rsid w:val="00E57EED"/>
    <w:rsid w:val="00E603A8"/>
    <w:rsid w:val="00E6131F"/>
    <w:rsid w:val="00E624A5"/>
    <w:rsid w:val="00E63418"/>
    <w:rsid w:val="00E6443D"/>
    <w:rsid w:val="00E64BA4"/>
    <w:rsid w:val="00E65D6D"/>
    <w:rsid w:val="00E70B46"/>
    <w:rsid w:val="00E718E7"/>
    <w:rsid w:val="00E72B5A"/>
    <w:rsid w:val="00E7344E"/>
    <w:rsid w:val="00E82665"/>
    <w:rsid w:val="00E82FB7"/>
    <w:rsid w:val="00E903AE"/>
    <w:rsid w:val="00E9456C"/>
    <w:rsid w:val="00E951DB"/>
    <w:rsid w:val="00E97666"/>
    <w:rsid w:val="00EA311D"/>
    <w:rsid w:val="00EA5F82"/>
    <w:rsid w:val="00EB0798"/>
    <w:rsid w:val="00EB40AD"/>
    <w:rsid w:val="00EB5095"/>
    <w:rsid w:val="00EB586E"/>
    <w:rsid w:val="00EB5FC8"/>
    <w:rsid w:val="00EC463D"/>
    <w:rsid w:val="00EC4FF5"/>
    <w:rsid w:val="00EC7A85"/>
    <w:rsid w:val="00ED2922"/>
    <w:rsid w:val="00ED3CAD"/>
    <w:rsid w:val="00ED5A41"/>
    <w:rsid w:val="00ED662A"/>
    <w:rsid w:val="00EE1DE8"/>
    <w:rsid w:val="00EE27C2"/>
    <w:rsid w:val="00EE27D9"/>
    <w:rsid w:val="00EE6898"/>
    <w:rsid w:val="00EF18B9"/>
    <w:rsid w:val="00EF4BAD"/>
    <w:rsid w:val="00EF61BD"/>
    <w:rsid w:val="00F033EC"/>
    <w:rsid w:val="00F04F68"/>
    <w:rsid w:val="00F05C62"/>
    <w:rsid w:val="00F05F88"/>
    <w:rsid w:val="00F1133E"/>
    <w:rsid w:val="00F1158B"/>
    <w:rsid w:val="00F12670"/>
    <w:rsid w:val="00F138DA"/>
    <w:rsid w:val="00F14B27"/>
    <w:rsid w:val="00F17CC4"/>
    <w:rsid w:val="00F22FE2"/>
    <w:rsid w:val="00F24ED2"/>
    <w:rsid w:val="00F255FA"/>
    <w:rsid w:val="00F265A7"/>
    <w:rsid w:val="00F3148D"/>
    <w:rsid w:val="00F325C5"/>
    <w:rsid w:val="00F32FE0"/>
    <w:rsid w:val="00F33477"/>
    <w:rsid w:val="00F35298"/>
    <w:rsid w:val="00F356F4"/>
    <w:rsid w:val="00F408AC"/>
    <w:rsid w:val="00F41344"/>
    <w:rsid w:val="00F446F8"/>
    <w:rsid w:val="00F45446"/>
    <w:rsid w:val="00F471CC"/>
    <w:rsid w:val="00F47333"/>
    <w:rsid w:val="00F47E37"/>
    <w:rsid w:val="00F53C07"/>
    <w:rsid w:val="00F54B65"/>
    <w:rsid w:val="00F57B55"/>
    <w:rsid w:val="00F640B6"/>
    <w:rsid w:val="00F66DF2"/>
    <w:rsid w:val="00F67AF1"/>
    <w:rsid w:val="00F7272C"/>
    <w:rsid w:val="00F732AE"/>
    <w:rsid w:val="00F75990"/>
    <w:rsid w:val="00F80E40"/>
    <w:rsid w:val="00F831EB"/>
    <w:rsid w:val="00F848D9"/>
    <w:rsid w:val="00F85868"/>
    <w:rsid w:val="00F92250"/>
    <w:rsid w:val="00F94C25"/>
    <w:rsid w:val="00FA0C69"/>
    <w:rsid w:val="00FA5B82"/>
    <w:rsid w:val="00FA639E"/>
    <w:rsid w:val="00FA63BB"/>
    <w:rsid w:val="00FB61B0"/>
    <w:rsid w:val="00FB7508"/>
    <w:rsid w:val="00FC1FCA"/>
    <w:rsid w:val="00FC25E4"/>
    <w:rsid w:val="00FC4EF7"/>
    <w:rsid w:val="00FD0434"/>
    <w:rsid w:val="00FD0824"/>
    <w:rsid w:val="00FD119B"/>
    <w:rsid w:val="00FD1472"/>
    <w:rsid w:val="00FD1EDC"/>
    <w:rsid w:val="00FD1F6D"/>
    <w:rsid w:val="00FD5537"/>
    <w:rsid w:val="00FE070D"/>
    <w:rsid w:val="00FE17DA"/>
    <w:rsid w:val="00FE1DEE"/>
    <w:rsid w:val="00FE2345"/>
    <w:rsid w:val="00FE542B"/>
    <w:rsid w:val="00FE7BD0"/>
    <w:rsid w:val="00FF2126"/>
    <w:rsid w:val="00FF3719"/>
    <w:rsid w:val="00FF5241"/>
    <w:rsid w:val="00FF5755"/>
    <w:rsid w:val="00FF69BE"/>
    <w:rsid w:val="00FF6E4A"/>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72CC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A66C7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72CC0"/>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846B9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1">
    <w:name w:val="CM11"/>
    <w:basedOn w:val="Default"/>
    <w:next w:val="Default"/>
    <w:uiPriority w:val="99"/>
    <w:rsid w:val="00846B95"/>
    <w:pPr>
      <w:spacing w:line="276" w:lineRule="atLeast"/>
    </w:pPr>
    <w:rPr>
      <w:color w:val="auto"/>
    </w:rPr>
  </w:style>
  <w:style w:type="paragraph" w:styleId="ListParagraph">
    <w:name w:val="List Paragraph"/>
    <w:basedOn w:val="Normal"/>
    <w:uiPriority w:val="34"/>
    <w:qFormat/>
    <w:rsid w:val="00C35E76"/>
    <w:pPr>
      <w:adjustRightInd w:val="0"/>
      <w:snapToGrid w:val="0"/>
      <w:spacing w:before="180" w:after="180"/>
      <w:ind w:left="720"/>
      <w:contextualSpacing/>
    </w:pPr>
    <w:rPr>
      <w:rFonts w:eastAsia="MS Mincho"/>
      <w:szCs w:val="20"/>
      <w:lang w:eastAsia="ja-JP"/>
    </w:rPr>
  </w:style>
  <w:style w:type="paragraph" w:customStyle="1" w:styleId="A-Head5">
    <w:name w:val="A-Head 5"/>
    <w:basedOn w:val="Normal"/>
    <w:link w:val="A-Head5Char"/>
    <w:rsid w:val="001849CA"/>
    <w:pPr>
      <w:spacing w:after="60" w:line="240" w:lineRule="auto"/>
    </w:pPr>
    <w:rPr>
      <w:rFonts w:ascii="Arial" w:eastAsia="Times New Roman" w:hAnsi="Arial"/>
      <w:b/>
      <w:color w:val="000000"/>
      <w:sz w:val="24"/>
      <w:lang w:eastAsia="en-AU"/>
    </w:rPr>
  </w:style>
  <w:style w:type="character" w:customStyle="1" w:styleId="A-Head5Char">
    <w:name w:val="A-Head 5 Char"/>
    <w:link w:val="A-Head5"/>
    <w:rsid w:val="001849CA"/>
    <w:rPr>
      <w:rFonts w:ascii="Arial" w:eastAsia="Times New Roman" w:hAnsi="Arial" w:cs="Times New Roman"/>
      <w:b/>
      <w:color w:val="000000"/>
      <w:sz w:val="24"/>
      <w:lang w:eastAsia="en-AU"/>
    </w:rPr>
  </w:style>
  <w:style w:type="paragraph" w:customStyle="1" w:styleId="A-Head3">
    <w:name w:val="A-Head 3"/>
    <w:basedOn w:val="Normal"/>
    <w:rsid w:val="003513EE"/>
    <w:pPr>
      <w:widowControl w:val="0"/>
      <w:tabs>
        <w:tab w:val="left" w:pos="851"/>
      </w:tabs>
      <w:spacing w:after="60" w:line="240" w:lineRule="auto"/>
      <w:ind w:left="1418" w:right="-108" w:hanging="1418"/>
    </w:pPr>
    <w:rPr>
      <w:rFonts w:ascii="Arial" w:eastAsia="Times New Roman" w:hAnsi="Arial"/>
      <w:b/>
      <w:sz w:val="28"/>
      <w:lang w:eastAsia="en-AU"/>
    </w:rPr>
  </w:style>
  <w:style w:type="paragraph" w:customStyle="1" w:styleId="A-Head6">
    <w:name w:val="A-Head 6"/>
    <w:basedOn w:val="Normal"/>
    <w:link w:val="A-Head6Char"/>
    <w:rsid w:val="004F6826"/>
    <w:pPr>
      <w:spacing w:before="60" w:after="0" w:line="240" w:lineRule="auto"/>
    </w:pPr>
    <w:rPr>
      <w:rFonts w:ascii="Arial" w:eastAsia="Times New Roman" w:hAnsi="Arial"/>
      <w:b/>
      <w:lang w:eastAsia="en-AU"/>
    </w:rPr>
  </w:style>
  <w:style w:type="character" w:customStyle="1" w:styleId="A-Head6Char">
    <w:name w:val="A-Head 6 Char"/>
    <w:link w:val="A-Head6"/>
    <w:rsid w:val="004F6826"/>
    <w:rPr>
      <w:rFonts w:ascii="Arial" w:eastAsia="Times New Roman" w:hAnsi="Arial" w:cs="Times New Roman"/>
      <w:b/>
      <w:lang w:eastAsia="en-AU"/>
    </w:rPr>
  </w:style>
  <w:style w:type="paragraph" w:customStyle="1" w:styleId="A-Head2">
    <w:name w:val="A-Head 2"/>
    <w:basedOn w:val="Normal"/>
    <w:link w:val="A-Head2Char"/>
    <w:rsid w:val="00D009AB"/>
    <w:pPr>
      <w:tabs>
        <w:tab w:val="left" w:pos="1134"/>
      </w:tabs>
      <w:spacing w:before="240" w:after="60" w:line="240" w:lineRule="auto"/>
      <w:ind w:right="-108"/>
    </w:pPr>
    <w:rPr>
      <w:rFonts w:ascii="Arial" w:eastAsia="Times New Roman" w:hAnsi="Arial"/>
      <w:b/>
      <w:sz w:val="32"/>
      <w:lang w:eastAsia="en-AU"/>
    </w:rPr>
  </w:style>
  <w:style w:type="character" w:customStyle="1" w:styleId="A-Head2Char">
    <w:name w:val="A-Head 2 Char"/>
    <w:link w:val="A-Head2"/>
    <w:rsid w:val="00D009AB"/>
    <w:rPr>
      <w:rFonts w:ascii="Arial" w:eastAsia="Times New Roman" w:hAnsi="Arial" w:cs="Times New Roman"/>
      <w:b/>
      <w:sz w:val="32"/>
      <w:lang w:eastAsia="en-AU"/>
    </w:rPr>
  </w:style>
  <w:style w:type="paragraph" w:customStyle="1" w:styleId="Bulletpoint">
    <w:name w:val="Bullet point"/>
    <w:basedOn w:val="Normal"/>
    <w:rsid w:val="00BC585E"/>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DE72A3"/>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DE72A3"/>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A54FD8"/>
    <w:pPr>
      <w:spacing w:after="0"/>
    </w:pPr>
    <w:rPr>
      <w:sz w:val="16"/>
      <w:szCs w:val="16"/>
    </w:rPr>
  </w:style>
  <w:style w:type="paragraph" w:customStyle="1" w:styleId="AssessmentSubsection">
    <w:name w:val="Assessment Subsection"/>
    <w:basedOn w:val="Standard"/>
    <w:next w:val="Standard"/>
    <w:rsid w:val="00A54FD8"/>
    <w:pPr>
      <w:keepNext/>
      <w:spacing w:after="110"/>
      <w:outlineLvl w:val="2"/>
    </w:pPr>
    <w:rPr>
      <w:b/>
      <w:i/>
    </w:rPr>
  </w:style>
  <w:style w:type="character" w:customStyle="1" w:styleId="WhiteSpaceChar">
    <w:name w:val="White Space Char"/>
    <w:basedOn w:val="DefaultParagraphFont"/>
    <w:link w:val="WhiteSpace"/>
    <w:rsid w:val="00A54FD8"/>
    <w:rPr>
      <w:rFonts w:ascii="Cambria" w:eastAsia="Times New Roman" w:hAnsi="Cambria" w:cs="Times New Roman"/>
      <w:snapToGrid w:val="0"/>
      <w:kern w:val="16"/>
      <w:sz w:val="16"/>
      <w:szCs w:val="16"/>
    </w:rPr>
  </w:style>
  <w:style w:type="character" w:customStyle="1" w:styleId="TableTitleChar">
    <w:name w:val="Table Title Char"/>
    <w:basedOn w:val="StandardChar"/>
    <w:link w:val="TableTitle"/>
    <w:rsid w:val="0004435D"/>
    <w:rPr>
      <w:rFonts w:ascii="Cambria" w:eastAsia="Cambria" w:hAnsi="Cambria" w:cs="Times New Roman"/>
      <w:b/>
      <w:snapToGrid/>
      <w:kern w:val="16"/>
      <w:szCs w:val="24"/>
    </w:rPr>
  </w:style>
  <w:style w:type="paragraph" w:customStyle="1" w:styleId="AssessmentSubsection2">
    <w:name w:val="Assessment Subsection 2"/>
    <w:basedOn w:val="AssessmentSubsection"/>
    <w:next w:val="Standard"/>
    <w:rsid w:val="0004435D"/>
    <w:pPr>
      <w:outlineLvl w:val="3"/>
    </w:pPr>
    <w:rPr>
      <w:b w:val="0"/>
    </w:rPr>
  </w:style>
  <w:style w:type="paragraph" w:customStyle="1" w:styleId="TableCaption">
    <w:name w:val="Table Caption"/>
    <w:basedOn w:val="Standard"/>
    <w:next w:val="Standard"/>
    <w:link w:val="TableCaptionChar"/>
    <w:rsid w:val="00337AC7"/>
    <w:pPr>
      <w:spacing w:before="60" w:after="440" w:line="215" w:lineRule="exact"/>
      <w:ind w:left="170"/>
    </w:pPr>
    <w:rPr>
      <w:rFonts w:eastAsia="Cambria"/>
      <w:snapToGrid/>
      <w:kern w:val="0"/>
      <w:sz w:val="19"/>
      <w:szCs w:val="22"/>
    </w:rPr>
  </w:style>
  <w:style w:type="character" w:customStyle="1" w:styleId="TabletextChar">
    <w:name w:val="Table text Char"/>
    <w:basedOn w:val="DefaultParagraphFont"/>
    <w:link w:val="Tabletext"/>
    <w:rsid w:val="00337AC7"/>
    <w:rPr>
      <w:rFonts w:ascii="Cambria" w:eastAsia="Cambria" w:hAnsi="Cambria" w:cs="Times New Roman"/>
      <w:sz w:val="19"/>
    </w:rPr>
  </w:style>
  <w:style w:type="character" w:customStyle="1" w:styleId="TableCaptionChar">
    <w:name w:val="Table Caption Char"/>
    <w:basedOn w:val="TabletextChar"/>
    <w:link w:val="TableCaption"/>
    <w:rsid w:val="00337AC7"/>
    <w:rPr>
      <w:rFonts w:ascii="Cambria" w:eastAsia="Cambria" w:hAnsi="Cambria" w:cs="Times New Roman"/>
      <w:sz w:val="19"/>
    </w:rPr>
  </w:style>
  <w:style w:type="paragraph" w:customStyle="1" w:styleId="TableHeader">
    <w:name w:val="Table Header"/>
    <w:basedOn w:val="Normal"/>
    <w:rsid w:val="00337AC7"/>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337AC7"/>
    <w:pPr>
      <w:spacing w:before="0" w:after="0" w:line="200" w:lineRule="exact"/>
      <w:jc w:val="center"/>
    </w:pPr>
    <w:rPr>
      <w:rFonts w:eastAsia="Times New Roman"/>
      <w:snapToGrid w:val="0"/>
      <w:kern w:val="16"/>
      <w:sz w:val="18"/>
      <w:szCs w:val="19"/>
    </w:rPr>
  </w:style>
  <w:style w:type="character" w:customStyle="1" w:styleId="Heading8Char">
    <w:name w:val="Heading 8 Char"/>
    <w:basedOn w:val="DefaultParagraphFont"/>
    <w:link w:val="Heading8"/>
    <w:uiPriority w:val="9"/>
    <w:semiHidden/>
    <w:rsid w:val="00A66C7E"/>
    <w:rPr>
      <w:rFonts w:asciiTheme="majorHAnsi" w:eastAsiaTheme="majorEastAsia" w:hAnsiTheme="majorHAnsi" w:cstheme="majorBidi"/>
      <w:color w:val="404040" w:themeColor="text1" w:themeTint="BF"/>
      <w:sz w:val="20"/>
      <w:szCs w:val="20"/>
    </w:rPr>
  </w:style>
  <w:style w:type="paragraph" w:customStyle="1" w:styleId="Bullet1">
    <w:name w:val="Bullet 1"/>
    <w:basedOn w:val="Normal"/>
    <w:rsid w:val="00A66C7E"/>
    <w:pPr>
      <w:numPr>
        <w:numId w:val="6"/>
      </w:numPr>
      <w:spacing w:after="0" w:line="240" w:lineRule="auto"/>
    </w:pPr>
    <w:rPr>
      <w:rFonts w:eastAsia="Times New Roman"/>
      <w:kern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72CC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A66C7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72CC0"/>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846B9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1">
    <w:name w:val="CM11"/>
    <w:basedOn w:val="Default"/>
    <w:next w:val="Default"/>
    <w:uiPriority w:val="99"/>
    <w:rsid w:val="00846B95"/>
    <w:pPr>
      <w:spacing w:line="276" w:lineRule="atLeast"/>
    </w:pPr>
    <w:rPr>
      <w:color w:val="auto"/>
    </w:rPr>
  </w:style>
  <w:style w:type="paragraph" w:styleId="ListParagraph">
    <w:name w:val="List Paragraph"/>
    <w:basedOn w:val="Normal"/>
    <w:uiPriority w:val="34"/>
    <w:qFormat/>
    <w:rsid w:val="00C35E76"/>
    <w:pPr>
      <w:adjustRightInd w:val="0"/>
      <w:snapToGrid w:val="0"/>
      <w:spacing w:before="180" w:after="180"/>
      <w:ind w:left="720"/>
      <w:contextualSpacing/>
    </w:pPr>
    <w:rPr>
      <w:rFonts w:eastAsia="MS Mincho"/>
      <w:szCs w:val="20"/>
      <w:lang w:eastAsia="ja-JP"/>
    </w:rPr>
  </w:style>
  <w:style w:type="paragraph" w:customStyle="1" w:styleId="A-Head5">
    <w:name w:val="A-Head 5"/>
    <w:basedOn w:val="Normal"/>
    <w:link w:val="A-Head5Char"/>
    <w:rsid w:val="001849CA"/>
    <w:pPr>
      <w:spacing w:after="60" w:line="240" w:lineRule="auto"/>
    </w:pPr>
    <w:rPr>
      <w:rFonts w:ascii="Arial" w:eastAsia="Times New Roman" w:hAnsi="Arial"/>
      <w:b/>
      <w:color w:val="000000"/>
      <w:sz w:val="24"/>
      <w:lang w:eastAsia="en-AU"/>
    </w:rPr>
  </w:style>
  <w:style w:type="character" w:customStyle="1" w:styleId="A-Head5Char">
    <w:name w:val="A-Head 5 Char"/>
    <w:link w:val="A-Head5"/>
    <w:rsid w:val="001849CA"/>
    <w:rPr>
      <w:rFonts w:ascii="Arial" w:eastAsia="Times New Roman" w:hAnsi="Arial" w:cs="Times New Roman"/>
      <w:b/>
      <w:color w:val="000000"/>
      <w:sz w:val="24"/>
      <w:lang w:eastAsia="en-AU"/>
    </w:rPr>
  </w:style>
  <w:style w:type="paragraph" w:customStyle="1" w:styleId="A-Head3">
    <w:name w:val="A-Head 3"/>
    <w:basedOn w:val="Normal"/>
    <w:rsid w:val="003513EE"/>
    <w:pPr>
      <w:widowControl w:val="0"/>
      <w:tabs>
        <w:tab w:val="left" w:pos="851"/>
      </w:tabs>
      <w:spacing w:after="60" w:line="240" w:lineRule="auto"/>
      <w:ind w:left="1418" w:right="-108" w:hanging="1418"/>
    </w:pPr>
    <w:rPr>
      <w:rFonts w:ascii="Arial" w:eastAsia="Times New Roman" w:hAnsi="Arial"/>
      <w:b/>
      <w:sz w:val="28"/>
      <w:lang w:eastAsia="en-AU"/>
    </w:rPr>
  </w:style>
  <w:style w:type="paragraph" w:customStyle="1" w:styleId="A-Head6">
    <w:name w:val="A-Head 6"/>
    <w:basedOn w:val="Normal"/>
    <w:link w:val="A-Head6Char"/>
    <w:rsid w:val="004F6826"/>
    <w:pPr>
      <w:spacing w:before="60" w:after="0" w:line="240" w:lineRule="auto"/>
    </w:pPr>
    <w:rPr>
      <w:rFonts w:ascii="Arial" w:eastAsia="Times New Roman" w:hAnsi="Arial"/>
      <w:b/>
      <w:lang w:eastAsia="en-AU"/>
    </w:rPr>
  </w:style>
  <w:style w:type="character" w:customStyle="1" w:styleId="A-Head6Char">
    <w:name w:val="A-Head 6 Char"/>
    <w:link w:val="A-Head6"/>
    <w:rsid w:val="004F6826"/>
    <w:rPr>
      <w:rFonts w:ascii="Arial" w:eastAsia="Times New Roman" w:hAnsi="Arial" w:cs="Times New Roman"/>
      <w:b/>
      <w:lang w:eastAsia="en-AU"/>
    </w:rPr>
  </w:style>
  <w:style w:type="paragraph" w:customStyle="1" w:styleId="A-Head2">
    <w:name w:val="A-Head 2"/>
    <w:basedOn w:val="Normal"/>
    <w:link w:val="A-Head2Char"/>
    <w:rsid w:val="00D009AB"/>
    <w:pPr>
      <w:tabs>
        <w:tab w:val="left" w:pos="1134"/>
      </w:tabs>
      <w:spacing w:before="240" w:after="60" w:line="240" w:lineRule="auto"/>
      <w:ind w:right="-108"/>
    </w:pPr>
    <w:rPr>
      <w:rFonts w:ascii="Arial" w:eastAsia="Times New Roman" w:hAnsi="Arial"/>
      <w:b/>
      <w:sz w:val="32"/>
      <w:lang w:eastAsia="en-AU"/>
    </w:rPr>
  </w:style>
  <w:style w:type="character" w:customStyle="1" w:styleId="A-Head2Char">
    <w:name w:val="A-Head 2 Char"/>
    <w:link w:val="A-Head2"/>
    <w:rsid w:val="00D009AB"/>
    <w:rPr>
      <w:rFonts w:ascii="Arial" w:eastAsia="Times New Roman" w:hAnsi="Arial" w:cs="Times New Roman"/>
      <w:b/>
      <w:sz w:val="32"/>
      <w:lang w:eastAsia="en-AU"/>
    </w:rPr>
  </w:style>
  <w:style w:type="paragraph" w:customStyle="1" w:styleId="Bulletpoint">
    <w:name w:val="Bullet point"/>
    <w:basedOn w:val="Normal"/>
    <w:rsid w:val="00BC585E"/>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DE72A3"/>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DE72A3"/>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A54FD8"/>
    <w:pPr>
      <w:spacing w:after="0"/>
    </w:pPr>
    <w:rPr>
      <w:sz w:val="16"/>
      <w:szCs w:val="16"/>
    </w:rPr>
  </w:style>
  <w:style w:type="paragraph" w:customStyle="1" w:styleId="AssessmentSubsection">
    <w:name w:val="Assessment Subsection"/>
    <w:basedOn w:val="Standard"/>
    <w:next w:val="Standard"/>
    <w:rsid w:val="00A54FD8"/>
    <w:pPr>
      <w:keepNext/>
      <w:spacing w:after="110"/>
      <w:outlineLvl w:val="2"/>
    </w:pPr>
    <w:rPr>
      <w:b/>
      <w:i/>
    </w:rPr>
  </w:style>
  <w:style w:type="character" w:customStyle="1" w:styleId="WhiteSpaceChar">
    <w:name w:val="White Space Char"/>
    <w:basedOn w:val="DefaultParagraphFont"/>
    <w:link w:val="WhiteSpace"/>
    <w:rsid w:val="00A54FD8"/>
    <w:rPr>
      <w:rFonts w:ascii="Cambria" w:eastAsia="Times New Roman" w:hAnsi="Cambria" w:cs="Times New Roman"/>
      <w:snapToGrid w:val="0"/>
      <w:kern w:val="16"/>
      <w:sz w:val="16"/>
      <w:szCs w:val="16"/>
    </w:rPr>
  </w:style>
  <w:style w:type="character" w:customStyle="1" w:styleId="TableTitleChar">
    <w:name w:val="Table Title Char"/>
    <w:basedOn w:val="StandardChar"/>
    <w:link w:val="TableTitle"/>
    <w:rsid w:val="0004435D"/>
    <w:rPr>
      <w:rFonts w:ascii="Cambria" w:eastAsia="Cambria" w:hAnsi="Cambria" w:cs="Times New Roman"/>
      <w:b/>
      <w:snapToGrid/>
      <w:kern w:val="16"/>
      <w:szCs w:val="24"/>
    </w:rPr>
  </w:style>
  <w:style w:type="paragraph" w:customStyle="1" w:styleId="AssessmentSubsection2">
    <w:name w:val="Assessment Subsection 2"/>
    <w:basedOn w:val="AssessmentSubsection"/>
    <w:next w:val="Standard"/>
    <w:rsid w:val="0004435D"/>
    <w:pPr>
      <w:outlineLvl w:val="3"/>
    </w:pPr>
    <w:rPr>
      <w:b w:val="0"/>
    </w:rPr>
  </w:style>
  <w:style w:type="paragraph" w:customStyle="1" w:styleId="TableCaption">
    <w:name w:val="Table Caption"/>
    <w:basedOn w:val="Standard"/>
    <w:next w:val="Standard"/>
    <w:link w:val="TableCaptionChar"/>
    <w:rsid w:val="00337AC7"/>
    <w:pPr>
      <w:spacing w:before="60" w:after="440" w:line="215" w:lineRule="exact"/>
      <w:ind w:left="170"/>
    </w:pPr>
    <w:rPr>
      <w:rFonts w:eastAsia="Cambria"/>
      <w:snapToGrid/>
      <w:kern w:val="0"/>
      <w:sz w:val="19"/>
      <w:szCs w:val="22"/>
    </w:rPr>
  </w:style>
  <w:style w:type="character" w:customStyle="1" w:styleId="TabletextChar">
    <w:name w:val="Table text Char"/>
    <w:basedOn w:val="DefaultParagraphFont"/>
    <w:link w:val="Tabletext"/>
    <w:rsid w:val="00337AC7"/>
    <w:rPr>
      <w:rFonts w:ascii="Cambria" w:eastAsia="Cambria" w:hAnsi="Cambria" w:cs="Times New Roman"/>
      <w:sz w:val="19"/>
    </w:rPr>
  </w:style>
  <w:style w:type="character" w:customStyle="1" w:styleId="TableCaptionChar">
    <w:name w:val="Table Caption Char"/>
    <w:basedOn w:val="TabletextChar"/>
    <w:link w:val="TableCaption"/>
    <w:rsid w:val="00337AC7"/>
    <w:rPr>
      <w:rFonts w:ascii="Cambria" w:eastAsia="Cambria" w:hAnsi="Cambria" w:cs="Times New Roman"/>
      <w:sz w:val="19"/>
    </w:rPr>
  </w:style>
  <w:style w:type="paragraph" w:customStyle="1" w:styleId="TableHeader">
    <w:name w:val="Table Header"/>
    <w:basedOn w:val="Normal"/>
    <w:rsid w:val="00337AC7"/>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337AC7"/>
    <w:pPr>
      <w:spacing w:before="0" w:after="0" w:line="200" w:lineRule="exact"/>
      <w:jc w:val="center"/>
    </w:pPr>
    <w:rPr>
      <w:rFonts w:eastAsia="Times New Roman"/>
      <w:snapToGrid w:val="0"/>
      <w:kern w:val="16"/>
      <w:sz w:val="18"/>
      <w:szCs w:val="19"/>
    </w:rPr>
  </w:style>
  <w:style w:type="character" w:customStyle="1" w:styleId="Heading8Char">
    <w:name w:val="Heading 8 Char"/>
    <w:basedOn w:val="DefaultParagraphFont"/>
    <w:link w:val="Heading8"/>
    <w:uiPriority w:val="9"/>
    <w:semiHidden/>
    <w:rsid w:val="00A66C7E"/>
    <w:rPr>
      <w:rFonts w:asciiTheme="majorHAnsi" w:eastAsiaTheme="majorEastAsia" w:hAnsiTheme="majorHAnsi" w:cstheme="majorBidi"/>
      <w:color w:val="404040" w:themeColor="text1" w:themeTint="BF"/>
      <w:sz w:val="20"/>
      <w:szCs w:val="20"/>
    </w:rPr>
  </w:style>
  <w:style w:type="paragraph" w:customStyle="1" w:styleId="Bullet1">
    <w:name w:val="Bullet 1"/>
    <w:basedOn w:val="Normal"/>
    <w:rsid w:val="00A66C7E"/>
    <w:pPr>
      <w:numPr>
        <w:numId w:val="6"/>
      </w:numPr>
      <w:spacing w:after="0" w:line="240" w:lineRule="auto"/>
    </w:pPr>
    <w:rPr>
      <w:rFonts w:eastAsia="Times New Roman"/>
      <w:kern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tiff"/><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tga.gov.au/product-information-pi"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hyperlink" Target="https://www.tga.gov.au" TargetMode="External"/><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FC8B0-7360-4B2D-A83D-F239A8746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25</TotalTime>
  <Pages>64</Pages>
  <Words>21292</Words>
  <Characters>128394</Characters>
  <Application>Microsoft Office Word</Application>
  <DocSecurity>0</DocSecurity>
  <Lines>4279</Lines>
  <Paragraphs>2672</Paragraphs>
  <ScaleCrop>false</ScaleCrop>
  <HeadingPairs>
    <vt:vector size="2" baseType="variant">
      <vt:variant>
        <vt:lpstr>Title</vt:lpstr>
      </vt:variant>
      <vt:variant>
        <vt:i4>1</vt:i4>
      </vt:variant>
    </vt:vector>
  </HeadingPairs>
  <TitlesOfParts>
    <vt:vector size="1" baseType="lpstr">
      <vt:lpstr>Australian Public Assessment Report for Lenvatinib mesilate</vt:lpstr>
    </vt:vector>
  </TitlesOfParts>
  <Company/>
  <LinksUpToDate>false</LinksUpToDate>
  <CharactersWithSpaces>147014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Lenvatinib mesilate</dc:title>
  <dc:subject>prescription medicines</dc:subject>
  <dc:creator>Therapeutic Goods Administration</dc:creator>
  <cp:keywords>AusPARs</cp:keywords>
  <cp:lastModifiedBy>Lack, Janet</cp:lastModifiedBy>
  <cp:revision>5</cp:revision>
  <cp:lastPrinted>2015-09-22T23:39:00Z</cp:lastPrinted>
  <dcterms:created xsi:type="dcterms:W3CDTF">2016-09-07T05:29:00Z</dcterms:created>
  <dcterms:modified xsi:type="dcterms:W3CDTF">2016-09-07T23:58:00Z</dcterms:modified>
  <cp:category/>
</cp:coreProperties>
</file>