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33FE9" w:rsidP="0011678D">
            <w:pPr>
              <w:rPr>
                <w:rFonts w:ascii="Arial" w:hAnsi="Arial" w:cs="Arial"/>
                <w:b/>
                <w:color w:val="002C47"/>
                <w:sz w:val="36"/>
                <w:szCs w:val="36"/>
              </w:rPr>
            </w:pPr>
            <w:r>
              <w:rPr>
                <w:rFonts w:ascii="Arial" w:hAnsi="Arial" w:cs="Arial"/>
                <w:b/>
                <w:color w:val="002C47"/>
                <w:sz w:val="36"/>
                <w:szCs w:val="36"/>
              </w:rPr>
              <w:t>Febr</w:t>
            </w:r>
            <w:r w:rsidR="0011678D">
              <w:rPr>
                <w:rFonts w:ascii="Arial" w:hAnsi="Arial" w:cs="Arial"/>
                <w:b/>
                <w:color w:val="002C47"/>
                <w:sz w:val="36"/>
                <w:szCs w:val="36"/>
              </w:rPr>
              <w:t>uary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BA7A55">
            <w:pPr>
              <w:pStyle w:val="Title"/>
              <w:rPr>
                <w:color w:val="FFFFFF" w:themeColor="background1"/>
              </w:rPr>
            </w:pPr>
            <w:r w:rsidRPr="00A964D1">
              <w:rPr>
                <w:color w:val="FFFFFF" w:themeColor="background1"/>
              </w:rPr>
              <w:t xml:space="preserve">Australian Public Assessment Report for </w:t>
            </w:r>
            <w:r w:rsidR="0011678D" w:rsidRPr="0011678D">
              <w:rPr>
                <w:color w:val="FFFFFF" w:themeColor="background1"/>
              </w:rPr>
              <w:t xml:space="preserve">levonorgestrel </w:t>
            </w:r>
          </w:p>
        </w:tc>
      </w:tr>
      <w:tr w:rsidR="0032583B" w:rsidRPr="00B64760" w:rsidTr="0032583B">
        <w:tc>
          <w:tcPr>
            <w:tcW w:w="9079" w:type="dxa"/>
          </w:tcPr>
          <w:p w:rsidR="0032583B" w:rsidRPr="008E7846" w:rsidRDefault="0032583B" w:rsidP="00BA7A55">
            <w:pPr>
              <w:pStyle w:val="Subtitle"/>
              <w:rPr>
                <w:color w:val="FFFFFF" w:themeColor="background1"/>
              </w:rPr>
            </w:pPr>
            <w:r w:rsidRPr="008E7846">
              <w:rPr>
                <w:color w:val="FFFFFF" w:themeColor="background1"/>
              </w:rPr>
              <w:t xml:space="preserve">Proprietary Product Name: </w:t>
            </w:r>
            <w:r w:rsidR="0011678D">
              <w:rPr>
                <w:color w:val="FFFFFF" w:themeColor="background1"/>
              </w:rPr>
              <w:t>Jaydess</w:t>
            </w:r>
            <w:r w:rsidR="00BA7A55">
              <w:rPr>
                <w:color w:val="FFFFFF" w:themeColor="background1"/>
              </w:rPr>
              <w:t xml:space="preserve"> </w:t>
            </w:r>
            <w:r w:rsidR="00BA7A55" w:rsidRPr="00BA7A55">
              <w:rPr>
                <w:color w:val="FFFFFF" w:themeColor="background1"/>
              </w:rPr>
              <w:t>(intrauterine delivery system)</w:t>
            </w:r>
          </w:p>
        </w:tc>
      </w:tr>
      <w:tr w:rsidR="0032583B" w:rsidRPr="00B64760" w:rsidTr="0032583B">
        <w:trPr>
          <w:trHeight w:val="486"/>
        </w:trPr>
        <w:tc>
          <w:tcPr>
            <w:tcW w:w="9079" w:type="dxa"/>
          </w:tcPr>
          <w:p w:rsidR="0032583B" w:rsidRPr="008E7846" w:rsidRDefault="0032583B" w:rsidP="0011678D">
            <w:pPr>
              <w:pStyle w:val="Subtitle"/>
              <w:rPr>
                <w:color w:val="FFFFFF" w:themeColor="background1"/>
              </w:rPr>
            </w:pPr>
            <w:r w:rsidRPr="008E7846">
              <w:rPr>
                <w:color w:val="FFFFFF" w:themeColor="background1"/>
              </w:rPr>
              <w:t xml:space="preserve">Sponsor: </w:t>
            </w:r>
            <w:r w:rsidR="0011678D">
              <w:rPr>
                <w:color w:val="FFFFFF" w:themeColor="background1"/>
              </w:rPr>
              <w:t>Bayer Australia Ltd</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1678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074B5" w:rsidRDefault="00DC5C6F">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0568254" w:history="1">
            <w:r w:rsidR="00B074B5" w:rsidRPr="000261FF">
              <w:rPr>
                <w:rStyle w:val="Hyperlink"/>
                <w:noProof/>
              </w:rPr>
              <w:t>I. Introduction to product submission</w:t>
            </w:r>
            <w:r w:rsidR="00B074B5">
              <w:rPr>
                <w:noProof/>
                <w:webHidden/>
              </w:rPr>
              <w:tab/>
            </w:r>
            <w:r w:rsidR="00B074B5">
              <w:rPr>
                <w:noProof/>
                <w:webHidden/>
              </w:rPr>
              <w:fldChar w:fldCharType="begin"/>
            </w:r>
            <w:r w:rsidR="00B074B5">
              <w:rPr>
                <w:noProof/>
                <w:webHidden/>
              </w:rPr>
              <w:instrText xml:space="preserve"> PAGEREF _Toc380568254 \h </w:instrText>
            </w:r>
            <w:r w:rsidR="00B074B5">
              <w:rPr>
                <w:noProof/>
                <w:webHidden/>
              </w:rPr>
            </w:r>
            <w:r w:rsidR="00B074B5">
              <w:rPr>
                <w:noProof/>
                <w:webHidden/>
              </w:rPr>
              <w:fldChar w:fldCharType="separate"/>
            </w:r>
            <w:r w:rsidR="00B074B5">
              <w:rPr>
                <w:noProof/>
                <w:webHidden/>
              </w:rPr>
              <w:t>4</w:t>
            </w:r>
            <w:r w:rsidR="00B074B5">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55" w:history="1">
            <w:r w:rsidRPr="000261FF">
              <w:rPr>
                <w:rStyle w:val="Hyperlink"/>
                <w:noProof/>
                <w:lang w:eastAsia="en-AU"/>
              </w:rPr>
              <w:t>Submission details</w:t>
            </w:r>
            <w:r>
              <w:rPr>
                <w:noProof/>
                <w:webHidden/>
              </w:rPr>
              <w:tab/>
            </w:r>
            <w:r>
              <w:rPr>
                <w:noProof/>
                <w:webHidden/>
              </w:rPr>
              <w:fldChar w:fldCharType="begin"/>
            </w:r>
            <w:r>
              <w:rPr>
                <w:noProof/>
                <w:webHidden/>
              </w:rPr>
              <w:instrText xml:space="preserve"> PAGEREF _Toc380568255 \h </w:instrText>
            </w:r>
            <w:r>
              <w:rPr>
                <w:noProof/>
                <w:webHidden/>
              </w:rPr>
            </w:r>
            <w:r>
              <w:rPr>
                <w:noProof/>
                <w:webHidden/>
              </w:rPr>
              <w:fldChar w:fldCharType="separate"/>
            </w:r>
            <w:r>
              <w:rPr>
                <w:noProof/>
                <w:webHidden/>
              </w:rPr>
              <w:t>4</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56" w:history="1">
            <w:r w:rsidRPr="000261FF">
              <w:rPr>
                <w:rStyle w:val="Hyperlink"/>
                <w:noProof/>
              </w:rPr>
              <w:t>Product background</w:t>
            </w:r>
            <w:r>
              <w:rPr>
                <w:noProof/>
                <w:webHidden/>
              </w:rPr>
              <w:tab/>
            </w:r>
            <w:r>
              <w:rPr>
                <w:noProof/>
                <w:webHidden/>
              </w:rPr>
              <w:fldChar w:fldCharType="begin"/>
            </w:r>
            <w:r>
              <w:rPr>
                <w:noProof/>
                <w:webHidden/>
              </w:rPr>
              <w:instrText xml:space="preserve"> PAGEREF _Toc380568256 \h </w:instrText>
            </w:r>
            <w:r>
              <w:rPr>
                <w:noProof/>
                <w:webHidden/>
              </w:rPr>
            </w:r>
            <w:r>
              <w:rPr>
                <w:noProof/>
                <w:webHidden/>
              </w:rPr>
              <w:fldChar w:fldCharType="separate"/>
            </w:r>
            <w:r>
              <w:rPr>
                <w:noProof/>
                <w:webHidden/>
              </w:rPr>
              <w:t>4</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57" w:history="1">
            <w:r w:rsidRPr="000261FF">
              <w:rPr>
                <w:rStyle w:val="Hyperlink"/>
                <w:noProof/>
              </w:rPr>
              <w:t>Regulatory status</w:t>
            </w:r>
            <w:r>
              <w:rPr>
                <w:noProof/>
                <w:webHidden/>
              </w:rPr>
              <w:tab/>
            </w:r>
            <w:r>
              <w:rPr>
                <w:noProof/>
                <w:webHidden/>
              </w:rPr>
              <w:fldChar w:fldCharType="begin"/>
            </w:r>
            <w:r>
              <w:rPr>
                <w:noProof/>
                <w:webHidden/>
              </w:rPr>
              <w:instrText xml:space="preserve"> PAGEREF _Toc380568257 \h </w:instrText>
            </w:r>
            <w:r>
              <w:rPr>
                <w:noProof/>
                <w:webHidden/>
              </w:rPr>
            </w:r>
            <w:r>
              <w:rPr>
                <w:noProof/>
                <w:webHidden/>
              </w:rPr>
              <w:fldChar w:fldCharType="separate"/>
            </w:r>
            <w:r>
              <w:rPr>
                <w:noProof/>
                <w:webHidden/>
              </w:rPr>
              <w:t>5</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58" w:history="1">
            <w:r w:rsidRPr="000261FF">
              <w:rPr>
                <w:rStyle w:val="Hyperlink"/>
                <w:noProof/>
              </w:rPr>
              <w:t>Product Information</w:t>
            </w:r>
            <w:r>
              <w:rPr>
                <w:noProof/>
                <w:webHidden/>
              </w:rPr>
              <w:tab/>
            </w:r>
            <w:r>
              <w:rPr>
                <w:noProof/>
                <w:webHidden/>
              </w:rPr>
              <w:fldChar w:fldCharType="begin"/>
            </w:r>
            <w:r>
              <w:rPr>
                <w:noProof/>
                <w:webHidden/>
              </w:rPr>
              <w:instrText xml:space="preserve"> PAGEREF _Toc380568258 \h </w:instrText>
            </w:r>
            <w:r>
              <w:rPr>
                <w:noProof/>
                <w:webHidden/>
              </w:rPr>
            </w:r>
            <w:r>
              <w:rPr>
                <w:noProof/>
                <w:webHidden/>
              </w:rPr>
              <w:fldChar w:fldCharType="separate"/>
            </w:r>
            <w:r>
              <w:rPr>
                <w:noProof/>
                <w:webHidden/>
              </w:rPr>
              <w:t>5</w:t>
            </w:r>
            <w:r>
              <w:rPr>
                <w:noProof/>
                <w:webHidden/>
              </w:rPr>
              <w:fldChar w:fldCharType="end"/>
            </w:r>
          </w:hyperlink>
        </w:p>
        <w:p w:rsidR="00B074B5" w:rsidRDefault="00B074B5">
          <w:pPr>
            <w:pStyle w:val="TOC2"/>
            <w:rPr>
              <w:rFonts w:asciiTheme="minorHAnsi" w:eastAsiaTheme="minorEastAsia" w:hAnsiTheme="minorHAnsi" w:cstheme="minorBidi"/>
              <w:b w:val="0"/>
              <w:noProof/>
              <w:sz w:val="22"/>
              <w:lang w:eastAsia="en-AU"/>
            </w:rPr>
          </w:pPr>
          <w:hyperlink w:anchor="_Toc380568259" w:history="1">
            <w:r w:rsidRPr="000261FF">
              <w:rPr>
                <w:rStyle w:val="Hyperlink"/>
                <w:noProof/>
              </w:rPr>
              <w:t>II. Quality findings</w:t>
            </w:r>
            <w:r>
              <w:rPr>
                <w:noProof/>
                <w:webHidden/>
              </w:rPr>
              <w:tab/>
            </w:r>
            <w:r>
              <w:rPr>
                <w:noProof/>
                <w:webHidden/>
              </w:rPr>
              <w:fldChar w:fldCharType="begin"/>
            </w:r>
            <w:r>
              <w:rPr>
                <w:noProof/>
                <w:webHidden/>
              </w:rPr>
              <w:instrText xml:space="preserve"> PAGEREF _Toc380568259 \h </w:instrText>
            </w:r>
            <w:r>
              <w:rPr>
                <w:noProof/>
                <w:webHidden/>
              </w:rPr>
            </w:r>
            <w:r>
              <w:rPr>
                <w:noProof/>
                <w:webHidden/>
              </w:rPr>
              <w:fldChar w:fldCharType="separate"/>
            </w:r>
            <w:r>
              <w:rPr>
                <w:noProof/>
                <w:webHidden/>
              </w:rPr>
              <w:t>5</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60" w:history="1">
            <w:r w:rsidRPr="000261FF">
              <w:rPr>
                <w:rStyle w:val="Hyperlink"/>
                <w:noProof/>
              </w:rPr>
              <w:t>Drug substance (active ingredient)</w:t>
            </w:r>
            <w:r>
              <w:rPr>
                <w:noProof/>
                <w:webHidden/>
              </w:rPr>
              <w:tab/>
            </w:r>
            <w:r>
              <w:rPr>
                <w:noProof/>
                <w:webHidden/>
              </w:rPr>
              <w:fldChar w:fldCharType="begin"/>
            </w:r>
            <w:r>
              <w:rPr>
                <w:noProof/>
                <w:webHidden/>
              </w:rPr>
              <w:instrText xml:space="preserve"> PAGEREF _Toc380568260 \h </w:instrText>
            </w:r>
            <w:r>
              <w:rPr>
                <w:noProof/>
                <w:webHidden/>
              </w:rPr>
            </w:r>
            <w:r>
              <w:rPr>
                <w:noProof/>
                <w:webHidden/>
              </w:rPr>
              <w:fldChar w:fldCharType="separate"/>
            </w:r>
            <w:r>
              <w:rPr>
                <w:noProof/>
                <w:webHidden/>
              </w:rPr>
              <w:t>5</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61" w:history="1">
            <w:r w:rsidRPr="000261FF">
              <w:rPr>
                <w:rStyle w:val="Hyperlink"/>
                <w:noProof/>
              </w:rPr>
              <w:t>Drug product</w:t>
            </w:r>
            <w:r>
              <w:rPr>
                <w:noProof/>
                <w:webHidden/>
              </w:rPr>
              <w:tab/>
            </w:r>
            <w:r>
              <w:rPr>
                <w:noProof/>
                <w:webHidden/>
              </w:rPr>
              <w:fldChar w:fldCharType="begin"/>
            </w:r>
            <w:r>
              <w:rPr>
                <w:noProof/>
                <w:webHidden/>
              </w:rPr>
              <w:instrText xml:space="preserve"> PAGEREF _Toc380568261 \h </w:instrText>
            </w:r>
            <w:r>
              <w:rPr>
                <w:noProof/>
                <w:webHidden/>
              </w:rPr>
            </w:r>
            <w:r>
              <w:rPr>
                <w:noProof/>
                <w:webHidden/>
              </w:rPr>
              <w:fldChar w:fldCharType="separate"/>
            </w:r>
            <w:r>
              <w:rPr>
                <w:noProof/>
                <w:webHidden/>
              </w:rPr>
              <w:t>6</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62" w:history="1">
            <w:r w:rsidRPr="000261FF">
              <w:rPr>
                <w:rStyle w:val="Hyperlink"/>
                <w:noProof/>
              </w:rPr>
              <w:t>Biopharmaceutics</w:t>
            </w:r>
            <w:r>
              <w:rPr>
                <w:noProof/>
                <w:webHidden/>
              </w:rPr>
              <w:tab/>
            </w:r>
            <w:r>
              <w:rPr>
                <w:noProof/>
                <w:webHidden/>
              </w:rPr>
              <w:fldChar w:fldCharType="begin"/>
            </w:r>
            <w:r>
              <w:rPr>
                <w:noProof/>
                <w:webHidden/>
              </w:rPr>
              <w:instrText xml:space="preserve"> PAGEREF _Toc380568262 \h </w:instrText>
            </w:r>
            <w:r>
              <w:rPr>
                <w:noProof/>
                <w:webHidden/>
              </w:rPr>
            </w:r>
            <w:r>
              <w:rPr>
                <w:noProof/>
                <w:webHidden/>
              </w:rPr>
              <w:fldChar w:fldCharType="separate"/>
            </w:r>
            <w:r>
              <w:rPr>
                <w:noProof/>
                <w:webHidden/>
              </w:rPr>
              <w:t>7</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63" w:history="1">
            <w:r w:rsidRPr="000261FF">
              <w:rPr>
                <w:rStyle w:val="Hyperlink"/>
                <w:noProof/>
              </w:rPr>
              <w:t>Advisory committee considerations</w:t>
            </w:r>
            <w:r>
              <w:rPr>
                <w:noProof/>
                <w:webHidden/>
              </w:rPr>
              <w:tab/>
            </w:r>
            <w:r>
              <w:rPr>
                <w:noProof/>
                <w:webHidden/>
              </w:rPr>
              <w:fldChar w:fldCharType="begin"/>
            </w:r>
            <w:r>
              <w:rPr>
                <w:noProof/>
                <w:webHidden/>
              </w:rPr>
              <w:instrText xml:space="preserve"> PAGEREF _Toc380568263 \h </w:instrText>
            </w:r>
            <w:r>
              <w:rPr>
                <w:noProof/>
                <w:webHidden/>
              </w:rPr>
            </w:r>
            <w:r>
              <w:rPr>
                <w:noProof/>
                <w:webHidden/>
              </w:rPr>
              <w:fldChar w:fldCharType="separate"/>
            </w:r>
            <w:r>
              <w:rPr>
                <w:noProof/>
                <w:webHidden/>
              </w:rPr>
              <w:t>7</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64" w:history="1">
            <w:r w:rsidRPr="000261FF">
              <w:rPr>
                <w:rStyle w:val="Hyperlink"/>
                <w:noProof/>
              </w:rPr>
              <w:t>Quality summary and conclusions</w:t>
            </w:r>
            <w:r>
              <w:rPr>
                <w:noProof/>
                <w:webHidden/>
              </w:rPr>
              <w:tab/>
            </w:r>
            <w:r>
              <w:rPr>
                <w:noProof/>
                <w:webHidden/>
              </w:rPr>
              <w:fldChar w:fldCharType="begin"/>
            </w:r>
            <w:r>
              <w:rPr>
                <w:noProof/>
                <w:webHidden/>
              </w:rPr>
              <w:instrText xml:space="preserve"> PAGEREF _Toc380568264 \h </w:instrText>
            </w:r>
            <w:r>
              <w:rPr>
                <w:noProof/>
                <w:webHidden/>
              </w:rPr>
            </w:r>
            <w:r>
              <w:rPr>
                <w:noProof/>
                <w:webHidden/>
              </w:rPr>
              <w:fldChar w:fldCharType="separate"/>
            </w:r>
            <w:r>
              <w:rPr>
                <w:noProof/>
                <w:webHidden/>
              </w:rPr>
              <w:t>7</w:t>
            </w:r>
            <w:r>
              <w:rPr>
                <w:noProof/>
                <w:webHidden/>
              </w:rPr>
              <w:fldChar w:fldCharType="end"/>
            </w:r>
          </w:hyperlink>
        </w:p>
        <w:p w:rsidR="00B074B5" w:rsidRDefault="00B074B5">
          <w:pPr>
            <w:pStyle w:val="TOC2"/>
            <w:rPr>
              <w:rFonts w:asciiTheme="minorHAnsi" w:eastAsiaTheme="minorEastAsia" w:hAnsiTheme="minorHAnsi" w:cstheme="minorBidi"/>
              <w:b w:val="0"/>
              <w:noProof/>
              <w:sz w:val="22"/>
              <w:lang w:eastAsia="en-AU"/>
            </w:rPr>
          </w:pPr>
          <w:hyperlink w:anchor="_Toc380568265" w:history="1">
            <w:r w:rsidRPr="000261FF">
              <w:rPr>
                <w:rStyle w:val="Hyperlink"/>
                <w:noProof/>
              </w:rPr>
              <w:t>III. Nonclinical findings</w:t>
            </w:r>
            <w:r>
              <w:rPr>
                <w:noProof/>
                <w:webHidden/>
              </w:rPr>
              <w:tab/>
            </w:r>
            <w:r>
              <w:rPr>
                <w:noProof/>
                <w:webHidden/>
              </w:rPr>
              <w:fldChar w:fldCharType="begin"/>
            </w:r>
            <w:r>
              <w:rPr>
                <w:noProof/>
                <w:webHidden/>
              </w:rPr>
              <w:instrText xml:space="preserve"> PAGEREF _Toc380568265 \h </w:instrText>
            </w:r>
            <w:r>
              <w:rPr>
                <w:noProof/>
                <w:webHidden/>
              </w:rPr>
            </w:r>
            <w:r>
              <w:rPr>
                <w:noProof/>
                <w:webHidden/>
              </w:rPr>
              <w:fldChar w:fldCharType="separate"/>
            </w:r>
            <w:r>
              <w:rPr>
                <w:noProof/>
                <w:webHidden/>
              </w:rPr>
              <w:t>8</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66" w:history="1">
            <w:r w:rsidRPr="000261FF">
              <w:rPr>
                <w:rStyle w:val="Hyperlink"/>
                <w:noProof/>
              </w:rPr>
              <w:t>Toxicity</w:t>
            </w:r>
            <w:r>
              <w:rPr>
                <w:noProof/>
                <w:webHidden/>
              </w:rPr>
              <w:tab/>
            </w:r>
            <w:r>
              <w:rPr>
                <w:noProof/>
                <w:webHidden/>
              </w:rPr>
              <w:fldChar w:fldCharType="begin"/>
            </w:r>
            <w:r>
              <w:rPr>
                <w:noProof/>
                <w:webHidden/>
              </w:rPr>
              <w:instrText xml:space="preserve"> PAGEREF _Toc380568266 \h </w:instrText>
            </w:r>
            <w:r>
              <w:rPr>
                <w:noProof/>
                <w:webHidden/>
              </w:rPr>
            </w:r>
            <w:r>
              <w:rPr>
                <w:noProof/>
                <w:webHidden/>
              </w:rPr>
              <w:fldChar w:fldCharType="separate"/>
            </w:r>
            <w:r>
              <w:rPr>
                <w:noProof/>
                <w:webHidden/>
              </w:rPr>
              <w:t>8</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67" w:history="1">
            <w:r w:rsidRPr="000261FF">
              <w:rPr>
                <w:rStyle w:val="Hyperlink"/>
                <w:noProof/>
              </w:rPr>
              <w:t>Nonclinical summary and conclusions</w:t>
            </w:r>
            <w:r>
              <w:rPr>
                <w:noProof/>
                <w:webHidden/>
              </w:rPr>
              <w:tab/>
            </w:r>
            <w:r>
              <w:rPr>
                <w:noProof/>
                <w:webHidden/>
              </w:rPr>
              <w:fldChar w:fldCharType="begin"/>
            </w:r>
            <w:r>
              <w:rPr>
                <w:noProof/>
                <w:webHidden/>
              </w:rPr>
              <w:instrText xml:space="preserve"> PAGEREF _Toc380568267 \h </w:instrText>
            </w:r>
            <w:r>
              <w:rPr>
                <w:noProof/>
                <w:webHidden/>
              </w:rPr>
            </w:r>
            <w:r>
              <w:rPr>
                <w:noProof/>
                <w:webHidden/>
              </w:rPr>
              <w:fldChar w:fldCharType="separate"/>
            </w:r>
            <w:r>
              <w:rPr>
                <w:noProof/>
                <w:webHidden/>
              </w:rPr>
              <w:t>9</w:t>
            </w:r>
            <w:r>
              <w:rPr>
                <w:noProof/>
                <w:webHidden/>
              </w:rPr>
              <w:fldChar w:fldCharType="end"/>
            </w:r>
          </w:hyperlink>
        </w:p>
        <w:p w:rsidR="00B074B5" w:rsidRDefault="00B074B5">
          <w:pPr>
            <w:pStyle w:val="TOC2"/>
            <w:rPr>
              <w:rFonts w:asciiTheme="minorHAnsi" w:eastAsiaTheme="minorEastAsia" w:hAnsiTheme="minorHAnsi" w:cstheme="minorBidi"/>
              <w:b w:val="0"/>
              <w:noProof/>
              <w:sz w:val="22"/>
              <w:lang w:eastAsia="en-AU"/>
            </w:rPr>
          </w:pPr>
          <w:hyperlink w:anchor="_Toc380568268" w:history="1">
            <w:r w:rsidRPr="000261FF">
              <w:rPr>
                <w:rStyle w:val="Hyperlink"/>
                <w:noProof/>
              </w:rPr>
              <w:t>IV. Clinical findings</w:t>
            </w:r>
            <w:r>
              <w:rPr>
                <w:noProof/>
                <w:webHidden/>
              </w:rPr>
              <w:tab/>
            </w:r>
            <w:r>
              <w:rPr>
                <w:noProof/>
                <w:webHidden/>
              </w:rPr>
              <w:fldChar w:fldCharType="begin"/>
            </w:r>
            <w:r>
              <w:rPr>
                <w:noProof/>
                <w:webHidden/>
              </w:rPr>
              <w:instrText xml:space="preserve"> PAGEREF _Toc380568268 \h </w:instrText>
            </w:r>
            <w:r>
              <w:rPr>
                <w:noProof/>
                <w:webHidden/>
              </w:rPr>
            </w:r>
            <w:r>
              <w:rPr>
                <w:noProof/>
                <w:webHidden/>
              </w:rPr>
              <w:fldChar w:fldCharType="separate"/>
            </w:r>
            <w:r>
              <w:rPr>
                <w:noProof/>
                <w:webHidden/>
              </w:rPr>
              <w:t>10</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69" w:history="1">
            <w:r w:rsidRPr="000261FF">
              <w:rPr>
                <w:rStyle w:val="Hyperlink"/>
                <w:noProof/>
              </w:rPr>
              <w:t>Introduction</w:t>
            </w:r>
            <w:r>
              <w:rPr>
                <w:noProof/>
                <w:webHidden/>
              </w:rPr>
              <w:tab/>
            </w:r>
            <w:r>
              <w:rPr>
                <w:noProof/>
                <w:webHidden/>
              </w:rPr>
              <w:fldChar w:fldCharType="begin"/>
            </w:r>
            <w:r>
              <w:rPr>
                <w:noProof/>
                <w:webHidden/>
              </w:rPr>
              <w:instrText xml:space="preserve"> PAGEREF _Toc380568269 \h </w:instrText>
            </w:r>
            <w:r>
              <w:rPr>
                <w:noProof/>
                <w:webHidden/>
              </w:rPr>
            </w:r>
            <w:r>
              <w:rPr>
                <w:noProof/>
                <w:webHidden/>
              </w:rPr>
              <w:fldChar w:fldCharType="separate"/>
            </w:r>
            <w:r>
              <w:rPr>
                <w:noProof/>
                <w:webHidden/>
              </w:rPr>
              <w:t>10</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70" w:history="1">
            <w:r w:rsidRPr="000261FF">
              <w:rPr>
                <w:rStyle w:val="Hyperlink"/>
                <w:noProof/>
              </w:rPr>
              <w:t>Pharmacokinetics</w:t>
            </w:r>
            <w:r>
              <w:rPr>
                <w:noProof/>
                <w:webHidden/>
              </w:rPr>
              <w:tab/>
            </w:r>
            <w:r>
              <w:rPr>
                <w:noProof/>
                <w:webHidden/>
              </w:rPr>
              <w:fldChar w:fldCharType="begin"/>
            </w:r>
            <w:r>
              <w:rPr>
                <w:noProof/>
                <w:webHidden/>
              </w:rPr>
              <w:instrText xml:space="preserve"> PAGEREF _Toc380568270 \h </w:instrText>
            </w:r>
            <w:r>
              <w:rPr>
                <w:noProof/>
                <w:webHidden/>
              </w:rPr>
            </w:r>
            <w:r>
              <w:rPr>
                <w:noProof/>
                <w:webHidden/>
              </w:rPr>
              <w:fldChar w:fldCharType="separate"/>
            </w:r>
            <w:r>
              <w:rPr>
                <w:noProof/>
                <w:webHidden/>
              </w:rPr>
              <w:t>11</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71" w:history="1">
            <w:r w:rsidRPr="000261FF">
              <w:rPr>
                <w:rStyle w:val="Hyperlink"/>
                <w:noProof/>
              </w:rPr>
              <w:t>Pharmacodynamics</w:t>
            </w:r>
            <w:r>
              <w:rPr>
                <w:noProof/>
                <w:webHidden/>
              </w:rPr>
              <w:tab/>
            </w:r>
            <w:r>
              <w:rPr>
                <w:noProof/>
                <w:webHidden/>
              </w:rPr>
              <w:fldChar w:fldCharType="begin"/>
            </w:r>
            <w:r>
              <w:rPr>
                <w:noProof/>
                <w:webHidden/>
              </w:rPr>
              <w:instrText xml:space="preserve"> PAGEREF _Toc380568271 \h </w:instrText>
            </w:r>
            <w:r>
              <w:rPr>
                <w:noProof/>
                <w:webHidden/>
              </w:rPr>
            </w:r>
            <w:r>
              <w:rPr>
                <w:noProof/>
                <w:webHidden/>
              </w:rPr>
              <w:fldChar w:fldCharType="separate"/>
            </w:r>
            <w:r>
              <w:rPr>
                <w:noProof/>
                <w:webHidden/>
              </w:rPr>
              <w:t>14</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72" w:history="1">
            <w:r w:rsidRPr="000261FF">
              <w:rPr>
                <w:rStyle w:val="Hyperlink"/>
                <w:noProof/>
              </w:rPr>
              <w:t>Dosage selection for the pivotal studies</w:t>
            </w:r>
            <w:r>
              <w:rPr>
                <w:noProof/>
                <w:webHidden/>
              </w:rPr>
              <w:tab/>
            </w:r>
            <w:r>
              <w:rPr>
                <w:noProof/>
                <w:webHidden/>
              </w:rPr>
              <w:fldChar w:fldCharType="begin"/>
            </w:r>
            <w:r>
              <w:rPr>
                <w:noProof/>
                <w:webHidden/>
              </w:rPr>
              <w:instrText xml:space="preserve"> PAGEREF _Toc380568272 \h </w:instrText>
            </w:r>
            <w:r>
              <w:rPr>
                <w:noProof/>
                <w:webHidden/>
              </w:rPr>
            </w:r>
            <w:r>
              <w:rPr>
                <w:noProof/>
                <w:webHidden/>
              </w:rPr>
              <w:fldChar w:fldCharType="separate"/>
            </w:r>
            <w:r>
              <w:rPr>
                <w:noProof/>
                <w:webHidden/>
              </w:rPr>
              <w:t>15</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73" w:history="1">
            <w:r w:rsidRPr="000261FF">
              <w:rPr>
                <w:rStyle w:val="Hyperlink"/>
                <w:noProof/>
              </w:rPr>
              <w:t>Efficacy</w:t>
            </w:r>
            <w:r>
              <w:rPr>
                <w:noProof/>
                <w:webHidden/>
              </w:rPr>
              <w:tab/>
            </w:r>
            <w:r>
              <w:rPr>
                <w:noProof/>
                <w:webHidden/>
              </w:rPr>
              <w:fldChar w:fldCharType="begin"/>
            </w:r>
            <w:r>
              <w:rPr>
                <w:noProof/>
                <w:webHidden/>
              </w:rPr>
              <w:instrText xml:space="preserve"> PAGEREF _Toc380568273 \h </w:instrText>
            </w:r>
            <w:r>
              <w:rPr>
                <w:noProof/>
                <w:webHidden/>
              </w:rPr>
            </w:r>
            <w:r>
              <w:rPr>
                <w:noProof/>
                <w:webHidden/>
              </w:rPr>
              <w:fldChar w:fldCharType="separate"/>
            </w:r>
            <w:r>
              <w:rPr>
                <w:noProof/>
                <w:webHidden/>
              </w:rPr>
              <w:t>16</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74" w:history="1">
            <w:r w:rsidRPr="000261FF">
              <w:rPr>
                <w:rStyle w:val="Hyperlink"/>
                <w:noProof/>
              </w:rPr>
              <w:t>Safety</w:t>
            </w:r>
            <w:r>
              <w:rPr>
                <w:noProof/>
                <w:webHidden/>
              </w:rPr>
              <w:tab/>
            </w:r>
            <w:r>
              <w:rPr>
                <w:noProof/>
                <w:webHidden/>
              </w:rPr>
              <w:fldChar w:fldCharType="begin"/>
            </w:r>
            <w:r>
              <w:rPr>
                <w:noProof/>
                <w:webHidden/>
              </w:rPr>
              <w:instrText xml:space="preserve"> PAGEREF _Toc380568274 \h </w:instrText>
            </w:r>
            <w:r>
              <w:rPr>
                <w:noProof/>
                <w:webHidden/>
              </w:rPr>
            </w:r>
            <w:r>
              <w:rPr>
                <w:noProof/>
                <w:webHidden/>
              </w:rPr>
              <w:fldChar w:fldCharType="separate"/>
            </w:r>
            <w:r>
              <w:rPr>
                <w:noProof/>
                <w:webHidden/>
              </w:rPr>
              <w:t>17</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75" w:history="1">
            <w:r w:rsidRPr="000261FF">
              <w:rPr>
                <w:rStyle w:val="Hyperlink"/>
                <w:noProof/>
              </w:rPr>
              <w:t>First round benefit-risk assessment</w:t>
            </w:r>
            <w:r>
              <w:rPr>
                <w:noProof/>
                <w:webHidden/>
              </w:rPr>
              <w:tab/>
            </w:r>
            <w:r>
              <w:rPr>
                <w:noProof/>
                <w:webHidden/>
              </w:rPr>
              <w:fldChar w:fldCharType="begin"/>
            </w:r>
            <w:r>
              <w:rPr>
                <w:noProof/>
                <w:webHidden/>
              </w:rPr>
              <w:instrText xml:space="preserve"> PAGEREF _Toc380568275 \h </w:instrText>
            </w:r>
            <w:r>
              <w:rPr>
                <w:noProof/>
                <w:webHidden/>
              </w:rPr>
            </w:r>
            <w:r>
              <w:rPr>
                <w:noProof/>
                <w:webHidden/>
              </w:rPr>
              <w:fldChar w:fldCharType="separate"/>
            </w:r>
            <w:r>
              <w:rPr>
                <w:noProof/>
                <w:webHidden/>
              </w:rPr>
              <w:t>20</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76" w:history="1">
            <w:r w:rsidRPr="000261FF">
              <w:rPr>
                <w:rStyle w:val="Hyperlink"/>
                <w:noProof/>
              </w:rPr>
              <w:t>First round recommendation regarding authorisation</w:t>
            </w:r>
            <w:r>
              <w:rPr>
                <w:noProof/>
                <w:webHidden/>
              </w:rPr>
              <w:tab/>
            </w:r>
            <w:r>
              <w:rPr>
                <w:noProof/>
                <w:webHidden/>
              </w:rPr>
              <w:fldChar w:fldCharType="begin"/>
            </w:r>
            <w:r>
              <w:rPr>
                <w:noProof/>
                <w:webHidden/>
              </w:rPr>
              <w:instrText xml:space="preserve"> PAGEREF _Toc380568276 \h </w:instrText>
            </w:r>
            <w:r>
              <w:rPr>
                <w:noProof/>
                <w:webHidden/>
              </w:rPr>
            </w:r>
            <w:r>
              <w:rPr>
                <w:noProof/>
                <w:webHidden/>
              </w:rPr>
              <w:fldChar w:fldCharType="separate"/>
            </w:r>
            <w:r>
              <w:rPr>
                <w:noProof/>
                <w:webHidden/>
              </w:rPr>
              <w:t>20</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77" w:history="1">
            <w:r w:rsidRPr="000261FF">
              <w:rPr>
                <w:rStyle w:val="Hyperlink"/>
                <w:noProof/>
              </w:rPr>
              <w:t>List of questions</w:t>
            </w:r>
            <w:r>
              <w:rPr>
                <w:noProof/>
                <w:webHidden/>
              </w:rPr>
              <w:tab/>
            </w:r>
            <w:r>
              <w:rPr>
                <w:noProof/>
                <w:webHidden/>
              </w:rPr>
              <w:fldChar w:fldCharType="begin"/>
            </w:r>
            <w:r>
              <w:rPr>
                <w:noProof/>
                <w:webHidden/>
              </w:rPr>
              <w:instrText xml:space="preserve"> PAGEREF _Toc380568277 \h </w:instrText>
            </w:r>
            <w:r>
              <w:rPr>
                <w:noProof/>
                <w:webHidden/>
              </w:rPr>
            </w:r>
            <w:r>
              <w:rPr>
                <w:noProof/>
                <w:webHidden/>
              </w:rPr>
              <w:fldChar w:fldCharType="separate"/>
            </w:r>
            <w:r>
              <w:rPr>
                <w:noProof/>
                <w:webHidden/>
              </w:rPr>
              <w:t>21</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78" w:history="1">
            <w:r w:rsidRPr="000261FF">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_Toc380568278 \h </w:instrText>
            </w:r>
            <w:r>
              <w:rPr>
                <w:noProof/>
                <w:webHidden/>
              </w:rPr>
            </w:r>
            <w:r>
              <w:rPr>
                <w:noProof/>
                <w:webHidden/>
              </w:rPr>
              <w:fldChar w:fldCharType="separate"/>
            </w:r>
            <w:r>
              <w:rPr>
                <w:noProof/>
                <w:webHidden/>
              </w:rPr>
              <w:t>21</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79" w:history="1">
            <w:r w:rsidRPr="000261FF">
              <w:rPr>
                <w:rStyle w:val="Hyperlink"/>
                <w:noProof/>
              </w:rPr>
              <w:t>Second round benefit-risk assessment</w:t>
            </w:r>
            <w:r>
              <w:rPr>
                <w:noProof/>
                <w:webHidden/>
              </w:rPr>
              <w:tab/>
            </w:r>
            <w:r>
              <w:rPr>
                <w:noProof/>
                <w:webHidden/>
              </w:rPr>
              <w:fldChar w:fldCharType="begin"/>
            </w:r>
            <w:r>
              <w:rPr>
                <w:noProof/>
                <w:webHidden/>
              </w:rPr>
              <w:instrText xml:space="preserve"> PAGEREF _Toc380568279 \h </w:instrText>
            </w:r>
            <w:r>
              <w:rPr>
                <w:noProof/>
                <w:webHidden/>
              </w:rPr>
            </w:r>
            <w:r>
              <w:rPr>
                <w:noProof/>
                <w:webHidden/>
              </w:rPr>
              <w:fldChar w:fldCharType="separate"/>
            </w:r>
            <w:r>
              <w:rPr>
                <w:noProof/>
                <w:webHidden/>
              </w:rPr>
              <w:t>22</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80" w:history="1">
            <w:r w:rsidRPr="000261FF">
              <w:rPr>
                <w:rStyle w:val="Hyperlink"/>
                <w:noProof/>
              </w:rPr>
              <w:t>Second round recommendation regarding authorisation</w:t>
            </w:r>
            <w:r>
              <w:rPr>
                <w:noProof/>
                <w:webHidden/>
              </w:rPr>
              <w:tab/>
            </w:r>
            <w:r>
              <w:rPr>
                <w:noProof/>
                <w:webHidden/>
              </w:rPr>
              <w:fldChar w:fldCharType="begin"/>
            </w:r>
            <w:r>
              <w:rPr>
                <w:noProof/>
                <w:webHidden/>
              </w:rPr>
              <w:instrText xml:space="preserve"> PAGEREF _Toc380568280 \h </w:instrText>
            </w:r>
            <w:r>
              <w:rPr>
                <w:noProof/>
                <w:webHidden/>
              </w:rPr>
            </w:r>
            <w:r>
              <w:rPr>
                <w:noProof/>
                <w:webHidden/>
              </w:rPr>
              <w:fldChar w:fldCharType="separate"/>
            </w:r>
            <w:r>
              <w:rPr>
                <w:noProof/>
                <w:webHidden/>
              </w:rPr>
              <w:t>23</w:t>
            </w:r>
            <w:r>
              <w:rPr>
                <w:noProof/>
                <w:webHidden/>
              </w:rPr>
              <w:fldChar w:fldCharType="end"/>
            </w:r>
          </w:hyperlink>
        </w:p>
        <w:p w:rsidR="00B074B5" w:rsidRDefault="00B074B5">
          <w:pPr>
            <w:pStyle w:val="TOC2"/>
            <w:rPr>
              <w:rFonts w:asciiTheme="minorHAnsi" w:eastAsiaTheme="minorEastAsia" w:hAnsiTheme="minorHAnsi" w:cstheme="minorBidi"/>
              <w:b w:val="0"/>
              <w:noProof/>
              <w:sz w:val="22"/>
              <w:lang w:eastAsia="en-AU"/>
            </w:rPr>
          </w:pPr>
          <w:hyperlink w:anchor="_Toc380568281" w:history="1">
            <w:r w:rsidRPr="000261FF">
              <w:rPr>
                <w:rStyle w:val="Hyperlink"/>
                <w:noProof/>
              </w:rPr>
              <w:t>V. Pharmacovigilance findings</w:t>
            </w:r>
            <w:r>
              <w:rPr>
                <w:noProof/>
                <w:webHidden/>
              </w:rPr>
              <w:tab/>
            </w:r>
            <w:r>
              <w:rPr>
                <w:noProof/>
                <w:webHidden/>
              </w:rPr>
              <w:fldChar w:fldCharType="begin"/>
            </w:r>
            <w:r>
              <w:rPr>
                <w:noProof/>
                <w:webHidden/>
              </w:rPr>
              <w:instrText xml:space="preserve"> PAGEREF _Toc380568281 \h </w:instrText>
            </w:r>
            <w:r>
              <w:rPr>
                <w:noProof/>
                <w:webHidden/>
              </w:rPr>
            </w:r>
            <w:r>
              <w:rPr>
                <w:noProof/>
                <w:webHidden/>
              </w:rPr>
              <w:fldChar w:fldCharType="separate"/>
            </w:r>
            <w:r>
              <w:rPr>
                <w:noProof/>
                <w:webHidden/>
              </w:rPr>
              <w:t>23</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82" w:history="1">
            <w:r w:rsidRPr="000261FF">
              <w:rPr>
                <w:rStyle w:val="Hyperlink"/>
                <w:noProof/>
                <w:lang w:eastAsia="en-AU"/>
              </w:rPr>
              <w:t>Risk management plan</w:t>
            </w:r>
            <w:r>
              <w:rPr>
                <w:noProof/>
                <w:webHidden/>
              </w:rPr>
              <w:tab/>
            </w:r>
            <w:r>
              <w:rPr>
                <w:noProof/>
                <w:webHidden/>
              </w:rPr>
              <w:fldChar w:fldCharType="begin"/>
            </w:r>
            <w:r>
              <w:rPr>
                <w:noProof/>
                <w:webHidden/>
              </w:rPr>
              <w:instrText xml:space="preserve"> PAGEREF _Toc380568282 \h </w:instrText>
            </w:r>
            <w:r>
              <w:rPr>
                <w:noProof/>
                <w:webHidden/>
              </w:rPr>
            </w:r>
            <w:r>
              <w:rPr>
                <w:noProof/>
                <w:webHidden/>
              </w:rPr>
              <w:fldChar w:fldCharType="separate"/>
            </w:r>
            <w:r>
              <w:rPr>
                <w:noProof/>
                <w:webHidden/>
              </w:rPr>
              <w:t>23</w:t>
            </w:r>
            <w:r>
              <w:rPr>
                <w:noProof/>
                <w:webHidden/>
              </w:rPr>
              <w:fldChar w:fldCharType="end"/>
            </w:r>
          </w:hyperlink>
        </w:p>
        <w:p w:rsidR="00B074B5" w:rsidRDefault="00B074B5">
          <w:pPr>
            <w:pStyle w:val="TOC2"/>
            <w:rPr>
              <w:rFonts w:asciiTheme="minorHAnsi" w:eastAsiaTheme="minorEastAsia" w:hAnsiTheme="minorHAnsi" w:cstheme="minorBidi"/>
              <w:b w:val="0"/>
              <w:noProof/>
              <w:sz w:val="22"/>
              <w:lang w:eastAsia="en-AU"/>
            </w:rPr>
          </w:pPr>
          <w:hyperlink w:anchor="_Toc380568283" w:history="1">
            <w:r w:rsidRPr="000261FF">
              <w:rPr>
                <w:rStyle w:val="Hyperlink"/>
                <w:noProof/>
              </w:rPr>
              <w:t>VI. Overall conclusion and risk/benefit assessment</w:t>
            </w:r>
            <w:r>
              <w:rPr>
                <w:noProof/>
                <w:webHidden/>
              </w:rPr>
              <w:tab/>
            </w:r>
            <w:r>
              <w:rPr>
                <w:noProof/>
                <w:webHidden/>
              </w:rPr>
              <w:fldChar w:fldCharType="begin"/>
            </w:r>
            <w:r>
              <w:rPr>
                <w:noProof/>
                <w:webHidden/>
              </w:rPr>
              <w:instrText xml:space="preserve"> PAGEREF _Toc380568283 \h </w:instrText>
            </w:r>
            <w:r>
              <w:rPr>
                <w:noProof/>
                <w:webHidden/>
              </w:rPr>
            </w:r>
            <w:r>
              <w:rPr>
                <w:noProof/>
                <w:webHidden/>
              </w:rPr>
              <w:fldChar w:fldCharType="separate"/>
            </w:r>
            <w:r>
              <w:rPr>
                <w:noProof/>
                <w:webHidden/>
              </w:rPr>
              <w:t>26</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84" w:history="1">
            <w:r w:rsidRPr="000261FF">
              <w:rPr>
                <w:rStyle w:val="Hyperlink"/>
                <w:noProof/>
              </w:rPr>
              <w:t>Background</w:t>
            </w:r>
            <w:r>
              <w:rPr>
                <w:noProof/>
                <w:webHidden/>
              </w:rPr>
              <w:tab/>
            </w:r>
            <w:r>
              <w:rPr>
                <w:noProof/>
                <w:webHidden/>
              </w:rPr>
              <w:fldChar w:fldCharType="begin"/>
            </w:r>
            <w:r>
              <w:rPr>
                <w:noProof/>
                <w:webHidden/>
              </w:rPr>
              <w:instrText xml:space="preserve"> PAGEREF _Toc380568284 \h </w:instrText>
            </w:r>
            <w:r>
              <w:rPr>
                <w:noProof/>
                <w:webHidden/>
              </w:rPr>
            </w:r>
            <w:r>
              <w:rPr>
                <w:noProof/>
                <w:webHidden/>
              </w:rPr>
              <w:fldChar w:fldCharType="separate"/>
            </w:r>
            <w:r>
              <w:rPr>
                <w:noProof/>
                <w:webHidden/>
              </w:rPr>
              <w:t>26</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85" w:history="1">
            <w:r w:rsidRPr="000261FF">
              <w:rPr>
                <w:rStyle w:val="Hyperlink"/>
                <w:noProof/>
              </w:rPr>
              <w:t>Quality</w:t>
            </w:r>
            <w:r>
              <w:rPr>
                <w:noProof/>
                <w:webHidden/>
              </w:rPr>
              <w:tab/>
            </w:r>
            <w:r>
              <w:rPr>
                <w:noProof/>
                <w:webHidden/>
              </w:rPr>
              <w:fldChar w:fldCharType="begin"/>
            </w:r>
            <w:r>
              <w:rPr>
                <w:noProof/>
                <w:webHidden/>
              </w:rPr>
              <w:instrText xml:space="preserve"> PAGEREF _Toc380568285 \h </w:instrText>
            </w:r>
            <w:r>
              <w:rPr>
                <w:noProof/>
                <w:webHidden/>
              </w:rPr>
            </w:r>
            <w:r>
              <w:rPr>
                <w:noProof/>
                <w:webHidden/>
              </w:rPr>
              <w:fldChar w:fldCharType="separate"/>
            </w:r>
            <w:r>
              <w:rPr>
                <w:noProof/>
                <w:webHidden/>
              </w:rPr>
              <w:t>26</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86" w:history="1">
            <w:r w:rsidRPr="000261FF">
              <w:rPr>
                <w:rStyle w:val="Hyperlink"/>
                <w:noProof/>
              </w:rPr>
              <w:t>Nonclinical</w:t>
            </w:r>
            <w:r>
              <w:rPr>
                <w:noProof/>
                <w:webHidden/>
              </w:rPr>
              <w:tab/>
            </w:r>
            <w:r>
              <w:rPr>
                <w:noProof/>
                <w:webHidden/>
              </w:rPr>
              <w:fldChar w:fldCharType="begin"/>
            </w:r>
            <w:r>
              <w:rPr>
                <w:noProof/>
                <w:webHidden/>
              </w:rPr>
              <w:instrText xml:space="preserve"> PAGEREF _Toc380568286 \h </w:instrText>
            </w:r>
            <w:r>
              <w:rPr>
                <w:noProof/>
                <w:webHidden/>
              </w:rPr>
            </w:r>
            <w:r>
              <w:rPr>
                <w:noProof/>
                <w:webHidden/>
              </w:rPr>
              <w:fldChar w:fldCharType="separate"/>
            </w:r>
            <w:r>
              <w:rPr>
                <w:noProof/>
                <w:webHidden/>
              </w:rPr>
              <w:t>27</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87" w:history="1">
            <w:r w:rsidRPr="000261FF">
              <w:rPr>
                <w:rStyle w:val="Hyperlink"/>
                <w:noProof/>
              </w:rPr>
              <w:t>Clinical</w:t>
            </w:r>
            <w:r>
              <w:rPr>
                <w:noProof/>
                <w:webHidden/>
              </w:rPr>
              <w:tab/>
            </w:r>
            <w:r>
              <w:rPr>
                <w:noProof/>
                <w:webHidden/>
              </w:rPr>
              <w:fldChar w:fldCharType="begin"/>
            </w:r>
            <w:r>
              <w:rPr>
                <w:noProof/>
                <w:webHidden/>
              </w:rPr>
              <w:instrText xml:space="preserve"> PAGEREF _Toc380568287 \h </w:instrText>
            </w:r>
            <w:r>
              <w:rPr>
                <w:noProof/>
                <w:webHidden/>
              </w:rPr>
            </w:r>
            <w:r>
              <w:rPr>
                <w:noProof/>
                <w:webHidden/>
              </w:rPr>
              <w:fldChar w:fldCharType="separate"/>
            </w:r>
            <w:r>
              <w:rPr>
                <w:noProof/>
                <w:webHidden/>
              </w:rPr>
              <w:t>28</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88" w:history="1">
            <w:r w:rsidRPr="000261FF">
              <w:rPr>
                <w:rStyle w:val="Hyperlink"/>
                <w:noProof/>
                <w:lang w:eastAsia="en-AU"/>
              </w:rPr>
              <w:t>Risk management plan</w:t>
            </w:r>
            <w:r>
              <w:rPr>
                <w:noProof/>
                <w:webHidden/>
              </w:rPr>
              <w:tab/>
            </w:r>
            <w:r>
              <w:rPr>
                <w:noProof/>
                <w:webHidden/>
              </w:rPr>
              <w:fldChar w:fldCharType="begin"/>
            </w:r>
            <w:r>
              <w:rPr>
                <w:noProof/>
                <w:webHidden/>
              </w:rPr>
              <w:instrText xml:space="preserve"> PAGEREF _Toc380568288 \h </w:instrText>
            </w:r>
            <w:r>
              <w:rPr>
                <w:noProof/>
                <w:webHidden/>
              </w:rPr>
            </w:r>
            <w:r>
              <w:rPr>
                <w:noProof/>
                <w:webHidden/>
              </w:rPr>
              <w:fldChar w:fldCharType="separate"/>
            </w:r>
            <w:r>
              <w:rPr>
                <w:noProof/>
                <w:webHidden/>
              </w:rPr>
              <w:t>36</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89" w:history="1">
            <w:r w:rsidRPr="000261FF">
              <w:rPr>
                <w:rStyle w:val="Hyperlink"/>
                <w:noProof/>
              </w:rPr>
              <w:t>Risk-benefit analysis</w:t>
            </w:r>
            <w:r>
              <w:rPr>
                <w:noProof/>
                <w:webHidden/>
              </w:rPr>
              <w:tab/>
            </w:r>
            <w:r>
              <w:rPr>
                <w:noProof/>
                <w:webHidden/>
              </w:rPr>
              <w:fldChar w:fldCharType="begin"/>
            </w:r>
            <w:r>
              <w:rPr>
                <w:noProof/>
                <w:webHidden/>
              </w:rPr>
              <w:instrText xml:space="preserve"> PAGEREF _Toc380568289 \h </w:instrText>
            </w:r>
            <w:r>
              <w:rPr>
                <w:noProof/>
                <w:webHidden/>
              </w:rPr>
            </w:r>
            <w:r>
              <w:rPr>
                <w:noProof/>
                <w:webHidden/>
              </w:rPr>
              <w:fldChar w:fldCharType="separate"/>
            </w:r>
            <w:r>
              <w:rPr>
                <w:noProof/>
                <w:webHidden/>
              </w:rPr>
              <w:t>36</w:t>
            </w:r>
            <w:r>
              <w:rPr>
                <w:noProof/>
                <w:webHidden/>
              </w:rPr>
              <w:fldChar w:fldCharType="end"/>
            </w:r>
          </w:hyperlink>
        </w:p>
        <w:p w:rsidR="00B074B5" w:rsidRDefault="00B074B5">
          <w:pPr>
            <w:pStyle w:val="TOC3"/>
            <w:rPr>
              <w:rFonts w:asciiTheme="minorHAnsi" w:eastAsiaTheme="minorEastAsia" w:hAnsiTheme="minorHAnsi" w:cstheme="minorBidi"/>
              <w:noProof/>
              <w:lang w:eastAsia="en-AU"/>
            </w:rPr>
          </w:pPr>
          <w:hyperlink w:anchor="_Toc380568290" w:history="1">
            <w:r w:rsidRPr="000261FF">
              <w:rPr>
                <w:rStyle w:val="Hyperlink"/>
                <w:noProof/>
              </w:rPr>
              <w:t>Outcome</w:t>
            </w:r>
            <w:r>
              <w:rPr>
                <w:noProof/>
                <w:webHidden/>
              </w:rPr>
              <w:tab/>
            </w:r>
            <w:r>
              <w:rPr>
                <w:noProof/>
                <w:webHidden/>
              </w:rPr>
              <w:fldChar w:fldCharType="begin"/>
            </w:r>
            <w:r>
              <w:rPr>
                <w:noProof/>
                <w:webHidden/>
              </w:rPr>
              <w:instrText xml:space="preserve"> PAGEREF _Toc380568290 \h </w:instrText>
            </w:r>
            <w:r>
              <w:rPr>
                <w:noProof/>
                <w:webHidden/>
              </w:rPr>
            </w:r>
            <w:r>
              <w:rPr>
                <w:noProof/>
                <w:webHidden/>
              </w:rPr>
              <w:fldChar w:fldCharType="separate"/>
            </w:r>
            <w:r>
              <w:rPr>
                <w:noProof/>
                <w:webHidden/>
              </w:rPr>
              <w:t>38</w:t>
            </w:r>
            <w:r>
              <w:rPr>
                <w:noProof/>
                <w:webHidden/>
              </w:rPr>
              <w:fldChar w:fldCharType="end"/>
            </w:r>
          </w:hyperlink>
        </w:p>
        <w:p w:rsidR="00B074B5" w:rsidRDefault="00B074B5">
          <w:pPr>
            <w:pStyle w:val="TOC2"/>
            <w:tabs>
              <w:tab w:val="left" w:pos="2448"/>
            </w:tabs>
            <w:rPr>
              <w:rFonts w:asciiTheme="minorHAnsi" w:eastAsiaTheme="minorEastAsia" w:hAnsiTheme="minorHAnsi" w:cstheme="minorBidi"/>
              <w:b w:val="0"/>
              <w:noProof/>
              <w:sz w:val="22"/>
              <w:lang w:eastAsia="en-AU"/>
            </w:rPr>
          </w:pPr>
          <w:hyperlink w:anchor="_Toc380568291" w:history="1">
            <w:r w:rsidRPr="000261FF">
              <w:rPr>
                <w:rStyle w:val="Hyperlink"/>
                <w:noProof/>
              </w:rPr>
              <w:t>Attachment 1.</w:t>
            </w:r>
            <w:r>
              <w:rPr>
                <w:rFonts w:asciiTheme="minorHAnsi" w:eastAsiaTheme="minorEastAsia" w:hAnsiTheme="minorHAnsi" w:cstheme="minorBidi"/>
                <w:b w:val="0"/>
                <w:noProof/>
                <w:sz w:val="22"/>
                <w:lang w:eastAsia="en-AU"/>
              </w:rPr>
              <w:tab/>
            </w:r>
            <w:r w:rsidRPr="000261FF">
              <w:rPr>
                <w:rStyle w:val="Hyperlink"/>
                <w:noProof/>
              </w:rPr>
              <w:t>Product Information</w:t>
            </w:r>
            <w:r>
              <w:rPr>
                <w:noProof/>
                <w:webHidden/>
              </w:rPr>
              <w:tab/>
            </w:r>
            <w:r>
              <w:rPr>
                <w:noProof/>
                <w:webHidden/>
              </w:rPr>
              <w:fldChar w:fldCharType="begin"/>
            </w:r>
            <w:r>
              <w:rPr>
                <w:noProof/>
                <w:webHidden/>
              </w:rPr>
              <w:instrText xml:space="preserve"> PAGEREF _Toc380568291 \h </w:instrText>
            </w:r>
            <w:r>
              <w:rPr>
                <w:noProof/>
                <w:webHidden/>
              </w:rPr>
            </w:r>
            <w:r>
              <w:rPr>
                <w:noProof/>
                <w:webHidden/>
              </w:rPr>
              <w:fldChar w:fldCharType="separate"/>
            </w:r>
            <w:r>
              <w:rPr>
                <w:noProof/>
                <w:webHidden/>
              </w:rPr>
              <w:t>39</w:t>
            </w:r>
            <w:r>
              <w:rPr>
                <w:noProof/>
                <w:webHidden/>
              </w:rPr>
              <w:fldChar w:fldCharType="end"/>
            </w:r>
          </w:hyperlink>
        </w:p>
        <w:p w:rsidR="003A7F6C" w:rsidRPr="00B811C6" w:rsidRDefault="00B074B5" w:rsidP="00B811C6">
          <w:pPr>
            <w:pStyle w:val="TOC2"/>
          </w:pPr>
          <w:hyperlink w:anchor="_Toc380568292" w:history="1">
            <w:r w:rsidRPr="000261FF">
              <w:rPr>
                <w:rStyle w:val="Hyperlink"/>
                <w:noProof/>
                <w:lang w:eastAsia="en-AU"/>
              </w:rPr>
              <w:t xml:space="preserve">Attachment 2. Extract </w:t>
            </w:r>
            <w:r w:rsidRPr="000261FF">
              <w:rPr>
                <w:rStyle w:val="Hyperlink"/>
                <w:noProof/>
              </w:rPr>
              <w:t>from</w:t>
            </w:r>
            <w:r w:rsidRPr="000261FF">
              <w:rPr>
                <w:rStyle w:val="Hyperlink"/>
                <w:noProof/>
                <w:lang w:eastAsia="en-AU"/>
              </w:rPr>
              <w:t xml:space="preserve"> the Clinical Evaluation Report</w:t>
            </w:r>
            <w:r>
              <w:rPr>
                <w:noProof/>
                <w:webHidden/>
              </w:rPr>
              <w:tab/>
            </w:r>
            <w:r>
              <w:rPr>
                <w:noProof/>
                <w:webHidden/>
              </w:rPr>
              <w:fldChar w:fldCharType="begin"/>
            </w:r>
            <w:r>
              <w:rPr>
                <w:noProof/>
                <w:webHidden/>
              </w:rPr>
              <w:instrText xml:space="preserve"> PAGEREF _Toc380568292 \h </w:instrText>
            </w:r>
            <w:r>
              <w:rPr>
                <w:noProof/>
                <w:webHidden/>
              </w:rPr>
            </w:r>
            <w:r>
              <w:rPr>
                <w:noProof/>
                <w:webHidden/>
              </w:rPr>
              <w:fldChar w:fldCharType="separate"/>
            </w:r>
            <w:r>
              <w:rPr>
                <w:noProof/>
                <w:webHidden/>
              </w:rPr>
              <w:t>39</w:t>
            </w:r>
            <w:r>
              <w:rPr>
                <w:noProof/>
                <w:webHidden/>
              </w:rPr>
              <w:fldChar w:fldCharType="end"/>
            </w:r>
          </w:hyperlink>
          <w:r w:rsidR="00DC5C6F">
            <w:fldChar w:fldCharType="end"/>
          </w:r>
        </w:p>
        <w:bookmarkStart w:id="2" w:name="_GoBack" w:displacedByCustomXml="next"/>
        <w:bookmarkEnd w:id="2" w:displacedByCustomXml="next"/>
      </w:sdtContent>
    </w:sdt>
    <w:bookmarkStart w:id="3" w:name="_Toc314842482" w:displacedByCustomXml="prev"/>
    <w:p w:rsidR="008E7846" w:rsidRDefault="00F53C07" w:rsidP="00620EF4">
      <w:pPr>
        <w:pStyle w:val="Heading2"/>
      </w:pPr>
      <w:bookmarkStart w:id="4" w:name="_Toc380568254"/>
      <w:r>
        <w:t>I.</w:t>
      </w:r>
      <w:r w:rsidR="008E7846">
        <w:t xml:space="preserve"> Introduction to product submission</w:t>
      </w:r>
      <w:bookmarkEnd w:id="0"/>
      <w:bookmarkEnd w:id="3"/>
      <w:bookmarkEnd w:id="4"/>
    </w:p>
    <w:p w:rsidR="008E7846" w:rsidRDefault="008E7846" w:rsidP="008E7846">
      <w:pPr>
        <w:pStyle w:val="Heading3"/>
        <w:rPr>
          <w:lang w:eastAsia="en-AU"/>
        </w:rPr>
      </w:pPr>
      <w:bookmarkStart w:id="5" w:name="_Toc247691502"/>
      <w:bookmarkStart w:id="6" w:name="_Toc314842483"/>
      <w:bookmarkStart w:id="7" w:name="_Toc380568255"/>
      <w:r>
        <w:rPr>
          <w:lang w:eastAsia="en-AU"/>
        </w:rPr>
        <w:t>Submission details</w:t>
      </w:r>
      <w:bookmarkEnd w:id="5"/>
      <w:bookmarkEnd w:id="6"/>
      <w:bookmarkEnd w:id="7"/>
    </w:p>
    <w:tbl>
      <w:tblPr>
        <w:tblW w:w="9214" w:type="dxa"/>
        <w:tblInd w:w="108" w:type="dxa"/>
        <w:tblLook w:val="01E0" w:firstRow="1" w:lastRow="1" w:firstColumn="1" w:lastColumn="1" w:noHBand="0" w:noVBand="0"/>
      </w:tblPr>
      <w:tblGrid>
        <w:gridCol w:w="2907"/>
        <w:gridCol w:w="6307"/>
      </w:tblGrid>
      <w:tr w:rsidR="008E7846" w:rsidRPr="003D1E62" w:rsidTr="004251D5">
        <w:trPr>
          <w:trHeight w:hRule="exact" w:val="611"/>
        </w:trPr>
        <w:tc>
          <w:tcPr>
            <w:tcW w:w="2907" w:type="dxa"/>
          </w:tcPr>
          <w:p w:rsidR="008E7846" w:rsidRPr="003D1E62" w:rsidRDefault="008E7846" w:rsidP="00620EF4">
            <w:pPr>
              <w:rPr>
                <w:i/>
              </w:rPr>
            </w:pPr>
            <w:r w:rsidRPr="003D1E62">
              <w:rPr>
                <w:i/>
              </w:rPr>
              <w:t xml:space="preserve">Type of </w:t>
            </w:r>
            <w:r w:rsidR="00620EF4">
              <w:rPr>
                <w:i/>
              </w:rPr>
              <w:t>s</w:t>
            </w:r>
            <w:r w:rsidRPr="003D1E62">
              <w:rPr>
                <w:i/>
              </w:rPr>
              <w:t>ubmission</w:t>
            </w:r>
            <w:r w:rsidR="0011678D">
              <w:rPr>
                <w:i/>
              </w:rPr>
              <w:t>:</w:t>
            </w:r>
          </w:p>
        </w:tc>
        <w:tc>
          <w:tcPr>
            <w:tcW w:w="6307" w:type="dxa"/>
          </w:tcPr>
          <w:p w:rsidR="008E7846" w:rsidRPr="003D1E62" w:rsidRDefault="000447FF" w:rsidP="00DC4470">
            <w:r>
              <w:t>Major variation: n</w:t>
            </w:r>
            <w:r w:rsidR="008E7846" w:rsidRPr="003D1E62">
              <w:t xml:space="preserve">ew </w:t>
            </w:r>
            <w:r w:rsidR="00F91480">
              <w:t>s</w:t>
            </w:r>
            <w:r w:rsidR="008E7846" w:rsidRPr="003D1E62">
              <w:t>trength</w:t>
            </w:r>
            <w:r w:rsidR="00F91480">
              <w:t xml:space="preserve">, </w:t>
            </w:r>
            <w:r>
              <w:t xml:space="preserve">new </w:t>
            </w:r>
            <w:r w:rsidR="00F91480">
              <w:t>indication</w:t>
            </w:r>
            <w:r w:rsidR="00DC4470">
              <w:t>, modified deliver system</w:t>
            </w:r>
          </w:p>
        </w:tc>
      </w:tr>
      <w:tr w:rsidR="008E7846" w:rsidRPr="003D1E62" w:rsidTr="004251D5">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620EF4" w:rsidP="0011678D">
            <w:r>
              <w:t>Approved</w:t>
            </w:r>
          </w:p>
        </w:tc>
      </w:tr>
      <w:tr w:rsidR="008E7846" w:rsidRPr="003D1E62" w:rsidTr="004251D5">
        <w:trPr>
          <w:trHeight w:hRule="exact" w:val="454"/>
        </w:trPr>
        <w:tc>
          <w:tcPr>
            <w:tcW w:w="2907" w:type="dxa"/>
          </w:tcPr>
          <w:p w:rsidR="008E7846" w:rsidRPr="003D1E62" w:rsidRDefault="008E7846" w:rsidP="00620EF4">
            <w:pPr>
              <w:rPr>
                <w:i/>
              </w:rPr>
            </w:pPr>
            <w:r w:rsidRPr="003D1E62">
              <w:rPr>
                <w:i/>
              </w:rPr>
              <w:t xml:space="preserve">Date of </w:t>
            </w:r>
            <w:r w:rsidR="00620EF4">
              <w:rPr>
                <w:i/>
              </w:rPr>
              <w:t>d</w:t>
            </w:r>
            <w:r w:rsidRPr="003D1E62">
              <w:rPr>
                <w:i/>
              </w:rPr>
              <w:t>ecision:</w:t>
            </w:r>
          </w:p>
        </w:tc>
        <w:tc>
          <w:tcPr>
            <w:tcW w:w="6307" w:type="dxa"/>
          </w:tcPr>
          <w:p w:rsidR="008E7846" w:rsidRPr="003D1E62" w:rsidRDefault="0011678D" w:rsidP="003D1E62">
            <w:r>
              <w:t>10 September 2013</w:t>
            </w:r>
          </w:p>
        </w:tc>
      </w:tr>
      <w:tr w:rsidR="008E7846" w:rsidRPr="00487162" w:rsidTr="00BF1190">
        <w:tc>
          <w:tcPr>
            <w:tcW w:w="2907" w:type="dxa"/>
          </w:tcPr>
          <w:p w:rsidR="008E7846" w:rsidRPr="00487162" w:rsidRDefault="0011678D" w:rsidP="00E45619">
            <w:pPr>
              <w:rPr>
                <w:i/>
              </w:rPr>
            </w:pPr>
            <w:r>
              <w:rPr>
                <w:i/>
              </w:rPr>
              <w:t>Active ingredient</w:t>
            </w:r>
            <w:r w:rsidR="008E7846" w:rsidRPr="00487162">
              <w:rPr>
                <w:i/>
              </w:rPr>
              <w:t xml:space="preserve">: </w:t>
            </w:r>
          </w:p>
        </w:tc>
        <w:tc>
          <w:tcPr>
            <w:tcW w:w="6307" w:type="dxa"/>
          </w:tcPr>
          <w:p w:rsidR="008E7846" w:rsidRPr="00487162" w:rsidRDefault="0011678D" w:rsidP="00E45619">
            <w:r>
              <w:t>L</w:t>
            </w:r>
            <w:r w:rsidRPr="0011678D">
              <w:t>evonorgestrel</w:t>
            </w:r>
          </w:p>
        </w:tc>
      </w:tr>
      <w:tr w:rsidR="008E7846" w:rsidRPr="00487162" w:rsidTr="00BF1190">
        <w:tc>
          <w:tcPr>
            <w:tcW w:w="2907" w:type="dxa"/>
          </w:tcPr>
          <w:p w:rsidR="008E7846" w:rsidRPr="00487162" w:rsidRDefault="0011678D" w:rsidP="00620EF4">
            <w:pPr>
              <w:rPr>
                <w:i/>
              </w:rPr>
            </w:pPr>
            <w:r>
              <w:rPr>
                <w:i/>
              </w:rPr>
              <w:t xml:space="preserve">Product </w:t>
            </w:r>
            <w:r w:rsidR="00620EF4">
              <w:rPr>
                <w:i/>
              </w:rPr>
              <w:t>n</w:t>
            </w:r>
            <w:r>
              <w:rPr>
                <w:i/>
              </w:rPr>
              <w:t>ame</w:t>
            </w:r>
            <w:r w:rsidR="008E7846" w:rsidRPr="00487162">
              <w:rPr>
                <w:i/>
              </w:rPr>
              <w:t xml:space="preserve">: </w:t>
            </w:r>
          </w:p>
        </w:tc>
        <w:tc>
          <w:tcPr>
            <w:tcW w:w="6307" w:type="dxa"/>
          </w:tcPr>
          <w:p w:rsidR="008E7846" w:rsidRPr="00487162" w:rsidRDefault="0011678D" w:rsidP="0011678D">
            <w:r>
              <w:t>Jaydess</w:t>
            </w:r>
          </w:p>
        </w:tc>
      </w:tr>
      <w:tr w:rsidR="008E7846" w:rsidRPr="00487162" w:rsidTr="00BF1190">
        <w:tc>
          <w:tcPr>
            <w:tcW w:w="2907" w:type="dxa"/>
          </w:tcPr>
          <w:p w:rsidR="008E7846" w:rsidRPr="00487162" w:rsidRDefault="008E7846" w:rsidP="00620EF4">
            <w:pPr>
              <w:rPr>
                <w:i/>
              </w:rPr>
            </w:pPr>
            <w:r w:rsidRPr="00487162">
              <w:rPr>
                <w:i/>
              </w:rPr>
              <w:t xml:space="preserve">Sponsor’s </w:t>
            </w:r>
            <w:r w:rsidR="00620EF4">
              <w:rPr>
                <w:i/>
              </w:rPr>
              <w:t>n</w:t>
            </w:r>
            <w:r w:rsidRPr="00487162">
              <w:rPr>
                <w:i/>
              </w:rPr>
              <w:t xml:space="preserve">ame and </w:t>
            </w:r>
            <w:r w:rsidR="00620EF4">
              <w:rPr>
                <w:i/>
              </w:rPr>
              <w:t>a</w:t>
            </w:r>
            <w:r w:rsidRPr="00487162">
              <w:rPr>
                <w:i/>
              </w:rPr>
              <w:t>ddress:</w:t>
            </w:r>
          </w:p>
        </w:tc>
        <w:tc>
          <w:tcPr>
            <w:tcW w:w="6307" w:type="dxa"/>
          </w:tcPr>
          <w:p w:rsidR="008E7846" w:rsidRPr="00487162" w:rsidRDefault="0011678D" w:rsidP="0011678D">
            <w:r>
              <w:t>Bayer Australia Ltd</w:t>
            </w:r>
            <w:r>
              <w:br/>
            </w:r>
            <w:r w:rsidRPr="0011678D">
              <w:t>875 Pacific Highway</w:t>
            </w:r>
            <w:r>
              <w:br/>
            </w:r>
            <w:r w:rsidRPr="0011678D">
              <w:t>Pymble NSW 2073</w:t>
            </w:r>
          </w:p>
        </w:tc>
      </w:tr>
      <w:tr w:rsidR="008E7846" w:rsidRPr="00487162" w:rsidTr="00BF1190">
        <w:tc>
          <w:tcPr>
            <w:tcW w:w="2907" w:type="dxa"/>
          </w:tcPr>
          <w:p w:rsidR="008E7846" w:rsidRPr="00487162" w:rsidRDefault="00620EF4" w:rsidP="0011678D">
            <w:pPr>
              <w:rPr>
                <w:i/>
              </w:rPr>
            </w:pPr>
            <w:r>
              <w:rPr>
                <w:i/>
              </w:rPr>
              <w:t>Dose form:</w:t>
            </w:r>
          </w:p>
        </w:tc>
        <w:tc>
          <w:tcPr>
            <w:tcW w:w="6307" w:type="dxa"/>
          </w:tcPr>
          <w:p w:rsidR="008E7846" w:rsidRPr="00487162" w:rsidRDefault="0011678D" w:rsidP="00E45619">
            <w:r>
              <w:t>I</w:t>
            </w:r>
            <w:r w:rsidRPr="0011678D">
              <w:t>ntrauterine drug delivery system</w:t>
            </w:r>
          </w:p>
        </w:tc>
      </w:tr>
      <w:tr w:rsidR="008E7846" w:rsidRPr="00487162" w:rsidTr="00BF1190">
        <w:tc>
          <w:tcPr>
            <w:tcW w:w="2907" w:type="dxa"/>
          </w:tcPr>
          <w:p w:rsidR="008E7846" w:rsidRPr="00487162" w:rsidRDefault="00620EF4" w:rsidP="0011678D">
            <w:pPr>
              <w:rPr>
                <w:i/>
              </w:rPr>
            </w:pPr>
            <w:r>
              <w:rPr>
                <w:i/>
              </w:rPr>
              <w:t>Strength:</w:t>
            </w:r>
          </w:p>
        </w:tc>
        <w:tc>
          <w:tcPr>
            <w:tcW w:w="6307" w:type="dxa"/>
          </w:tcPr>
          <w:p w:rsidR="008E7846" w:rsidRPr="00487162" w:rsidRDefault="0011678D" w:rsidP="00E45619">
            <w:r>
              <w:t>13.5 mg</w:t>
            </w:r>
          </w:p>
        </w:tc>
      </w:tr>
      <w:tr w:rsidR="008E7846" w:rsidRPr="00487162" w:rsidTr="00BF1190">
        <w:tc>
          <w:tcPr>
            <w:tcW w:w="2907" w:type="dxa"/>
          </w:tcPr>
          <w:p w:rsidR="008E7846" w:rsidRPr="00487162" w:rsidRDefault="008E7846" w:rsidP="0011678D">
            <w:pPr>
              <w:rPr>
                <w:i/>
              </w:rPr>
            </w:pPr>
            <w:r w:rsidRPr="00487162">
              <w:rPr>
                <w:i/>
              </w:rPr>
              <w:t>Container:</w:t>
            </w:r>
          </w:p>
        </w:tc>
        <w:tc>
          <w:tcPr>
            <w:tcW w:w="6307" w:type="dxa"/>
          </w:tcPr>
          <w:p w:rsidR="008E7846" w:rsidRPr="00487162" w:rsidRDefault="0011678D" w:rsidP="00E45619">
            <w:r>
              <w:t>Sachet</w:t>
            </w:r>
          </w:p>
        </w:tc>
      </w:tr>
      <w:tr w:rsidR="008E7846" w:rsidRPr="00487162" w:rsidTr="00BF1190">
        <w:tc>
          <w:tcPr>
            <w:tcW w:w="2907" w:type="dxa"/>
          </w:tcPr>
          <w:p w:rsidR="008E7846" w:rsidRPr="00487162" w:rsidRDefault="008E7846" w:rsidP="0011678D">
            <w:pPr>
              <w:rPr>
                <w:i/>
              </w:rPr>
            </w:pPr>
            <w:r w:rsidRPr="00487162">
              <w:rPr>
                <w:i/>
              </w:rPr>
              <w:t>Pack size:</w:t>
            </w:r>
          </w:p>
        </w:tc>
        <w:tc>
          <w:tcPr>
            <w:tcW w:w="6307" w:type="dxa"/>
          </w:tcPr>
          <w:p w:rsidR="008E7846" w:rsidRPr="00487162" w:rsidRDefault="0011678D" w:rsidP="00E45619">
            <w:r w:rsidRPr="0011678D">
              <w:t>1 x intrauterine drug delivery system and insertion device.</w:t>
            </w:r>
          </w:p>
        </w:tc>
      </w:tr>
      <w:tr w:rsidR="008E7846" w:rsidRPr="00487162" w:rsidTr="00BF1190">
        <w:tc>
          <w:tcPr>
            <w:tcW w:w="2907" w:type="dxa"/>
          </w:tcPr>
          <w:p w:rsidR="008E7846" w:rsidRPr="00487162" w:rsidRDefault="008E7846" w:rsidP="00620EF4">
            <w:pPr>
              <w:rPr>
                <w:i/>
              </w:rPr>
            </w:pPr>
            <w:r w:rsidRPr="00487162">
              <w:rPr>
                <w:i/>
              </w:rPr>
              <w:t xml:space="preserve">Approved </w:t>
            </w:r>
            <w:r w:rsidR="00620EF4">
              <w:rPr>
                <w:i/>
              </w:rPr>
              <w:t>t</w:t>
            </w:r>
            <w:r w:rsidRPr="00487162">
              <w:rPr>
                <w:i/>
              </w:rPr>
              <w:t>herapeutic use:</w:t>
            </w:r>
          </w:p>
        </w:tc>
        <w:tc>
          <w:tcPr>
            <w:tcW w:w="6307" w:type="dxa"/>
          </w:tcPr>
          <w:p w:rsidR="008E7846" w:rsidRPr="00487162" w:rsidRDefault="0011678D" w:rsidP="00E45619">
            <w:pPr>
              <w:rPr>
                <w:rFonts w:eastAsia="MS Mincho"/>
                <w:lang w:eastAsia="ja-JP"/>
              </w:rPr>
            </w:pPr>
            <w:r w:rsidRPr="0011678D">
              <w:t>Contraception for up to 3 years.</w:t>
            </w:r>
          </w:p>
        </w:tc>
      </w:tr>
      <w:tr w:rsidR="008E7846" w:rsidRPr="00487162" w:rsidTr="00BF1190">
        <w:tc>
          <w:tcPr>
            <w:tcW w:w="2907" w:type="dxa"/>
          </w:tcPr>
          <w:p w:rsidR="008E7846" w:rsidRPr="00487162" w:rsidRDefault="008E7846" w:rsidP="0011678D">
            <w:pPr>
              <w:rPr>
                <w:i/>
              </w:rPr>
            </w:pPr>
            <w:r w:rsidRPr="00487162">
              <w:rPr>
                <w:i/>
              </w:rPr>
              <w:t>Route of administration:</w:t>
            </w:r>
          </w:p>
        </w:tc>
        <w:tc>
          <w:tcPr>
            <w:tcW w:w="6307" w:type="dxa"/>
          </w:tcPr>
          <w:p w:rsidR="008E7846" w:rsidRPr="00487162" w:rsidRDefault="00F91480" w:rsidP="00E45619">
            <w:r>
              <w:t>I</w:t>
            </w:r>
            <w:r w:rsidRPr="00F91480">
              <w:t>ntrauterine</w:t>
            </w:r>
          </w:p>
        </w:tc>
      </w:tr>
      <w:tr w:rsidR="008E7846" w:rsidRPr="00487162" w:rsidTr="00BF1190">
        <w:tc>
          <w:tcPr>
            <w:tcW w:w="2907" w:type="dxa"/>
          </w:tcPr>
          <w:p w:rsidR="008E7846" w:rsidRPr="00487162" w:rsidRDefault="008E7846" w:rsidP="00E45619">
            <w:pPr>
              <w:rPr>
                <w:i/>
              </w:rPr>
            </w:pPr>
            <w:r w:rsidRPr="00487162">
              <w:rPr>
                <w:i/>
              </w:rPr>
              <w:t>Dosage</w:t>
            </w:r>
            <w:r w:rsidR="00AB09E1">
              <w:rPr>
                <w:i/>
              </w:rPr>
              <w:t xml:space="preserve"> (abbreviated)</w:t>
            </w:r>
            <w:r w:rsidRPr="00487162">
              <w:rPr>
                <w:i/>
              </w:rPr>
              <w:t>:</w:t>
            </w:r>
          </w:p>
        </w:tc>
        <w:tc>
          <w:tcPr>
            <w:tcW w:w="6307" w:type="dxa"/>
          </w:tcPr>
          <w:p w:rsidR="008E7846" w:rsidRPr="00487162" w:rsidRDefault="00AB09E1" w:rsidP="00AB09E1">
            <w:r w:rsidRPr="00AB09E1">
              <w:t>Jaydess is inserted into the uterine cavity and is effective for up to three years</w:t>
            </w:r>
            <w:r w:rsidR="00620EF4">
              <w:t>.</w:t>
            </w:r>
          </w:p>
        </w:tc>
      </w:tr>
      <w:tr w:rsidR="008E7846" w:rsidRPr="00487162" w:rsidTr="00BF1190">
        <w:tc>
          <w:tcPr>
            <w:tcW w:w="2907" w:type="dxa"/>
          </w:tcPr>
          <w:p w:rsidR="008E7846" w:rsidRPr="00487162" w:rsidRDefault="008E7846" w:rsidP="00620EF4">
            <w:pPr>
              <w:rPr>
                <w:i/>
              </w:rPr>
            </w:pPr>
            <w:r w:rsidRPr="00487162">
              <w:rPr>
                <w:i/>
              </w:rPr>
              <w:t xml:space="preserve">ARTG </w:t>
            </w:r>
            <w:r w:rsidR="00620EF4">
              <w:rPr>
                <w:i/>
              </w:rPr>
              <w:t>n</w:t>
            </w:r>
            <w:r w:rsidRPr="00487162">
              <w:rPr>
                <w:i/>
              </w:rPr>
              <w:t>umber</w:t>
            </w:r>
            <w:r w:rsidR="0011678D">
              <w:rPr>
                <w:i/>
              </w:rPr>
              <w:t>:</w:t>
            </w:r>
          </w:p>
        </w:tc>
        <w:tc>
          <w:tcPr>
            <w:tcW w:w="6307" w:type="dxa"/>
          </w:tcPr>
          <w:p w:rsidR="008E7846" w:rsidRPr="00487162" w:rsidRDefault="00F91480" w:rsidP="00E45619">
            <w:r>
              <w:t>200456</w:t>
            </w:r>
          </w:p>
        </w:tc>
      </w:tr>
    </w:tbl>
    <w:p w:rsidR="008E7846" w:rsidRDefault="008E7846" w:rsidP="00620EF4">
      <w:pPr>
        <w:pStyle w:val="Heading3"/>
      </w:pPr>
      <w:bookmarkStart w:id="8" w:name="_Toc247691503"/>
      <w:bookmarkStart w:id="9" w:name="_Toc314842484"/>
      <w:bookmarkStart w:id="10" w:name="_Toc380568256"/>
      <w:r>
        <w:t xml:space="preserve">Product </w:t>
      </w:r>
      <w:r w:rsidRPr="00620EF4">
        <w:t>background</w:t>
      </w:r>
      <w:bookmarkEnd w:id="8"/>
      <w:bookmarkEnd w:id="9"/>
      <w:bookmarkEnd w:id="10"/>
    </w:p>
    <w:p w:rsidR="003D3822" w:rsidRDefault="00DC4470" w:rsidP="00620EF4">
      <w:r w:rsidRPr="00DC4470">
        <w:t xml:space="preserve">Levonorgestrel is </w:t>
      </w:r>
      <w:r>
        <w:t xml:space="preserve">a progestin from the </w:t>
      </w:r>
      <w:r w:rsidRPr="00DC4470">
        <w:t xml:space="preserve">19-nortestosterone </w:t>
      </w:r>
      <w:r>
        <w:t xml:space="preserve">class and is </w:t>
      </w:r>
      <w:r w:rsidRPr="00DC4470">
        <w:t xml:space="preserve">used as the progestin component in oral contraceptives, in hormonal replacement therapy, </w:t>
      </w:r>
      <w:proofErr w:type="spellStart"/>
      <w:r w:rsidRPr="00DC4470">
        <w:t>subdermal</w:t>
      </w:r>
      <w:proofErr w:type="spellEnd"/>
      <w:r w:rsidRPr="00DC4470">
        <w:t xml:space="preserve"> implants and intrauterine </w:t>
      </w:r>
      <w:r>
        <w:t xml:space="preserve">delivery </w:t>
      </w:r>
      <w:r w:rsidR="00620EF4">
        <w:t>systems (IUS).</w:t>
      </w:r>
    </w:p>
    <w:p w:rsidR="009C5D93" w:rsidRDefault="00DC4470" w:rsidP="00620EF4">
      <w:r w:rsidRPr="00DC4470">
        <w:t xml:space="preserve">Mirena </w:t>
      </w:r>
      <w:r>
        <w:t xml:space="preserve">IUS containing </w:t>
      </w:r>
      <w:r w:rsidRPr="00DC4470">
        <w:t xml:space="preserve">52 mg levonorgestrel has been registered </w:t>
      </w:r>
      <w:r>
        <w:t xml:space="preserve">by Bayer Australia Ltd (the sponsor) </w:t>
      </w:r>
      <w:r w:rsidR="003D3822">
        <w:t xml:space="preserve">since July 2000 </w:t>
      </w:r>
      <w:r w:rsidR="003D3822" w:rsidRPr="003D3822">
        <w:t xml:space="preserve">and is currently approved for: </w:t>
      </w:r>
      <w:r w:rsidR="003D3822" w:rsidRPr="003D3822">
        <w:rPr>
          <w:i/>
          <w:iCs/>
        </w:rPr>
        <w:t xml:space="preserve">Contraception. </w:t>
      </w:r>
      <w:proofErr w:type="gramStart"/>
      <w:r w:rsidR="003D3822" w:rsidRPr="003D3822">
        <w:rPr>
          <w:i/>
          <w:iCs/>
        </w:rPr>
        <w:t>Treatment of idiopathic menorrhagia.</w:t>
      </w:r>
      <w:proofErr w:type="gramEnd"/>
      <w:r w:rsidR="003D3822" w:rsidRPr="003D3822">
        <w:rPr>
          <w:i/>
          <w:iCs/>
        </w:rPr>
        <w:t xml:space="preserve"> </w:t>
      </w:r>
      <w:proofErr w:type="gramStart"/>
      <w:r w:rsidR="003D3822" w:rsidRPr="003D3822">
        <w:rPr>
          <w:i/>
          <w:iCs/>
        </w:rPr>
        <w:t>Prevention of endometrial hyperplasia during oestrogen replacement therapy.</w:t>
      </w:r>
      <w:proofErr w:type="gramEnd"/>
      <w:r w:rsidR="003D3822">
        <w:rPr>
          <w:i/>
          <w:iCs/>
        </w:rPr>
        <w:t xml:space="preserve"> </w:t>
      </w:r>
      <w:r w:rsidR="000447FF">
        <w:t xml:space="preserve">This AusPAR describes the application by </w:t>
      </w:r>
      <w:r w:rsidR="000447FF" w:rsidRPr="000447FF">
        <w:t xml:space="preserve">Bayer Australia Ltd </w:t>
      </w:r>
      <w:r w:rsidR="000447FF">
        <w:t xml:space="preserve">to </w:t>
      </w:r>
      <w:r w:rsidR="000447FF" w:rsidRPr="000447FF">
        <w:t>register a low</w:t>
      </w:r>
      <w:r w:rsidR="00075070">
        <w:t>er</w:t>
      </w:r>
      <w:r w:rsidR="000447FF" w:rsidRPr="000447FF">
        <w:t xml:space="preserve"> dose </w:t>
      </w:r>
      <w:r w:rsidR="00075070">
        <w:t>form of Mirena</w:t>
      </w:r>
      <w:r w:rsidR="00B829BC">
        <w:t>,</w:t>
      </w:r>
      <w:r w:rsidR="00075070">
        <w:t xml:space="preserve"> under the product name Jaydess, </w:t>
      </w:r>
      <w:r w:rsidR="000447FF" w:rsidRPr="000447FF">
        <w:t>contain</w:t>
      </w:r>
      <w:r w:rsidR="000447FF">
        <w:t>ing</w:t>
      </w:r>
      <w:r w:rsidR="000447FF" w:rsidRPr="000447FF">
        <w:t xml:space="preserve"> 13.5 mg of levonorgestrel </w:t>
      </w:r>
      <w:r w:rsidR="003D3822">
        <w:t xml:space="preserve">in a delivery system that </w:t>
      </w:r>
      <w:r w:rsidR="00075070" w:rsidRPr="00075070">
        <w:t xml:space="preserve">is smaller in size (smaller insertion tube </w:t>
      </w:r>
      <w:r w:rsidR="00075070" w:rsidRPr="00075070">
        <w:lastRenderedPageBreak/>
        <w:t>diameter and T-frame)</w:t>
      </w:r>
      <w:r w:rsidR="00075070">
        <w:t xml:space="preserve"> compared with the </w:t>
      </w:r>
      <w:r w:rsidR="003D3822">
        <w:t>Mirena</w:t>
      </w:r>
      <w:r w:rsidR="00075070">
        <w:t xml:space="preserve"> IUS</w:t>
      </w:r>
      <w:r w:rsidR="003D3822">
        <w:t xml:space="preserve">. </w:t>
      </w:r>
      <w:r w:rsidR="009C5D93">
        <w:t>Jaydess is proposed for the following indication:</w:t>
      </w:r>
    </w:p>
    <w:p w:rsidR="009C5D93" w:rsidRPr="00B074B5" w:rsidRDefault="009C5D93" w:rsidP="00B074B5">
      <w:pPr>
        <w:ind w:left="720"/>
        <w:rPr>
          <w:i/>
        </w:rPr>
      </w:pPr>
      <w:r w:rsidRPr="00B074B5">
        <w:rPr>
          <w:i/>
        </w:rPr>
        <w:t>Contraception</w:t>
      </w:r>
    </w:p>
    <w:p w:rsidR="00A532ED" w:rsidRDefault="009C5D93" w:rsidP="00620EF4">
      <w:r w:rsidRPr="009C5D93">
        <w:t xml:space="preserve">Jaydess is proposed to provide contraceptive protection over a period of up to three years compared with </w:t>
      </w:r>
      <w:r>
        <w:t xml:space="preserve">up to 5 years with Mirena. </w:t>
      </w:r>
      <w:r w:rsidR="00075070" w:rsidRPr="00075070">
        <w:t xml:space="preserve">The sponsor initially proposed </w:t>
      </w:r>
      <w:r w:rsidR="00075070">
        <w:t xml:space="preserve">to register Jaydess for </w:t>
      </w:r>
      <w:r w:rsidR="00075070" w:rsidRPr="00075070">
        <w:rPr>
          <w:i/>
          <w:iCs/>
        </w:rPr>
        <w:t>contraception for up to 3 years</w:t>
      </w:r>
      <w:r w:rsidR="00075070" w:rsidRPr="00075070">
        <w:t xml:space="preserve"> </w:t>
      </w:r>
      <w:r>
        <w:t xml:space="preserve">but later amended the proposed indication </w:t>
      </w:r>
      <w:r w:rsidR="00075070" w:rsidRPr="00075070">
        <w:t xml:space="preserve">to </w:t>
      </w:r>
      <w:r>
        <w:rPr>
          <w:i/>
          <w:iCs/>
        </w:rPr>
        <w:t>contraception</w:t>
      </w:r>
      <w:r w:rsidR="00075070" w:rsidRPr="00075070">
        <w:rPr>
          <w:i/>
          <w:iCs/>
        </w:rPr>
        <w:t xml:space="preserve"> </w:t>
      </w:r>
      <w:r>
        <w:t xml:space="preserve">for consistency with that </w:t>
      </w:r>
      <w:r w:rsidR="00620EF4">
        <w:t xml:space="preserve">approved for </w:t>
      </w:r>
      <w:proofErr w:type="spellStart"/>
      <w:r w:rsidR="00620EF4">
        <w:t>Mirena</w:t>
      </w:r>
      <w:proofErr w:type="spellEnd"/>
      <w:r w:rsidR="00620EF4">
        <w:t>.</w:t>
      </w:r>
    </w:p>
    <w:p w:rsidR="008E7846" w:rsidRPr="00620EF4" w:rsidRDefault="00386150" w:rsidP="00620EF4">
      <w:pPr>
        <w:pStyle w:val="Heading3"/>
      </w:pPr>
      <w:bookmarkStart w:id="11" w:name="_Toc314842485"/>
      <w:bookmarkStart w:id="12" w:name="_Toc247691504"/>
      <w:bookmarkStart w:id="13" w:name="_Toc380568257"/>
      <w:r>
        <w:t>Regulatory s</w:t>
      </w:r>
      <w:r w:rsidR="008E7846">
        <w:t>tatus</w:t>
      </w:r>
      <w:bookmarkEnd w:id="11"/>
      <w:bookmarkEnd w:id="12"/>
      <w:bookmarkEnd w:id="13"/>
    </w:p>
    <w:p w:rsidR="00AB09E1" w:rsidRDefault="00AB09E1" w:rsidP="00620EF4">
      <w:proofErr w:type="spellStart"/>
      <w:r>
        <w:t>Jaydess</w:t>
      </w:r>
      <w:proofErr w:type="spellEnd"/>
      <w:r>
        <w:t xml:space="preserve"> </w:t>
      </w:r>
      <w:r w:rsidR="008E7846">
        <w:t xml:space="preserve">received initial </w:t>
      </w:r>
      <w:r>
        <w:t>registration on the Australian Register of Therapeutic Goods (</w:t>
      </w:r>
      <w:r w:rsidR="008E7846">
        <w:t>ARTG</w:t>
      </w:r>
      <w:r>
        <w:t>) on 18 September 2013. The higher strength product (Mirena, containing 52 mg levonorgestrel) was r</w:t>
      </w:r>
      <w:r w:rsidR="008E7846">
        <w:t>egist</w:t>
      </w:r>
      <w:r w:rsidR="00833FE9">
        <w:t xml:space="preserve">ered </w:t>
      </w:r>
      <w:r w:rsidR="008E7846">
        <w:t>on</w:t>
      </w:r>
      <w:r w:rsidR="00620EF4">
        <w:t xml:space="preserve"> the ARTG in July 2000.</w:t>
      </w:r>
    </w:p>
    <w:p w:rsidR="00D87328" w:rsidRDefault="00D87328" w:rsidP="00620EF4">
      <w:r>
        <w:t>At the time TGA considered this application, a similar application had been approved in the US (January 2013), Sweden (January 2013), UK (January 2013), Netherlands (March 2013) and Canada (June 2013).</w:t>
      </w:r>
    </w:p>
    <w:p w:rsidR="008E7846" w:rsidRPr="00620EF4" w:rsidRDefault="008E7846" w:rsidP="00620EF4">
      <w:pPr>
        <w:pStyle w:val="Heading3"/>
      </w:pPr>
      <w:bookmarkStart w:id="14" w:name="_Toc247691505"/>
      <w:bookmarkStart w:id="15" w:name="_Toc314842486"/>
      <w:bookmarkStart w:id="16" w:name="_Toc380568258"/>
      <w:r>
        <w:t>Product Information</w:t>
      </w:r>
      <w:bookmarkEnd w:id="14"/>
      <w:bookmarkEnd w:id="15"/>
      <w:bookmarkEnd w:id="16"/>
    </w:p>
    <w:p w:rsidR="008E7846" w:rsidRDefault="008E7846" w:rsidP="00620EF4">
      <w:r>
        <w:t>The approved Product Information (PI) current at the time this AusPAR was prepared can be found as Attachment 1.</w:t>
      </w:r>
      <w:bookmarkStart w:id="17" w:name="_Toc247691506"/>
      <w:bookmarkStart w:id="18" w:name="_Toc314842487"/>
    </w:p>
    <w:p w:rsidR="008E7846" w:rsidRPr="00620EF4" w:rsidRDefault="008E7846" w:rsidP="00620EF4">
      <w:pPr>
        <w:pStyle w:val="Heading2"/>
      </w:pPr>
      <w:bookmarkStart w:id="19" w:name="_Toc380568259"/>
      <w:r>
        <w:t>II. Quality</w:t>
      </w:r>
      <w:bookmarkEnd w:id="1"/>
      <w:r>
        <w:t xml:space="preserve"> findings</w:t>
      </w:r>
      <w:bookmarkEnd w:id="17"/>
      <w:bookmarkEnd w:id="18"/>
      <w:bookmarkEnd w:id="19"/>
    </w:p>
    <w:p w:rsidR="008E7846" w:rsidRPr="00620EF4" w:rsidRDefault="008E7846" w:rsidP="00620EF4">
      <w:pPr>
        <w:pStyle w:val="Heading3"/>
      </w:pPr>
      <w:bookmarkStart w:id="20" w:name="_Toc247691507"/>
      <w:bookmarkStart w:id="21" w:name="_Toc314842488"/>
      <w:bookmarkStart w:id="22" w:name="_Toc380568260"/>
      <w:r w:rsidRPr="008751DC">
        <w:t xml:space="preserve">Drug </w:t>
      </w:r>
      <w:r>
        <w:t>s</w:t>
      </w:r>
      <w:r w:rsidRPr="008751DC">
        <w:t>ubstance</w:t>
      </w:r>
      <w:r>
        <w:t xml:space="preserve"> (active ingredient)</w:t>
      </w:r>
      <w:bookmarkEnd w:id="20"/>
      <w:bookmarkEnd w:id="21"/>
      <w:bookmarkEnd w:id="22"/>
    </w:p>
    <w:p w:rsidR="00C71CDC" w:rsidRDefault="00C71CDC" w:rsidP="00620EF4">
      <w:proofErr w:type="spellStart"/>
      <w:r w:rsidRPr="00C71CDC">
        <w:t>Levonorgestrel</w:t>
      </w:r>
      <w:proofErr w:type="spellEnd"/>
      <w:r w:rsidRPr="00C71CDC">
        <w:t xml:space="preserve"> (structure shown below) is </w:t>
      </w:r>
      <w:proofErr w:type="gramStart"/>
      <w:r w:rsidRPr="00C71CDC">
        <w:t>a second</w:t>
      </w:r>
      <w:proofErr w:type="gramEnd"/>
      <w:r w:rsidRPr="00C71CDC">
        <w:t xml:space="preserve"> generation synthetic progesterone containing 5 chiral centres that is prod</w:t>
      </w:r>
      <w:r w:rsidR="000447FF">
        <w:t xml:space="preserve">uced as a single stereoisomer. </w:t>
      </w:r>
      <w:r w:rsidRPr="00C71CDC">
        <w:t>It is a white to almost white crystalline powder that is practically insoluble in water, sparingly soluble in methylene chloride an</w:t>
      </w:r>
      <w:r w:rsidR="000447FF">
        <w:t xml:space="preserve">d slightly soluble in ethanol. </w:t>
      </w:r>
      <w:r w:rsidRPr="00C71CDC">
        <w:t xml:space="preserve">There is no evidence that the substance exists </w:t>
      </w:r>
      <w:r w:rsidR="00620EF4">
        <w:t>in different polymorphic forms.</w:t>
      </w:r>
    </w:p>
    <w:p w:rsidR="000447FF" w:rsidRPr="00C71CDC" w:rsidRDefault="000447FF" w:rsidP="00620EF4">
      <w:pPr>
        <w:pStyle w:val="FigureTitle"/>
      </w:pPr>
      <w:proofErr w:type="gramStart"/>
      <w:r>
        <w:t>Figure 1.</w:t>
      </w:r>
      <w:proofErr w:type="gramEnd"/>
      <w:r>
        <w:t xml:space="preserve"> Structure of </w:t>
      </w:r>
      <w:proofErr w:type="spellStart"/>
      <w:r w:rsidRPr="00620EF4">
        <w:t>levonorgestrel</w:t>
      </w:r>
      <w:proofErr w:type="spellEnd"/>
    </w:p>
    <w:p w:rsidR="00C71CDC" w:rsidRPr="00C71CDC" w:rsidRDefault="00C71CDC" w:rsidP="00620EF4">
      <w:r w:rsidRPr="00C71CDC">
        <w:rPr>
          <w:noProof/>
          <w:lang w:eastAsia="en-AU"/>
        </w:rPr>
        <w:drawing>
          <wp:inline distT="0" distB="0" distL="0" distR="0" wp14:anchorId="41DCC973" wp14:editId="4E290A82">
            <wp:extent cx="1798320" cy="1127760"/>
            <wp:effectExtent l="19050" t="0" r="0" b="0"/>
            <wp:docPr id="37" name="docImg" descr="Figure 1. Structure of levonorgest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Img" descr="Click to Zoom In"/>
                    <pic:cNvPicPr>
                      <a:picLocks noChangeAspect="1" noChangeArrowheads="1"/>
                    </pic:cNvPicPr>
                  </pic:nvPicPr>
                  <pic:blipFill>
                    <a:blip r:embed="rId14" r:link="rId15" cstate="print"/>
                    <a:srcRect/>
                    <a:stretch>
                      <a:fillRect/>
                    </a:stretch>
                  </pic:blipFill>
                  <pic:spPr bwMode="auto">
                    <a:xfrm>
                      <a:off x="0" y="0"/>
                      <a:ext cx="1798320" cy="1127760"/>
                    </a:xfrm>
                    <a:prstGeom prst="rect">
                      <a:avLst/>
                    </a:prstGeom>
                    <a:noFill/>
                    <a:ln w="9525">
                      <a:noFill/>
                      <a:miter lim="800000"/>
                      <a:headEnd/>
                      <a:tailEnd/>
                    </a:ln>
                  </pic:spPr>
                </pic:pic>
              </a:graphicData>
            </a:graphic>
          </wp:inline>
        </w:drawing>
      </w:r>
    </w:p>
    <w:p w:rsidR="00C71CDC" w:rsidRPr="000447FF" w:rsidRDefault="00C71CDC" w:rsidP="00620EF4">
      <w:r w:rsidRPr="000447FF">
        <w:t>It is manufactured at the same site as the drug substance used for the approved Mirena product and an assurance was provided that all aspects pertaining to the drug substance manufacture are unchanged from those ap</w:t>
      </w:r>
      <w:r w:rsidR="009450D0">
        <w:t xml:space="preserve">proved for the Mirena product. </w:t>
      </w:r>
      <w:r w:rsidRPr="000447FF">
        <w:t xml:space="preserve">The manufacture and quality control according to the relevant </w:t>
      </w:r>
      <w:r w:rsidR="009450D0">
        <w:t>British Pharmacopoeia (</w:t>
      </w:r>
      <w:r w:rsidRPr="000447FF">
        <w:t>BP</w:t>
      </w:r>
      <w:r w:rsidR="009450D0">
        <w:t>)</w:t>
      </w:r>
      <w:r w:rsidRPr="000447FF">
        <w:t xml:space="preserve"> monograph (</w:t>
      </w:r>
      <w:r w:rsidR="009450D0">
        <w:t>European Pharmacopoeia (</w:t>
      </w:r>
      <w:r w:rsidRPr="000447FF">
        <w:t>Ph Eur</w:t>
      </w:r>
      <w:r w:rsidR="009450D0">
        <w:t>)</w:t>
      </w:r>
      <w:r w:rsidRPr="000447FF">
        <w:t xml:space="preserve"> 0926) have been assessed by the European Directorate for the Quality of Medicines and a Certificate of Suitability has been issue</w:t>
      </w:r>
      <w:r w:rsidR="00620EF4">
        <w:t>d.</w:t>
      </w:r>
    </w:p>
    <w:p w:rsidR="008E7846" w:rsidRDefault="008E7846" w:rsidP="00620EF4">
      <w:pPr>
        <w:pStyle w:val="Heading3"/>
      </w:pPr>
      <w:bookmarkStart w:id="23" w:name="_Toc247691508"/>
      <w:bookmarkStart w:id="24" w:name="_Toc314842490"/>
      <w:bookmarkStart w:id="25" w:name="_Toc380568261"/>
      <w:r w:rsidRPr="008751DC">
        <w:lastRenderedPageBreak/>
        <w:t xml:space="preserve">Drug </w:t>
      </w:r>
      <w:r w:rsidRPr="00620EF4">
        <w:t>product</w:t>
      </w:r>
      <w:bookmarkEnd w:id="23"/>
      <w:bookmarkEnd w:id="24"/>
      <w:bookmarkEnd w:id="25"/>
    </w:p>
    <w:p w:rsidR="00C71CDC" w:rsidRPr="009450D0" w:rsidRDefault="00C71CDC" w:rsidP="00620EF4">
      <w:r w:rsidRPr="00C71CDC">
        <w:rPr>
          <w:lang w:eastAsia="ja-JP"/>
        </w:rPr>
        <w:t>The IUS delivery system (illustrated below) comprises a whitish or pale yellow drug reservoir mounted on a vertical stem of a T-shaped low densit</w:t>
      </w:r>
      <w:r w:rsidR="009450D0">
        <w:rPr>
          <w:lang w:eastAsia="ja-JP"/>
        </w:rPr>
        <w:t xml:space="preserve">y polyethylene frame (T-body). </w:t>
      </w:r>
      <w:r w:rsidRPr="00C71CDC">
        <w:rPr>
          <w:lang w:eastAsia="ja-JP"/>
        </w:rPr>
        <w:t>The T-body has two arms at the upper en</w:t>
      </w:r>
      <w:r w:rsidR="009450D0">
        <w:rPr>
          <w:lang w:eastAsia="ja-JP"/>
        </w:rPr>
        <w:t xml:space="preserve">d and a loop at the other end. </w:t>
      </w:r>
      <w:r w:rsidRPr="00C71CDC">
        <w:rPr>
          <w:lang w:eastAsia="ja-JP"/>
        </w:rPr>
        <w:t>A silver ring is attached to the upper part of the vertical stem of the T-body to fa</w:t>
      </w:r>
      <w:r w:rsidR="009450D0">
        <w:rPr>
          <w:lang w:eastAsia="ja-JP"/>
        </w:rPr>
        <w:t xml:space="preserve">cilitate ultrasound detection. </w:t>
      </w:r>
      <w:r w:rsidRPr="00C71CDC">
        <w:rPr>
          <w:lang w:eastAsia="ja-JP"/>
        </w:rPr>
        <w:t>A removal thread is attached to the loop at the end of th</w:t>
      </w:r>
      <w:r w:rsidR="009450D0">
        <w:rPr>
          <w:lang w:eastAsia="ja-JP"/>
        </w:rPr>
        <w:t xml:space="preserve">e vertical stem of the T-body. </w:t>
      </w:r>
      <w:r w:rsidRPr="00C71CDC">
        <w:rPr>
          <w:lang w:eastAsia="ja-JP"/>
        </w:rPr>
        <w:t>The IUS is inserted into the uterus with a preloaded ready-to-use integrat</w:t>
      </w:r>
      <w:r w:rsidR="00E12E0A">
        <w:rPr>
          <w:lang w:eastAsia="ja-JP"/>
        </w:rPr>
        <w:t xml:space="preserve">ed inserter device. </w:t>
      </w:r>
      <w:r w:rsidRPr="009450D0">
        <w:t>The drug reservoir consists of a</w:t>
      </w:r>
      <w:r w:rsidR="009450D0" w:rsidRPr="009450D0">
        <w:t xml:space="preserve"> </w:t>
      </w:r>
      <w:r w:rsidRPr="009450D0">
        <w:t xml:space="preserve">core containing </w:t>
      </w:r>
      <w:proofErr w:type="spellStart"/>
      <w:r w:rsidRPr="009450D0">
        <w:t>levonorgestrel</w:t>
      </w:r>
      <w:proofErr w:type="spellEnd"/>
      <w:r w:rsidR="00E12E0A">
        <w:t>.</w:t>
      </w:r>
    </w:p>
    <w:p w:rsidR="00C71CDC" w:rsidRPr="00620EF4" w:rsidRDefault="009450D0" w:rsidP="00620EF4">
      <w:pPr>
        <w:pStyle w:val="FigureTitle"/>
      </w:pPr>
      <w:proofErr w:type="gramStart"/>
      <w:r>
        <w:rPr>
          <w:lang w:eastAsia="ja-JP"/>
        </w:rPr>
        <w:t>Figure 2.</w:t>
      </w:r>
      <w:proofErr w:type="gramEnd"/>
      <w:r>
        <w:rPr>
          <w:lang w:eastAsia="ja-JP"/>
        </w:rPr>
        <w:t xml:space="preserve"> Schematic illustration of the </w:t>
      </w:r>
      <w:r w:rsidRPr="009450D0">
        <w:rPr>
          <w:lang w:eastAsia="ja-JP"/>
        </w:rPr>
        <w:t>delivery system</w:t>
      </w:r>
    </w:p>
    <w:p w:rsidR="00C71CDC" w:rsidRDefault="007D53A1" w:rsidP="00620EF4">
      <w:pPr>
        <w:rPr>
          <w:lang w:eastAsia="ja-JP"/>
        </w:rPr>
      </w:pPr>
      <w:r>
        <w:rPr>
          <w:noProof/>
          <w:lang w:eastAsia="en-AU"/>
        </w:rPr>
        <w:drawing>
          <wp:inline distT="0" distB="0" distL="0" distR="0" wp14:anchorId="0D648082" wp14:editId="63A2BA8A">
            <wp:extent cx="2282943" cy="1795504"/>
            <wp:effectExtent l="19050" t="0" r="3057" b="0"/>
            <wp:docPr id="5" name="Picture 2" descr="Figure 2. Schematic illustration of the delive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282899" cy="1795469"/>
                    </a:xfrm>
                    <a:prstGeom prst="rect">
                      <a:avLst/>
                    </a:prstGeom>
                    <a:noFill/>
                    <a:ln w="9525">
                      <a:noFill/>
                      <a:miter lim="800000"/>
                      <a:headEnd/>
                      <a:tailEnd/>
                    </a:ln>
                  </pic:spPr>
                </pic:pic>
              </a:graphicData>
            </a:graphic>
          </wp:inline>
        </w:drawing>
      </w:r>
    </w:p>
    <w:p w:rsidR="00C71CDC" w:rsidRPr="009450D0" w:rsidRDefault="009450D0" w:rsidP="00620EF4">
      <w:pPr>
        <w:pStyle w:val="FigureTitle"/>
        <w:rPr>
          <w:lang w:eastAsia="ja-JP"/>
        </w:rPr>
      </w:pPr>
      <w:proofErr w:type="gramStart"/>
      <w:r w:rsidRPr="009450D0">
        <w:rPr>
          <w:lang w:eastAsia="ja-JP"/>
        </w:rPr>
        <w:t xml:space="preserve">Figure </w:t>
      </w:r>
      <w:r>
        <w:rPr>
          <w:lang w:eastAsia="ja-JP"/>
        </w:rPr>
        <w:t>3</w:t>
      </w:r>
      <w:r w:rsidRPr="009450D0">
        <w:rPr>
          <w:lang w:eastAsia="ja-JP"/>
        </w:rPr>
        <w:t>.</w:t>
      </w:r>
      <w:proofErr w:type="gramEnd"/>
      <w:r w:rsidRPr="009450D0">
        <w:rPr>
          <w:lang w:eastAsia="ja-JP"/>
        </w:rPr>
        <w:t xml:space="preserve"> Schematic illustration of the </w:t>
      </w:r>
      <w:r w:rsidRPr="00620EF4">
        <w:t>integrated</w:t>
      </w:r>
      <w:r>
        <w:rPr>
          <w:lang w:eastAsia="ja-JP"/>
        </w:rPr>
        <w:t xml:space="preserve"> inserter </w:t>
      </w:r>
    </w:p>
    <w:p w:rsidR="00C71CDC" w:rsidRPr="00C71CDC" w:rsidRDefault="00C71CDC" w:rsidP="00620EF4">
      <w:pPr>
        <w:rPr>
          <w:lang w:eastAsia="ja-JP"/>
        </w:rPr>
      </w:pPr>
      <w:r w:rsidRPr="00C71CDC">
        <w:rPr>
          <w:noProof/>
          <w:lang w:eastAsia="en-AU"/>
        </w:rPr>
        <w:drawing>
          <wp:inline distT="0" distB="0" distL="0" distR="0" wp14:anchorId="4247406E" wp14:editId="427F9F64">
            <wp:extent cx="4063093" cy="1872342"/>
            <wp:effectExtent l="19050" t="0" r="0" b="0"/>
            <wp:docPr id="72" name="Picture 72" descr="Figure 3. Schematic illustration of the integrated inse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srcRect t="7527"/>
                    <a:stretch>
                      <a:fillRect/>
                    </a:stretch>
                  </pic:blipFill>
                  <pic:spPr bwMode="auto">
                    <a:xfrm>
                      <a:off x="0" y="0"/>
                      <a:ext cx="4063093" cy="1872342"/>
                    </a:xfrm>
                    <a:prstGeom prst="rect">
                      <a:avLst/>
                    </a:prstGeom>
                    <a:noFill/>
                    <a:ln w="9525">
                      <a:noFill/>
                      <a:miter lim="800000"/>
                      <a:headEnd/>
                      <a:tailEnd/>
                    </a:ln>
                  </pic:spPr>
                </pic:pic>
              </a:graphicData>
            </a:graphic>
          </wp:inline>
        </w:drawing>
      </w:r>
    </w:p>
    <w:p w:rsidR="00C71CDC" w:rsidRPr="00C71CDC" w:rsidRDefault="00C71CDC" w:rsidP="00620EF4">
      <w:pPr>
        <w:rPr>
          <w:lang w:eastAsia="ja-JP"/>
        </w:rPr>
      </w:pPr>
      <w:r w:rsidRPr="00C71CDC">
        <w:rPr>
          <w:lang w:eastAsia="ja-JP"/>
        </w:rPr>
        <w:t xml:space="preserve">The finished product is terminally sterilised and is then packaged in a thermoformed </w:t>
      </w:r>
      <w:proofErr w:type="gramStart"/>
      <w:r w:rsidRPr="00C71CDC">
        <w:rPr>
          <w:lang w:eastAsia="ja-JP"/>
        </w:rPr>
        <w:t>blister</w:t>
      </w:r>
      <w:proofErr w:type="gramEnd"/>
      <w:r w:rsidR="009450D0">
        <w:rPr>
          <w:lang w:eastAsia="ja-JP"/>
        </w:rPr>
        <w:t xml:space="preserve">. </w:t>
      </w:r>
      <w:r w:rsidRPr="00C71CDC">
        <w:rPr>
          <w:lang w:eastAsia="ja-JP"/>
        </w:rPr>
        <w:t>Sterility aspects of the product have been assessed</w:t>
      </w:r>
      <w:r w:rsidR="00620EF4">
        <w:rPr>
          <w:lang w:eastAsia="ja-JP"/>
        </w:rPr>
        <w:t xml:space="preserve"> and found to be acceptable.</w:t>
      </w:r>
    </w:p>
    <w:p w:rsidR="00C71CDC" w:rsidRPr="00C71CDC" w:rsidRDefault="00C71CDC" w:rsidP="00620EF4">
      <w:pPr>
        <w:rPr>
          <w:lang w:eastAsia="ja-JP"/>
        </w:rPr>
      </w:pPr>
      <w:r w:rsidRPr="00C71CDC">
        <w:rPr>
          <w:lang w:eastAsia="ja-JP"/>
        </w:rPr>
        <w:t>The quality of the product is controlled by a specification that includes appropriate limits for the identity, assay and uniformity of dosage of the drug substance as well as limits for drug</w:t>
      </w:r>
      <w:r w:rsidR="009450D0">
        <w:rPr>
          <w:lang w:eastAsia="ja-JP"/>
        </w:rPr>
        <w:t xml:space="preserve"> substance related impurities. </w:t>
      </w:r>
      <w:r w:rsidRPr="00C71CDC">
        <w:rPr>
          <w:lang w:eastAsia="ja-JP"/>
        </w:rPr>
        <w:t>Adequate method details and validation data were provided for all of the proposed tests in the</w:t>
      </w:r>
      <w:r w:rsidR="00620EF4">
        <w:rPr>
          <w:lang w:eastAsia="ja-JP"/>
        </w:rPr>
        <w:t xml:space="preserve"> drug product specification.</w:t>
      </w:r>
    </w:p>
    <w:p w:rsidR="00C71CDC" w:rsidRPr="00C71CDC" w:rsidRDefault="00C71CDC" w:rsidP="00620EF4">
      <w:pPr>
        <w:rPr>
          <w:lang w:eastAsia="ja-JP"/>
        </w:rPr>
      </w:pPr>
      <w:r w:rsidRPr="00C71CDC">
        <w:rPr>
          <w:lang w:eastAsia="ja-JP"/>
        </w:rPr>
        <w:t>Controls are also included for the quality of the intrauterine device, including its appearance, breaking force, recovery of the horizontal arms as well as sealed joint strength and p</w:t>
      </w:r>
      <w:r w:rsidR="009450D0">
        <w:rPr>
          <w:lang w:eastAsia="ja-JP"/>
        </w:rPr>
        <w:t xml:space="preserve">ackaging seal integrity tests. </w:t>
      </w:r>
      <w:r w:rsidRPr="00C71CDC">
        <w:rPr>
          <w:lang w:eastAsia="ja-JP"/>
        </w:rPr>
        <w:t>The Biomaterials and Engineering Section of the TGA has reviewed this application and concluded that a device</w:t>
      </w:r>
      <w:r w:rsidR="009450D0">
        <w:rPr>
          <w:lang w:eastAsia="ja-JP"/>
        </w:rPr>
        <w:t xml:space="preserve"> evaluation i</w:t>
      </w:r>
      <w:r w:rsidR="00620EF4">
        <w:rPr>
          <w:lang w:eastAsia="ja-JP"/>
        </w:rPr>
        <w:t>s not required.</w:t>
      </w:r>
    </w:p>
    <w:p w:rsidR="00C71CDC" w:rsidRPr="00C71CDC" w:rsidRDefault="00C71CDC" w:rsidP="00620EF4">
      <w:pPr>
        <w:rPr>
          <w:lang w:eastAsia="ja-JP"/>
        </w:rPr>
      </w:pPr>
      <w:r w:rsidRPr="00C71CDC">
        <w:rPr>
          <w:lang w:eastAsia="ja-JP"/>
        </w:rPr>
        <w:t xml:space="preserve">A key test in the drug product specification is the </w:t>
      </w:r>
      <w:r w:rsidRPr="00C71CDC">
        <w:rPr>
          <w:i/>
          <w:lang w:eastAsia="ja-JP"/>
        </w:rPr>
        <w:t>in-vitro</w:t>
      </w:r>
      <w:r w:rsidR="00A5228E">
        <w:rPr>
          <w:lang w:eastAsia="ja-JP"/>
        </w:rPr>
        <w:t xml:space="preserve"> release rate. </w:t>
      </w:r>
      <w:r w:rsidRPr="00C71CDC">
        <w:rPr>
          <w:lang w:eastAsia="ja-JP"/>
        </w:rPr>
        <w:t xml:space="preserve">The long term </w:t>
      </w:r>
      <w:r w:rsidRPr="00A5228E">
        <w:rPr>
          <w:i/>
          <w:iCs/>
          <w:lang w:eastAsia="ja-JP"/>
        </w:rPr>
        <w:t>in</w:t>
      </w:r>
      <w:r w:rsidR="00A5228E">
        <w:rPr>
          <w:i/>
          <w:iCs/>
          <w:lang w:eastAsia="ja-JP"/>
        </w:rPr>
        <w:t xml:space="preserve"> </w:t>
      </w:r>
      <w:r w:rsidRPr="00A5228E">
        <w:rPr>
          <w:i/>
          <w:iCs/>
          <w:lang w:eastAsia="ja-JP"/>
        </w:rPr>
        <w:t>vitro</w:t>
      </w:r>
      <w:r w:rsidRPr="00C71CDC">
        <w:rPr>
          <w:lang w:eastAsia="ja-JP"/>
        </w:rPr>
        <w:t xml:space="preserve"> release rate was also studied, over a period of 3 years</w:t>
      </w:r>
      <w:r w:rsidR="00A5228E">
        <w:rPr>
          <w:lang w:eastAsia="ja-JP"/>
        </w:rPr>
        <w:t xml:space="preserve"> </w:t>
      </w:r>
      <w:r w:rsidRPr="00C71CDC">
        <w:rPr>
          <w:lang w:eastAsia="ja-JP"/>
        </w:rPr>
        <w:t xml:space="preserve">in Phase </w:t>
      </w:r>
      <w:r w:rsidR="00A5228E">
        <w:rPr>
          <w:lang w:eastAsia="ja-JP"/>
        </w:rPr>
        <w:t>III</w:t>
      </w:r>
      <w:r w:rsidRPr="00C71CDC">
        <w:rPr>
          <w:lang w:eastAsia="ja-JP"/>
        </w:rPr>
        <w:t xml:space="preserve"> studies</w:t>
      </w:r>
      <w:r w:rsidR="00A5228E">
        <w:rPr>
          <w:noProof/>
          <w:lang w:eastAsia="en-AU" w:bidi="lo-LA"/>
        </w:rPr>
        <w:t>.</w:t>
      </w:r>
    </w:p>
    <w:p w:rsidR="00C71CDC" w:rsidRPr="00A5228E" w:rsidRDefault="00C71CDC" w:rsidP="00620EF4">
      <w:r w:rsidRPr="00A5228E">
        <w:t xml:space="preserve">Stability data were provided to support the proposed shelf life of 24 months at </w:t>
      </w:r>
      <w:r w:rsidR="00A5228E" w:rsidRPr="00A5228E">
        <w:t>30°</w:t>
      </w:r>
      <w:r w:rsidRPr="00A5228E">
        <w:t>C, when the product is stored in the proposed packaging system and protected from</w:t>
      </w:r>
      <w:r w:rsidR="00A5228E">
        <w:t xml:space="preserve"> light. </w:t>
      </w:r>
      <w:r w:rsidRPr="00A5228E">
        <w:t xml:space="preserve">At this stage, both the </w:t>
      </w:r>
      <w:r w:rsidR="00A5228E">
        <w:t xml:space="preserve">PI </w:t>
      </w:r>
      <w:r w:rsidRPr="00A5228E">
        <w:t>and the labels require the addition of a ‘protect from ligh</w:t>
      </w:r>
      <w:r w:rsidR="00620EF4">
        <w:t>t’ statement prior to approval.</w:t>
      </w:r>
    </w:p>
    <w:p w:rsidR="008E7846" w:rsidRDefault="008E7846" w:rsidP="00620EF4">
      <w:pPr>
        <w:pStyle w:val="Heading3"/>
      </w:pPr>
      <w:bookmarkStart w:id="26" w:name="_Toc314842491"/>
      <w:bookmarkStart w:id="27" w:name="_Toc380568262"/>
      <w:proofErr w:type="spellStart"/>
      <w:r w:rsidRPr="00620EF4">
        <w:lastRenderedPageBreak/>
        <w:t>Biopharmaceutics</w:t>
      </w:r>
      <w:bookmarkEnd w:id="26"/>
      <w:bookmarkEnd w:id="27"/>
      <w:proofErr w:type="spellEnd"/>
    </w:p>
    <w:p w:rsidR="00C71CDC" w:rsidRPr="00A5228E" w:rsidRDefault="00C71CDC" w:rsidP="00620EF4">
      <w:r w:rsidRPr="00A5228E">
        <w:t xml:space="preserve">The company has justified not supplying </w:t>
      </w:r>
      <w:proofErr w:type="spellStart"/>
      <w:r w:rsidRPr="00A5228E">
        <w:t>biopharmaceutic</w:t>
      </w:r>
      <w:proofErr w:type="spellEnd"/>
      <w:r w:rsidRPr="00A5228E">
        <w:t xml:space="preserve"> data for the proposed product largely on the basis that it is mainly locally acting with a low (&lt;</w:t>
      </w:r>
      <w:r w:rsidR="00A5228E">
        <w:t xml:space="preserve"> </w:t>
      </w:r>
      <w:r w:rsidRPr="00A5228E">
        <w:t xml:space="preserve">121 </w:t>
      </w:r>
      <w:proofErr w:type="spellStart"/>
      <w:r w:rsidRPr="00A5228E">
        <w:t>ng</w:t>
      </w:r>
      <w:proofErr w:type="spellEnd"/>
      <w:r w:rsidRPr="00A5228E">
        <w:t>/mL) concentrati</w:t>
      </w:r>
      <w:r w:rsidR="00620EF4">
        <w:t xml:space="preserve">on of </w:t>
      </w:r>
      <w:proofErr w:type="spellStart"/>
      <w:r w:rsidR="00620EF4">
        <w:t>levonorgestrel</w:t>
      </w:r>
      <w:proofErr w:type="spellEnd"/>
      <w:r w:rsidR="00620EF4">
        <w:t xml:space="preserve"> in serum.</w:t>
      </w:r>
    </w:p>
    <w:p w:rsidR="00C71CDC" w:rsidRPr="00A5228E" w:rsidRDefault="00C71CDC" w:rsidP="00620EF4">
      <w:r w:rsidRPr="00A5228E">
        <w:t xml:space="preserve">A level A </w:t>
      </w:r>
      <w:r w:rsidR="00A5228E">
        <w:rPr>
          <w:i/>
          <w:iCs/>
        </w:rPr>
        <w:t>in vitro-</w:t>
      </w:r>
      <w:r w:rsidRPr="00A5228E">
        <w:rPr>
          <w:i/>
          <w:iCs/>
        </w:rPr>
        <w:t>in-vivo</w:t>
      </w:r>
      <w:r w:rsidRPr="00A5228E">
        <w:t xml:space="preserve"> correlation was developed using </w:t>
      </w:r>
      <w:r w:rsidRPr="00A5228E">
        <w:rPr>
          <w:i/>
          <w:iCs/>
        </w:rPr>
        <w:t>in vitro</w:t>
      </w:r>
      <w:r w:rsidRPr="00A5228E">
        <w:t xml:space="preserve"> levonorgestrel release data and </w:t>
      </w:r>
      <w:r w:rsidRPr="00A5228E">
        <w:rPr>
          <w:i/>
          <w:iCs/>
        </w:rPr>
        <w:t>ex vivo</w:t>
      </w:r>
      <w:r w:rsidRPr="00A5228E">
        <w:t xml:space="preserve"> residual content data from women in Phase II clinical trials who discontinued the trials prematurely (Study </w:t>
      </w:r>
      <w:r w:rsidR="00A5228E">
        <w:t xml:space="preserve">57411). </w:t>
      </w:r>
      <w:r w:rsidRPr="00A5228E">
        <w:t xml:space="preserve">The IVIVC model was developed by plotting the calculated cumulative percentages of levonorgestrel released </w:t>
      </w:r>
      <w:r w:rsidRPr="00A5228E">
        <w:rPr>
          <w:i/>
          <w:iCs/>
        </w:rPr>
        <w:t>in vivo</w:t>
      </w:r>
      <w:r w:rsidRPr="00A5228E">
        <w:t xml:space="preserve"> (obtained from the measured residual levonorgestrel content data from </w:t>
      </w:r>
      <w:r w:rsidRPr="00A5228E">
        <w:rPr>
          <w:i/>
          <w:iCs/>
        </w:rPr>
        <w:t>ex vivo</w:t>
      </w:r>
      <w:r w:rsidRPr="00A5228E">
        <w:t xml:space="preserve"> IUSs in </w:t>
      </w:r>
      <w:r w:rsidR="00A5228E">
        <w:t>P</w:t>
      </w:r>
      <w:r w:rsidRPr="00A5228E">
        <w:t xml:space="preserve">hase </w:t>
      </w:r>
      <w:r w:rsidR="00A5228E">
        <w:t>II</w:t>
      </w:r>
      <w:r w:rsidRPr="00A5228E">
        <w:t xml:space="preserve">) against the measured cumulative percentages released from </w:t>
      </w:r>
      <w:r w:rsidRPr="00A5228E">
        <w:rPr>
          <w:i/>
          <w:iCs/>
        </w:rPr>
        <w:t>in vitro</w:t>
      </w:r>
      <w:r w:rsidRPr="00A5228E">
        <w:t xml:space="preserve"> release rate samples at the same time points for the two dose variants.</w:t>
      </w:r>
    </w:p>
    <w:p w:rsidR="00C71CDC" w:rsidRPr="00A5228E" w:rsidRDefault="00C71CDC" w:rsidP="00620EF4">
      <w:r w:rsidRPr="00A5228E">
        <w:t xml:space="preserve">A quantitative point-to-point relationship between the calculated </w:t>
      </w:r>
      <w:r w:rsidRPr="00A5228E">
        <w:rPr>
          <w:i/>
          <w:iCs/>
        </w:rPr>
        <w:t>in vivo</w:t>
      </w:r>
      <w:r w:rsidRPr="00A5228E">
        <w:t xml:space="preserve"> and measured </w:t>
      </w:r>
      <w:r w:rsidRPr="00A5228E">
        <w:rPr>
          <w:i/>
          <w:iCs/>
        </w:rPr>
        <w:t>in vitro</w:t>
      </w:r>
      <w:r w:rsidRPr="00A5228E">
        <w:t xml:space="preserve"> release data was obtained by least</w:t>
      </w:r>
      <w:r w:rsidR="00A5228E">
        <w:t xml:space="preserve"> </w:t>
      </w:r>
      <w:r w:rsidRPr="00A5228E">
        <w:t>square regression analysis (Level A correlation). The regression analysis resulted in a linear relationship which fitted the data appropriately</w:t>
      </w:r>
      <w:r w:rsidR="00A5228E">
        <w:t xml:space="preserve">. </w:t>
      </w:r>
      <w:r w:rsidRPr="00A5228E">
        <w:t xml:space="preserve">Acceptable internal and external validation data were provided (Study </w:t>
      </w:r>
      <w:r w:rsidR="00A5228E">
        <w:t xml:space="preserve">57262). </w:t>
      </w:r>
    </w:p>
    <w:p w:rsidR="008E7846" w:rsidRDefault="008E7846" w:rsidP="00620EF4">
      <w:pPr>
        <w:pStyle w:val="Heading3"/>
      </w:pPr>
      <w:bookmarkStart w:id="28" w:name="_Toc314842492"/>
      <w:bookmarkStart w:id="29" w:name="_Toc380568263"/>
      <w:r>
        <w:t xml:space="preserve">Advisory committee </w:t>
      </w:r>
      <w:r w:rsidRPr="00620EF4">
        <w:t>considerations</w:t>
      </w:r>
      <w:bookmarkEnd w:id="28"/>
      <w:bookmarkEnd w:id="29"/>
    </w:p>
    <w:p w:rsidR="00C71CDC" w:rsidRDefault="00C71CDC" w:rsidP="00620EF4">
      <w:r w:rsidRPr="00C71CDC">
        <w:t xml:space="preserve">This submission was not required to go to </w:t>
      </w:r>
      <w:r w:rsidR="00A5228E">
        <w:t>Pharmaceutical Subcommittee (PSC) of the Advisory Committee on Prescription Medicines (ACPM)</w:t>
      </w:r>
      <w:r w:rsidRPr="00C71CDC">
        <w:t>.</w:t>
      </w:r>
    </w:p>
    <w:p w:rsidR="008E7846" w:rsidRPr="008751DC" w:rsidRDefault="008E7846" w:rsidP="00620EF4">
      <w:pPr>
        <w:pStyle w:val="Heading3"/>
      </w:pPr>
      <w:bookmarkStart w:id="30" w:name="_Toc247691509"/>
      <w:bookmarkStart w:id="31" w:name="_Toc314842493"/>
      <w:bookmarkStart w:id="32" w:name="_Toc380568264"/>
      <w:r>
        <w:t>Quality s</w:t>
      </w:r>
      <w:r w:rsidRPr="008751DC">
        <w:t>ummary</w:t>
      </w:r>
      <w:r>
        <w:t xml:space="preserve"> and </w:t>
      </w:r>
      <w:r w:rsidRPr="00620EF4">
        <w:t>conclusions</w:t>
      </w:r>
      <w:bookmarkEnd w:id="30"/>
      <w:bookmarkEnd w:id="31"/>
      <w:bookmarkEnd w:id="32"/>
    </w:p>
    <w:p w:rsidR="00C71CDC" w:rsidRPr="009450D0" w:rsidRDefault="00C71CDC" w:rsidP="00620EF4">
      <w:r w:rsidRPr="009450D0">
        <w:t xml:space="preserve">A device evaluation was not required as advised by the Biomaterials and Engineering section </w:t>
      </w:r>
      <w:r w:rsidR="00DC4470">
        <w:t xml:space="preserve">of TGA </w:t>
      </w:r>
      <w:r w:rsidRPr="009450D0">
        <w:t>upon reviewing the data for this application. In addition, the changes to the applicator (inserter) do not require a device evaluation because it meets the essential principles of a class 1 device.</w:t>
      </w:r>
    </w:p>
    <w:p w:rsidR="00C71CDC" w:rsidRPr="009450D0" w:rsidRDefault="00C71CDC" w:rsidP="00620EF4">
      <w:r w:rsidRPr="009450D0">
        <w:t xml:space="preserve">All issues raised in the </w:t>
      </w:r>
      <w:r w:rsidR="00A5228E">
        <w:t xml:space="preserve">TGA request for further information </w:t>
      </w:r>
      <w:r w:rsidRPr="009450D0">
        <w:t xml:space="preserve">relating to the quality aspects (chemistry and </w:t>
      </w:r>
      <w:r w:rsidR="00A5228E" w:rsidRPr="00A5228E">
        <w:rPr>
          <w:i/>
          <w:iCs/>
        </w:rPr>
        <w:t>in vitro</w:t>
      </w:r>
      <w:r w:rsidR="00A5228E">
        <w:t>-</w:t>
      </w:r>
      <w:r w:rsidR="00A5228E" w:rsidRPr="00A5228E">
        <w:rPr>
          <w:i/>
          <w:iCs/>
        </w:rPr>
        <w:t>in vivo</w:t>
      </w:r>
      <w:r w:rsidR="00A5228E">
        <w:t xml:space="preserve"> correlation</w:t>
      </w:r>
      <w:r w:rsidRPr="009450D0">
        <w:t xml:space="preserve">) of the proposed product have been adequately addressed, and approval can be recommended from </w:t>
      </w:r>
      <w:r w:rsidR="00A5228E">
        <w:t xml:space="preserve">chemistry and quality control </w:t>
      </w:r>
      <w:r w:rsidRPr="009450D0">
        <w:t>perspective, once the following outstanding issues are adequately resolved:</w:t>
      </w:r>
    </w:p>
    <w:p w:rsidR="00C71CDC" w:rsidRPr="009450D0" w:rsidRDefault="00C71CDC" w:rsidP="00620EF4">
      <w:pPr>
        <w:pStyle w:val="ListBullet"/>
      </w:pPr>
      <w:r w:rsidRPr="009450D0">
        <w:t>The PI</w:t>
      </w:r>
      <w:r w:rsidR="00A5228E">
        <w:t xml:space="preserve"> </w:t>
      </w:r>
      <w:r w:rsidRPr="009450D0">
        <w:t xml:space="preserve">and </w:t>
      </w:r>
      <w:r w:rsidR="00A5228E">
        <w:t>l</w:t>
      </w:r>
      <w:r w:rsidRPr="009450D0">
        <w:t xml:space="preserve">abels </w:t>
      </w:r>
      <w:r w:rsidRPr="00620EF4">
        <w:t>require</w:t>
      </w:r>
      <w:r w:rsidRPr="009450D0">
        <w:t xml:space="preserve"> the addition of a “protect from light” statement prior to approval, and</w:t>
      </w:r>
    </w:p>
    <w:p w:rsidR="00C71CDC" w:rsidRPr="009450D0" w:rsidRDefault="00C71CDC" w:rsidP="00620EF4">
      <w:pPr>
        <w:pStyle w:val="ListBullet"/>
      </w:pPr>
      <w:r w:rsidRPr="009450D0">
        <w:t xml:space="preserve">The approach of not </w:t>
      </w:r>
      <w:r w:rsidRPr="00620EF4">
        <w:t>including</w:t>
      </w:r>
      <w:r w:rsidRPr="009450D0">
        <w:t xml:space="preserve"> the drug substance release rate on the sachet label (in contrast to M</w:t>
      </w:r>
      <w:r w:rsidR="00A5228E">
        <w:t xml:space="preserve">irena </w:t>
      </w:r>
      <w:r w:rsidRPr="009450D0">
        <w:t>which has this inclusion) is unresolved, due to the different release rate at different periods for this product, but this has been referred to t</w:t>
      </w:r>
      <w:r w:rsidR="00620EF4">
        <w:t>he clinical unit for comment.</w:t>
      </w:r>
    </w:p>
    <w:p w:rsidR="00C71CDC" w:rsidRPr="009450D0" w:rsidRDefault="00C71CDC" w:rsidP="00620EF4">
      <w:r w:rsidRPr="009450D0">
        <w:t>Approval of the proposed product is recommende</w:t>
      </w:r>
      <w:r w:rsidR="00620EF4">
        <w:t>d from a sterility perspective.</w:t>
      </w:r>
    </w:p>
    <w:p w:rsidR="00C71CDC" w:rsidRPr="009450D0" w:rsidRDefault="00C71CDC" w:rsidP="00620EF4">
      <w:r w:rsidRPr="009450D0">
        <w:t xml:space="preserve">The </w:t>
      </w:r>
      <w:proofErr w:type="spellStart"/>
      <w:r w:rsidRPr="009450D0">
        <w:t>leachables</w:t>
      </w:r>
      <w:proofErr w:type="spellEnd"/>
      <w:r w:rsidRPr="009450D0">
        <w:t xml:space="preserve"> aspect of the product was reviewed by the </w:t>
      </w:r>
      <w:r w:rsidR="00A5228E">
        <w:t xml:space="preserve">TGA </w:t>
      </w:r>
      <w:r w:rsidR="00BF4C33">
        <w:t>t</w:t>
      </w:r>
      <w:r w:rsidRPr="009450D0">
        <w:t>oxicology sectio</w:t>
      </w:r>
      <w:r w:rsidR="00620EF4">
        <w:t>n as a non-clinical evaluation.</w:t>
      </w:r>
    </w:p>
    <w:p w:rsidR="008E7846" w:rsidRDefault="008E7846" w:rsidP="00620EF4">
      <w:pPr>
        <w:pStyle w:val="Heading2"/>
      </w:pPr>
      <w:bookmarkStart w:id="33" w:name="_Toc196046439"/>
      <w:bookmarkStart w:id="34" w:name="_Toc247691510"/>
      <w:bookmarkStart w:id="35" w:name="_Toc314842494"/>
      <w:bookmarkStart w:id="36" w:name="_Toc380568265"/>
      <w:r>
        <w:lastRenderedPageBreak/>
        <w:t>III. Nonclinical</w:t>
      </w:r>
      <w:bookmarkEnd w:id="33"/>
      <w:r>
        <w:t xml:space="preserve"> findings</w:t>
      </w:r>
      <w:bookmarkEnd w:id="34"/>
      <w:bookmarkEnd w:id="35"/>
      <w:bookmarkEnd w:id="36"/>
    </w:p>
    <w:p w:rsidR="00D87328" w:rsidRPr="00620EF4" w:rsidRDefault="00D87328" w:rsidP="00620EF4">
      <w:pPr>
        <w:pStyle w:val="Heading3"/>
      </w:pPr>
      <w:bookmarkStart w:id="37" w:name="_Toc353187317"/>
      <w:bookmarkStart w:id="38" w:name="_Toc380568266"/>
      <w:r w:rsidRPr="00D87328">
        <w:t>Toxicity</w:t>
      </w:r>
      <w:bookmarkEnd w:id="37"/>
      <w:bookmarkEnd w:id="38"/>
    </w:p>
    <w:p w:rsidR="00D87328" w:rsidRPr="00620EF4" w:rsidRDefault="00D87328" w:rsidP="00620EF4">
      <w:pPr>
        <w:pStyle w:val="Heading4"/>
      </w:pPr>
      <w:proofErr w:type="spellStart"/>
      <w:r w:rsidRPr="00D87328">
        <w:t>Levonorgestrel</w:t>
      </w:r>
      <w:proofErr w:type="spellEnd"/>
    </w:p>
    <w:p w:rsidR="00D87328" w:rsidRPr="00D87328" w:rsidRDefault="00D87328" w:rsidP="00620EF4">
      <w:r w:rsidRPr="00D87328">
        <w:t>The toxicological profile of levon</w:t>
      </w:r>
      <w:r w:rsidR="00DC4470">
        <w:t>orgestrel is well characterised</w:t>
      </w:r>
      <w:r w:rsidRPr="00D87328">
        <w:t xml:space="preserve"> and no additional nonclinical studies conducted with levonorgestrel alone were submitted. The average dose of levonorgestrel delivered by this product </w:t>
      </w:r>
      <w:proofErr w:type="gramStart"/>
      <w:r w:rsidRPr="00D87328">
        <w:t>(6 μg/day over 3 years)</w:t>
      </w:r>
      <w:proofErr w:type="gramEnd"/>
      <w:r w:rsidRPr="00D87328">
        <w:t xml:space="preserve"> is less than that with Mirena (14 μg/day over 5 years). </w:t>
      </w:r>
      <w:r w:rsidRPr="00D87328">
        <w:rPr>
          <w:i/>
        </w:rPr>
        <w:t>In vitro</w:t>
      </w:r>
      <w:r w:rsidRPr="00D87328">
        <w:t xml:space="preserve"> experiments revealed an initial burst of drug release (mean, 25 μg/day; maximum, 55 μg/day) that is higher than that for Mirena</w:t>
      </w:r>
      <w:r w:rsidR="00E12E0A">
        <w:t xml:space="preserve"> (20 </w:t>
      </w:r>
      <w:r w:rsidRPr="00D87328">
        <w:t>μg/day). This burst quickly declines, and it does not translate to a higher peak serum concentration of levonorgestrel in patients (</w:t>
      </w:r>
      <w:r w:rsidR="00E12E0A">
        <w:t>maximum concentration (</w:t>
      </w:r>
      <w:proofErr w:type="spellStart"/>
      <w:r w:rsidRPr="00D87328">
        <w:t>C</w:t>
      </w:r>
      <w:r w:rsidRPr="00D87328">
        <w:rPr>
          <w:vertAlign w:val="subscript"/>
        </w:rPr>
        <w:t>max</w:t>
      </w:r>
      <w:proofErr w:type="spellEnd"/>
      <w:r w:rsidR="00E12E0A">
        <w:t xml:space="preserve">) </w:t>
      </w:r>
      <w:r w:rsidRPr="00D87328">
        <w:t xml:space="preserve">of 171 </w:t>
      </w:r>
      <w:proofErr w:type="spellStart"/>
      <w:r w:rsidRPr="00D87328">
        <w:t>pg</w:t>
      </w:r>
      <w:proofErr w:type="spellEnd"/>
      <w:r w:rsidRPr="00D87328">
        <w:t xml:space="preserve">/mL with Jaydess in the Phase </w:t>
      </w:r>
      <w:r w:rsidR="00E12E0A">
        <w:t>III</w:t>
      </w:r>
      <w:r w:rsidRPr="00D87328">
        <w:t xml:space="preserve"> </w:t>
      </w:r>
      <w:r w:rsidR="00E12E0A">
        <w:t>c</w:t>
      </w:r>
      <w:r w:rsidRPr="00D87328">
        <w:t>linical Study A52238</w:t>
      </w:r>
      <w:r w:rsidR="00E12E0A">
        <w:t xml:space="preserve"> compared with </w:t>
      </w:r>
      <w:r w:rsidRPr="00D87328">
        <w:t xml:space="preserve">a serum level </w:t>
      </w:r>
      <w:proofErr w:type="gramStart"/>
      <w:r w:rsidRPr="00D87328">
        <w:t>of 206 pg/mL</w:t>
      </w:r>
      <w:proofErr w:type="gramEnd"/>
      <w:r w:rsidRPr="00D87328">
        <w:t xml:space="preserve"> at 6 months reported in the PI for Mirena).</w:t>
      </w:r>
    </w:p>
    <w:p w:rsidR="00D87328" w:rsidRPr="00620EF4" w:rsidRDefault="00D87328" w:rsidP="00620EF4">
      <w:pPr>
        <w:pStyle w:val="Heading4"/>
      </w:pPr>
      <w:r w:rsidRPr="00D87328">
        <w:t>Device materials</w:t>
      </w:r>
    </w:p>
    <w:p w:rsidR="00D87328" w:rsidRPr="00D87328" w:rsidRDefault="00D87328" w:rsidP="00620EF4">
      <w:r w:rsidRPr="00D87328">
        <w:t>The materials used in the composition of Jaydess differ slightly from those in Mirena</w:t>
      </w:r>
      <w:r w:rsidR="00E12E0A">
        <w:t xml:space="preserve">: </w:t>
      </w:r>
      <w:r w:rsidRPr="00D87328">
        <w:t>the new product incorporates a silver ring/profile (to facilitate detection in ultrasound examination) and the inserter device uses a new coloured flange (pink).</w:t>
      </w:r>
    </w:p>
    <w:p w:rsidR="00D87328" w:rsidRPr="00D87328" w:rsidRDefault="00D87328" w:rsidP="00620EF4">
      <w:r w:rsidRPr="00D87328">
        <w:t xml:space="preserve">The biocompatibility of the silver ring/profile was assessed </w:t>
      </w:r>
      <w:r w:rsidRPr="00D87328">
        <w:rPr>
          <w:i/>
        </w:rPr>
        <w:t>in vitro</w:t>
      </w:r>
      <w:r w:rsidRPr="00D87328">
        <w:t xml:space="preserve"> in assays for cytotoxicity, haemolysis and genotoxicity and </w:t>
      </w:r>
      <w:r w:rsidRPr="00D87328">
        <w:rPr>
          <w:i/>
        </w:rPr>
        <w:t>in vivo</w:t>
      </w:r>
      <w:r w:rsidRPr="00D87328">
        <w:t xml:space="preserve"> in studies on acute toxicity, local tolerance and skin sensitisation that used extracts of the material. Additional studies involved assessment of local tolerance in rabbits following intramuscular implantation of silver rods used in the manufacture of the ring, and of local and systemic tolerance in monkeys following intrauterine implantation of an IUS with silver ring attached. All safety-related studies were </w:t>
      </w:r>
      <w:r w:rsidR="00E12E0A">
        <w:t>compliant with Good Laboratory Principles (</w:t>
      </w:r>
      <w:r w:rsidRPr="00D87328">
        <w:t>GLP</w:t>
      </w:r>
      <w:r w:rsidR="00E12E0A">
        <w:t>)</w:t>
      </w:r>
      <w:r w:rsidRPr="00D87328">
        <w:t>.</w:t>
      </w:r>
    </w:p>
    <w:p w:rsidR="00D87328" w:rsidRPr="00D87328" w:rsidRDefault="00D87328" w:rsidP="00620EF4">
      <w:r w:rsidRPr="00D87328">
        <w:t xml:space="preserve">Extracts of the silver ring were found not to be </w:t>
      </w:r>
      <w:proofErr w:type="spellStart"/>
      <w:r w:rsidRPr="00D87328">
        <w:t>genotoxic</w:t>
      </w:r>
      <w:proofErr w:type="spellEnd"/>
      <w:r w:rsidRPr="00D87328">
        <w:t xml:space="preserve"> in assays for bacterial and mammalian mutagenicity, induce haemolysis in human erythrocytes, exert acute toxicity following </w:t>
      </w:r>
      <w:proofErr w:type="spellStart"/>
      <w:r w:rsidR="00E12E0A">
        <w:t>intraperitoneal</w:t>
      </w:r>
      <w:proofErr w:type="spellEnd"/>
      <w:r w:rsidR="00E12E0A">
        <w:t xml:space="preserve"> (</w:t>
      </w:r>
      <w:r w:rsidRPr="00D87328">
        <w:t>IP</w:t>
      </w:r>
      <w:r w:rsidR="00E12E0A">
        <w:t>)</w:t>
      </w:r>
      <w:r w:rsidRPr="00D87328">
        <w:t xml:space="preserve"> or </w:t>
      </w:r>
      <w:r w:rsidR="00E12E0A">
        <w:t>intravenous (</w:t>
      </w:r>
      <w:r w:rsidRPr="00D87328">
        <w:t>IV</w:t>
      </w:r>
      <w:r w:rsidR="00E12E0A">
        <w:t>)</w:t>
      </w:r>
      <w:r w:rsidRPr="00D87328">
        <w:t xml:space="preserve"> administration in mice, cause any notable local reaction following </w:t>
      </w:r>
      <w:proofErr w:type="spellStart"/>
      <w:r w:rsidRPr="00D87328">
        <w:t>intracutaneous</w:t>
      </w:r>
      <w:proofErr w:type="spellEnd"/>
      <w:r w:rsidRPr="00D87328">
        <w:t xml:space="preserve"> injection in rabbits, or have skin sensitisation potential in guinea pigs. The silver rods were found to be non-irritating following intramuscular implantation in rabbits. Slight cytotoxicity was observed with undiluted extract of silver plus polycarbonate-based thermoplastic polyurethane (PCU) using a 24 h extraction period (as recommended in ISO 10993-5); however, greater cytotoxicity was evident with PCU without silver. Clear cytotoxicity was seen with 70% or 100% dilutions using longer extraction times (72 h and 28 days). The highest strength of extract that was without cytotoxicity was a 30% dilution, found to contain 1186 μg/L silver; 70% and 100% dilutions contained 2695–4066 μg/L silver. Cumulative </w:t>
      </w:r>
      <w:r w:rsidRPr="00D87328">
        <w:rPr>
          <w:i/>
        </w:rPr>
        <w:t>in vitro</w:t>
      </w:r>
      <w:r w:rsidRPr="00D87328">
        <w:t xml:space="preserve"> release of silver ions from the clinical device was found to be 1.65 μg after 28 days; as such, cytotoxic concentrations should not be reached in clinical use. In keeping with this, no adverse local or systemic effects attributable to the presence of the </w:t>
      </w:r>
      <w:r w:rsidR="00E12E0A">
        <w:t xml:space="preserve">silver ring were observed in 13 </w:t>
      </w:r>
      <w:r w:rsidRPr="00D87328">
        <w:t>week and 9</w:t>
      </w:r>
      <w:r w:rsidR="00E12E0A">
        <w:t xml:space="preserve"> </w:t>
      </w:r>
      <w:r w:rsidRPr="00D87328">
        <w:t>month studies in cynomolgus monkeys using implanted size-adapted IUS devices (with or without levonorgestrel). These studies did not use implants with the same polymer composition as to be used in Jaydess but the studies are adequate to address safety concerns with respect to the silver ring.</w:t>
      </w:r>
    </w:p>
    <w:p w:rsidR="00D87328" w:rsidRPr="00D87328" w:rsidRDefault="00D87328" w:rsidP="00620EF4">
      <w:r w:rsidRPr="00D87328">
        <w:t xml:space="preserve">Like Mirena, the drug core of Jaydess is composed of a mixture of </w:t>
      </w:r>
      <w:proofErr w:type="spellStart"/>
      <w:r w:rsidRPr="00D87328">
        <w:t>levonorgestrel</w:t>
      </w:r>
      <w:proofErr w:type="spellEnd"/>
      <w:r w:rsidRPr="00D87328">
        <w:t xml:space="preserve"> and </w:t>
      </w:r>
      <w:proofErr w:type="gramStart"/>
      <w:r w:rsidRPr="00D87328">
        <w:t>poly(</w:t>
      </w:r>
      <w:proofErr w:type="spellStart"/>
      <w:proofErr w:type="gramEnd"/>
      <w:r w:rsidRPr="00D87328">
        <w:t>dimethylsiloxane</w:t>
      </w:r>
      <w:proofErr w:type="spellEnd"/>
      <w:r w:rsidRPr="00D87328">
        <w:t>), although at a different ratio</w:t>
      </w:r>
      <w:r w:rsidR="00E12E0A">
        <w:t>.</w:t>
      </w:r>
      <w:r w:rsidRPr="00D87328">
        <w:t xml:space="preserve"> Biocompatibility of this new strength of material was demonstrated in studies examining cytotoxicity, </w:t>
      </w:r>
      <w:proofErr w:type="spellStart"/>
      <w:r w:rsidRPr="00D87328">
        <w:t>genotoxicity</w:t>
      </w:r>
      <w:proofErr w:type="spellEnd"/>
      <w:r w:rsidRPr="00D87328">
        <w:t xml:space="preserve"> (bacterial mutagenicity), haemolysis, acute toxicity (IP and IV administration in mice), </w:t>
      </w:r>
      <w:proofErr w:type="spellStart"/>
      <w:r w:rsidRPr="00D87328">
        <w:t>pyrogenicity</w:t>
      </w:r>
      <w:proofErr w:type="spellEnd"/>
      <w:r w:rsidRPr="00D87328">
        <w:t xml:space="preserve"> </w:t>
      </w:r>
      <w:r w:rsidRPr="00D87328">
        <w:lastRenderedPageBreak/>
        <w:t>(rabbit), local tolerance (</w:t>
      </w:r>
      <w:proofErr w:type="spellStart"/>
      <w:r w:rsidRPr="00D87328">
        <w:t>intracutaneous</w:t>
      </w:r>
      <w:proofErr w:type="spellEnd"/>
      <w:r w:rsidRPr="00D87328">
        <w:t xml:space="preserve"> in rabbit) and skin sensitisation potential (guinea pig).</w:t>
      </w:r>
    </w:p>
    <w:p w:rsidR="00D87328" w:rsidRPr="00D87328" w:rsidRDefault="00D87328" w:rsidP="00620EF4">
      <w:r w:rsidRPr="00D87328">
        <w:t xml:space="preserve">The flange used in the Jaydess inserter differs from that used in Mirena only in the </w:t>
      </w:r>
      <w:proofErr w:type="spellStart"/>
      <w:r w:rsidRPr="00D87328">
        <w:t>colourant</w:t>
      </w:r>
      <w:proofErr w:type="spellEnd"/>
      <w:r w:rsidRPr="00D87328">
        <w:t xml:space="preserve"> used. The duration of patient exposure to this material is minimal, and extracts of the material were not found to be cytotoxic or cause skin sensitisation, and to be well tolerated locally foll</w:t>
      </w:r>
      <w:r w:rsidR="00E12E0A">
        <w:t xml:space="preserve">owing </w:t>
      </w:r>
      <w:proofErr w:type="spellStart"/>
      <w:r w:rsidR="00E12E0A">
        <w:t>intracutaneous</w:t>
      </w:r>
      <w:proofErr w:type="spellEnd"/>
      <w:r w:rsidR="00E12E0A">
        <w:t xml:space="preserve"> injection </w:t>
      </w:r>
      <w:r w:rsidRPr="00D87328">
        <w:t>in rabbits.</w:t>
      </w:r>
    </w:p>
    <w:p w:rsidR="00D87328" w:rsidRPr="00620EF4" w:rsidRDefault="00D87328" w:rsidP="00620EF4">
      <w:pPr>
        <w:pStyle w:val="Heading4"/>
      </w:pPr>
      <w:r w:rsidRPr="00D87328">
        <w:t>Pregnancy classification</w:t>
      </w:r>
    </w:p>
    <w:p w:rsidR="00D87328" w:rsidRPr="00D87328" w:rsidRDefault="00D87328" w:rsidP="00620EF4">
      <w:r w:rsidRPr="00D87328">
        <w:t>The sponsor has proposed Pregnancy Category B3.</w:t>
      </w:r>
      <w:r w:rsidR="00E12E0A">
        <w:rPr>
          <w:rStyle w:val="FootnoteReference"/>
          <w:kern w:val="22"/>
        </w:rPr>
        <w:footnoteReference w:id="1"/>
      </w:r>
      <w:r w:rsidRPr="00D87328">
        <w:t xml:space="preserve"> This is considered appropriate, and matche</w:t>
      </w:r>
      <w:r w:rsidR="00620EF4">
        <w:t xml:space="preserve">s the category used for </w:t>
      </w:r>
      <w:proofErr w:type="spellStart"/>
      <w:r w:rsidR="00620EF4">
        <w:t>Mirena</w:t>
      </w:r>
      <w:proofErr w:type="spellEnd"/>
      <w:r w:rsidR="00620EF4">
        <w:t>.</w:t>
      </w:r>
    </w:p>
    <w:p w:rsidR="00D87328" w:rsidRPr="00620EF4" w:rsidRDefault="00D87328" w:rsidP="00620EF4">
      <w:pPr>
        <w:pStyle w:val="Heading4"/>
      </w:pPr>
      <w:r w:rsidRPr="00D87328">
        <w:t>Impurities</w:t>
      </w:r>
    </w:p>
    <w:p w:rsidR="00D87328" w:rsidRPr="00D87328" w:rsidRDefault="00D87328" w:rsidP="00620EF4">
      <w:r w:rsidRPr="00D87328">
        <w:t>Proposed impurity limits for Jaydess are considered to be acceptable from a nonclinical perspective.</w:t>
      </w:r>
    </w:p>
    <w:p w:rsidR="00D87328" w:rsidRPr="00D87328" w:rsidRDefault="00D87328" w:rsidP="00620EF4">
      <w:pPr>
        <w:pStyle w:val="Heading4"/>
      </w:pPr>
      <w:bookmarkStart w:id="39" w:name="_Toc295290868"/>
      <w:bookmarkStart w:id="40" w:name="_Toc353187318"/>
      <w:r w:rsidRPr="00D87328">
        <w:t xml:space="preserve">Comments on the </w:t>
      </w:r>
      <w:r w:rsidR="00620EF4">
        <w:t>s</w:t>
      </w:r>
      <w:r w:rsidRPr="00D87328">
        <w:t xml:space="preserve">afety </w:t>
      </w:r>
      <w:r w:rsidR="00620EF4">
        <w:t>s</w:t>
      </w:r>
      <w:r w:rsidRPr="00620EF4">
        <w:t>pecification</w:t>
      </w:r>
      <w:r w:rsidRPr="00D87328">
        <w:t xml:space="preserve"> of the </w:t>
      </w:r>
      <w:r w:rsidR="00620EF4">
        <w:t>r</w:t>
      </w:r>
      <w:r w:rsidRPr="00D87328">
        <w:t xml:space="preserve">isk </w:t>
      </w:r>
      <w:r w:rsidR="00620EF4">
        <w:t>m</w:t>
      </w:r>
      <w:r w:rsidRPr="00D87328">
        <w:t xml:space="preserve">anagement </w:t>
      </w:r>
      <w:r w:rsidR="00620EF4">
        <w:t>p</w:t>
      </w:r>
      <w:r w:rsidRPr="00D87328">
        <w:t>lan</w:t>
      </w:r>
      <w:bookmarkEnd w:id="39"/>
      <w:bookmarkEnd w:id="40"/>
    </w:p>
    <w:p w:rsidR="00D87328" w:rsidRPr="00D87328" w:rsidRDefault="00C82F47" w:rsidP="00620EF4">
      <w:r>
        <w:t>The n</w:t>
      </w:r>
      <w:r w:rsidR="00D87328" w:rsidRPr="00D87328">
        <w:t xml:space="preserve">onclinical Safety Specification contained in the draft Risk Management Plan </w:t>
      </w:r>
      <w:r>
        <w:t xml:space="preserve">(RMP) </w:t>
      </w:r>
      <w:r w:rsidR="00D87328" w:rsidRPr="00D87328">
        <w:t xml:space="preserve">is largely acceptable. While </w:t>
      </w:r>
      <w:proofErr w:type="spellStart"/>
      <w:r w:rsidR="00D87328" w:rsidRPr="00D87328">
        <w:t>progestogen</w:t>
      </w:r>
      <w:proofErr w:type="spellEnd"/>
      <w:r w:rsidR="00D87328" w:rsidRPr="00D87328">
        <w:t xml:space="preserve">-dependent tumours are included as a contraindication for Jaydess, no information on potential growth stimulating effects on hormone-dependent tumours is contained in the proposed </w:t>
      </w:r>
      <w:r>
        <w:t xml:space="preserve">PI </w:t>
      </w:r>
      <w:r w:rsidR="00D87328" w:rsidRPr="00D87328">
        <w:t>document. Relevant changes to the PI to address this are recommended.</w:t>
      </w:r>
    </w:p>
    <w:p w:rsidR="008E7846" w:rsidRDefault="008E7846" w:rsidP="00620EF4">
      <w:pPr>
        <w:pStyle w:val="Heading3"/>
      </w:pPr>
      <w:bookmarkStart w:id="41" w:name="_Toc247691515"/>
      <w:bookmarkStart w:id="42" w:name="_Toc314842499"/>
      <w:bookmarkStart w:id="43" w:name="_Toc380568267"/>
      <w:r>
        <w:t xml:space="preserve">Nonclinical summary and </w:t>
      </w:r>
      <w:r w:rsidRPr="00620EF4">
        <w:t>conclusions</w:t>
      </w:r>
      <w:bookmarkEnd w:id="41"/>
      <w:bookmarkEnd w:id="42"/>
      <w:bookmarkEnd w:id="43"/>
    </w:p>
    <w:p w:rsidR="00D87328" w:rsidRPr="00C82F47" w:rsidRDefault="00C82F47" w:rsidP="00620EF4">
      <w:pPr>
        <w:pStyle w:val="ListBullet"/>
      </w:pPr>
      <w:r>
        <w:t xml:space="preserve">The nonclinical data </w:t>
      </w:r>
      <w:r w:rsidR="00D87328" w:rsidRPr="00C82F47">
        <w:t xml:space="preserve">included </w:t>
      </w:r>
      <w:r w:rsidR="00D87328" w:rsidRPr="00620EF4">
        <w:t>various</w:t>
      </w:r>
      <w:r w:rsidR="00D87328" w:rsidRPr="00C82F47">
        <w:t xml:space="preserve"> GLP-compliant studies examining the safety of the novel materials.</w:t>
      </w:r>
    </w:p>
    <w:p w:rsidR="00D87328" w:rsidRPr="00C82F47" w:rsidRDefault="00D87328" w:rsidP="00620EF4">
      <w:pPr>
        <w:pStyle w:val="ListBullet"/>
      </w:pPr>
      <w:r w:rsidRPr="00C82F47">
        <w:t xml:space="preserve">While the average dose of </w:t>
      </w:r>
      <w:proofErr w:type="spellStart"/>
      <w:r w:rsidRPr="00620EF4">
        <w:t>levonorgestrel</w:t>
      </w:r>
      <w:proofErr w:type="spellEnd"/>
      <w:r w:rsidRPr="00C82F47">
        <w:t xml:space="preserve"> provided by this product (6 μg/day over 3 years) is lower than that for Mirena (14 μg/day over 5 years), Jaydess does have a higher initial (burst) release (25 μg/day </w:t>
      </w:r>
      <w:r w:rsidR="00C82F47">
        <w:t xml:space="preserve">compared with </w:t>
      </w:r>
      <w:r w:rsidRPr="00C82F47">
        <w:t>20</w:t>
      </w:r>
      <w:r w:rsidR="00C82F47">
        <w:t xml:space="preserve"> μg/day). This rapidly declines</w:t>
      </w:r>
      <w:r w:rsidRPr="00C82F47">
        <w:t xml:space="preserve"> and peak serum levels of levonorgestrel in patients (attained some days after insertion) do not exceed that for Mirena.</w:t>
      </w:r>
    </w:p>
    <w:p w:rsidR="00D87328" w:rsidRPr="00C82F47" w:rsidRDefault="00D87328" w:rsidP="00620EF4">
      <w:pPr>
        <w:pStyle w:val="ListBullet"/>
      </w:pPr>
      <w:r w:rsidRPr="00C82F47">
        <w:t>Jaydess</w:t>
      </w:r>
      <w:r w:rsidR="00C82F47">
        <w:t xml:space="preserve"> </w:t>
      </w:r>
      <w:r w:rsidRPr="00C82F47">
        <w:t xml:space="preserve">is to include a silver </w:t>
      </w:r>
      <w:r w:rsidRPr="00620EF4">
        <w:t>ring</w:t>
      </w:r>
      <w:r w:rsidRPr="00C82F47">
        <w:t xml:space="preserve"> to facilitate detection by ultrasound. The inclusion of a silver ring attached to an IUS (but of different polymer composition </w:t>
      </w:r>
      <w:r w:rsidR="00C82F47">
        <w:t xml:space="preserve">compared with </w:t>
      </w:r>
      <w:r w:rsidRPr="00C82F47">
        <w:t xml:space="preserve">the proposed product) was not seen to affect local or systemic tolerance following intrauterine implantation in monkeys. Biocompatibility of the silver ring was further demonstrated in a set of tests for cytotoxicity, haemolysis, genotoxicity, acute toxicity, local tolerance (intramuscular and </w:t>
      </w:r>
      <w:proofErr w:type="spellStart"/>
      <w:r w:rsidRPr="00C82F47">
        <w:t>intracutaneous</w:t>
      </w:r>
      <w:proofErr w:type="spellEnd"/>
      <w:r w:rsidRPr="00C82F47">
        <w:t>) and skin sensitisation potential.</w:t>
      </w:r>
    </w:p>
    <w:p w:rsidR="00D87328" w:rsidRPr="00C82F47" w:rsidRDefault="00D87328" w:rsidP="00620EF4">
      <w:pPr>
        <w:pStyle w:val="ListBullet"/>
      </w:pPr>
      <w:r w:rsidRPr="00C82F47">
        <w:t xml:space="preserve">Biocompatibility was also </w:t>
      </w:r>
      <w:r w:rsidRPr="00620EF4">
        <w:t>satisfactorily</w:t>
      </w:r>
      <w:r w:rsidRPr="00C82F47">
        <w:t xml:space="preserve"> established for the modified drug reservoir used in Jaydess, which contains the same ingredients as in Mirena but at a different ratio.</w:t>
      </w:r>
    </w:p>
    <w:p w:rsidR="00D87328" w:rsidRPr="00C82F47" w:rsidRDefault="00D87328" w:rsidP="00620EF4">
      <w:pPr>
        <w:pStyle w:val="ListBullet"/>
      </w:pPr>
      <w:r w:rsidRPr="00C82F47">
        <w:t>The modified flange used in the Jaydess</w:t>
      </w:r>
      <w:r w:rsidR="00C82F47">
        <w:t xml:space="preserve"> </w:t>
      </w:r>
      <w:r w:rsidRPr="00C82F47">
        <w:t>inserter device</w:t>
      </w:r>
      <w:r w:rsidR="00C82F47">
        <w:t xml:space="preserve"> </w:t>
      </w:r>
      <w:r w:rsidRPr="00C82F47">
        <w:t>was shown to be biocompatible in tests for cytotoxicity, skin sensitisation and local (</w:t>
      </w:r>
      <w:proofErr w:type="spellStart"/>
      <w:r w:rsidRPr="00C82F47">
        <w:t>intracutaneous</w:t>
      </w:r>
      <w:proofErr w:type="spellEnd"/>
      <w:r w:rsidRPr="00C82F47">
        <w:t>) tolerance.</w:t>
      </w:r>
    </w:p>
    <w:p w:rsidR="00C82F47" w:rsidRDefault="00D87328" w:rsidP="00620EF4">
      <w:r w:rsidRPr="00C82F47">
        <w:lastRenderedPageBreak/>
        <w:t xml:space="preserve">There are no nonclinical objections </w:t>
      </w:r>
      <w:r w:rsidR="00620EF4">
        <w:t xml:space="preserve">to the registration of </w:t>
      </w:r>
      <w:proofErr w:type="spellStart"/>
      <w:r w:rsidR="00620EF4">
        <w:t>Jaydess</w:t>
      </w:r>
      <w:proofErr w:type="spellEnd"/>
      <w:r w:rsidR="00620EF4">
        <w:t>.</w:t>
      </w:r>
    </w:p>
    <w:p w:rsidR="00D87328" w:rsidRPr="00C82F47" w:rsidRDefault="00C82F47" w:rsidP="00620EF4">
      <w:r>
        <w:t xml:space="preserve">Revisions were recommended to nonclinical statements in the </w:t>
      </w:r>
      <w:r w:rsidR="00D87328" w:rsidRPr="00C82F47">
        <w:t xml:space="preserve">draft </w:t>
      </w:r>
      <w:r>
        <w:t xml:space="preserve">PI. Details of these are </w:t>
      </w:r>
      <w:r w:rsidR="00620EF4">
        <w:t xml:space="preserve">beyond the scope of the </w:t>
      </w:r>
      <w:proofErr w:type="spellStart"/>
      <w:r w:rsidR="00620EF4">
        <w:t>AusPAR</w:t>
      </w:r>
      <w:proofErr w:type="spellEnd"/>
      <w:r w:rsidR="00620EF4">
        <w:t>.</w:t>
      </w:r>
    </w:p>
    <w:p w:rsidR="008E7846" w:rsidRPr="00620EF4" w:rsidRDefault="008E7846" w:rsidP="00620EF4">
      <w:pPr>
        <w:pStyle w:val="Heading2"/>
      </w:pPr>
      <w:bookmarkStart w:id="44" w:name="_Toc196046462"/>
      <w:bookmarkStart w:id="45" w:name="_Toc247691516"/>
      <w:bookmarkStart w:id="46" w:name="_Toc314842500"/>
      <w:bookmarkStart w:id="47" w:name="_Toc163441353"/>
      <w:bookmarkStart w:id="48" w:name="_Toc163441348"/>
      <w:bookmarkStart w:id="49" w:name="_Toc380568268"/>
      <w:r>
        <w:t xml:space="preserve">IV. </w:t>
      </w:r>
      <w:r w:rsidRPr="00254787">
        <w:t>Clinical</w:t>
      </w:r>
      <w:bookmarkEnd w:id="44"/>
      <w:r>
        <w:t xml:space="preserve"> </w:t>
      </w:r>
      <w:r w:rsidR="003A7F6C">
        <w:t>f</w:t>
      </w:r>
      <w:r>
        <w:t>indings</w:t>
      </w:r>
      <w:bookmarkEnd w:id="45"/>
      <w:bookmarkEnd w:id="46"/>
      <w:bookmarkEnd w:id="49"/>
    </w:p>
    <w:p w:rsidR="008E7846" w:rsidRPr="00620EF4" w:rsidRDefault="008E7846" w:rsidP="00620EF4">
      <w:pPr>
        <w:pStyle w:val="Heading3"/>
      </w:pPr>
      <w:bookmarkStart w:id="50" w:name="_Toc196046463"/>
      <w:bookmarkStart w:id="51" w:name="_Toc247691517"/>
      <w:bookmarkStart w:id="52" w:name="_Toc314842501"/>
      <w:bookmarkStart w:id="53" w:name="_Toc380568269"/>
      <w:r w:rsidRPr="00254787">
        <w:t>Introduction</w:t>
      </w:r>
      <w:bookmarkEnd w:id="50"/>
      <w:bookmarkEnd w:id="51"/>
      <w:bookmarkEnd w:id="52"/>
      <w:bookmarkEnd w:id="53"/>
    </w:p>
    <w:p w:rsidR="00474FCE" w:rsidRPr="00474FCE" w:rsidRDefault="00474FCE" w:rsidP="00D7559D">
      <w:r w:rsidRPr="00474FCE">
        <w:t>This is an application to register a new strength (13.5</w:t>
      </w:r>
      <w:r>
        <w:t xml:space="preserve"> </w:t>
      </w:r>
      <w:r w:rsidRPr="00474FCE">
        <w:t>mg) of levonorgestrel for an intrauter</w:t>
      </w:r>
      <w:r>
        <w:t xml:space="preserve">ine delivery system (Jaydess). </w:t>
      </w:r>
      <w:r w:rsidRPr="00474FCE">
        <w:t>There is a 52</w:t>
      </w:r>
      <w:r>
        <w:t xml:space="preserve"> </w:t>
      </w:r>
      <w:r w:rsidRPr="00474FCE">
        <w:t>mg levonorgestrel intrauterine delivery system already registered in Australia (Mirena 52 mg levonorgestrel</w:t>
      </w:r>
      <w:r>
        <w:t>)</w:t>
      </w:r>
      <w:r w:rsidRPr="00474FCE">
        <w:t xml:space="preserve">. The approved indication for </w:t>
      </w:r>
      <w:r>
        <w:t xml:space="preserve">Mirena </w:t>
      </w:r>
      <w:r w:rsidRPr="00474FCE">
        <w:t xml:space="preserve">is </w:t>
      </w:r>
      <w:r w:rsidRPr="00474FCE">
        <w:rPr>
          <w:i/>
          <w:iCs/>
        </w:rPr>
        <w:t>contraception</w:t>
      </w:r>
      <w:r w:rsidRPr="00474FCE">
        <w:t>.</w:t>
      </w:r>
    </w:p>
    <w:p w:rsidR="00474FCE" w:rsidRDefault="00474FCE" w:rsidP="00D7559D">
      <w:r w:rsidRPr="00474FCE">
        <w:t xml:space="preserve">The proposed indication </w:t>
      </w:r>
      <w:r w:rsidR="003653E9">
        <w:t xml:space="preserve">for Jaydess </w:t>
      </w:r>
      <w:r w:rsidRPr="00474FCE">
        <w:t xml:space="preserve">is for </w:t>
      </w:r>
      <w:r w:rsidRPr="00474FCE">
        <w:rPr>
          <w:i/>
          <w:iCs/>
        </w:rPr>
        <w:t>contraception</w:t>
      </w:r>
      <w:r w:rsidR="003653E9">
        <w:t xml:space="preserve">, which is </w:t>
      </w:r>
      <w:r w:rsidRPr="00474FCE">
        <w:t xml:space="preserve">the same </w:t>
      </w:r>
      <w:r w:rsidR="003653E9">
        <w:t xml:space="preserve">as the </w:t>
      </w:r>
      <w:r w:rsidRPr="00474FCE">
        <w:t xml:space="preserve">indication </w:t>
      </w:r>
      <w:r w:rsidR="003653E9">
        <w:t xml:space="preserve">for </w:t>
      </w:r>
      <w:r w:rsidRPr="00474FCE">
        <w:t>Mirena. One Jaydess is inserted into the uterine cavity and is effective for up to three years. It is removed manually and can be remove</w:t>
      </w:r>
      <w:r w:rsidR="00D7559D">
        <w:t>d at any time prior to 3 years.</w:t>
      </w:r>
    </w:p>
    <w:p w:rsidR="00615D99" w:rsidRPr="00474FCE" w:rsidRDefault="00615D99" w:rsidP="00D7559D">
      <w:r>
        <w:t xml:space="preserve">In the clinical trials, Jaydess is also referred to as LCS12: </w:t>
      </w:r>
      <w:r w:rsidRPr="00615D99">
        <w:t xml:space="preserve">ultra low dose levonorgestrel intrauterine contraceptive system (LCS) with initial </w:t>
      </w:r>
      <w:r w:rsidRPr="00615D99">
        <w:rPr>
          <w:i/>
          <w:iCs/>
        </w:rPr>
        <w:t>in vitro</w:t>
      </w:r>
      <w:r w:rsidRPr="00615D99">
        <w:t xml:space="preserve"> release </w:t>
      </w:r>
      <w:proofErr w:type="gramStart"/>
      <w:r w:rsidRPr="00615D99">
        <w:t>of 12 µg/day</w:t>
      </w:r>
      <w:proofErr w:type="gramEnd"/>
      <w:r>
        <w:t>.</w:t>
      </w:r>
    </w:p>
    <w:p w:rsidR="00474FCE" w:rsidRPr="00D7559D" w:rsidRDefault="00474FCE" w:rsidP="00D7559D">
      <w:pPr>
        <w:pStyle w:val="Heading4"/>
      </w:pPr>
      <w:bookmarkStart w:id="54" w:name="_Toc376788812"/>
      <w:r w:rsidRPr="00474FCE">
        <w:t>Clinical rationale</w:t>
      </w:r>
      <w:bookmarkEnd w:id="54"/>
    </w:p>
    <w:p w:rsidR="00474FCE" w:rsidRPr="00474FCE" w:rsidRDefault="00474FCE" w:rsidP="00D7559D">
      <w:proofErr w:type="spellStart"/>
      <w:r w:rsidRPr="00474FCE">
        <w:t>L</w:t>
      </w:r>
      <w:r w:rsidR="003653E9">
        <w:t>evonorgestrel</w:t>
      </w:r>
      <w:proofErr w:type="spellEnd"/>
      <w:r w:rsidR="003653E9">
        <w:t xml:space="preserve"> </w:t>
      </w:r>
      <w:r w:rsidRPr="00474FCE">
        <w:t xml:space="preserve">is one of the 19-nortestosterone </w:t>
      </w:r>
      <w:proofErr w:type="spellStart"/>
      <w:r w:rsidRPr="00474FCE">
        <w:t>progestins</w:t>
      </w:r>
      <w:proofErr w:type="spellEnd"/>
      <w:r w:rsidRPr="00474FCE">
        <w:t xml:space="preserve">. It is used worldwide as the progestin component in oral contraceptives, in hormonal replacement therapy, </w:t>
      </w:r>
      <w:proofErr w:type="spellStart"/>
      <w:r w:rsidRPr="00474FCE">
        <w:t>subdermal</w:t>
      </w:r>
      <w:proofErr w:type="spellEnd"/>
      <w:r w:rsidRPr="00474FCE">
        <w:t xml:space="preserve"> implants and intr</w:t>
      </w:r>
      <w:r w:rsidR="00615D99">
        <w:t>auterine systems (IUS). Jaydess</w:t>
      </w:r>
      <w:r w:rsidRPr="00474FCE">
        <w:t xml:space="preserve"> is a </w:t>
      </w:r>
      <w:r w:rsidR="00C31AFB">
        <w:t>levonorgestrel</w:t>
      </w:r>
      <w:r w:rsidRPr="00474FCE">
        <w:t xml:space="preserve">-releasing intrauterine system (IUS) to be used for long-term contraception (up to three years). The dose of </w:t>
      </w:r>
      <w:r w:rsidR="00C31AFB" w:rsidRPr="00C31AFB">
        <w:t xml:space="preserve">levonorgestrel </w:t>
      </w:r>
      <w:r w:rsidRPr="00474FCE">
        <w:t xml:space="preserve">released daily from the IUS results in tissue concentrations that make conditions unfavourable for pregnancy by making the endometrium relatively insensitive to circulating </w:t>
      </w:r>
      <w:r w:rsidR="003653E9">
        <w:t>o</w:t>
      </w:r>
      <w:r w:rsidRPr="00474FCE">
        <w:t>estradiol and thickening the cervical mucus preventing fertili</w:t>
      </w:r>
      <w:r w:rsidR="00C31AFB">
        <w:t>s</w:t>
      </w:r>
      <w:r w:rsidRPr="00474FCE">
        <w:t>ation. There is also an inhibitory effect on ovulation which is clinically relevant at higher concentrations</w:t>
      </w:r>
      <w:r w:rsidR="00D7559D">
        <w:t xml:space="preserve"> than that achieved by </w:t>
      </w:r>
      <w:proofErr w:type="spellStart"/>
      <w:r w:rsidR="00D7559D">
        <w:t>Jaydess</w:t>
      </w:r>
      <w:proofErr w:type="spellEnd"/>
      <w:r w:rsidR="00D7559D">
        <w:t>.</w:t>
      </w:r>
    </w:p>
    <w:p w:rsidR="00474FCE" w:rsidRPr="00474FCE" w:rsidRDefault="00474FCE" w:rsidP="00D7559D">
      <w:r w:rsidRPr="00474FCE">
        <w:t xml:space="preserve">There is already a </w:t>
      </w:r>
      <w:r w:rsidR="00C31AFB" w:rsidRPr="00C31AFB">
        <w:t xml:space="preserve">levonorgestrel </w:t>
      </w:r>
      <w:r w:rsidRPr="00474FCE">
        <w:t xml:space="preserve">intrauterine implant available </w:t>
      </w:r>
      <w:r w:rsidR="00C31AFB">
        <w:t xml:space="preserve">for </w:t>
      </w:r>
      <w:r w:rsidRPr="00474FCE">
        <w:t xml:space="preserve">this indication (Mirena). However compared with the Mirena duration of five years, </w:t>
      </w:r>
      <w:r w:rsidR="00C31AFB">
        <w:t xml:space="preserve">Jaydess </w:t>
      </w:r>
      <w:r w:rsidRPr="00474FCE">
        <w:t xml:space="preserve">was developed to provide contraceptive protection for a shorter period of time - up to three years, with both a lower daily release rate of </w:t>
      </w:r>
      <w:r w:rsidR="00C31AFB" w:rsidRPr="00C31AFB">
        <w:t xml:space="preserve">levonorgestrel </w:t>
      </w:r>
      <w:r w:rsidRPr="00474FCE">
        <w:t>and a smaller size of the system (smaller insertion tube diameter and T-frame) than Mirena. This aims to ensure easier and more acceptable in</w:t>
      </w:r>
      <w:r w:rsidR="00D7559D">
        <w:t>sertion for nulliparous women.</w:t>
      </w:r>
    </w:p>
    <w:p w:rsidR="00474FCE" w:rsidRPr="00D7559D" w:rsidRDefault="00474FCE" w:rsidP="00D7559D">
      <w:pPr>
        <w:pStyle w:val="Heading4"/>
      </w:pPr>
      <w:bookmarkStart w:id="55" w:name="_Toc272414609"/>
      <w:bookmarkStart w:id="56" w:name="_Toc290846231"/>
      <w:bookmarkStart w:id="57" w:name="_Toc290888768"/>
      <w:bookmarkStart w:id="58" w:name="_Toc376788813"/>
      <w:r w:rsidRPr="00474FCE">
        <w:t>Guidance</w:t>
      </w:r>
      <w:bookmarkEnd w:id="55"/>
      <w:bookmarkEnd w:id="56"/>
      <w:bookmarkEnd w:id="57"/>
      <w:bookmarkEnd w:id="58"/>
    </w:p>
    <w:p w:rsidR="00474FCE" w:rsidRPr="00474FCE" w:rsidRDefault="00474FCE" w:rsidP="00912DFF">
      <w:r w:rsidRPr="00474FCE">
        <w:t xml:space="preserve">The clinical development program of </w:t>
      </w:r>
      <w:r w:rsidR="00C31AFB">
        <w:t>Jaydess wa</w:t>
      </w:r>
      <w:r w:rsidRPr="00474FCE">
        <w:t xml:space="preserve">s considered adequate to satisfy the requirements of the </w:t>
      </w:r>
      <w:r w:rsidR="00C31AFB">
        <w:t xml:space="preserve">European Medicines Agency (EMA) </w:t>
      </w:r>
      <w:r w:rsidR="00C31AFB" w:rsidRPr="00C31AFB">
        <w:t xml:space="preserve">Committee for Medicinal Products for Human Use </w:t>
      </w:r>
      <w:r w:rsidR="00C31AFB">
        <w:t>(</w:t>
      </w:r>
      <w:r w:rsidRPr="00474FCE">
        <w:t>CHMP</w:t>
      </w:r>
      <w:r w:rsidR="00C31AFB">
        <w:t>)</w:t>
      </w:r>
      <w:r w:rsidRPr="00474FCE">
        <w:t xml:space="preserve"> </w:t>
      </w:r>
      <w:r w:rsidRPr="00474FCE">
        <w:rPr>
          <w:i/>
          <w:iCs/>
        </w:rPr>
        <w:t>‘Guideline on Clinical Investigation of Steroid Contraceptives in Women’</w:t>
      </w:r>
      <w:r w:rsidRPr="00474FCE">
        <w:t xml:space="preserve"> (</w:t>
      </w:r>
      <w:r w:rsidR="00C31AFB" w:rsidRPr="00C31AFB">
        <w:t>EMEA/CPMP/EWP/519/98 Rev 1</w:t>
      </w:r>
      <w:r w:rsidR="00C31AFB">
        <w:t xml:space="preserve">, July </w:t>
      </w:r>
      <w:r w:rsidRPr="00474FCE">
        <w:t>2005)</w:t>
      </w:r>
      <w:r w:rsidR="00C31AFB">
        <w:t>.</w:t>
      </w:r>
    </w:p>
    <w:p w:rsidR="00474FCE" w:rsidRPr="00912DFF" w:rsidRDefault="00474FCE" w:rsidP="00912DFF">
      <w:pPr>
        <w:pStyle w:val="Heading4"/>
      </w:pPr>
      <w:bookmarkStart w:id="59" w:name="_Toc376788815"/>
      <w:r w:rsidRPr="00474FCE">
        <w:t>Scope of the clinical dossier</w:t>
      </w:r>
      <w:bookmarkEnd w:id="59"/>
    </w:p>
    <w:p w:rsidR="00474FCE" w:rsidRPr="00474FCE" w:rsidRDefault="00474FCE" w:rsidP="00912DFF">
      <w:r w:rsidRPr="00474FCE">
        <w:t>The submission contained the following clinical information:</w:t>
      </w:r>
    </w:p>
    <w:p w:rsidR="00474FCE" w:rsidRPr="00474FCE" w:rsidRDefault="00C31AFB" w:rsidP="00912DFF">
      <w:pPr>
        <w:pStyle w:val="ListBullet"/>
      </w:pPr>
      <w:r>
        <w:t>2 reports of b</w:t>
      </w:r>
      <w:r w:rsidR="00474FCE" w:rsidRPr="00474FCE">
        <w:t xml:space="preserve">iopharmaceutical </w:t>
      </w:r>
      <w:r>
        <w:t>s</w:t>
      </w:r>
      <w:r w:rsidR="00474FCE" w:rsidRPr="00474FCE">
        <w:t>tudies</w:t>
      </w:r>
      <w:r>
        <w:t>:</w:t>
      </w:r>
      <w:r w:rsidR="00474FCE" w:rsidRPr="00474FCE">
        <w:t xml:space="preserve"> </w:t>
      </w:r>
      <w:r>
        <w:t>i</w:t>
      </w:r>
      <w:r w:rsidR="00474FCE" w:rsidRPr="00474FCE">
        <w:rPr>
          <w:i/>
          <w:iCs/>
        </w:rPr>
        <w:t>n vitro</w:t>
      </w:r>
      <w:r w:rsidR="00474FCE" w:rsidRPr="00474FCE">
        <w:t>–</w:t>
      </w:r>
      <w:r>
        <w:t>i</w:t>
      </w:r>
      <w:r w:rsidR="00474FCE" w:rsidRPr="00474FCE">
        <w:rPr>
          <w:i/>
          <w:iCs/>
        </w:rPr>
        <w:t xml:space="preserve">n </w:t>
      </w:r>
      <w:r w:rsidR="00474FCE" w:rsidRPr="00912DFF">
        <w:t>vivo</w:t>
      </w:r>
      <w:r w:rsidR="00474FCE" w:rsidRPr="00474FCE">
        <w:t xml:space="preserve"> </w:t>
      </w:r>
      <w:r>
        <w:t>c</w:t>
      </w:r>
      <w:r w:rsidR="00474FCE" w:rsidRPr="00474FCE">
        <w:t xml:space="preserve">orrelation </w:t>
      </w:r>
      <w:r>
        <w:t>s</w:t>
      </w:r>
      <w:r w:rsidR="00474FCE" w:rsidRPr="00474FCE">
        <w:t xml:space="preserve">tudy </w:t>
      </w:r>
      <w:r>
        <w:t>r</w:t>
      </w:r>
      <w:r w:rsidR="00474FCE" w:rsidRPr="00474FCE">
        <w:t>eports</w:t>
      </w:r>
    </w:p>
    <w:p w:rsidR="00474FCE" w:rsidRPr="00474FCE" w:rsidRDefault="00474FCE" w:rsidP="00912DFF">
      <w:pPr>
        <w:pStyle w:val="ListBullet"/>
      </w:pPr>
      <w:r w:rsidRPr="00474FCE">
        <w:t xml:space="preserve">12 </w:t>
      </w:r>
      <w:r w:rsidR="00C31AFB">
        <w:t>r</w:t>
      </w:r>
      <w:r w:rsidRPr="00474FCE">
        <w:t xml:space="preserve">eports of </w:t>
      </w:r>
      <w:r w:rsidR="00C31AFB">
        <w:t>b</w:t>
      </w:r>
      <w:r w:rsidRPr="00474FCE">
        <w:t xml:space="preserve">iopharmaceutical </w:t>
      </w:r>
      <w:r w:rsidR="00C31AFB">
        <w:t>s</w:t>
      </w:r>
      <w:r w:rsidRPr="00474FCE">
        <w:t>tudies</w:t>
      </w:r>
      <w:r w:rsidR="00C31AFB">
        <w:t>:</w:t>
      </w:r>
      <w:r w:rsidRPr="00474FCE">
        <w:t xml:space="preserve"> </w:t>
      </w:r>
      <w:proofErr w:type="spellStart"/>
      <w:r w:rsidR="00C31AFB" w:rsidRPr="00912DFF">
        <w:t>b</w:t>
      </w:r>
      <w:r w:rsidRPr="00912DFF">
        <w:t>ioanalytical</w:t>
      </w:r>
      <w:proofErr w:type="spellEnd"/>
      <w:r w:rsidRPr="00474FCE">
        <w:t xml:space="preserve"> and </w:t>
      </w:r>
      <w:r w:rsidR="00C31AFB">
        <w:t>a</w:t>
      </w:r>
      <w:r w:rsidRPr="00474FCE">
        <w:t xml:space="preserve">nalytical </w:t>
      </w:r>
      <w:r w:rsidR="00C31AFB">
        <w:t>m</w:t>
      </w:r>
      <w:r w:rsidRPr="00474FCE">
        <w:t xml:space="preserve">ethods for </w:t>
      </w:r>
      <w:r w:rsidR="00C31AFB">
        <w:t>h</w:t>
      </w:r>
      <w:r w:rsidRPr="00474FCE">
        <w:t xml:space="preserve">uman </w:t>
      </w:r>
      <w:r w:rsidR="00C31AFB">
        <w:t>s</w:t>
      </w:r>
      <w:r w:rsidRPr="00474FCE">
        <w:t>ubjects</w:t>
      </w:r>
    </w:p>
    <w:p w:rsidR="00474FCE" w:rsidRPr="00474FCE" w:rsidRDefault="00474FCE" w:rsidP="00912DFF">
      <w:pPr>
        <w:pStyle w:val="ListBullet"/>
      </w:pPr>
      <w:r w:rsidRPr="00474FCE">
        <w:lastRenderedPageBreak/>
        <w:t xml:space="preserve">2 studies pertinent to pharmacokinetics </w:t>
      </w:r>
      <w:r w:rsidR="00C31AFB">
        <w:t>(PK) u</w:t>
      </w:r>
      <w:r w:rsidRPr="00474FCE">
        <w:t xml:space="preserve">sing </w:t>
      </w:r>
      <w:r w:rsidR="00C31AFB">
        <w:t>h</w:t>
      </w:r>
      <w:r w:rsidRPr="00474FCE">
        <w:t xml:space="preserve">uman </w:t>
      </w:r>
      <w:r w:rsidR="00C31AFB">
        <w:t>b</w:t>
      </w:r>
      <w:r w:rsidRPr="00474FCE">
        <w:t>iomaterials</w:t>
      </w:r>
      <w:r w:rsidR="00C31AFB">
        <w:t>:</w:t>
      </w:r>
      <w:r w:rsidRPr="00474FCE">
        <w:t xml:space="preserve"> </w:t>
      </w:r>
      <w:r w:rsidR="00C31AFB">
        <w:t>p</w:t>
      </w:r>
      <w:r w:rsidRPr="00474FCE">
        <w:t xml:space="preserve">lasma </w:t>
      </w:r>
      <w:r w:rsidR="00C31AFB">
        <w:t>p</w:t>
      </w:r>
      <w:r w:rsidRPr="00474FCE">
        <w:t xml:space="preserve">rotein </w:t>
      </w:r>
      <w:r w:rsidR="00C31AFB">
        <w:t>b</w:t>
      </w:r>
      <w:r w:rsidRPr="00474FCE">
        <w:t xml:space="preserve">inding </w:t>
      </w:r>
      <w:r w:rsidR="00C31AFB">
        <w:t>s</w:t>
      </w:r>
      <w:r w:rsidRPr="00474FCE">
        <w:t xml:space="preserve">tudy </w:t>
      </w:r>
      <w:r w:rsidR="00C31AFB">
        <w:t>r</w:t>
      </w:r>
      <w:r w:rsidRPr="00474FCE">
        <w:t xml:space="preserve">eport and </w:t>
      </w:r>
      <w:r w:rsidR="00C31AFB">
        <w:t>h</w:t>
      </w:r>
      <w:r w:rsidRPr="00474FCE">
        <w:t xml:space="preserve">epatic </w:t>
      </w:r>
      <w:r w:rsidR="00C31AFB">
        <w:t>m</w:t>
      </w:r>
      <w:r w:rsidRPr="00474FCE">
        <w:t xml:space="preserve">etabolism and </w:t>
      </w:r>
      <w:r w:rsidR="00C31AFB">
        <w:t>d</w:t>
      </w:r>
      <w:r w:rsidRPr="00474FCE">
        <w:t xml:space="preserve">rug </w:t>
      </w:r>
      <w:r w:rsidR="00C31AFB">
        <w:t>i</w:t>
      </w:r>
      <w:r w:rsidRPr="00474FCE">
        <w:t xml:space="preserve">nteraction </w:t>
      </w:r>
      <w:r w:rsidR="00C31AFB">
        <w:t>s</w:t>
      </w:r>
      <w:r w:rsidRPr="00474FCE">
        <w:t>tudy</w:t>
      </w:r>
    </w:p>
    <w:p w:rsidR="00474FCE" w:rsidRPr="00474FCE" w:rsidRDefault="00474FCE" w:rsidP="00912DFF">
      <w:pPr>
        <w:pStyle w:val="ListBullet"/>
      </w:pPr>
      <w:r w:rsidRPr="00474FCE">
        <w:t xml:space="preserve">2 </w:t>
      </w:r>
      <w:r w:rsidR="00C31AFB">
        <w:t>r</w:t>
      </w:r>
      <w:r w:rsidRPr="00474FCE">
        <w:t xml:space="preserve">eports of </w:t>
      </w:r>
      <w:r w:rsidR="00C31AFB">
        <w:t>h</w:t>
      </w:r>
      <w:r w:rsidRPr="00474FCE">
        <w:t xml:space="preserve">uman </w:t>
      </w:r>
      <w:r w:rsidR="00C31AFB">
        <w:t>PK s</w:t>
      </w:r>
      <w:r w:rsidRPr="00474FCE">
        <w:t>tudies</w:t>
      </w:r>
      <w:r w:rsidR="00C31AFB">
        <w:t>:</w:t>
      </w:r>
      <w:r w:rsidRPr="00474FCE">
        <w:t xml:space="preserve"> </w:t>
      </w:r>
      <w:r w:rsidR="00C31AFB" w:rsidRPr="00474FCE">
        <w:t xml:space="preserve">healthy subject </w:t>
      </w:r>
      <w:r w:rsidR="00C31AFB">
        <w:t xml:space="preserve">PK </w:t>
      </w:r>
      <w:r w:rsidR="00C31AFB" w:rsidRPr="00912DFF">
        <w:t>and</w:t>
      </w:r>
      <w:r w:rsidR="00C31AFB" w:rsidRPr="00474FCE">
        <w:t xml:space="preserve"> initial tolerability study and patient </w:t>
      </w:r>
      <w:r w:rsidR="00C31AFB">
        <w:t xml:space="preserve">PK </w:t>
      </w:r>
      <w:r w:rsidR="00C31AFB" w:rsidRPr="00474FCE">
        <w:t>and initial tolerability study reports</w:t>
      </w:r>
    </w:p>
    <w:p w:rsidR="00474FCE" w:rsidRPr="00474FCE" w:rsidRDefault="00C31AFB" w:rsidP="00912DFF">
      <w:pPr>
        <w:pStyle w:val="ListBullet"/>
      </w:pPr>
      <w:r w:rsidRPr="00474FCE">
        <w:t xml:space="preserve">3 reports of human </w:t>
      </w:r>
      <w:r>
        <w:t>PK</w:t>
      </w:r>
      <w:r w:rsidR="004B0A40">
        <w:t xml:space="preserve"> </w:t>
      </w:r>
      <w:r w:rsidRPr="00474FCE">
        <w:t>studies</w:t>
      </w:r>
      <w:r>
        <w:t>:</w:t>
      </w:r>
      <w:r w:rsidRPr="00474FCE">
        <w:t xml:space="preserve"> population </w:t>
      </w:r>
      <w:r>
        <w:t xml:space="preserve">PK </w:t>
      </w:r>
      <w:r w:rsidRPr="00474FCE">
        <w:t>study reports</w:t>
      </w:r>
    </w:p>
    <w:p w:rsidR="00474FCE" w:rsidRPr="00474FCE" w:rsidRDefault="00C31AFB" w:rsidP="00912DFF">
      <w:pPr>
        <w:pStyle w:val="ListBullet"/>
      </w:pPr>
      <w:r w:rsidRPr="00474FCE">
        <w:t>2 report of efficacy and safety studies</w:t>
      </w:r>
      <w:r>
        <w:t>:</w:t>
      </w:r>
      <w:r w:rsidR="00615D99">
        <w:t xml:space="preserve"> </w:t>
      </w:r>
      <w:r w:rsidRPr="00474FCE">
        <w:t xml:space="preserve">controlled </w:t>
      </w:r>
      <w:r w:rsidRPr="00912DFF">
        <w:t>clinical</w:t>
      </w:r>
      <w:r w:rsidRPr="00474FCE">
        <w:t xml:space="preserve"> studies pertinent to the indication and uncontrolled clinical stud</w:t>
      </w:r>
      <w:r w:rsidR="00912DFF">
        <w:t>ies pertinent to the indication</w:t>
      </w:r>
    </w:p>
    <w:p w:rsidR="00474FCE" w:rsidRDefault="00C31AFB" w:rsidP="00912DFF">
      <w:pPr>
        <w:pStyle w:val="ListBullet"/>
      </w:pPr>
      <w:r w:rsidRPr="00474FCE">
        <w:t>7 other study reports/protocols</w:t>
      </w:r>
    </w:p>
    <w:p w:rsidR="00C31AFB" w:rsidRPr="00474FCE" w:rsidRDefault="00C31AFB" w:rsidP="00912DFF">
      <w:r>
        <w:t>A clinical overview, clinical summaries and literature</w:t>
      </w:r>
      <w:r w:rsidR="00912DFF">
        <w:t xml:space="preserve"> references were also provided.</w:t>
      </w:r>
    </w:p>
    <w:p w:rsidR="00474FCE" w:rsidRPr="00912DFF" w:rsidRDefault="00474FCE" w:rsidP="00912DFF">
      <w:pPr>
        <w:pStyle w:val="Heading4"/>
      </w:pPr>
      <w:bookmarkStart w:id="60" w:name="_Toc376788816"/>
      <w:r w:rsidRPr="00474FCE">
        <w:t>Paediatric data</w:t>
      </w:r>
      <w:bookmarkEnd w:id="60"/>
    </w:p>
    <w:p w:rsidR="00474FCE" w:rsidRPr="00474FCE" w:rsidRDefault="00C31AFB" w:rsidP="00912DFF">
      <w:r>
        <w:t>Not relevant as t</w:t>
      </w:r>
      <w:r w:rsidR="00474FCE" w:rsidRPr="00474FCE">
        <w:t xml:space="preserve">he PI proposes use in age 18 </w:t>
      </w:r>
      <w:r>
        <w:t xml:space="preserve">years </w:t>
      </w:r>
      <w:r w:rsidR="00474FCE" w:rsidRPr="00474FCE">
        <w:t>and over</w:t>
      </w:r>
      <w:r>
        <w:t>.</w:t>
      </w:r>
    </w:p>
    <w:p w:rsidR="00474FCE" w:rsidRPr="00912DFF" w:rsidRDefault="00474FCE" w:rsidP="00912DFF">
      <w:pPr>
        <w:pStyle w:val="Heading4"/>
      </w:pPr>
      <w:bookmarkStart w:id="61" w:name="_Toc376788817"/>
      <w:r w:rsidRPr="00474FCE">
        <w:t>Good clinical practice</w:t>
      </w:r>
      <w:bookmarkEnd w:id="61"/>
    </w:p>
    <w:p w:rsidR="00474FCE" w:rsidRPr="00474FCE" w:rsidRDefault="00474FCE" w:rsidP="00912DFF">
      <w:bookmarkStart w:id="62" w:name="_Toc241374282"/>
      <w:r w:rsidRPr="00474FCE">
        <w:t>The pivo</w:t>
      </w:r>
      <w:r w:rsidR="00C31AFB">
        <w:t>tal and supporting clinical S</w:t>
      </w:r>
      <w:r w:rsidRPr="00474FCE">
        <w:t xml:space="preserve">tudies A46796 and A52238 </w:t>
      </w:r>
      <w:r w:rsidR="00C31AFB">
        <w:t>we</w:t>
      </w:r>
      <w:r w:rsidRPr="00474FCE">
        <w:t>re in line with international guidelines on the development of steroid contraceptives in women (</w:t>
      </w:r>
      <w:r w:rsidR="00C31AFB" w:rsidRPr="00C31AFB">
        <w:t xml:space="preserve">CHMP </w:t>
      </w:r>
      <w:r w:rsidR="00C31AFB" w:rsidRPr="00C31AFB">
        <w:rPr>
          <w:i/>
          <w:iCs/>
        </w:rPr>
        <w:t>Guideline on Clinical Investigation of Steroid Contraceptives in Women</w:t>
      </w:r>
      <w:r w:rsidR="00C31AFB" w:rsidRPr="00C31AFB">
        <w:t xml:space="preserve"> (EMEA/C</w:t>
      </w:r>
      <w:r w:rsidR="00F6152A">
        <w:t>PMP/EWP/519/98 Rev 1 July 2005)</w:t>
      </w:r>
      <w:r w:rsidRPr="00474FCE">
        <w:t xml:space="preserve"> and have been discussed with several health authorities in Europe and the US Food</w:t>
      </w:r>
      <w:r w:rsidR="00912DFF">
        <w:t xml:space="preserve"> and Drug Administration (FDA).</w:t>
      </w:r>
    </w:p>
    <w:p w:rsidR="00474FCE" w:rsidRPr="00474FCE" w:rsidRDefault="00474FCE" w:rsidP="00912DFF">
      <w:r w:rsidRPr="00474FCE">
        <w:t>The documentation provided in the submission shows that all clinical studies performed in the framework of this submission were or are being conducted in accordance with the Inte</w:t>
      </w:r>
      <w:r w:rsidR="00615D99">
        <w:t>rnational Conference on Harmonis</w:t>
      </w:r>
      <w:r w:rsidRPr="00474FCE">
        <w:t>ation (ICH) Good Clinical Practice</w:t>
      </w:r>
      <w:r w:rsidR="00C31AFB">
        <w:t xml:space="preserve"> (GCP)</w:t>
      </w:r>
      <w:r w:rsidRPr="00474FCE">
        <w:t xml:space="preserve">, the principles of the Declaration of Helsinki, and all applicable national regulations valid at the time the studies were performed. The protocols and protocol amendments were reviewed and approved by Independent Ethics Committees </w:t>
      </w:r>
      <w:r w:rsidR="00912DFF">
        <w:t>or Institutional Review Boards.</w:t>
      </w:r>
    </w:p>
    <w:p w:rsidR="008E7846" w:rsidRPr="00912DFF" w:rsidRDefault="008E7846" w:rsidP="00912DFF">
      <w:pPr>
        <w:pStyle w:val="Heading3"/>
      </w:pPr>
      <w:bookmarkStart w:id="63" w:name="_Toc196046464"/>
      <w:bookmarkStart w:id="64" w:name="_Toc247691518"/>
      <w:bookmarkStart w:id="65" w:name="_Toc314842502"/>
      <w:bookmarkStart w:id="66" w:name="_Toc380568270"/>
      <w:bookmarkEnd w:id="62"/>
      <w:r w:rsidRPr="00254787">
        <w:t>Pharmacokinetics</w:t>
      </w:r>
      <w:bookmarkEnd w:id="47"/>
      <w:bookmarkEnd w:id="63"/>
      <w:bookmarkEnd w:id="64"/>
      <w:bookmarkEnd w:id="65"/>
      <w:bookmarkEnd w:id="66"/>
    </w:p>
    <w:p w:rsidR="004B0A40" w:rsidRPr="00912DFF" w:rsidRDefault="004B0A40" w:rsidP="00912DFF">
      <w:pPr>
        <w:pStyle w:val="Heading4"/>
      </w:pPr>
      <w:r>
        <w:t>Studies providing p</w:t>
      </w:r>
      <w:r w:rsidR="00912DFF">
        <w:t>harmacokinetics data</w:t>
      </w:r>
    </w:p>
    <w:p w:rsidR="004B0A40" w:rsidRPr="004B0A40" w:rsidRDefault="004B0A40" w:rsidP="00912DFF">
      <w:r w:rsidRPr="004B0A40">
        <w:t xml:space="preserve">In addition to the studies described in Table </w:t>
      </w:r>
      <w:r w:rsidR="004251D5">
        <w:t>1</w:t>
      </w:r>
      <w:r w:rsidRPr="004B0A40">
        <w:t xml:space="preserve">, the clinical data included </w:t>
      </w:r>
      <w:r>
        <w:t xml:space="preserve">PK modelling, simulation and </w:t>
      </w:r>
      <w:r w:rsidRPr="004B0A40">
        <w:rPr>
          <w:i/>
          <w:iCs/>
        </w:rPr>
        <w:t>in vitro</w:t>
      </w:r>
      <w:r>
        <w:t>-</w:t>
      </w:r>
      <w:r w:rsidRPr="004B0A40">
        <w:rPr>
          <w:i/>
          <w:iCs/>
        </w:rPr>
        <w:t>in vivo</w:t>
      </w:r>
      <w:r w:rsidR="00912DFF">
        <w:t xml:space="preserve"> correlation studies.</w:t>
      </w:r>
    </w:p>
    <w:p w:rsidR="00477677" w:rsidRPr="00477677" w:rsidRDefault="00477677" w:rsidP="00912DFF">
      <w:pPr>
        <w:pStyle w:val="TableTitle"/>
      </w:pPr>
      <w:proofErr w:type="gramStart"/>
      <w:r w:rsidRPr="00477677">
        <w:t xml:space="preserve">Table </w:t>
      </w:r>
      <w:r w:rsidR="004251D5">
        <w:t>1</w:t>
      </w:r>
      <w:r w:rsidRPr="00477677">
        <w:t>.</w:t>
      </w:r>
      <w:proofErr w:type="gramEnd"/>
      <w:r w:rsidRPr="00477677">
        <w:t xml:space="preserve"> Su</w:t>
      </w:r>
      <w:r w:rsidR="004B0A40">
        <w:t>bmitted pharmacokinetic studies</w:t>
      </w:r>
    </w:p>
    <w:tbl>
      <w:tblPr>
        <w:tblStyle w:val="TableTGAblue"/>
        <w:tblW w:w="8505" w:type="dxa"/>
        <w:tblLayout w:type="fixed"/>
        <w:tblLook w:val="0620" w:firstRow="1" w:lastRow="0" w:firstColumn="0" w:lastColumn="0" w:noHBand="1" w:noVBand="1"/>
      </w:tblPr>
      <w:tblGrid>
        <w:gridCol w:w="1276"/>
        <w:gridCol w:w="1559"/>
        <w:gridCol w:w="1593"/>
        <w:gridCol w:w="4077"/>
      </w:tblGrid>
      <w:tr w:rsidR="00477677" w:rsidRPr="00477677" w:rsidTr="00912DFF">
        <w:trPr>
          <w:cnfStyle w:val="100000000000" w:firstRow="1" w:lastRow="0" w:firstColumn="0" w:lastColumn="0" w:oddVBand="0" w:evenVBand="0" w:oddHBand="0" w:evenHBand="0" w:firstRowFirstColumn="0" w:firstRowLastColumn="0" w:lastRowFirstColumn="0" w:lastRowLastColumn="0"/>
          <w:tblHeader/>
        </w:trPr>
        <w:tc>
          <w:tcPr>
            <w:tcW w:w="1276" w:type="dxa"/>
          </w:tcPr>
          <w:p w:rsidR="00477677" w:rsidRPr="00477677" w:rsidRDefault="00477677" w:rsidP="00912DFF">
            <w:pPr>
              <w:ind w:left="0" w:right="0"/>
            </w:pPr>
            <w:r w:rsidRPr="00477677">
              <w:t>PK topic</w:t>
            </w:r>
          </w:p>
        </w:tc>
        <w:tc>
          <w:tcPr>
            <w:tcW w:w="1559" w:type="dxa"/>
          </w:tcPr>
          <w:p w:rsidR="00477677" w:rsidRPr="00477677" w:rsidRDefault="00477677" w:rsidP="00912DFF">
            <w:pPr>
              <w:ind w:left="0" w:right="0"/>
            </w:pPr>
            <w:r w:rsidRPr="00477677">
              <w:t>Subtopic</w:t>
            </w:r>
          </w:p>
        </w:tc>
        <w:tc>
          <w:tcPr>
            <w:tcW w:w="1593" w:type="dxa"/>
          </w:tcPr>
          <w:p w:rsidR="00477677" w:rsidRPr="00477677" w:rsidRDefault="00477677" w:rsidP="00912DFF">
            <w:pPr>
              <w:ind w:left="0" w:right="0"/>
            </w:pPr>
            <w:r w:rsidRPr="00477677">
              <w:t>Study ID</w:t>
            </w:r>
          </w:p>
        </w:tc>
        <w:tc>
          <w:tcPr>
            <w:tcW w:w="4077" w:type="dxa"/>
          </w:tcPr>
          <w:p w:rsidR="00477677" w:rsidRPr="00477677" w:rsidRDefault="00477677" w:rsidP="00912DFF">
            <w:pPr>
              <w:tabs>
                <w:tab w:val="left" w:pos="3861"/>
              </w:tabs>
              <w:ind w:left="0" w:right="67"/>
            </w:pPr>
            <w:r w:rsidRPr="00477677">
              <w:t>Description</w:t>
            </w:r>
          </w:p>
        </w:tc>
      </w:tr>
      <w:tr w:rsidR="00477677" w:rsidRPr="00477677" w:rsidTr="00912DFF">
        <w:tc>
          <w:tcPr>
            <w:tcW w:w="1276" w:type="dxa"/>
            <w:vMerge w:val="restart"/>
          </w:tcPr>
          <w:p w:rsidR="00477677" w:rsidRPr="00477677" w:rsidRDefault="00477677" w:rsidP="00912DFF">
            <w:pPr>
              <w:ind w:left="0" w:right="0"/>
            </w:pPr>
            <w:r w:rsidRPr="00477677">
              <w:t>PK in healthy adults</w:t>
            </w:r>
          </w:p>
        </w:tc>
        <w:tc>
          <w:tcPr>
            <w:tcW w:w="1559" w:type="dxa"/>
          </w:tcPr>
          <w:p w:rsidR="00477677" w:rsidRPr="00477677" w:rsidRDefault="00477677" w:rsidP="00912DFF">
            <w:pPr>
              <w:ind w:left="0" w:right="0"/>
            </w:pPr>
            <w:r w:rsidRPr="00477677">
              <w:t>General PK-Single dose</w:t>
            </w:r>
          </w:p>
        </w:tc>
        <w:tc>
          <w:tcPr>
            <w:tcW w:w="1593" w:type="dxa"/>
          </w:tcPr>
          <w:p w:rsidR="004B0A40" w:rsidRDefault="00477677" w:rsidP="00912DFF">
            <w:pPr>
              <w:spacing w:after="720"/>
              <w:ind w:left="0" w:right="0"/>
            </w:pPr>
            <w:r w:rsidRPr="00477677">
              <w:t>A229 (</w:t>
            </w:r>
            <w:r>
              <w:t xml:space="preserve">with </w:t>
            </w:r>
            <w:r w:rsidRPr="00477677">
              <w:t>oral levonorgestrel)</w:t>
            </w:r>
          </w:p>
          <w:p w:rsidR="00477677" w:rsidRPr="00477677" w:rsidRDefault="00477677" w:rsidP="00912DFF">
            <w:pPr>
              <w:ind w:left="0" w:right="0"/>
            </w:pPr>
            <w:r w:rsidRPr="00477677">
              <w:t>A10982 (</w:t>
            </w:r>
            <w:r>
              <w:t xml:space="preserve">with </w:t>
            </w:r>
            <w:r w:rsidRPr="00477677">
              <w:t>Mirena)</w:t>
            </w:r>
          </w:p>
        </w:tc>
        <w:tc>
          <w:tcPr>
            <w:tcW w:w="4077" w:type="dxa"/>
          </w:tcPr>
          <w:p w:rsidR="00477677" w:rsidRPr="00477677" w:rsidRDefault="00477677" w:rsidP="00912DFF">
            <w:pPr>
              <w:tabs>
                <w:tab w:val="left" w:pos="3861"/>
              </w:tabs>
              <w:spacing w:after="240"/>
              <w:ind w:left="0" w:right="67"/>
            </w:pPr>
            <w:r w:rsidRPr="00477677">
              <w:t xml:space="preserve">Absolute bioavailability of </w:t>
            </w:r>
            <w:proofErr w:type="spellStart"/>
            <w:r w:rsidRPr="00477677">
              <w:t>levonorgestrel</w:t>
            </w:r>
            <w:proofErr w:type="spellEnd"/>
            <w:r w:rsidRPr="00477677">
              <w:t xml:space="preserve"> from </w:t>
            </w:r>
            <w:proofErr w:type="spellStart"/>
            <w:r w:rsidRPr="00477677">
              <w:t>M</w:t>
            </w:r>
            <w:r>
              <w:t>icrolut</w:t>
            </w:r>
            <w:proofErr w:type="spellEnd"/>
            <w:r>
              <w:t xml:space="preserve"> </w:t>
            </w:r>
            <w:r w:rsidRPr="00477677">
              <w:t xml:space="preserve">and dose linearity of levonorgestrel </w:t>
            </w:r>
            <w:r>
              <w:t xml:space="preserve">PK </w:t>
            </w:r>
            <w:r w:rsidRPr="00477677">
              <w:t>in 18 healthy, young women</w:t>
            </w:r>
          </w:p>
          <w:p w:rsidR="00477677" w:rsidRPr="00477677" w:rsidRDefault="00477677" w:rsidP="00912DFF">
            <w:pPr>
              <w:tabs>
                <w:tab w:val="left" w:pos="3861"/>
              </w:tabs>
              <w:spacing w:after="240"/>
              <w:ind w:left="0" w:right="67"/>
            </w:pPr>
            <w:r w:rsidRPr="00477677">
              <w:t>A Multi</w:t>
            </w:r>
            <w:r w:rsidR="004B0A40">
              <w:t>center, Open-Label, Non-Randomis</w:t>
            </w:r>
            <w:r w:rsidRPr="00477677">
              <w:t>ed Study of SHG 00650 Levonorgestrel</w:t>
            </w:r>
          </w:p>
          <w:p w:rsidR="00477677" w:rsidRPr="00477677" w:rsidRDefault="00477677" w:rsidP="00912DFF">
            <w:pPr>
              <w:tabs>
                <w:tab w:val="left" w:pos="3861"/>
              </w:tabs>
              <w:ind w:left="0" w:right="67"/>
            </w:pPr>
            <w:r w:rsidRPr="00477677">
              <w:t>Intrauterine System in Parous Women Seeking</w:t>
            </w:r>
            <w:r>
              <w:t xml:space="preserve"> </w:t>
            </w:r>
            <w:r w:rsidRPr="00477677">
              <w:t xml:space="preserve">Contraception to Evaluate its Efficacy, Safety, and </w:t>
            </w:r>
            <w:r>
              <w:t xml:space="preserve">PK </w:t>
            </w:r>
            <w:r w:rsidRPr="00477677">
              <w:t xml:space="preserve">Profile when </w:t>
            </w:r>
            <w:r w:rsidRPr="00477677">
              <w:lastRenderedPageBreak/>
              <w:t>Inserted for 12 months</w:t>
            </w:r>
          </w:p>
        </w:tc>
      </w:tr>
      <w:tr w:rsidR="00477677" w:rsidRPr="00477677" w:rsidTr="00912DFF">
        <w:tc>
          <w:tcPr>
            <w:tcW w:w="1276" w:type="dxa"/>
            <w:vMerge/>
          </w:tcPr>
          <w:p w:rsidR="00477677" w:rsidRPr="00477677" w:rsidRDefault="00477677" w:rsidP="00912DFF">
            <w:pPr>
              <w:ind w:left="0" w:right="0"/>
            </w:pPr>
          </w:p>
        </w:tc>
        <w:tc>
          <w:tcPr>
            <w:tcW w:w="1559" w:type="dxa"/>
          </w:tcPr>
          <w:p w:rsidR="00477677" w:rsidRPr="00477677" w:rsidRDefault="00477677" w:rsidP="00912DFF">
            <w:pPr>
              <w:ind w:left="0" w:right="0"/>
            </w:pPr>
            <w:r w:rsidRPr="00477677">
              <w:t>Multi-dose</w:t>
            </w:r>
          </w:p>
        </w:tc>
        <w:tc>
          <w:tcPr>
            <w:tcW w:w="1593" w:type="dxa"/>
          </w:tcPr>
          <w:p w:rsidR="00477677" w:rsidRPr="00477677" w:rsidRDefault="00477677" w:rsidP="00912DFF">
            <w:pPr>
              <w:ind w:left="0" w:right="0"/>
            </w:pPr>
            <w:r w:rsidRPr="00477677">
              <w:t>N/A</w:t>
            </w:r>
          </w:p>
        </w:tc>
        <w:tc>
          <w:tcPr>
            <w:tcW w:w="4077" w:type="dxa"/>
          </w:tcPr>
          <w:p w:rsidR="00477677" w:rsidRPr="00477677" w:rsidRDefault="00477677" w:rsidP="00912DFF">
            <w:pPr>
              <w:tabs>
                <w:tab w:val="left" w:pos="3861"/>
              </w:tabs>
              <w:ind w:left="0" w:right="67"/>
            </w:pPr>
          </w:p>
        </w:tc>
      </w:tr>
      <w:tr w:rsidR="00477677" w:rsidRPr="00477677" w:rsidTr="00912DFF">
        <w:tc>
          <w:tcPr>
            <w:tcW w:w="1276" w:type="dxa"/>
            <w:vMerge/>
          </w:tcPr>
          <w:p w:rsidR="00477677" w:rsidRPr="00477677" w:rsidRDefault="00477677" w:rsidP="00912DFF">
            <w:pPr>
              <w:ind w:left="0" w:right="0"/>
            </w:pPr>
          </w:p>
        </w:tc>
        <w:tc>
          <w:tcPr>
            <w:tcW w:w="1559" w:type="dxa"/>
          </w:tcPr>
          <w:p w:rsidR="00477677" w:rsidRPr="00477677" w:rsidRDefault="00477677" w:rsidP="00912DFF">
            <w:pPr>
              <w:ind w:left="0" w:right="0"/>
            </w:pPr>
            <w:r w:rsidRPr="00477677">
              <w:t>Bioequivalence</w:t>
            </w:r>
            <w:r>
              <w:t xml:space="preserve"> </w:t>
            </w:r>
            <w:r w:rsidRPr="00477677">
              <w:t>Single dose</w:t>
            </w:r>
          </w:p>
        </w:tc>
        <w:tc>
          <w:tcPr>
            <w:tcW w:w="1593" w:type="dxa"/>
          </w:tcPr>
          <w:p w:rsidR="00477677" w:rsidRPr="00477677" w:rsidRDefault="00477677" w:rsidP="00912DFF">
            <w:pPr>
              <w:ind w:left="0" w:right="0"/>
            </w:pPr>
            <w:r w:rsidRPr="00477677">
              <w:t>13362</w:t>
            </w:r>
          </w:p>
          <w:p w:rsidR="00477677" w:rsidRPr="00477677" w:rsidRDefault="00477677" w:rsidP="00912DFF">
            <w:pPr>
              <w:ind w:left="0" w:right="0"/>
            </w:pPr>
            <w:r w:rsidRPr="00477677">
              <w:t>13363</w:t>
            </w:r>
          </w:p>
        </w:tc>
        <w:tc>
          <w:tcPr>
            <w:tcW w:w="4077" w:type="dxa"/>
          </w:tcPr>
          <w:p w:rsidR="00477677" w:rsidRPr="00477677" w:rsidRDefault="00477677" w:rsidP="00912DFF">
            <w:pPr>
              <w:tabs>
                <w:tab w:val="left" w:pos="3861"/>
              </w:tabs>
              <w:ind w:left="0" w:right="67"/>
            </w:pPr>
            <w:r w:rsidRPr="00477677">
              <w:t xml:space="preserve">There was no </w:t>
            </w:r>
            <w:r>
              <w:t xml:space="preserve">PK </w:t>
            </w:r>
            <w:r w:rsidRPr="00477677">
              <w:t>bioequivalence data provided. These 2 studies were to show pharmacodynamic equivalence with other contraceptives and dose comparison with oth</w:t>
            </w:r>
            <w:r w:rsidR="00912DFF">
              <w:t xml:space="preserve">er </w:t>
            </w:r>
            <w:proofErr w:type="spellStart"/>
            <w:r w:rsidR="00912DFF">
              <w:t>levonorgestrel</w:t>
            </w:r>
            <w:proofErr w:type="spellEnd"/>
            <w:r w:rsidR="00912DFF">
              <w:t xml:space="preserve"> formulations.</w:t>
            </w:r>
          </w:p>
        </w:tc>
      </w:tr>
      <w:tr w:rsidR="00477677" w:rsidRPr="00477677" w:rsidTr="00912DFF">
        <w:trPr>
          <w:trHeight w:val="321"/>
        </w:trPr>
        <w:tc>
          <w:tcPr>
            <w:tcW w:w="1276" w:type="dxa"/>
            <w:vMerge/>
          </w:tcPr>
          <w:p w:rsidR="00477677" w:rsidRPr="00477677" w:rsidRDefault="00477677" w:rsidP="00912DFF">
            <w:pPr>
              <w:ind w:left="0" w:right="0"/>
            </w:pPr>
          </w:p>
        </w:tc>
        <w:tc>
          <w:tcPr>
            <w:tcW w:w="1559" w:type="dxa"/>
          </w:tcPr>
          <w:p w:rsidR="00477677" w:rsidRPr="00477677" w:rsidRDefault="00477677" w:rsidP="00912DFF">
            <w:pPr>
              <w:ind w:left="0" w:right="0"/>
            </w:pPr>
            <w:r w:rsidRPr="00477677">
              <w:t>Multi-dose</w:t>
            </w:r>
          </w:p>
        </w:tc>
        <w:tc>
          <w:tcPr>
            <w:tcW w:w="1593" w:type="dxa"/>
          </w:tcPr>
          <w:p w:rsidR="00477677" w:rsidRPr="00477677" w:rsidRDefault="00477677" w:rsidP="00912DFF">
            <w:pPr>
              <w:ind w:left="0" w:right="0"/>
            </w:pPr>
            <w:r w:rsidRPr="00477677">
              <w:t>None provided</w:t>
            </w:r>
          </w:p>
        </w:tc>
        <w:tc>
          <w:tcPr>
            <w:tcW w:w="4077" w:type="dxa"/>
          </w:tcPr>
          <w:p w:rsidR="00477677" w:rsidRPr="00477677" w:rsidRDefault="00477677" w:rsidP="00912DFF">
            <w:pPr>
              <w:tabs>
                <w:tab w:val="left" w:pos="3861"/>
              </w:tabs>
              <w:ind w:left="0" w:right="67"/>
            </w:pPr>
          </w:p>
        </w:tc>
      </w:tr>
      <w:tr w:rsidR="00477677" w:rsidRPr="00477677" w:rsidTr="00912DFF">
        <w:trPr>
          <w:trHeight w:val="269"/>
        </w:trPr>
        <w:tc>
          <w:tcPr>
            <w:tcW w:w="1276" w:type="dxa"/>
            <w:vMerge/>
          </w:tcPr>
          <w:p w:rsidR="00477677" w:rsidRPr="00477677" w:rsidRDefault="00477677" w:rsidP="00912DFF">
            <w:pPr>
              <w:ind w:left="0" w:right="0"/>
            </w:pPr>
          </w:p>
        </w:tc>
        <w:tc>
          <w:tcPr>
            <w:tcW w:w="1559" w:type="dxa"/>
          </w:tcPr>
          <w:p w:rsidR="00477677" w:rsidRPr="00477677" w:rsidRDefault="00477677" w:rsidP="00912DFF">
            <w:pPr>
              <w:ind w:left="0" w:right="0"/>
            </w:pPr>
            <w:r w:rsidRPr="00477677">
              <w:t>Food effect</w:t>
            </w:r>
          </w:p>
        </w:tc>
        <w:tc>
          <w:tcPr>
            <w:tcW w:w="1593" w:type="dxa"/>
          </w:tcPr>
          <w:p w:rsidR="00477677" w:rsidRPr="00477677" w:rsidRDefault="00477677" w:rsidP="00912DFF">
            <w:pPr>
              <w:ind w:left="0" w:right="0"/>
            </w:pPr>
            <w:r w:rsidRPr="00477677">
              <w:t>Not provided</w:t>
            </w:r>
          </w:p>
        </w:tc>
        <w:tc>
          <w:tcPr>
            <w:tcW w:w="4077" w:type="dxa"/>
          </w:tcPr>
          <w:p w:rsidR="00477677" w:rsidRPr="00477677" w:rsidRDefault="00477677" w:rsidP="00912DFF">
            <w:pPr>
              <w:tabs>
                <w:tab w:val="left" w:pos="3861"/>
              </w:tabs>
              <w:ind w:left="0" w:right="67"/>
            </w:pPr>
          </w:p>
        </w:tc>
      </w:tr>
      <w:tr w:rsidR="00477677" w:rsidRPr="00477677" w:rsidTr="00912DFF">
        <w:tc>
          <w:tcPr>
            <w:tcW w:w="1276" w:type="dxa"/>
            <w:vMerge w:val="restart"/>
          </w:tcPr>
          <w:p w:rsidR="00477677" w:rsidRPr="00477677" w:rsidRDefault="00477677" w:rsidP="00912DFF">
            <w:pPr>
              <w:ind w:left="0" w:right="0"/>
            </w:pPr>
            <w:r w:rsidRPr="00477677">
              <w:t>PK in special populations</w:t>
            </w:r>
          </w:p>
        </w:tc>
        <w:tc>
          <w:tcPr>
            <w:tcW w:w="1559" w:type="dxa"/>
          </w:tcPr>
          <w:p w:rsidR="00477677" w:rsidRPr="00477677" w:rsidRDefault="00477677" w:rsidP="00912DFF">
            <w:pPr>
              <w:ind w:left="0" w:right="0"/>
            </w:pPr>
            <w:r w:rsidRPr="00477677">
              <w:t>Target population Single dose</w:t>
            </w:r>
          </w:p>
        </w:tc>
        <w:tc>
          <w:tcPr>
            <w:tcW w:w="1593" w:type="dxa"/>
          </w:tcPr>
          <w:p w:rsidR="00B12000" w:rsidRDefault="004B0A40" w:rsidP="00912DFF">
            <w:pPr>
              <w:spacing w:after="720"/>
              <w:ind w:left="0" w:right="0"/>
            </w:pPr>
            <w:r>
              <w:t>A46796 (Phase II)</w:t>
            </w:r>
            <w:r w:rsidR="00477677" w:rsidRPr="00477677">
              <w:t xml:space="preserve"> nulliparous </w:t>
            </w:r>
            <w:r w:rsidR="00477677">
              <w:t xml:space="preserve">and </w:t>
            </w:r>
            <w:proofErr w:type="spellStart"/>
            <w:r w:rsidR="00477677" w:rsidRPr="00477677">
              <w:t>parous</w:t>
            </w:r>
            <w:proofErr w:type="spellEnd"/>
            <w:r w:rsidR="00477677">
              <w:t xml:space="preserve"> t</w:t>
            </w:r>
            <w:r w:rsidR="00477677" w:rsidRPr="00477677">
              <w:t>arget population</w:t>
            </w:r>
          </w:p>
          <w:p w:rsidR="00477677" w:rsidRPr="00477677" w:rsidRDefault="00477677" w:rsidP="00912DFF">
            <w:pPr>
              <w:spacing w:after="1080"/>
              <w:ind w:left="0" w:right="0"/>
            </w:pPr>
            <w:r w:rsidRPr="00477677">
              <w:t>A52238 (Phase III)</w:t>
            </w:r>
          </w:p>
          <w:p w:rsidR="00477677" w:rsidRPr="00477677" w:rsidRDefault="00B12000" w:rsidP="00912DFF">
            <w:pPr>
              <w:ind w:left="0" w:right="0"/>
            </w:pPr>
            <w:r>
              <w:t xml:space="preserve">91775 – Phase </w:t>
            </w:r>
            <w:proofErr w:type="spellStart"/>
            <w:r>
              <w:t>III</w:t>
            </w:r>
            <w:r w:rsidR="00477677" w:rsidRPr="00477677">
              <w:t>b</w:t>
            </w:r>
            <w:proofErr w:type="spellEnd"/>
            <w:r w:rsidR="00477677" w:rsidRPr="00477677">
              <w:t xml:space="preserve"> extension study for A52238 in Asia-Pacific region (China, Korea, Australia)</w:t>
            </w:r>
          </w:p>
        </w:tc>
        <w:tc>
          <w:tcPr>
            <w:tcW w:w="4077" w:type="dxa"/>
          </w:tcPr>
          <w:p w:rsidR="00477677" w:rsidRPr="00477677" w:rsidRDefault="00477677" w:rsidP="00912DFF">
            <w:pPr>
              <w:tabs>
                <w:tab w:val="left" w:pos="3861"/>
              </w:tabs>
              <w:spacing w:after="240"/>
              <w:ind w:left="0" w:right="67"/>
            </w:pPr>
            <w:r w:rsidRPr="00477677">
              <w:t>Multi-</w:t>
            </w:r>
            <w:proofErr w:type="spellStart"/>
            <w:r w:rsidRPr="00477677">
              <w:t>center</w:t>
            </w:r>
            <w:proofErr w:type="spellEnd"/>
            <w:r w:rsidRPr="00477677">
              <w:t>, open, randomi</w:t>
            </w:r>
            <w:r>
              <w:t>s</w:t>
            </w:r>
            <w:r w:rsidRPr="00477677">
              <w:t xml:space="preserve">ed, dose finding </w:t>
            </w:r>
            <w:r>
              <w:t>P</w:t>
            </w:r>
            <w:r w:rsidRPr="00477677">
              <w:t>hase II study to investigate for a maximum of three years ultra low dose levonorgestrel contraceptive intrauterine</w:t>
            </w:r>
            <w:r>
              <w:t xml:space="preserve"> </w:t>
            </w:r>
            <w:r w:rsidRPr="00477677">
              <w:t xml:space="preserve">systems releasing </w:t>
            </w:r>
            <w:r w:rsidRPr="00477677">
              <w:rPr>
                <w:i/>
                <w:iCs/>
              </w:rPr>
              <w:t>in vitro</w:t>
            </w:r>
            <w:r w:rsidRPr="00477677">
              <w:t xml:space="preserve"> 12 μg/24 h and 16 μg/24 h</w:t>
            </w:r>
            <w:r w:rsidR="004B0A40">
              <w:t xml:space="preserve"> </w:t>
            </w:r>
            <w:r w:rsidRPr="00477677">
              <w:t xml:space="preserve">of </w:t>
            </w:r>
            <w:r w:rsidR="00B90593" w:rsidRPr="00B90593">
              <w:t>levonorgestrel</w:t>
            </w:r>
            <w:r w:rsidRPr="00477677">
              <w:t xml:space="preserve"> compared to </w:t>
            </w:r>
            <w:r w:rsidR="00B90593">
              <w:t>Mirena</w:t>
            </w:r>
            <w:r w:rsidRPr="00477677">
              <w:t xml:space="preserve"> in nulliparous and parous women in need of contraception</w:t>
            </w:r>
          </w:p>
          <w:p w:rsidR="00477677" w:rsidRPr="00477677" w:rsidRDefault="00477677" w:rsidP="00912DFF">
            <w:pPr>
              <w:tabs>
                <w:tab w:val="left" w:pos="3861"/>
              </w:tabs>
              <w:spacing w:after="240"/>
              <w:ind w:left="0" w:right="67"/>
            </w:pPr>
            <w:r w:rsidRPr="00477677">
              <w:t>A52238 Phase III Multi-</w:t>
            </w:r>
            <w:proofErr w:type="spellStart"/>
            <w:r w:rsidRPr="00477677">
              <w:t>center</w:t>
            </w:r>
            <w:proofErr w:type="spellEnd"/>
            <w:r w:rsidRPr="00477677">
              <w:t>, open-label, randomi</w:t>
            </w:r>
            <w:r>
              <w:t>s</w:t>
            </w:r>
            <w:r w:rsidRPr="00477677">
              <w:t>ed study to assess the safety and contraceptive efficacy of two doses (</w:t>
            </w:r>
            <w:r w:rsidRPr="00477677">
              <w:rPr>
                <w:i/>
                <w:iCs/>
              </w:rPr>
              <w:t>in vitro</w:t>
            </w:r>
            <w:r w:rsidRPr="00477677">
              <w:t xml:space="preserve"> 12</w:t>
            </w:r>
            <w:r>
              <w:t> </w:t>
            </w:r>
            <w:r w:rsidRPr="00477677">
              <w:t>μg/24 h and 16</w:t>
            </w:r>
            <w:r>
              <w:t xml:space="preserve"> </w:t>
            </w:r>
            <w:r w:rsidRPr="00477677">
              <w:t>μg/24 h) of the ultra low dose levonorgestrel contraceptive intrauterine systems (LCS) for maximum of 3 years in women 18 to 35 years of age and extension phase of the 16</w:t>
            </w:r>
            <w:r>
              <w:t xml:space="preserve"> </w:t>
            </w:r>
            <w:r w:rsidRPr="00477677">
              <w:t>μg/24 h dose group (LCS16) up to 5 years</w:t>
            </w:r>
          </w:p>
          <w:p w:rsidR="00477677" w:rsidRPr="00477677" w:rsidRDefault="00477677" w:rsidP="00912DFF">
            <w:pPr>
              <w:tabs>
                <w:tab w:val="left" w:pos="3861"/>
              </w:tabs>
              <w:ind w:left="0" w:right="67"/>
            </w:pPr>
            <w:r w:rsidRPr="00477677">
              <w:t>Multi-</w:t>
            </w:r>
            <w:proofErr w:type="spellStart"/>
            <w:r w:rsidRPr="00477677">
              <w:t>center</w:t>
            </w:r>
            <w:proofErr w:type="spellEnd"/>
            <w:r w:rsidRPr="00477677">
              <w:t xml:space="preserve">, open label, single arm study to assess efficacy, safety, bleeding pattern and </w:t>
            </w:r>
            <w:r w:rsidR="00B12000">
              <w:t>PK</w:t>
            </w:r>
            <w:r w:rsidRPr="00477677">
              <w:t xml:space="preserve"> of the ultra low dose levonorgestrel intrauterine contraceptive system (LCS) for a maximum of 3 years in women 18 to 40 years of age </w:t>
            </w:r>
          </w:p>
        </w:tc>
      </w:tr>
      <w:tr w:rsidR="00477677" w:rsidRPr="00477677" w:rsidTr="00912DFF">
        <w:tc>
          <w:tcPr>
            <w:tcW w:w="1276" w:type="dxa"/>
            <w:vMerge/>
          </w:tcPr>
          <w:p w:rsidR="00477677" w:rsidRPr="00477677" w:rsidRDefault="00477677" w:rsidP="00912DFF">
            <w:pPr>
              <w:ind w:left="0" w:right="0"/>
            </w:pPr>
          </w:p>
        </w:tc>
        <w:tc>
          <w:tcPr>
            <w:tcW w:w="1559" w:type="dxa"/>
          </w:tcPr>
          <w:p w:rsidR="00477677" w:rsidRPr="00477677" w:rsidRDefault="00477677" w:rsidP="00912DFF">
            <w:pPr>
              <w:ind w:left="0" w:right="0"/>
            </w:pPr>
            <w:r w:rsidRPr="00477677">
              <w:t>Multi-dose</w:t>
            </w:r>
          </w:p>
        </w:tc>
        <w:tc>
          <w:tcPr>
            <w:tcW w:w="1593" w:type="dxa"/>
          </w:tcPr>
          <w:p w:rsidR="00477677" w:rsidRPr="00477677" w:rsidRDefault="00833FE9" w:rsidP="00912DFF">
            <w:pPr>
              <w:ind w:left="0" w:right="0"/>
            </w:pPr>
            <w:r>
              <w:t>Nil studies</w:t>
            </w:r>
          </w:p>
        </w:tc>
        <w:tc>
          <w:tcPr>
            <w:tcW w:w="4077" w:type="dxa"/>
          </w:tcPr>
          <w:p w:rsidR="00477677" w:rsidRPr="00477677" w:rsidRDefault="00477677" w:rsidP="00912DFF">
            <w:pPr>
              <w:tabs>
                <w:tab w:val="left" w:pos="3861"/>
              </w:tabs>
              <w:ind w:left="0" w:right="67"/>
            </w:pPr>
          </w:p>
        </w:tc>
      </w:tr>
      <w:tr w:rsidR="00477677" w:rsidRPr="00477677" w:rsidTr="00912DFF">
        <w:tc>
          <w:tcPr>
            <w:tcW w:w="1276" w:type="dxa"/>
            <w:vMerge/>
          </w:tcPr>
          <w:p w:rsidR="00477677" w:rsidRPr="00477677" w:rsidRDefault="00477677" w:rsidP="00912DFF">
            <w:pPr>
              <w:ind w:left="0" w:right="0"/>
            </w:pPr>
          </w:p>
        </w:tc>
        <w:tc>
          <w:tcPr>
            <w:tcW w:w="1559" w:type="dxa"/>
          </w:tcPr>
          <w:p w:rsidR="00477677" w:rsidRPr="00477677" w:rsidRDefault="00477677" w:rsidP="00912DFF">
            <w:pPr>
              <w:ind w:left="0" w:right="0"/>
            </w:pPr>
            <w:r w:rsidRPr="00477677">
              <w:t>Hepatic impairment</w:t>
            </w:r>
          </w:p>
        </w:tc>
        <w:tc>
          <w:tcPr>
            <w:tcW w:w="1593" w:type="dxa"/>
          </w:tcPr>
          <w:p w:rsidR="00477677" w:rsidRPr="00477677" w:rsidRDefault="00477677" w:rsidP="00912DFF">
            <w:pPr>
              <w:ind w:left="0" w:right="0"/>
            </w:pPr>
            <w:r w:rsidRPr="00477677">
              <w:t xml:space="preserve">A02495 </w:t>
            </w:r>
          </w:p>
        </w:tc>
        <w:tc>
          <w:tcPr>
            <w:tcW w:w="4077" w:type="dxa"/>
          </w:tcPr>
          <w:p w:rsidR="00477677" w:rsidRPr="00477677" w:rsidRDefault="00477677" w:rsidP="00912DFF">
            <w:pPr>
              <w:tabs>
                <w:tab w:val="left" w:pos="3861"/>
              </w:tabs>
              <w:ind w:left="0" w:right="67"/>
            </w:pPr>
            <w:r w:rsidRPr="00477677">
              <w:rPr>
                <w:i/>
                <w:iCs/>
              </w:rPr>
              <w:t>In vitro</w:t>
            </w:r>
            <w:r w:rsidRPr="00477677">
              <w:t xml:space="preserve"> study</w:t>
            </w:r>
          </w:p>
        </w:tc>
      </w:tr>
      <w:tr w:rsidR="00477677" w:rsidRPr="00477677" w:rsidTr="00912DFF">
        <w:tc>
          <w:tcPr>
            <w:tcW w:w="1276" w:type="dxa"/>
            <w:vMerge/>
          </w:tcPr>
          <w:p w:rsidR="00477677" w:rsidRPr="00477677" w:rsidRDefault="00477677" w:rsidP="00912DFF">
            <w:pPr>
              <w:ind w:left="0" w:right="0"/>
            </w:pPr>
          </w:p>
        </w:tc>
        <w:tc>
          <w:tcPr>
            <w:tcW w:w="1559" w:type="dxa"/>
          </w:tcPr>
          <w:p w:rsidR="00477677" w:rsidRPr="00477677" w:rsidRDefault="00477677" w:rsidP="00912DFF">
            <w:pPr>
              <w:ind w:left="0" w:right="0"/>
            </w:pPr>
            <w:r w:rsidRPr="00477677">
              <w:t>Renal impairment</w:t>
            </w:r>
          </w:p>
        </w:tc>
        <w:tc>
          <w:tcPr>
            <w:tcW w:w="1593" w:type="dxa"/>
          </w:tcPr>
          <w:p w:rsidR="00477677" w:rsidRPr="00477677" w:rsidRDefault="00477677" w:rsidP="00912DFF">
            <w:pPr>
              <w:ind w:left="0" w:right="0"/>
            </w:pPr>
          </w:p>
        </w:tc>
        <w:tc>
          <w:tcPr>
            <w:tcW w:w="4077" w:type="dxa"/>
          </w:tcPr>
          <w:p w:rsidR="00477677" w:rsidRPr="00477677" w:rsidRDefault="00477677" w:rsidP="00912DFF">
            <w:pPr>
              <w:tabs>
                <w:tab w:val="left" w:pos="3861"/>
              </w:tabs>
              <w:ind w:left="0" w:right="67"/>
            </w:pPr>
          </w:p>
        </w:tc>
      </w:tr>
      <w:tr w:rsidR="00477677" w:rsidRPr="00477677" w:rsidTr="00912DFF">
        <w:tc>
          <w:tcPr>
            <w:tcW w:w="1276" w:type="dxa"/>
            <w:vMerge/>
          </w:tcPr>
          <w:p w:rsidR="00477677" w:rsidRPr="00477677" w:rsidRDefault="00477677" w:rsidP="00912DFF">
            <w:pPr>
              <w:ind w:left="0" w:right="0"/>
            </w:pPr>
          </w:p>
        </w:tc>
        <w:tc>
          <w:tcPr>
            <w:tcW w:w="1559" w:type="dxa"/>
          </w:tcPr>
          <w:p w:rsidR="00477677" w:rsidRPr="00477677" w:rsidRDefault="00477677" w:rsidP="00912DFF">
            <w:pPr>
              <w:ind w:left="0" w:right="0"/>
            </w:pPr>
            <w:r w:rsidRPr="00477677">
              <w:t>Neonates/ infants/</w:t>
            </w:r>
            <w:r>
              <w:t xml:space="preserve"> </w:t>
            </w:r>
            <w:r w:rsidRPr="00477677">
              <w:t>children/</w:t>
            </w:r>
            <w:r>
              <w:t xml:space="preserve"> </w:t>
            </w:r>
            <w:r w:rsidRPr="00477677">
              <w:t>adolescents</w:t>
            </w:r>
          </w:p>
        </w:tc>
        <w:tc>
          <w:tcPr>
            <w:tcW w:w="1593" w:type="dxa"/>
          </w:tcPr>
          <w:p w:rsidR="00477677" w:rsidRPr="00477677" w:rsidRDefault="00477677" w:rsidP="00912DFF">
            <w:pPr>
              <w:ind w:left="0" w:right="0"/>
            </w:pPr>
            <w:r w:rsidRPr="00477677">
              <w:t>14371 (paediatric clinical trial under way for women post menarche)</w:t>
            </w:r>
          </w:p>
        </w:tc>
        <w:tc>
          <w:tcPr>
            <w:tcW w:w="4077" w:type="dxa"/>
          </w:tcPr>
          <w:p w:rsidR="00477677" w:rsidRPr="00477677" w:rsidRDefault="00477677" w:rsidP="00912DFF">
            <w:pPr>
              <w:tabs>
                <w:tab w:val="left" w:pos="3861"/>
              </w:tabs>
              <w:ind w:left="0" w:right="67"/>
            </w:pPr>
            <w:r w:rsidRPr="00477677">
              <w:t>Not relevant currently for this application if &lt;</w:t>
            </w:r>
            <w:r>
              <w:t xml:space="preserve"> </w:t>
            </w:r>
            <w:r w:rsidRPr="00477677">
              <w:t>18 years</w:t>
            </w:r>
          </w:p>
        </w:tc>
      </w:tr>
      <w:tr w:rsidR="00477677" w:rsidRPr="00477677" w:rsidTr="00912DFF">
        <w:tc>
          <w:tcPr>
            <w:tcW w:w="1276" w:type="dxa"/>
            <w:vMerge/>
          </w:tcPr>
          <w:p w:rsidR="00477677" w:rsidRPr="00477677" w:rsidRDefault="00477677" w:rsidP="00912DFF">
            <w:pPr>
              <w:ind w:left="0" w:right="0"/>
            </w:pPr>
          </w:p>
        </w:tc>
        <w:tc>
          <w:tcPr>
            <w:tcW w:w="1559" w:type="dxa"/>
          </w:tcPr>
          <w:p w:rsidR="00477677" w:rsidRPr="00477677" w:rsidRDefault="00477677" w:rsidP="00912DFF">
            <w:pPr>
              <w:ind w:left="0" w:right="0"/>
            </w:pPr>
            <w:r w:rsidRPr="00477677">
              <w:t>Elderly</w:t>
            </w:r>
          </w:p>
        </w:tc>
        <w:tc>
          <w:tcPr>
            <w:tcW w:w="1593" w:type="dxa"/>
          </w:tcPr>
          <w:p w:rsidR="00477677" w:rsidRPr="00477677" w:rsidRDefault="00477677" w:rsidP="00912DFF">
            <w:pPr>
              <w:ind w:left="0" w:right="0"/>
            </w:pPr>
          </w:p>
        </w:tc>
        <w:tc>
          <w:tcPr>
            <w:tcW w:w="4077" w:type="dxa"/>
          </w:tcPr>
          <w:p w:rsidR="00477677" w:rsidRPr="00477677" w:rsidRDefault="00477677" w:rsidP="00912DFF">
            <w:pPr>
              <w:tabs>
                <w:tab w:val="left" w:pos="3861"/>
              </w:tabs>
              <w:ind w:left="0" w:right="67"/>
            </w:pPr>
            <w:r w:rsidRPr="00477677">
              <w:t>Not relevant for this application</w:t>
            </w:r>
          </w:p>
        </w:tc>
      </w:tr>
      <w:tr w:rsidR="00477677" w:rsidRPr="00477677" w:rsidTr="00912DFF">
        <w:tc>
          <w:tcPr>
            <w:tcW w:w="1276" w:type="dxa"/>
            <w:vMerge/>
          </w:tcPr>
          <w:p w:rsidR="00477677" w:rsidRPr="00477677" w:rsidRDefault="00477677" w:rsidP="00912DFF">
            <w:pPr>
              <w:ind w:left="0" w:right="0"/>
            </w:pPr>
          </w:p>
        </w:tc>
        <w:tc>
          <w:tcPr>
            <w:tcW w:w="1559" w:type="dxa"/>
          </w:tcPr>
          <w:p w:rsidR="00477677" w:rsidRPr="00477677" w:rsidRDefault="00477677" w:rsidP="00912DFF">
            <w:pPr>
              <w:ind w:left="0" w:right="0"/>
            </w:pPr>
            <w:r w:rsidRPr="00477677">
              <w:t>Paediatrics</w:t>
            </w:r>
          </w:p>
        </w:tc>
        <w:tc>
          <w:tcPr>
            <w:tcW w:w="1593" w:type="dxa"/>
          </w:tcPr>
          <w:p w:rsidR="00477677" w:rsidRPr="00477677" w:rsidRDefault="00477677" w:rsidP="00912DFF">
            <w:pPr>
              <w:ind w:left="0" w:right="0"/>
            </w:pPr>
            <w:r w:rsidRPr="00477677">
              <w:t>A57120</w:t>
            </w:r>
          </w:p>
        </w:tc>
        <w:tc>
          <w:tcPr>
            <w:tcW w:w="4077" w:type="dxa"/>
          </w:tcPr>
          <w:p w:rsidR="00477677" w:rsidRPr="00477677" w:rsidRDefault="00477677" w:rsidP="00912DFF">
            <w:pPr>
              <w:tabs>
                <w:tab w:val="left" w:pos="3861"/>
              </w:tabs>
              <w:ind w:left="0" w:right="67"/>
            </w:pPr>
            <w:r w:rsidRPr="00477677">
              <w:t xml:space="preserve">PK population study-Paediatric Scaling </w:t>
            </w:r>
            <w:r w:rsidR="00B90593" w:rsidRPr="00B90593">
              <w:t>levonorgestrel</w:t>
            </w:r>
            <w:r w:rsidRPr="00477677">
              <w:t xml:space="preserve"> LCS IUD (population analysis)</w:t>
            </w:r>
          </w:p>
        </w:tc>
      </w:tr>
      <w:tr w:rsidR="00477677" w:rsidRPr="00477677" w:rsidTr="00912DFF">
        <w:tc>
          <w:tcPr>
            <w:tcW w:w="1276" w:type="dxa"/>
          </w:tcPr>
          <w:p w:rsidR="00477677" w:rsidRPr="00477677" w:rsidRDefault="00477677" w:rsidP="00912DFF">
            <w:pPr>
              <w:ind w:left="0" w:right="0"/>
            </w:pPr>
            <w:r w:rsidRPr="00477677">
              <w:t>Genetic/ gender-related PK</w:t>
            </w:r>
          </w:p>
        </w:tc>
        <w:tc>
          <w:tcPr>
            <w:tcW w:w="1559" w:type="dxa"/>
          </w:tcPr>
          <w:p w:rsidR="00477677" w:rsidRPr="00477677" w:rsidRDefault="004B0A40" w:rsidP="00912DFF">
            <w:pPr>
              <w:ind w:left="0" w:right="0"/>
            </w:pPr>
            <w:r>
              <w:t>Males versus</w:t>
            </w:r>
            <w:r w:rsidR="00477677" w:rsidRPr="00477677">
              <w:t xml:space="preserve"> females</w:t>
            </w:r>
          </w:p>
        </w:tc>
        <w:tc>
          <w:tcPr>
            <w:tcW w:w="1593" w:type="dxa"/>
          </w:tcPr>
          <w:p w:rsidR="00477677" w:rsidRPr="00477677" w:rsidRDefault="00477677" w:rsidP="00912DFF">
            <w:pPr>
              <w:ind w:left="0" w:right="0"/>
            </w:pPr>
          </w:p>
        </w:tc>
        <w:tc>
          <w:tcPr>
            <w:tcW w:w="4077" w:type="dxa"/>
          </w:tcPr>
          <w:p w:rsidR="00477677" w:rsidRPr="00477677" w:rsidRDefault="00477677" w:rsidP="00912DFF">
            <w:pPr>
              <w:tabs>
                <w:tab w:val="left" w:pos="3861"/>
              </w:tabs>
              <w:ind w:left="0" w:right="67"/>
            </w:pPr>
            <w:r w:rsidRPr="00477677">
              <w:t>Females only</w:t>
            </w:r>
          </w:p>
        </w:tc>
      </w:tr>
      <w:tr w:rsidR="00477677" w:rsidRPr="00477677" w:rsidTr="00912DFF">
        <w:tc>
          <w:tcPr>
            <w:tcW w:w="1276" w:type="dxa"/>
          </w:tcPr>
          <w:p w:rsidR="00477677" w:rsidRPr="00477677" w:rsidRDefault="00477677" w:rsidP="00912DFF">
            <w:pPr>
              <w:ind w:left="0" w:right="0"/>
            </w:pPr>
            <w:r w:rsidRPr="00477677">
              <w:t>PK interactions</w:t>
            </w:r>
          </w:p>
        </w:tc>
        <w:tc>
          <w:tcPr>
            <w:tcW w:w="1559" w:type="dxa"/>
          </w:tcPr>
          <w:p w:rsidR="00477677" w:rsidRPr="00477677" w:rsidRDefault="00477677" w:rsidP="00912DFF">
            <w:pPr>
              <w:ind w:left="0" w:right="0"/>
            </w:pPr>
            <w:r>
              <w:t>L</w:t>
            </w:r>
            <w:r w:rsidRPr="00477677">
              <w:t>evonorgestrel</w:t>
            </w:r>
          </w:p>
        </w:tc>
        <w:tc>
          <w:tcPr>
            <w:tcW w:w="1593" w:type="dxa"/>
          </w:tcPr>
          <w:p w:rsidR="00477677" w:rsidRPr="00477677" w:rsidRDefault="00477677" w:rsidP="00912DFF">
            <w:pPr>
              <w:ind w:left="0" w:right="0"/>
            </w:pPr>
          </w:p>
        </w:tc>
        <w:tc>
          <w:tcPr>
            <w:tcW w:w="4077" w:type="dxa"/>
          </w:tcPr>
          <w:p w:rsidR="00477677" w:rsidRPr="00477677" w:rsidRDefault="00477677" w:rsidP="00912DFF">
            <w:pPr>
              <w:tabs>
                <w:tab w:val="left" w:pos="3861"/>
              </w:tabs>
              <w:ind w:left="0" w:right="67"/>
            </w:pPr>
            <w:r w:rsidRPr="00477677">
              <w:t>This information was not provided for evaluation</w:t>
            </w:r>
            <w:r w:rsidR="004B0A40">
              <w:t xml:space="preserve">. </w:t>
            </w:r>
            <w:r w:rsidRPr="00477677">
              <w:t>Discussions about potential CYP450 3A4 interactions were discussed</w:t>
            </w:r>
          </w:p>
        </w:tc>
      </w:tr>
      <w:tr w:rsidR="00477677" w:rsidRPr="00477677" w:rsidTr="00912DFF">
        <w:tc>
          <w:tcPr>
            <w:tcW w:w="1276" w:type="dxa"/>
            <w:vMerge w:val="restart"/>
          </w:tcPr>
          <w:p w:rsidR="00477677" w:rsidRPr="00477677" w:rsidRDefault="00477677" w:rsidP="00912DFF">
            <w:pPr>
              <w:ind w:left="0" w:right="0"/>
            </w:pPr>
            <w:r w:rsidRPr="00477677">
              <w:t>Population PK analyses</w:t>
            </w:r>
          </w:p>
        </w:tc>
        <w:tc>
          <w:tcPr>
            <w:tcW w:w="1559" w:type="dxa"/>
          </w:tcPr>
          <w:p w:rsidR="00477677" w:rsidRPr="00477677" w:rsidRDefault="00477677" w:rsidP="00912DFF">
            <w:pPr>
              <w:ind w:left="0" w:right="0"/>
            </w:pPr>
            <w:r w:rsidRPr="00477677">
              <w:t>Healthy subjects</w:t>
            </w:r>
          </w:p>
        </w:tc>
        <w:tc>
          <w:tcPr>
            <w:tcW w:w="1593" w:type="dxa"/>
          </w:tcPr>
          <w:p w:rsidR="00B12000" w:rsidRDefault="00912DFF" w:rsidP="00912DFF">
            <w:pPr>
              <w:spacing w:after="600"/>
              <w:ind w:left="0" w:right="0"/>
            </w:pPr>
            <w:r>
              <w:t>A57120</w:t>
            </w:r>
          </w:p>
          <w:p w:rsidR="00477677" w:rsidRPr="00477677" w:rsidRDefault="00477677" w:rsidP="00912DFF">
            <w:pPr>
              <w:spacing w:after="840"/>
              <w:ind w:left="0" w:right="0"/>
            </w:pPr>
            <w:r w:rsidRPr="00477677">
              <w:t>A57551 (308901)</w:t>
            </w:r>
          </w:p>
          <w:p w:rsidR="00477677" w:rsidRPr="00477677" w:rsidRDefault="00477677" w:rsidP="00912DFF">
            <w:pPr>
              <w:ind w:left="0" w:right="0"/>
            </w:pPr>
            <w:r w:rsidRPr="00477677">
              <w:t>A57552 (310442)</w:t>
            </w:r>
          </w:p>
        </w:tc>
        <w:tc>
          <w:tcPr>
            <w:tcW w:w="4077" w:type="dxa"/>
          </w:tcPr>
          <w:p w:rsidR="00477677" w:rsidRPr="00477677" w:rsidRDefault="00477677" w:rsidP="00912DFF">
            <w:pPr>
              <w:tabs>
                <w:tab w:val="left" w:pos="3861"/>
              </w:tabs>
              <w:spacing w:after="240"/>
              <w:ind w:left="0" w:right="67"/>
            </w:pPr>
            <w:r w:rsidRPr="00477677">
              <w:t>P</w:t>
            </w:r>
            <w:r w:rsidR="004B0A40">
              <w:t xml:space="preserve">opulation based </w:t>
            </w:r>
            <w:r w:rsidRPr="00477677">
              <w:t>PK study-</w:t>
            </w:r>
            <w:proofErr w:type="spellStart"/>
            <w:r w:rsidRPr="00477677">
              <w:t>Pediatric</w:t>
            </w:r>
            <w:proofErr w:type="spellEnd"/>
            <w:r w:rsidRPr="00477677">
              <w:t xml:space="preserve"> Scaling </w:t>
            </w:r>
            <w:proofErr w:type="spellStart"/>
            <w:r w:rsidR="00B90593" w:rsidRPr="00B90593">
              <w:t>levonorgestrel</w:t>
            </w:r>
            <w:proofErr w:type="spellEnd"/>
            <w:r w:rsidRPr="00477677">
              <w:t xml:space="preserve"> LCS IUD</w:t>
            </w:r>
          </w:p>
          <w:p w:rsidR="00477677" w:rsidRPr="00477677" w:rsidRDefault="00477677" w:rsidP="00912DFF">
            <w:pPr>
              <w:tabs>
                <w:tab w:val="left" w:pos="3861"/>
              </w:tabs>
              <w:spacing w:after="240"/>
              <w:ind w:left="0" w:right="67"/>
            </w:pPr>
            <w:r w:rsidRPr="00477677">
              <w:t xml:space="preserve">Exploratory population </w:t>
            </w:r>
            <w:r w:rsidR="004B0A40">
              <w:t xml:space="preserve">PK </w:t>
            </w:r>
            <w:r w:rsidRPr="00477677">
              <w:t xml:space="preserve">analysis of </w:t>
            </w:r>
            <w:proofErr w:type="spellStart"/>
            <w:r w:rsidRPr="00477677">
              <w:t>levonorgestrel</w:t>
            </w:r>
            <w:proofErr w:type="spellEnd"/>
            <w:r w:rsidRPr="00477677">
              <w:t xml:space="preserve"> in the multi-</w:t>
            </w:r>
            <w:proofErr w:type="spellStart"/>
            <w:r w:rsidRPr="00477677">
              <w:t>center</w:t>
            </w:r>
            <w:proofErr w:type="spellEnd"/>
            <w:r w:rsidRPr="00477677">
              <w:t xml:space="preserve">, open, randomized, dose finding phase II study to investigate for a maximum of three years ultra low dose </w:t>
            </w:r>
            <w:proofErr w:type="spellStart"/>
            <w:r w:rsidRPr="00477677">
              <w:t>levonorgestrel</w:t>
            </w:r>
            <w:proofErr w:type="spellEnd"/>
            <w:r w:rsidRPr="00477677">
              <w:t xml:space="preserve"> contraceptive intrauterine systems</w:t>
            </w:r>
          </w:p>
          <w:p w:rsidR="00477677" w:rsidRPr="00477677" w:rsidRDefault="00477677" w:rsidP="00912DFF">
            <w:pPr>
              <w:tabs>
                <w:tab w:val="left" w:pos="3861"/>
              </w:tabs>
              <w:ind w:left="0" w:right="67"/>
            </w:pPr>
            <w:r w:rsidRPr="00477677">
              <w:t xml:space="preserve">Exploratory population </w:t>
            </w:r>
            <w:r w:rsidR="004B0A40">
              <w:t xml:space="preserve">PK </w:t>
            </w:r>
            <w:r w:rsidRPr="00477677">
              <w:t xml:space="preserve">analysis of </w:t>
            </w:r>
            <w:proofErr w:type="spellStart"/>
            <w:r w:rsidRPr="00477677">
              <w:t>levonorgestrel</w:t>
            </w:r>
            <w:proofErr w:type="spellEnd"/>
            <w:r w:rsidRPr="00477677">
              <w:t xml:space="preserve"> in the multi-</w:t>
            </w:r>
            <w:proofErr w:type="spellStart"/>
            <w:r w:rsidRPr="00477677">
              <w:t>center</w:t>
            </w:r>
            <w:proofErr w:type="spellEnd"/>
            <w:r w:rsidRPr="00477677">
              <w:t>, open-label, randomi</w:t>
            </w:r>
            <w:r w:rsidR="004B0A40">
              <w:t>s</w:t>
            </w:r>
            <w:r w:rsidRPr="00477677">
              <w:t xml:space="preserve">ed </w:t>
            </w:r>
            <w:r w:rsidR="004B0A40">
              <w:t>P</w:t>
            </w:r>
            <w:r w:rsidRPr="00477677">
              <w:t>hase III study to assess the safety and contraceptive efficacy of two doses</w:t>
            </w:r>
          </w:p>
        </w:tc>
      </w:tr>
      <w:tr w:rsidR="00477677" w:rsidRPr="00477677" w:rsidTr="00912DFF">
        <w:tc>
          <w:tcPr>
            <w:tcW w:w="1276" w:type="dxa"/>
            <w:vMerge/>
          </w:tcPr>
          <w:p w:rsidR="00477677" w:rsidRPr="00477677" w:rsidRDefault="00477677" w:rsidP="00912DFF">
            <w:pPr>
              <w:ind w:left="0" w:right="0"/>
            </w:pPr>
          </w:p>
        </w:tc>
        <w:tc>
          <w:tcPr>
            <w:tcW w:w="1559" w:type="dxa"/>
          </w:tcPr>
          <w:p w:rsidR="00477677" w:rsidRPr="00477677" w:rsidRDefault="00477677" w:rsidP="00912DFF">
            <w:pPr>
              <w:ind w:left="0" w:right="0"/>
            </w:pPr>
            <w:r w:rsidRPr="00477677">
              <w:t>Target population</w:t>
            </w:r>
          </w:p>
        </w:tc>
        <w:tc>
          <w:tcPr>
            <w:tcW w:w="1593" w:type="dxa"/>
          </w:tcPr>
          <w:p w:rsidR="00477677" w:rsidRPr="00477677" w:rsidRDefault="00477677" w:rsidP="00912DFF">
            <w:pPr>
              <w:ind w:left="0" w:right="0"/>
            </w:pPr>
          </w:p>
        </w:tc>
        <w:tc>
          <w:tcPr>
            <w:tcW w:w="4077" w:type="dxa"/>
          </w:tcPr>
          <w:p w:rsidR="00477677" w:rsidRPr="00477677" w:rsidRDefault="00477677" w:rsidP="00912DFF">
            <w:pPr>
              <w:tabs>
                <w:tab w:val="left" w:pos="3861"/>
              </w:tabs>
              <w:ind w:left="0" w:right="67"/>
            </w:pPr>
            <w:r w:rsidRPr="00477677">
              <w:t>These are also the population in the ‘healthy’ study groups</w:t>
            </w:r>
          </w:p>
        </w:tc>
      </w:tr>
      <w:tr w:rsidR="00477677" w:rsidRPr="00477677" w:rsidTr="00912DFF">
        <w:tc>
          <w:tcPr>
            <w:tcW w:w="1276" w:type="dxa"/>
            <w:vMerge/>
          </w:tcPr>
          <w:p w:rsidR="00477677" w:rsidRPr="00477677" w:rsidRDefault="00477677" w:rsidP="00912DFF">
            <w:pPr>
              <w:ind w:left="0" w:right="0"/>
            </w:pPr>
          </w:p>
        </w:tc>
        <w:tc>
          <w:tcPr>
            <w:tcW w:w="1559" w:type="dxa"/>
          </w:tcPr>
          <w:p w:rsidR="00477677" w:rsidRPr="00477677" w:rsidRDefault="00477677" w:rsidP="00912DFF">
            <w:pPr>
              <w:ind w:left="0" w:right="0"/>
            </w:pPr>
            <w:r w:rsidRPr="00477677">
              <w:t>Other</w:t>
            </w:r>
          </w:p>
        </w:tc>
        <w:tc>
          <w:tcPr>
            <w:tcW w:w="1593" w:type="dxa"/>
          </w:tcPr>
          <w:p w:rsidR="00477677" w:rsidRPr="00477677" w:rsidRDefault="00477677" w:rsidP="00912DFF">
            <w:pPr>
              <w:ind w:left="0" w:right="0"/>
            </w:pPr>
          </w:p>
        </w:tc>
        <w:tc>
          <w:tcPr>
            <w:tcW w:w="4077" w:type="dxa"/>
          </w:tcPr>
          <w:p w:rsidR="00477677" w:rsidRPr="00477677" w:rsidRDefault="00477677" w:rsidP="00912DFF">
            <w:pPr>
              <w:tabs>
                <w:tab w:val="left" w:pos="3861"/>
              </w:tabs>
              <w:ind w:left="0" w:right="67"/>
            </w:pPr>
          </w:p>
        </w:tc>
      </w:tr>
    </w:tbl>
    <w:p w:rsidR="00477677" w:rsidRDefault="00477677" w:rsidP="00912DFF">
      <w:r w:rsidRPr="00477677">
        <w:t xml:space="preserve">None of the </w:t>
      </w:r>
      <w:r w:rsidR="00B12000">
        <w:t>PK</w:t>
      </w:r>
      <w:r w:rsidRPr="00477677">
        <w:t xml:space="preserve"> studies had deficiencies that excluded their results from consideration.</w:t>
      </w:r>
    </w:p>
    <w:p w:rsidR="00F631FE" w:rsidRPr="00F631FE" w:rsidRDefault="00F631FE" w:rsidP="00912DFF">
      <w:pPr>
        <w:pStyle w:val="Heading4"/>
      </w:pPr>
      <w:bookmarkStart w:id="67" w:name="_Toc241374296"/>
      <w:bookmarkStart w:id="68" w:name="_Ref269982040"/>
      <w:bookmarkStart w:id="69" w:name="_Ref271018704"/>
      <w:bookmarkStart w:id="70" w:name="_Ref271018755"/>
      <w:bookmarkStart w:id="71" w:name="_Toc272414635"/>
      <w:bookmarkStart w:id="72" w:name="_Toc290846258"/>
      <w:bookmarkStart w:id="73" w:name="_Toc290888795"/>
      <w:bookmarkStart w:id="74" w:name="_Toc343587555"/>
      <w:bookmarkStart w:id="75" w:name="_Toc219998385"/>
      <w:bookmarkStart w:id="76" w:name="_Toc219998489"/>
      <w:bookmarkStart w:id="77" w:name="_Toc219998904"/>
      <w:bookmarkStart w:id="78" w:name="_Toc219999007"/>
      <w:bookmarkStart w:id="79" w:name="_Toc219999108"/>
      <w:bookmarkStart w:id="80" w:name="_Toc229197923"/>
      <w:bookmarkStart w:id="81" w:name="_Toc376788821"/>
      <w:r w:rsidRPr="00F631FE">
        <w:t xml:space="preserve">Evaluator’s overall </w:t>
      </w:r>
      <w:r w:rsidRPr="00912DFF">
        <w:t>conclusions</w:t>
      </w:r>
      <w:r w:rsidRPr="00F631FE">
        <w:t xml:space="preserve"> on pharmacokinetics</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F631FE" w:rsidRPr="00F631FE" w:rsidRDefault="00F631FE" w:rsidP="00912DFF">
      <w:r>
        <w:t>Jaydess (</w:t>
      </w:r>
      <w:r w:rsidRPr="00F631FE">
        <w:t>LCS12</w:t>
      </w:r>
      <w:r>
        <w:t>)</w:t>
      </w:r>
      <w:r w:rsidRPr="00F631FE">
        <w:t xml:space="preserve"> acts primarily via local effects on the endometrium and cervix</w:t>
      </w:r>
      <w:r>
        <w:t>,</w:t>
      </w:r>
      <w:r w:rsidRPr="00F631FE">
        <w:t xml:space="preserve"> therefore systemic concentrations, drug interactions, </w:t>
      </w:r>
      <w:proofErr w:type="spellStart"/>
      <w:r w:rsidRPr="00F631FE">
        <w:t>pharmacogenetic</w:t>
      </w:r>
      <w:proofErr w:type="spellEnd"/>
      <w:r w:rsidRPr="00F631FE">
        <w:t xml:space="preserve"> factors and food are of less relevance than for oral administration of levonorgestrel such as in oral contraceptives. Further the systemic concentrations are &gt;</w:t>
      </w:r>
      <w:r>
        <w:t xml:space="preserve"> </w:t>
      </w:r>
      <w:r w:rsidRPr="00F631FE">
        <w:t>30 fold more with oral contraceptive use than with the levonorgestrel IUS.</w:t>
      </w:r>
    </w:p>
    <w:p w:rsidR="00F631FE" w:rsidRPr="00F631FE" w:rsidRDefault="00F631FE" w:rsidP="00912DFF">
      <w:r w:rsidRPr="00F631FE">
        <w:lastRenderedPageBreak/>
        <w:t xml:space="preserve">There appears to be no </w:t>
      </w:r>
      <w:r>
        <w:t xml:space="preserve">PK </w:t>
      </w:r>
      <w:r w:rsidRPr="00F631FE">
        <w:t xml:space="preserve">issues of concern in healthy fertile women as studied in the large trials and there are no further </w:t>
      </w:r>
      <w:r>
        <w:t xml:space="preserve">PK </w:t>
      </w:r>
      <w:r w:rsidRPr="00F631FE">
        <w:t>studies that need to be undertaken for the requested indication. However, clinical studies have not been undertaken in women in ‘special groups’</w:t>
      </w:r>
      <w:r>
        <w:t>,</w:t>
      </w:r>
      <w:r w:rsidRPr="00F631FE">
        <w:t xml:space="preserve"> </w:t>
      </w:r>
      <w:r>
        <w:t xml:space="preserve">that is, </w:t>
      </w:r>
      <w:r w:rsidRPr="00F631FE">
        <w:t>with renal or hepatic impairment, in adolescence, obesity or after age 40</w:t>
      </w:r>
      <w:r>
        <w:t xml:space="preserve"> years</w:t>
      </w:r>
      <w:r w:rsidRPr="00F631FE">
        <w:t xml:space="preserve">. Specifically, and on examining the </w:t>
      </w:r>
      <w:proofErr w:type="spellStart"/>
      <w:r w:rsidRPr="00F631FE">
        <w:t>pharmacometric</w:t>
      </w:r>
      <w:proofErr w:type="spellEnd"/>
      <w:r w:rsidRPr="00F631FE">
        <w:t xml:space="preserve"> work on clearance in the obese, it suggests it is important that pharmacovigilance is undertaken in obese women with Jaydess. Although the clinical data did not show a higher pregnancy rate in this group, it is possible from the </w:t>
      </w:r>
      <w:r>
        <w:t xml:space="preserve">PK </w:t>
      </w:r>
      <w:r w:rsidRPr="00F631FE">
        <w:t xml:space="preserve">simulation data. Further, that numbers of obese women in the clinical studies are small (5 in the pivotal </w:t>
      </w:r>
      <w:r>
        <w:t xml:space="preserve">Study </w:t>
      </w:r>
      <w:r w:rsidRPr="00F631FE">
        <w:t>A52238 in the LCS12 arm). For use in other special groups clinical studies and/or monitoring in these groups also needs to be undertaken prior to being confident about the efficacy in these groups.</w:t>
      </w:r>
    </w:p>
    <w:p w:rsidR="008E7846" w:rsidRDefault="008E7846" w:rsidP="00912DFF">
      <w:pPr>
        <w:pStyle w:val="Heading3"/>
      </w:pPr>
      <w:bookmarkStart w:id="82" w:name="_Toc196046481"/>
      <w:bookmarkStart w:id="83" w:name="_Toc247691520"/>
      <w:bookmarkStart w:id="84" w:name="_Toc314842503"/>
      <w:bookmarkStart w:id="85" w:name="_Toc380568271"/>
      <w:r w:rsidRPr="00912DFF">
        <w:t>Pharmacodynamics</w:t>
      </w:r>
      <w:bookmarkEnd w:id="48"/>
      <w:bookmarkEnd w:id="82"/>
      <w:bookmarkEnd w:id="83"/>
      <w:bookmarkEnd w:id="84"/>
      <w:bookmarkEnd w:id="85"/>
    </w:p>
    <w:p w:rsidR="00E8354B" w:rsidRPr="00E8354B" w:rsidRDefault="00E8354B" w:rsidP="00912DFF">
      <w:pPr>
        <w:pStyle w:val="Heading4"/>
      </w:pPr>
      <w:bookmarkStart w:id="86" w:name="_Toc229197925"/>
      <w:bookmarkStart w:id="87" w:name="_Toc219999110"/>
      <w:bookmarkStart w:id="88" w:name="_Toc219999009"/>
      <w:bookmarkStart w:id="89" w:name="_Toc219998906"/>
      <w:bookmarkStart w:id="90" w:name="_Toc219998491"/>
      <w:bookmarkStart w:id="91" w:name="_Toc219998387"/>
      <w:bookmarkStart w:id="92" w:name="_Toc343587557"/>
      <w:bookmarkStart w:id="93" w:name="_Toc290888797"/>
      <w:bookmarkStart w:id="94" w:name="_Toc290846260"/>
      <w:bookmarkStart w:id="95" w:name="_Toc272414637"/>
      <w:bookmarkStart w:id="96" w:name="_Toc376788823"/>
      <w:r w:rsidRPr="00E8354B">
        <w:t xml:space="preserve">Studies </w:t>
      </w:r>
      <w:r w:rsidRPr="00912DFF">
        <w:t>providing</w:t>
      </w:r>
      <w:r w:rsidRPr="00E8354B">
        <w:t xml:space="preserve"> </w:t>
      </w:r>
      <w:proofErr w:type="spellStart"/>
      <w:r w:rsidRPr="00E8354B">
        <w:t>pharmacodynamic</w:t>
      </w:r>
      <w:proofErr w:type="spellEnd"/>
      <w:r w:rsidRPr="00E8354B">
        <w:t xml:space="preserve"> data</w:t>
      </w:r>
      <w:bookmarkEnd w:id="86"/>
      <w:bookmarkEnd w:id="87"/>
      <w:bookmarkEnd w:id="88"/>
      <w:bookmarkEnd w:id="89"/>
      <w:bookmarkEnd w:id="90"/>
      <w:bookmarkEnd w:id="91"/>
      <w:bookmarkEnd w:id="92"/>
      <w:bookmarkEnd w:id="93"/>
      <w:bookmarkEnd w:id="94"/>
      <w:bookmarkEnd w:id="95"/>
      <w:bookmarkEnd w:id="96"/>
    </w:p>
    <w:p w:rsidR="00E8354B" w:rsidRPr="00E8354B" w:rsidRDefault="00E8354B" w:rsidP="00912DFF">
      <w:r w:rsidRPr="00E8354B">
        <w:t>The main pharmacodynamic (PD) parameters of interest are those of pregnancy rate and adverse effects. Menstrual cycles, bleeding patterns and return to fertility are other</w:t>
      </w:r>
      <w:r>
        <w:t xml:space="preserve"> parameters measured. </w:t>
      </w:r>
      <w:r w:rsidRPr="00E8354B">
        <w:t xml:space="preserve">In both the pivotal Phase </w:t>
      </w:r>
      <w:r>
        <w:t>II</w:t>
      </w:r>
      <w:r w:rsidRPr="00E8354B">
        <w:t xml:space="preserve"> (A46796) and Phase </w:t>
      </w:r>
      <w:r>
        <w:t>III</w:t>
      </w:r>
      <w:r w:rsidRPr="00E8354B">
        <w:t xml:space="preserve"> (A52238) studies, parameters from a subset of 12 women per treatment arm (LCS12 and </w:t>
      </w:r>
      <w:r w:rsidR="00615D99" w:rsidRPr="00615D99">
        <w:t xml:space="preserve">LCS with initial </w:t>
      </w:r>
      <w:r w:rsidR="00615D99" w:rsidRPr="00615D99">
        <w:rPr>
          <w:i/>
          <w:iCs/>
        </w:rPr>
        <w:t>in vitro</w:t>
      </w:r>
      <w:r w:rsidR="00615D99" w:rsidRPr="00615D99">
        <w:t xml:space="preserve"> release </w:t>
      </w:r>
      <w:proofErr w:type="gramStart"/>
      <w:r w:rsidR="00615D99" w:rsidRPr="00615D99">
        <w:t xml:space="preserve">of </w:t>
      </w:r>
      <w:r w:rsidR="00615D99">
        <w:t>16</w:t>
      </w:r>
      <w:r w:rsidR="00615D99" w:rsidRPr="00615D99">
        <w:t xml:space="preserve"> µg/day</w:t>
      </w:r>
      <w:r w:rsidR="00615D99">
        <w:t xml:space="preserve"> (</w:t>
      </w:r>
      <w:r w:rsidR="00615D99" w:rsidRPr="00615D99">
        <w:t>LCS16</w:t>
      </w:r>
      <w:r w:rsidR="00615D99">
        <w:t>)</w:t>
      </w:r>
      <w:proofErr w:type="gramEnd"/>
      <w:r w:rsidR="00615D99">
        <w:t xml:space="preserve">) </w:t>
      </w:r>
      <w:r w:rsidRPr="00E8354B">
        <w:t xml:space="preserve">were used to determine a non-compartmental population </w:t>
      </w:r>
      <w:r>
        <w:t xml:space="preserve">PK </w:t>
      </w:r>
      <w:r w:rsidRPr="00E8354B">
        <w:t xml:space="preserve">model. </w:t>
      </w:r>
    </w:p>
    <w:p w:rsidR="00E8354B" w:rsidRPr="00E8354B" w:rsidRDefault="00E8354B" w:rsidP="00912DFF">
      <w:pPr>
        <w:pStyle w:val="TableTitle"/>
      </w:pPr>
      <w:bookmarkStart w:id="97" w:name="_Ref269985397"/>
      <w:bookmarkStart w:id="98" w:name="_Toc346183336"/>
      <w:proofErr w:type="gramStart"/>
      <w:r w:rsidRPr="00E8354B">
        <w:t>Table</w:t>
      </w:r>
      <w:bookmarkEnd w:id="97"/>
      <w:r>
        <w:t xml:space="preserve"> </w:t>
      </w:r>
      <w:r w:rsidR="004251D5">
        <w:t>2</w:t>
      </w:r>
      <w:r w:rsidRPr="00E8354B">
        <w:t>.</w:t>
      </w:r>
      <w:proofErr w:type="gramEnd"/>
      <w:r w:rsidRPr="00E8354B">
        <w:t xml:space="preserve"> Submitted pharmacodynamic studies</w:t>
      </w:r>
      <w:bookmarkEnd w:id="98"/>
    </w:p>
    <w:tbl>
      <w:tblPr>
        <w:tblStyle w:val="TableTGAblue"/>
        <w:tblW w:w="8222" w:type="dxa"/>
        <w:tblLayout w:type="fixed"/>
        <w:tblLook w:val="0620" w:firstRow="1" w:lastRow="0" w:firstColumn="0" w:lastColumn="0" w:noHBand="1" w:noVBand="1"/>
      </w:tblPr>
      <w:tblGrid>
        <w:gridCol w:w="1701"/>
        <w:gridCol w:w="1843"/>
        <w:gridCol w:w="4678"/>
      </w:tblGrid>
      <w:tr w:rsidR="00E8354B" w:rsidRPr="00E8354B" w:rsidTr="00912DFF">
        <w:trPr>
          <w:cnfStyle w:val="100000000000" w:firstRow="1" w:lastRow="0" w:firstColumn="0" w:lastColumn="0" w:oddVBand="0" w:evenVBand="0" w:oddHBand="0" w:evenHBand="0" w:firstRowFirstColumn="0" w:firstRowLastColumn="0" w:lastRowFirstColumn="0" w:lastRowLastColumn="0"/>
          <w:tblHeader/>
        </w:trPr>
        <w:tc>
          <w:tcPr>
            <w:tcW w:w="1701" w:type="dxa"/>
            <w:hideMark/>
          </w:tcPr>
          <w:p w:rsidR="00E8354B" w:rsidRPr="00E8354B" w:rsidRDefault="00E8354B" w:rsidP="00912DFF">
            <w:pPr>
              <w:ind w:left="0" w:right="67"/>
            </w:pPr>
            <w:r w:rsidRPr="00E8354B">
              <w:t>PD Topic</w:t>
            </w:r>
          </w:p>
        </w:tc>
        <w:tc>
          <w:tcPr>
            <w:tcW w:w="1843" w:type="dxa"/>
            <w:hideMark/>
          </w:tcPr>
          <w:p w:rsidR="00E8354B" w:rsidRPr="00E8354B" w:rsidRDefault="00E8354B" w:rsidP="00912DFF">
            <w:pPr>
              <w:ind w:left="0" w:right="67"/>
            </w:pPr>
            <w:r w:rsidRPr="00E8354B">
              <w:t>Subtopic</w:t>
            </w:r>
          </w:p>
        </w:tc>
        <w:tc>
          <w:tcPr>
            <w:tcW w:w="4678" w:type="dxa"/>
            <w:hideMark/>
          </w:tcPr>
          <w:p w:rsidR="00E8354B" w:rsidRPr="00E8354B" w:rsidRDefault="00E8354B" w:rsidP="00912DFF">
            <w:pPr>
              <w:ind w:left="0" w:right="68"/>
            </w:pPr>
            <w:r w:rsidRPr="00E8354B">
              <w:t>Study ID</w:t>
            </w:r>
          </w:p>
        </w:tc>
      </w:tr>
      <w:tr w:rsidR="00E8354B" w:rsidRPr="00E8354B" w:rsidTr="00912DFF">
        <w:tc>
          <w:tcPr>
            <w:tcW w:w="1701" w:type="dxa"/>
            <w:vMerge w:val="restart"/>
            <w:hideMark/>
          </w:tcPr>
          <w:p w:rsidR="00E8354B" w:rsidRPr="00E8354B" w:rsidRDefault="00E8354B" w:rsidP="00912DFF">
            <w:pPr>
              <w:ind w:left="0" w:right="67"/>
              <w:rPr>
                <w:color w:val="000000"/>
              </w:rPr>
            </w:pPr>
            <w:r w:rsidRPr="00E8354B">
              <w:rPr>
                <w:color w:val="000000"/>
              </w:rPr>
              <w:t>Primary Pharmacology</w:t>
            </w:r>
          </w:p>
        </w:tc>
        <w:tc>
          <w:tcPr>
            <w:tcW w:w="1843" w:type="dxa"/>
            <w:hideMark/>
          </w:tcPr>
          <w:p w:rsidR="00E8354B" w:rsidRPr="00E8354B" w:rsidRDefault="00E8354B" w:rsidP="00912DFF">
            <w:pPr>
              <w:ind w:left="0" w:right="67"/>
              <w:rPr>
                <w:color w:val="000000"/>
              </w:rPr>
            </w:pPr>
            <w:r w:rsidRPr="00E8354B">
              <w:rPr>
                <w:color w:val="000000"/>
              </w:rPr>
              <w:t>Effect on safety and efficacy</w:t>
            </w:r>
          </w:p>
        </w:tc>
        <w:tc>
          <w:tcPr>
            <w:tcW w:w="4678" w:type="dxa"/>
          </w:tcPr>
          <w:p w:rsidR="00E8354B" w:rsidRPr="00E8354B" w:rsidRDefault="00E8354B" w:rsidP="00912DFF">
            <w:pPr>
              <w:spacing w:after="240"/>
              <w:ind w:left="0" w:right="68"/>
              <w:rPr>
                <w:color w:val="000000"/>
              </w:rPr>
            </w:pPr>
            <w:r w:rsidRPr="00E8354B">
              <w:rPr>
                <w:color w:val="000000"/>
              </w:rPr>
              <w:t>A46796 Multi-</w:t>
            </w:r>
            <w:proofErr w:type="spellStart"/>
            <w:r w:rsidRPr="00E8354B">
              <w:rPr>
                <w:color w:val="000000"/>
              </w:rPr>
              <w:t>center</w:t>
            </w:r>
            <w:proofErr w:type="spellEnd"/>
            <w:r w:rsidRPr="00E8354B">
              <w:rPr>
                <w:color w:val="000000"/>
              </w:rPr>
              <w:t xml:space="preserve">, open, randomized, dose finding phase II study to investigate for a maximum of three years ultra low dose levonorgestrel contraceptive intrauterine systems (LCS) releasing </w:t>
            </w:r>
            <w:r w:rsidRPr="00E8354B">
              <w:rPr>
                <w:i/>
                <w:iCs/>
                <w:color w:val="000000"/>
              </w:rPr>
              <w:t>in vitro</w:t>
            </w:r>
            <w:r w:rsidRPr="00E8354B">
              <w:rPr>
                <w:color w:val="000000"/>
              </w:rPr>
              <w:t xml:space="preserve"> 12 μg/24 h and 16 μg/24 h of levonorgestrel compared to </w:t>
            </w:r>
            <w:r w:rsidR="00B90593">
              <w:rPr>
                <w:color w:val="000000"/>
              </w:rPr>
              <w:t>Mirena</w:t>
            </w:r>
            <w:r w:rsidRPr="00E8354B">
              <w:rPr>
                <w:color w:val="000000"/>
              </w:rPr>
              <w:t xml:space="preserve"> in nulliparous and parous women in need of contraception</w:t>
            </w:r>
          </w:p>
          <w:p w:rsidR="00E8354B" w:rsidRPr="00E8354B" w:rsidRDefault="00E8354B" w:rsidP="00912DFF">
            <w:pPr>
              <w:ind w:left="0" w:right="68"/>
              <w:rPr>
                <w:color w:val="000000"/>
              </w:rPr>
            </w:pPr>
            <w:r w:rsidRPr="00E8354B">
              <w:rPr>
                <w:color w:val="000000"/>
              </w:rPr>
              <w:t>A52238 Phase III Multi-</w:t>
            </w:r>
            <w:proofErr w:type="spellStart"/>
            <w:r w:rsidRPr="00E8354B">
              <w:rPr>
                <w:color w:val="000000"/>
              </w:rPr>
              <w:t>center</w:t>
            </w:r>
            <w:proofErr w:type="spellEnd"/>
            <w:r w:rsidRPr="00E8354B">
              <w:rPr>
                <w:color w:val="000000"/>
              </w:rPr>
              <w:t>, open-label, randomized study to assess the safety and contraceptive efficacy of two doses (</w:t>
            </w:r>
            <w:r w:rsidRPr="00E8354B">
              <w:rPr>
                <w:i/>
                <w:iCs/>
                <w:color w:val="000000"/>
              </w:rPr>
              <w:t>in vitro</w:t>
            </w:r>
            <w:r w:rsidRPr="00E8354B">
              <w:rPr>
                <w:color w:val="000000"/>
              </w:rPr>
              <w:t xml:space="preserve"> 12μg/24 h and 16μg/24 h) of the ultra low dose levonorgestrel contraceptive intrauterine systems (LCS) for a maximum of 3 years in women 18 to 35 years of age and an extension phase of the 16μg/24 h dose group (LCS16 arm) up to 5 years</w:t>
            </w:r>
          </w:p>
        </w:tc>
      </w:tr>
      <w:tr w:rsidR="00E8354B" w:rsidRPr="00E8354B" w:rsidTr="00912DFF">
        <w:trPr>
          <w:trHeight w:val="1312"/>
        </w:trPr>
        <w:tc>
          <w:tcPr>
            <w:tcW w:w="1701" w:type="dxa"/>
            <w:vMerge/>
            <w:hideMark/>
          </w:tcPr>
          <w:p w:rsidR="00E8354B" w:rsidRPr="00E8354B" w:rsidRDefault="00E8354B" w:rsidP="00912DFF">
            <w:pPr>
              <w:ind w:left="0" w:right="67"/>
              <w:rPr>
                <w:color w:val="000000"/>
              </w:rPr>
            </w:pPr>
          </w:p>
        </w:tc>
        <w:tc>
          <w:tcPr>
            <w:tcW w:w="1843" w:type="dxa"/>
          </w:tcPr>
          <w:p w:rsidR="00E8354B" w:rsidRPr="00E8354B" w:rsidRDefault="00E8354B" w:rsidP="00912DFF">
            <w:pPr>
              <w:ind w:left="0" w:right="67"/>
              <w:rPr>
                <w:color w:val="000000"/>
              </w:rPr>
            </w:pPr>
          </w:p>
        </w:tc>
        <w:tc>
          <w:tcPr>
            <w:tcW w:w="4678" w:type="dxa"/>
            <w:hideMark/>
          </w:tcPr>
          <w:p w:rsidR="00E8354B" w:rsidRPr="00E8354B" w:rsidRDefault="00E8354B" w:rsidP="00912DFF">
            <w:pPr>
              <w:ind w:left="0" w:right="68"/>
              <w:rPr>
                <w:color w:val="000000"/>
              </w:rPr>
            </w:pPr>
            <w:r w:rsidRPr="00E8354B">
              <w:rPr>
                <w:color w:val="000000"/>
              </w:rPr>
              <w:t>91775 Multi-</w:t>
            </w:r>
            <w:proofErr w:type="spellStart"/>
            <w:r w:rsidRPr="00E8354B">
              <w:rPr>
                <w:color w:val="000000"/>
              </w:rPr>
              <w:t>center</w:t>
            </w:r>
            <w:proofErr w:type="spellEnd"/>
            <w:r w:rsidRPr="00E8354B">
              <w:rPr>
                <w:color w:val="000000"/>
              </w:rPr>
              <w:t xml:space="preserve">, open label, single arm study to assess efficacy, safety, bleeding pattern and </w:t>
            </w:r>
            <w:r w:rsidR="00B12000">
              <w:rPr>
                <w:color w:val="000000"/>
              </w:rPr>
              <w:t>PK</w:t>
            </w:r>
            <w:r w:rsidRPr="00E8354B">
              <w:rPr>
                <w:color w:val="000000"/>
              </w:rPr>
              <w:t xml:space="preserve"> of the ultra low dose levonorgestrel intrauterine contraceptive system (LCS) for a maximum of 3 years in women 18 to 40 years of age</w:t>
            </w:r>
          </w:p>
        </w:tc>
      </w:tr>
      <w:tr w:rsidR="00E8354B" w:rsidRPr="00E8354B" w:rsidTr="00912DFF">
        <w:tc>
          <w:tcPr>
            <w:tcW w:w="1701" w:type="dxa"/>
            <w:vMerge w:val="restart"/>
            <w:hideMark/>
          </w:tcPr>
          <w:p w:rsidR="00E8354B" w:rsidRPr="00E8354B" w:rsidRDefault="00E8354B" w:rsidP="00912DFF">
            <w:pPr>
              <w:ind w:left="0" w:right="67"/>
              <w:rPr>
                <w:color w:val="000000"/>
              </w:rPr>
            </w:pPr>
            <w:r w:rsidRPr="00E8354B">
              <w:rPr>
                <w:color w:val="000000"/>
              </w:rPr>
              <w:t xml:space="preserve">Secondary </w:t>
            </w:r>
            <w:r w:rsidRPr="00E8354B">
              <w:rPr>
                <w:color w:val="000000"/>
              </w:rPr>
              <w:lastRenderedPageBreak/>
              <w:t>Pharmacology</w:t>
            </w:r>
          </w:p>
        </w:tc>
        <w:tc>
          <w:tcPr>
            <w:tcW w:w="1843" w:type="dxa"/>
            <w:hideMark/>
          </w:tcPr>
          <w:p w:rsidR="00E8354B" w:rsidRPr="00E8354B" w:rsidRDefault="00E8354B" w:rsidP="00912DFF">
            <w:pPr>
              <w:ind w:left="0" w:right="67"/>
              <w:rPr>
                <w:color w:val="000000"/>
              </w:rPr>
            </w:pPr>
            <w:r w:rsidRPr="00E8354B">
              <w:rPr>
                <w:color w:val="000000"/>
              </w:rPr>
              <w:lastRenderedPageBreak/>
              <w:t xml:space="preserve">Effect on bone </w:t>
            </w:r>
            <w:r w:rsidRPr="00E8354B">
              <w:rPr>
                <w:color w:val="000000"/>
              </w:rPr>
              <w:lastRenderedPageBreak/>
              <w:t>mineral density</w:t>
            </w:r>
          </w:p>
        </w:tc>
        <w:tc>
          <w:tcPr>
            <w:tcW w:w="4678" w:type="dxa"/>
          </w:tcPr>
          <w:p w:rsidR="00E8354B" w:rsidRPr="00E8354B" w:rsidRDefault="00E8354B" w:rsidP="00912DFF">
            <w:pPr>
              <w:ind w:left="0" w:right="68"/>
              <w:rPr>
                <w:color w:val="000000"/>
              </w:rPr>
            </w:pPr>
            <w:r w:rsidRPr="00E8354B">
              <w:rPr>
                <w:color w:val="000000"/>
              </w:rPr>
              <w:lastRenderedPageBreak/>
              <w:t xml:space="preserve">Examination of effects on bone mineral </w:t>
            </w:r>
            <w:r w:rsidRPr="00E8354B">
              <w:rPr>
                <w:color w:val="000000"/>
              </w:rPr>
              <w:lastRenderedPageBreak/>
              <w:t xml:space="preserve">density is a </w:t>
            </w:r>
            <w:proofErr w:type="spellStart"/>
            <w:r w:rsidRPr="00E8354B">
              <w:rPr>
                <w:color w:val="000000"/>
              </w:rPr>
              <w:t>substudy</w:t>
            </w:r>
            <w:proofErr w:type="spellEnd"/>
            <w:r w:rsidRPr="00E8354B">
              <w:rPr>
                <w:color w:val="000000"/>
              </w:rPr>
              <w:t xml:space="preserve"> of A52238</w:t>
            </w:r>
          </w:p>
        </w:tc>
      </w:tr>
      <w:tr w:rsidR="00E8354B" w:rsidRPr="00E8354B" w:rsidTr="00912DFF">
        <w:tc>
          <w:tcPr>
            <w:tcW w:w="1701" w:type="dxa"/>
            <w:vMerge/>
            <w:hideMark/>
          </w:tcPr>
          <w:p w:rsidR="00E8354B" w:rsidRPr="00E8354B" w:rsidRDefault="00E8354B" w:rsidP="00912DFF">
            <w:pPr>
              <w:ind w:left="0" w:right="67"/>
              <w:rPr>
                <w:color w:val="000000"/>
              </w:rPr>
            </w:pPr>
          </w:p>
        </w:tc>
        <w:tc>
          <w:tcPr>
            <w:tcW w:w="1843" w:type="dxa"/>
          </w:tcPr>
          <w:p w:rsidR="00E8354B" w:rsidRPr="00E8354B" w:rsidRDefault="00E8354B" w:rsidP="00912DFF">
            <w:pPr>
              <w:ind w:left="0" w:right="67"/>
              <w:rPr>
                <w:color w:val="000000"/>
              </w:rPr>
            </w:pPr>
            <w:r w:rsidRPr="00E8354B">
              <w:rPr>
                <w:color w:val="000000"/>
              </w:rPr>
              <w:t xml:space="preserve">Effect on </w:t>
            </w:r>
            <w:r>
              <w:rPr>
                <w:color w:val="000000"/>
              </w:rPr>
              <w:t>o</w:t>
            </w:r>
            <w:r w:rsidRPr="00E8354B">
              <w:rPr>
                <w:color w:val="000000"/>
              </w:rPr>
              <w:t>estradiol concentrations</w:t>
            </w:r>
          </w:p>
        </w:tc>
        <w:tc>
          <w:tcPr>
            <w:tcW w:w="4678" w:type="dxa"/>
            <w:hideMark/>
          </w:tcPr>
          <w:p w:rsidR="00E8354B" w:rsidRPr="00E8354B" w:rsidRDefault="00E8354B" w:rsidP="00912DFF">
            <w:pPr>
              <w:ind w:left="0" w:right="68"/>
              <w:rPr>
                <w:color w:val="000000"/>
              </w:rPr>
            </w:pPr>
            <w:r w:rsidRPr="00E8354B">
              <w:rPr>
                <w:color w:val="000000"/>
              </w:rPr>
              <w:t xml:space="preserve">The observed </w:t>
            </w:r>
            <w:r>
              <w:rPr>
                <w:color w:val="000000"/>
              </w:rPr>
              <w:t>o</w:t>
            </w:r>
            <w:r w:rsidRPr="00E8354B">
              <w:rPr>
                <w:color w:val="000000"/>
              </w:rPr>
              <w:t xml:space="preserve">estradiol concentrations seen in A52238 are within the typical range of normal menstrual cycles. </w:t>
            </w:r>
          </w:p>
        </w:tc>
      </w:tr>
      <w:tr w:rsidR="00E8354B" w:rsidRPr="00E8354B" w:rsidTr="00912DFF">
        <w:tc>
          <w:tcPr>
            <w:tcW w:w="1701" w:type="dxa"/>
            <w:vMerge/>
            <w:hideMark/>
          </w:tcPr>
          <w:p w:rsidR="00E8354B" w:rsidRPr="00E8354B" w:rsidRDefault="00E8354B" w:rsidP="00912DFF">
            <w:pPr>
              <w:ind w:left="0" w:right="67"/>
              <w:rPr>
                <w:color w:val="000000"/>
              </w:rPr>
            </w:pPr>
          </w:p>
        </w:tc>
        <w:tc>
          <w:tcPr>
            <w:tcW w:w="1843" w:type="dxa"/>
          </w:tcPr>
          <w:p w:rsidR="00E8354B" w:rsidRPr="00E8354B" w:rsidRDefault="00E8354B" w:rsidP="00912DFF">
            <w:pPr>
              <w:ind w:left="0" w:right="67"/>
              <w:rPr>
                <w:color w:val="000000"/>
              </w:rPr>
            </w:pPr>
            <w:r w:rsidRPr="00E8354B">
              <w:rPr>
                <w:color w:val="000000"/>
              </w:rPr>
              <w:t>Effect on cervix</w:t>
            </w:r>
          </w:p>
        </w:tc>
        <w:tc>
          <w:tcPr>
            <w:tcW w:w="4678" w:type="dxa"/>
          </w:tcPr>
          <w:p w:rsidR="00E8354B" w:rsidRPr="00E8354B" w:rsidRDefault="00E8354B" w:rsidP="00912DFF">
            <w:pPr>
              <w:ind w:left="0" w:right="68"/>
              <w:rPr>
                <w:color w:val="000000"/>
              </w:rPr>
            </w:pPr>
            <w:r w:rsidRPr="00E8354B">
              <w:rPr>
                <w:color w:val="000000"/>
              </w:rPr>
              <w:t xml:space="preserve">The three formulations investigated in the phase 2 study, A46796 showed an increase in the systemic exposure in the order LCS12 (this application) LCS16 and Mirena. There was no difference in the effect on the endometrium or on the cervix </w:t>
            </w:r>
          </w:p>
        </w:tc>
      </w:tr>
      <w:tr w:rsidR="00E8354B" w:rsidRPr="00E8354B" w:rsidTr="00912DFF">
        <w:tc>
          <w:tcPr>
            <w:tcW w:w="1701" w:type="dxa"/>
            <w:vMerge/>
            <w:hideMark/>
          </w:tcPr>
          <w:p w:rsidR="00E8354B" w:rsidRPr="00E8354B" w:rsidRDefault="00E8354B" w:rsidP="00912DFF">
            <w:pPr>
              <w:ind w:left="0" w:right="67"/>
              <w:rPr>
                <w:color w:val="000000"/>
              </w:rPr>
            </w:pPr>
          </w:p>
        </w:tc>
        <w:tc>
          <w:tcPr>
            <w:tcW w:w="1843" w:type="dxa"/>
          </w:tcPr>
          <w:p w:rsidR="00E8354B" w:rsidRPr="00E8354B" w:rsidRDefault="00E8354B" w:rsidP="00912DFF">
            <w:pPr>
              <w:ind w:left="0" w:right="67"/>
              <w:rPr>
                <w:color w:val="000000"/>
              </w:rPr>
            </w:pPr>
            <w:r w:rsidRPr="00E8354B">
              <w:rPr>
                <w:color w:val="000000"/>
              </w:rPr>
              <w:t>Effect on endometrium</w:t>
            </w:r>
          </w:p>
        </w:tc>
        <w:tc>
          <w:tcPr>
            <w:tcW w:w="4678" w:type="dxa"/>
          </w:tcPr>
          <w:p w:rsidR="00E8354B" w:rsidRPr="00E8354B" w:rsidRDefault="00E8354B" w:rsidP="00912DFF">
            <w:pPr>
              <w:ind w:left="0" w:right="68"/>
              <w:rPr>
                <w:color w:val="000000"/>
              </w:rPr>
            </w:pPr>
            <w:r w:rsidRPr="00E8354B">
              <w:rPr>
                <w:color w:val="000000"/>
              </w:rPr>
              <w:t>Endometria</w:t>
            </w:r>
            <w:r w:rsidR="00AA2D96">
              <w:rPr>
                <w:color w:val="000000"/>
              </w:rPr>
              <w:t xml:space="preserve">l safety was also </w:t>
            </w:r>
            <w:proofErr w:type="spellStart"/>
            <w:r w:rsidR="00AA2D96">
              <w:rPr>
                <w:color w:val="000000"/>
              </w:rPr>
              <w:t>substudy</w:t>
            </w:r>
            <w:proofErr w:type="spellEnd"/>
            <w:r w:rsidR="00AA2D96">
              <w:rPr>
                <w:color w:val="000000"/>
              </w:rPr>
              <w:t xml:space="preserve"> of A</w:t>
            </w:r>
            <w:r w:rsidRPr="00E8354B">
              <w:rPr>
                <w:color w:val="000000"/>
              </w:rPr>
              <w:t>52238</w:t>
            </w:r>
          </w:p>
        </w:tc>
      </w:tr>
      <w:tr w:rsidR="00E8354B" w:rsidRPr="00E8354B" w:rsidTr="00912DFF">
        <w:tc>
          <w:tcPr>
            <w:tcW w:w="1701" w:type="dxa"/>
            <w:vMerge w:val="restart"/>
            <w:hideMark/>
          </w:tcPr>
          <w:p w:rsidR="00E8354B" w:rsidRPr="00E8354B" w:rsidRDefault="00E8354B" w:rsidP="00912DFF">
            <w:pPr>
              <w:ind w:left="0" w:right="67"/>
              <w:rPr>
                <w:color w:val="000000"/>
              </w:rPr>
            </w:pPr>
            <w:r w:rsidRPr="00E8354B">
              <w:rPr>
                <w:color w:val="000000"/>
              </w:rPr>
              <w:t>Gender other genetic and Age-Related Differences in PD Response</w:t>
            </w:r>
          </w:p>
        </w:tc>
        <w:tc>
          <w:tcPr>
            <w:tcW w:w="1843" w:type="dxa"/>
            <w:hideMark/>
          </w:tcPr>
          <w:p w:rsidR="00E8354B" w:rsidRPr="00E8354B" w:rsidRDefault="00E8354B" w:rsidP="00912DFF">
            <w:pPr>
              <w:ind w:left="0" w:right="67"/>
              <w:rPr>
                <w:color w:val="000000"/>
              </w:rPr>
            </w:pPr>
            <w:r w:rsidRPr="00E8354B">
              <w:rPr>
                <w:color w:val="000000"/>
              </w:rPr>
              <w:t>Effect of gender</w:t>
            </w:r>
          </w:p>
        </w:tc>
        <w:tc>
          <w:tcPr>
            <w:tcW w:w="4678" w:type="dxa"/>
            <w:hideMark/>
          </w:tcPr>
          <w:p w:rsidR="00E8354B" w:rsidRPr="00E8354B" w:rsidRDefault="00E8354B" w:rsidP="00912DFF">
            <w:pPr>
              <w:ind w:left="0" w:right="68"/>
              <w:rPr>
                <w:color w:val="000000"/>
              </w:rPr>
            </w:pPr>
            <w:r w:rsidRPr="00E8354B">
              <w:rPr>
                <w:color w:val="000000"/>
              </w:rPr>
              <w:t>Used only in women</w:t>
            </w:r>
          </w:p>
        </w:tc>
      </w:tr>
      <w:tr w:rsidR="00E8354B" w:rsidRPr="00E8354B" w:rsidTr="00912DFF">
        <w:tc>
          <w:tcPr>
            <w:tcW w:w="1701" w:type="dxa"/>
            <w:vMerge/>
            <w:hideMark/>
          </w:tcPr>
          <w:p w:rsidR="00E8354B" w:rsidRPr="00E8354B" w:rsidRDefault="00E8354B" w:rsidP="00912DFF">
            <w:pPr>
              <w:ind w:left="0" w:right="67"/>
              <w:rPr>
                <w:color w:val="000000"/>
              </w:rPr>
            </w:pPr>
          </w:p>
        </w:tc>
        <w:tc>
          <w:tcPr>
            <w:tcW w:w="1843" w:type="dxa"/>
            <w:hideMark/>
          </w:tcPr>
          <w:p w:rsidR="00E8354B" w:rsidRPr="00E8354B" w:rsidRDefault="00E8354B" w:rsidP="00912DFF">
            <w:pPr>
              <w:ind w:left="0" w:right="67"/>
              <w:rPr>
                <w:color w:val="000000"/>
              </w:rPr>
            </w:pPr>
            <w:r w:rsidRPr="00E8354B">
              <w:rPr>
                <w:color w:val="000000"/>
              </w:rPr>
              <w:t>Effect of age</w:t>
            </w:r>
          </w:p>
        </w:tc>
        <w:tc>
          <w:tcPr>
            <w:tcW w:w="4678" w:type="dxa"/>
            <w:hideMark/>
          </w:tcPr>
          <w:p w:rsidR="00E8354B" w:rsidRPr="00E8354B" w:rsidRDefault="00E8354B" w:rsidP="00912DFF">
            <w:pPr>
              <w:ind w:left="0" w:right="68"/>
              <w:rPr>
                <w:color w:val="000000"/>
              </w:rPr>
            </w:pPr>
            <w:r w:rsidRPr="00E8354B">
              <w:rPr>
                <w:color w:val="000000"/>
              </w:rPr>
              <w:t xml:space="preserve">Physiology-based </w:t>
            </w:r>
            <w:r w:rsidR="00B12000">
              <w:rPr>
                <w:color w:val="000000"/>
              </w:rPr>
              <w:t>PK</w:t>
            </w:r>
            <w:r w:rsidRPr="00E8354B">
              <w:rPr>
                <w:color w:val="000000"/>
              </w:rPr>
              <w:t xml:space="preserve"> (PBPK) </w:t>
            </w:r>
            <w:r w:rsidR="00AA2D96" w:rsidRPr="00E8354B">
              <w:rPr>
                <w:color w:val="000000"/>
              </w:rPr>
              <w:t>modelling</w:t>
            </w:r>
            <w:r w:rsidR="00AA2D96">
              <w:rPr>
                <w:color w:val="000000"/>
              </w:rPr>
              <w:t xml:space="preserve"> via the software PK-Sim</w:t>
            </w:r>
            <w:r w:rsidRPr="00E8354B">
              <w:rPr>
                <w:color w:val="000000"/>
              </w:rPr>
              <w:t xml:space="preserve"> used to explore the expected </w:t>
            </w:r>
            <w:r w:rsidR="00B12000">
              <w:rPr>
                <w:color w:val="000000"/>
              </w:rPr>
              <w:t>PK</w:t>
            </w:r>
            <w:r w:rsidRPr="00E8354B">
              <w:rPr>
                <w:color w:val="000000"/>
              </w:rPr>
              <w:t xml:space="preserve"> properties of LCS in females of different ages</w:t>
            </w:r>
          </w:p>
        </w:tc>
      </w:tr>
      <w:tr w:rsidR="00E8354B" w:rsidRPr="00E8354B" w:rsidTr="00912DFF">
        <w:tc>
          <w:tcPr>
            <w:tcW w:w="1701" w:type="dxa"/>
            <w:hideMark/>
          </w:tcPr>
          <w:p w:rsidR="00E8354B" w:rsidRPr="00E8354B" w:rsidRDefault="00E8354B" w:rsidP="00912DFF">
            <w:pPr>
              <w:ind w:left="0" w:right="67"/>
              <w:rPr>
                <w:color w:val="000000"/>
              </w:rPr>
            </w:pPr>
            <w:r w:rsidRPr="00E8354B">
              <w:rPr>
                <w:color w:val="000000"/>
              </w:rPr>
              <w:t>PD Interactions</w:t>
            </w:r>
          </w:p>
        </w:tc>
        <w:tc>
          <w:tcPr>
            <w:tcW w:w="1843" w:type="dxa"/>
          </w:tcPr>
          <w:p w:rsidR="00E8354B" w:rsidRPr="00E8354B" w:rsidRDefault="00E8354B" w:rsidP="00912DFF">
            <w:pPr>
              <w:ind w:left="0" w:right="67"/>
              <w:rPr>
                <w:color w:val="000000"/>
              </w:rPr>
            </w:pPr>
          </w:p>
        </w:tc>
        <w:tc>
          <w:tcPr>
            <w:tcW w:w="4678" w:type="dxa"/>
            <w:hideMark/>
          </w:tcPr>
          <w:p w:rsidR="00E8354B" w:rsidRPr="00E8354B" w:rsidRDefault="00912DFF" w:rsidP="00912DFF">
            <w:pPr>
              <w:ind w:left="0" w:right="68"/>
              <w:rPr>
                <w:color w:val="000000"/>
              </w:rPr>
            </w:pPr>
            <w:r>
              <w:rPr>
                <w:color w:val="000000"/>
              </w:rPr>
              <w:t>Nil likely to be relevant</w:t>
            </w:r>
          </w:p>
        </w:tc>
      </w:tr>
      <w:tr w:rsidR="00E8354B" w:rsidRPr="00E8354B" w:rsidTr="00912DFF">
        <w:tc>
          <w:tcPr>
            <w:tcW w:w="1701" w:type="dxa"/>
            <w:hideMark/>
          </w:tcPr>
          <w:p w:rsidR="00E8354B" w:rsidRPr="00E8354B" w:rsidRDefault="00E8354B" w:rsidP="00912DFF">
            <w:pPr>
              <w:ind w:left="0" w:right="67"/>
              <w:rPr>
                <w:color w:val="000000"/>
              </w:rPr>
            </w:pPr>
            <w:r w:rsidRPr="00E8354B">
              <w:rPr>
                <w:color w:val="000000"/>
              </w:rPr>
              <w:t>Population PD and PK-PD analyses</w:t>
            </w:r>
          </w:p>
        </w:tc>
        <w:tc>
          <w:tcPr>
            <w:tcW w:w="1843" w:type="dxa"/>
            <w:hideMark/>
          </w:tcPr>
          <w:p w:rsidR="00E8354B" w:rsidRPr="00E8354B" w:rsidRDefault="00E8354B" w:rsidP="00912DFF">
            <w:pPr>
              <w:ind w:left="0" w:right="67"/>
              <w:rPr>
                <w:color w:val="000000"/>
              </w:rPr>
            </w:pPr>
            <w:r w:rsidRPr="00E8354B">
              <w:rPr>
                <w:color w:val="000000"/>
              </w:rPr>
              <w:t>Healthy subjects</w:t>
            </w:r>
          </w:p>
        </w:tc>
        <w:tc>
          <w:tcPr>
            <w:tcW w:w="4678" w:type="dxa"/>
            <w:hideMark/>
          </w:tcPr>
          <w:p w:rsidR="00E8354B" w:rsidRPr="00E8354B" w:rsidRDefault="00E8354B" w:rsidP="00912DFF">
            <w:pPr>
              <w:ind w:left="0" w:right="68"/>
              <w:rPr>
                <w:color w:val="000000"/>
              </w:rPr>
            </w:pPr>
            <w:r w:rsidRPr="00E8354B">
              <w:rPr>
                <w:color w:val="000000"/>
              </w:rPr>
              <w:t>Healthy subjects A57262</w:t>
            </w:r>
          </w:p>
          <w:p w:rsidR="00E8354B" w:rsidRPr="00E8354B" w:rsidRDefault="00E8354B" w:rsidP="00912DFF">
            <w:pPr>
              <w:ind w:left="0" w:right="68"/>
              <w:rPr>
                <w:color w:val="000000"/>
              </w:rPr>
            </w:pPr>
            <w:r w:rsidRPr="00E8354B">
              <w:rPr>
                <w:color w:val="000000"/>
              </w:rPr>
              <w:t xml:space="preserve">External validation of an IVIVC for the low dose levonorgestrel contraceptive system </w:t>
            </w:r>
          </w:p>
        </w:tc>
      </w:tr>
    </w:tbl>
    <w:p w:rsidR="00E8354B" w:rsidRDefault="00E8354B" w:rsidP="00912DFF">
      <w:r w:rsidRPr="00E8354B">
        <w:t>None of the pharmacodynamic studies had deficiencies that excluded their results from consideration.</w:t>
      </w:r>
    </w:p>
    <w:p w:rsidR="00F204F0" w:rsidRPr="00F204F0" w:rsidRDefault="00F204F0" w:rsidP="00912DFF">
      <w:pPr>
        <w:pStyle w:val="Heading4"/>
      </w:pPr>
      <w:bookmarkStart w:id="99" w:name="_Toc376788825"/>
      <w:bookmarkStart w:id="100" w:name="_Ref269983272"/>
      <w:bookmarkStart w:id="101" w:name="_Toc272414648"/>
      <w:bookmarkStart w:id="102" w:name="_Toc290846270"/>
      <w:bookmarkStart w:id="103" w:name="_Toc290888807"/>
      <w:bookmarkStart w:id="104" w:name="_Toc343587565"/>
      <w:bookmarkStart w:id="105" w:name="_Toc219998395"/>
      <w:bookmarkStart w:id="106" w:name="_Toc219998499"/>
      <w:bookmarkStart w:id="107" w:name="_Toc219998914"/>
      <w:bookmarkStart w:id="108" w:name="_Toc219999017"/>
      <w:bookmarkStart w:id="109" w:name="_Toc219999118"/>
      <w:bookmarkStart w:id="110" w:name="_Toc229197933"/>
      <w:r w:rsidRPr="00F204F0">
        <w:t>Evaluator’s overall conclusions on pharmacodynamics</w:t>
      </w:r>
      <w:bookmarkEnd w:id="99"/>
      <w:bookmarkEnd w:id="100"/>
      <w:bookmarkEnd w:id="101"/>
      <w:bookmarkEnd w:id="102"/>
      <w:bookmarkEnd w:id="103"/>
      <w:bookmarkEnd w:id="104"/>
      <w:bookmarkEnd w:id="105"/>
      <w:bookmarkEnd w:id="106"/>
      <w:bookmarkEnd w:id="107"/>
      <w:bookmarkEnd w:id="108"/>
      <w:bookmarkEnd w:id="109"/>
      <w:bookmarkEnd w:id="110"/>
    </w:p>
    <w:p w:rsidR="00E8354B" w:rsidRDefault="00E8354B" w:rsidP="00912DFF">
      <w:r w:rsidRPr="00E8354B">
        <w:t xml:space="preserve">In summary, the pharmacodynamics parameters and the methods by which they are measured are appropriate for the indication. They include the target group, and studies to examine the lower dose of </w:t>
      </w:r>
      <w:r w:rsidR="00F204F0">
        <w:t>levonorgestrel</w:t>
      </w:r>
      <w:r w:rsidRPr="00E8354B">
        <w:t xml:space="preserve"> as compared to the currently TGA registered </w:t>
      </w:r>
      <w:r w:rsidR="00F204F0" w:rsidRPr="00F204F0">
        <w:t xml:space="preserve">levonorgestrel </w:t>
      </w:r>
      <w:r w:rsidRPr="00E8354B">
        <w:t xml:space="preserve">IUS product are appropriate. </w:t>
      </w:r>
      <w:r w:rsidR="00F204F0">
        <w:t>I</w:t>
      </w:r>
      <w:r w:rsidRPr="00E8354B">
        <w:t xml:space="preserve">ncluding the Phase </w:t>
      </w:r>
      <w:proofErr w:type="spellStart"/>
      <w:r w:rsidR="00F204F0">
        <w:t>III</w:t>
      </w:r>
      <w:r w:rsidRPr="00E8354B">
        <w:t>b</w:t>
      </w:r>
      <w:proofErr w:type="spellEnd"/>
      <w:r w:rsidRPr="00E8354B">
        <w:t xml:space="preserve"> studies underway</w:t>
      </w:r>
      <w:r w:rsidR="00F204F0">
        <w:t>,</w:t>
      </w:r>
      <w:r w:rsidRPr="00E8354B">
        <w:t xml:space="preserve"> no further studies on specific parameters are required from a pharmacodynamics perspective. However the 5 year arm of the LCS16 group and the data from Phase </w:t>
      </w:r>
      <w:proofErr w:type="spellStart"/>
      <w:r w:rsidR="00F204F0">
        <w:t>IIIb</w:t>
      </w:r>
      <w:proofErr w:type="spellEnd"/>
      <w:r w:rsidRPr="00E8354B">
        <w:t xml:space="preserve"> studies are important to corroborate the early pharmacodynamics data presented here.</w:t>
      </w:r>
    </w:p>
    <w:p w:rsidR="00F204F0" w:rsidRPr="00F204F0" w:rsidRDefault="00F204F0" w:rsidP="00912DFF">
      <w:pPr>
        <w:pStyle w:val="Heading3"/>
      </w:pPr>
      <w:bookmarkStart w:id="111" w:name="_Toc376788826"/>
      <w:bookmarkStart w:id="112" w:name="_Toc380568272"/>
      <w:r w:rsidRPr="00F204F0">
        <w:t xml:space="preserve">Dosage selection for the pivotal </w:t>
      </w:r>
      <w:r w:rsidRPr="00912DFF">
        <w:t>studies</w:t>
      </w:r>
      <w:bookmarkEnd w:id="111"/>
      <w:bookmarkEnd w:id="112"/>
    </w:p>
    <w:p w:rsidR="00F204F0" w:rsidRPr="00E8354B" w:rsidRDefault="00F204F0" w:rsidP="00912DFF">
      <w:r w:rsidRPr="00F204F0">
        <w:t xml:space="preserve">There is already a 52 mg levonorgestrel IUS available in Australia (Mirena). This IUS releases </w:t>
      </w:r>
      <w:r w:rsidR="00B90593" w:rsidRPr="00B90593">
        <w:t>levonorgestrel</w:t>
      </w:r>
      <w:r w:rsidRPr="00F204F0">
        <w:t xml:space="preserve"> over 5 years. LCS12 (Jaydess) was designed to release smaller amounts of </w:t>
      </w:r>
      <w:r w:rsidR="00B90593" w:rsidRPr="00B90593">
        <w:t>levonorgestrel</w:t>
      </w:r>
      <w:r w:rsidRPr="00F204F0">
        <w:t xml:space="preserve"> per day (12 µg/day for Jaydess) and to be removed after 3 years. As there is now many years of safety data for Mirena, the main 2 issues for the clinical use of Jaydess is whether the clinical effectiveness is maintained (in terms of pregnancy prevention) over the 3 years with a much lower levonorgestrel release, and </w:t>
      </w:r>
      <w:r w:rsidRPr="00F204F0">
        <w:lastRenderedPageBreak/>
        <w:t>whether there are any safety concerns with the formulation or structure of the IUS. The 2 clinical studies (A52238 and A46796) investigate thes</w:t>
      </w:r>
      <w:r w:rsidR="00912DFF">
        <w:t>e issues with LCS 12 (</w:t>
      </w:r>
      <w:proofErr w:type="spellStart"/>
      <w:r w:rsidR="00912DFF">
        <w:t>Jaydess</w:t>
      </w:r>
      <w:proofErr w:type="spellEnd"/>
      <w:r w:rsidR="00912DFF">
        <w:t>).</w:t>
      </w:r>
    </w:p>
    <w:p w:rsidR="008E7846" w:rsidRPr="00912DFF" w:rsidRDefault="008E7846" w:rsidP="00912DFF">
      <w:pPr>
        <w:pStyle w:val="Heading3"/>
      </w:pPr>
      <w:bookmarkStart w:id="113" w:name="_Toc163441372"/>
      <w:bookmarkStart w:id="114" w:name="_Toc196046485"/>
      <w:bookmarkStart w:id="115" w:name="_Toc247691521"/>
      <w:bookmarkStart w:id="116" w:name="_Toc314842504"/>
      <w:bookmarkStart w:id="117" w:name="_Toc380568273"/>
      <w:r w:rsidRPr="00254787">
        <w:t>Efficacy</w:t>
      </w:r>
      <w:bookmarkEnd w:id="113"/>
      <w:bookmarkEnd w:id="114"/>
      <w:bookmarkEnd w:id="115"/>
      <w:bookmarkEnd w:id="116"/>
      <w:bookmarkEnd w:id="117"/>
    </w:p>
    <w:p w:rsidR="00F204F0" w:rsidRPr="00912DFF" w:rsidRDefault="00F204F0" w:rsidP="00912DFF">
      <w:pPr>
        <w:pStyle w:val="Heading4"/>
      </w:pPr>
      <w:bookmarkStart w:id="118" w:name="_Toc184439992"/>
      <w:bookmarkStart w:id="119" w:name="_Toc184440279"/>
      <w:bookmarkStart w:id="120" w:name="_Toc184444657"/>
      <w:bookmarkStart w:id="121" w:name="_Toc196046487"/>
      <w:r>
        <w:t>Studies providing efficacy data</w:t>
      </w:r>
    </w:p>
    <w:p w:rsidR="00F204F0" w:rsidRDefault="00F204F0" w:rsidP="00912DFF">
      <w:r w:rsidRPr="00D02148">
        <w:t xml:space="preserve">Proof of the clinical efficacy of Jaydess </w:t>
      </w:r>
      <w:r w:rsidR="00D02148" w:rsidRPr="00D02148">
        <w:t>(</w:t>
      </w:r>
      <w:r w:rsidR="00F6152A">
        <w:t>c</w:t>
      </w:r>
      <w:r w:rsidRPr="00D02148">
        <w:t>ontraception</w:t>
      </w:r>
      <w:r w:rsidR="00D02148" w:rsidRPr="00D02148">
        <w:t xml:space="preserve">) </w:t>
      </w:r>
      <w:r>
        <w:t>wa</w:t>
      </w:r>
      <w:r w:rsidRPr="00F204F0">
        <w:t>s based on the number of pregnanci</w:t>
      </w:r>
      <w:r>
        <w:t xml:space="preserve">es in the clinical </w:t>
      </w:r>
      <w:r w:rsidR="00D02148">
        <w:t>s</w:t>
      </w:r>
      <w:r>
        <w:t>tudies</w:t>
      </w:r>
      <w:r w:rsidR="00D02148">
        <w:t>:</w:t>
      </w:r>
      <w:r w:rsidRPr="00F204F0">
        <w:t xml:space="preserve"> one pivotal </w:t>
      </w:r>
      <w:r>
        <w:t xml:space="preserve">Phase III </w:t>
      </w:r>
      <w:r w:rsidRPr="00F204F0">
        <w:t xml:space="preserve">study (A52238) and a supporting Phase II study (A46796). </w:t>
      </w:r>
      <w:r>
        <w:t>M</w:t>
      </w:r>
      <w:r w:rsidRPr="00F204F0">
        <w:t>uch of the study design was similar</w:t>
      </w:r>
      <w:r>
        <w:t xml:space="preserve"> for both studies</w:t>
      </w:r>
      <w:r w:rsidR="00912DFF">
        <w:t>.</w:t>
      </w:r>
    </w:p>
    <w:p w:rsidR="00F204F0" w:rsidRPr="00F204F0" w:rsidRDefault="00F204F0" w:rsidP="00912DFF">
      <w:r>
        <w:t xml:space="preserve">Study </w:t>
      </w:r>
      <w:r w:rsidRPr="00F204F0">
        <w:t>A52238 was a Phase III</w:t>
      </w:r>
      <w:r>
        <w:t>,</w:t>
      </w:r>
      <w:r w:rsidRPr="00F204F0">
        <w:t xml:space="preserve"> multicentre, randomised, open-label, 2-arm (LCS12 and LCS16), parallel group</w:t>
      </w:r>
      <w:r>
        <w:t>,</w:t>
      </w:r>
      <w:r w:rsidRPr="00F204F0">
        <w:t xml:space="preserve"> </w:t>
      </w:r>
      <w:proofErr w:type="gramStart"/>
      <w:r w:rsidRPr="00F204F0">
        <w:t>3</w:t>
      </w:r>
      <w:proofErr w:type="gramEnd"/>
      <w:r w:rsidRPr="00F204F0">
        <w:t xml:space="preserve"> year (up to 5 years for LCS16 only) </w:t>
      </w:r>
      <w:r>
        <w:t xml:space="preserve">study </w:t>
      </w:r>
      <w:r w:rsidRPr="00F204F0">
        <w:t>and recruited generally healthy 18 to 35</w:t>
      </w:r>
      <w:r>
        <w:t xml:space="preserve"> </w:t>
      </w:r>
      <w:r w:rsidRPr="00F204F0">
        <w:t>year old nulliparous or parous women in need of contraception. There were 1432 women in the LCS12 and 1452 in the LCS16 group. The primary efficacy variable was pregnancy rate (</w:t>
      </w:r>
      <w:r w:rsidR="00D02148">
        <w:t>Pear</w:t>
      </w:r>
      <w:r w:rsidR="00833FE9">
        <w:t>l</w:t>
      </w:r>
      <w:r w:rsidR="00D02148">
        <w:t xml:space="preserve"> Index, defined as the number of pregnancies per 100 women years on treatment</w:t>
      </w:r>
      <w:r w:rsidRPr="00F204F0">
        <w:t xml:space="preserve">). </w:t>
      </w:r>
    </w:p>
    <w:p w:rsidR="00F204F0" w:rsidRDefault="00F204F0" w:rsidP="00912DFF">
      <w:r w:rsidRPr="00F204F0">
        <w:t xml:space="preserve">The </w:t>
      </w:r>
      <w:r w:rsidR="00D02148">
        <w:t>P</w:t>
      </w:r>
      <w:r w:rsidRPr="00F204F0">
        <w:t xml:space="preserve">hase </w:t>
      </w:r>
      <w:r w:rsidR="00D02148">
        <w:t>II S</w:t>
      </w:r>
      <w:r w:rsidRPr="00F204F0">
        <w:t xml:space="preserve">tudy A46796 was a multicentre, open-label, randomised, dose finding study to investigate LCS12 and LCS16 compared to Mirena for a maximum of 3 years. The study </w:t>
      </w:r>
      <w:r w:rsidR="00F6152A">
        <w:t xml:space="preserve">recruited </w:t>
      </w:r>
      <w:r w:rsidR="00D02148">
        <w:t>p</w:t>
      </w:r>
      <w:r w:rsidRPr="00F204F0">
        <w:t>arous or nulliparous women of 21 to 40 years of age (inclusive) with good general health and in need of contraception. There were 240 wom</w:t>
      </w:r>
      <w:r w:rsidR="00F6152A">
        <w:t>en in the LCS12, 245 in the LCS</w:t>
      </w:r>
      <w:r w:rsidRPr="00F204F0">
        <w:t>16 group and 256 in the Mirena group. The number of pregnancies was recorded and the pregnancy rate (P</w:t>
      </w:r>
      <w:r w:rsidR="00D02148">
        <w:t xml:space="preserve">earl </w:t>
      </w:r>
      <w:r w:rsidRPr="00F204F0">
        <w:t>I</w:t>
      </w:r>
      <w:r w:rsidR="00D02148">
        <w:t>ndex</w:t>
      </w:r>
      <w:r w:rsidRPr="00F204F0">
        <w:t>) was calculated as</w:t>
      </w:r>
      <w:r w:rsidR="00912DFF">
        <w:t xml:space="preserve"> the primary efficacy variable.</w:t>
      </w:r>
    </w:p>
    <w:p w:rsidR="00D02148" w:rsidRPr="00D02148" w:rsidRDefault="00D02148" w:rsidP="00912DFF">
      <w:r>
        <w:t>In addition, a</w:t>
      </w:r>
      <w:r w:rsidRPr="00D02148">
        <w:t xml:space="preserve"> pooled analysis was undertaken and relevant data from this </w:t>
      </w:r>
      <w:r>
        <w:t xml:space="preserve">were </w:t>
      </w:r>
      <w:r w:rsidRPr="00D02148">
        <w:t>discussed as comparison in the discussion of clinical efficacy and safety endpoints when relevant.</w:t>
      </w:r>
    </w:p>
    <w:p w:rsidR="00D02148" w:rsidRPr="00912DFF" w:rsidRDefault="00D02148" w:rsidP="00912DFF">
      <w:pPr>
        <w:pStyle w:val="Heading4"/>
      </w:pPr>
      <w:bookmarkStart w:id="122" w:name="_Toc229197939"/>
      <w:bookmarkStart w:id="123" w:name="_Toc376788830"/>
      <w:r w:rsidRPr="00D02148">
        <w:t>Evaluator’s conclusions on clinical efficacy</w:t>
      </w:r>
      <w:bookmarkEnd w:id="122"/>
      <w:bookmarkEnd w:id="123"/>
    </w:p>
    <w:p w:rsidR="00D02148" w:rsidRPr="00912DFF" w:rsidRDefault="00D02148" w:rsidP="00912DFF">
      <w:pPr>
        <w:pStyle w:val="Heading5"/>
      </w:pPr>
      <w:r w:rsidRPr="00D02148">
        <w:t>Pregnancy</w:t>
      </w:r>
    </w:p>
    <w:p w:rsidR="00D02148" w:rsidRPr="00D02148" w:rsidRDefault="00D02148" w:rsidP="00912DFF">
      <w:r w:rsidRPr="00D02148">
        <w:t>Although for obvious reasons a placebo group was not studied, contraceptive efficacy of LCS12 (Jaydess) when inserted according to the insertion instruction</w:t>
      </w:r>
      <w:r>
        <w:t>s has been met. In the pivotal S</w:t>
      </w:r>
      <w:r w:rsidRPr="00D02148">
        <w:t>tudy A52238 for 18 to 35</w:t>
      </w:r>
      <w:r>
        <w:t xml:space="preserve"> </w:t>
      </w:r>
      <w:r w:rsidRPr="00D02148">
        <w:t>year old women, the unadjusted P</w:t>
      </w:r>
      <w:r>
        <w:t xml:space="preserve">earl </w:t>
      </w:r>
      <w:r w:rsidRPr="00D02148">
        <w:t>I</w:t>
      </w:r>
      <w:r>
        <w:t>ndex</w:t>
      </w:r>
      <w:r w:rsidRPr="00D02148">
        <w:t xml:space="preserve"> for LCS12 for the first year was 0.41 with the upper limit </w:t>
      </w:r>
      <w:r w:rsidR="00AA2D96">
        <w:t xml:space="preserve">(UL) </w:t>
      </w:r>
      <w:r w:rsidRPr="00D02148">
        <w:t>of the two</w:t>
      </w:r>
      <w:r>
        <w:t xml:space="preserve"> </w:t>
      </w:r>
      <w:r w:rsidRPr="00D02148">
        <w:t xml:space="preserve">sided 95% </w:t>
      </w:r>
      <w:r>
        <w:t>confidence interval (</w:t>
      </w:r>
      <w:r w:rsidRPr="00D02148">
        <w:t>CI</w:t>
      </w:r>
      <w:r>
        <w:t>)</w:t>
      </w:r>
      <w:r w:rsidRPr="00D02148">
        <w:t xml:space="preserve"> of 0.96, and 0.33 for the total three years of use, with the </w:t>
      </w:r>
      <w:r w:rsidR="00AA2D96">
        <w:t>UL</w:t>
      </w:r>
      <w:r>
        <w:t xml:space="preserve"> of the two sided 95% CI of 0.60. </w:t>
      </w:r>
      <w:r w:rsidRPr="00D02148">
        <w:t xml:space="preserve">The CHMP recommend that the difference between the point estimate and the </w:t>
      </w:r>
      <w:r w:rsidR="00AA2D96">
        <w:t>UL</w:t>
      </w:r>
      <w:r w:rsidRPr="00D02148">
        <w:t xml:space="preserve"> of the 95% CI of the P</w:t>
      </w:r>
      <w:r w:rsidR="00B12000">
        <w:t xml:space="preserve">earl </w:t>
      </w:r>
      <w:r w:rsidRPr="00D02148">
        <w:t>I</w:t>
      </w:r>
      <w:r w:rsidR="00B12000">
        <w:t>ndex</w:t>
      </w:r>
      <w:r w:rsidRPr="00D02148">
        <w:t xml:space="preserve"> is &lt;</w:t>
      </w:r>
      <w:r>
        <w:t xml:space="preserve"> </w:t>
      </w:r>
      <w:r w:rsidRPr="00D02148">
        <w:t>1.</w:t>
      </w:r>
    </w:p>
    <w:p w:rsidR="00D02148" w:rsidRPr="00D02148" w:rsidRDefault="00D02148" w:rsidP="00912DFF">
      <w:r>
        <w:t>Further, in the supporting S</w:t>
      </w:r>
      <w:r w:rsidRPr="00D02148">
        <w:t xml:space="preserve">tudy A46976, the highest </w:t>
      </w:r>
      <w:r>
        <w:t xml:space="preserve">Pearl Index </w:t>
      </w:r>
      <w:r w:rsidRPr="00D02148">
        <w:t>(unadjusted: 1.52; adjusted: 1.53) was observed in Year 2 for the LCS16 arm. With the exception of this group and time, all P</w:t>
      </w:r>
      <w:r w:rsidR="00F6152A">
        <w:t xml:space="preserve">earl </w:t>
      </w:r>
      <w:r w:rsidR="00F6152A" w:rsidRPr="00D02148">
        <w:t>I</w:t>
      </w:r>
      <w:r w:rsidR="00F6152A">
        <w:t>ndices</w:t>
      </w:r>
      <w:r w:rsidRPr="00D02148">
        <w:t xml:space="preserve"> were below 1 and the </w:t>
      </w:r>
      <w:r w:rsidR="00AA2D96">
        <w:t>UL</w:t>
      </w:r>
      <w:r w:rsidRPr="00D02148">
        <w:t xml:space="preserve"> of the 95% CI never exceeded 4.5.</w:t>
      </w:r>
    </w:p>
    <w:p w:rsidR="00D02148" w:rsidRPr="00D02148" w:rsidRDefault="00F6152A" w:rsidP="00912DFF">
      <w:r>
        <w:t>The evaluator n</w:t>
      </w:r>
      <w:r w:rsidR="00D02148" w:rsidRPr="00D02148">
        <w:t>ote</w:t>
      </w:r>
      <w:r>
        <w:t>d the requirement of the EM</w:t>
      </w:r>
      <w:r w:rsidR="00D02148" w:rsidRPr="00D02148">
        <w:t>A</w:t>
      </w:r>
      <w:r>
        <w:t>/CHMP</w:t>
      </w:r>
      <w:r w:rsidR="00D02148" w:rsidRPr="00D02148">
        <w:t xml:space="preserve"> </w:t>
      </w:r>
      <w:r w:rsidRPr="00F6152A">
        <w:rPr>
          <w:i/>
          <w:iCs/>
        </w:rPr>
        <w:t>Guideline on Clinical Investigation of Steroid Contraceptives in Women</w:t>
      </w:r>
      <w:r w:rsidRPr="00F6152A">
        <w:t xml:space="preserve"> (EMEA/CPMP/EWP/519/98 Rev 1 July 2005</w:t>
      </w:r>
      <w:r w:rsidR="00631FD0">
        <w:t>)</w:t>
      </w:r>
      <w:r w:rsidR="00D02148" w:rsidRPr="00D02148">
        <w:t xml:space="preserve">, that the difference between the point estimate for the Pearl </w:t>
      </w:r>
      <w:r w:rsidR="00A84CEA">
        <w:t>I</w:t>
      </w:r>
      <w:r w:rsidR="00D02148" w:rsidRPr="00D02148">
        <w:t>ndex and the upper 95% CI limit should not exceed 1, which although being met for the three year Pearl index with Mirena a</w:t>
      </w:r>
      <w:r w:rsidR="00912DFF">
        <w:t>nd LCS12, was missed for LCS16.</w:t>
      </w:r>
    </w:p>
    <w:p w:rsidR="00D02148" w:rsidRPr="00D02148" w:rsidRDefault="00D02148" w:rsidP="00912DFF">
      <w:r w:rsidRPr="00D02148">
        <w:t xml:space="preserve">Using a life table analysis, and using the pivotal </w:t>
      </w:r>
      <w:r w:rsidR="00631FD0">
        <w:t xml:space="preserve">Study </w:t>
      </w:r>
      <w:r w:rsidRPr="00D02148">
        <w:t>A52238</w:t>
      </w:r>
      <w:r w:rsidR="00631FD0">
        <w:t>,</w:t>
      </w:r>
      <w:r w:rsidRPr="00D02148">
        <w:t xml:space="preserve"> LCS12 has a failure rate of approximately 0.4% at 1 year and a cumulative failure rate of approximately 0.9% at 3 years.</w:t>
      </w:r>
    </w:p>
    <w:p w:rsidR="00D02148" w:rsidRPr="00D02148" w:rsidRDefault="00D02148" w:rsidP="00912DFF">
      <w:r w:rsidRPr="00D02148">
        <w:t>In terms of the 95% CI of the P</w:t>
      </w:r>
      <w:r w:rsidR="00631FD0">
        <w:t xml:space="preserve">earl </w:t>
      </w:r>
      <w:r w:rsidRPr="00D02148">
        <w:t>I</w:t>
      </w:r>
      <w:r w:rsidR="00631FD0">
        <w:t>ndex for the supporting S</w:t>
      </w:r>
      <w:r w:rsidRPr="00D02148">
        <w:t xml:space="preserve">tudy A46796 not being met in the LCS16 arm, it </w:t>
      </w:r>
      <w:r w:rsidR="00631FD0">
        <w:t>wa</w:t>
      </w:r>
      <w:r w:rsidRPr="00D02148">
        <w:t xml:space="preserve">s noted that this is a Phase </w:t>
      </w:r>
      <w:r w:rsidR="00631FD0">
        <w:t>II</w:t>
      </w:r>
      <w:r w:rsidRPr="00D02148">
        <w:t xml:space="preserve"> study only, that it occurred in the LCS16 and not the LCS12 (Jaydess) arm and that the failure rate also includes pregnancie</w:t>
      </w:r>
      <w:r w:rsidR="00912DFF">
        <w:t>s due to undetected expulsions.</w:t>
      </w:r>
    </w:p>
    <w:p w:rsidR="00D02148" w:rsidRPr="00D02148" w:rsidRDefault="00D02148" w:rsidP="00912DFF">
      <w:r w:rsidRPr="00D02148">
        <w:lastRenderedPageBreak/>
        <w:t xml:space="preserve">Demographic and baseline </w:t>
      </w:r>
      <w:r w:rsidR="00631FD0">
        <w:t>characteristics of the pivotal S</w:t>
      </w:r>
      <w:r w:rsidRPr="00D02148">
        <w:t xml:space="preserve">tudy A53328 and </w:t>
      </w:r>
      <w:r w:rsidR="00631FD0">
        <w:t>S</w:t>
      </w:r>
      <w:r w:rsidRPr="00D02148">
        <w:t xml:space="preserve">tudy A46796 </w:t>
      </w:r>
      <w:r w:rsidR="00631FD0">
        <w:t xml:space="preserve">were </w:t>
      </w:r>
      <w:r w:rsidRPr="00D02148">
        <w:t>representative of the target population</w:t>
      </w:r>
      <w:r w:rsidR="00631FD0">
        <w:t>,</w:t>
      </w:r>
      <w:r w:rsidRPr="00D02148">
        <w:t xml:space="preserve"> with a large group of both ≤ 25 year</w:t>
      </w:r>
      <w:r w:rsidR="00631FD0">
        <w:t xml:space="preserve"> old</w:t>
      </w:r>
      <w:r w:rsidRPr="00D02148">
        <w:t>s and</w:t>
      </w:r>
      <w:r w:rsidR="00631FD0">
        <w:t xml:space="preserve"> </w:t>
      </w:r>
      <w:r w:rsidRPr="00D02148">
        <w:t>nulliparous women (approximately 600 women in each of these categories i</w:t>
      </w:r>
      <w:r w:rsidR="00631FD0">
        <w:t xml:space="preserve">n the total LCS12 population). </w:t>
      </w:r>
      <w:r w:rsidRPr="00D02148">
        <w:t xml:space="preserve">Further </w:t>
      </w:r>
      <w:r w:rsidR="00631FD0">
        <w:t xml:space="preserve">information on </w:t>
      </w:r>
      <w:r w:rsidRPr="00D02148">
        <w:t xml:space="preserve">follow-up </w:t>
      </w:r>
      <w:r w:rsidR="00631FD0">
        <w:t>i</w:t>
      </w:r>
      <w:r w:rsidRPr="00D02148">
        <w:t xml:space="preserve">n those who wished to conceive but hadn’t at the completion of the study, and vigilance in special groups </w:t>
      </w:r>
      <w:r w:rsidR="00631FD0">
        <w:t>wa</w:t>
      </w:r>
      <w:r w:rsidRPr="00D02148">
        <w:t xml:space="preserve">s required and </w:t>
      </w:r>
      <w:r w:rsidR="00631FD0">
        <w:t xml:space="preserve">was </w:t>
      </w:r>
      <w:r w:rsidRPr="00D02148">
        <w:t xml:space="preserve">subsequently provided by the </w:t>
      </w:r>
      <w:r w:rsidR="00631FD0">
        <w:t>s</w:t>
      </w:r>
      <w:r w:rsidRPr="00D02148">
        <w:t xml:space="preserve">ponsor in </w:t>
      </w:r>
      <w:r w:rsidR="00631FD0">
        <w:t>response to a TGA request for further information (see below)</w:t>
      </w:r>
      <w:r w:rsidR="00912DFF">
        <w:t>.</w:t>
      </w:r>
    </w:p>
    <w:p w:rsidR="00D02148" w:rsidRPr="00912DFF" w:rsidRDefault="00D02148" w:rsidP="00912DFF">
      <w:pPr>
        <w:pStyle w:val="Heading5"/>
      </w:pPr>
      <w:r w:rsidRPr="00D02148">
        <w:t>Bleeding</w:t>
      </w:r>
    </w:p>
    <w:p w:rsidR="00D02148" w:rsidRPr="00D02148" w:rsidRDefault="00D02148" w:rsidP="00D02148">
      <w:proofErr w:type="spellStart"/>
      <w:r w:rsidRPr="00D02148">
        <w:t>Jaydess</w:t>
      </w:r>
      <w:proofErr w:type="spellEnd"/>
      <w:r w:rsidRPr="00D02148">
        <w:t xml:space="preserve"> had a favourable effect on bleeding as is seen with higher high dose </w:t>
      </w:r>
      <w:r w:rsidR="00A84CEA">
        <w:t xml:space="preserve">levonorgestrel </w:t>
      </w:r>
      <w:r w:rsidRPr="00D02148">
        <w:t>preparations. Specifically, the proportion of women with amenorrhea gradually increased over the course of the 3</w:t>
      </w:r>
      <w:r w:rsidR="00A84CEA">
        <w:t xml:space="preserve"> </w:t>
      </w:r>
      <w:r w:rsidRPr="00D02148">
        <w:t>year treatment period although the number was relatively small compa</w:t>
      </w:r>
      <w:r w:rsidR="00A84CEA">
        <w:t xml:space="preserve">red to the effect with Mirena. </w:t>
      </w:r>
      <w:r w:rsidRPr="00D02148">
        <w:t xml:space="preserve">Additionally, the proportion of women with prolonged and frequent bleeding decreased. This effect appeared to be dose related, with increasing </w:t>
      </w:r>
      <w:r w:rsidR="00A84CEA" w:rsidRPr="00A84CEA">
        <w:t>levonorgestrel</w:t>
      </w:r>
      <w:r w:rsidR="00A84CEA">
        <w:t>,</w:t>
      </w:r>
      <w:r w:rsidRPr="00D02148">
        <w:t xml:space="preserve"> as in LCS16 and Mirena</w:t>
      </w:r>
      <w:r w:rsidR="00A84CEA">
        <w:t>,</w:t>
      </w:r>
      <w:r w:rsidRPr="00D02148">
        <w:t xml:space="preserve"> having greater effects.</w:t>
      </w:r>
    </w:p>
    <w:p w:rsidR="00D02148" w:rsidRPr="00912DFF" w:rsidRDefault="00D02148" w:rsidP="00912DFF">
      <w:pPr>
        <w:pStyle w:val="Heading5"/>
      </w:pPr>
      <w:r w:rsidRPr="00D02148">
        <w:t>Compliance</w:t>
      </w:r>
    </w:p>
    <w:p w:rsidR="00D02148" w:rsidRPr="00D02148" w:rsidRDefault="00D02148" w:rsidP="00912DFF">
      <w:r w:rsidRPr="00D02148">
        <w:t>Overall compliance (as defined via IUS location with ultrasound) was high in both studies in all treatment groups. Importantly no difference in correct position of the IUS was seen betwee</w:t>
      </w:r>
      <w:r w:rsidR="00912DFF">
        <w:t xml:space="preserve">n </w:t>
      </w:r>
      <w:proofErr w:type="spellStart"/>
      <w:r w:rsidR="00912DFF">
        <w:t>parous</w:t>
      </w:r>
      <w:proofErr w:type="spellEnd"/>
      <w:r w:rsidR="00912DFF">
        <w:t xml:space="preserve"> and nulliparous women.</w:t>
      </w:r>
    </w:p>
    <w:p w:rsidR="00D02148" w:rsidRPr="00912DFF" w:rsidRDefault="00D02148" w:rsidP="00912DFF">
      <w:pPr>
        <w:pStyle w:val="Heading5"/>
      </w:pPr>
      <w:r w:rsidRPr="00D02148">
        <w:t>Early safety si</w:t>
      </w:r>
      <w:r w:rsidR="00912DFF">
        <w:t>gnals</w:t>
      </w:r>
    </w:p>
    <w:p w:rsidR="00D02148" w:rsidRPr="00D02148" w:rsidRDefault="00D02148" w:rsidP="00912DFF">
      <w:r w:rsidRPr="00D02148">
        <w:t>An analysis of the available return-to-fertility</w:t>
      </w:r>
      <w:r w:rsidR="00A84CEA">
        <w:t>,</w:t>
      </w:r>
      <w:r w:rsidRPr="00D02148">
        <w:t xml:space="preserve"> although early, was reassuring with 25 out of 29 women who discontinued </w:t>
      </w:r>
      <w:r w:rsidR="00A84CEA">
        <w:t>S</w:t>
      </w:r>
      <w:r w:rsidRPr="00D02148">
        <w:t>tudy A46796 because of wish for conception becoming pregnant during the 12</w:t>
      </w:r>
      <w:r w:rsidR="00A84CEA">
        <w:t xml:space="preserve"> </w:t>
      </w:r>
      <w:r w:rsidRPr="00D02148">
        <w:t>month follow-up. Unintended pregnancy due to expulsion was uncommon although monitoring post registration would be important.</w:t>
      </w:r>
    </w:p>
    <w:p w:rsidR="00D02148" w:rsidRPr="00D02148" w:rsidRDefault="00D02148" w:rsidP="00912DFF">
      <w:r w:rsidRPr="00D02148">
        <w:t>More than three quarters of women who completed the user satisfaction questionnaire were ‘very satisfied’ with study treatment.</w:t>
      </w:r>
    </w:p>
    <w:p w:rsidR="00D02148" w:rsidRPr="00D02148" w:rsidRDefault="00D02148" w:rsidP="00912DFF">
      <w:r w:rsidRPr="00D02148">
        <w:t xml:space="preserve">Of note, almost all women are of Caucasian origin, and thus </w:t>
      </w:r>
      <w:r w:rsidR="007D53A1">
        <w:t xml:space="preserve">a </w:t>
      </w:r>
      <w:r w:rsidRPr="00D02148">
        <w:t>generalisat</w:t>
      </w:r>
      <w:r w:rsidR="007D53A1">
        <w:t>ion</w:t>
      </w:r>
      <w:r w:rsidRPr="00D02148">
        <w:t xml:space="preserve"> to other ethnic groups cannot be made. The LCS12 has met the CHMP criteria for effective contraception, although this was not met for LCS16 in the Phase </w:t>
      </w:r>
      <w:r w:rsidR="00A84CEA">
        <w:t>II</w:t>
      </w:r>
      <w:r w:rsidRPr="00D02148">
        <w:t xml:space="preserve"> study.</w:t>
      </w:r>
    </w:p>
    <w:p w:rsidR="008E7846" w:rsidRPr="00912DFF" w:rsidRDefault="008E7846" w:rsidP="00912DFF">
      <w:pPr>
        <w:pStyle w:val="Heading3"/>
      </w:pPr>
      <w:bookmarkStart w:id="124" w:name="_Toc163441378"/>
      <w:bookmarkStart w:id="125" w:name="_Toc196046495"/>
      <w:bookmarkStart w:id="126" w:name="_Toc247691522"/>
      <w:bookmarkStart w:id="127" w:name="_Toc314842505"/>
      <w:bookmarkStart w:id="128" w:name="_Toc380568274"/>
      <w:bookmarkEnd w:id="118"/>
      <w:bookmarkEnd w:id="119"/>
      <w:bookmarkEnd w:id="120"/>
      <w:bookmarkEnd w:id="121"/>
      <w:r w:rsidRPr="002E238E">
        <w:t>Safety</w:t>
      </w:r>
      <w:bookmarkEnd w:id="124"/>
      <w:bookmarkEnd w:id="125"/>
      <w:bookmarkEnd w:id="126"/>
      <w:bookmarkEnd w:id="127"/>
      <w:bookmarkEnd w:id="128"/>
    </w:p>
    <w:p w:rsidR="0002438C" w:rsidRDefault="0002438C" w:rsidP="00912DFF">
      <w:pPr>
        <w:pStyle w:val="Heading4"/>
      </w:pPr>
      <w:bookmarkStart w:id="129" w:name="_Toc184440288"/>
      <w:bookmarkStart w:id="130" w:name="_Toc184444666"/>
      <w:bookmarkStart w:id="131" w:name="_Toc196046496"/>
      <w:r>
        <w:t xml:space="preserve">Studies providing </w:t>
      </w:r>
      <w:r w:rsidRPr="00912DFF">
        <w:t>evaluable</w:t>
      </w:r>
      <w:r>
        <w:t xml:space="preserve"> safety data</w:t>
      </w:r>
    </w:p>
    <w:p w:rsidR="0002438C" w:rsidRPr="0002438C" w:rsidRDefault="0002438C" w:rsidP="00912DFF">
      <w:r w:rsidRPr="0002438C">
        <w:t>Analysis of the safety of LCS12 is based on the same clinical studies</w:t>
      </w:r>
      <w:r w:rsidR="00204EC6">
        <w:t xml:space="preserve"> </w:t>
      </w:r>
      <w:r w:rsidR="00204EC6" w:rsidRPr="00204EC6">
        <w:t>as for analysis of contraceptive efficacy</w:t>
      </w:r>
      <w:r w:rsidRPr="0002438C">
        <w:t xml:space="preserve">, </w:t>
      </w:r>
      <w:r w:rsidR="00204EC6">
        <w:t xml:space="preserve">that is, </w:t>
      </w:r>
      <w:r w:rsidRPr="0002438C">
        <w:t xml:space="preserve">the pivotal </w:t>
      </w:r>
      <w:r w:rsidR="00204EC6">
        <w:t>P</w:t>
      </w:r>
      <w:r w:rsidRPr="0002438C">
        <w:t xml:space="preserve">hase </w:t>
      </w:r>
      <w:r w:rsidR="00204EC6">
        <w:t>III</w:t>
      </w:r>
      <w:r w:rsidRPr="0002438C">
        <w:t xml:space="preserve"> </w:t>
      </w:r>
      <w:r w:rsidR="00204EC6">
        <w:t>S</w:t>
      </w:r>
      <w:r w:rsidRPr="0002438C">
        <w:t xml:space="preserve">tudy A52238 and the comparative </w:t>
      </w:r>
      <w:r w:rsidR="00204EC6">
        <w:t>P</w:t>
      </w:r>
      <w:r w:rsidRPr="0002438C">
        <w:t xml:space="preserve">hase </w:t>
      </w:r>
      <w:r w:rsidR="00204EC6">
        <w:t>II</w:t>
      </w:r>
      <w:r w:rsidRPr="0002438C">
        <w:t xml:space="preserve"> </w:t>
      </w:r>
      <w:r w:rsidR="00204EC6">
        <w:t>S</w:t>
      </w:r>
      <w:r w:rsidRPr="0002438C">
        <w:t>tudy A46796.</w:t>
      </w:r>
    </w:p>
    <w:p w:rsidR="0002438C" w:rsidRDefault="00204EC6" w:rsidP="00912DFF">
      <w:r>
        <w:t>T</w:t>
      </w:r>
      <w:r w:rsidR="0002438C" w:rsidRPr="0002438C">
        <w:t>he same analysis set (</w:t>
      </w:r>
      <w:r>
        <w:t>full analysis set (</w:t>
      </w:r>
      <w:r w:rsidR="0002438C" w:rsidRPr="0002438C">
        <w:t>FAS</w:t>
      </w:r>
      <w:r>
        <w:t>),</w:t>
      </w:r>
      <w:r w:rsidR="0002438C" w:rsidRPr="0002438C">
        <w:t xml:space="preserve"> defined </w:t>
      </w:r>
      <w:r w:rsidRPr="00204EC6">
        <w:t>as including all women for whom the IUS was inserted (in A46796) or the insertion of an IUS was attempted (in A52238), according to the treatment actually received</w:t>
      </w:r>
      <w:r w:rsidR="0002438C" w:rsidRPr="0002438C">
        <w:t xml:space="preserve">) was used for the safety </w:t>
      </w:r>
      <w:r>
        <w:t>(</w:t>
      </w:r>
      <w:r w:rsidR="0002438C" w:rsidRPr="0002438C">
        <w:t>and efficacy</w:t>
      </w:r>
      <w:r>
        <w:t>)</w:t>
      </w:r>
      <w:r w:rsidR="0002438C" w:rsidRPr="0002438C">
        <w:t xml:space="preserve"> assessment. Safety data were examined for each individual study and also f</w:t>
      </w:r>
      <w:r w:rsidR="00912DFF">
        <w:t>or the pooled analysis.</w:t>
      </w:r>
    </w:p>
    <w:p w:rsidR="00204EC6" w:rsidRPr="0002438C" w:rsidRDefault="00204EC6" w:rsidP="00912DFF">
      <w:r>
        <w:t xml:space="preserve">A summary of patient exposure is given in Table </w:t>
      </w:r>
      <w:r w:rsidR="004251D5">
        <w:t>3</w:t>
      </w:r>
      <w:r>
        <w:t>.</w:t>
      </w:r>
    </w:p>
    <w:p w:rsidR="0002438C" w:rsidRPr="0002438C" w:rsidRDefault="0002438C" w:rsidP="00912DFF">
      <w:pPr>
        <w:pStyle w:val="TableTitle"/>
      </w:pPr>
      <w:bookmarkStart w:id="132" w:name="_Toc346183338"/>
      <w:proofErr w:type="gramStart"/>
      <w:r w:rsidRPr="0002438C">
        <w:lastRenderedPageBreak/>
        <w:t xml:space="preserve">Table </w:t>
      </w:r>
      <w:r w:rsidR="004251D5">
        <w:t>3</w:t>
      </w:r>
      <w:r w:rsidRPr="0002438C">
        <w:t>.</w:t>
      </w:r>
      <w:proofErr w:type="gramEnd"/>
      <w:r w:rsidRPr="0002438C">
        <w:t xml:space="preserve"> Mean exposure to </w:t>
      </w:r>
      <w:r w:rsidR="00204EC6" w:rsidRPr="00204EC6">
        <w:t xml:space="preserve">levonorgestrel </w:t>
      </w:r>
      <w:r w:rsidRPr="0002438C">
        <w:t>and comparators in clinical studies.</w:t>
      </w:r>
      <w:bookmarkEnd w:id="132"/>
    </w:p>
    <w:tbl>
      <w:tblPr>
        <w:tblStyle w:val="TableTGAblue"/>
        <w:tblW w:w="8222" w:type="dxa"/>
        <w:tblLayout w:type="fixed"/>
        <w:tblLook w:val="0620" w:firstRow="1" w:lastRow="0" w:firstColumn="0" w:lastColumn="0" w:noHBand="1" w:noVBand="1"/>
      </w:tblPr>
      <w:tblGrid>
        <w:gridCol w:w="2552"/>
        <w:gridCol w:w="1309"/>
        <w:gridCol w:w="1384"/>
        <w:gridCol w:w="1276"/>
        <w:gridCol w:w="34"/>
        <w:gridCol w:w="1667"/>
      </w:tblGrid>
      <w:tr w:rsidR="0002438C" w:rsidRPr="0002438C" w:rsidTr="00BA430F">
        <w:trPr>
          <w:cnfStyle w:val="100000000000" w:firstRow="1" w:lastRow="0" w:firstColumn="0" w:lastColumn="0" w:oddVBand="0" w:evenVBand="0" w:oddHBand="0" w:evenHBand="0" w:firstRowFirstColumn="0" w:firstRowLastColumn="0" w:lastRowFirstColumn="0" w:lastRowLastColumn="0"/>
          <w:tblHeader/>
        </w:trPr>
        <w:tc>
          <w:tcPr>
            <w:tcW w:w="2552" w:type="dxa"/>
            <w:vMerge w:val="restart"/>
            <w:hideMark/>
          </w:tcPr>
          <w:p w:rsidR="0002438C" w:rsidRPr="0002438C" w:rsidRDefault="0002438C" w:rsidP="00BA430F">
            <w:pPr>
              <w:keepNext/>
              <w:keepLines/>
              <w:tabs>
                <w:tab w:val="left" w:pos="2336"/>
              </w:tabs>
              <w:ind w:left="0" w:right="0"/>
            </w:pPr>
            <w:r w:rsidRPr="0002438C">
              <w:t>Study type/</w:t>
            </w:r>
          </w:p>
          <w:p w:rsidR="0002438C" w:rsidRPr="0002438C" w:rsidRDefault="0002438C" w:rsidP="00BA430F">
            <w:pPr>
              <w:keepNext/>
              <w:keepLines/>
              <w:tabs>
                <w:tab w:val="left" w:pos="2336"/>
              </w:tabs>
              <w:ind w:left="0" w:right="0"/>
            </w:pPr>
            <w:r w:rsidRPr="0002438C">
              <w:t>Indication</w:t>
            </w:r>
          </w:p>
        </w:tc>
        <w:tc>
          <w:tcPr>
            <w:tcW w:w="4003" w:type="dxa"/>
            <w:gridSpan w:val="4"/>
            <w:hideMark/>
          </w:tcPr>
          <w:p w:rsidR="0002438C" w:rsidRPr="0002438C" w:rsidRDefault="0002438C" w:rsidP="00BA430F">
            <w:pPr>
              <w:keepNext/>
              <w:keepLines/>
              <w:tabs>
                <w:tab w:val="left" w:pos="1093"/>
              </w:tabs>
              <w:ind w:left="0" w:right="0"/>
            </w:pPr>
            <w:r w:rsidRPr="0002438C">
              <w:t>Uncontrolled studies</w:t>
            </w:r>
          </w:p>
        </w:tc>
        <w:tc>
          <w:tcPr>
            <w:tcW w:w="1667" w:type="dxa"/>
            <w:vMerge w:val="restart"/>
            <w:hideMark/>
          </w:tcPr>
          <w:p w:rsidR="0002438C" w:rsidRPr="0002438C" w:rsidRDefault="0002438C" w:rsidP="00BA430F">
            <w:pPr>
              <w:keepNext/>
              <w:keepLines/>
              <w:ind w:left="0" w:right="0"/>
            </w:pPr>
            <w:r w:rsidRPr="0002438C">
              <w:t>Total</w:t>
            </w:r>
          </w:p>
          <w:p w:rsidR="0002438C" w:rsidRPr="0002438C" w:rsidRDefault="00B90593" w:rsidP="00BA430F">
            <w:pPr>
              <w:keepNext/>
              <w:keepLines/>
              <w:ind w:left="0" w:right="0"/>
            </w:pPr>
            <w:r w:rsidRPr="00B90593">
              <w:t>levonorgestrel</w:t>
            </w:r>
            <w:r w:rsidR="0002438C" w:rsidRPr="0002438C">
              <w:t xml:space="preserve"> (all doses)</w:t>
            </w:r>
          </w:p>
        </w:tc>
      </w:tr>
      <w:tr w:rsidR="0002438C" w:rsidRPr="0002438C" w:rsidTr="00BA430F">
        <w:trPr>
          <w:cnfStyle w:val="100000000000" w:firstRow="1" w:lastRow="0" w:firstColumn="0" w:lastColumn="0" w:oddVBand="0" w:evenVBand="0" w:oddHBand="0" w:evenHBand="0" w:firstRowFirstColumn="0" w:firstRowLastColumn="0" w:lastRowFirstColumn="0" w:lastRowLastColumn="0"/>
          <w:tblHeader/>
        </w:trPr>
        <w:tc>
          <w:tcPr>
            <w:tcW w:w="2552" w:type="dxa"/>
            <w:vMerge/>
            <w:hideMark/>
          </w:tcPr>
          <w:p w:rsidR="0002438C" w:rsidRPr="0002438C" w:rsidRDefault="0002438C" w:rsidP="00BA430F">
            <w:pPr>
              <w:keepNext/>
              <w:keepLines/>
              <w:tabs>
                <w:tab w:val="left" w:pos="2336"/>
              </w:tabs>
              <w:ind w:left="0" w:right="0"/>
            </w:pPr>
          </w:p>
        </w:tc>
        <w:tc>
          <w:tcPr>
            <w:tcW w:w="1309" w:type="dxa"/>
            <w:hideMark/>
          </w:tcPr>
          <w:p w:rsidR="0002438C" w:rsidRPr="0002438C" w:rsidRDefault="0002438C" w:rsidP="00BA430F">
            <w:pPr>
              <w:keepNext/>
              <w:keepLines/>
              <w:tabs>
                <w:tab w:val="left" w:pos="1093"/>
              </w:tabs>
              <w:ind w:left="0" w:right="0"/>
            </w:pPr>
            <w:r w:rsidRPr="0002438C">
              <w:t>LCS12</w:t>
            </w:r>
          </w:p>
        </w:tc>
        <w:tc>
          <w:tcPr>
            <w:tcW w:w="1384" w:type="dxa"/>
            <w:hideMark/>
          </w:tcPr>
          <w:p w:rsidR="0002438C" w:rsidRPr="0002438C" w:rsidRDefault="0002438C" w:rsidP="00BA430F">
            <w:pPr>
              <w:keepNext/>
              <w:keepLines/>
              <w:tabs>
                <w:tab w:val="left" w:pos="1093"/>
              </w:tabs>
              <w:ind w:left="0" w:right="0"/>
            </w:pPr>
            <w:r w:rsidRPr="0002438C">
              <w:t>LCS16</w:t>
            </w:r>
          </w:p>
        </w:tc>
        <w:tc>
          <w:tcPr>
            <w:tcW w:w="1310" w:type="dxa"/>
            <w:gridSpan w:val="2"/>
            <w:hideMark/>
          </w:tcPr>
          <w:p w:rsidR="0002438C" w:rsidRPr="0002438C" w:rsidRDefault="0002438C" w:rsidP="00BA430F">
            <w:pPr>
              <w:keepNext/>
              <w:keepLines/>
              <w:tabs>
                <w:tab w:val="left" w:pos="1093"/>
              </w:tabs>
              <w:ind w:left="0" w:right="0"/>
            </w:pPr>
            <w:r w:rsidRPr="0002438C">
              <w:t>Mirena</w:t>
            </w:r>
          </w:p>
        </w:tc>
        <w:tc>
          <w:tcPr>
            <w:tcW w:w="1667" w:type="dxa"/>
            <w:vMerge/>
            <w:hideMark/>
          </w:tcPr>
          <w:p w:rsidR="0002438C" w:rsidRPr="0002438C" w:rsidRDefault="0002438C" w:rsidP="00BA430F">
            <w:pPr>
              <w:keepNext/>
              <w:keepLines/>
              <w:ind w:left="0" w:right="0"/>
            </w:pPr>
          </w:p>
        </w:tc>
      </w:tr>
      <w:tr w:rsidR="0002438C" w:rsidRPr="0002438C" w:rsidTr="00912DFF">
        <w:tc>
          <w:tcPr>
            <w:tcW w:w="8222" w:type="dxa"/>
            <w:gridSpan w:val="6"/>
            <w:hideMark/>
          </w:tcPr>
          <w:p w:rsidR="0002438C" w:rsidRPr="0002438C" w:rsidRDefault="0002438C" w:rsidP="00BA430F">
            <w:pPr>
              <w:keepNext/>
              <w:keepLines/>
              <w:tabs>
                <w:tab w:val="left" w:pos="1093"/>
                <w:tab w:val="left" w:pos="2336"/>
              </w:tabs>
              <w:ind w:left="0" w:right="0"/>
            </w:pPr>
            <w:r w:rsidRPr="0002438C">
              <w:rPr>
                <w:bCs/>
              </w:rPr>
              <w:t>Clinical pharmacology</w:t>
            </w:r>
          </w:p>
        </w:tc>
      </w:tr>
      <w:tr w:rsidR="0002438C" w:rsidRPr="0002438C" w:rsidTr="00912DFF">
        <w:tc>
          <w:tcPr>
            <w:tcW w:w="2552" w:type="dxa"/>
            <w:hideMark/>
          </w:tcPr>
          <w:p w:rsidR="0002438C" w:rsidRPr="0002438C" w:rsidRDefault="0002438C" w:rsidP="00BA430F">
            <w:pPr>
              <w:keepNext/>
              <w:keepLines/>
              <w:tabs>
                <w:tab w:val="left" w:pos="2336"/>
              </w:tabs>
              <w:ind w:left="0" w:right="0"/>
            </w:pPr>
            <w:r w:rsidRPr="0002438C">
              <w:t>Treatment duration (days)</w:t>
            </w:r>
          </w:p>
        </w:tc>
        <w:tc>
          <w:tcPr>
            <w:tcW w:w="1309" w:type="dxa"/>
            <w:hideMark/>
          </w:tcPr>
          <w:p w:rsidR="0002438C" w:rsidRPr="0002438C" w:rsidRDefault="0002438C" w:rsidP="00BA430F">
            <w:pPr>
              <w:keepNext/>
              <w:keepLines/>
              <w:tabs>
                <w:tab w:val="left" w:pos="1093"/>
              </w:tabs>
              <w:ind w:left="0" w:right="0"/>
            </w:pPr>
            <w:r w:rsidRPr="0002438C">
              <w:t xml:space="preserve">821 </w:t>
            </w:r>
          </w:p>
        </w:tc>
        <w:tc>
          <w:tcPr>
            <w:tcW w:w="1384" w:type="dxa"/>
            <w:hideMark/>
          </w:tcPr>
          <w:p w:rsidR="0002438C" w:rsidRPr="0002438C" w:rsidRDefault="0002438C" w:rsidP="00BA430F">
            <w:pPr>
              <w:keepNext/>
              <w:keepLines/>
              <w:tabs>
                <w:tab w:val="left" w:pos="1093"/>
              </w:tabs>
              <w:ind w:left="0" w:right="0"/>
            </w:pPr>
            <w:r w:rsidRPr="0002438C">
              <w:t xml:space="preserve">843 </w:t>
            </w:r>
          </w:p>
        </w:tc>
        <w:tc>
          <w:tcPr>
            <w:tcW w:w="1276" w:type="dxa"/>
          </w:tcPr>
          <w:p w:rsidR="0002438C" w:rsidRPr="0002438C" w:rsidRDefault="0002438C" w:rsidP="00BA430F">
            <w:pPr>
              <w:keepNext/>
              <w:keepLines/>
              <w:tabs>
                <w:tab w:val="left" w:pos="1093"/>
              </w:tabs>
              <w:ind w:left="0" w:right="0"/>
            </w:pPr>
          </w:p>
        </w:tc>
        <w:tc>
          <w:tcPr>
            <w:tcW w:w="1701" w:type="dxa"/>
            <w:gridSpan w:val="2"/>
            <w:hideMark/>
          </w:tcPr>
          <w:p w:rsidR="0002438C" w:rsidRPr="0002438C" w:rsidRDefault="0002438C" w:rsidP="00BA430F">
            <w:pPr>
              <w:keepNext/>
              <w:keepLines/>
              <w:tabs>
                <w:tab w:val="left" w:pos="1093"/>
              </w:tabs>
              <w:ind w:left="0" w:right="0"/>
            </w:pPr>
            <w:r w:rsidRPr="0002438C">
              <w:t xml:space="preserve">1664 </w:t>
            </w:r>
          </w:p>
        </w:tc>
      </w:tr>
      <w:tr w:rsidR="0002438C" w:rsidRPr="0002438C" w:rsidTr="00912DFF">
        <w:tc>
          <w:tcPr>
            <w:tcW w:w="2552" w:type="dxa"/>
            <w:hideMark/>
          </w:tcPr>
          <w:p w:rsidR="0002438C" w:rsidRPr="0002438C" w:rsidRDefault="0002438C" w:rsidP="00BA430F">
            <w:pPr>
              <w:tabs>
                <w:tab w:val="left" w:pos="2336"/>
              </w:tabs>
              <w:ind w:left="0" w:right="0"/>
            </w:pPr>
            <w:r w:rsidRPr="0002438C">
              <w:t>Treatment duration (Women Years (</w:t>
            </w:r>
            <w:proofErr w:type="spellStart"/>
            <w:r w:rsidRPr="0002438C">
              <w:t>wy</w:t>
            </w:r>
            <w:proofErr w:type="spellEnd"/>
            <w:r w:rsidRPr="0002438C">
              <w:t xml:space="preserve">)) </w:t>
            </w:r>
          </w:p>
        </w:tc>
        <w:tc>
          <w:tcPr>
            <w:tcW w:w="1309" w:type="dxa"/>
            <w:hideMark/>
          </w:tcPr>
          <w:p w:rsidR="0002438C" w:rsidRPr="0002438C" w:rsidRDefault="0002438C" w:rsidP="00BA430F">
            <w:pPr>
              <w:tabs>
                <w:tab w:val="left" w:pos="1093"/>
              </w:tabs>
              <w:ind w:left="0" w:right="0"/>
            </w:pPr>
            <w:r w:rsidRPr="0002438C">
              <w:t>2.25</w:t>
            </w:r>
          </w:p>
        </w:tc>
        <w:tc>
          <w:tcPr>
            <w:tcW w:w="1384" w:type="dxa"/>
            <w:hideMark/>
          </w:tcPr>
          <w:p w:rsidR="0002438C" w:rsidRPr="0002438C" w:rsidRDefault="0002438C" w:rsidP="00BA430F">
            <w:pPr>
              <w:tabs>
                <w:tab w:val="left" w:pos="1093"/>
              </w:tabs>
              <w:ind w:left="0" w:right="0"/>
            </w:pPr>
            <w:r w:rsidRPr="0002438C">
              <w:t>2.31</w:t>
            </w:r>
          </w:p>
        </w:tc>
        <w:tc>
          <w:tcPr>
            <w:tcW w:w="1276" w:type="dxa"/>
          </w:tcPr>
          <w:p w:rsidR="0002438C" w:rsidRPr="0002438C" w:rsidRDefault="0002438C" w:rsidP="00BA430F">
            <w:pPr>
              <w:tabs>
                <w:tab w:val="left" w:pos="1093"/>
              </w:tabs>
              <w:ind w:left="0" w:right="0"/>
            </w:pPr>
          </w:p>
        </w:tc>
        <w:tc>
          <w:tcPr>
            <w:tcW w:w="1701" w:type="dxa"/>
            <w:gridSpan w:val="2"/>
            <w:hideMark/>
          </w:tcPr>
          <w:p w:rsidR="0002438C" w:rsidRPr="0002438C" w:rsidRDefault="0002438C" w:rsidP="00BA430F">
            <w:pPr>
              <w:tabs>
                <w:tab w:val="left" w:pos="1093"/>
              </w:tabs>
              <w:ind w:left="0" w:right="0"/>
            </w:pPr>
            <w:r w:rsidRPr="0002438C">
              <w:t xml:space="preserve">2.56 </w:t>
            </w:r>
          </w:p>
        </w:tc>
      </w:tr>
      <w:tr w:rsidR="0002438C" w:rsidRPr="0002438C" w:rsidTr="00912DFF">
        <w:tc>
          <w:tcPr>
            <w:tcW w:w="8222" w:type="dxa"/>
            <w:gridSpan w:val="6"/>
            <w:hideMark/>
          </w:tcPr>
          <w:p w:rsidR="0002438C" w:rsidRPr="0002438C" w:rsidRDefault="0002438C" w:rsidP="00BA430F">
            <w:pPr>
              <w:tabs>
                <w:tab w:val="left" w:pos="1093"/>
                <w:tab w:val="left" w:pos="2336"/>
              </w:tabs>
              <w:ind w:left="0" w:right="0"/>
            </w:pPr>
            <w:r w:rsidRPr="0002438C">
              <w:rPr>
                <w:bCs/>
              </w:rPr>
              <w:t>Study A46796</w:t>
            </w:r>
          </w:p>
        </w:tc>
      </w:tr>
      <w:tr w:rsidR="0002438C" w:rsidRPr="0002438C" w:rsidTr="00912DFF">
        <w:tc>
          <w:tcPr>
            <w:tcW w:w="2552" w:type="dxa"/>
            <w:hideMark/>
          </w:tcPr>
          <w:p w:rsidR="0002438C" w:rsidRPr="0002438C" w:rsidRDefault="0002438C" w:rsidP="00BA430F">
            <w:pPr>
              <w:tabs>
                <w:tab w:val="left" w:pos="2336"/>
              </w:tabs>
              <w:ind w:left="0" w:right="0"/>
              <w:rPr>
                <w:bCs/>
              </w:rPr>
            </w:pPr>
            <w:r w:rsidRPr="0002438C">
              <w:t>Treatment duration (days)</w:t>
            </w:r>
          </w:p>
        </w:tc>
        <w:tc>
          <w:tcPr>
            <w:tcW w:w="1309" w:type="dxa"/>
            <w:hideMark/>
          </w:tcPr>
          <w:p w:rsidR="0002438C" w:rsidRPr="0002438C" w:rsidRDefault="0002438C" w:rsidP="00BA430F">
            <w:pPr>
              <w:tabs>
                <w:tab w:val="left" w:pos="1093"/>
              </w:tabs>
              <w:ind w:left="0" w:right="0"/>
            </w:pPr>
            <w:r w:rsidRPr="0002438C">
              <w:t xml:space="preserve">915 </w:t>
            </w:r>
          </w:p>
        </w:tc>
        <w:tc>
          <w:tcPr>
            <w:tcW w:w="1384" w:type="dxa"/>
            <w:hideMark/>
          </w:tcPr>
          <w:p w:rsidR="0002438C" w:rsidRPr="0002438C" w:rsidRDefault="0002438C" w:rsidP="00BA430F">
            <w:pPr>
              <w:tabs>
                <w:tab w:val="left" w:pos="1093"/>
              </w:tabs>
              <w:ind w:left="0" w:right="0"/>
            </w:pPr>
            <w:r w:rsidRPr="0002438C">
              <w:t>912</w:t>
            </w:r>
          </w:p>
        </w:tc>
        <w:tc>
          <w:tcPr>
            <w:tcW w:w="1276" w:type="dxa"/>
            <w:hideMark/>
          </w:tcPr>
          <w:p w:rsidR="0002438C" w:rsidRPr="0002438C" w:rsidRDefault="0002438C" w:rsidP="00BA430F">
            <w:pPr>
              <w:tabs>
                <w:tab w:val="left" w:pos="1093"/>
              </w:tabs>
              <w:ind w:left="0" w:right="0"/>
            </w:pPr>
            <w:r w:rsidRPr="0002438C">
              <w:t>895</w:t>
            </w:r>
          </w:p>
        </w:tc>
        <w:tc>
          <w:tcPr>
            <w:tcW w:w="1701" w:type="dxa"/>
            <w:gridSpan w:val="2"/>
            <w:hideMark/>
          </w:tcPr>
          <w:p w:rsidR="0002438C" w:rsidRPr="0002438C" w:rsidRDefault="0002438C" w:rsidP="00BA430F">
            <w:pPr>
              <w:tabs>
                <w:tab w:val="left" w:pos="1093"/>
              </w:tabs>
              <w:ind w:left="0" w:right="0"/>
            </w:pPr>
            <w:r w:rsidRPr="0002438C">
              <w:t>7722</w:t>
            </w:r>
          </w:p>
        </w:tc>
      </w:tr>
      <w:tr w:rsidR="0002438C" w:rsidRPr="0002438C" w:rsidTr="00912DFF">
        <w:tc>
          <w:tcPr>
            <w:tcW w:w="2552" w:type="dxa"/>
            <w:hideMark/>
          </w:tcPr>
          <w:p w:rsidR="0002438C" w:rsidRPr="0002438C" w:rsidRDefault="0002438C" w:rsidP="00BA430F">
            <w:pPr>
              <w:tabs>
                <w:tab w:val="left" w:pos="2336"/>
              </w:tabs>
              <w:ind w:left="0" w:right="0"/>
            </w:pPr>
            <w:r w:rsidRPr="0002438C">
              <w:t>Treatment duration (Women Years)</w:t>
            </w:r>
          </w:p>
        </w:tc>
        <w:tc>
          <w:tcPr>
            <w:tcW w:w="1309" w:type="dxa"/>
            <w:hideMark/>
          </w:tcPr>
          <w:p w:rsidR="0002438C" w:rsidRPr="0002438C" w:rsidRDefault="0002438C" w:rsidP="00BA430F">
            <w:pPr>
              <w:tabs>
                <w:tab w:val="left" w:pos="1093"/>
              </w:tabs>
              <w:ind w:left="0" w:right="0"/>
            </w:pPr>
            <w:r w:rsidRPr="0002438C">
              <w:t>2.51</w:t>
            </w:r>
          </w:p>
        </w:tc>
        <w:tc>
          <w:tcPr>
            <w:tcW w:w="1384" w:type="dxa"/>
            <w:hideMark/>
          </w:tcPr>
          <w:p w:rsidR="0002438C" w:rsidRPr="0002438C" w:rsidRDefault="0002438C" w:rsidP="00BA430F">
            <w:pPr>
              <w:tabs>
                <w:tab w:val="left" w:pos="1093"/>
              </w:tabs>
              <w:ind w:left="0" w:right="0"/>
            </w:pPr>
            <w:r w:rsidRPr="0002438C">
              <w:t>2.50</w:t>
            </w:r>
          </w:p>
        </w:tc>
        <w:tc>
          <w:tcPr>
            <w:tcW w:w="1276" w:type="dxa"/>
            <w:hideMark/>
          </w:tcPr>
          <w:p w:rsidR="0002438C" w:rsidRPr="0002438C" w:rsidRDefault="0002438C" w:rsidP="00BA430F">
            <w:pPr>
              <w:tabs>
                <w:tab w:val="left" w:pos="1093"/>
              </w:tabs>
              <w:ind w:left="0" w:right="0"/>
            </w:pPr>
            <w:r w:rsidRPr="0002438C">
              <w:t>2.45</w:t>
            </w:r>
          </w:p>
        </w:tc>
        <w:tc>
          <w:tcPr>
            <w:tcW w:w="1701" w:type="dxa"/>
            <w:gridSpan w:val="2"/>
            <w:hideMark/>
          </w:tcPr>
          <w:p w:rsidR="0002438C" w:rsidRPr="0002438C" w:rsidRDefault="0002438C" w:rsidP="00BA430F">
            <w:pPr>
              <w:tabs>
                <w:tab w:val="left" w:pos="1093"/>
              </w:tabs>
              <w:ind w:left="0" w:right="0"/>
            </w:pPr>
            <w:r w:rsidRPr="0002438C">
              <w:t>4.9</w:t>
            </w:r>
          </w:p>
        </w:tc>
      </w:tr>
      <w:tr w:rsidR="0002438C" w:rsidRPr="0002438C" w:rsidTr="00912DFF">
        <w:tc>
          <w:tcPr>
            <w:tcW w:w="2552" w:type="dxa"/>
            <w:hideMark/>
          </w:tcPr>
          <w:p w:rsidR="0002438C" w:rsidRPr="0002438C" w:rsidRDefault="0002438C" w:rsidP="00BA430F">
            <w:pPr>
              <w:tabs>
                <w:tab w:val="left" w:pos="2336"/>
              </w:tabs>
              <w:ind w:left="0" w:right="0"/>
              <w:rPr>
                <w:bCs/>
              </w:rPr>
            </w:pPr>
            <w:r w:rsidRPr="0002438C">
              <w:rPr>
                <w:bCs/>
              </w:rPr>
              <w:t xml:space="preserve">TOTAL </w:t>
            </w:r>
            <w:proofErr w:type="spellStart"/>
            <w:r w:rsidRPr="0002438C">
              <w:rPr>
                <w:bCs/>
              </w:rPr>
              <w:t>wy</w:t>
            </w:r>
            <w:proofErr w:type="spellEnd"/>
            <w:r w:rsidRPr="0002438C">
              <w:rPr>
                <w:bCs/>
              </w:rPr>
              <w:t xml:space="preserve"> (days)</w:t>
            </w:r>
          </w:p>
        </w:tc>
        <w:tc>
          <w:tcPr>
            <w:tcW w:w="1309" w:type="dxa"/>
            <w:hideMark/>
          </w:tcPr>
          <w:p w:rsidR="0002438C" w:rsidRPr="0002438C" w:rsidRDefault="0002438C" w:rsidP="00BA430F">
            <w:pPr>
              <w:tabs>
                <w:tab w:val="left" w:pos="1093"/>
              </w:tabs>
              <w:ind w:left="0" w:right="0"/>
              <w:rPr>
                <w:bCs/>
              </w:rPr>
            </w:pPr>
            <w:r w:rsidRPr="0002438C">
              <w:rPr>
                <w:bCs/>
              </w:rPr>
              <w:t>4.76 (1736)</w:t>
            </w:r>
          </w:p>
        </w:tc>
        <w:tc>
          <w:tcPr>
            <w:tcW w:w="1384" w:type="dxa"/>
            <w:hideMark/>
          </w:tcPr>
          <w:p w:rsidR="0002438C" w:rsidRPr="0002438C" w:rsidRDefault="0002438C" w:rsidP="00BA430F">
            <w:pPr>
              <w:tabs>
                <w:tab w:val="left" w:pos="1093"/>
              </w:tabs>
              <w:ind w:left="0" w:right="0"/>
              <w:rPr>
                <w:bCs/>
              </w:rPr>
            </w:pPr>
            <w:r w:rsidRPr="0002438C">
              <w:rPr>
                <w:bCs/>
              </w:rPr>
              <w:t>4.81 (1755)</w:t>
            </w:r>
          </w:p>
        </w:tc>
        <w:tc>
          <w:tcPr>
            <w:tcW w:w="1276" w:type="dxa"/>
            <w:hideMark/>
          </w:tcPr>
          <w:p w:rsidR="0002438C" w:rsidRPr="0002438C" w:rsidRDefault="0002438C" w:rsidP="00BA430F">
            <w:pPr>
              <w:tabs>
                <w:tab w:val="left" w:pos="1093"/>
              </w:tabs>
              <w:ind w:left="0" w:right="0"/>
              <w:rPr>
                <w:bCs/>
              </w:rPr>
            </w:pPr>
            <w:r w:rsidRPr="0002438C">
              <w:rPr>
                <w:bCs/>
              </w:rPr>
              <w:t>2.45 (895)</w:t>
            </w:r>
          </w:p>
        </w:tc>
        <w:tc>
          <w:tcPr>
            <w:tcW w:w="1701" w:type="dxa"/>
            <w:gridSpan w:val="2"/>
            <w:hideMark/>
          </w:tcPr>
          <w:p w:rsidR="0002438C" w:rsidRPr="0002438C" w:rsidRDefault="0002438C" w:rsidP="00BA430F">
            <w:pPr>
              <w:tabs>
                <w:tab w:val="left" w:pos="1093"/>
              </w:tabs>
              <w:ind w:left="0" w:right="0"/>
              <w:rPr>
                <w:bCs/>
              </w:rPr>
            </w:pPr>
            <w:r w:rsidRPr="0002438C">
              <w:rPr>
                <w:bCs/>
              </w:rPr>
              <w:t>10.56 (9386)</w:t>
            </w:r>
          </w:p>
        </w:tc>
      </w:tr>
    </w:tbl>
    <w:p w:rsidR="0002438C" w:rsidRPr="0002438C" w:rsidRDefault="0002438C" w:rsidP="00BA430F">
      <w:r w:rsidRPr="0002438C">
        <w:t>On average, the mean exposure for women on LCS12 in the youngest age group or nulliparous group was approximately 60 or 40 days shorter when compared to the overall population.</w:t>
      </w:r>
    </w:p>
    <w:p w:rsidR="00204EC6" w:rsidRPr="00204EC6" w:rsidRDefault="00204EC6" w:rsidP="00BA430F">
      <w:r w:rsidRPr="00204EC6">
        <w:t xml:space="preserve">No post-marketing data are available for LCS12 because this product has not yet been marketed. However post-marketing safety data for Mirena, that has an initial release rate </w:t>
      </w:r>
      <w:proofErr w:type="gramStart"/>
      <w:r w:rsidRPr="00204EC6">
        <w:t>of approximately 20 μg/day</w:t>
      </w:r>
      <w:proofErr w:type="gramEnd"/>
      <w:r w:rsidRPr="00204EC6">
        <w:t xml:space="preserve"> and a 5 year period of use, are available, and a large active post-marketing surveillance and research (Phase </w:t>
      </w:r>
      <w:proofErr w:type="spellStart"/>
      <w:r>
        <w:t>III</w:t>
      </w:r>
      <w:r w:rsidRPr="00204EC6">
        <w:t>b</w:t>
      </w:r>
      <w:proofErr w:type="spellEnd"/>
      <w:r w:rsidRPr="00204EC6">
        <w:t>) program is ongoing. In the latest Periodic Safety Update Report (PSUR) for Mirena, there was no evidence of any new safety concerns.</w:t>
      </w:r>
    </w:p>
    <w:p w:rsidR="00204EC6" w:rsidRPr="00204EC6" w:rsidRDefault="00204EC6" w:rsidP="00BA430F">
      <w:pPr>
        <w:pStyle w:val="Heading4"/>
      </w:pPr>
      <w:bookmarkStart w:id="133" w:name="_Toc241374328"/>
      <w:bookmarkStart w:id="134" w:name="_Toc272414691"/>
      <w:bookmarkStart w:id="135" w:name="_Toc290846329"/>
      <w:bookmarkStart w:id="136" w:name="_Toc290888866"/>
      <w:bookmarkStart w:id="137" w:name="_Toc343587610"/>
      <w:bookmarkStart w:id="138" w:name="_Toc219998427"/>
      <w:bookmarkStart w:id="139" w:name="_Toc219998531"/>
      <w:bookmarkStart w:id="140" w:name="_Toc219998946"/>
      <w:bookmarkStart w:id="141" w:name="_Toc219999049"/>
      <w:bookmarkStart w:id="142" w:name="_Toc219999150"/>
      <w:bookmarkStart w:id="143" w:name="_Toc229197966"/>
      <w:bookmarkStart w:id="144" w:name="_Toc376788837"/>
      <w:r w:rsidRPr="00204EC6">
        <w:t xml:space="preserve">Evaluator’s overall conclusions </w:t>
      </w:r>
      <w:r w:rsidRPr="00BA430F">
        <w:t>on</w:t>
      </w:r>
      <w:r w:rsidRPr="00204EC6">
        <w:t xml:space="preserve"> clinical safety</w:t>
      </w:r>
      <w:bookmarkEnd w:id="133"/>
      <w:bookmarkEnd w:id="134"/>
      <w:bookmarkEnd w:id="135"/>
      <w:bookmarkEnd w:id="136"/>
      <w:bookmarkEnd w:id="137"/>
      <w:bookmarkEnd w:id="138"/>
      <w:bookmarkEnd w:id="139"/>
      <w:bookmarkEnd w:id="140"/>
      <w:bookmarkEnd w:id="141"/>
      <w:bookmarkEnd w:id="142"/>
      <w:bookmarkEnd w:id="143"/>
      <w:bookmarkEnd w:id="144"/>
    </w:p>
    <w:p w:rsidR="00204EC6" w:rsidRPr="00204EC6" w:rsidRDefault="00204EC6" w:rsidP="00BA430F">
      <w:r w:rsidRPr="00204EC6">
        <w:t>The safety of the LCS12 IUS was evaluated in 1672 women in good general health see</w:t>
      </w:r>
      <w:r w:rsidR="00244CB1">
        <w:t xml:space="preserve">king contraception over a three </w:t>
      </w:r>
      <w:r w:rsidRPr="00204EC6">
        <w:t>year time point. An additional 1697 women were studied with the slightly higher release LCS16, and 256 with the higher dose Mirena.</w:t>
      </w:r>
    </w:p>
    <w:p w:rsidR="00204EC6" w:rsidRPr="00204EC6" w:rsidRDefault="00204EC6" w:rsidP="00BA430F">
      <w:r w:rsidRPr="00204EC6">
        <w:t xml:space="preserve">The overall clinical safety profile of LCS observed (from the A46796 and A52238 studies) gave no new safety concerns that are not already known from the surveillance and clinical trial data from other IUSs and other </w:t>
      </w:r>
      <w:r w:rsidR="00244CB1" w:rsidRPr="00244CB1">
        <w:t xml:space="preserve">levonorgestrel </w:t>
      </w:r>
      <w:r w:rsidRPr="00204EC6">
        <w:t xml:space="preserve">preparations. Specifically, many of the common </w:t>
      </w:r>
      <w:r w:rsidR="00244CB1">
        <w:t>adverse events (</w:t>
      </w:r>
      <w:r w:rsidRPr="00204EC6">
        <w:t>AEs</w:t>
      </w:r>
      <w:r w:rsidR="00244CB1">
        <w:t>)</w:t>
      </w:r>
      <w:r w:rsidRPr="00204EC6">
        <w:t xml:space="preserve"> were similar to those that are known to occur with other </w:t>
      </w:r>
      <w:r w:rsidR="00244CB1" w:rsidRPr="00244CB1">
        <w:t xml:space="preserve">levonorgestrel </w:t>
      </w:r>
      <w:r w:rsidRPr="00204EC6">
        <w:t>preparations (acne, ovarian cyst, dysmenorrh</w:t>
      </w:r>
      <w:r w:rsidR="009F38E1">
        <w:t>o</w:t>
      </w:r>
      <w:r w:rsidRPr="00204EC6">
        <w:t>ea) were seen. The short-term presented data do not indicate an increased risk of venous thromboembolism, cardiovascular events nor cancer incidence.</w:t>
      </w:r>
    </w:p>
    <w:p w:rsidR="00204EC6" w:rsidRPr="00204EC6" w:rsidRDefault="00204EC6" w:rsidP="00BA430F">
      <w:r w:rsidRPr="00204EC6">
        <w:t xml:space="preserve">In the pooled analysis, </w:t>
      </w:r>
      <w:r w:rsidR="00244CB1">
        <w:t>serious AEs (</w:t>
      </w:r>
      <w:r w:rsidRPr="00204EC6">
        <w:t>SAEs</w:t>
      </w:r>
      <w:r w:rsidR="00244CB1">
        <w:t>)</w:t>
      </w:r>
      <w:r w:rsidRPr="00204EC6">
        <w:t xml:space="preserve"> were reported for 4.7% of women in the LCS12 (Jaydess) treatment group, 4.9% of women in the LCS16 group, and 6.3% of women in the Mirena group. Overall the most frequent SAEs in descending order were</w:t>
      </w:r>
      <w:r w:rsidR="00244CB1">
        <w:t>:</w:t>
      </w:r>
      <w:r w:rsidRPr="00204EC6">
        <w:t xml:space="preserve"> appendicitis, ectopic pregnancy, ovarian cysts, abdominal pain and </w:t>
      </w:r>
      <w:r w:rsidR="00244CB1">
        <w:t>p</w:t>
      </w:r>
      <w:r w:rsidR="00244CB1" w:rsidRPr="00244CB1">
        <w:t xml:space="preserve">elvic </w:t>
      </w:r>
      <w:r w:rsidR="00244CB1">
        <w:t>i</w:t>
      </w:r>
      <w:r w:rsidR="00244CB1" w:rsidRPr="00244CB1">
        <w:t xml:space="preserve">nflammatory </w:t>
      </w:r>
      <w:r w:rsidR="00244CB1">
        <w:t>d</w:t>
      </w:r>
      <w:r w:rsidR="00244CB1" w:rsidRPr="00244CB1">
        <w:t xml:space="preserve">isease </w:t>
      </w:r>
      <w:r w:rsidR="00244CB1">
        <w:t>(</w:t>
      </w:r>
      <w:r w:rsidRPr="00204EC6">
        <w:t>PID</w:t>
      </w:r>
      <w:r w:rsidR="00244CB1">
        <w:t>)</w:t>
      </w:r>
      <w:r w:rsidRPr="00204EC6">
        <w:t xml:space="preserve">. The pooled incidence of PID in the LCS12 and 16 arms across </w:t>
      </w:r>
      <w:r w:rsidR="00244CB1">
        <w:t xml:space="preserve">Studies </w:t>
      </w:r>
      <w:r w:rsidRPr="00204EC6">
        <w:t>A46976 a</w:t>
      </w:r>
      <w:r w:rsidR="00244CB1">
        <w:t xml:space="preserve">nd A52238 </w:t>
      </w:r>
      <w:r w:rsidR="00244CB1">
        <w:lastRenderedPageBreak/>
        <w:t>was approximately 0.4</w:t>
      </w:r>
      <w:r w:rsidRPr="00204EC6">
        <w:t>% with an incidence of 0.11 per 100 w</w:t>
      </w:r>
      <w:r w:rsidR="00244CB1">
        <w:t xml:space="preserve">omen </w:t>
      </w:r>
      <w:r w:rsidRPr="00204EC6">
        <w:t>y</w:t>
      </w:r>
      <w:r w:rsidR="00244CB1">
        <w:t>ears</w:t>
      </w:r>
      <w:r w:rsidRPr="00204EC6">
        <w:t xml:space="preserve">. The incidence of </w:t>
      </w:r>
      <w:proofErr w:type="spellStart"/>
      <w:r w:rsidRPr="00204EC6">
        <w:t>endometritis</w:t>
      </w:r>
      <w:proofErr w:type="spellEnd"/>
      <w:r w:rsidRPr="00204EC6">
        <w:t xml:space="preserve"> was 0.8% in pooled LCS12 and LCS16 data </w:t>
      </w:r>
      <w:r w:rsidR="00244CB1">
        <w:t xml:space="preserve">from Study </w:t>
      </w:r>
      <w:r w:rsidRPr="00204EC6">
        <w:t>A52238.</w:t>
      </w:r>
    </w:p>
    <w:p w:rsidR="00204EC6" w:rsidRPr="00204EC6" w:rsidRDefault="00204EC6" w:rsidP="00BA430F">
      <w:r w:rsidRPr="00204EC6">
        <w:t xml:space="preserve">In terms of ectopic pregnancy the absolute risk with LCS12 is less than </w:t>
      </w:r>
      <w:r w:rsidR="00493E90">
        <w:t xml:space="preserve">in </w:t>
      </w:r>
      <w:r w:rsidRPr="00204EC6">
        <w:t>non-contraceptive users (estimated ectopic rate of approximately 0.3 to 0.5 per 100 w</w:t>
      </w:r>
      <w:r w:rsidR="00244CB1">
        <w:t xml:space="preserve">omen </w:t>
      </w:r>
      <w:r w:rsidRPr="00204EC6">
        <w:t>y</w:t>
      </w:r>
      <w:r w:rsidR="00244CB1">
        <w:t>ears compared with</w:t>
      </w:r>
      <w:r w:rsidRPr="00204EC6">
        <w:t>. 0.11 per 100 w</w:t>
      </w:r>
      <w:r w:rsidR="00244CB1">
        <w:t>omen years</w:t>
      </w:r>
      <w:r w:rsidRPr="00204EC6">
        <w:t xml:space="preserve"> with LCS12, similar to the rate i</w:t>
      </w:r>
      <w:r w:rsidR="00BA430F">
        <w:t xml:space="preserve">n the </w:t>
      </w:r>
      <w:proofErr w:type="spellStart"/>
      <w:r w:rsidR="00BA430F">
        <w:t>Mirena</w:t>
      </w:r>
      <w:proofErr w:type="spellEnd"/>
      <w:r w:rsidR="00BA430F">
        <w:t xml:space="preserve"> clinical studies).</w:t>
      </w:r>
    </w:p>
    <w:p w:rsidR="00204EC6" w:rsidRPr="00204EC6" w:rsidRDefault="00204EC6" w:rsidP="00BA430F">
      <w:r w:rsidRPr="00204EC6">
        <w:t>Approximately 50% women had any drug related AE, with 8-26% in A46976 complaining of one or more ‘</w:t>
      </w:r>
      <w:proofErr w:type="spellStart"/>
      <w:r w:rsidRPr="00204EC6">
        <w:t>progestogenic</w:t>
      </w:r>
      <w:proofErr w:type="spellEnd"/>
      <w:r w:rsidRPr="00204EC6">
        <w:t>’ side effects. There were a lar</w:t>
      </w:r>
      <w:r w:rsidR="00CF3372">
        <w:t xml:space="preserve">ge number of discontinuations </w:t>
      </w:r>
      <w:r w:rsidRPr="00204EC6">
        <w:t xml:space="preserve">with approximately 20% of all women using LCS12 discontinuing use due to AEs. The most common ones were vaginal </w:t>
      </w:r>
      <w:r w:rsidR="00CF3372" w:rsidRPr="00204EC6">
        <w:t>haemorrhage</w:t>
      </w:r>
      <w:r w:rsidRPr="00204EC6">
        <w:t xml:space="preserve">, device expulsion (3.2% at 36 months with Jaydess) and acne. There was a trend toward more partial and total expulsions in parous as compared to nulliparous women in subgroups analysis in both studies. In subgroups of women evaluated there were no clear safety issues although some (including the </w:t>
      </w:r>
      <w:r w:rsidR="00CF3372">
        <w:t>body mass index (</w:t>
      </w:r>
      <w:r w:rsidRPr="00204EC6">
        <w:t>BMI</w:t>
      </w:r>
      <w:r w:rsidR="00CF3372">
        <w:t xml:space="preserve">) </w:t>
      </w:r>
      <w:r w:rsidRPr="00204EC6">
        <w:t>&gt;</w:t>
      </w:r>
      <w:r w:rsidR="00CF3372">
        <w:t xml:space="preserve"> </w:t>
      </w:r>
      <w:r w:rsidRPr="00204EC6">
        <w:t>30</w:t>
      </w:r>
      <w:r w:rsidR="00CF3372">
        <w:t xml:space="preserve"> </w:t>
      </w:r>
      <w:r w:rsidRPr="00204EC6">
        <w:t>kg/m</w:t>
      </w:r>
      <w:r w:rsidRPr="00204EC6">
        <w:rPr>
          <w:vertAlign w:val="superscript"/>
        </w:rPr>
        <w:t>2</w:t>
      </w:r>
      <w:r w:rsidRPr="00204EC6">
        <w:t xml:space="preserve"> and </w:t>
      </w:r>
      <w:r w:rsidR="00BA430F">
        <w:t>some ethnic groups) were small.</w:t>
      </w:r>
    </w:p>
    <w:p w:rsidR="00204EC6" w:rsidRPr="00204EC6" w:rsidRDefault="00204EC6" w:rsidP="00BA430F">
      <w:r w:rsidRPr="00204EC6">
        <w:t xml:space="preserve">There have been 2 perforations, one in the LCS16 (not Jaydess) group and 1 in the LCS12 </w:t>
      </w:r>
      <w:r w:rsidR="00CF3372">
        <w:t xml:space="preserve">group </w:t>
      </w:r>
      <w:r w:rsidRPr="00204EC6">
        <w:t>during sounding, in the Asia-Pacific study. Also, psychiatric SAEs were reported in 0.2% women, which included depression (&lt;</w:t>
      </w:r>
      <w:r w:rsidR="00CF3372">
        <w:t xml:space="preserve"> </w:t>
      </w:r>
      <w:r w:rsidRPr="00204EC6">
        <w:t>0.1% overall) and anxiety (&lt;</w:t>
      </w:r>
      <w:r w:rsidR="00CF3372">
        <w:t xml:space="preserve"> </w:t>
      </w:r>
      <w:r w:rsidRPr="00204EC6">
        <w:t>0.1% overall). Depression as an AE was reported in 5.4% (LCS12), 2.4% (LCS16) 3.9% (Mirena) and 3.9% (total in A46976). The most frequent psychiatric AE (incidence of</w:t>
      </w:r>
      <w:r w:rsidR="00CF3372">
        <w:t xml:space="preserve"> 12%) reported in S</w:t>
      </w:r>
      <w:r w:rsidRPr="00204EC6">
        <w:t>tudy A52238 was depression (3.5%).</w:t>
      </w:r>
    </w:p>
    <w:p w:rsidR="00204EC6" w:rsidRPr="00204EC6" w:rsidRDefault="00204EC6" w:rsidP="00BA430F">
      <w:r w:rsidRPr="00204EC6">
        <w:t>Further, although over 98% of the ovarian cysts reported in the LCS treatment groups were not serious and did not result in study drug discontinuation, study treatment was withdrawn in 8 women (three in the LCS12 group, and five in the LCS16 group) in A52238, and ovarian cysts were reported as SAE in 7 women (4 in the LCS12 group, and 3 in the LCS16 group). Five of these women underwent laparoscopic procedures and 2 were treated medically</w:t>
      </w:r>
    </w:p>
    <w:p w:rsidR="00204EC6" w:rsidRPr="00204EC6" w:rsidRDefault="00204EC6" w:rsidP="00BA430F">
      <w:r w:rsidRPr="00204EC6">
        <w:t>Lastly, removal was assessed as ‘very difficult’ in approximately 2 % of all women.</w:t>
      </w:r>
    </w:p>
    <w:p w:rsidR="00204EC6" w:rsidRPr="00204EC6" w:rsidRDefault="00CF3372" w:rsidP="00BA430F">
      <w:r>
        <w:t>The evaluator’s recommended s</w:t>
      </w:r>
      <w:r w:rsidR="00204EC6" w:rsidRPr="00204EC6">
        <w:t xml:space="preserve">afety concerns to be addressed </w:t>
      </w:r>
      <w:r>
        <w:t>we</w:t>
      </w:r>
      <w:r w:rsidR="00204EC6" w:rsidRPr="00204EC6">
        <w:t>re:</w:t>
      </w:r>
    </w:p>
    <w:p w:rsidR="00204EC6" w:rsidRPr="00204EC6" w:rsidRDefault="002C1D25" w:rsidP="00BA430F">
      <w:pPr>
        <w:pStyle w:val="ListBullet"/>
      </w:pPr>
      <w:r>
        <w:t>H</w:t>
      </w:r>
      <w:r w:rsidR="00204EC6" w:rsidRPr="00204EC6">
        <w:t xml:space="preserve">ighlighting that many women get </w:t>
      </w:r>
      <w:proofErr w:type="spellStart"/>
      <w:r w:rsidR="00204EC6" w:rsidRPr="00204EC6">
        <w:t>progestogenic</w:t>
      </w:r>
      <w:proofErr w:type="spellEnd"/>
      <w:r w:rsidR="00204EC6" w:rsidRPr="00204EC6">
        <w:t xml:space="preserve"> </w:t>
      </w:r>
      <w:r w:rsidR="00204EC6" w:rsidRPr="00BA430F">
        <w:t>side</w:t>
      </w:r>
      <w:r w:rsidR="00204EC6" w:rsidRPr="00204EC6">
        <w:t xml:space="preserve"> effects</w:t>
      </w:r>
      <w:r>
        <w:t>.</w:t>
      </w:r>
    </w:p>
    <w:p w:rsidR="00204EC6" w:rsidRPr="00204EC6" w:rsidRDefault="002C1D25" w:rsidP="00BA430F">
      <w:pPr>
        <w:pStyle w:val="ListBullet"/>
      </w:pPr>
      <w:r>
        <w:t>W</w:t>
      </w:r>
      <w:r w:rsidR="00204EC6" w:rsidRPr="00204EC6">
        <w:t xml:space="preserve">hilst the rate of ectopic pregnancy is less than in the </w:t>
      </w:r>
      <w:r w:rsidR="00204EC6" w:rsidRPr="00BA430F">
        <w:t>general</w:t>
      </w:r>
      <w:r w:rsidR="00204EC6" w:rsidRPr="00204EC6">
        <w:t xml:space="preserve"> population, the likelihood of a pregnancy</w:t>
      </w:r>
      <w:r w:rsidR="00CF3372">
        <w:t>,</w:t>
      </w:r>
      <w:r w:rsidR="00204EC6" w:rsidRPr="00204EC6">
        <w:t xml:space="preserve"> if it occurs</w:t>
      </w:r>
      <w:r w:rsidR="00CF3372">
        <w:t>, being ectopic is higher. The s</w:t>
      </w:r>
      <w:r w:rsidR="00204EC6" w:rsidRPr="00204EC6">
        <w:t xml:space="preserve">ponsor is considering the feasibility of a prospective database study to address this risk of ectopic pregnancy in LCS12 users in the market and this is supported. The proposed label for LCS12 is to include a warning on the risk, and signs and symptoms of ectopic pregnancy although this is not evidence in the labelling submitted in </w:t>
      </w:r>
      <w:r w:rsidR="00CF3372">
        <w:t>the dossier</w:t>
      </w:r>
      <w:r w:rsidR="00204EC6" w:rsidRPr="00204EC6">
        <w:t>. The company further proposes to explore options to make the patient information accessible through additional channels,</w:t>
      </w:r>
      <w:r w:rsidR="00CF3372">
        <w:t xml:space="preserve"> such as </w:t>
      </w:r>
      <w:r w:rsidR="00204EC6" w:rsidRPr="00204EC6">
        <w:t>the internet, as</w:t>
      </w:r>
      <w:r w:rsidR="00CF3372">
        <w:t xml:space="preserve"> a means of further risk minimis</w:t>
      </w:r>
      <w:r w:rsidR="00204EC6" w:rsidRPr="00204EC6">
        <w:t>ation and this is supported although evidence that this is underway is needed</w:t>
      </w:r>
      <w:r>
        <w:t>.</w:t>
      </w:r>
    </w:p>
    <w:p w:rsidR="00204EC6" w:rsidRPr="00204EC6" w:rsidRDefault="002C1D25" w:rsidP="00BA430F">
      <w:pPr>
        <w:pStyle w:val="ListBullet"/>
      </w:pPr>
      <w:r>
        <w:t>A</w:t>
      </w:r>
      <w:r w:rsidR="00204EC6" w:rsidRPr="00204EC6">
        <w:t xml:space="preserve">lthough </w:t>
      </w:r>
      <w:r w:rsidR="00CF3372">
        <w:t xml:space="preserve">the </w:t>
      </w:r>
      <w:r w:rsidR="00204EC6" w:rsidRPr="00204EC6">
        <w:t xml:space="preserve">incidence of PID and </w:t>
      </w:r>
      <w:proofErr w:type="spellStart"/>
      <w:r w:rsidR="00204EC6" w:rsidRPr="00204EC6">
        <w:t>endometritis</w:t>
      </w:r>
      <w:proofErr w:type="spellEnd"/>
      <w:r w:rsidR="00204EC6" w:rsidRPr="00204EC6">
        <w:t xml:space="preserve"> is uncommon (&lt;</w:t>
      </w:r>
      <w:r w:rsidR="00CF3372">
        <w:t xml:space="preserve"> </w:t>
      </w:r>
      <w:r w:rsidR="00204EC6" w:rsidRPr="00204EC6">
        <w:t xml:space="preserve">1/100), it did occur in the clinical trials and </w:t>
      </w:r>
      <w:r w:rsidR="00CF3372">
        <w:t xml:space="preserve">it was important to </w:t>
      </w:r>
      <w:r w:rsidR="00204EC6" w:rsidRPr="00204EC6">
        <w:t>note that Jaydess does not protect agai</w:t>
      </w:r>
      <w:r w:rsidR="00CF3372">
        <w:t xml:space="preserve">nst STDs. It was noted that the </w:t>
      </w:r>
      <w:r w:rsidR="00CF3372" w:rsidRPr="00BA430F">
        <w:t>s</w:t>
      </w:r>
      <w:r w:rsidR="00204EC6" w:rsidRPr="00BA430F">
        <w:t>ponsor</w:t>
      </w:r>
      <w:r w:rsidR="00204EC6" w:rsidRPr="00204EC6">
        <w:t xml:space="preserve"> has stated that it is evaluating additional pharmacovigilance activities and educational programmes to reduce the incidence. </w:t>
      </w:r>
    </w:p>
    <w:p w:rsidR="00204EC6" w:rsidRPr="00204EC6" w:rsidRDefault="002C1D25" w:rsidP="00BA430F">
      <w:pPr>
        <w:pStyle w:val="ListBullet"/>
      </w:pPr>
      <w:r>
        <w:t>P</w:t>
      </w:r>
      <w:r w:rsidR="00204EC6" w:rsidRPr="00204EC6">
        <w:t>artial or complete IU</w:t>
      </w:r>
      <w:r w:rsidR="00CF3372">
        <w:t>S</w:t>
      </w:r>
      <w:r w:rsidR="00204EC6" w:rsidRPr="00204EC6">
        <w:t xml:space="preserve"> expulsion </w:t>
      </w:r>
      <w:r w:rsidR="00204EC6" w:rsidRPr="00BA430F">
        <w:t>is</w:t>
      </w:r>
      <w:r w:rsidR="00204EC6" w:rsidRPr="00204EC6">
        <w:t xml:space="preserve"> a risk with Jaydess, which may be higher in the non-trial setting where IUS position is not checked routinely after insertion – between 1-10%</w:t>
      </w:r>
      <w:r>
        <w:t>.</w:t>
      </w:r>
    </w:p>
    <w:p w:rsidR="00204EC6" w:rsidRPr="00204EC6" w:rsidRDefault="002C1D25" w:rsidP="00BA430F">
      <w:pPr>
        <w:pStyle w:val="ListBullet"/>
      </w:pPr>
      <w:r>
        <w:t>P</w:t>
      </w:r>
      <w:r w:rsidR="00204EC6" w:rsidRPr="00204EC6">
        <w:t xml:space="preserve">erforation is rare, has not been </w:t>
      </w:r>
      <w:r w:rsidR="00204EC6" w:rsidRPr="00BA430F">
        <w:t>seen</w:t>
      </w:r>
      <w:r w:rsidR="00204EC6" w:rsidRPr="00204EC6">
        <w:t xml:space="preserve"> with </w:t>
      </w:r>
      <w:proofErr w:type="spellStart"/>
      <w:r w:rsidR="00204EC6" w:rsidRPr="00204EC6">
        <w:t>Jaydess</w:t>
      </w:r>
      <w:proofErr w:type="spellEnd"/>
      <w:r w:rsidR="00204EC6" w:rsidRPr="00204EC6">
        <w:t xml:space="preserve"> but has oc</w:t>
      </w:r>
      <w:r w:rsidR="00CF3372">
        <w:t>curred with a similar IUS. The s</w:t>
      </w:r>
      <w:r w:rsidR="00204EC6" w:rsidRPr="00204EC6">
        <w:t>ponsor has a planned educational program for LCS12 to emphasise correct insertion technique to reduce the risk of incorrect placement or perforation</w:t>
      </w:r>
      <w:r>
        <w:t>.</w:t>
      </w:r>
    </w:p>
    <w:p w:rsidR="00204EC6" w:rsidRPr="00204EC6" w:rsidRDefault="002C1D25" w:rsidP="00BA430F">
      <w:pPr>
        <w:pStyle w:val="ListBullet"/>
      </w:pPr>
      <w:r>
        <w:lastRenderedPageBreak/>
        <w:t>O</w:t>
      </w:r>
      <w:r w:rsidR="00204EC6" w:rsidRPr="00204EC6">
        <w:t xml:space="preserve">varian cysts whilst common in </w:t>
      </w:r>
      <w:r w:rsidR="00204EC6" w:rsidRPr="00BA430F">
        <w:t>this</w:t>
      </w:r>
      <w:r w:rsidR="00204EC6" w:rsidRPr="00204EC6">
        <w:t xml:space="preserve"> population may cause complications</w:t>
      </w:r>
      <w:r>
        <w:t>.</w:t>
      </w:r>
    </w:p>
    <w:p w:rsidR="00204EC6" w:rsidRPr="00204EC6" w:rsidRDefault="002C1D25" w:rsidP="00BA430F">
      <w:pPr>
        <w:pStyle w:val="ListBullet"/>
      </w:pPr>
      <w:r>
        <w:t>D</w:t>
      </w:r>
      <w:r w:rsidR="00204EC6" w:rsidRPr="00204EC6">
        <w:t xml:space="preserve">epression and anxiety are </w:t>
      </w:r>
      <w:r w:rsidR="00204EC6" w:rsidRPr="00BA430F">
        <w:t>common</w:t>
      </w:r>
      <w:r w:rsidR="00204EC6" w:rsidRPr="00204EC6">
        <w:t xml:space="preserve"> in this age group but </w:t>
      </w:r>
      <w:r w:rsidR="00CF3372">
        <w:t>there was a</w:t>
      </w:r>
      <w:r w:rsidR="00204EC6" w:rsidRPr="00204EC6">
        <w:t xml:space="preserve"> prevalence of 3% of these conditions in this study and awareness of this by the woman and the prescriber is important</w:t>
      </w:r>
      <w:r>
        <w:t>.</w:t>
      </w:r>
    </w:p>
    <w:p w:rsidR="00204EC6" w:rsidRPr="00204EC6" w:rsidRDefault="00204EC6" w:rsidP="00BA430F">
      <w:r w:rsidRPr="00204EC6">
        <w:t>There were no safety concerns in laboratory variables, vital signs, and other safety parameters observed. The overall incidence of new abnormal endometrial or cervical findings was low. There was no negative effect on bone mineral density.</w:t>
      </w:r>
    </w:p>
    <w:p w:rsidR="00204EC6" w:rsidRDefault="00204EC6" w:rsidP="00BA430F">
      <w:r w:rsidRPr="00204EC6">
        <w:t>In summary, there appears to be no new safety concerns with LCS 12, compared to Mirena and other IU</w:t>
      </w:r>
      <w:r w:rsidR="00DC651C">
        <w:t>S</w:t>
      </w:r>
      <w:r w:rsidRPr="00204EC6">
        <w:t>s. However, the rate of ectopic pregnancies, PID and expulsions needs to be observed. Ongoing observational data in a subgroup of obese women (BMI</w:t>
      </w:r>
      <w:r w:rsidR="00DC651C">
        <w:t xml:space="preserve"> </w:t>
      </w:r>
      <w:r w:rsidRPr="00204EC6">
        <w:t>&gt;</w:t>
      </w:r>
      <w:r w:rsidR="00DC651C">
        <w:t xml:space="preserve"> </w:t>
      </w:r>
      <w:r w:rsidRPr="00204EC6">
        <w:t>35) shoul</w:t>
      </w:r>
      <w:r w:rsidR="00BA430F">
        <w:t>d also be provided in the PSUR.</w:t>
      </w:r>
    </w:p>
    <w:p w:rsidR="00FD02AE" w:rsidRPr="00FD02AE" w:rsidRDefault="00FD02AE" w:rsidP="00BA430F">
      <w:pPr>
        <w:pStyle w:val="Heading3"/>
      </w:pPr>
      <w:bookmarkStart w:id="145" w:name="_Toc376788838"/>
      <w:bookmarkStart w:id="146" w:name="_Toc236802592"/>
      <w:bookmarkStart w:id="147" w:name="_Toc241374331"/>
      <w:bookmarkStart w:id="148" w:name="_Ref272160836"/>
      <w:bookmarkStart w:id="149" w:name="_Toc272414693"/>
      <w:bookmarkStart w:id="150" w:name="_Toc290846331"/>
      <w:bookmarkStart w:id="151" w:name="_Toc290888868"/>
      <w:bookmarkStart w:id="152" w:name="_Toc343587612"/>
      <w:bookmarkStart w:id="153" w:name="_Toc219998429"/>
      <w:bookmarkStart w:id="154" w:name="_Toc219998533"/>
      <w:bookmarkStart w:id="155" w:name="_Toc219998948"/>
      <w:bookmarkStart w:id="156" w:name="_Toc219999051"/>
      <w:bookmarkStart w:id="157" w:name="_Toc219999152"/>
      <w:bookmarkStart w:id="158" w:name="_Toc229197968"/>
      <w:bookmarkStart w:id="159" w:name="_Toc376788839"/>
      <w:bookmarkStart w:id="160" w:name="_Toc380568275"/>
      <w:r w:rsidRPr="00FD02AE">
        <w:t xml:space="preserve">First round benefit-risk </w:t>
      </w:r>
      <w:r w:rsidRPr="00BA430F">
        <w:t>assessment</w:t>
      </w:r>
      <w:bookmarkEnd w:id="145"/>
      <w:bookmarkEnd w:id="160"/>
    </w:p>
    <w:p w:rsidR="00DC651C" w:rsidRPr="00DC651C" w:rsidRDefault="00DC651C" w:rsidP="00BA430F">
      <w:pPr>
        <w:pStyle w:val="Heading4"/>
      </w:pPr>
      <w:r w:rsidRPr="00DC651C">
        <w:t xml:space="preserve">First round assessment of </w:t>
      </w:r>
      <w:r w:rsidRPr="00BA430F">
        <w:t>benefits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DC651C" w:rsidRPr="00DC651C" w:rsidRDefault="00DC651C" w:rsidP="00BA430F">
      <w:r w:rsidRPr="00DC651C">
        <w:t>The benefits of Jaydess in the proposed usage are:</w:t>
      </w:r>
    </w:p>
    <w:p w:rsidR="00DC651C" w:rsidRPr="00DC651C" w:rsidRDefault="00DC651C" w:rsidP="00BA430F">
      <w:pPr>
        <w:pStyle w:val="ListBullet"/>
      </w:pPr>
      <w:r w:rsidRPr="00DC651C">
        <w:t>Ef</w:t>
      </w:r>
      <w:r w:rsidR="007D53A1">
        <w:t xml:space="preserve">fective long-term </w:t>
      </w:r>
      <w:r w:rsidR="007D53A1" w:rsidRPr="00BA430F">
        <w:t>contraception</w:t>
      </w:r>
      <w:r w:rsidR="007D53A1">
        <w:t xml:space="preserve"> with</w:t>
      </w:r>
      <w:r w:rsidRPr="00DC651C">
        <w:t xml:space="preserve"> </w:t>
      </w:r>
      <w:r w:rsidRPr="00DC651C">
        <w:rPr>
          <w:lang w:val="en-US"/>
        </w:rPr>
        <w:t>the unadjusted P</w:t>
      </w:r>
      <w:r w:rsidR="00FD02AE">
        <w:rPr>
          <w:lang w:val="en-US"/>
        </w:rPr>
        <w:t xml:space="preserve">earl </w:t>
      </w:r>
      <w:r w:rsidRPr="00DC651C">
        <w:rPr>
          <w:lang w:val="en-US"/>
        </w:rPr>
        <w:t>I</w:t>
      </w:r>
      <w:r w:rsidR="00FD02AE">
        <w:rPr>
          <w:lang w:val="en-US"/>
        </w:rPr>
        <w:t>ndex</w:t>
      </w:r>
      <w:r w:rsidRPr="00DC651C">
        <w:rPr>
          <w:lang w:val="en-US"/>
        </w:rPr>
        <w:t xml:space="preserve"> for LCS12 for the first year was 0.41, and </w:t>
      </w:r>
      <w:r w:rsidR="00FD02AE">
        <w:rPr>
          <w:lang w:val="en-US"/>
        </w:rPr>
        <w:t xml:space="preserve">the </w:t>
      </w:r>
      <w:r w:rsidR="00AA2D96">
        <w:rPr>
          <w:lang w:val="en-US"/>
        </w:rPr>
        <w:t>UL</w:t>
      </w:r>
      <w:r w:rsidRPr="00DC651C">
        <w:rPr>
          <w:lang w:val="en-US"/>
        </w:rPr>
        <w:t xml:space="preserve"> of the 2 sided CI </w:t>
      </w:r>
      <w:r w:rsidR="00FD02AE">
        <w:rPr>
          <w:lang w:val="en-US"/>
        </w:rPr>
        <w:t>wa</w:t>
      </w:r>
      <w:r w:rsidRPr="00DC651C">
        <w:rPr>
          <w:lang w:val="en-US"/>
        </w:rPr>
        <w:t xml:space="preserve">s 0.96 </w:t>
      </w:r>
    </w:p>
    <w:p w:rsidR="00DC651C" w:rsidRPr="00DC651C" w:rsidRDefault="00DC651C" w:rsidP="00BA430F">
      <w:pPr>
        <w:pStyle w:val="ListBullet"/>
      </w:pPr>
      <w:r w:rsidRPr="00DC651C">
        <w:t>Reduced menorrhagia (</w:t>
      </w:r>
      <w:r w:rsidRPr="00BA430F">
        <w:t>prolonged</w:t>
      </w:r>
      <w:r w:rsidRPr="00DC651C">
        <w:t xml:space="preserve"> and heavy bleeding) and </w:t>
      </w:r>
      <w:proofErr w:type="spellStart"/>
      <w:r w:rsidRPr="00DC651C">
        <w:t>intracyclic</w:t>
      </w:r>
      <w:proofErr w:type="spellEnd"/>
      <w:r w:rsidRPr="00DC651C">
        <w:t xml:space="preserve"> bleeding</w:t>
      </w:r>
    </w:p>
    <w:p w:rsidR="00DC651C" w:rsidRPr="00DC651C" w:rsidRDefault="00DC651C" w:rsidP="00BA430F">
      <w:pPr>
        <w:pStyle w:val="ListBullet"/>
      </w:pPr>
      <w:r w:rsidRPr="00DC651C">
        <w:t xml:space="preserve">Less daily release rate of </w:t>
      </w:r>
      <w:proofErr w:type="spellStart"/>
      <w:r w:rsidR="00FD02AE" w:rsidRPr="00BA430F">
        <w:t>levonorgestrel</w:t>
      </w:r>
      <w:proofErr w:type="spellEnd"/>
      <w:r w:rsidR="00FD02AE" w:rsidRPr="00FD02AE">
        <w:t xml:space="preserve"> </w:t>
      </w:r>
      <w:r w:rsidRPr="00DC651C">
        <w:t xml:space="preserve">than comparator IUS </w:t>
      </w:r>
      <w:r w:rsidR="00FD02AE" w:rsidRPr="00FD02AE">
        <w:t xml:space="preserve">levonorgestrel </w:t>
      </w:r>
      <w:r w:rsidRPr="00DC651C">
        <w:t>product</w:t>
      </w:r>
    </w:p>
    <w:p w:rsidR="00DC651C" w:rsidRPr="00DC651C" w:rsidRDefault="00DC651C" w:rsidP="00BA430F">
      <w:pPr>
        <w:pStyle w:val="ListBullet"/>
      </w:pPr>
      <w:r w:rsidRPr="00DC651C">
        <w:t xml:space="preserve">‘Easy’ to insert for most </w:t>
      </w:r>
      <w:r w:rsidRPr="00BA430F">
        <w:t>nulliparous</w:t>
      </w:r>
      <w:r w:rsidRPr="00DC651C">
        <w:t xml:space="preserve"> women, but no comparison data with other </w:t>
      </w:r>
      <w:r w:rsidR="00FD02AE">
        <w:t xml:space="preserve">intrauterine devices </w:t>
      </w:r>
      <w:r w:rsidR="00BA430F">
        <w:t>or standard</w:t>
      </w:r>
    </w:p>
    <w:p w:rsidR="00DC651C" w:rsidRPr="00DC651C" w:rsidRDefault="00DC651C" w:rsidP="00BA430F">
      <w:pPr>
        <w:pStyle w:val="ListBullet"/>
      </w:pPr>
      <w:r w:rsidRPr="00DC651C">
        <w:rPr>
          <w:lang w:val="en-US"/>
        </w:rPr>
        <w:t xml:space="preserve">Theoretically LCS12 efficacy is </w:t>
      </w:r>
      <w:r w:rsidRPr="00BA430F">
        <w:t>unlikely</w:t>
      </w:r>
      <w:r w:rsidRPr="00DC651C">
        <w:rPr>
          <w:lang w:val="en-US"/>
        </w:rPr>
        <w:t xml:space="preserve"> to be impacted by the use of co-medications that induce cytochrome P450 enzymes although evidence is lacking.</w:t>
      </w:r>
    </w:p>
    <w:p w:rsidR="00DC651C" w:rsidRPr="00BA430F" w:rsidRDefault="00DC651C" w:rsidP="00BA430F">
      <w:pPr>
        <w:pStyle w:val="Heading4"/>
      </w:pPr>
      <w:bookmarkStart w:id="161" w:name="_Toc236802596"/>
      <w:bookmarkStart w:id="162" w:name="_Toc241374334"/>
      <w:bookmarkStart w:id="163" w:name="_Ref272160964"/>
      <w:bookmarkStart w:id="164" w:name="_Toc272414694"/>
      <w:bookmarkStart w:id="165" w:name="_Toc290846332"/>
      <w:bookmarkStart w:id="166" w:name="_Toc290888869"/>
      <w:bookmarkStart w:id="167" w:name="_Toc343587613"/>
      <w:bookmarkStart w:id="168" w:name="_Toc219998430"/>
      <w:bookmarkStart w:id="169" w:name="_Toc219998534"/>
      <w:bookmarkStart w:id="170" w:name="_Toc219998949"/>
      <w:bookmarkStart w:id="171" w:name="_Toc219999052"/>
      <w:bookmarkStart w:id="172" w:name="_Toc219999153"/>
      <w:bookmarkStart w:id="173" w:name="_Toc229197969"/>
      <w:bookmarkStart w:id="174" w:name="_Toc376788840"/>
      <w:r w:rsidRPr="00DC651C">
        <w:t>First round assessment of risks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DC651C" w:rsidRPr="00DC651C" w:rsidRDefault="00DC651C" w:rsidP="00BA430F">
      <w:r w:rsidRPr="00DC651C">
        <w:t xml:space="preserve">The risks of </w:t>
      </w:r>
      <w:proofErr w:type="spellStart"/>
      <w:r w:rsidRPr="00DC651C">
        <w:t>Jaydess</w:t>
      </w:r>
      <w:proofErr w:type="spellEnd"/>
      <w:r w:rsidRPr="00DC651C">
        <w:t xml:space="preserve"> in the proposed usage are:</w:t>
      </w:r>
    </w:p>
    <w:p w:rsidR="00DC651C" w:rsidRPr="00DC651C" w:rsidRDefault="00DC651C" w:rsidP="00BA430F">
      <w:pPr>
        <w:pStyle w:val="ListBullet"/>
        <w:rPr>
          <w:lang w:val="en-US"/>
        </w:rPr>
      </w:pPr>
      <w:r w:rsidRPr="00DC651C">
        <w:rPr>
          <w:lang w:val="en-US"/>
        </w:rPr>
        <w:t xml:space="preserve">Possible long-term fertility </w:t>
      </w:r>
      <w:r w:rsidRPr="00BA430F">
        <w:t>issues</w:t>
      </w:r>
      <w:r w:rsidRPr="00DC651C">
        <w:rPr>
          <w:lang w:val="en-US"/>
        </w:rPr>
        <w:t xml:space="preserve"> due to ectopic pregnancy, PID, </w:t>
      </w:r>
      <w:proofErr w:type="spellStart"/>
      <w:r w:rsidRPr="00DC651C">
        <w:rPr>
          <w:lang w:val="en-US"/>
        </w:rPr>
        <w:t>endometritis</w:t>
      </w:r>
      <w:proofErr w:type="spellEnd"/>
      <w:r w:rsidRPr="00DC651C">
        <w:rPr>
          <w:lang w:val="en-US"/>
        </w:rPr>
        <w:t>, expulsions</w:t>
      </w:r>
    </w:p>
    <w:p w:rsidR="00DC651C" w:rsidRPr="00DC651C" w:rsidRDefault="00DC651C" w:rsidP="00BA430F">
      <w:pPr>
        <w:pStyle w:val="ListBullet"/>
      </w:pPr>
      <w:r w:rsidRPr="00DC651C">
        <w:t>Possible unintended pregnancy due to partial or total expulsion</w:t>
      </w:r>
    </w:p>
    <w:p w:rsidR="00DC651C" w:rsidRPr="00DC651C" w:rsidRDefault="00DC651C" w:rsidP="00BA430F">
      <w:pPr>
        <w:pStyle w:val="ListBullet"/>
      </w:pPr>
      <w:proofErr w:type="spellStart"/>
      <w:r w:rsidRPr="00DC651C">
        <w:t>Progestogenic</w:t>
      </w:r>
      <w:proofErr w:type="spellEnd"/>
      <w:r w:rsidRPr="00DC651C">
        <w:t xml:space="preserve"> side effects</w:t>
      </w:r>
    </w:p>
    <w:p w:rsidR="00DC651C" w:rsidRPr="00DC651C" w:rsidRDefault="00DC651C" w:rsidP="00BA430F">
      <w:pPr>
        <w:pStyle w:val="Heading4"/>
      </w:pPr>
      <w:bookmarkStart w:id="175" w:name="_Toc236802597"/>
      <w:bookmarkStart w:id="176" w:name="_Toc241374335"/>
      <w:bookmarkStart w:id="177" w:name="_Toc272414695"/>
      <w:bookmarkStart w:id="178" w:name="_Toc290846333"/>
      <w:bookmarkStart w:id="179" w:name="_Toc290888870"/>
      <w:bookmarkStart w:id="180" w:name="_Toc343587614"/>
      <w:bookmarkStart w:id="181" w:name="_Toc219998431"/>
      <w:bookmarkStart w:id="182" w:name="_Toc219998535"/>
      <w:bookmarkStart w:id="183" w:name="_Toc219998950"/>
      <w:bookmarkStart w:id="184" w:name="_Toc219999053"/>
      <w:bookmarkStart w:id="185" w:name="_Toc219999154"/>
      <w:bookmarkStart w:id="186" w:name="_Toc229197970"/>
      <w:r w:rsidRPr="00DC651C">
        <w:t>First round assessment of benefit-risk balance</w:t>
      </w:r>
      <w:bookmarkEnd w:id="175"/>
      <w:bookmarkEnd w:id="176"/>
      <w:bookmarkEnd w:id="177"/>
      <w:bookmarkEnd w:id="178"/>
      <w:bookmarkEnd w:id="179"/>
      <w:bookmarkEnd w:id="180"/>
      <w:bookmarkEnd w:id="181"/>
      <w:bookmarkEnd w:id="182"/>
      <w:bookmarkEnd w:id="183"/>
      <w:bookmarkEnd w:id="184"/>
      <w:bookmarkEnd w:id="185"/>
      <w:bookmarkEnd w:id="186"/>
    </w:p>
    <w:p w:rsidR="00DC651C" w:rsidRPr="00DC651C" w:rsidRDefault="00DC651C" w:rsidP="00BA430F">
      <w:r w:rsidRPr="00DC651C">
        <w:t xml:space="preserve">The benefit-risk balance of Jaydess given the proposed usage is favourable for women aged 18-41 </w:t>
      </w:r>
      <w:r w:rsidR="00FD02AE">
        <w:t xml:space="preserve">years </w:t>
      </w:r>
      <w:r w:rsidRPr="00DC651C">
        <w:t xml:space="preserve">requesting long-term contraception with an </w:t>
      </w:r>
      <w:r w:rsidR="00FD02AE">
        <w:t>intrauterine device</w:t>
      </w:r>
      <w:r w:rsidRPr="00DC651C">
        <w:t xml:space="preserve">. The </w:t>
      </w:r>
      <w:r w:rsidR="00FD02AE">
        <w:t>s</w:t>
      </w:r>
      <w:r w:rsidRPr="00DC651C">
        <w:t xml:space="preserve">ponsor’s proposed pharmacovigilance and education </w:t>
      </w:r>
      <w:r w:rsidR="00FD02AE">
        <w:t xml:space="preserve">programs </w:t>
      </w:r>
      <w:r w:rsidRPr="00DC651C">
        <w:t>around this product are recommended to be mandatory.</w:t>
      </w:r>
    </w:p>
    <w:p w:rsidR="00DC651C" w:rsidRPr="00DC651C" w:rsidRDefault="00DC651C" w:rsidP="00BA430F">
      <w:pPr>
        <w:pStyle w:val="Heading3"/>
      </w:pPr>
      <w:bookmarkStart w:id="187" w:name="_Toc376788841"/>
      <w:bookmarkStart w:id="188" w:name="_Toc380568276"/>
      <w:r w:rsidRPr="00DC651C">
        <w:t xml:space="preserve">First round recommendation </w:t>
      </w:r>
      <w:r w:rsidRPr="00BA430F">
        <w:t>regarding</w:t>
      </w:r>
      <w:r w:rsidRPr="00DC651C">
        <w:t xml:space="preserve"> authorisation</w:t>
      </w:r>
      <w:bookmarkEnd w:id="187"/>
      <w:bookmarkEnd w:id="188"/>
    </w:p>
    <w:p w:rsidR="00FD02AE" w:rsidRDefault="00FD02AE" w:rsidP="00BA430F">
      <w:r w:rsidRPr="00FD02AE">
        <w:t xml:space="preserve">The evaluator </w:t>
      </w:r>
      <w:r w:rsidR="00DC651C" w:rsidRPr="00FD02AE">
        <w:t>recommend</w:t>
      </w:r>
      <w:r>
        <w:t>ed</w:t>
      </w:r>
      <w:r w:rsidR="00DC651C" w:rsidRPr="00FD02AE">
        <w:t xml:space="preserve"> registration with an ongoing pharmacovigilance report, particularly on the risk of expulsions, ectopic (and normal) pregnancy, and rate of pelvic inflammatory disease.</w:t>
      </w:r>
    </w:p>
    <w:p w:rsidR="00DC651C" w:rsidRPr="00FD02AE" w:rsidRDefault="00DC651C" w:rsidP="00BA430F">
      <w:r w:rsidRPr="00FD02AE">
        <w:lastRenderedPageBreak/>
        <w:t xml:space="preserve">In relation to the Indications </w:t>
      </w:r>
      <w:r w:rsidR="00FD02AE">
        <w:t>(</w:t>
      </w:r>
      <w:r w:rsidRPr="00FD02AE">
        <w:t xml:space="preserve">proposed PI 120813 version): </w:t>
      </w:r>
      <w:r w:rsidR="00FD02AE">
        <w:t xml:space="preserve">the evaluator noted the </w:t>
      </w:r>
      <w:r w:rsidRPr="00FD02AE">
        <w:t>sponsor</w:t>
      </w:r>
      <w:r w:rsidR="00FD02AE">
        <w:t xml:space="preserve"> had amended the proposed indication </w:t>
      </w:r>
      <w:r w:rsidRPr="00FD02AE">
        <w:t xml:space="preserve">from </w:t>
      </w:r>
      <w:r w:rsidR="00FD02AE" w:rsidRPr="00FD02AE">
        <w:rPr>
          <w:i/>
          <w:iCs/>
        </w:rPr>
        <w:t>‘</w:t>
      </w:r>
      <w:r w:rsidRPr="00FD02AE">
        <w:rPr>
          <w:i/>
          <w:iCs/>
        </w:rPr>
        <w:t>Contraception for up to three years</w:t>
      </w:r>
      <w:r w:rsidR="00FD02AE" w:rsidRPr="00FD02AE">
        <w:rPr>
          <w:i/>
          <w:iCs/>
        </w:rPr>
        <w:t>’</w:t>
      </w:r>
      <w:r w:rsidRPr="00FD02AE">
        <w:t xml:space="preserve"> to </w:t>
      </w:r>
      <w:r w:rsidR="00FD02AE">
        <w:t>‘</w:t>
      </w:r>
      <w:r w:rsidRPr="00FD02AE">
        <w:rPr>
          <w:i/>
          <w:iCs/>
        </w:rPr>
        <w:t>Contraception</w:t>
      </w:r>
      <w:r w:rsidR="00FD02AE">
        <w:t>’</w:t>
      </w:r>
      <w:r w:rsidRPr="00FD02AE">
        <w:t xml:space="preserve">. </w:t>
      </w:r>
      <w:r w:rsidR="00FD02AE">
        <w:t xml:space="preserve">The evaluator </w:t>
      </w:r>
      <w:r w:rsidRPr="00FD02AE">
        <w:t xml:space="preserve">recommended </w:t>
      </w:r>
      <w:r w:rsidR="00FD02AE">
        <w:t xml:space="preserve">that the approved </w:t>
      </w:r>
      <w:r w:rsidRPr="00FD02AE">
        <w:t xml:space="preserve">indication </w:t>
      </w:r>
      <w:r w:rsidR="00FD02AE">
        <w:t xml:space="preserve">be </w:t>
      </w:r>
      <w:r w:rsidR="00FD02AE" w:rsidRPr="00FD02AE">
        <w:rPr>
          <w:i/>
          <w:iCs/>
        </w:rPr>
        <w:t>‘</w:t>
      </w:r>
      <w:r w:rsidRPr="00FD02AE">
        <w:rPr>
          <w:i/>
          <w:iCs/>
        </w:rPr>
        <w:t>Contraception for up to 3 years</w:t>
      </w:r>
      <w:r w:rsidR="00FD02AE">
        <w:rPr>
          <w:i/>
          <w:iCs/>
        </w:rPr>
        <w:t>’</w:t>
      </w:r>
      <w:r w:rsidRPr="00FD02AE">
        <w:t xml:space="preserve"> so it </w:t>
      </w:r>
      <w:r w:rsidR="00FD02AE">
        <w:t xml:space="preserve">is </w:t>
      </w:r>
      <w:r w:rsidRPr="00FD02AE">
        <w:t xml:space="preserve">clear this is not a temporary form of contraception that could be stopped and started. It also </w:t>
      </w:r>
      <w:r w:rsidR="00FD02AE">
        <w:t>serves to remind</w:t>
      </w:r>
      <w:r w:rsidRPr="00FD02AE">
        <w:t xml:space="preserve"> women that after three years the IUS should be removed and a new method is required.</w:t>
      </w:r>
    </w:p>
    <w:p w:rsidR="0026567D" w:rsidRPr="00BA430F" w:rsidRDefault="0026567D" w:rsidP="00BA430F">
      <w:pPr>
        <w:pStyle w:val="Heading3"/>
      </w:pPr>
      <w:bookmarkStart w:id="189" w:name="_Toc314842506"/>
      <w:bookmarkStart w:id="190" w:name="_Toc270320087"/>
      <w:bookmarkStart w:id="191" w:name="_Toc241374329"/>
      <w:bookmarkStart w:id="192" w:name="_Toc255919423"/>
      <w:bookmarkStart w:id="193" w:name="_Toc376788845"/>
      <w:bookmarkStart w:id="194" w:name="_Toc380568277"/>
      <w:r w:rsidRPr="0026567D">
        <w:t>List of questions</w:t>
      </w:r>
      <w:bookmarkEnd w:id="189"/>
      <w:bookmarkEnd w:id="190"/>
      <w:bookmarkEnd w:id="191"/>
      <w:bookmarkEnd w:id="192"/>
      <w:bookmarkEnd w:id="194"/>
    </w:p>
    <w:p w:rsidR="00DC651C" w:rsidRPr="00BA430F" w:rsidRDefault="00DC651C" w:rsidP="00BA430F">
      <w:pPr>
        <w:pStyle w:val="Heading4"/>
      </w:pPr>
      <w:r w:rsidRPr="00DC651C">
        <w:t>Efficacy</w:t>
      </w:r>
      <w:bookmarkEnd w:id="193"/>
    </w:p>
    <w:p w:rsidR="0026567D" w:rsidRPr="0026567D" w:rsidRDefault="0026567D" w:rsidP="00BA430F">
      <w:bookmarkStart w:id="195" w:name="_Toc376788846"/>
      <w:r w:rsidRPr="0026567D">
        <w:t>Are there any additional relevant data from long term follow-up or ex</w:t>
      </w:r>
      <w:r w:rsidR="00BA430F">
        <w:t>tension of the pivotal studies?</w:t>
      </w:r>
    </w:p>
    <w:p w:rsidR="00DC651C" w:rsidRPr="00DC651C" w:rsidRDefault="00DC651C" w:rsidP="00BA430F">
      <w:pPr>
        <w:pStyle w:val="Heading4"/>
      </w:pPr>
      <w:r w:rsidRPr="00DC651C">
        <w:t>Safety</w:t>
      </w:r>
      <w:bookmarkEnd w:id="195"/>
    </w:p>
    <w:p w:rsidR="0026567D" w:rsidRPr="0026567D" w:rsidRDefault="0026567D" w:rsidP="00BA430F">
      <w:bookmarkStart w:id="196" w:name="_Toc376788847"/>
      <w:r w:rsidRPr="0026567D">
        <w:t>Up to date information on the other (non-TGA) jurisdictions for Jaydess registration was not provided at the time of the submission.</w:t>
      </w:r>
      <w:r>
        <w:t xml:space="preserve"> </w:t>
      </w:r>
      <w:r w:rsidRPr="0026567D">
        <w:t>Is there up to date regis</w:t>
      </w:r>
      <w:r w:rsidR="00BA430F">
        <w:t>tration information?</w:t>
      </w:r>
    </w:p>
    <w:p w:rsidR="0026567D" w:rsidRPr="0026567D" w:rsidRDefault="0026567D" w:rsidP="00BA430F">
      <w:r w:rsidRPr="0026567D">
        <w:t>Are there any additional relevant data from long term follow-up or ext</w:t>
      </w:r>
      <w:r>
        <w:t xml:space="preserve">ension of the pivotal studies? </w:t>
      </w:r>
      <w:r w:rsidRPr="0026567D">
        <w:t>Other studies mentioned in the dossier included:</w:t>
      </w:r>
    </w:p>
    <w:p w:rsidR="0026567D" w:rsidRPr="0026567D" w:rsidRDefault="00BA430F" w:rsidP="00BA430F">
      <w:pPr>
        <w:pStyle w:val="ListBullet"/>
      </w:pPr>
      <w:r>
        <w:t>Study 91775</w:t>
      </w:r>
    </w:p>
    <w:p w:rsidR="0026567D" w:rsidRPr="0026567D" w:rsidRDefault="00BA430F" w:rsidP="00BA430F">
      <w:pPr>
        <w:pStyle w:val="ListBullet"/>
      </w:pPr>
      <w:r>
        <w:t>Study 13362</w:t>
      </w:r>
    </w:p>
    <w:p w:rsidR="0026567D" w:rsidRPr="0026567D" w:rsidRDefault="0026567D" w:rsidP="00BA430F">
      <w:pPr>
        <w:pStyle w:val="ListBullet"/>
      </w:pPr>
      <w:r w:rsidRPr="0026567D">
        <w:t xml:space="preserve">A </w:t>
      </w:r>
      <w:r>
        <w:t xml:space="preserve">Phase </w:t>
      </w:r>
      <w:proofErr w:type="spellStart"/>
      <w:r>
        <w:t>III</w:t>
      </w:r>
      <w:r w:rsidRPr="0026567D">
        <w:t>b</w:t>
      </w:r>
      <w:proofErr w:type="spellEnd"/>
      <w:r w:rsidRPr="0026567D">
        <w:t xml:space="preserve"> </w:t>
      </w:r>
      <w:r w:rsidRPr="00BA430F">
        <w:t>study</w:t>
      </w:r>
      <w:r>
        <w:t xml:space="preserve"> </w:t>
      </w:r>
      <w:r w:rsidR="00BA430F">
        <w:t>(protocol 13363)</w:t>
      </w:r>
    </w:p>
    <w:p w:rsidR="0026567D" w:rsidRPr="0026567D" w:rsidRDefault="0026567D" w:rsidP="00BA430F">
      <w:r w:rsidRPr="0026567D">
        <w:t>Are there additional safety data from these studies, particularly with respect to ectopic pregnancy, expulsion, and infection, available for evaluation?</w:t>
      </w:r>
    </w:p>
    <w:p w:rsidR="00DC651C" w:rsidRPr="00DC651C" w:rsidRDefault="00DC651C" w:rsidP="00BA430F">
      <w:pPr>
        <w:pStyle w:val="Heading3"/>
      </w:pPr>
      <w:bookmarkStart w:id="197" w:name="_Toc380568278"/>
      <w:r w:rsidRPr="00DC651C">
        <w:t>Second round evaluation of clinical data submitted in response to questions</w:t>
      </w:r>
      <w:bookmarkEnd w:id="196"/>
      <w:bookmarkEnd w:id="197"/>
    </w:p>
    <w:p w:rsidR="00AB38E1" w:rsidRDefault="00AB38E1" w:rsidP="00BA430F">
      <w:bookmarkStart w:id="198" w:name="_Toc376788848"/>
      <w:r w:rsidRPr="00AB38E1">
        <w:t xml:space="preserve">A summary of the TGA evaluation of the sponsor’s responses </w:t>
      </w:r>
      <w:r>
        <w:t xml:space="preserve">to the list of clinical </w:t>
      </w:r>
      <w:r w:rsidR="00767DA1">
        <w:t xml:space="preserve">efficacy and safety </w:t>
      </w:r>
      <w:r>
        <w:t>questions is below. Full details can be found in Attachment 2 (Extract from the Clinical Evaluation Report) of this AusPAR.</w:t>
      </w:r>
    </w:p>
    <w:p w:rsidR="00767DA1" w:rsidRPr="00767DA1" w:rsidRDefault="00767DA1" w:rsidP="00BA430F">
      <w:r w:rsidRPr="00767DA1">
        <w:t xml:space="preserve">The second round clinical evaluation also included evaluation of pharmacovigilance information provided in the sponsor’s response. Details of pharmacovigilance aspects of the application are included under </w:t>
      </w:r>
      <w:proofErr w:type="spellStart"/>
      <w:r w:rsidRPr="00767DA1">
        <w:rPr>
          <w:i/>
          <w:iCs/>
        </w:rPr>
        <w:t>Pharmacovigilance</w:t>
      </w:r>
      <w:proofErr w:type="spellEnd"/>
      <w:r w:rsidRPr="00767DA1">
        <w:rPr>
          <w:i/>
          <w:iCs/>
        </w:rPr>
        <w:t xml:space="preserve"> findings</w:t>
      </w:r>
      <w:r>
        <w:rPr>
          <w:i/>
          <w:iCs/>
        </w:rPr>
        <w:t>,</w:t>
      </w:r>
      <w:r w:rsidRPr="00767DA1">
        <w:t xml:space="preserve"> </w:t>
      </w:r>
      <w:r w:rsidR="00BA430F">
        <w:t>below.</w:t>
      </w:r>
    </w:p>
    <w:p w:rsidR="00DC651C" w:rsidRPr="00BA430F" w:rsidRDefault="00DC651C" w:rsidP="00BA430F">
      <w:pPr>
        <w:pStyle w:val="Heading4"/>
      </w:pPr>
      <w:r w:rsidRPr="00DC651C">
        <w:t>Efficacy</w:t>
      </w:r>
      <w:bookmarkEnd w:id="198"/>
      <w:r w:rsidR="00AB38E1">
        <w:t xml:space="preserve"> question</w:t>
      </w:r>
    </w:p>
    <w:p w:rsidR="00966CCF" w:rsidRDefault="00AB38E1" w:rsidP="00BA430F">
      <w:r w:rsidRPr="00AB38E1">
        <w:t xml:space="preserve">The sponsor advised that </w:t>
      </w:r>
      <w:r>
        <w:t xml:space="preserve">the </w:t>
      </w:r>
      <w:r w:rsidR="00DC651C" w:rsidRPr="00DC651C">
        <w:t xml:space="preserve">ongoing extension phase of the pivotal Phase </w:t>
      </w:r>
      <w:r>
        <w:t>III</w:t>
      </w:r>
      <w:r w:rsidR="00DC651C" w:rsidRPr="00DC651C">
        <w:t xml:space="preserve"> study (A52238) includes on</w:t>
      </w:r>
      <w:r w:rsidR="00BA430F">
        <w:t>ly subjects in the LCS16 group.</w:t>
      </w:r>
    </w:p>
    <w:p w:rsidR="00DC651C" w:rsidRPr="00DC651C" w:rsidRDefault="00DC651C" w:rsidP="00BA430F">
      <w:r w:rsidRPr="00DC651C">
        <w:t xml:space="preserve">There had been one addendum to the Phase </w:t>
      </w:r>
      <w:r w:rsidR="00AB38E1">
        <w:t>III</w:t>
      </w:r>
      <w:r w:rsidRPr="00DC651C">
        <w:t xml:space="preserve"> study relating to the follow-up of return to fertility information gathered after completion of the 3 year phase of the study. In this extension study, 204 women who wished to become pregnant were followed up; 76.7% of these became pregnant in 1 year. This is comparable with return to fertility data for users of IUSs with higher dose </w:t>
      </w:r>
      <w:proofErr w:type="spellStart"/>
      <w:r w:rsidR="00966CCF" w:rsidRPr="00966CCF">
        <w:t>levonorgestrel</w:t>
      </w:r>
      <w:proofErr w:type="spellEnd"/>
      <w:r w:rsidR="00BA430F">
        <w:t>.</w:t>
      </w:r>
    </w:p>
    <w:p w:rsidR="00DC651C" w:rsidRPr="00DC651C" w:rsidRDefault="00DC651C" w:rsidP="00BA430F">
      <w:r w:rsidRPr="00DC651C">
        <w:t>There was no long-term foll</w:t>
      </w:r>
      <w:r w:rsidR="00966CCF">
        <w:t>ow-up from the completed Phase II</w:t>
      </w:r>
      <w:r w:rsidRPr="00DC651C">
        <w:t xml:space="preserve"> study (A46796). There had been one amendment to the Phase </w:t>
      </w:r>
      <w:r w:rsidR="00966CCF">
        <w:t>II</w:t>
      </w:r>
      <w:r w:rsidRPr="00DC651C">
        <w:t xml:space="preserve"> study which was reviewed in the initial evaluation (analysis of bleeding patterns, return to fertility and PD, collected </w:t>
      </w:r>
      <w:r w:rsidR="00BA430F">
        <w:t>after the study was completed).</w:t>
      </w:r>
    </w:p>
    <w:p w:rsidR="00DC651C" w:rsidRPr="00DC651C" w:rsidRDefault="00DC651C" w:rsidP="00BA430F">
      <w:r w:rsidRPr="00DC651C">
        <w:lastRenderedPageBreak/>
        <w:t xml:space="preserve">The </w:t>
      </w:r>
      <w:r w:rsidR="00966CCF">
        <w:t>s</w:t>
      </w:r>
      <w:r w:rsidRPr="00DC651C">
        <w:t xml:space="preserve">ponsor advises that there are currently 4 studies ongoing with Jaydess and the estimated reporting timelines for these are in the latter half of 2013 and </w:t>
      </w:r>
      <w:r w:rsidR="00966CCF">
        <w:t xml:space="preserve">early </w:t>
      </w:r>
      <w:r w:rsidR="00BA430F">
        <w:t>2014.</w:t>
      </w:r>
    </w:p>
    <w:p w:rsidR="00DC651C" w:rsidRPr="00BA430F" w:rsidRDefault="00DC651C" w:rsidP="00BA430F">
      <w:pPr>
        <w:pStyle w:val="Heading4"/>
      </w:pPr>
      <w:bookmarkStart w:id="199" w:name="_Toc376788849"/>
      <w:r w:rsidRPr="00DC651C">
        <w:t>Safety</w:t>
      </w:r>
      <w:bookmarkEnd w:id="199"/>
      <w:r w:rsidR="00966CCF">
        <w:t xml:space="preserve"> questions</w:t>
      </w:r>
    </w:p>
    <w:p w:rsidR="00DC651C" w:rsidRPr="00DC651C" w:rsidRDefault="00DC651C" w:rsidP="00BA430F">
      <w:r w:rsidRPr="00966CCF">
        <w:t>Up to date information on the other (non-TGA) jurisdictions for Jaydess registration</w:t>
      </w:r>
      <w:r w:rsidR="00966CCF">
        <w:t xml:space="preserve"> was provided. Recent </w:t>
      </w:r>
      <w:r w:rsidRPr="00966CCF">
        <w:t>approval</w:t>
      </w:r>
      <w:r w:rsidR="00767DA1">
        <w:t>s</w:t>
      </w:r>
      <w:r w:rsidRPr="00966CCF">
        <w:t xml:space="preserve"> in the USA and Sweden </w:t>
      </w:r>
      <w:r w:rsidR="00767DA1">
        <w:t xml:space="preserve">were </w:t>
      </w:r>
      <w:r w:rsidR="00BA430F">
        <w:t>noted.</w:t>
      </w:r>
    </w:p>
    <w:p w:rsidR="00DC651C" w:rsidRPr="00BA430F" w:rsidRDefault="00BA430F" w:rsidP="00BA430F">
      <w:pPr>
        <w:pStyle w:val="Heading5"/>
      </w:pPr>
      <w:r>
        <w:t>Additional safety data</w:t>
      </w:r>
    </w:p>
    <w:p w:rsidR="00DC651C" w:rsidRPr="00DC651C" w:rsidRDefault="00966CCF" w:rsidP="00BA430F">
      <w:pPr>
        <w:rPr>
          <w:b/>
        </w:rPr>
      </w:pPr>
      <w:r>
        <w:t xml:space="preserve">The sponsor’s response included </w:t>
      </w:r>
      <w:r w:rsidR="00DC651C" w:rsidRPr="00DC651C">
        <w:t xml:space="preserve">a tabular listing of pregnancies, expulsions, PID reported and SAEs (up to a cut-off date of 23 December 2012) in the ongoing Jaydess studies. </w:t>
      </w:r>
      <w:r>
        <w:t xml:space="preserve">Information was also provided on </w:t>
      </w:r>
      <w:r w:rsidR="00767DA1">
        <w:t xml:space="preserve">2 </w:t>
      </w:r>
      <w:r>
        <w:t xml:space="preserve">deaths (both </w:t>
      </w:r>
      <w:r w:rsidR="00DC651C" w:rsidRPr="00DC651C">
        <w:t>judged as unrelated to LCS12</w:t>
      </w:r>
      <w:r>
        <w:t>) and p</w:t>
      </w:r>
      <w:r w:rsidR="00DC651C" w:rsidRPr="00966CCF">
        <w:t>erforations</w:t>
      </w:r>
      <w:r>
        <w:t>.</w:t>
      </w:r>
    </w:p>
    <w:p w:rsidR="00DC651C" w:rsidRPr="00DC651C" w:rsidRDefault="00966CCF" w:rsidP="00BA430F">
      <w:r>
        <w:t>Overall, the</w:t>
      </w:r>
      <w:r w:rsidR="00DC651C" w:rsidRPr="00DC651C">
        <w:t xml:space="preserve"> rates are similar to the pivotal </w:t>
      </w:r>
      <w:r>
        <w:t>Study A52238</w:t>
      </w:r>
      <w:r w:rsidR="00DC651C" w:rsidRPr="00DC651C">
        <w:t xml:space="preserve"> and there were no new events reported.</w:t>
      </w:r>
    </w:p>
    <w:p w:rsidR="00DC651C" w:rsidRPr="00DC651C" w:rsidRDefault="00DC651C" w:rsidP="00BA430F">
      <w:pPr>
        <w:pStyle w:val="Heading3"/>
      </w:pPr>
      <w:bookmarkStart w:id="200" w:name="_Toc376788850"/>
      <w:bookmarkStart w:id="201" w:name="_Toc380568279"/>
      <w:r w:rsidRPr="00DC651C">
        <w:t xml:space="preserve">Second round </w:t>
      </w:r>
      <w:r w:rsidRPr="00BA430F">
        <w:t>benefit</w:t>
      </w:r>
      <w:r w:rsidRPr="00DC651C">
        <w:t>-risk assessment</w:t>
      </w:r>
      <w:bookmarkEnd w:id="200"/>
      <w:bookmarkEnd w:id="201"/>
    </w:p>
    <w:p w:rsidR="00DC651C" w:rsidRPr="00DC651C" w:rsidRDefault="00DC651C" w:rsidP="00BA430F">
      <w:pPr>
        <w:pStyle w:val="Heading4"/>
      </w:pPr>
      <w:bookmarkStart w:id="202" w:name="_Toc272414709"/>
      <w:bookmarkStart w:id="203" w:name="_Toc290846349"/>
      <w:bookmarkStart w:id="204" w:name="_Toc290888886"/>
      <w:bookmarkStart w:id="205" w:name="_Toc343587629"/>
      <w:bookmarkStart w:id="206" w:name="_Toc219998446"/>
      <w:bookmarkStart w:id="207" w:name="_Toc219998550"/>
      <w:bookmarkStart w:id="208" w:name="_Toc219998965"/>
      <w:bookmarkStart w:id="209" w:name="_Toc219999068"/>
      <w:bookmarkStart w:id="210" w:name="_Toc219999169"/>
      <w:bookmarkStart w:id="211" w:name="_Toc229197985"/>
      <w:bookmarkStart w:id="212" w:name="_Toc376788851"/>
      <w:r w:rsidRPr="00DC651C">
        <w:t xml:space="preserve">Second round </w:t>
      </w:r>
      <w:r w:rsidRPr="00BA430F">
        <w:t>assessment</w:t>
      </w:r>
      <w:r w:rsidRPr="00DC651C">
        <w:t xml:space="preserve"> of benefits</w:t>
      </w:r>
      <w:bookmarkEnd w:id="202"/>
      <w:bookmarkEnd w:id="203"/>
      <w:bookmarkEnd w:id="204"/>
      <w:bookmarkEnd w:id="205"/>
      <w:bookmarkEnd w:id="206"/>
      <w:bookmarkEnd w:id="207"/>
      <w:bookmarkEnd w:id="208"/>
      <w:bookmarkEnd w:id="209"/>
      <w:bookmarkEnd w:id="210"/>
      <w:bookmarkEnd w:id="211"/>
      <w:bookmarkEnd w:id="212"/>
    </w:p>
    <w:p w:rsidR="00DC651C" w:rsidRPr="00DC651C" w:rsidRDefault="00DC651C" w:rsidP="00BA430F">
      <w:r w:rsidRPr="00DC651C">
        <w:t xml:space="preserve">After consideration of the responses to clinical questions, the benefits of Jaydess in the proposed usage are unchanged from those identified </w:t>
      </w:r>
      <w:r w:rsidR="00966CCF">
        <w:t xml:space="preserve">under </w:t>
      </w:r>
      <w:r w:rsidR="00966CCF" w:rsidRPr="00966CCF">
        <w:rPr>
          <w:i/>
          <w:iCs/>
        </w:rPr>
        <w:t>First round assessment of benefits</w:t>
      </w:r>
      <w:r w:rsidR="00966CCF">
        <w:t>, above</w:t>
      </w:r>
      <w:r w:rsidRPr="00DC651C">
        <w:t>.</w:t>
      </w:r>
    </w:p>
    <w:p w:rsidR="00DC651C" w:rsidRPr="00DC651C" w:rsidRDefault="00DC651C" w:rsidP="00BA430F">
      <w:pPr>
        <w:pStyle w:val="Heading4"/>
      </w:pPr>
      <w:bookmarkStart w:id="213" w:name="_Toc272414710"/>
      <w:bookmarkStart w:id="214" w:name="_Toc290846350"/>
      <w:bookmarkStart w:id="215" w:name="_Toc290888887"/>
      <w:bookmarkStart w:id="216" w:name="_Toc343587630"/>
      <w:bookmarkStart w:id="217" w:name="_Toc219998447"/>
      <w:bookmarkStart w:id="218" w:name="_Toc219998551"/>
      <w:bookmarkStart w:id="219" w:name="_Toc219998966"/>
      <w:bookmarkStart w:id="220" w:name="_Toc219999069"/>
      <w:bookmarkStart w:id="221" w:name="_Toc219999170"/>
      <w:bookmarkStart w:id="222" w:name="_Toc229197986"/>
      <w:bookmarkStart w:id="223" w:name="_Toc376788852"/>
      <w:r w:rsidRPr="00DC651C">
        <w:t xml:space="preserve">Second round </w:t>
      </w:r>
      <w:r w:rsidRPr="00BA430F">
        <w:t>assessment</w:t>
      </w:r>
      <w:r w:rsidRPr="00DC651C">
        <w:t xml:space="preserve"> of risks</w:t>
      </w:r>
      <w:bookmarkEnd w:id="213"/>
      <w:bookmarkEnd w:id="214"/>
      <w:bookmarkEnd w:id="215"/>
      <w:bookmarkEnd w:id="216"/>
      <w:bookmarkEnd w:id="217"/>
      <w:bookmarkEnd w:id="218"/>
      <w:bookmarkEnd w:id="219"/>
      <w:bookmarkEnd w:id="220"/>
      <w:bookmarkEnd w:id="221"/>
      <w:bookmarkEnd w:id="222"/>
      <w:bookmarkEnd w:id="223"/>
    </w:p>
    <w:p w:rsidR="00DC651C" w:rsidRPr="00DC651C" w:rsidRDefault="00DC651C" w:rsidP="00BA430F">
      <w:r w:rsidRPr="00DC651C">
        <w:t>After consideration of the responses to clinical questions, the benefits of Jaydess in the proposed usage are un</w:t>
      </w:r>
      <w:r w:rsidR="00966CCF">
        <w:t xml:space="preserve">changed from those identified under </w:t>
      </w:r>
      <w:r w:rsidR="00966CCF" w:rsidRPr="00966CCF">
        <w:rPr>
          <w:i/>
          <w:iCs/>
        </w:rPr>
        <w:t xml:space="preserve">First round assessment of </w:t>
      </w:r>
      <w:r w:rsidR="00966CCF">
        <w:rPr>
          <w:i/>
          <w:iCs/>
        </w:rPr>
        <w:t xml:space="preserve">risks, </w:t>
      </w:r>
      <w:r w:rsidR="00966CCF" w:rsidRPr="00966CCF">
        <w:t>above</w:t>
      </w:r>
      <w:r w:rsidR="00966CCF">
        <w:t xml:space="preserve">. </w:t>
      </w:r>
      <w:r w:rsidRPr="00DC651C">
        <w:t>The risks of Jaydess in the proposed usage are:</w:t>
      </w:r>
    </w:p>
    <w:p w:rsidR="00DC651C" w:rsidRPr="00DC651C" w:rsidRDefault="002C1D25" w:rsidP="00BA430F">
      <w:pPr>
        <w:pStyle w:val="ListBullet"/>
      </w:pPr>
      <w:r>
        <w:t>E</w:t>
      </w:r>
      <w:r w:rsidR="00DC651C" w:rsidRPr="00DC651C">
        <w:t xml:space="preserve">ctopic and intra </w:t>
      </w:r>
      <w:r w:rsidR="00DC651C" w:rsidRPr="00BA430F">
        <w:t>uterine</w:t>
      </w:r>
      <w:r w:rsidR="00DC651C" w:rsidRPr="00DC651C">
        <w:t xml:space="preserve"> pregnancy</w:t>
      </w:r>
    </w:p>
    <w:p w:rsidR="00DC651C" w:rsidRPr="00DC651C" w:rsidRDefault="002C1D25" w:rsidP="00BA430F">
      <w:pPr>
        <w:pStyle w:val="ListBullet"/>
      </w:pPr>
      <w:r>
        <w:t>E</w:t>
      </w:r>
      <w:r w:rsidR="00DC651C" w:rsidRPr="00DC651C">
        <w:t>xpulsion of IUD</w:t>
      </w:r>
    </w:p>
    <w:p w:rsidR="00DC651C" w:rsidRPr="00DC651C" w:rsidRDefault="002C1D25" w:rsidP="00BA430F">
      <w:pPr>
        <w:pStyle w:val="ListBullet"/>
      </w:pPr>
      <w:r>
        <w:t>I</w:t>
      </w:r>
      <w:r w:rsidR="00BA430F">
        <w:t>nfection</w:t>
      </w:r>
    </w:p>
    <w:p w:rsidR="00DC651C" w:rsidRPr="00DC651C" w:rsidRDefault="00DC651C" w:rsidP="00BA430F">
      <w:pPr>
        <w:pStyle w:val="Heading4"/>
      </w:pPr>
      <w:bookmarkStart w:id="224" w:name="_Toc272414711"/>
      <w:bookmarkStart w:id="225" w:name="_Toc290846351"/>
      <w:bookmarkStart w:id="226" w:name="_Toc290888888"/>
      <w:bookmarkStart w:id="227" w:name="_Toc343587631"/>
      <w:bookmarkStart w:id="228" w:name="_Toc219998448"/>
      <w:bookmarkStart w:id="229" w:name="_Toc219998552"/>
      <w:bookmarkStart w:id="230" w:name="_Toc219998967"/>
      <w:bookmarkStart w:id="231" w:name="_Toc219999070"/>
      <w:bookmarkStart w:id="232" w:name="_Toc219999171"/>
      <w:bookmarkStart w:id="233" w:name="_Toc229197987"/>
      <w:bookmarkStart w:id="234" w:name="_Toc376788853"/>
      <w:r w:rsidRPr="00DC651C">
        <w:t xml:space="preserve">Second </w:t>
      </w:r>
      <w:r w:rsidRPr="00BA430F">
        <w:t>round</w:t>
      </w:r>
      <w:r w:rsidRPr="00DC651C">
        <w:t xml:space="preserve"> assessment of benefit-risk balance</w:t>
      </w:r>
      <w:bookmarkEnd w:id="224"/>
      <w:bookmarkEnd w:id="225"/>
      <w:bookmarkEnd w:id="226"/>
      <w:bookmarkEnd w:id="227"/>
      <w:bookmarkEnd w:id="228"/>
      <w:bookmarkEnd w:id="229"/>
      <w:bookmarkEnd w:id="230"/>
      <w:bookmarkEnd w:id="231"/>
      <w:bookmarkEnd w:id="232"/>
      <w:bookmarkEnd w:id="233"/>
      <w:bookmarkEnd w:id="234"/>
    </w:p>
    <w:p w:rsidR="00DC651C" w:rsidRPr="00DC651C" w:rsidRDefault="00DC651C" w:rsidP="00BA430F">
      <w:r w:rsidRPr="00DC651C">
        <w:t>The benefit-risk balance of Jaydess given the proposed usage is favourable on a population basis. However there is a risk to future fertility particularly in nulliparous women due to the rate of ectopic pregnancies and PID, and the pharmacovigilance plans as assured</w:t>
      </w:r>
      <w:r w:rsidR="00966CCF">
        <w:t xml:space="preserve"> by the s</w:t>
      </w:r>
      <w:r w:rsidRPr="00DC651C">
        <w:t>ponsor need</w:t>
      </w:r>
      <w:r w:rsidR="00966CCF">
        <w:t>s</w:t>
      </w:r>
      <w:r w:rsidRPr="00DC651C">
        <w:t xml:space="preserve"> to be mandated for this product. Further, information about long-term outcomes and real world practice needs to be communicated to prescribers and regularly updated. Specific data on obese women, parous and nulliparous needs to be provided, parti</w:t>
      </w:r>
      <w:r w:rsidR="00966CCF">
        <w:t xml:space="preserve">cularly around expulsions, PID, and </w:t>
      </w:r>
      <w:r w:rsidRPr="00DC651C">
        <w:t>pregnancies (both ectopic and intrauterine).</w:t>
      </w:r>
    </w:p>
    <w:p w:rsidR="00DC651C" w:rsidRPr="00DC651C" w:rsidRDefault="00100807" w:rsidP="00BA430F">
      <w:r>
        <w:t>In relation to prop</w:t>
      </w:r>
      <w:r w:rsidR="00BA430F">
        <w:t>osed post-marketing activities:</w:t>
      </w:r>
    </w:p>
    <w:p w:rsidR="00DC651C" w:rsidRPr="00DC651C" w:rsidRDefault="00100807" w:rsidP="00BA430F">
      <w:pPr>
        <w:pStyle w:val="ListBullet"/>
      </w:pPr>
      <w:r>
        <w:t>Post-a</w:t>
      </w:r>
      <w:r w:rsidRPr="00100807">
        <w:t>uthori</w:t>
      </w:r>
      <w:r w:rsidR="00767DA1">
        <w:t>s</w:t>
      </w:r>
      <w:r w:rsidRPr="00100807">
        <w:t xml:space="preserve">ation Safety Study </w:t>
      </w:r>
      <w:r>
        <w:t>(</w:t>
      </w:r>
      <w:r w:rsidR="00DC651C" w:rsidRPr="00DC651C">
        <w:t>PASS</w:t>
      </w:r>
      <w:r>
        <w:t>)</w:t>
      </w:r>
      <w:r w:rsidR="00DC651C" w:rsidRPr="00DC651C">
        <w:t xml:space="preserve"> </w:t>
      </w:r>
      <w:r w:rsidR="00DC651C" w:rsidRPr="00BA430F">
        <w:t>protocol</w:t>
      </w:r>
      <w:r w:rsidR="00DC651C" w:rsidRPr="00DC651C">
        <w:t xml:space="preserve"> needs to be included in Annex 5 of the EU-RMP as assured by </w:t>
      </w:r>
      <w:r>
        <w:t>the s</w:t>
      </w:r>
      <w:r w:rsidR="00DC651C" w:rsidRPr="00DC651C">
        <w:t>ponsor</w:t>
      </w:r>
    </w:p>
    <w:p w:rsidR="00DC651C" w:rsidRPr="00DC651C" w:rsidRDefault="00DC651C" w:rsidP="00BA430F">
      <w:pPr>
        <w:pStyle w:val="ListBullet"/>
      </w:pPr>
      <w:r w:rsidRPr="00DC651C">
        <w:t xml:space="preserve">Pharmacovigilance activities as discussed in </w:t>
      </w:r>
      <w:r w:rsidRPr="00BA430F">
        <w:t>the</w:t>
      </w:r>
      <w:r w:rsidRPr="00DC651C">
        <w:t xml:space="preserve"> response are mandated to occur and are communicated to the TGA.</w:t>
      </w:r>
    </w:p>
    <w:p w:rsidR="00DC651C" w:rsidRPr="00DC651C" w:rsidRDefault="00DC651C" w:rsidP="00BA430F">
      <w:pPr>
        <w:pStyle w:val="ListBullet"/>
      </w:pPr>
      <w:r w:rsidRPr="00DC651C">
        <w:t xml:space="preserve">If the results from the insertion survey are </w:t>
      </w:r>
      <w:r w:rsidRPr="00BA430F">
        <w:t>not</w:t>
      </w:r>
      <w:r w:rsidRPr="00DC651C">
        <w:t xml:space="preserve"> directly </w:t>
      </w:r>
      <w:r w:rsidR="00100807">
        <w:t>applicable to Jaydess then the s</w:t>
      </w:r>
      <w:r w:rsidRPr="00DC651C">
        <w:t>ponsor needs to have considered an alternative education and training plan</w:t>
      </w:r>
    </w:p>
    <w:p w:rsidR="00DC651C" w:rsidRPr="00DC651C" w:rsidRDefault="00DC651C" w:rsidP="00BA430F">
      <w:pPr>
        <w:pStyle w:val="ListBullet"/>
      </w:pPr>
      <w:r w:rsidRPr="00DC651C">
        <w:lastRenderedPageBreak/>
        <w:t>Bayer provides the assurance that the printed materials associated with these risk minimisation activities will be provided to TGA, once available.</w:t>
      </w:r>
    </w:p>
    <w:p w:rsidR="00DC651C" w:rsidRPr="00BA430F" w:rsidRDefault="00DC651C" w:rsidP="00BA430F">
      <w:pPr>
        <w:pStyle w:val="Heading3"/>
      </w:pPr>
      <w:bookmarkStart w:id="235" w:name="_Toc376788854"/>
      <w:bookmarkStart w:id="236" w:name="_Toc380568280"/>
      <w:r w:rsidRPr="00DC651C">
        <w:t>Second round recommendation regarding authorisation</w:t>
      </w:r>
      <w:bookmarkEnd w:id="235"/>
      <w:bookmarkEnd w:id="236"/>
    </w:p>
    <w:p w:rsidR="00DC651C" w:rsidRPr="00DC651C" w:rsidRDefault="00100807" w:rsidP="00BA430F">
      <w:r>
        <w:t xml:space="preserve">This was unchanged from that </w:t>
      </w:r>
      <w:r w:rsidRPr="00100807">
        <w:t xml:space="preserve">identified under </w:t>
      </w:r>
      <w:r w:rsidRPr="00751271">
        <w:rPr>
          <w:i/>
          <w:iCs/>
        </w:rPr>
        <w:t>First round recommendation</w:t>
      </w:r>
      <w:r w:rsidR="00751271" w:rsidRPr="00751271">
        <w:rPr>
          <w:i/>
          <w:iCs/>
        </w:rPr>
        <w:t xml:space="preserve"> regarding authorisation</w:t>
      </w:r>
      <w:r>
        <w:t xml:space="preserve">, </w:t>
      </w:r>
      <w:r w:rsidR="00DC651C" w:rsidRPr="00DC651C">
        <w:t xml:space="preserve">with pharmacovigilance and education strategies as assured by </w:t>
      </w:r>
      <w:r w:rsidR="00751271">
        <w:t>the s</w:t>
      </w:r>
      <w:r w:rsidR="00DC651C" w:rsidRPr="00DC651C">
        <w:t>ponsor</w:t>
      </w:r>
      <w:r w:rsidR="00751271">
        <w:t>.</w:t>
      </w:r>
    </w:p>
    <w:p w:rsidR="008E7846" w:rsidRPr="00E41208" w:rsidRDefault="008E7846" w:rsidP="00BA430F">
      <w:pPr>
        <w:pStyle w:val="Heading2"/>
      </w:pPr>
      <w:bookmarkStart w:id="237" w:name="_Toc247691524"/>
      <w:bookmarkStart w:id="238" w:name="_Toc314842508"/>
      <w:bookmarkStart w:id="239" w:name="_Toc196046504"/>
      <w:bookmarkStart w:id="240" w:name="_Toc163441390"/>
      <w:bookmarkStart w:id="241" w:name="_Toc380568281"/>
      <w:bookmarkEnd w:id="129"/>
      <w:bookmarkEnd w:id="130"/>
      <w:bookmarkEnd w:id="131"/>
      <w:r w:rsidRPr="00E41208">
        <w:t xml:space="preserve">V. Pharmacovigilance </w:t>
      </w:r>
      <w:r>
        <w:t>f</w:t>
      </w:r>
      <w:r w:rsidRPr="00E41208">
        <w:t>indings</w:t>
      </w:r>
      <w:bookmarkEnd w:id="237"/>
      <w:bookmarkEnd w:id="238"/>
      <w:bookmarkEnd w:id="241"/>
    </w:p>
    <w:p w:rsidR="008E7846" w:rsidRPr="00BA430F" w:rsidRDefault="00386150" w:rsidP="00BA430F">
      <w:pPr>
        <w:pStyle w:val="Heading3"/>
      </w:pPr>
      <w:bookmarkStart w:id="242" w:name="_Toc247691526"/>
      <w:bookmarkStart w:id="243" w:name="_Toc314842509"/>
      <w:bookmarkStart w:id="244" w:name="_Toc380568282"/>
      <w:r>
        <w:rPr>
          <w:lang w:eastAsia="en-AU"/>
        </w:rPr>
        <w:t>Risk m</w:t>
      </w:r>
      <w:r w:rsidR="008E7846">
        <w:rPr>
          <w:lang w:eastAsia="en-AU"/>
        </w:rPr>
        <w:t xml:space="preserve">anagement </w:t>
      </w:r>
      <w:r>
        <w:rPr>
          <w:lang w:eastAsia="en-AU"/>
        </w:rPr>
        <w:t>p</w:t>
      </w:r>
      <w:r w:rsidR="008E7846">
        <w:rPr>
          <w:lang w:eastAsia="en-AU"/>
        </w:rPr>
        <w:t>lan</w:t>
      </w:r>
      <w:bookmarkEnd w:id="242"/>
      <w:bookmarkEnd w:id="243"/>
      <w:bookmarkEnd w:id="244"/>
    </w:p>
    <w:p w:rsidR="0033364F" w:rsidRPr="0033364F" w:rsidRDefault="008E7846" w:rsidP="00BA430F">
      <w:pPr>
        <w:rPr>
          <w:lang w:eastAsia="en-AU"/>
        </w:rPr>
      </w:pPr>
      <w:r>
        <w:rPr>
          <w:lang w:eastAsia="en-AU"/>
        </w:rPr>
        <w:t xml:space="preserve">The sponsor submitted a Risk Management Plan </w:t>
      </w:r>
      <w:r w:rsidR="0033364F">
        <w:rPr>
          <w:lang w:eastAsia="en-AU"/>
        </w:rPr>
        <w:t>(</w:t>
      </w:r>
      <w:r w:rsidR="0033364F" w:rsidRPr="0033364F">
        <w:rPr>
          <w:lang w:eastAsia="en-AU"/>
        </w:rPr>
        <w:t>EU-RMP Version</w:t>
      </w:r>
      <w:r w:rsidR="0033364F" w:rsidRPr="0033364F">
        <w:rPr>
          <w:iCs/>
          <w:lang w:eastAsia="en-AU"/>
        </w:rPr>
        <w:t>: 1.0, dated 9 November 2011, with an Australian Specific Annex (ASA), Version: 1, dated 10 August 2012</w:t>
      </w:r>
      <w:r w:rsidR="0033364F">
        <w:rPr>
          <w:iCs/>
          <w:lang w:eastAsia="en-AU"/>
        </w:rPr>
        <w:t xml:space="preserve">) </w:t>
      </w:r>
      <w:r>
        <w:rPr>
          <w:lang w:eastAsia="en-AU"/>
        </w:rPr>
        <w:t>which was reviewed by the TGA’s Office of Product Review (OPR).</w:t>
      </w:r>
      <w:r w:rsidR="0033364F">
        <w:rPr>
          <w:lang w:eastAsia="en-AU"/>
        </w:rPr>
        <w:t xml:space="preserve"> </w:t>
      </w:r>
      <w:r w:rsidR="0033364F" w:rsidRPr="0033364F">
        <w:rPr>
          <w:lang w:eastAsia="en-AU"/>
        </w:rPr>
        <w:t xml:space="preserve">A summary of the RMP is shown in Table </w:t>
      </w:r>
      <w:r w:rsidR="004251D5">
        <w:rPr>
          <w:lang w:eastAsia="en-AU"/>
        </w:rPr>
        <w:t>4</w:t>
      </w:r>
      <w:r w:rsidR="0033364F" w:rsidRPr="0033364F">
        <w:rPr>
          <w:lang w:eastAsia="en-AU"/>
        </w:rPr>
        <w:t>.</w:t>
      </w:r>
    </w:p>
    <w:p w:rsidR="00436B75" w:rsidRPr="00436B75" w:rsidRDefault="0033364F" w:rsidP="00BA430F">
      <w:pPr>
        <w:pStyle w:val="TableTitle"/>
      </w:pPr>
      <w:proofErr w:type="gramStart"/>
      <w:r w:rsidRPr="00436B75">
        <w:t xml:space="preserve">Table </w:t>
      </w:r>
      <w:r w:rsidR="004251D5">
        <w:t>4</w:t>
      </w:r>
      <w:r w:rsidRPr="00436B75">
        <w:t>.</w:t>
      </w:r>
      <w:proofErr w:type="gramEnd"/>
      <w:r w:rsidRPr="00436B75">
        <w:t xml:space="preserve"> Summ</w:t>
      </w:r>
      <w:r w:rsidR="00436B75">
        <w:t xml:space="preserve">ary of </w:t>
      </w:r>
      <w:r w:rsidR="00261891">
        <w:t xml:space="preserve">proposed </w:t>
      </w:r>
      <w:r w:rsidR="00436B75">
        <w:t>Risk Management Plan</w:t>
      </w:r>
    </w:p>
    <w:tbl>
      <w:tblPr>
        <w:tblStyle w:val="TableTGAblue"/>
        <w:tblW w:w="0" w:type="auto"/>
        <w:tblLook w:val="0620" w:firstRow="1" w:lastRow="0" w:firstColumn="0" w:lastColumn="0" w:noHBand="1" w:noVBand="1"/>
      </w:tblPr>
      <w:tblGrid>
        <w:gridCol w:w="2798"/>
        <w:gridCol w:w="2907"/>
        <w:gridCol w:w="2800"/>
      </w:tblGrid>
      <w:tr w:rsidR="00436B75" w:rsidRPr="00261891" w:rsidTr="00BA430F">
        <w:trPr>
          <w:cnfStyle w:val="100000000000" w:firstRow="1" w:lastRow="0" w:firstColumn="0" w:lastColumn="0" w:oddVBand="0" w:evenVBand="0" w:oddHBand="0" w:evenHBand="0" w:firstRowFirstColumn="0" w:firstRowLastColumn="0" w:lastRowFirstColumn="0" w:lastRowLastColumn="0"/>
          <w:tblHeader/>
        </w:trPr>
        <w:tc>
          <w:tcPr>
            <w:tcW w:w="2798" w:type="dxa"/>
          </w:tcPr>
          <w:p w:rsidR="00436B75" w:rsidRPr="00261891" w:rsidRDefault="00436B75" w:rsidP="00BA430F">
            <w:pPr>
              <w:ind w:left="0" w:right="30"/>
            </w:pPr>
            <w:r w:rsidRPr="00261891">
              <w:t>Safety concern</w:t>
            </w:r>
          </w:p>
        </w:tc>
        <w:tc>
          <w:tcPr>
            <w:tcW w:w="2907" w:type="dxa"/>
          </w:tcPr>
          <w:p w:rsidR="00436B75" w:rsidRPr="00261891" w:rsidRDefault="00436B75" w:rsidP="00BA430F">
            <w:pPr>
              <w:ind w:left="37" w:right="0"/>
            </w:pPr>
            <w:r w:rsidRPr="00261891">
              <w:rPr>
                <w:bCs/>
              </w:rPr>
              <w:t>Proposed pharmacovigilance activities (routine and additional)</w:t>
            </w:r>
          </w:p>
        </w:tc>
        <w:tc>
          <w:tcPr>
            <w:tcW w:w="2800" w:type="dxa"/>
          </w:tcPr>
          <w:p w:rsidR="00436B75" w:rsidRPr="00261891" w:rsidRDefault="00436B75" w:rsidP="00BA430F">
            <w:pPr>
              <w:ind w:left="0" w:right="0"/>
            </w:pPr>
            <w:r w:rsidRPr="00261891">
              <w:rPr>
                <w:bCs/>
              </w:rPr>
              <w:t>Proposed risk minimization activities (routine and additional)</w:t>
            </w:r>
          </w:p>
        </w:tc>
      </w:tr>
      <w:tr w:rsidR="00436B75" w:rsidRPr="00261891" w:rsidTr="00BA430F">
        <w:tc>
          <w:tcPr>
            <w:tcW w:w="8505" w:type="dxa"/>
            <w:gridSpan w:val="3"/>
          </w:tcPr>
          <w:p w:rsidR="00436B75" w:rsidRPr="00BA430F" w:rsidRDefault="00436B75" w:rsidP="00BA430F">
            <w:pPr>
              <w:ind w:left="0" w:right="0"/>
              <w:rPr>
                <w:b/>
              </w:rPr>
            </w:pPr>
            <w:r w:rsidRPr="00BA430F">
              <w:rPr>
                <w:b/>
                <w:bCs/>
              </w:rPr>
              <w:t>Important identified risks</w:t>
            </w:r>
          </w:p>
        </w:tc>
      </w:tr>
      <w:tr w:rsidR="00436B75" w:rsidRPr="00261891" w:rsidTr="00BA430F">
        <w:tc>
          <w:tcPr>
            <w:tcW w:w="2798" w:type="dxa"/>
          </w:tcPr>
          <w:p w:rsidR="00436B75" w:rsidRPr="00261891" w:rsidRDefault="00436B75" w:rsidP="00BA430F">
            <w:pPr>
              <w:ind w:left="0" w:right="30"/>
            </w:pPr>
            <w:r w:rsidRPr="00261891">
              <w:t>Pelvic inflammatory disease</w:t>
            </w:r>
          </w:p>
        </w:tc>
        <w:tc>
          <w:tcPr>
            <w:tcW w:w="2907" w:type="dxa"/>
          </w:tcPr>
          <w:p w:rsidR="00436B75" w:rsidRPr="00261891" w:rsidRDefault="00436B75" w:rsidP="00BA430F">
            <w:pPr>
              <w:ind w:left="37" w:right="0"/>
            </w:pPr>
            <w:r w:rsidRPr="00261891">
              <w:t>Outcomes study. Study format</w:t>
            </w:r>
            <w:r w:rsidR="00261891" w:rsidRPr="00261891">
              <w:t xml:space="preserve"> </w:t>
            </w:r>
            <w:r w:rsidRPr="00261891">
              <w:t>under assessment.</w:t>
            </w:r>
          </w:p>
        </w:tc>
        <w:tc>
          <w:tcPr>
            <w:tcW w:w="2800" w:type="dxa"/>
          </w:tcPr>
          <w:p w:rsidR="00436B75" w:rsidRPr="00261891" w:rsidRDefault="00436B75" w:rsidP="00BA430F">
            <w:pPr>
              <w:ind w:left="0" w:right="0"/>
            </w:pPr>
            <w:r w:rsidRPr="00261891">
              <w:t>Routine</w:t>
            </w:r>
            <w:r w:rsidR="00261891" w:rsidRPr="00261891">
              <w:t>.</w:t>
            </w:r>
          </w:p>
          <w:p w:rsidR="00436B75" w:rsidRPr="00261891" w:rsidRDefault="00436B75" w:rsidP="00BA430F">
            <w:pPr>
              <w:ind w:left="0" w:right="0"/>
            </w:pPr>
            <w:r w:rsidRPr="00261891">
              <w:t>Additional:</w:t>
            </w:r>
            <w:r w:rsidR="00261891" w:rsidRPr="00261891">
              <w:t xml:space="preserve"> </w:t>
            </w:r>
            <w:r w:rsidRPr="00261891">
              <w:t>Communication measures directed to</w:t>
            </w:r>
            <w:r w:rsidR="00261891" w:rsidRPr="00261891">
              <w:t xml:space="preserve"> </w:t>
            </w:r>
            <w:r w:rsidRPr="00261891">
              <w:t>HCPs addressing appropriate patient</w:t>
            </w:r>
            <w:r w:rsidR="00261891" w:rsidRPr="00261891">
              <w:t xml:space="preserve"> </w:t>
            </w:r>
            <w:r w:rsidRPr="00261891">
              <w:t>selection and emphasizing aseptic</w:t>
            </w:r>
            <w:r w:rsidR="00261891" w:rsidRPr="00261891">
              <w:t xml:space="preserve"> </w:t>
            </w:r>
            <w:r w:rsidRPr="00261891">
              <w:t>insertion technique</w:t>
            </w:r>
          </w:p>
        </w:tc>
      </w:tr>
      <w:tr w:rsidR="00436B75" w:rsidRPr="00261891" w:rsidTr="00BA430F">
        <w:tc>
          <w:tcPr>
            <w:tcW w:w="2798" w:type="dxa"/>
          </w:tcPr>
          <w:p w:rsidR="00436B75" w:rsidRPr="00261891" w:rsidRDefault="00436B75" w:rsidP="00BA430F">
            <w:pPr>
              <w:ind w:left="0" w:right="30"/>
            </w:pPr>
            <w:r w:rsidRPr="00261891">
              <w:t>Ectopic pregnancy</w:t>
            </w:r>
          </w:p>
        </w:tc>
        <w:tc>
          <w:tcPr>
            <w:tcW w:w="2907" w:type="dxa"/>
          </w:tcPr>
          <w:p w:rsidR="00436B75" w:rsidRPr="00261891" w:rsidRDefault="00436B75" w:rsidP="00BA430F">
            <w:pPr>
              <w:ind w:left="37" w:right="0"/>
            </w:pPr>
            <w:r w:rsidRPr="00261891">
              <w:t>Outcomes study. Study format under assessment.</w:t>
            </w:r>
          </w:p>
        </w:tc>
        <w:tc>
          <w:tcPr>
            <w:tcW w:w="2800" w:type="dxa"/>
          </w:tcPr>
          <w:p w:rsidR="00436B75" w:rsidRPr="00261891" w:rsidRDefault="00261891" w:rsidP="00BA430F">
            <w:pPr>
              <w:ind w:left="0" w:right="0"/>
            </w:pPr>
            <w:r w:rsidRPr="00261891">
              <w:t>Routine.</w:t>
            </w:r>
          </w:p>
          <w:p w:rsidR="00436B75" w:rsidRPr="00261891" w:rsidRDefault="00436B75" w:rsidP="00BA430F">
            <w:pPr>
              <w:ind w:left="0" w:right="0"/>
            </w:pPr>
            <w:r w:rsidRPr="00261891">
              <w:t>Additional:</w:t>
            </w:r>
            <w:r w:rsidR="00261891" w:rsidRPr="00261891">
              <w:t xml:space="preserve"> </w:t>
            </w:r>
            <w:r w:rsidRPr="00261891">
              <w:t>The company will explore options to</w:t>
            </w:r>
            <w:r w:rsidR="00261891" w:rsidRPr="00261891">
              <w:t xml:space="preserve"> </w:t>
            </w:r>
            <w:r w:rsidRPr="00261891">
              <w:t>increase the accessibility of the patient</w:t>
            </w:r>
            <w:r w:rsidR="00261891" w:rsidRPr="00261891">
              <w:t xml:space="preserve"> </w:t>
            </w:r>
            <w:r w:rsidRPr="00261891">
              <w:t>information, e.g. via a company website</w:t>
            </w:r>
            <w:r w:rsidR="00261891" w:rsidRPr="00261891">
              <w:t xml:space="preserve"> </w:t>
            </w:r>
            <w:r w:rsidRPr="00261891">
              <w:t>depending on country regulations</w:t>
            </w:r>
          </w:p>
        </w:tc>
      </w:tr>
      <w:tr w:rsidR="00436B75" w:rsidRPr="00261891" w:rsidTr="00BA430F">
        <w:tc>
          <w:tcPr>
            <w:tcW w:w="2798" w:type="dxa"/>
          </w:tcPr>
          <w:p w:rsidR="00436B75" w:rsidRPr="00261891" w:rsidRDefault="00436B75" w:rsidP="00BA430F">
            <w:pPr>
              <w:ind w:left="0" w:right="30"/>
            </w:pPr>
            <w:r w:rsidRPr="00261891">
              <w:t>Uterine perforation</w:t>
            </w:r>
          </w:p>
        </w:tc>
        <w:tc>
          <w:tcPr>
            <w:tcW w:w="2907" w:type="dxa"/>
          </w:tcPr>
          <w:p w:rsidR="00436B75" w:rsidRPr="00261891" w:rsidRDefault="00261891" w:rsidP="00BA430F">
            <w:pPr>
              <w:ind w:left="37" w:right="0"/>
            </w:pPr>
            <w:r w:rsidRPr="00261891">
              <w:t xml:space="preserve">European Active Surveillance Study for intra-uterine device </w:t>
            </w:r>
            <w:r>
              <w:t>(</w:t>
            </w:r>
            <w:r w:rsidR="00436B75" w:rsidRPr="00261891">
              <w:t>EURAS-IUD</w:t>
            </w:r>
            <w:r>
              <w:t>)</w:t>
            </w:r>
            <w:r w:rsidR="00436B75" w:rsidRPr="00261891">
              <w:t xml:space="preserve"> ongoing.</w:t>
            </w:r>
            <w:r w:rsidRPr="00261891">
              <w:t xml:space="preserve"> </w:t>
            </w:r>
            <w:r w:rsidR="00436B75" w:rsidRPr="00261891">
              <w:t>Targeted follow-up questionnaire.</w:t>
            </w:r>
          </w:p>
        </w:tc>
        <w:tc>
          <w:tcPr>
            <w:tcW w:w="2800" w:type="dxa"/>
          </w:tcPr>
          <w:p w:rsidR="00436B75" w:rsidRPr="00261891" w:rsidRDefault="00436B75" w:rsidP="00BA430F">
            <w:pPr>
              <w:ind w:left="0" w:right="0"/>
            </w:pPr>
            <w:r w:rsidRPr="00261891">
              <w:t>Routine</w:t>
            </w:r>
            <w:r w:rsidR="00261891" w:rsidRPr="00261891">
              <w:t>.</w:t>
            </w:r>
          </w:p>
          <w:p w:rsidR="00436B75" w:rsidRPr="00261891" w:rsidRDefault="00436B75" w:rsidP="00BA430F">
            <w:pPr>
              <w:ind w:left="0" w:right="0"/>
            </w:pPr>
            <w:r w:rsidRPr="00261891">
              <w:t>Additional:</w:t>
            </w:r>
            <w:r w:rsidR="00261891" w:rsidRPr="00261891">
              <w:t xml:space="preserve"> </w:t>
            </w:r>
            <w:r w:rsidRPr="00261891">
              <w:t>Communication measures directed to</w:t>
            </w:r>
            <w:r w:rsidR="00261891" w:rsidRPr="00261891">
              <w:t xml:space="preserve"> </w:t>
            </w:r>
            <w:r w:rsidRPr="00261891">
              <w:t>HCPs emphasizing correct insertion</w:t>
            </w:r>
            <w:r w:rsidR="00261891" w:rsidRPr="00261891">
              <w:t xml:space="preserve"> </w:t>
            </w:r>
            <w:r w:rsidRPr="00261891">
              <w:t>technique</w:t>
            </w:r>
          </w:p>
        </w:tc>
      </w:tr>
      <w:tr w:rsidR="00436B75" w:rsidRPr="00261891" w:rsidTr="00BA430F">
        <w:tc>
          <w:tcPr>
            <w:tcW w:w="2798" w:type="dxa"/>
          </w:tcPr>
          <w:p w:rsidR="00436B75" w:rsidRPr="00261891" w:rsidRDefault="00436B75" w:rsidP="00BA430F">
            <w:pPr>
              <w:ind w:left="0" w:right="30"/>
            </w:pPr>
            <w:r w:rsidRPr="00261891">
              <w:t>Unintended pregnancy with</w:t>
            </w:r>
            <w:r w:rsidR="00261891" w:rsidRPr="00261891">
              <w:t xml:space="preserve"> </w:t>
            </w:r>
            <w:r w:rsidRPr="00261891">
              <w:t>LCS</w:t>
            </w:r>
          </w:p>
        </w:tc>
        <w:tc>
          <w:tcPr>
            <w:tcW w:w="2907" w:type="dxa"/>
          </w:tcPr>
          <w:p w:rsidR="00436B75" w:rsidRPr="00261891" w:rsidRDefault="00436B75" w:rsidP="00BA430F">
            <w:pPr>
              <w:ind w:left="37" w:right="0"/>
            </w:pPr>
            <w:r w:rsidRPr="00261891">
              <w:t>Outcomes study. Study format</w:t>
            </w:r>
            <w:r w:rsidR="00261891" w:rsidRPr="00261891">
              <w:t xml:space="preserve"> </w:t>
            </w:r>
            <w:r w:rsidRPr="00261891">
              <w:t>under assessment.</w:t>
            </w:r>
          </w:p>
          <w:p w:rsidR="00436B75" w:rsidRPr="00261891" w:rsidRDefault="00436B75" w:rsidP="00BA430F">
            <w:pPr>
              <w:ind w:left="37" w:right="0"/>
            </w:pPr>
            <w:r w:rsidRPr="00261891">
              <w:lastRenderedPageBreak/>
              <w:t>Routine Pharmacovigilance</w:t>
            </w:r>
            <w:r w:rsidR="00261891" w:rsidRPr="00261891">
              <w:t xml:space="preserve"> </w:t>
            </w:r>
            <w:r w:rsidRPr="00261891">
              <w:t>including targeted follow-up of</w:t>
            </w:r>
            <w:r w:rsidR="00261891" w:rsidRPr="00261891">
              <w:t xml:space="preserve"> </w:t>
            </w:r>
            <w:r w:rsidRPr="00261891">
              <w:t>pregnancy outcomes.</w:t>
            </w:r>
            <w:r w:rsidR="00261891" w:rsidRPr="00261891">
              <w:t xml:space="preserve"> </w:t>
            </w:r>
            <w:r w:rsidRPr="00261891">
              <w:t>Cumulative</w:t>
            </w:r>
            <w:r w:rsidR="00261891" w:rsidRPr="00261891">
              <w:t xml:space="preserve"> </w:t>
            </w:r>
            <w:r w:rsidRPr="00261891">
              <w:t>presentation in PSURs.</w:t>
            </w:r>
          </w:p>
        </w:tc>
        <w:tc>
          <w:tcPr>
            <w:tcW w:w="2800" w:type="dxa"/>
          </w:tcPr>
          <w:p w:rsidR="00436B75" w:rsidRPr="00261891" w:rsidRDefault="00436B75" w:rsidP="00BA430F">
            <w:pPr>
              <w:ind w:left="0" w:right="0"/>
            </w:pPr>
            <w:r w:rsidRPr="00261891">
              <w:lastRenderedPageBreak/>
              <w:t>Routine</w:t>
            </w:r>
            <w:r w:rsidR="003A56D0">
              <w:t>.</w:t>
            </w:r>
          </w:p>
        </w:tc>
      </w:tr>
      <w:tr w:rsidR="00436B75" w:rsidRPr="00261891" w:rsidTr="00BA430F">
        <w:tc>
          <w:tcPr>
            <w:tcW w:w="2798" w:type="dxa"/>
          </w:tcPr>
          <w:p w:rsidR="00436B75" w:rsidRPr="00261891" w:rsidRDefault="00436B75" w:rsidP="00BA430F">
            <w:pPr>
              <w:ind w:left="0" w:right="30"/>
            </w:pPr>
            <w:r w:rsidRPr="00261891">
              <w:lastRenderedPageBreak/>
              <w:t>Ovarian cysts</w:t>
            </w:r>
          </w:p>
        </w:tc>
        <w:tc>
          <w:tcPr>
            <w:tcW w:w="2907" w:type="dxa"/>
          </w:tcPr>
          <w:p w:rsidR="00436B75" w:rsidRPr="00261891" w:rsidRDefault="00436B75" w:rsidP="00BA430F">
            <w:pPr>
              <w:ind w:left="37" w:right="0"/>
            </w:pPr>
            <w:r w:rsidRPr="00261891">
              <w:t>Routine Pharmacovigilance.</w:t>
            </w:r>
          </w:p>
        </w:tc>
        <w:tc>
          <w:tcPr>
            <w:tcW w:w="2800" w:type="dxa"/>
          </w:tcPr>
          <w:p w:rsidR="00436B75" w:rsidRPr="00261891" w:rsidRDefault="00261891" w:rsidP="00BA430F">
            <w:pPr>
              <w:ind w:left="0" w:right="0"/>
            </w:pPr>
            <w:r w:rsidRPr="00261891">
              <w:t>Routine.</w:t>
            </w:r>
          </w:p>
        </w:tc>
      </w:tr>
      <w:tr w:rsidR="00436B75" w:rsidRPr="00261891" w:rsidTr="00BA430F">
        <w:tc>
          <w:tcPr>
            <w:tcW w:w="2798" w:type="dxa"/>
          </w:tcPr>
          <w:p w:rsidR="00436B75" w:rsidRPr="00261891" w:rsidRDefault="00436B75" w:rsidP="00BA430F">
            <w:pPr>
              <w:ind w:left="0" w:right="30"/>
            </w:pPr>
            <w:r w:rsidRPr="00261891">
              <w:t>Expulsion</w:t>
            </w:r>
          </w:p>
        </w:tc>
        <w:tc>
          <w:tcPr>
            <w:tcW w:w="2907" w:type="dxa"/>
          </w:tcPr>
          <w:p w:rsidR="00436B75" w:rsidRPr="00261891" w:rsidRDefault="00261891" w:rsidP="00BA430F">
            <w:pPr>
              <w:ind w:left="37" w:right="0"/>
            </w:pPr>
            <w:r w:rsidRPr="00261891">
              <w:t>Routine Pharmacovigilance.</w:t>
            </w:r>
          </w:p>
        </w:tc>
        <w:tc>
          <w:tcPr>
            <w:tcW w:w="2800" w:type="dxa"/>
          </w:tcPr>
          <w:p w:rsidR="00436B75" w:rsidRPr="00261891" w:rsidRDefault="00261891" w:rsidP="00BA430F">
            <w:pPr>
              <w:ind w:left="0" w:right="0"/>
            </w:pPr>
            <w:r w:rsidRPr="00261891">
              <w:t>Routine.</w:t>
            </w:r>
          </w:p>
        </w:tc>
      </w:tr>
      <w:tr w:rsidR="00436B75" w:rsidRPr="00261891" w:rsidTr="00BA430F">
        <w:tc>
          <w:tcPr>
            <w:tcW w:w="2798" w:type="dxa"/>
          </w:tcPr>
          <w:p w:rsidR="00436B75" w:rsidRPr="00261891" w:rsidRDefault="00436B75" w:rsidP="00BA430F">
            <w:pPr>
              <w:ind w:left="0" w:right="30"/>
            </w:pPr>
            <w:r w:rsidRPr="00261891">
              <w:t>Bleeding changes</w:t>
            </w:r>
          </w:p>
        </w:tc>
        <w:tc>
          <w:tcPr>
            <w:tcW w:w="2907" w:type="dxa"/>
          </w:tcPr>
          <w:p w:rsidR="00436B75" w:rsidRPr="00261891" w:rsidRDefault="00261891" w:rsidP="00BA430F">
            <w:pPr>
              <w:ind w:left="37" w:right="0"/>
            </w:pPr>
            <w:r w:rsidRPr="00261891">
              <w:t>Routine Pharmacovigilance.</w:t>
            </w:r>
          </w:p>
        </w:tc>
        <w:tc>
          <w:tcPr>
            <w:tcW w:w="2800" w:type="dxa"/>
          </w:tcPr>
          <w:p w:rsidR="00436B75" w:rsidRPr="00261891" w:rsidRDefault="00261891" w:rsidP="00BA430F">
            <w:pPr>
              <w:ind w:left="0" w:right="0"/>
            </w:pPr>
            <w:r w:rsidRPr="00261891">
              <w:t>Routine.</w:t>
            </w:r>
          </w:p>
        </w:tc>
      </w:tr>
      <w:tr w:rsidR="00436B75" w:rsidRPr="00261891" w:rsidTr="00BA430F">
        <w:tc>
          <w:tcPr>
            <w:tcW w:w="8505" w:type="dxa"/>
            <w:gridSpan w:val="3"/>
          </w:tcPr>
          <w:p w:rsidR="00436B75" w:rsidRPr="00BA430F" w:rsidRDefault="00436B75" w:rsidP="00BA430F">
            <w:pPr>
              <w:ind w:left="0" w:right="0"/>
              <w:rPr>
                <w:b/>
                <w:bCs/>
              </w:rPr>
            </w:pPr>
            <w:r w:rsidRPr="00BA430F">
              <w:rPr>
                <w:b/>
                <w:bCs/>
              </w:rPr>
              <w:t>Important potential risks</w:t>
            </w:r>
          </w:p>
        </w:tc>
      </w:tr>
      <w:tr w:rsidR="00436B75" w:rsidRPr="00261891" w:rsidTr="00BA430F">
        <w:tc>
          <w:tcPr>
            <w:tcW w:w="2798" w:type="dxa"/>
          </w:tcPr>
          <w:p w:rsidR="00436B75" w:rsidRPr="00261891" w:rsidRDefault="00436B75" w:rsidP="00BA430F">
            <w:pPr>
              <w:ind w:left="0" w:right="30"/>
            </w:pPr>
            <w:r w:rsidRPr="00261891">
              <w:t>Potential for medication error</w:t>
            </w:r>
          </w:p>
        </w:tc>
        <w:tc>
          <w:tcPr>
            <w:tcW w:w="2907" w:type="dxa"/>
          </w:tcPr>
          <w:p w:rsidR="00436B75" w:rsidRPr="00261891" w:rsidRDefault="00261891" w:rsidP="00BA430F">
            <w:pPr>
              <w:ind w:left="37" w:right="0"/>
            </w:pPr>
            <w:r w:rsidRPr="00261891">
              <w:t>Routine Pharmacovigilance with presentation of cases of medication error in the PSURs.</w:t>
            </w:r>
          </w:p>
        </w:tc>
        <w:tc>
          <w:tcPr>
            <w:tcW w:w="2800" w:type="dxa"/>
          </w:tcPr>
          <w:p w:rsidR="00261891" w:rsidRPr="00261891" w:rsidRDefault="00261891" w:rsidP="00BA430F">
            <w:pPr>
              <w:ind w:left="0" w:right="0"/>
            </w:pPr>
            <w:r w:rsidRPr="00261891">
              <w:t>Routine.</w:t>
            </w:r>
          </w:p>
          <w:p w:rsidR="00436B75" w:rsidRPr="00261891" w:rsidRDefault="00261891" w:rsidP="00BA430F">
            <w:pPr>
              <w:ind w:left="0" w:right="0"/>
            </w:pPr>
            <w:r w:rsidRPr="00261891">
              <w:t>Additional: Communication measures to highlight differentiation of IUS via ultrasound; and</w:t>
            </w:r>
            <w:r w:rsidR="004251D5">
              <w:t xml:space="preserve"> </w:t>
            </w:r>
            <w:r w:rsidRPr="00261891">
              <w:t>Patient cards</w:t>
            </w:r>
          </w:p>
        </w:tc>
      </w:tr>
      <w:tr w:rsidR="00436B75" w:rsidRPr="00261891" w:rsidTr="00BA430F">
        <w:tc>
          <w:tcPr>
            <w:tcW w:w="2798" w:type="dxa"/>
          </w:tcPr>
          <w:p w:rsidR="00436B75" w:rsidRPr="00261891" w:rsidRDefault="00436B75" w:rsidP="00BA430F">
            <w:pPr>
              <w:ind w:left="0" w:right="30"/>
            </w:pPr>
            <w:r w:rsidRPr="00261891">
              <w:t>Potential for off-label use in indications other than contraception</w:t>
            </w:r>
          </w:p>
        </w:tc>
        <w:tc>
          <w:tcPr>
            <w:tcW w:w="2907" w:type="dxa"/>
          </w:tcPr>
          <w:p w:rsidR="00436B75" w:rsidRPr="00261891" w:rsidRDefault="00436B75" w:rsidP="00BA430F">
            <w:pPr>
              <w:ind w:left="37" w:right="0"/>
            </w:pPr>
            <w:r w:rsidRPr="00261891">
              <w:t>Database drug utilization study.</w:t>
            </w:r>
          </w:p>
        </w:tc>
        <w:tc>
          <w:tcPr>
            <w:tcW w:w="2800" w:type="dxa"/>
          </w:tcPr>
          <w:p w:rsidR="00261891" w:rsidRPr="00261891" w:rsidRDefault="00261891" w:rsidP="00BA430F">
            <w:pPr>
              <w:ind w:left="0" w:right="0"/>
            </w:pPr>
            <w:r w:rsidRPr="00261891">
              <w:t xml:space="preserve">Routine. </w:t>
            </w:r>
          </w:p>
          <w:p w:rsidR="00436B75" w:rsidRPr="00261891" w:rsidRDefault="00436B75" w:rsidP="00BA430F">
            <w:pPr>
              <w:ind w:left="0" w:right="0"/>
            </w:pPr>
          </w:p>
        </w:tc>
      </w:tr>
      <w:tr w:rsidR="00261891" w:rsidRPr="00261891" w:rsidTr="00BA430F">
        <w:tc>
          <w:tcPr>
            <w:tcW w:w="2798" w:type="dxa"/>
          </w:tcPr>
          <w:p w:rsidR="00261891" w:rsidRPr="00261891" w:rsidRDefault="00261891" w:rsidP="00BA430F">
            <w:pPr>
              <w:ind w:left="0" w:right="30"/>
            </w:pPr>
            <w:r w:rsidRPr="00261891">
              <w:t>Potential of use beyond approved duration of use</w:t>
            </w:r>
          </w:p>
        </w:tc>
        <w:tc>
          <w:tcPr>
            <w:tcW w:w="2907" w:type="dxa"/>
          </w:tcPr>
          <w:p w:rsidR="00261891" w:rsidRPr="00261891" w:rsidRDefault="00261891" w:rsidP="00BA430F">
            <w:pPr>
              <w:ind w:left="37" w:right="0"/>
            </w:pPr>
            <w:r w:rsidRPr="00261891">
              <w:t>Database drug utilization study.</w:t>
            </w:r>
          </w:p>
        </w:tc>
        <w:tc>
          <w:tcPr>
            <w:tcW w:w="2800" w:type="dxa"/>
          </w:tcPr>
          <w:p w:rsidR="00261891" w:rsidRPr="00261891" w:rsidRDefault="00261891" w:rsidP="00BA430F">
            <w:pPr>
              <w:ind w:left="0" w:right="0"/>
            </w:pPr>
            <w:r w:rsidRPr="00261891">
              <w:t>Routine:</w:t>
            </w:r>
          </w:p>
          <w:p w:rsidR="00261891" w:rsidRPr="00261891" w:rsidRDefault="00261891" w:rsidP="00BA430F">
            <w:pPr>
              <w:ind w:left="0" w:right="0"/>
            </w:pPr>
          </w:p>
        </w:tc>
      </w:tr>
      <w:tr w:rsidR="00261891" w:rsidRPr="00261891" w:rsidTr="00BA430F">
        <w:tc>
          <w:tcPr>
            <w:tcW w:w="8505" w:type="dxa"/>
            <w:gridSpan w:val="3"/>
          </w:tcPr>
          <w:p w:rsidR="00261891" w:rsidRPr="00BA430F" w:rsidRDefault="00261891" w:rsidP="00BA430F">
            <w:pPr>
              <w:ind w:left="0" w:right="0"/>
              <w:rPr>
                <w:b/>
              </w:rPr>
            </w:pPr>
            <w:r w:rsidRPr="00BA430F">
              <w:rPr>
                <w:b/>
                <w:bCs/>
              </w:rPr>
              <w:t>Important missing information</w:t>
            </w:r>
          </w:p>
        </w:tc>
      </w:tr>
      <w:tr w:rsidR="00261891" w:rsidRPr="00261891" w:rsidTr="00BA430F">
        <w:tc>
          <w:tcPr>
            <w:tcW w:w="2798" w:type="dxa"/>
          </w:tcPr>
          <w:p w:rsidR="00261891" w:rsidRPr="00261891" w:rsidRDefault="00261891" w:rsidP="00BA430F">
            <w:pPr>
              <w:ind w:left="0" w:right="30"/>
            </w:pPr>
            <w:proofErr w:type="spellStart"/>
            <w:r w:rsidRPr="00261891">
              <w:t>Pediatric</w:t>
            </w:r>
            <w:proofErr w:type="spellEnd"/>
            <w:r w:rsidRPr="00261891">
              <w:t xml:space="preserve"> use/use in the adolescent population</w:t>
            </w:r>
          </w:p>
        </w:tc>
        <w:tc>
          <w:tcPr>
            <w:tcW w:w="2907" w:type="dxa"/>
          </w:tcPr>
          <w:p w:rsidR="00261891" w:rsidRPr="00261891" w:rsidRDefault="00261891" w:rsidP="00BA430F">
            <w:pPr>
              <w:ind w:left="37" w:right="0"/>
            </w:pPr>
            <w:proofErr w:type="spellStart"/>
            <w:r w:rsidRPr="00261891">
              <w:t>Pediatric</w:t>
            </w:r>
            <w:proofErr w:type="spellEnd"/>
            <w:r w:rsidRPr="00261891">
              <w:t xml:space="preserve"> Investigational Plan: Adolescent study.</w:t>
            </w:r>
          </w:p>
        </w:tc>
        <w:tc>
          <w:tcPr>
            <w:tcW w:w="2800" w:type="dxa"/>
          </w:tcPr>
          <w:p w:rsidR="00261891" w:rsidRPr="00261891" w:rsidRDefault="00261891" w:rsidP="00BA430F">
            <w:pPr>
              <w:ind w:left="0" w:right="0"/>
            </w:pPr>
            <w:r w:rsidRPr="00261891">
              <w:t>Routine</w:t>
            </w:r>
          </w:p>
        </w:tc>
      </w:tr>
      <w:tr w:rsidR="00261891" w:rsidRPr="00261891" w:rsidTr="00BA430F">
        <w:tc>
          <w:tcPr>
            <w:tcW w:w="2798" w:type="dxa"/>
          </w:tcPr>
          <w:p w:rsidR="00261891" w:rsidRPr="00261891" w:rsidRDefault="00261891" w:rsidP="003A56D0">
            <w:pPr>
              <w:ind w:left="0" w:right="30"/>
            </w:pPr>
            <w:r w:rsidRPr="00261891">
              <w:t>Return to fertility after</w:t>
            </w:r>
            <w:r w:rsidR="003A56D0">
              <w:t xml:space="preserve"> </w:t>
            </w:r>
            <w:r w:rsidRPr="00261891">
              <w:t>removal of LCS</w:t>
            </w:r>
          </w:p>
        </w:tc>
        <w:tc>
          <w:tcPr>
            <w:tcW w:w="2907" w:type="dxa"/>
          </w:tcPr>
          <w:p w:rsidR="00261891" w:rsidRPr="00261891" w:rsidRDefault="00261891" w:rsidP="00BA430F">
            <w:pPr>
              <w:ind w:left="37" w:right="0"/>
            </w:pPr>
            <w:r w:rsidRPr="00261891">
              <w:t>Data collection of study participants discontinuing the method for wish of pregnancy.</w:t>
            </w:r>
          </w:p>
        </w:tc>
        <w:tc>
          <w:tcPr>
            <w:tcW w:w="2800" w:type="dxa"/>
          </w:tcPr>
          <w:p w:rsidR="00261891" w:rsidRPr="00261891" w:rsidRDefault="00261891" w:rsidP="00BA430F">
            <w:pPr>
              <w:ind w:left="0" w:right="0"/>
            </w:pPr>
            <w:r w:rsidRPr="00261891">
              <w:t>Routine</w:t>
            </w:r>
          </w:p>
        </w:tc>
      </w:tr>
    </w:tbl>
    <w:p w:rsidR="00DA6B17" w:rsidRPr="007656FC" w:rsidRDefault="00DA6B17" w:rsidP="003A56D0">
      <w:pPr>
        <w:pStyle w:val="Heading4"/>
      </w:pPr>
      <w:bookmarkStart w:id="245" w:name="_Toc349817463"/>
      <w:r w:rsidRPr="007656FC">
        <w:t>Summary of first round recommendations</w:t>
      </w:r>
      <w:bookmarkEnd w:id="245"/>
    </w:p>
    <w:p w:rsidR="00DA6B17" w:rsidRPr="007656FC" w:rsidRDefault="00DA6B17" w:rsidP="00A93E4B">
      <w:r w:rsidRPr="007656FC">
        <w:t>The OPR provides these recommendations in the context that the submitted RMP is supportive to the application; the implementation of a RMP satisfactory to the TGA is imposed as a condition of registration; the submitted EU-RMP is applicable without modification in Australia unless so qualified; and the draft product information and consumer medicine information documents should not be revised until the Delega</w:t>
      </w:r>
      <w:r w:rsidR="00A93E4B">
        <w:t>tes Overview has been received:</w:t>
      </w:r>
    </w:p>
    <w:p w:rsidR="00DA6B17" w:rsidRPr="007656FC" w:rsidRDefault="00DA6B17" w:rsidP="00A93E4B">
      <w:pPr>
        <w:pStyle w:val="ListBullet"/>
      </w:pPr>
      <w:r w:rsidRPr="007656FC">
        <w:lastRenderedPageBreak/>
        <w:t xml:space="preserve">Safety considerations </w:t>
      </w:r>
      <w:r w:rsidRPr="00A93E4B">
        <w:t>may</w:t>
      </w:r>
      <w:r w:rsidRPr="007656FC">
        <w:t xml:space="preserve"> be raised by the nonclinical and clinical evaluators through the consolidated TGA request for further information and/or the nonclinical and clinical evaluation reports respectively. It is important to ensure that the information provided in response to these </w:t>
      </w:r>
      <w:r w:rsidR="00D82998">
        <w:t xml:space="preserve">concerns </w:t>
      </w:r>
      <w:proofErr w:type="gramStart"/>
      <w:r w:rsidRPr="007656FC">
        <w:t>include</w:t>
      </w:r>
      <w:proofErr w:type="gramEnd"/>
      <w:r w:rsidRPr="007656FC">
        <w:t xml:space="preserve"> a consideration of the relevance for the RMP, and any specific information needed to address this issue in the RMP. For any safety considerations so raised, the sponsor should provide information that is relevant and necessary to address the issue in the RMP.</w:t>
      </w:r>
    </w:p>
    <w:p w:rsidR="00DA6B17" w:rsidRPr="007656FC" w:rsidRDefault="00DA6B17" w:rsidP="00A93E4B">
      <w:pPr>
        <w:pStyle w:val="ListBullet"/>
      </w:pPr>
      <w:r w:rsidRPr="007656FC">
        <w:t xml:space="preserve">The sponsor should </w:t>
      </w:r>
      <w:r w:rsidRPr="00A93E4B">
        <w:t>definitively</w:t>
      </w:r>
      <w:r w:rsidRPr="007656FC">
        <w:t xml:space="preserve"> state how the targeted follow-up of pregnancy outcomes is to be conducted.</w:t>
      </w:r>
    </w:p>
    <w:p w:rsidR="00DA6B17" w:rsidRPr="007656FC" w:rsidRDefault="00DA6B17" w:rsidP="00A93E4B">
      <w:pPr>
        <w:pStyle w:val="ListBullet"/>
      </w:pPr>
      <w:r w:rsidRPr="007656FC">
        <w:t>The sponsor should state when the draft protocol for studies proposed to further monitor the important identified risks: ‘Pelvic inflammatory disease’, ‘Ectopic pregnancy’ &amp; ‘Unintended pregnancy with LCS’ is</w:t>
      </w:r>
      <w:r w:rsidR="00A93E4B">
        <w:t xml:space="preserve"> expected to become available.</w:t>
      </w:r>
    </w:p>
    <w:p w:rsidR="00DA6B17" w:rsidRPr="007656FC" w:rsidRDefault="00DA6B17" w:rsidP="00A93E4B">
      <w:pPr>
        <w:pStyle w:val="ListBullet"/>
      </w:pPr>
      <w:r w:rsidRPr="007656FC">
        <w:t xml:space="preserve">The sponsor should </w:t>
      </w:r>
      <w:r w:rsidRPr="00A93E4B">
        <w:t>provide</w:t>
      </w:r>
      <w:r w:rsidRPr="007656FC">
        <w:t xml:space="preserve"> the final protocols of other post marketing studies to the TGA for r</w:t>
      </w:r>
      <w:r w:rsidR="00634D11" w:rsidRPr="007656FC">
        <w:t>eview as</w:t>
      </w:r>
      <w:r w:rsidR="00A93E4B">
        <w:t xml:space="preserve"> they have become available.</w:t>
      </w:r>
    </w:p>
    <w:p w:rsidR="00DA6B17" w:rsidRPr="007656FC" w:rsidRDefault="00DA6B17" w:rsidP="00A93E4B">
      <w:pPr>
        <w:pStyle w:val="ListBullet"/>
        <w:numPr>
          <w:ilvl w:val="0"/>
          <w:numId w:val="0"/>
        </w:numPr>
        <w:ind w:left="360"/>
      </w:pPr>
      <w:r w:rsidRPr="007656FC">
        <w:t xml:space="preserve">An update on the progress/results/analysis of </w:t>
      </w:r>
      <w:r w:rsidR="00634D11" w:rsidRPr="007656FC">
        <w:t>study/s</w:t>
      </w:r>
      <w:r w:rsidRPr="007656FC">
        <w:t>, as outlined in the EU-RMP, will be expected in future PSURs and RMP updates.</w:t>
      </w:r>
    </w:p>
    <w:p w:rsidR="00DA6B17" w:rsidRPr="007656FC" w:rsidRDefault="00DA6B17" w:rsidP="00A93E4B">
      <w:pPr>
        <w:pStyle w:val="ListBullet"/>
      </w:pPr>
      <w:r w:rsidRPr="007656FC">
        <w:t>The Australian sponsor has provided no detail about the additional risk minimisation activities (</w:t>
      </w:r>
      <w:r w:rsidR="00634D11" w:rsidRPr="007656FC">
        <w:t xml:space="preserve">such as </w:t>
      </w:r>
      <w:r w:rsidRPr="007656FC">
        <w:t>communication measures to HCPs, increasing patient accessibility to patient information, patient cards) to be undertaken in Australia in the ASA. Consequently the sponsor should definitively state what communication tools will be used in Australia and detail how these tools will be dist</w:t>
      </w:r>
      <w:r w:rsidR="00A93E4B">
        <w:t>ributed to the target audience.</w:t>
      </w:r>
    </w:p>
    <w:p w:rsidR="00DA6B17" w:rsidRPr="007656FC" w:rsidRDefault="00DA6B17" w:rsidP="00A93E4B">
      <w:pPr>
        <w:pStyle w:val="ListBullet"/>
      </w:pPr>
      <w:r w:rsidRPr="007656FC">
        <w:t xml:space="preserve">In regard to the final approved EU-RMP, the sponsor should advise the TGA if there </w:t>
      </w:r>
      <w:r w:rsidRPr="00A93E4B">
        <w:t>are</w:t>
      </w:r>
      <w:r w:rsidRPr="007656FC">
        <w:t xml:space="preserve"> any material differences compared to Australian specific risk minimisation activities. In the event of there being such material differences, the sponsor should justify why any such material differences have not been adopted in Australia.</w:t>
      </w:r>
    </w:p>
    <w:p w:rsidR="00DA6B17" w:rsidRPr="007656FC" w:rsidRDefault="00DA6B17" w:rsidP="00A93E4B">
      <w:pPr>
        <w:pStyle w:val="ListBullet"/>
      </w:pPr>
      <w:r w:rsidRPr="007656FC">
        <w:t xml:space="preserve">In regard to the proposed routine risk minimisation activities, the draft </w:t>
      </w:r>
      <w:r w:rsidR="00634D11" w:rsidRPr="007656FC">
        <w:t xml:space="preserve">PI </w:t>
      </w:r>
      <w:r w:rsidRPr="007656FC">
        <w:t xml:space="preserve">document </w:t>
      </w:r>
      <w:r w:rsidRPr="00A93E4B">
        <w:t>is</w:t>
      </w:r>
      <w:r w:rsidRPr="007656FC">
        <w:t xml:space="preserve"> considered satisfactory.</w:t>
      </w:r>
    </w:p>
    <w:p w:rsidR="00DA6B17" w:rsidRPr="007656FC" w:rsidRDefault="00DA6B17" w:rsidP="00A93E4B">
      <w:pPr>
        <w:pStyle w:val="ListBullet"/>
      </w:pPr>
      <w:r w:rsidRPr="007656FC">
        <w:t xml:space="preserve">In regard to the proposed routine risk minimisation activities, the draft </w:t>
      </w:r>
      <w:r w:rsidR="00634D11" w:rsidRPr="007656FC">
        <w:t xml:space="preserve">CMI </w:t>
      </w:r>
      <w:r w:rsidRPr="007656FC">
        <w:t>is considered satisfactory.</w:t>
      </w:r>
    </w:p>
    <w:p w:rsidR="00723EEB" w:rsidRPr="00A93E4B" w:rsidRDefault="00723EEB" w:rsidP="00A93E4B">
      <w:pPr>
        <w:pStyle w:val="Heading4"/>
      </w:pPr>
      <w:r w:rsidRPr="00723EEB">
        <w:rPr>
          <w:lang w:eastAsia="en-AU"/>
        </w:rPr>
        <w:t>Advice from the Advisory Committee on the Safety of Medicines (ACSOM)</w:t>
      </w:r>
    </w:p>
    <w:p w:rsidR="00723EEB" w:rsidRPr="00723EEB" w:rsidRDefault="00723EEB" w:rsidP="00A93E4B">
      <w:pPr>
        <w:rPr>
          <w:lang w:eastAsia="en-AU"/>
        </w:rPr>
      </w:pPr>
      <w:r w:rsidRPr="00723EEB">
        <w:rPr>
          <w:lang w:eastAsia="en-AU"/>
        </w:rPr>
        <w:t xml:space="preserve">ACSOM advice was </w:t>
      </w:r>
      <w:r w:rsidR="001F147F">
        <w:rPr>
          <w:lang w:eastAsia="en-AU"/>
        </w:rPr>
        <w:t xml:space="preserve">not </w:t>
      </w:r>
      <w:r w:rsidRPr="00723EEB">
        <w:rPr>
          <w:lang w:eastAsia="en-AU"/>
        </w:rPr>
        <w:t>sought for this submission.</w:t>
      </w:r>
    </w:p>
    <w:p w:rsidR="00634D11" w:rsidRPr="00A93E4B" w:rsidRDefault="00634D11" w:rsidP="00A93E4B">
      <w:pPr>
        <w:pStyle w:val="Heading4"/>
      </w:pPr>
      <w:r w:rsidRPr="007656FC">
        <w:rPr>
          <w:lang w:eastAsia="en-AU"/>
        </w:rPr>
        <w:t>Second round evaluation</w:t>
      </w:r>
    </w:p>
    <w:p w:rsidR="00984CDE" w:rsidRPr="009229DA" w:rsidRDefault="00984CDE" w:rsidP="00A93E4B">
      <w:r w:rsidRPr="009229DA">
        <w:t xml:space="preserve">Sponsor responses to the above recommendations were acceptable except as noted below under </w:t>
      </w:r>
      <w:proofErr w:type="gramStart"/>
      <w:r w:rsidR="00DC5C6F" w:rsidRPr="009229DA">
        <w:rPr>
          <w:i/>
          <w:iCs/>
        </w:rPr>
        <w:t>Outstanding</w:t>
      </w:r>
      <w:proofErr w:type="gramEnd"/>
      <w:r w:rsidR="00DC5C6F" w:rsidRPr="009229DA">
        <w:rPr>
          <w:i/>
          <w:iCs/>
        </w:rPr>
        <w:t xml:space="preserve"> </w:t>
      </w:r>
      <w:r w:rsidRPr="009229DA">
        <w:rPr>
          <w:i/>
          <w:iCs/>
        </w:rPr>
        <w:t>i</w:t>
      </w:r>
      <w:r w:rsidR="00DC5C6F" w:rsidRPr="009229DA">
        <w:rPr>
          <w:i/>
          <w:iCs/>
        </w:rPr>
        <w:t>ssues</w:t>
      </w:r>
      <w:r w:rsidRPr="009229DA">
        <w:t>.</w:t>
      </w:r>
    </w:p>
    <w:p w:rsidR="009229DA" w:rsidRDefault="00984CDE" w:rsidP="00A93E4B">
      <w:r w:rsidRPr="009229DA">
        <w:t>T</w:t>
      </w:r>
      <w:r w:rsidR="00DC5C6F" w:rsidRPr="009229DA">
        <w:t xml:space="preserve">he sponsor provided an updated EU–RMP (Version: 1.3, dated 28 November 2012) with an ASA </w:t>
      </w:r>
      <w:r w:rsidR="00A93E4B">
        <w:t>(Version: 2, dated March 2013).</w:t>
      </w:r>
    </w:p>
    <w:p w:rsidR="00277E7F" w:rsidRPr="00A93E4B" w:rsidRDefault="00277E7F" w:rsidP="00A93E4B">
      <w:pPr>
        <w:pStyle w:val="Heading5"/>
      </w:pPr>
      <w:r w:rsidRPr="009229DA">
        <w:t>Outstanding issues</w:t>
      </w:r>
    </w:p>
    <w:p w:rsidR="00277E7F" w:rsidRPr="00277E7F" w:rsidRDefault="00277E7F" w:rsidP="00A93E4B">
      <w:r w:rsidRPr="009229DA">
        <w:t>The sponsor should rework the Risk Minimisation Plan in the ASA to the sati</w:t>
      </w:r>
      <w:r w:rsidRPr="00277E7F">
        <w:t>sfaction of the TGA, taking into account the significant changes to the Risk Minimisation Plan of the EU-RMP from Version: 1.1 to Version: 1.3, preferably before this application is approved.</w:t>
      </w:r>
    </w:p>
    <w:p w:rsidR="00723EEB" w:rsidRPr="00723EEB" w:rsidRDefault="00723EEB" w:rsidP="00A93E4B">
      <w:pPr>
        <w:pStyle w:val="Heading4"/>
        <w:rPr>
          <w:lang w:eastAsia="en-AU"/>
        </w:rPr>
      </w:pPr>
      <w:r>
        <w:rPr>
          <w:lang w:eastAsia="en-AU"/>
        </w:rPr>
        <w:t xml:space="preserve">Final </w:t>
      </w:r>
      <w:r w:rsidRPr="00A93E4B">
        <w:t>recommendation</w:t>
      </w:r>
    </w:p>
    <w:p w:rsidR="00723EEB" w:rsidRPr="00723EEB" w:rsidRDefault="00723EEB" w:rsidP="00A93E4B">
      <w:pPr>
        <w:rPr>
          <w:lang w:eastAsia="en-AU"/>
        </w:rPr>
      </w:pPr>
      <w:r w:rsidRPr="00723EEB">
        <w:rPr>
          <w:lang w:eastAsia="en-AU"/>
        </w:rPr>
        <w:t>I</w:t>
      </w:r>
      <w:r w:rsidR="008E5851">
        <w:rPr>
          <w:lang w:eastAsia="en-AU"/>
        </w:rPr>
        <w:t>n the event of approval</w:t>
      </w:r>
      <w:r w:rsidRPr="00723EEB">
        <w:rPr>
          <w:lang w:eastAsia="en-AU"/>
        </w:rPr>
        <w:t>, the</w:t>
      </w:r>
      <w:r w:rsidR="00A93E4B">
        <w:rPr>
          <w:lang w:eastAsia="en-AU"/>
        </w:rPr>
        <w:t xml:space="preserve"> OPR recommended the following:</w:t>
      </w:r>
    </w:p>
    <w:p w:rsidR="00723EEB" w:rsidRPr="00723EEB" w:rsidRDefault="00723EEB" w:rsidP="00A93E4B">
      <w:pPr>
        <w:pStyle w:val="ListBullet"/>
        <w:rPr>
          <w:lang w:eastAsia="en-AU"/>
        </w:rPr>
      </w:pPr>
      <w:r w:rsidRPr="00723EEB">
        <w:rPr>
          <w:lang w:eastAsia="en-AU"/>
        </w:rPr>
        <w:lastRenderedPageBreak/>
        <w:t xml:space="preserve">The EU Risk Management Plan (Version: 1.3, dated 28 </w:t>
      </w:r>
      <w:r w:rsidRPr="00A93E4B">
        <w:t>November</w:t>
      </w:r>
      <w:r w:rsidRPr="00723EEB">
        <w:rPr>
          <w:lang w:eastAsia="en-AU"/>
        </w:rPr>
        <w:t xml:space="preserve"> 2012) with an Australian Specific Annex (Version: 2, dated March 2013), to be revised as specified in the sponsor’s correspondence dated 26 March 2013 with an amended Australian Risk Minimisation Plan agreed to by the TGA, must be implemented.</w:t>
      </w:r>
    </w:p>
    <w:p w:rsidR="008E7846" w:rsidRPr="00792A32" w:rsidRDefault="008E7846" w:rsidP="00A93E4B">
      <w:pPr>
        <w:pStyle w:val="Heading2"/>
      </w:pPr>
      <w:bookmarkStart w:id="246" w:name="_Toc247691527"/>
      <w:bookmarkStart w:id="247" w:name="_Toc314842510"/>
      <w:bookmarkStart w:id="248" w:name="_Toc38056828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239"/>
      <w:bookmarkEnd w:id="246"/>
      <w:bookmarkEnd w:id="247"/>
      <w:bookmarkEnd w:id="248"/>
    </w:p>
    <w:p w:rsidR="008E7846" w:rsidRDefault="008E7846" w:rsidP="00A93E4B">
      <w:bookmarkStart w:id="249" w:name="_Toc247691528"/>
      <w:r>
        <w:t xml:space="preserve">The submission was summarised in the following </w:t>
      </w:r>
      <w:r w:rsidRPr="00EF5C48">
        <w:t xml:space="preserve">Delegate’s </w:t>
      </w:r>
      <w:r>
        <w:t>overview</w:t>
      </w:r>
      <w:r w:rsidRPr="00EF5C48">
        <w:t xml:space="preserve"> and recommendation</w:t>
      </w:r>
      <w:r>
        <w:t>s:</w:t>
      </w:r>
    </w:p>
    <w:p w:rsidR="00EA6945" w:rsidRPr="00A93E4B" w:rsidRDefault="00EA6945" w:rsidP="00A93E4B">
      <w:pPr>
        <w:pStyle w:val="Heading3"/>
      </w:pPr>
      <w:bookmarkStart w:id="250" w:name="_Toc380568284"/>
      <w:r w:rsidRPr="004C3DF2">
        <w:t>Background</w:t>
      </w:r>
      <w:bookmarkEnd w:id="250"/>
    </w:p>
    <w:p w:rsidR="00EA6945" w:rsidRPr="004C3DF2" w:rsidRDefault="00EA6945" w:rsidP="00A93E4B">
      <w:r w:rsidRPr="004C3DF2">
        <w:t>Th</w:t>
      </w:r>
      <w:r w:rsidR="00B90593">
        <w:t xml:space="preserve">is is a submission to register </w:t>
      </w:r>
      <w:r w:rsidRPr="004C3DF2">
        <w:t>J</w:t>
      </w:r>
      <w:r w:rsidR="00B90593">
        <w:t>aydess</w:t>
      </w:r>
      <w:r w:rsidRPr="004C3DF2">
        <w:t>, an IUS containing 13.5</w:t>
      </w:r>
      <w:r w:rsidR="00B90593">
        <w:t xml:space="preserve"> </w:t>
      </w:r>
      <w:r w:rsidRPr="004C3DF2">
        <w:t xml:space="preserve">mg levonorgestrel. </w:t>
      </w:r>
      <w:r w:rsidR="00B90593" w:rsidRPr="00B90593">
        <w:t>Jaydess</w:t>
      </w:r>
      <w:r w:rsidRPr="004C3DF2">
        <w:t xml:space="preserve"> was designated ‘LCS12’ during development (indicating an expected release rate of 12</w:t>
      </w:r>
      <w:r w:rsidR="00C92674">
        <w:t> </w:t>
      </w:r>
      <w:r w:rsidRPr="004C3DF2">
        <w:t>μg/day; ‘LCS16’ was a similar product with an expected release rate of 16</w:t>
      </w:r>
      <w:r w:rsidR="009F38E1">
        <w:t xml:space="preserve"> </w:t>
      </w:r>
      <w:r w:rsidRPr="004C3DF2">
        <w:t xml:space="preserve">μg/day). </w:t>
      </w:r>
      <w:r w:rsidR="00C92674">
        <w:t xml:space="preserve">Jaydess </w:t>
      </w:r>
      <w:r w:rsidRPr="004C3DF2">
        <w:t>is a new strength (13.5</w:t>
      </w:r>
      <w:r w:rsidR="00B90593">
        <w:t xml:space="preserve"> </w:t>
      </w:r>
      <w:r w:rsidRPr="004C3DF2">
        <w:t>mg) compared to the registered product ‘</w:t>
      </w:r>
      <w:r w:rsidR="00B90593">
        <w:t>Mirena</w:t>
      </w:r>
      <w:r w:rsidRPr="004C3DF2">
        <w:t>’ which is an IUS containing 52</w:t>
      </w:r>
      <w:r w:rsidR="00B90593">
        <w:t xml:space="preserve"> </w:t>
      </w:r>
      <w:r w:rsidRPr="004C3DF2">
        <w:t xml:space="preserve">mg </w:t>
      </w:r>
      <w:r w:rsidR="00B90593" w:rsidRPr="00B90593">
        <w:t>levonorgestrel</w:t>
      </w:r>
      <w:r w:rsidRPr="004C3DF2">
        <w:t>.</w:t>
      </w:r>
    </w:p>
    <w:p w:rsidR="00EA6945" w:rsidRPr="004C3DF2" w:rsidRDefault="00EA6945" w:rsidP="00A93E4B">
      <w:r w:rsidRPr="004C3DF2">
        <w:t xml:space="preserve">The intrauterine delivery systems in </w:t>
      </w:r>
      <w:r w:rsidR="00B90593" w:rsidRPr="00B90593">
        <w:t>Jaydess</w:t>
      </w:r>
      <w:r w:rsidRPr="004C3DF2">
        <w:t xml:space="preserve"> and </w:t>
      </w:r>
      <w:r w:rsidR="00B90593">
        <w:t>Mirena</w:t>
      </w:r>
      <w:r w:rsidRPr="004C3DF2">
        <w:t xml:space="preserve"> also have distinct components, different construction of drug reservoir, with different PK characteristics and </w:t>
      </w:r>
      <w:r w:rsidR="00B90593" w:rsidRPr="00B90593">
        <w:t>levonorgestrel</w:t>
      </w:r>
      <w:r w:rsidRPr="004C3DF2">
        <w:t xml:space="preserve"> release rates. The proposed duration of use is 3 years for </w:t>
      </w:r>
      <w:r w:rsidR="00B90593" w:rsidRPr="00B90593">
        <w:t>Jaydess</w:t>
      </w:r>
      <w:r w:rsidRPr="004C3DF2">
        <w:t xml:space="preserve"> compared to the approved 5 years for </w:t>
      </w:r>
      <w:r w:rsidR="00B90593">
        <w:t>Mirena</w:t>
      </w:r>
      <w:r w:rsidRPr="004C3DF2">
        <w:t xml:space="preserve">. The T-body contains a silver ring in the upper part of the vertical stem ostensibly to facilitate differentiation of </w:t>
      </w:r>
      <w:r w:rsidR="00B90593" w:rsidRPr="00B90593">
        <w:t>Jaydess</w:t>
      </w:r>
      <w:r w:rsidRPr="004C3DF2">
        <w:t xml:space="preserve"> from </w:t>
      </w:r>
      <w:r w:rsidR="00B90593">
        <w:t>Mirena</w:t>
      </w:r>
      <w:r w:rsidRPr="004C3DF2">
        <w:t xml:space="preserve"> both at the time of insertion and by ultrasound detection in situ.</w:t>
      </w:r>
    </w:p>
    <w:p w:rsidR="00EA6945" w:rsidRPr="004C3DF2" w:rsidRDefault="00EA6945" w:rsidP="00A93E4B">
      <w:r w:rsidRPr="004C3DF2">
        <w:t xml:space="preserve">The intended target population for </w:t>
      </w:r>
      <w:r w:rsidR="00B90593" w:rsidRPr="00B90593">
        <w:t>Jaydess</w:t>
      </w:r>
      <w:r w:rsidRPr="004C3DF2">
        <w:t xml:space="preserve"> specifically includes nulliparous women, according to the letter of application.</w:t>
      </w:r>
    </w:p>
    <w:p w:rsidR="00EA6945" w:rsidRPr="004C3DF2" w:rsidRDefault="00EA6945" w:rsidP="00A93E4B">
      <w:r w:rsidRPr="004C3DF2">
        <w:t xml:space="preserve">The </w:t>
      </w:r>
      <w:r w:rsidR="00C92674">
        <w:t>p</w:t>
      </w:r>
      <w:r w:rsidRPr="004C3DF2">
        <w:t xml:space="preserve">roposed therapeutic indication is </w:t>
      </w:r>
      <w:r w:rsidRPr="00C92674">
        <w:rPr>
          <w:i/>
          <w:iCs/>
        </w:rPr>
        <w:t>‘Contraception’</w:t>
      </w:r>
      <w:r w:rsidRPr="004C3DF2">
        <w:t xml:space="preserve">, identical to that for </w:t>
      </w:r>
      <w:r w:rsidR="00B90593">
        <w:t>Mirena</w:t>
      </w:r>
      <w:r w:rsidRPr="004C3DF2">
        <w:t>.</w:t>
      </w:r>
    </w:p>
    <w:p w:rsidR="00EA6945" w:rsidRPr="004C3DF2" w:rsidRDefault="00EA6945" w:rsidP="00A93E4B">
      <w:r w:rsidRPr="004C3DF2">
        <w:t xml:space="preserve">The </w:t>
      </w:r>
      <w:r w:rsidR="00C92674" w:rsidRPr="00C92674">
        <w:rPr>
          <w:i/>
          <w:iCs/>
        </w:rPr>
        <w:t>D</w:t>
      </w:r>
      <w:r w:rsidRPr="00C92674">
        <w:rPr>
          <w:i/>
          <w:iCs/>
        </w:rPr>
        <w:t xml:space="preserve">osage </w:t>
      </w:r>
      <w:r w:rsidR="00C92674" w:rsidRPr="00C92674">
        <w:rPr>
          <w:i/>
          <w:iCs/>
        </w:rPr>
        <w:t>and A</w:t>
      </w:r>
      <w:r w:rsidRPr="00C92674">
        <w:rPr>
          <w:i/>
          <w:iCs/>
        </w:rPr>
        <w:t>dministration</w:t>
      </w:r>
      <w:r w:rsidRPr="004C3DF2">
        <w:t xml:space="preserve"> instructions (abridged) include </w:t>
      </w:r>
      <w:r w:rsidRPr="00C92674">
        <w:rPr>
          <w:i/>
          <w:iCs/>
        </w:rPr>
        <w:t>‘</w:t>
      </w:r>
      <w:r w:rsidR="00B90593" w:rsidRPr="00C92674">
        <w:rPr>
          <w:i/>
          <w:iCs/>
        </w:rPr>
        <w:t>Jaydess</w:t>
      </w:r>
      <w:r w:rsidRPr="00C92674">
        <w:rPr>
          <w:i/>
          <w:iCs/>
        </w:rPr>
        <w:t xml:space="preserve"> is inserted into the uterine cavity and is effective for up to three years.’</w:t>
      </w:r>
      <w:r w:rsidRPr="004C3DF2">
        <w:t xml:space="preserve"> This section of the PI continues at length with a summary of the expected time course of </w:t>
      </w:r>
      <w:r w:rsidRPr="00C92674">
        <w:rPr>
          <w:i/>
          <w:iCs/>
        </w:rPr>
        <w:t>in vivo</w:t>
      </w:r>
      <w:r w:rsidRPr="004C3DF2">
        <w:t xml:space="preserve"> release rate, failure rate, and limitations in subgroups.</w:t>
      </w:r>
    </w:p>
    <w:p w:rsidR="008E7846" w:rsidRPr="00A93E4B" w:rsidRDefault="008E7846" w:rsidP="00A93E4B">
      <w:pPr>
        <w:pStyle w:val="Heading3"/>
      </w:pPr>
      <w:bookmarkStart w:id="251" w:name="_Toc314842511"/>
      <w:bookmarkStart w:id="252" w:name="_Toc380568285"/>
      <w:r>
        <w:t>Quality</w:t>
      </w:r>
      <w:bookmarkEnd w:id="249"/>
      <w:bookmarkEnd w:id="251"/>
      <w:bookmarkEnd w:id="252"/>
    </w:p>
    <w:p w:rsidR="00EA6945" w:rsidRDefault="00EA6945" w:rsidP="00492A20">
      <w:r w:rsidRPr="007155D0">
        <w:t xml:space="preserve">The </w:t>
      </w:r>
      <w:r w:rsidR="00C92674">
        <w:t xml:space="preserve">proposed </w:t>
      </w:r>
      <w:r w:rsidRPr="007155D0">
        <w:t xml:space="preserve">product </w:t>
      </w:r>
      <w:r w:rsidR="00C92674">
        <w:t xml:space="preserve">for marketing </w:t>
      </w:r>
      <w:r w:rsidRPr="007155D0">
        <w:t xml:space="preserve">is stated to be the same as the Phase </w:t>
      </w:r>
      <w:proofErr w:type="spellStart"/>
      <w:r w:rsidR="004170D0">
        <w:t>III</w:t>
      </w:r>
      <w:r w:rsidRPr="007155D0">
        <w:t>b</w:t>
      </w:r>
      <w:proofErr w:type="spellEnd"/>
      <w:r w:rsidRPr="007155D0">
        <w:t xml:space="preserve"> test product. The modified LCS12 device that included the silver ring profile was used from the Phase </w:t>
      </w:r>
      <w:r w:rsidR="004170D0">
        <w:t>III</w:t>
      </w:r>
      <w:r w:rsidRPr="007155D0">
        <w:t xml:space="preserve"> trials onwards:</w:t>
      </w:r>
    </w:p>
    <w:p w:rsidR="00821733" w:rsidRPr="007155D0" w:rsidRDefault="00821733" w:rsidP="00492A20">
      <w:pPr>
        <w:pStyle w:val="FigureTitle"/>
      </w:pPr>
      <w:proofErr w:type="gramStart"/>
      <w:r>
        <w:t>Figure 3.</w:t>
      </w:r>
      <w:proofErr w:type="gramEnd"/>
      <w:r>
        <w:t xml:space="preserve"> Jaydess </w:t>
      </w:r>
      <w:r w:rsidRPr="00821733">
        <w:t>device</w:t>
      </w:r>
    </w:p>
    <w:p w:rsidR="00EA6945" w:rsidRPr="004C3DF2" w:rsidRDefault="00EA6945" w:rsidP="00492A20">
      <w:r w:rsidRPr="004C3DF2">
        <w:rPr>
          <w:noProof/>
          <w:lang w:eastAsia="en-AU"/>
        </w:rPr>
        <w:drawing>
          <wp:inline distT="0" distB="0" distL="0" distR="0" wp14:anchorId="399DF9C5" wp14:editId="7C83C438">
            <wp:extent cx="2486025" cy="1600849"/>
            <wp:effectExtent l="19050" t="0" r="9525" b="0"/>
            <wp:docPr id="1" name="Picture 1" descr="Figure 3. Jaydess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486025" cy="1600849"/>
                    </a:xfrm>
                    <a:prstGeom prst="rect">
                      <a:avLst/>
                    </a:prstGeom>
                    <a:noFill/>
                    <a:ln w="9525">
                      <a:noFill/>
                      <a:miter lim="800000"/>
                      <a:headEnd/>
                      <a:tailEnd/>
                    </a:ln>
                  </pic:spPr>
                </pic:pic>
              </a:graphicData>
            </a:graphic>
          </wp:inline>
        </w:drawing>
      </w:r>
    </w:p>
    <w:p w:rsidR="00EA6945" w:rsidRPr="004C3DF2" w:rsidRDefault="00EA6945" w:rsidP="00492A20">
      <w:r w:rsidRPr="004C3DF2">
        <w:t>The diameter of vertical stem is 1.55</w:t>
      </w:r>
      <w:r w:rsidR="00821733">
        <w:t xml:space="preserve"> </w:t>
      </w:r>
      <w:r w:rsidRPr="004C3DF2">
        <w:t>mm. The ‘Silver profile’ is given as 6.5</w:t>
      </w:r>
      <w:r w:rsidR="00821733">
        <w:t xml:space="preserve"> </w:t>
      </w:r>
      <w:r w:rsidRPr="004C3DF2">
        <w:t>mm, although the dimension thus specified is not described. The IUS is inserted into the uterus with a preloaded ready-to-use integrated inserter device.</w:t>
      </w:r>
    </w:p>
    <w:p w:rsidR="00EA6945" w:rsidRPr="004C3DF2" w:rsidRDefault="00EA6945" w:rsidP="00492A20">
      <w:r w:rsidRPr="004C3DF2">
        <w:lastRenderedPageBreak/>
        <w:t>M</w:t>
      </w:r>
      <w:r w:rsidR="00821733">
        <w:t xml:space="preserve">irena </w:t>
      </w:r>
      <w:r w:rsidRPr="004C3DF2">
        <w:t>IUS dimensions are 32</w:t>
      </w:r>
      <w:r w:rsidR="00821733">
        <w:t xml:space="preserve"> </w:t>
      </w:r>
      <w:r w:rsidRPr="004C3DF2">
        <w:t>mm horizontal arms x 32</w:t>
      </w:r>
      <w:r w:rsidR="00821733">
        <w:t xml:space="preserve"> </w:t>
      </w:r>
      <w:r w:rsidRPr="004C3DF2">
        <w:t>mm length of vertical stem.</w:t>
      </w:r>
    </w:p>
    <w:p w:rsidR="00EA6945" w:rsidRPr="004C3DF2" w:rsidRDefault="00EA6945" w:rsidP="00492A20">
      <w:r w:rsidRPr="004C3DF2">
        <w:t>A shelf life of 24 months is supported. Two outstanding issues are:</w:t>
      </w:r>
    </w:p>
    <w:p w:rsidR="00EA6945" w:rsidRPr="00821733" w:rsidRDefault="00EA6945" w:rsidP="00492A20">
      <w:pPr>
        <w:pStyle w:val="ListBullet"/>
      </w:pPr>
      <w:r w:rsidRPr="00821733">
        <w:t xml:space="preserve">‘Protect from light’ </w:t>
      </w:r>
      <w:r w:rsidRPr="00492A20">
        <w:t>statement</w:t>
      </w:r>
      <w:r w:rsidRPr="00821733">
        <w:t xml:space="preserve"> on PI and labels is recommended </w:t>
      </w:r>
      <w:r w:rsidR="00821733">
        <w:t xml:space="preserve">and </w:t>
      </w:r>
      <w:r w:rsidR="00C92674">
        <w:t xml:space="preserve">was </w:t>
      </w:r>
      <w:r w:rsidR="00821733">
        <w:t>not agreed by the s</w:t>
      </w:r>
      <w:r w:rsidRPr="00821733">
        <w:t>ponsor. Th</w:t>
      </w:r>
      <w:r w:rsidR="006C6445">
        <w:t xml:space="preserve">e Delegate requested the sponsor </w:t>
      </w:r>
      <w:r w:rsidRPr="00821733">
        <w:t xml:space="preserve">addressed </w:t>
      </w:r>
      <w:r w:rsidR="006C6445">
        <w:t xml:space="preserve">this </w:t>
      </w:r>
      <w:r w:rsidRPr="00821733">
        <w:t>in the response</w:t>
      </w:r>
      <w:r w:rsidR="00821733">
        <w:t xml:space="preserve"> to this Overview</w:t>
      </w:r>
      <w:r w:rsidRPr="00821733">
        <w:t>.</w:t>
      </w:r>
    </w:p>
    <w:p w:rsidR="00821733" w:rsidRDefault="00EA6945" w:rsidP="00492A20">
      <w:pPr>
        <w:pStyle w:val="ListBullet"/>
      </w:pPr>
      <w:r w:rsidRPr="00821733">
        <w:t xml:space="preserve">The IUS has varying </w:t>
      </w:r>
      <w:r w:rsidRPr="00492A20">
        <w:t>release</w:t>
      </w:r>
      <w:r w:rsidRPr="00821733">
        <w:t xml:space="preserve"> rates at different periods. The </w:t>
      </w:r>
      <w:r w:rsidR="00821733">
        <w:t>s</w:t>
      </w:r>
      <w:r w:rsidRPr="00821733">
        <w:t xml:space="preserve">ponsor </w:t>
      </w:r>
      <w:r w:rsidR="00FE1FC7">
        <w:t xml:space="preserve">did </w:t>
      </w:r>
      <w:r w:rsidRPr="00821733">
        <w:t xml:space="preserve">not agree to include a single release rate on the carton label. The </w:t>
      </w:r>
      <w:r w:rsidR="00821733">
        <w:t>s</w:t>
      </w:r>
      <w:r w:rsidRPr="00821733">
        <w:t xml:space="preserve">ponsor stated: </w:t>
      </w:r>
      <w:r w:rsidR="00821733">
        <w:t>“</w:t>
      </w:r>
      <w:r w:rsidRPr="00821733">
        <w:t>M</w:t>
      </w:r>
      <w:r w:rsidR="00821733">
        <w:t xml:space="preserve">irena </w:t>
      </w:r>
      <w:r w:rsidRPr="00821733">
        <w:t>and J</w:t>
      </w:r>
      <w:r w:rsidR="00821733">
        <w:t xml:space="preserve">aydess </w:t>
      </w:r>
      <w:r w:rsidRPr="00821733">
        <w:t xml:space="preserve">have a different construction of the drug reservoir. </w:t>
      </w:r>
      <w:r w:rsidR="00821733">
        <w:t xml:space="preserve">… </w:t>
      </w:r>
      <w:r w:rsidRPr="00821733">
        <w:t>This leads to very different release rat</w:t>
      </w:r>
      <w:r w:rsidR="00821733">
        <w:t>e</w:t>
      </w:r>
      <w:r w:rsidR="00492A20">
        <w:t xml:space="preserve"> profiles of the two products.”</w:t>
      </w:r>
    </w:p>
    <w:p w:rsidR="00EA6945" w:rsidRDefault="00821733" w:rsidP="00492A20">
      <w:pPr>
        <w:pStyle w:val="ListBullet"/>
        <w:numPr>
          <w:ilvl w:val="0"/>
          <w:numId w:val="0"/>
        </w:numPr>
        <w:ind w:left="360"/>
      </w:pPr>
      <w:r>
        <w:t xml:space="preserve">The </w:t>
      </w:r>
      <w:r w:rsidRPr="00821733">
        <w:rPr>
          <w:i/>
          <w:iCs/>
        </w:rPr>
        <w:t>in vivo</w:t>
      </w:r>
      <w:r>
        <w:t xml:space="preserve"> release rate profiles of Jaydess and </w:t>
      </w:r>
      <w:proofErr w:type="spellStart"/>
      <w:r w:rsidRPr="00492A20">
        <w:t>Mirena</w:t>
      </w:r>
      <w:proofErr w:type="spellEnd"/>
      <w:r>
        <w:t xml:space="preserve"> are shown in Figure 4.</w:t>
      </w:r>
    </w:p>
    <w:p w:rsidR="00821733" w:rsidRPr="00821733" w:rsidRDefault="00821733" w:rsidP="00492A20">
      <w:pPr>
        <w:pStyle w:val="FigureTitle"/>
      </w:pPr>
      <w:proofErr w:type="gramStart"/>
      <w:r w:rsidRPr="00492A20">
        <w:t>Figure</w:t>
      </w:r>
      <w:r>
        <w:t xml:space="preserve"> 4.</w:t>
      </w:r>
      <w:proofErr w:type="gramEnd"/>
      <w:r>
        <w:t xml:space="preserve"> </w:t>
      </w:r>
      <w:r>
        <w:rPr>
          <w:i/>
          <w:iCs/>
        </w:rPr>
        <w:t>I</w:t>
      </w:r>
      <w:r w:rsidRPr="00821733">
        <w:rPr>
          <w:i/>
          <w:iCs/>
        </w:rPr>
        <w:t>n vivo</w:t>
      </w:r>
      <w:r w:rsidRPr="00821733">
        <w:t xml:space="preserve"> release rate profiles of Jaydess </w:t>
      </w:r>
      <w:r>
        <w:t xml:space="preserve">(LCS12) </w:t>
      </w:r>
      <w:r w:rsidRPr="00821733">
        <w:t>and Mirena</w:t>
      </w:r>
    </w:p>
    <w:p w:rsidR="00EA6945" w:rsidRPr="004C3DF2" w:rsidRDefault="00EA6945" w:rsidP="00492A20">
      <w:r w:rsidRPr="004C3DF2">
        <w:rPr>
          <w:noProof/>
          <w:lang w:eastAsia="en-AU"/>
        </w:rPr>
        <w:drawing>
          <wp:inline distT="0" distB="0" distL="0" distR="0" wp14:anchorId="660B8763" wp14:editId="6355C225">
            <wp:extent cx="4069080" cy="2026920"/>
            <wp:effectExtent l="19050" t="0" r="7620" b="0"/>
            <wp:docPr id="2" name="Picture 1" descr="Figure 4. In vivo release rate profiles of Jaydess (LCS12) and Mi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723" t="19231"/>
                    <a:stretch>
                      <a:fillRect/>
                    </a:stretch>
                  </pic:blipFill>
                  <pic:spPr bwMode="auto">
                    <a:xfrm>
                      <a:off x="0" y="0"/>
                      <a:ext cx="4069080" cy="2026920"/>
                    </a:xfrm>
                    <a:prstGeom prst="rect">
                      <a:avLst/>
                    </a:prstGeom>
                    <a:noFill/>
                    <a:ln w="9525">
                      <a:noFill/>
                      <a:miter lim="800000"/>
                      <a:headEnd/>
                      <a:tailEnd/>
                    </a:ln>
                  </pic:spPr>
                </pic:pic>
              </a:graphicData>
            </a:graphic>
          </wp:inline>
        </w:drawing>
      </w:r>
    </w:p>
    <w:p w:rsidR="00EA6945" w:rsidRPr="004C3DF2" w:rsidRDefault="00EA6945" w:rsidP="00492A20">
      <w:r w:rsidRPr="004C3DF2">
        <w:t xml:space="preserve">The sponsor considers there are no TGA requirements for expressing the delivered dose as the strength of the product for intrauterine drug delivery systems, and that </w:t>
      </w:r>
      <w:r w:rsidR="00821733">
        <w:t xml:space="preserve">levonorgestrel </w:t>
      </w:r>
      <w:r w:rsidRPr="004C3DF2">
        <w:t>13.5</w:t>
      </w:r>
      <w:r w:rsidR="00821733">
        <w:t xml:space="preserve"> </w:t>
      </w:r>
      <w:r w:rsidRPr="004C3DF2">
        <w:t xml:space="preserve">mg is the actual strength of </w:t>
      </w:r>
      <w:r w:rsidR="00821733">
        <w:t>Jaydess</w:t>
      </w:r>
      <w:r w:rsidRPr="004C3DF2">
        <w:t xml:space="preserve">. However it is proposed to include the approximate intended release rate on the carton. This is considered acceptable to the clinical delegate. ACPM comment </w:t>
      </w:r>
      <w:r w:rsidR="00FE1FC7">
        <w:t xml:space="preserve">on this matter </w:t>
      </w:r>
      <w:r w:rsidR="00821733">
        <w:t xml:space="preserve">will be </w:t>
      </w:r>
      <w:r w:rsidRPr="004C3DF2">
        <w:t>requested.</w:t>
      </w:r>
    </w:p>
    <w:p w:rsidR="00EA6945" w:rsidRPr="004C3DF2" w:rsidRDefault="00EA6945" w:rsidP="00492A20">
      <w:r w:rsidRPr="004C3DF2">
        <w:t xml:space="preserve">Device evaluation or referral to PSC was not required. The </w:t>
      </w:r>
      <w:r w:rsidR="00FE1FC7">
        <w:t xml:space="preserve">chemistry and quality </w:t>
      </w:r>
      <w:r w:rsidRPr="004C3DF2">
        <w:t>evaluators have n</w:t>
      </w:r>
      <w:r w:rsidR="00FE1FC7">
        <w:t>o objection to approval on any q</w:t>
      </w:r>
      <w:r w:rsidRPr="004C3DF2">
        <w:t>uality related issue.</w:t>
      </w:r>
    </w:p>
    <w:p w:rsidR="008E7846" w:rsidRPr="00492A20" w:rsidRDefault="008E7846" w:rsidP="00492A20">
      <w:pPr>
        <w:pStyle w:val="Heading3"/>
      </w:pPr>
      <w:bookmarkStart w:id="253" w:name="_Toc314842512"/>
      <w:bookmarkStart w:id="254" w:name="_Toc380568286"/>
      <w:r>
        <w:t>Nonclinical</w:t>
      </w:r>
      <w:bookmarkEnd w:id="253"/>
      <w:bookmarkEnd w:id="254"/>
    </w:p>
    <w:p w:rsidR="00EA6945" w:rsidRPr="004C3DF2" w:rsidRDefault="00EA6945" w:rsidP="00492A20">
      <w:r w:rsidRPr="004C3DF2">
        <w:t xml:space="preserve">The </w:t>
      </w:r>
      <w:r w:rsidR="00FE1FC7">
        <w:t xml:space="preserve">nonclinical </w:t>
      </w:r>
      <w:r w:rsidRPr="004C3DF2">
        <w:t>evaluator noted that the product had variations in composition from the higher strength registered product M</w:t>
      </w:r>
      <w:r w:rsidR="00821733">
        <w:t>irena</w:t>
      </w:r>
      <w:r w:rsidR="00FE1FC7">
        <w:t>. The non</w:t>
      </w:r>
      <w:r w:rsidRPr="004C3DF2">
        <w:t xml:space="preserve">clinical evaluation report describes the average dose provided by </w:t>
      </w:r>
      <w:r w:rsidR="00821733">
        <w:t xml:space="preserve">Jaydess </w:t>
      </w:r>
      <w:proofErr w:type="gramStart"/>
      <w:r w:rsidRPr="004C3DF2">
        <w:t>as 6</w:t>
      </w:r>
      <w:r w:rsidR="00821733">
        <w:t xml:space="preserve"> </w:t>
      </w:r>
      <w:r w:rsidRPr="004C3DF2">
        <w:t>µg/day</w:t>
      </w:r>
      <w:proofErr w:type="gramEnd"/>
      <w:r w:rsidRPr="004C3DF2">
        <w:t xml:space="preserve"> over 3 years, with a higher initial (burst) release of 25</w:t>
      </w:r>
      <w:r w:rsidR="00821733">
        <w:t xml:space="preserve"> </w:t>
      </w:r>
      <w:r w:rsidRPr="004C3DF2">
        <w:t>µg/day.</w:t>
      </w:r>
    </w:p>
    <w:p w:rsidR="00EA6945" w:rsidRPr="004C3DF2" w:rsidRDefault="00EA6945" w:rsidP="00492A20">
      <w:r w:rsidRPr="004C3DF2">
        <w:t>The inclusion of a silver ring attached to an IUS (but of different polymer composition</w:t>
      </w:r>
      <w:r w:rsidR="00821733">
        <w:t xml:space="preserve"> compared with </w:t>
      </w:r>
      <w:r w:rsidRPr="004C3DF2">
        <w:t xml:space="preserve">the proposed commercial product) was not seen to affect local or systemic tolerance following intrauterine implantation in monkeys. Biocompatibility of the silver ring was further demonstrated in a set of tests for cytotoxicity, haemolysis, genotoxicity, acute toxicity, local tolerance (intramuscular and </w:t>
      </w:r>
      <w:proofErr w:type="spellStart"/>
      <w:r w:rsidRPr="004C3DF2">
        <w:t>intracutaneous</w:t>
      </w:r>
      <w:proofErr w:type="spellEnd"/>
      <w:r w:rsidRPr="004C3DF2">
        <w:t>) and skin sensitisation potential.</w:t>
      </w:r>
    </w:p>
    <w:p w:rsidR="00EA6945" w:rsidRPr="004C3DF2" w:rsidRDefault="00EA6945" w:rsidP="00492A20">
      <w:r w:rsidRPr="004C3DF2">
        <w:t>Biocompatibility was also satisfactorily established for the modified drug reservoir used in J</w:t>
      </w:r>
      <w:r w:rsidR="00821733">
        <w:t>aydess</w:t>
      </w:r>
      <w:r w:rsidRPr="004C3DF2">
        <w:t xml:space="preserve">. The modified flange used in the </w:t>
      </w:r>
      <w:r w:rsidR="00821733">
        <w:t xml:space="preserve">Jaydess </w:t>
      </w:r>
      <w:r w:rsidRPr="004C3DF2">
        <w:t xml:space="preserve">inserter device, containing a </w:t>
      </w:r>
      <w:r w:rsidR="00821733">
        <w:t xml:space="preserve">different </w:t>
      </w:r>
      <w:proofErr w:type="spellStart"/>
      <w:r w:rsidRPr="004C3DF2">
        <w:t>colourant</w:t>
      </w:r>
      <w:proofErr w:type="spellEnd"/>
      <w:r w:rsidR="00821733">
        <w:t xml:space="preserve"> to that in Mirena</w:t>
      </w:r>
      <w:r w:rsidRPr="004C3DF2">
        <w:t>, was shown to be biocompatible in tests for cytotoxicity, skin sensitisation and local (</w:t>
      </w:r>
      <w:proofErr w:type="spellStart"/>
      <w:r w:rsidRPr="004C3DF2">
        <w:t>intracutaneous</w:t>
      </w:r>
      <w:proofErr w:type="spellEnd"/>
      <w:r w:rsidRPr="004C3DF2">
        <w:t>) tolerance.</w:t>
      </w:r>
    </w:p>
    <w:p w:rsidR="00821733" w:rsidRDefault="00EA6945" w:rsidP="00492A20">
      <w:r w:rsidRPr="004C3DF2">
        <w:lastRenderedPageBreak/>
        <w:t>The</w:t>
      </w:r>
      <w:r w:rsidR="00C543F0">
        <w:t>re were no non</w:t>
      </w:r>
      <w:r w:rsidRPr="004C3DF2">
        <w:t xml:space="preserve">clinical objections to the registration of </w:t>
      </w:r>
      <w:r w:rsidR="00821733">
        <w:t>Jaydess</w:t>
      </w:r>
      <w:r w:rsidRPr="004C3DF2">
        <w:t xml:space="preserve">. There were recommendations for </w:t>
      </w:r>
      <w:r w:rsidR="00C543F0">
        <w:t xml:space="preserve">revisions to nonclinical </w:t>
      </w:r>
      <w:r w:rsidRPr="004C3DF2">
        <w:t xml:space="preserve">text </w:t>
      </w:r>
      <w:r w:rsidR="00C543F0">
        <w:t>in the PI</w:t>
      </w:r>
      <w:r w:rsidR="00821733">
        <w:t>. The s</w:t>
      </w:r>
      <w:r w:rsidRPr="004C3DF2">
        <w:t xml:space="preserve">ponsor responded </w:t>
      </w:r>
      <w:r w:rsidR="00FE1FC7">
        <w:t>with modifications and the TGA t</w:t>
      </w:r>
      <w:r w:rsidRPr="004C3DF2">
        <w:t>oxicology section has provided further comments.</w:t>
      </w:r>
      <w:r w:rsidR="00821733">
        <w:rPr>
          <w:rStyle w:val="FootnoteReference"/>
        </w:rPr>
        <w:footnoteReference w:id="2"/>
      </w:r>
    </w:p>
    <w:p w:rsidR="008E7846" w:rsidRPr="00492A20" w:rsidRDefault="008E7846" w:rsidP="00492A20">
      <w:pPr>
        <w:pStyle w:val="Heading3"/>
      </w:pPr>
      <w:bookmarkStart w:id="255" w:name="_Toc247691530"/>
      <w:bookmarkStart w:id="256" w:name="_Toc314842513"/>
      <w:bookmarkStart w:id="257" w:name="_Toc380568287"/>
      <w:r>
        <w:t>Clinical</w:t>
      </w:r>
      <w:bookmarkEnd w:id="255"/>
      <w:bookmarkEnd w:id="256"/>
      <w:bookmarkEnd w:id="257"/>
    </w:p>
    <w:p w:rsidR="00EA6945" w:rsidRDefault="00EA6945" w:rsidP="00492A20">
      <w:r w:rsidRPr="004C3DF2">
        <w:t xml:space="preserve">Two clinical </w:t>
      </w:r>
      <w:r w:rsidR="00FE1FC7">
        <w:t xml:space="preserve">studies supporting the efficacy and </w:t>
      </w:r>
      <w:r w:rsidRPr="004C3DF2">
        <w:t xml:space="preserve">safety of </w:t>
      </w:r>
      <w:proofErr w:type="spellStart"/>
      <w:r w:rsidR="00821733">
        <w:t>Jaydess</w:t>
      </w:r>
      <w:proofErr w:type="spellEnd"/>
      <w:r w:rsidR="00821733">
        <w:t xml:space="preserve"> </w:t>
      </w:r>
      <w:r w:rsidR="00492A20">
        <w:t>were as follows:</w:t>
      </w:r>
    </w:p>
    <w:p w:rsidR="00821733" w:rsidRPr="004C3DF2" w:rsidRDefault="00821733" w:rsidP="00492A20">
      <w:pPr>
        <w:pStyle w:val="TableTitle"/>
      </w:pPr>
      <w:proofErr w:type="gramStart"/>
      <w:r>
        <w:t xml:space="preserve">Table </w:t>
      </w:r>
      <w:r w:rsidR="009229DA">
        <w:t>5</w:t>
      </w:r>
      <w:r>
        <w:t>.</w:t>
      </w:r>
      <w:proofErr w:type="gramEnd"/>
      <w:r>
        <w:t xml:space="preserve"> C</w:t>
      </w:r>
      <w:r w:rsidRPr="00821733">
        <w:t xml:space="preserve">linical </w:t>
      </w:r>
      <w:r>
        <w:t xml:space="preserve">studies supporting the efficacy and </w:t>
      </w:r>
      <w:r w:rsidRPr="00821733">
        <w:t>safety of Jaydess</w:t>
      </w:r>
    </w:p>
    <w:p w:rsidR="00EA6945" w:rsidRPr="004C3DF2" w:rsidRDefault="00EA6945" w:rsidP="00492A20">
      <w:r w:rsidRPr="004C3DF2">
        <w:rPr>
          <w:noProof/>
          <w:lang w:eastAsia="en-AU"/>
        </w:rPr>
        <w:drawing>
          <wp:inline distT="0" distB="0" distL="0" distR="0" wp14:anchorId="6C05F5D5" wp14:editId="3BB4D7E7">
            <wp:extent cx="4401909" cy="2582994"/>
            <wp:effectExtent l="19050" t="0" r="0" b="0"/>
            <wp:docPr id="3" name="Picture 1" descr="Table 5. Clinical studies supporting the efficacy and safety of Jayd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404168" cy="2584319"/>
                    </a:xfrm>
                    <a:prstGeom prst="rect">
                      <a:avLst/>
                    </a:prstGeom>
                    <a:noFill/>
                    <a:ln w="9525">
                      <a:noFill/>
                      <a:miter lim="800000"/>
                      <a:headEnd/>
                      <a:tailEnd/>
                    </a:ln>
                  </pic:spPr>
                </pic:pic>
              </a:graphicData>
            </a:graphic>
          </wp:inline>
        </w:drawing>
      </w:r>
    </w:p>
    <w:p w:rsidR="00EA6945" w:rsidRPr="004C3DF2" w:rsidRDefault="00821733" w:rsidP="0055782C">
      <w:pPr>
        <w:pStyle w:val="Heading4"/>
      </w:pPr>
      <w:r w:rsidRPr="0055782C">
        <w:t>Pharmacokinetics</w:t>
      </w:r>
    </w:p>
    <w:p w:rsidR="00EA6945" w:rsidRPr="004C3DF2" w:rsidRDefault="00821733" w:rsidP="0055782C">
      <w:r>
        <w:t>There was no short-term b</w:t>
      </w:r>
      <w:r w:rsidR="00EA6945" w:rsidRPr="004C3DF2">
        <w:t>ioavailability study, due to the long duration of use of the product.</w:t>
      </w:r>
    </w:p>
    <w:p w:rsidR="00EA6945" w:rsidRPr="004C3DF2" w:rsidRDefault="00EA6945" w:rsidP="0055782C">
      <w:r w:rsidRPr="004C3DF2">
        <w:t xml:space="preserve">The </w:t>
      </w:r>
      <w:r w:rsidRPr="00821733">
        <w:rPr>
          <w:i/>
          <w:iCs/>
        </w:rPr>
        <w:t>in vitro</w:t>
      </w:r>
      <w:r w:rsidRPr="004C3DF2">
        <w:t xml:space="preserve"> dissolution testing showed a rapid decline in rate of release during the first </w:t>
      </w:r>
      <w:r w:rsidR="00B90593">
        <w:t xml:space="preserve">4 </w:t>
      </w:r>
      <w:r w:rsidRPr="004C3DF2">
        <w:t>weeks, from approximately 55</w:t>
      </w:r>
      <w:r w:rsidR="00821733">
        <w:t xml:space="preserve"> </w:t>
      </w:r>
      <w:r w:rsidRPr="004C3DF2">
        <w:t>μg/day after one day, 25</w:t>
      </w:r>
      <w:r w:rsidR="00821733">
        <w:t xml:space="preserve"> </w:t>
      </w:r>
      <w:r w:rsidRPr="004C3DF2">
        <w:t>μg/day around day 2, to 14</w:t>
      </w:r>
      <w:r w:rsidR="00B90593">
        <w:t> </w:t>
      </w:r>
      <w:r w:rsidRPr="004C3DF2">
        <w:t xml:space="preserve">μg/day for the sampling period days 5-11, and 12 μg/day for the sampling period days 19-25. Six months later the </w:t>
      </w:r>
      <w:r w:rsidRPr="00821733">
        <w:rPr>
          <w:i/>
          <w:iCs/>
        </w:rPr>
        <w:t>in vitro</w:t>
      </w:r>
      <w:r w:rsidRPr="004C3DF2">
        <w:t xml:space="preserve"> release rate was about 8</w:t>
      </w:r>
      <w:r w:rsidR="00821733">
        <w:t xml:space="preserve"> </w:t>
      </w:r>
      <w:r w:rsidRPr="004C3DF2">
        <w:t xml:space="preserve">μg/day, declining to </w:t>
      </w:r>
      <w:r w:rsidR="009229DA">
        <w:t xml:space="preserve">a level </w:t>
      </w:r>
      <w:proofErr w:type="gramStart"/>
      <w:r w:rsidR="009229DA">
        <w:t xml:space="preserve">of </w:t>
      </w:r>
      <w:r w:rsidRPr="004C3DF2">
        <w:t>5</w:t>
      </w:r>
      <w:r w:rsidR="00821733">
        <w:t> </w:t>
      </w:r>
      <w:r w:rsidRPr="004C3DF2">
        <w:t>μg/day</w:t>
      </w:r>
      <w:proofErr w:type="gramEnd"/>
      <w:r w:rsidRPr="004C3DF2">
        <w:t xml:space="preserve"> at the end of year 3.</w:t>
      </w:r>
    </w:p>
    <w:p w:rsidR="00EA6945" w:rsidRPr="004C3DF2" w:rsidRDefault="00EA6945" w:rsidP="0055782C">
      <w:r w:rsidRPr="004C3DF2">
        <w:t xml:space="preserve">The </w:t>
      </w:r>
      <w:r w:rsidRPr="00821733">
        <w:rPr>
          <w:i/>
          <w:iCs/>
        </w:rPr>
        <w:t>in vivo</w:t>
      </w:r>
      <w:r w:rsidRPr="004C3DF2">
        <w:t xml:space="preserve"> release rate was calculated from long-term </w:t>
      </w:r>
      <w:r w:rsidRPr="00821733">
        <w:rPr>
          <w:i/>
          <w:iCs/>
        </w:rPr>
        <w:t>in vitro</w:t>
      </w:r>
      <w:r w:rsidRPr="004C3DF2">
        <w:t xml:space="preserve"> dissolution data and analysis of the </w:t>
      </w:r>
      <w:r w:rsidRPr="00821733">
        <w:rPr>
          <w:i/>
          <w:iCs/>
        </w:rPr>
        <w:t>ex vivo</w:t>
      </w:r>
      <w:r w:rsidRPr="004C3DF2">
        <w:t xml:space="preserve"> residual content of </w:t>
      </w:r>
      <w:r w:rsidR="00821733">
        <w:t>levonorgest</w:t>
      </w:r>
      <w:r w:rsidR="00B90593">
        <w:t>r</w:t>
      </w:r>
      <w:r w:rsidR="00821733">
        <w:t xml:space="preserve">el </w:t>
      </w:r>
      <w:r w:rsidRPr="004C3DF2">
        <w:t xml:space="preserve">in </w:t>
      </w:r>
      <w:r w:rsidR="00B90593" w:rsidRPr="00B90593">
        <w:t>Jaydess</w:t>
      </w:r>
      <w:r w:rsidRPr="004C3DF2">
        <w:t xml:space="preserve"> samples taken from women in clinical trials; about 100 </w:t>
      </w:r>
      <w:r w:rsidRPr="00B90593">
        <w:rPr>
          <w:i/>
          <w:iCs/>
        </w:rPr>
        <w:t>ex vivo</w:t>
      </w:r>
      <w:r w:rsidRPr="004C3DF2">
        <w:t xml:space="preserve"> samples of </w:t>
      </w:r>
      <w:r w:rsidR="00B90593" w:rsidRPr="00B90593">
        <w:t>Jaydess</w:t>
      </w:r>
      <w:r w:rsidRPr="004C3DF2">
        <w:t xml:space="preserve"> from the study A46796 and 800 from the study A52238. Model values for in vivo release rates based on these data are 14</w:t>
      </w:r>
      <w:r w:rsidR="00B90593">
        <w:t xml:space="preserve"> </w:t>
      </w:r>
      <w:r w:rsidRPr="004C3DF2">
        <w:t>μg/day on day 25, 9.6</w:t>
      </w:r>
      <w:r w:rsidR="00B90593">
        <w:t xml:space="preserve"> </w:t>
      </w:r>
      <w:r w:rsidRPr="004C3DF2">
        <w:t>μg/day after 60 days, 5.4</w:t>
      </w:r>
      <w:r w:rsidR="00B90593">
        <w:t xml:space="preserve"> </w:t>
      </w:r>
      <w:r w:rsidRPr="004C3DF2">
        <w:t>μg/day after 3 years, and an average release rate over 3 years of 6.4</w:t>
      </w:r>
      <w:r w:rsidR="00B90593">
        <w:t xml:space="preserve"> </w:t>
      </w:r>
      <w:r w:rsidRPr="004C3DF2">
        <w:t>μg/day.</w:t>
      </w:r>
    </w:p>
    <w:p w:rsidR="00EA6945" w:rsidRPr="004C3DF2" w:rsidRDefault="00B90593" w:rsidP="0055782C">
      <w:pPr>
        <w:pStyle w:val="Heading5"/>
      </w:pPr>
      <w:r>
        <w:t xml:space="preserve">Systemic </w:t>
      </w:r>
      <w:r w:rsidRPr="0055782C">
        <w:t>absorption</w:t>
      </w:r>
    </w:p>
    <w:p w:rsidR="00EA6945" w:rsidRPr="004C3DF2" w:rsidRDefault="00EA6945" w:rsidP="0055782C">
      <w:r w:rsidRPr="004C3DF2">
        <w:t xml:space="preserve">Subgroups of </w:t>
      </w:r>
      <w:r w:rsidR="00B90593">
        <w:t>women (n = 12/13) in the Phase II</w:t>
      </w:r>
      <w:r w:rsidRPr="004C3DF2">
        <w:t xml:space="preserve"> dose-finding </w:t>
      </w:r>
      <w:r w:rsidR="00B90593">
        <w:t>S</w:t>
      </w:r>
      <w:r w:rsidRPr="004C3DF2">
        <w:t xml:space="preserve">tudy A46796 had serum </w:t>
      </w:r>
      <w:r w:rsidR="00B90593" w:rsidRPr="00B90593">
        <w:t>levonorgestrel</w:t>
      </w:r>
      <w:r w:rsidRPr="004C3DF2">
        <w:t xml:space="preserve"> and Sex Hormone Binding Globulin (SHBG) determinations at baseline and day 1, 3, 7, and 2 weeks after insertion, and at each subsequent visit. Measurable levels of serum </w:t>
      </w:r>
      <w:r w:rsidR="00B90593" w:rsidRPr="00B90593">
        <w:t>levonorgestrel</w:t>
      </w:r>
      <w:r w:rsidRPr="004C3DF2">
        <w:t xml:space="preserve"> were observed in all subjects one day after insertion. Results showed high variability. The mean (</w:t>
      </w:r>
      <w:r w:rsidR="00B90593">
        <w:t>coefficient of variation (</w:t>
      </w:r>
      <w:proofErr w:type="gramStart"/>
      <w:r w:rsidRPr="004C3DF2">
        <w:t>CV%</w:t>
      </w:r>
      <w:proofErr w:type="gramEnd"/>
      <w:r w:rsidR="00B90593">
        <w:t>)</w:t>
      </w:r>
      <w:r w:rsidRPr="004C3DF2">
        <w:t xml:space="preserve">) </w:t>
      </w:r>
      <w:proofErr w:type="spellStart"/>
      <w:r w:rsidRPr="004C3DF2">
        <w:t>C</w:t>
      </w:r>
      <w:r w:rsidRPr="00B90593">
        <w:rPr>
          <w:vertAlign w:val="subscript"/>
        </w:rPr>
        <w:t>max</w:t>
      </w:r>
      <w:proofErr w:type="spellEnd"/>
      <w:r w:rsidRPr="004C3DF2">
        <w:t xml:space="preserve"> (</w:t>
      </w:r>
      <w:proofErr w:type="spellStart"/>
      <w:r w:rsidRPr="004C3DF2">
        <w:t>ng</w:t>
      </w:r>
      <w:proofErr w:type="spellEnd"/>
      <w:r w:rsidRPr="004C3DF2">
        <w:t xml:space="preserve">/L) for </w:t>
      </w:r>
      <w:proofErr w:type="spellStart"/>
      <w:r w:rsidR="00B90593" w:rsidRPr="00B90593">
        <w:t>Jaydess</w:t>
      </w:r>
      <w:proofErr w:type="spellEnd"/>
      <w:r w:rsidRPr="004C3DF2">
        <w:t xml:space="preserve"> (LCS12, n = 12) was 137 (28.6) at median </w:t>
      </w:r>
      <w:r w:rsidR="00B90593">
        <w:t xml:space="preserve">time to achieve </w:t>
      </w:r>
      <w:proofErr w:type="spellStart"/>
      <w:r w:rsidR="00B90593">
        <w:t>C</w:t>
      </w:r>
      <w:r w:rsidR="00B90593" w:rsidRPr="00B90593">
        <w:rPr>
          <w:vertAlign w:val="subscript"/>
        </w:rPr>
        <w:t>max</w:t>
      </w:r>
      <w:proofErr w:type="spellEnd"/>
      <w:r w:rsidR="00B90593">
        <w:t xml:space="preserve"> (</w:t>
      </w:r>
      <w:proofErr w:type="spellStart"/>
      <w:r w:rsidRPr="004C3DF2">
        <w:t>T</w:t>
      </w:r>
      <w:r w:rsidRPr="00B90593">
        <w:rPr>
          <w:vertAlign w:val="subscript"/>
        </w:rPr>
        <w:t>max</w:t>
      </w:r>
      <w:proofErr w:type="spellEnd"/>
      <w:r w:rsidR="00B90593">
        <w:t>)14 days, (range 1-379 days), versus</w:t>
      </w:r>
      <w:r w:rsidRPr="004C3DF2">
        <w:t xml:space="preserve"> </w:t>
      </w:r>
      <w:r w:rsidR="00B90593">
        <w:t>Mirena</w:t>
      </w:r>
      <w:r w:rsidRPr="004C3DF2">
        <w:t xml:space="preserve"> (n = 13) 360 (45.9) at day 7 (range 3-927 days).</w:t>
      </w:r>
    </w:p>
    <w:p w:rsidR="00EA6945" w:rsidRDefault="00EA6945" w:rsidP="0055782C">
      <w:r w:rsidRPr="004C3DF2">
        <w:lastRenderedPageBreak/>
        <w:t xml:space="preserve">Women from pivotal Phase </w:t>
      </w:r>
      <w:r w:rsidR="00B90593">
        <w:t>III</w:t>
      </w:r>
      <w:r w:rsidRPr="004C3DF2">
        <w:t xml:space="preserve"> </w:t>
      </w:r>
      <w:r w:rsidR="00B90593">
        <w:t>S</w:t>
      </w:r>
      <w:r w:rsidRPr="004C3DF2">
        <w:t xml:space="preserve">tudy A52238 had serum </w:t>
      </w:r>
      <w:r w:rsidR="00B90593" w:rsidRPr="00B90593">
        <w:t>levonorgestrel</w:t>
      </w:r>
      <w:r w:rsidRPr="004C3DF2">
        <w:t xml:space="preserve"> determinations after LCS12 insertion (n = 7) that provided the following mean PK parameters.</w:t>
      </w:r>
    </w:p>
    <w:p w:rsidR="00B90593" w:rsidRPr="004C3DF2" w:rsidRDefault="00B90593" w:rsidP="0055782C">
      <w:pPr>
        <w:pStyle w:val="TableTitle"/>
      </w:pPr>
      <w:proofErr w:type="gramStart"/>
      <w:r>
        <w:t xml:space="preserve">Table </w:t>
      </w:r>
      <w:r w:rsidR="009229DA">
        <w:t>6</w:t>
      </w:r>
      <w:r w:rsidRPr="00B90593">
        <w:t>.</w:t>
      </w:r>
      <w:proofErr w:type="gramEnd"/>
      <w:r w:rsidRPr="00B90593">
        <w:t xml:space="preserve"> Mean </w:t>
      </w:r>
      <w:r w:rsidR="001A1109">
        <w:t xml:space="preserve">(CV) </w:t>
      </w:r>
      <w:r w:rsidRPr="00B90593">
        <w:t>pharmacokinetic parameters of levonorgestrel after insertion of LCS12</w:t>
      </w:r>
    </w:p>
    <w:tbl>
      <w:tblPr>
        <w:tblStyle w:val="TableTGAblue"/>
        <w:tblW w:w="0" w:type="auto"/>
        <w:tblLook w:val="0620" w:firstRow="1" w:lastRow="0" w:firstColumn="0" w:lastColumn="0" w:noHBand="1" w:noVBand="1"/>
      </w:tblPr>
      <w:tblGrid>
        <w:gridCol w:w="1636"/>
        <w:gridCol w:w="1625"/>
        <w:gridCol w:w="1701"/>
        <w:gridCol w:w="1842"/>
        <w:gridCol w:w="1560"/>
      </w:tblGrid>
      <w:tr w:rsidR="00EA6945" w:rsidRPr="00B90593" w:rsidTr="0055782C">
        <w:trPr>
          <w:cnfStyle w:val="100000000000" w:firstRow="1" w:lastRow="0" w:firstColumn="0" w:lastColumn="0" w:oddVBand="0" w:evenVBand="0" w:oddHBand="0" w:evenHBand="0" w:firstRowFirstColumn="0" w:firstRowLastColumn="0" w:lastRowFirstColumn="0" w:lastRowLastColumn="0"/>
        </w:trPr>
        <w:tc>
          <w:tcPr>
            <w:tcW w:w="1636" w:type="dxa"/>
          </w:tcPr>
          <w:p w:rsidR="00EA6945" w:rsidRPr="00B90593" w:rsidRDefault="00EA6945" w:rsidP="0055782C">
            <w:pPr>
              <w:ind w:left="0" w:right="2"/>
            </w:pPr>
            <w:r w:rsidRPr="00B90593">
              <w:t>Subgroup 3</w:t>
            </w:r>
          </w:p>
        </w:tc>
        <w:tc>
          <w:tcPr>
            <w:tcW w:w="1625" w:type="dxa"/>
          </w:tcPr>
          <w:p w:rsidR="00EA6945" w:rsidRPr="00B90593" w:rsidRDefault="00EA6945" w:rsidP="0055782C">
            <w:pPr>
              <w:ind w:left="65" w:right="68"/>
            </w:pPr>
            <w:r w:rsidRPr="00B90593">
              <w:t>AUC</w:t>
            </w:r>
            <w:r w:rsidR="00B90593">
              <w:t xml:space="preserve"> </w:t>
            </w:r>
            <w:r w:rsidRPr="00B90593">
              <w:t>(</w:t>
            </w:r>
            <w:proofErr w:type="spellStart"/>
            <w:r w:rsidRPr="00B90593">
              <w:t>ng·d</w:t>
            </w:r>
            <w:proofErr w:type="spellEnd"/>
            <w:r w:rsidRPr="00B90593">
              <w:t>/L)</w:t>
            </w:r>
          </w:p>
        </w:tc>
        <w:tc>
          <w:tcPr>
            <w:tcW w:w="1701" w:type="dxa"/>
          </w:tcPr>
          <w:p w:rsidR="00EA6945" w:rsidRPr="00B90593" w:rsidRDefault="00EA6945" w:rsidP="0055782C">
            <w:pPr>
              <w:ind w:left="0" w:right="68"/>
            </w:pPr>
            <w:proofErr w:type="spellStart"/>
            <w:r w:rsidRPr="00B90593">
              <w:t>C</w:t>
            </w:r>
            <w:r w:rsidRPr="00B90593">
              <w:rPr>
                <w:vertAlign w:val="subscript"/>
              </w:rPr>
              <w:t>max</w:t>
            </w:r>
            <w:proofErr w:type="spellEnd"/>
            <w:r w:rsidRPr="00B90593">
              <w:t xml:space="preserve"> (</w:t>
            </w:r>
            <w:proofErr w:type="spellStart"/>
            <w:r w:rsidRPr="00B90593">
              <w:t>ng</w:t>
            </w:r>
            <w:proofErr w:type="spellEnd"/>
            <w:r w:rsidRPr="00B90593">
              <w:t>/L</w:t>
            </w:r>
            <w:r w:rsidR="00B90593">
              <w:t>)</w:t>
            </w:r>
          </w:p>
        </w:tc>
        <w:tc>
          <w:tcPr>
            <w:tcW w:w="1842" w:type="dxa"/>
          </w:tcPr>
          <w:p w:rsidR="00EA6945" w:rsidRPr="00B90593" w:rsidRDefault="00EA6945" w:rsidP="0055782C">
            <w:pPr>
              <w:ind w:left="0" w:right="67"/>
            </w:pPr>
            <w:proofErr w:type="spellStart"/>
            <w:r w:rsidRPr="00B90593">
              <w:t>T</w:t>
            </w:r>
            <w:r w:rsidRPr="00B90593">
              <w:rPr>
                <w:vertAlign w:val="subscript"/>
              </w:rPr>
              <w:t>max</w:t>
            </w:r>
            <w:proofErr w:type="spellEnd"/>
            <w:r w:rsidRPr="00B90593">
              <w:t xml:space="preserve"> (d</w:t>
            </w:r>
            <w:r w:rsidR="00B90593">
              <w:t>ay</w:t>
            </w:r>
            <w:r w:rsidRPr="00B90593">
              <w:t>)</w:t>
            </w:r>
          </w:p>
        </w:tc>
        <w:tc>
          <w:tcPr>
            <w:tcW w:w="1560" w:type="dxa"/>
          </w:tcPr>
          <w:p w:rsidR="00EA6945" w:rsidRPr="00B90593" w:rsidRDefault="00EA6945" w:rsidP="0055782C">
            <w:pPr>
              <w:ind w:left="0" w:right="68"/>
            </w:pPr>
            <w:proofErr w:type="spellStart"/>
            <w:r w:rsidRPr="00B90593">
              <w:t>C</w:t>
            </w:r>
            <w:r w:rsidRPr="00B90593">
              <w:rPr>
                <w:vertAlign w:val="subscript"/>
              </w:rPr>
              <w:t>av</w:t>
            </w:r>
            <w:proofErr w:type="spellEnd"/>
            <w:r w:rsidRPr="00B90593">
              <w:t xml:space="preserve"> (</w:t>
            </w:r>
            <w:proofErr w:type="spellStart"/>
            <w:r w:rsidRPr="00B90593">
              <w:t>ng</w:t>
            </w:r>
            <w:proofErr w:type="spellEnd"/>
            <w:r w:rsidRPr="00B90593">
              <w:t>/L)</w:t>
            </w:r>
          </w:p>
        </w:tc>
      </w:tr>
      <w:tr w:rsidR="00EA6945" w:rsidRPr="00B90593" w:rsidTr="0055782C">
        <w:tc>
          <w:tcPr>
            <w:tcW w:w="1636" w:type="dxa"/>
          </w:tcPr>
          <w:p w:rsidR="00EA6945" w:rsidRPr="00B90593" w:rsidRDefault="00EA6945" w:rsidP="0055782C">
            <w:pPr>
              <w:ind w:left="0" w:right="2"/>
            </w:pPr>
            <w:r w:rsidRPr="00B90593">
              <w:t>Jaydess:</w:t>
            </w:r>
            <w:r w:rsidR="00B90593">
              <w:t xml:space="preserve"> </w:t>
            </w:r>
            <w:r w:rsidRPr="00B90593">
              <w:t>LCS12</w:t>
            </w:r>
          </w:p>
        </w:tc>
        <w:tc>
          <w:tcPr>
            <w:tcW w:w="1625" w:type="dxa"/>
          </w:tcPr>
          <w:p w:rsidR="00EA6945" w:rsidRPr="00B90593" w:rsidRDefault="00EA6945" w:rsidP="0055782C">
            <w:pPr>
              <w:ind w:left="65" w:right="68"/>
            </w:pPr>
            <w:r w:rsidRPr="00B90593">
              <w:t>76461 (41.6%)</w:t>
            </w:r>
          </w:p>
        </w:tc>
        <w:tc>
          <w:tcPr>
            <w:tcW w:w="1701" w:type="dxa"/>
          </w:tcPr>
          <w:p w:rsidR="00EA6945" w:rsidRPr="00B90593" w:rsidRDefault="00EA6945" w:rsidP="0055782C">
            <w:pPr>
              <w:ind w:left="0" w:right="68"/>
            </w:pPr>
            <w:r w:rsidRPr="00B90593">
              <w:t>171 (52.1%)</w:t>
            </w:r>
          </w:p>
        </w:tc>
        <w:tc>
          <w:tcPr>
            <w:tcW w:w="1842" w:type="dxa"/>
          </w:tcPr>
          <w:p w:rsidR="00EA6945" w:rsidRPr="00B90593" w:rsidRDefault="00EA6945" w:rsidP="0055782C">
            <w:pPr>
              <w:ind w:left="0" w:right="67"/>
            </w:pPr>
            <w:r w:rsidRPr="00B90593">
              <w:t>2.00 (1.00-16.0)</w:t>
            </w:r>
          </w:p>
        </w:tc>
        <w:tc>
          <w:tcPr>
            <w:tcW w:w="1560" w:type="dxa"/>
          </w:tcPr>
          <w:p w:rsidR="00EA6945" w:rsidRPr="00B90593" w:rsidRDefault="00EA6945" w:rsidP="0055782C">
            <w:pPr>
              <w:ind w:left="0" w:right="68"/>
            </w:pPr>
            <w:r w:rsidRPr="00B90593">
              <w:t>70.0 (42.3%)</w:t>
            </w:r>
          </w:p>
        </w:tc>
      </w:tr>
    </w:tbl>
    <w:p w:rsidR="00B90593" w:rsidRPr="001A1109" w:rsidRDefault="00B90593" w:rsidP="0055782C">
      <w:pPr>
        <w:pStyle w:val="TableDescription"/>
      </w:pPr>
      <w:r w:rsidRPr="001A1109">
        <w:t xml:space="preserve">AUC: area under the concentration-time curve; </w:t>
      </w:r>
      <w:proofErr w:type="spellStart"/>
      <w:r w:rsidR="001A1109" w:rsidRPr="001A1109">
        <w:t>C</w:t>
      </w:r>
      <w:r w:rsidR="001A1109" w:rsidRPr="001A1109">
        <w:rPr>
          <w:vertAlign w:val="subscript"/>
        </w:rPr>
        <w:t>av</w:t>
      </w:r>
      <w:proofErr w:type="spellEnd"/>
      <w:r w:rsidR="001A1109" w:rsidRPr="001A1109">
        <w:t xml:space="preserve"> = average concentration.</w:t>
      </w:r>
    </w:p>
    <w:p w:rsidR="00EA6945" w:rsidRDefault="00EA6945" w:rsidP="0055782C">
      <w:r w:rsidRPr="004C3DF2">
        <w:t xml:space="preserve">Using sparse blood sampling from women in both studies, a population PK model was established with typical serum concentrations of </w:t>
      </w:r>
      <w:r w:rsidR="00B90593" w:rsidRPr="00B90593">
        <w:t>levonorgestrel</w:t>
      </w:r>
      <w:r w:rsidRPr="004C3DF2">
        <w:t xml:space="preserve"> as follows:</w:t>
      </w:r>
    </w:p>
    <w:p w:rsidR="001A1109" w:rsidRDefault="004251D5" w:rsidP="0055782C">
      <w:pPr>
        <w:pStyle w:val="TableTitle"/>
      </w:pPr>
      <w:proofErr w:type="gramStart"/>
      <w:r>
        <w:t xml:space="preserve">Table </w:t>
      </w:r>
      <w:r w:rsidR="009229DA">
        <w:t>7</w:t>
      </w:r>
      <w:r w:rsidR="001A1109">
        <w:t>.</w:t>
      </w:r>
      <w:proofErr w:type="gramEnd"/>
      <w:r w:rsidR="001A1109">
        <w:t xml:space="preserve"> Geometric mean and the 5</w:t>
      </w:r>
      <w:r w:rsidR="001A1109" w:rsidRPr="001A1109">
        <w:rPr>
          <w:vertAlign w:val="superscript"/>
        </w:rPr>
        <w:t>th</w:t>
      </w:r>
      <w:r w:rsidR="001A1109">
        <w:t xml:space="preserve"> and 95</w:t>
      </w:r>
      <w:r w:rsidR="001A1109" w:rsidRPr="001A1109">
        <w:rPr>
          <w:vertAlign w:val="superscript"/>
        </w:rPr>
        <w:t>th</w:t>
      </w:r>
      <w:r w:rsidR="001A1109">
        <w:t xml:space="preserve"> percentile of </w:t>
      </w:r>
      <w:r w:rsidR="001A1109" w:rsidRPr="001A1109">
        <w:t>levonorgestrel</w:t>
      </w:r>
      <w:r w:rsidR="001A1109">
        <w:t xml:space="preserve"> serum concentrations after insertion of LCS12 (data in </w:t>
      </w:r>
      <w:proofErr w:type="spellStart"/>
      <w:r w:rsidR="001A1109">
        <w:t>ng</w:t>
      </w:r>
      <w:proofErr w:type="spellEnd"/>
      <w:r w:rsidR="001A1109">
        <w:t xml:space="preserve">/mL) </w:t>
      </w:r>
    </w:p>
    <w:p w:rsidR="001A1109" w:rsidRPr="004C3DF2" w:rsidRDefault="001A1109" w:rsidP="0055782C">
      <w:r>
        <w:rPr>
          <w:noProof/>
          <w:lang w:eastAsia="en-AU"/>
        </w:rPr>
        <w:drawing>
          <wp:inline distT="0" distB="0" distL="0" distR="0" wp14:anchorId="23CB8592" wp14:editId="51D004E9">
            <wp:extent cx="5400040" cy="676775"/>
            <wp:effectExtent l="19050" t="0" r="0" b="0"/>
            <wp:docPr id="10" name="Picture 2" descr="Table 7. Geometric mean and the 5th and 95th percentile of levonorgestrel serum concentrations after insertion of LCS12 (data in ng/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400040" cy="676775"/>
                    </a:xfrm>
                    <a:prstGeom prst="rect">
                      <a:avLst/>
                    </a:prstGeom>
                    <a:noFill/>
                    <a:ln w="9525">
                      <a:noFill/>
                      <a:miter lim="800000"/>
                      <a:headEnd/>
                      <a:tailEnd/>
                    </a:ln>
                  </pic:spPr>
                </pic:pic>
              </a:graphicData>
            </a:graphic>
          </wp:inline>
        </w:drawing>
      </w:r>
    </w:p>
    <w:p w:rsidR="00EA6945" w:rsidRPr="004C3DF2" w:rsidRDefault="00EA6945" w:rsidP="0055782C">
      <w:r w:rsidRPr="004C3DF2">
        <w:t>In comparison, data from Study 229, for a single oral dose of levonorgestrel 30 µg (</w:t>
      </w:r>
      <w:proofErr w:type="spellStart"/>
      <w:r w:rsidRPr="004C3DF2">
        <w:t>M</w:t>
      </w:r>
      <w:r w:rsidR="001A1109">
        <w:t>icrolut</w:t>
      </w:r>
      <w:proofErr w:type="spellEnd"/>
      <w:r w:rsidRPr="004C3DF2">
        <w:t xml:space="preserve">) (n = 18), the arithmetic mean for serum </w:t>
      </w:r>
      <w:proofErr w:type="spellStart"/>
      <w:r w:rsidR="00B90593" w:rsidRPr="00B90593">
        <w:t>levonorgestrel</w:t>
      </w:r>
      <w:proofErr w:type="spellEnd"/>
      <w:r w:rsidRPr="004C3DF2">
        <w:t xml:space="preserve"> </w:t>
      </w:r>
      <w:proofErr w:type="spellStart"/>
      <w:r w:rsidRPr="004C3DF2">
        <w:t>C</w:t>
      </w:r>
      <w:r w:rsidRPr="001A1109">
        <w:rPr>
          <w:vertAlign w:val="subscript"/>
        </w:rPr>
        <w:t>max</w:t>
      </w:r>
      <w:proofErr w:type="spellEnd"/>
      <w:r w:rsidRPr="004C3DF2">
        <w:t xml:space="preserve"> was 760 </w:t>
      </w:r>
      <w:proofErr w:type="spellStart"/>
      <w:r w:rsidRPr="004C3DF2">
        <w:t>ng</w:t>
      </w:r>
      <w:proofErr w:type="spellEnd"/>
      <w:r w:rsidRPr="004C3DF2">
        <w:t>/L (CV 35.2%).</w:t>
      </w:r>
    </w:p>
    <w:p w:rsidR="00EA6945" w:rsidRPr="0055782C" w:rsidRDefault="00EA6945" w:rsidP="0055782C">
      <w:pPr>
        <w:pStyle w:val="Heading4"/>
      </w:pPr>
      <w:r w:rsidRPr="004C3DF2">
        <w:t>Pharmaco</w:t>
      </w:r>
      <w:r w:rsidR="001A1109">
        <w:t>dynamics</w:t>
      </w:r>
    </w:p>
    <w:p w:rsidR="00EA6945" w:rsidRPr="004C3DF2" w:rsidRDefault="00EA6945" w:rsidP="0055782C">
      <w:r w:rsidRPr="004C3DF2">
        <w:t>In A46796 available progesterone levels (n = 53) suggested ovulation for all women treated with LCS12 (</w:t>
      </w:r>
      <w:r w:rsidR="00B90593" w:rsidRPr="00B90593">
        <w:t>Jaydess</w:t>
      </w:r>
      <w:r w:rsidRPr="004C3DF2">
        <w:t xml:space="preserve">, n = 21), compared to no evidence of ovulation for 2 women treated with LCS 16 (n = 15) in year 1. For </w:t>
      </w:r>
      <w:r w:rsidR="00B90593">
        <w:t>Mirena</w:t>
      </w:r>
      <w:r w:rsidRPr="004C3DF2">
        <w:t xml:space="preserve"> (n = 17), levels suggested no ovulation for 4 women in year 1, 2 during year 2, and 1 d</w:t>
      </w:r>
      <w:r w:rsidR="001A1109">
        <w:t>uring year 3. From the pivotal S</w:t>
      </w:r>
      <w:r w:rsidRPr="004C3DF2">
        <w:t>tudy A52238, the tabulation of ovulation assessment by progesterone levels in each year</w:t>
      </w:r>
      <w:r w:rsidR="001A1109">
        <w:t xml:space="preserve"> </w:t>
      </w:r>
      <w:r w:rsidRPr="004C3DF2">
        <w:t xml:space="preserve">for the </w:t>
      </w:r>
      <w:r w:rsidR="00B90593">
        <w:t>Jaydess</w:t>
      </w:r>
      <w:r w:rsidRPr="004C3DF2">
        <w:t xml:space="preserve"> subset</w:t>
      </w:r>
      <w:r w:rsidR="001A1109">
        <w:t xml:space="preserve"> showed</w:t>
      </w:r>
      <w:r w:rsidRPr="004C3DF2">
        <w:t xml:space="preserve"> 13/14 had levels consistent with ovulation in year1, 10/11 in year 2 and 11/11 in year 3.</w:t>
      </w:r>
    </w:p>
    <w:p w:rsidR="00EA6945" w:rsidRPr="004C3DF2" w:rsidRDefault="00EA6945" w:rsidP="0055782C">
      <w:r w:rsidRPr="004C3DF2">
        <w:t xml:space="preserve">Effects on the cervix were determined by cervical scores in subsets of women both studies, n = 53 in A46796 (mean total score 3.6 LCS12 </w:t>
      </w:r>
      <w:r w:rsidR="001A1109">
        <w:t xml:space="preserve">versus </w:t>
      </w:r>
      <w:r w:rsidRPr="004C3DF2">
        <w:t xml:space="preserve">3.5 </w:t>
      </w:r>
      <w:r w:rsidR="00B90593">
        <w:t>Mirena</w:t>
      </w:r>
      <w:r w:rsidRPr="004C3DF2">
        <w:t xml:space="preserve">) and n = 39 in A52238 (mean total score 3.1 LCS12 </w:t>
      </w:r>
      <w:r w:rsidR="001A1109">
        <w:t>versus 2.9 LCS</w:t>
      </w:r>
      <w:r w:rsidRPr="004C3DF2">
        <w:t xml:space="preserve">16). Low scores indicated thickening of cervical mucus for all treatments. Endometrial biopsies were taken on a yearly basis up to the end of the 3 year period in subsets of 30 per treatment arm in both studies. A strong progestin effect and secretory endometrium was observed in the majority of cases indicating a high degree of endometrial suppression during treatment (see </w:t>
      </w:r>
      <w:r w:rsidR="00FE1FC7" w:rsidRPr="00FE1FC7">
        <w:rPr>
          <w:i/>
          <w:iCs/>
        </w:rPr>
        <w:t>Clinical s</w:t>
      </w:r>
      <w:r w:rsidRPr="001A1109">
        <w:rPr>
          <w:i/>
          <w:iCs/>
        </w:rPr>
        <w:t>afety</w:t>
      </w:r>
      <w:r w:rsidR="001A1109">
        <w:t xml:space="preserve"> below</w:t>
      </w:r>
      <w:r w:rsidRPr="004C3DF2">
        <w:t xml:space="preserve">). </w:t>
      </w:r>
    </w:p>
    <w:p w:rsidR="00EA6945" w:rsidRPr="004C3DF2" w:rsidRDefault="00EA6945" w:rsidP="004B04AC">
      <w:r w:rsidRPr="004C3DF2">
        <w:t xml:space="preserve">Individual values for available serum oestradiol concentrations (taken twice a week each week for 6 weeks each year, in a subset of approximately 20 women per treatment arm in each study) were stated to fall into the range for normal menstrual cycles; </w:t>
      </w:r>
      <w:proofErr w:type="spellStart"/>
      <w:r w:rsidRPr="004C3DF2">
        <w:t>C</w:t>
      </w:r>
      <w:r w:rsidRPr="001A1109">
        <w:rPr>
          <w:vertAlign w:val="subscript"/>
        </w:rPr>
        <w:t>av</w:t>
      </w:r>
      <w:proofErr w:type="spellEnd"/>
      <w:r w:rsidRPr="004C3DF2">
        <w:t xml:space="preserve"> values were between 98.8 and 126.6 pg/mL.</w:t>
      </w:r>
    </w:p>
    <w:p w:rsidR="00EA6945" w:rsidRPr="004C3DF2" w:rsidRDefault="00EA6945" w:rsidP="004B04AC">
      <w:r w:rsidRPr="004C3DF2">
        <w:t>In A52238 in a subset of 205 subjects (LCS12 n = 102, LCS16 n = 103) there was no decrease in mean BMD; see under Clinical Safety.</w:t>
      </w:r>
    </w:p>
    <w:p w:rsidR="00EA6945" w:rsidRPr="004C3DF2" w:rsidRDefault="00EA6945" w:rsidP="004B04AC">
      <w:r w:rsidRPr="004C3DF2">
        <w:t xml:space="preserve">In A52238 a subset (n = 12) had serum silver concentrations determined prior to and during treatment; no increases were detected with all concentrations except one pre-dose measurement below LLOQ of the </w:t>
      </w:r>
      <w:proofErr w:type="spellStart"/>
      <w:r w:rsidRPr="004C3DF2">
        <w:t>bioanalytical</w:t>
      </w:r>
      <w:proofErr w:type="spellEnd"/>
      <w:r w:rsidRPr="004C3DF2">
        <w:t xml:space="preserve"> method, 1 </w:t>
      </w:r>
      <m:oMath>
        <m:r>
          <m:rPr>
            <m:sty m:val="p"/>
          </m:rPr>
          <w:rPr>
            <w:rFonts w:ascii="Cambria Math" w:hAnsi="Cambria Math"/>
          </w:rPr>
          <m:t>µ</m:t>
        </m:r>
      </m:oMath>
      <w:r w:rsidRPr="004C3DF2">
        <w:t xml:space="preserve">g/mL; this LLOQ is within the range measured in populations not exposed to occupational silver, 0.072 to 1.4 </w:t>
      </w:r>
      <m:oMath>
        <m:r>
          <m:rPr>
            <m:sty m:val="p"/>
          </m:rPr>
          <w:rPr>
            <w:rFonts w:ascii="Cambria Math" w:hAnsi="Cambria Math"/>
          </w:rPr>
          <m:t>µ</m:t>
        </m:r>
      </m:oMath>
      <w:r w:rsidRPr="004C3DF2">
        <w:t>g/mL.</w:t>
      </w:r>
    </w:p>
    <w:p w:rsidR="00EA6945" w:rsidRPr="004B04AC" w:rsidRDefault="001A1109" w:rsidP="004B04AC">
      <w:pPr>
        <w:pStyle w:val="Heading4"/>
      </w:pPr>
      <w:r>
        <w:lastRenderedPageBreak/>
        <w:t>Clinical efficacy</w:t>
      </w:r>
    </w:p>
    <w:p w:rsidR="00EA6945" w:rsidRPr="004B04AC" w:rsidRDefault="00EA6945" w:rsidP="004B04AC">
      <w:pPr>
        <w:pStyle w:val="Heading5"/>
      </w:pPr>
      <w:r w:rsidRPr="004C3DF2">
        <w:t xml:space="preserve">Dose finding </w:t>
      </w:r>
      <w:r w:rsidR="004B04AC">
        <w:t>s</w:t>
      </w:r>
      <w:r w:rsidRPr="004C3DF2">
        <w:t>tudy A46796</w:t>
      </w:r>
    </w:p>
    <w:p w:rsidR="00EA6945" w:rsidRPr="004C3DF2" w:rsidRDefault="001A1109" w:rsidP="004C63DC">
      <w:r>
        <w:t>This was a Phase II</w:t>
      </w:r>
      <w:r w:rsidR="00EA6945" w:rsidRPr="004C3DF2">
        <w:t xml:space="preserve"> dose-finding multicentre randomised study in 5 European countries comparing LCS12 (n = 239), LCS16 (n = 245) and </w:t>
      </w:r>
      <w:r w:rsidR="00B90593">
        <w:t>Mirena</w:t>
      </w:r>
      <w:r w:rsidR="00EA6945" w:rsidRPr="004C3DF2">
        <w:t xml:space="preserve"> (n = 254) in parous and nulliparous women aged 21-40 years for 3 years. The mean age was about 32 years; the demographic and baseline characteristics of treatment groups were comparable. Of the 738 women, 159 were nulliparous (21.5%). A total of 208 women (28%, treatment groups comparable) discontinued study medication prematurely. Correct position of IUS in uterine cavity was seen in &gt; 96% of women in all groups, and no difference in correct position of the IUS was seen between parous and nulliparous women. Total exposure was comparable; LCS12: 601.68 WY; LCS16: 611.48 WY; </w:t>
      </w:r>
      <w:r w:rsidR="00B90593">
        <w:t>Mirena</w:t>
      </w:r>
      <w:r w:rsidR="00EA6945" w:rsidRPr="004C3DF2">
        <w:t>: 627.94 WY. The test IUS did not include the silver ring.</w:t>
      </w:r>
    </w:p>
    <w:p w:rsidR="001A1109" w:rsidRDefault="00EA6945" w:rsidP="004C63DC">
      <w:pPr>
        <w:pStyle w:val="Heading6"/>
      </w:pPr>
      <w:r w:rsidRPr="004C3DF2">
        <w:t xml:space="preserve">Primary </w:t>
      </w:r>
      <w:r w:rsidR="001A1109">
        <w:t xml:space="preserve">variable: unintended </w:t>
      </w:r>
      <w:r w:rsidR="001A1109" w:rsidRPr="004C63DC">
        <w:t>pregnancy</w:t>
      </w:r>
    </w:p>
    <w:p w:rsidR="00EA6945" w:rsidRPr="004C3DF2" w:rsidRDefault="00EA6945" w:rsidP="004C63DC">
      <w:r w:rsidRPr="004C3DF2">
        <w:t xml:space="preserve">There was one pregnancy in the LCS12 group, an ectopic pregnancy in the second year of treatment, compared to 5 in the LCS16 group (2 were ectopic) and nil in the </w:t>
      </w:r>
      <w:r w:rsidR="00B90593">
        <w:t>Mirena</w:t>
      </w:r>
      <w:r w:rsidRPr="004C3DF2">
        <w:t xml:space="preserve"> group.</w:t>
      </w:r>
    </w:p>
    <w:p w:rsidR="00EA6945" w:rsidRDefault="00EA6945" w:rsidP="004C63DC">
      <w:r w:rsidRPr="004C3DF2">
        <w:t>Thus the 3-year Pearl Indices (UL of 95%</w:t>
      </w:r>
      <w:r w:rsidR="00AA2D96">
        <w:t xml:space="preserve"> </w:t>
      </w:r>
      <w:r w:rsidRPr="004C3DF2">
        <w:t xml:space="preserve">CI) were: LCS12: 0.17 (0.93), LCS16: 0.82 (1.92), </w:t>
      </w:r>
      <w:r w:rsidR="00B90593">
        <w:t>Mirena</w:t>
      </w:r>
      <w:r w:rsidRPr="004C3DF2">
        <w:t>: 0 (0.59) as shown below:</w:t>
      </w:r>
    </w:p>
    <w:p w:rsidR="001A1109" w:rsidRDefault="001A1109" w:rsidP="004C63DC">
      <w:pPr>
        <w:pStyle w:val="TableTitle"/>
      </w:pPr>
      <w:proofErr w:type="gramStart"/>
      <w:r>
        <w:t xml:space="preserve">Table </w:t>
      </w:r>
      <w:r w:rsidR="009229DA">
        <w:t>8</w:t>
      </w:r>
      <w:r>
        <w:t>.</w:t>
      </w:r>
      <w:proofErr w:type="gramEnd"/>
      <w:r>
        <w:t xml:space="preserve"> Study </w:t>
      </w:r>
      <w:r w:rsidR="00EA6945" w:rsidRPr="001A1109">
        <w:t>A46796</w:t>
      </w:r>
      <w:r>
        <w:t>. Unadjusted Pearl Indices</w:t>
      </w:r>
    </w:p>
    <w:p w:rsidR="001A1109" w:rsidRPr="004C3DF2" w:rsidRDefault="001A1109" w:rsidP="004C63DC">
      <w:r>
        <w:rPr>
          <w:noProof/>
          <w:lang w:eastAsia="en-AU"/>
        </w:rPr>
        <w:drawing>
          <wp:inline distT="0" distB="0" distL="0" distR="0" wp14:anchorId="34593470" wp14:editId="5D3D85B3">
            <wp:extent cx="4830535" cy="2238782"/>
            <wp:effectExtent l="19050" t="0" r="8165" b="0"/>
            <wp:docPr id="11" name="Picture 5" descr="Table 8. Study A46796. Unadjusted Pearl I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828751" cy="2237955"/>
                    </a:xfrm>
                    <a:prstGeom prst="rect">
                      <a:avLst/>
                    </a:prstGeom>
                    <a:noFill/>
                    <a:ln w="9525">
                      <a:noFill/>
                      <a:miter lim="800000"/>
                      <a:headEnd/>
                      <a:tailEnd/>
                    </a:ln>
                  </pic:spPr>
                </pic:pic>
              </a:graphicData>
            </a:graphic>
          </wp:inline>
        </w:drawing>
      </w:r>
    </w:p>
    <w:p w:rsidR="00EA6945" w:rsidRPr="009D0041" w:rsidRDefault="009D0041" w:rsidP="004C63DC">
      <w:pPr>
        <w:pStyle w:val="TableDescription"/>
      </w:pPr>
      <w:r w:rsidRPr="009D0041">
        <w:t>WY: women years; CIL: confidence interval limit</w:t>
      </w:r>
    </w:p>
    <w:p w:rsidR="00EA6945" w:rsidRDefault="00EA6945" w:rsidP="004C63DC">
      <w:r w:rsidRPr="004C3DF2">
        <w:t xml:space="preserve">The cumulative failure rate (Kaplan-Meier analysis) over 3 years was 0.005 for LCS12 </w:t>
      </w:r>
      <w:r w:rsidR="001A1109">
        <w:t>versus</w:t>
      </w:r>
      <w:r w:rsidRPr="004C3DF2">
        <w:t xml:space="preserve"> 0.0 in the </w:t>
      </w:r>
      <w:r w:rsidR="00B90593">
        <w:t>Mirena</w:t>
      </w:r>
      <w:r w:rsidRPr="004C3DF2">
        <w:t xml:space="preserve"> group:</w:t>
      </w:r>
    </w:p>
    <w:p w:rsidR="009D0041" w:rsidRPr="004C3DF2" w:rsidRDefault="009D0041" w:rsidP="004C63DC">
      <w:pPr>
        <w:pStyle w:val="TableTitle"/>
      </w:pPr>
      <w:proofErr w:type="gramStart"/>
      <w:r>
        <w:t xml:space="preserve">Table </w:t>
      </w:r>
      <w:r w:rsidR="009229DA">
        <w:t>9</w:t>
      </w:r>
      <w:r>
        <w:t>.</w:t>
      </w:r>
      <w:proofErr w:type="gramEnd"/>
      <w:r>
        <w:t xml:space="preserve"> Cumulative failure rates by year of treatment for all women and over 3 years of treatment, unadjusted – FAS, Study </w:t>
      </w:r>
      <w:r w:rsidRPr="009D0041">
        <w:t>A46796</w:t>
      </w:r>
      <w:r>
        <w:t xml:space="preserve"> </w:t>
      </w:r>
    </w:p>
    <w:p w:rsidR="00EA6945" w:rsidRPr="004C3DF2" w:rsidRDefault="00EA6945" w:rsidP="004C63DC">
      <w:r w:rsidRPr="004C3DF2">
        <w:rPr>
          <w:noProof/>
          <w:lang w:eastAsia="en-AU"/>
        </w:rPr>
        <w:drawing>
          <wp:inline distT="0" distB="0" distL="0" distR="0" wp14:anchorId="1C3F1C24" wp14:editId="3C274B13">
            <wp:extent cx="3891643" cy="2111829"/>
            <wp:effectExtent l="19050" t="0" r="0" b="0"/>
            <wp:docPr id="8" name="Picture 20" descr="Table 9. Cumulative failure rates by year of treatment for all women and over 3 years of treatment, unadjusted – FAS, Study A467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l="901" t="8491"/>
                    <a:stretch>
                      <a:fillRect/>
                    </a:stretch>
                  </pic:blipFill>
                  <pic:spPr bwMode="auto">
                    <a:xfrm>
                      <a:off x="0" y="0"/>
                      <a:ext cx="3891643" cy="2111829"/>
                    </a:xfrm>
                    <a:prstGeom prst="rect">
                      <a:avLst/>
                    </a:prstGeom>
                    <a:noFill/>
                    <a:ln w="9525">
                      <a:noFill/>
                      <a:miter lim="800000"/>
                      <a:headEnd/>
                      <a:tailEnd/>
                    </a:ln>
                  </pic:spPr>
                </pic:pic>
              </a:graphicData>
            </a:graphic>
          </wp:inline>
        </w:drawing>
      </w:r>
    </w:p>
    <w:p w:rsidR="009D0041" w:rsidRPr="004C63DC" w:rsidRDefault="009D0041" w:rsidP="004C63DC">
      <w:pPr>
        <w:pStyle w:val="Heading6"/>
      </w:pPr>
      <w:r>
        <w:lastRenderedPageBreak/>
        <w:t>Secondary variables</w:t>
      </w:r>
    </w:p>
    <w:p w:rsidR="00EA6945" w:rsidRDefault="00EA6945" w:rsidP="004C63DC">
      <w:r w:rsidRPr="004C3DF2">
        <w:t>Bleeding and spotting days decreased gradually after the first 90-day reference period over the 3 year study. This is summarised in the following table</w:t>
      </w:r>
      <w:r w:rsidR="009D0041">
        <w:t>; n</w:t>
      </w:r>
      <w:r w:rsidRPr="004C3DF2">
        <w:t>umbers 1 and 12 in the 2</w:t>
      </w:r>
      <w:r w:rsidRPr="009D0041">
        <w:rPr>
          <w:vertAlign w:val="superscript"/>
        </w:rPr>
        <w:t>nd</w:t>
      </w:r>
      <w:r w:rsidR="009D0041">
        <w:t xml:space="preserve"> </w:t>
      </w:r>
      <w:r w:rsidRPr="004C3DF2">
        <w:t>column refer to the sequential numbering of 90 day reference periods</w:t>
      </w:r>
      <w:r w:rsidR="009D0041">
        <w:t xml:space="preserve">, that is, </w:t>
      </w:r>
      <w:r w:rsidRPr="004C3DF2">
        <w:t>period 12 is the last in the 3 year study duration:</w:t>
      </w:r>
    </w:p>
    <w:p w:rsidR="009D0041" w:rsidRPr="004C3DF2" w:rsidRDefault="009229DA" w:rsidP="004C63DC">
      <w:pPr>
        <w:pStyle w:val="TableTitle"/>
      </w:pPr>
      <w:proofErr w:type="gramStart"/>
      <w:r>
        <w:t>Table 10</w:t>
      </w:r>
      <w:r w:rsidR="009D0041">
        <w:t>.</w:t>
      </w:r>
      <w:proofErr w:type="gramEnd"/>
      <w:r w:rsidR="009D0041">
        <w:t xml:space="preserve"> </w:t>
      </w:r>
      <w:r w:rsidR="009D0041" w:rsidRPr="009D0041">
        <w:t xml:space="preserve">Bleeding and spotting </w:t>
      </w:r>
      <w:r w:rsidR="009D0041">
        <w:t xml:space="preserve">episodes in Study </w:t>
      </w:r>
      <w:r w:rsidR="009D0041" w:rsidRPr="009D0041">
        <w:t xml:space="preserve">A46796 </w:t>
      </w:r>
    </w:p>
    <w:p w:rsidR="00EA6945" w:rsidRPr="004C3DF2" w:rsidRDefault="00EA6945" w:rsidP="004C63DC">
      <w:r w:rsidRPr="004C3DF2">
        <w:rPr>
          <w:noProof/>
          <w:lang w:eastAsia="en-AU"/>
        </w:rPr>
        <w:drawing>
          <wp:inline distT="0" distB="0" distL="0" distR="0" wp14:anchorId="4A77E202" wp14:editId="742632DA">
            <wp:extent cx="3713753" cy="1835177"/>
            <wp:effectExtent l="19050" t="0" r="997" b="0"/>
            <wp:docPr id="9" name="Picture 1" descr="Table 10. Bleeding and spotting episodes in Study A467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722560" cy="1839529"/>
                    </a:xfrm>
                    <a:prstGeom prst="rect">
                      <a:avLst/>
                    </a:prstGeom>
                    <a:noFill/>
                    <a:ln w="9525">
                      <a:noFill/>
                      <a:miter lim="800000"/>
                      <a:headEnd/>
                      <a:tailEnd/>
                    </a:ln>
                  </pic:spPr>
                </pic:pic>
              </a:graphicData>
            </a:graphic>
          </wp:inline>
        </w:drawing>
      </w:r>
    </w:p>
    <w:p w:rsidR="00EA6945" w:rsidRPr="004C3DF2" w:rsidRDefault="00EA6945" w:rsidP="004C63DC">
      <w:r w:rsidRPr="004C3DF2">
        <w:t xml:space="preserve">Amenorrhea was observed in 2.7%, 6.1% and 5.9% of subjects in the LCS12, LCS16 and </w:t>
      </w:r>
      <w:r w:rsidR="00B90593">
        <w:t>Mirena</w:t>
      </w:r>
      <w:r w:rsidRPr="004C3DF2">
        <w:t xml:space="preserve"> groups re</w:t>
      </w:r>
      <w:r w:rsidR="009D0041">
        <w:t xml:space="preserve">spectively during the second 90 </w:t>
      </w:r>
      <w:r w:rsidRPr="004C3DF2">
        <w:t>day reference period, increasing to 12.7%, 18.9</w:t>
      </w:r>
      <w:r w:rsidR="009D0041">
        <w:t xml:space="preserve">% and 23.6% during the final 90 </w:t>
      </w:r>
      <w:r w:rsidRPr="004C3DF2">
        <w:t>day reference period. From Month 7, 25% of women in all groups had 4 or more days bleeding in any one month.</w:t>
      </w:r>
    </w:p>
    <w:p w:rsidR="00EA6945" w:rsidRPr="004C63DC" w:rsidRDefault="009D0041" w:rsidP="004C63DC">
      <w:pPr>
        <w:pStyle w:val="Heading5"/>
      </w:pPr>
      <w:r>
        <w:t>Pivotal e</w:t>
      </w:r>
      <w:r w:rsidR="00EA6945" w:rsidRPr="004C3DF2">
        <w:t xml:space="preserve">fficacy </w:t>
      </w:r>
      <w:r w:rsidR="004C63DC">
        <w:t>s</w:t>
      </w:r>
      <w:r w:rsidR="00EA6945" w:rsidRPr="004C3DF2">
        <w:t>tudy A52238</w:t>
      </w:r>
    </w:p>
    <w:p w:rsidR="00EA6945" w:rsidRPr="004C3DF2" w:rsidRDefault="00EA6945" w:rsidP="004C63DC">
      <w:r w:rsidRPr="004C3DF2">
        <w:t>This was as a multi-centre</w:t>
      </w:r>
      <w:r w:rsidR="009D0041">
        <w:t>,</w:t>
      </w:r>
      <w:r w:rsidRPr="004C3DF2">
        <w:t xml:space="preserve"> open label</w:t>
      </w:r>
      <w:r w:rsidR="009D0041">
        <w:t>,</w:t>
      </w:r>
      <w:r w:rsidRPr="004C3DF2">
        <w:t xml:space="preserve"> randomised</w:t>
      </w:r>
      <w:r w:rsidR="009D0041">
        <w:t>,</w:t>
      </w:r>
      <w:r w:rsidRPr="004C3DF2">
        <w:t xml:space="preserve"> two-arm</w:t>
      </w:r>
      <w:r w:rsidR="009D0041">
        <w:t>,</w:t>
      </w:r>
      <w:r w:rsidRPr="004C3DF2">
        <w:t xml:space="preserve"> parallel-group study in 11 countries in Europe and North and South America, in healthy women aged 18-35 years, nulliparous or parous, in need of contraception. The study was uncontrolled</w:t>
      </w:r>
      <w:r w:rsidR="009D0041">
        <w:t xml:space="preserve">, that is, </w:t>
      </w:r>
      <w:r w:rsidRPr="004C3DF2">
        <w:t xml:space="preserve">both arms were test products; women were randomised to one of two doses of the low dose levonorgestrel IUS, described by intended </w:t>
      </w:r>
      <w:r w:rsidRPr="009D0041">
        <w:rPr>
          <w:i/>
          <w:iCs/>
        </w:rPr>
        <w:t>in vitro</w:t>
      </w:r>
      <w:r w:rsidRPr="004C3DF2">
        <w:t xml:space="preserve"> release rates 12</w:t>
      </w:r>
      <w:r w:rsidR="009D0041">
        <w:t xml:space="preserve"> </w:t>
      </w:r>
      <w:r w:rsidRPr="004C3DF2">
        <w:t>µg/24 h</w:t>
      </w:r>
      <w:r w:rsidR="009D0041">
        <w:t xml:space="preserve"> (LCS</w:t>
      </w:r>
      <w:r w:rsidRPr="004C3DF2">
        <w:t>12, ‘</w:t>
      </w:r>
      <w:r w:rsidR="00B90593">
        <w:t>Jaydess</w:t>
      </w:r>
      <w:r w:rsidRPr="004C3DF2">
        <w:t>’)</w:t>
      </w:r>
      <w:r w:rsidR="009D0041">
        <w:t xml:space="preserve"> </w:t>
      </w:r>
      <w:r w:rsidRPr="004C3DF2">
        <w:t>and 16</w:t>
      </w:r>
      <w:r w:rsidR="009D0041">
        <w:t xml:space="preserve"> </w:t>
      </w:r>
      <w:r w:rsidRPr="004C3DF2">
        <w:t>µg/24 h (LCS16). In this study the base</w:t>
      </w:r>
      <w:r w:rsidR="009D0041">
        <w:t xml:space="preserve"> intrauterine device </w:t>
      </w:r>
      <w:r w:rsidRPr="004C3DF2">
        <w:t xml:space="preserve">had the silver profile added, as proposed for registration. The </w:t>
      </w:r>
      <w:r w:rsidR="009D0041">
        <w:t xml:space="preserve">clinical </w:t>
      </w:r>
      <w:r w:rsidRPr="004C3DF2">
        <w:t>evaluator noted there was no difference in correct position of the IUS between parous and nulliparous women. Women were not aware of which IUS had been inserted until the end of the 3 year period, when those with LCS16 could be included in the extensi</w:t>
      </w:r>
      <w:r w:rsidR="004C63DC">
        <w:t>on phase up to 5 years.</w:t>
      </w:r>
    </w:p>
    <w:p w:rsidR="00EA6945" w:rsidRPr="004C3DF2" w:rsidRDefault="00EA6945" w:rsidP="004C63DC">
      <w:r w:rsidRPr="004C3DF2">
        <w:t>The full analysis set included 2884 participants in total; LCS12 n = 1432, LCS16 n = 1452. Total exposure times (</w:t>
      </w:r>
      <w:r w:rsidR="009D0041">
        <w:t>women years (</w:t>
      </w:r>
      <w:r w:rsidRPr="004C3DF2">
        <w:t>WY</w:t>
      </w:r>
      <w:r w:rsidR="009D0041">
        <w:t>)</w:t>
      </w:r>
      <w:r w:rsidRPr="004C3DF2">
        <w:t xml:space="preserve">) were LCS12 1217.78 </w:t>
      </w:r>
      <w:r w:rsidR="001A1109">
        <w:t>versus</w:t>
      </w:r>
      <w:r w:rsidRPr="004C3DF2">
        <w:t xml:space="preserve"> LCS16 1252.78 over the first year, and 3058.62 </w:t>
      </w:r>
      <w:r w:rsidR="001A1109">
        <w:t>versus</w:t>
      </w:r>
      <w:r w:rsidRPr="004C3DF2">
        <w:t xml:space="preserve"> 3211.36 over 3 years.</w:t>
      </w:r>
    </w:p>
    <w:p w:rsidR="00EA6945" w:rsidRPr="004C3DF2" w:rsidRDefault="00EA6945" w:rsidP="004C63DC">
      <w:r w:rsidRPr="004C3DF2">
        <w:t>Primary efficacy was measured by the pregnancy rate, calculated as the Pearl Index (pregnancies per 100 WY) and by life table analysis. There were 10 pregnancies over 3 years in each group.</w:t>
      </w:r>
    </w:p>
    <w:p w:rsidR="00EA6945" w:rsidRPr="004C3DF2" w:rsidRDefault="00EA6945" w:rsidP="004C63DC">
      <w:r w:rsidRPr="004C3DF2">
        <w:t>The 3 year unadjusted Pear</w:t>
      </w:r>
      <w:r w:rsidR="00634D11">
        <w:t>l</w:t>
      </w:r>
      <w:r w:rsidRPr="004C3DF2">
        <w:t xml:space="preserve"> Index (UL of 95%</w:t>
      </w:r>
      <w:r w:rsidR="009D0041">
        <w:t xml:space="preserve"> </w:t>
      </w:r>
      <w:r w:rsidRPr="004C3DF2">
        <w:t>CI) was 0.33 (0.60) for LCS12 and 0.31 (0.57) for LCS16:</w:t>
      </w:r>
    </w:p>
    <w:p w:rsidR="00EA6945" w:rsidRPr="00C836A2" w:rsidRDefault="009D0041" w:rsidP="004C63DC">
      <w:pPr>
        <w:pStyle w:val="TableTitle"/>
      </w:pPr>
      <w:proofErr w:type="gramStart"/>
      <w:r w:rsidRPr="00C836A2">
        <w:lastRenderedPageBreak/>
        <w:t xml:space="preserve">Table </w:t>
      </w:r>
      <w:r w:rsidR="009229DA">
        <w:t>11</w:t>
      </w:r>
      <w:r w:rsidRPr="00C836A2">
        <w:t>.</w:t>
      </w:r>
      <w:proofErr w:type="gramEnd"/>
      <w:r w:rsidRPr="00C836A2">
        <w:t xml:space="preserve"> Pearl Indices by year of treatment for women 18 to 35 years of age, 3-year and Year 1 Pearl Indices by subgroup and treatment, unadjusted – FAS, Study </w:t>
      </w:r>
      <w:r w:rsidR="00C836A2">
        <w:t>A52238</w:t>
      </w:r>
    </w:p>
    <w:p w:rsidR="00EA6945" w:rsidRPr="004C3DF2" w:rsidRDefault="00EA6945" w:rsidP="004C63DC">
      <w:r w:rsidRPr="004C3DF2">
        <w:rPr>
          <w:noProof/>
          <w:lang w:eastAsia="en-AU"/>
        </w:rPr>
        <w:drawing>
          <wp:inline distT="0" distB="0" distL="0" distR="0" wp14:anchorId="7879C403" wp14:editId="726199CD">
            <wp:extent cx="4950006" cy="1404257"/>
            <wp:effectExtent l="19050" t="0" r="2994" b="0"/>
            <wp:docPr id="16" name="Picture 18" descr="Table 11. Pearl Indices by year of treatment for women 18 to 35 years of age, 3-year and Year 1 Pearl Indices by subgroup and treatment, unadjusted – FAS, Study A5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t="22754"/>
                    <a:stretch>
                      <a:fillRect/>
                    </a:stretch>
                  </pic:blipFill>
                  <pic:spPr bwMode="auto">
                    <a:xfrm>
                      <a:off x="0" y="0"/>
                      <a:ext cx="4950006" cy="1404257"/>
                    </a:xfrm>
                    <a:prstGeom prst="rect">
                      <a:avLst/>
                    </a:prstGeom>
                    <a:noFill/>
                    <a:ln w="9525">
                      <a:noFill/>
                      <a:miter lim="800000"/>
                      <a:headEnd/>
                      <a:tailEnd/>
                    </a:ln>
                  </pic:spPr>
                </pic:pic>
              </a:graphicData>
            </a:graphic>
          </wp:inline>
        </w:drawing>
      </w:r>
    </w:p>
    <w:p w:rsidR="00EA6945" w:rsidRPr="004C3DF2" w:rsidRDefault="00EA6945" w:rsidP="004C63DC">
      <w:r w:rsidRPr="004C3DF2">
        <w:t>For nulliparous women</w:t>
      </w:r>
      <w:r w:rsidR="00C836A2">
        <w:t>,</w:t>
      </w:r>
      <w:r w:rsidRPr="004C3DF2">
        <w:t xml:space="preserve"> the 3-year Pearl Index was 0.36 (0.92) compared to </w:t>
      </w:r>
      <w:r w:rsidR="00C836A2" w:rsidRPr="00C836A2">
        <w:t xml:space="preserve">0.31 (0.67) </w:t>
      </w:r>
      <w:r w:rsidR="00C836A2">
        <w:t xml:space="preserve">for </w:t>
      </w:r>
      <w:r w:rsidRPr="004C3DF2">
        <w:t xml:space="preserve">parous women in </w:t>
      </w:r>
      <w:r w:rsidR="00C836A2">
        <w:t xml:space="preserve">the </w:t>
      </w:r>
      <w:r w:rsidRPr="004C3DF2">
        <w:t>LCS12 group:</w:t>
      </w:r>
    </w:p>
    <w:p w:rsidR="00EA6945" w:rsidRPr="004C3DF2" w:rsidRDefault="009229DA" w:rsidP="004C63DC">
      <w:pPr>
        <w:pStyle w:val="TableTitle"/>
      </w:pPr>
      <w:proofErr w:type="gramStart"/>
      <w:r>
        <w:t>Table 12</w:t>
      </w:r>
      <w:r w:rsidR="00C836A2">
        <w:t>.</w:t>
      </w:r>
      <w:proofErr w:type="gramEnd"/>
      <w:r w:rsidR="00C836A2">
        <w:t xml:space="preserve"> 3-year Pearl Index, women 18 to 35 years of age and by subgroup</w:t>
      </w:r>
    </w:p>
    <w:p w:rsidR="00EA6945" w:rsidRPr="004C3DF2" w:rsidRDefault="00EA6945" w:rsidP="004C63DC">
      <w:r w:rsidRPr="004C3DF2">
        <w:rPr>
          <w:noProof/>
          <w:lang w:eastAsia="en-AU"/>
        </w:rPr>
        <w:drawing>
          <wp:inline distT="0" distB="0" distL="0" distR="0" wp14:anchorId="25565146" wp14:editId="7B78B162">
            <wp:extent cx="5048250" cy="1055888"/>
            <wp:effectExtent l="19050" t="0" r="0" b="0"/>
            <wp:docPr id="17" name="Picture 21" descr="Table 12. 3-year Pearl Index, women 18 to 35 years of age and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t="13924"/>
                    <a:stretch>
                      <a:fillRect/>
                    </a:stretch>
                  </pic:blipFill>
                  <pic:spPr bwMode="auto">
                    <a:xfrm>
                      <a:off x="0" y="0"/>
                      <a:ext cx="5073119" cy="1061090"/>
                    </a:xfrm>
                    <a:prstGeom prst="rect">
                      <a:avLst/>
                    </a:prstGeom>
                    <a:noFill/>
                    <a:ln w="9525">
                      <a:noFill/>
                      <a:miter lim="800000"/>
                      <a:headEnd/>
                      <a:tailEnd/>
                    </a:ln>
                  </pic:spPr>
                </pic:pic>
              </a:graphicData>
            </a:graphic>
          </wp:inline>
        </w:drawing>
      </w:r>
    </w:p>
    <w:p w:rsidR="00EA6945" w:rsidRDefault="00EA6945" w:rsidP="004C63DC">
      <w:r w:rsidRPr="004C3DF2">
        <w:t>The cumulative 3-year failure rate for all women (18-35 years) with LCS12 was 0.009 (95%</w:t>
      </w:r>
      <w:r w:rsidR="00FE1FC7">
        <w:t xml:space="preserve"> </w:t>
      </w:r>
      <w:r w:rsidRPr="004C3DF2">
        <w:t>CI 0.005, 0.017):</w:t>
      </w:r>
    </w:p>
    <w:p w:rsidR="00532305" w:rsidRPr="004C3DF2" w:rsidRDefault="009229DA" w:rsidP="004C63DC">
      <w:pPr>
        <w:pStyle w:val="TableTitle"/>
      </w:pPr>
      <w:proofErr w:type="gramStart"/>
      <w:r>
        <w:t>Table 13</w:t>
      </w:r>
      <w:r w:rsidR="00532305">
        <w:t>.</w:t>
      </w:r>
      <w:proofErr w:type="gramEnd"/>
      <w:r w:rsidR="00532305">
        <w:t xml:space="preserve"> Cumulative, 3-year failure rate by subgroup and treatment and by year of treatment for women 18 to 35 years of age, </w:t>
      </w:r>
      <w:r w:rsidR="009D0041" w:rsidRPr="00532305">
        <w:t xml:space="preserve">unadjusted – FAS, Study </w:t>
      </w:r>
      <w:r w:rsidR="00C836A2" w:rsidRPr="00532305">
        <w:t>A52238</w:t>
      </w:r>
    </w:p>
    <w:p w:rsidR="00EA6945" w:rsidRPr="004C3DF2" w:rsidRDefault="00EA6945" w:rsidP="004C63DC">
      <w:r w:rsidRPr="004C3DF2">
        <w:rPr>
          <w:noProof/>
          <w:lang w:eastAsia="en-AU"/>
        </w:rPr>
        <w:drawing>
          <wp:inline distT="0" distB="0" distL="0" distR="0" wp14:anchorId="6039FD54" wp14:editId="2BB85B9B">
            <wp:extent cx="4530271" cy="2242457"/>
            <wp:effectExtent l="19050" t="0" r="3629" b="0"/>
            <wp:docPr id="18" name="Picture 19" descr="Table 13. Cumulative, 3-year failure rate by subgroup and treatment and by year of treatment for women 18 to 35 years of age, unadjusted – FAS, Study A5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t="13445"/>
                    <a:stretch>
                      <a:fillRect/>
                    </a:stretch>
                  </pic:blipFill>
                  <pic:spPr bwMode="auto">
                    <a:xfrm>
                      <a:off x="0" y="0"/>
                      <a:ext cx="4530271" cy="2242457"/>
                    </a:xfrm>
                    <a:prstGeom prst="rect">
                      <a:avLst/>
                    </a:prstGeom>
                    <a:noFill/>
                    <a:ln w="9525">
                      <a:noFill/>
                      <a:miter lim="800000"/>
                      <a:headEnd/>
                      <a:tailEnd/>
                    </a:ln>
                  </pic:spPr>
                </pic:pic>
              </a:graphicData>
            </a:graphic>
          </wp:inline>
        </w:drawing>
      </w:r>
    </w:p>
    <w:p w:rsidR="00EA6945" w:rsidRPr="004C3DF2" w:rsidRDefault="00675926" w:rsidP="004C63DC">
      <w:r>
        <w:t>T</w:t>
      </w:r>
      <w:r w:rsidR="00EA6945" w:rsidRPr="004C3DF2">
        <w:t xml:space="preserve">able </w:t>
      </w:r>
      <w:r w:rsidR="009229DA">
        <w:t>14</w:t>
      </w:r>
      <w:r>
        <w:t xml:space="preserve"> </w:t>
      </w:r>
      <w:r w:rsidR="004251D5">
        <w:t>(</w:t>
      </w:r>
      <w:r w:rsidR="00EA6945" w:rsidRPr="004C3DF2">
        <w:t xml:space="preserve">from </w:t>
      </w:r>
      <w:r>
        <w:t xml:space="preserve">Study </w:t>
      </w:r>
      <w:r w:rsidR="00EA6945" w:rsidRPr="004C3DF2">
        <w:t>A52238</w:t>
      </w:r>
      <w:r w:rsidR="004251D5">
        <w:t>)</w:t>
      </w:r>
      <w:r w:rsidR="00EA6945" w:rsidRPr="004C3DF2">
        <w:t xml:space="preserve"> shows women with clinically important bleeding:</w:t>
      </w:r>
    </w:p>
    <w:p w:rsidR="00EA6945" w:rsidRPr="004C3DF2" w:rsidRDefault="009229DA" w:rsidP="004C63DC">
      <w:pPr>
        <w:pStyle w:val="TableTitle"/>
      </w:pPr>
      <w:proofErr w:type="gramStart"/>
      <w:r>
        <w:lastRenderedPageBreak/>
        <w:t>Table 14</w:t>
      </w:r>
      <w:r w:rsidR="00675926">
        <w:t>.</w:t>
      </w:r>
      <w:proofErr w:type="gramEnd"/>
      <w:r w:rsidR="00675926">
        <w:t xml:space="preserve"> </w:t>
      </w:r>
      <w:r w:rsidR="00675926" w:rsidRPr="00675926">
        <w:t>Study A52238</w:t>
      </w:r>
      <w:r w:rsidR="00675926">
        <w:t xml:space="preserve">. Episodes of clinically important </w:t>
      </w:r>
      <w:r w:rsidR="00675926" w:rsidRPr="00675926">
        <w:t>bleeding</w:t>
      </w:r>
    </w:p>
    <w:p w:rsidR="00EA6945" w:rsidRPr="004C3DF2" w:rsidRDefault="00EA6945" w:rsidP="004C63DC">
      <w:r w:rsidRPr="004C3DF2">
        <w:rPr>
          <w:noProof/>
          <w:lang w:eastAsia="en-AU"/>
        </w:rPr>
        <w:drawing>
          <wp:inline distT="0" distB="0" distL="0" distR="0" wp14:anchorId="5A9F05D9" wp14:editId="21B04D0C">
            <wp:extent cx="4019550" cy="4303761"/>
            <wp:effectExtent l="19050" t="0" r="0" b="0"/>
            <wp:docPr id="19" name="Picture 8" descr="Table 14. Study A52238. Episodes of clinically important bl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4019550" cy="4303761"/>
                    </a:xfrm>
                    <a:prstGeom prst="rect">
                      <a:avLst/>
                    </a:prstGeom>
                    <a:noFill/>
                    <a:ln w="9525">
                      <a:noFill/>
                      <a:miter lim="800000"/>
                      <a:headEnd/>
                      <a:tailEnd/>
                    </a:ln>
                  </pic:spPr>
                </pic:pic>
              </a:graphicData>
            </a:graphic>
          </wp:inline>
        </w:drawing>
      </w:r>
    </w:p>
    <w:p w:rsidR="00EA6945" w:rsidRPr="004C3DF2" w:rsidRDefault="00EA6945" w:rsidP="00133AE9">
      <w:r w:rsidRPr="004C3DF2">
        <w:t>Other efficacy parameters included menstrual bleeding, return to fertility and user satisfaction</w:t>
      </w:r>
      <w:r w:rsidR="00675926">
        <w:t>.</w:t>
      </w:r>
      <w:r w:rsidRPr="004C3DF2">
        <w:t xml:space="preserve"> </w:t>
      </w:r>
      <w:r w:rsidR="00675926">
        <w:t>P</w:t>
      </w:r>
      <w:r w:rsidRPr="004C3DF2">
        <w:t>ooled trial results</w:t>
      </w:r>
      <w:r w:rsidR="00675926">
        <w:t xml:space="preserve"> were also presented</w:t>
      </w:r>
      <w:r w:rsidRPr="004C3DF2">
        <w:t>. The clinical evaluator concluded the study efficacy data supported the contraception indication in that the results were consistent with the EMA CHMP guidelines for Pearl Index criteria.</w:t>
      </w:r>
    </w:p>
    <w:p w:rsidR="00EA6945" w:rsidRPr="00133AE9" w:rsidRDefault="00675926" w:rsidP="00133AE9">
      <w:pPr>
        <w:pStyle w:val="Heading4"/>
      </w:pPr>
      <w:r>
        <w:t>Clinical safety</w:t>
      </w:r>
    </w:p>
    <w:p w:rsidR="00EA6945" w:rsidRPr="004C3DF2" w:rsidRDefault="00675926" w:rsidP="00133AE9">
      <w:r>
        <w:t>Summaries</w:t>
      </w:r>
      <w:r w:rsidR="00EA6945" w:rsidRPr="004C3DF2">
        <w:t xml:space="preserve"> of pooled safety data and examination of adverse events in each study</w:t>
      </w:r>
      <w:r>
        <w:t xml:space="preserve"> are detailed in the </w:t>
      </w:r>
      <w:r w:rsidR="00FE1FC7">
        <w:t xml:space="preserve">clinical evaluation report </w:t>
      </w:r>
      <w:r>
        <w:t>(see Attachment 2 of this AusPAR)</w:t>
      </w:r>
      <w:r w:rsidR="00EA6945" w:rsidRPr="004C3DF2">
        <w:t>. Exposure for LCS12 was 1488 women years for year 1 and 3779 women years at three years of treatment.</w:t>
      </w:r>
    </w:p>
    <w:p w:rsidR="00EA6945" w:rsidRPr="00133AE9" w:rsidRDefault="00EA6945" w:rsidP="00133AE9">
      <w:pPr>
        <w:pStyle w:val="Heading5"/>
      </w:pPr>
      <w:r w:rsidRPr="004C3DF2">
        <w:t>Adverse events</w:t>
      </w:r>
    </w:p>
    <w:p w:rsidR="00EA6945" w:rsidRPr="004C3DF2" w:rsidRDefault="00EA6945" w:rsidP="00133AE9">
      <w:r w:rsidRPr="004C3DF2">
        <w:t xml:space="preserve">A higher proportion of nulliparous women (552/608, 90.8%) compared to parous women (850/1064, 79.9%) reported AEs overall for LCS12; for </w:t>
      </w:r>
      <w:r w:rsidR="00B90593">
        <w:t>Mirena</w:t>
      </w:r>
      <w:r w:rsidRPr="004C3DF2">
        <w:t xml:space="preserve"> from the single study available the corresponding figures were 57/59</w:t>
      </w:r>
      <w:r w:rsidR="00675926">
        <w:t xml:space="preserve"> </w:t>
      </w:r>
      <w:r w:rsidRPr="004C3DF2">
        <w:t>(96.6%) and 176/197</w:t>
      </w:r>
      <w:r w:rsidR="00675926">
        <w:t xml:space="preserve"> </w:t>
      </w:r>
      <w:r w:rsidRPr="004C3DF2">
        <w:t xml:space="preserve">(89.3%). Among the most frequent AE reports in the pooled summary was the </w:t>
      </w:r>
      <w:r w:rsidR="00675926">
        <w:t>system organ class (</w:t>
      </w:r>
      <w:r w:rsidRPr="004C3DF2">
        <w:t>SOC</w:t>
      </w:r>
      <w:r w:rsidR="00675926">
        <w:t>)</w:t>
      </w:r>
      <w:r w:rsidRPr="004C3DF2">
        <w:t xml:space="preserve"> </w:t>
      </w:r>
      <w:r w:rsidR="00675926">
        <w:t>‘</w:t>
      </w:r>
      <w:r w:rsidRPr="004C3DF2">
        <w:t>Reproductive and breast disorders</w:t>
      </w:r>
      <w:r w:rsidR="00675926">
        <w:t>’</w:t>
      </w:r>
      <w:r w:rsidRPr="004C3DF2">
        <w:t xml:space="preserve">, reported by 359/608 (59%) nulliparous and 445/1064 (41.8%) of parous women who received LCS12, compared to 30/59 (50.8%) nulliparous and 114/197 (57%) parous women who received </w:t>
      </w:r>
      <w:r w:rsidR="00B90593">
        <w:t>Mirena</w:t>
      </w:r>
      <w:r w:rsidR="00675926">
        <w:t>, the latter all from S</w:t>
      </w:r>
      <w:r w:rsidRPr="004C3DF2">
        <w:t xml:space="preserve">tudy A46796. </w:t>
      </w:r>
    </w:p>
    <w:p w:rsidR="00EA6945" w:rsidRPr="004C3DF2" w:rsidRDefault="00EA6945" w:rsidP="00133AE9">
      <w:r w:rsidRPr="004C3DF2">
        <w:t xml:space="preserve">For LCS12, the integrated statistical analysis indicates that in nulliparous (n = 608) and parous (n = 1064) women, occurrences of PID were 0 and 5 (0.5%) respectively, and for </w:t>
      </w:r>
      <w:proofErr w:type="spellStart"/>
      <w:r w:rsidRPr="004C3DF2">
        <w:t>endometritis</w:t>
      </w:r>
      <w:proofErr w:type="spellEnd"/>
      <w:r w:rsidRPr="004C3DF2">
        <w:t xml:space="preserve"> 3 (0.5%) and 11 (1.0%) respectively. For LCS12, pelvic pain was reported by 9% of nulliparous </w:t>
      </w:r>
      <w:r w:rsidR="001A1109">
        <w:t>versus</w:t>
      </w:r>
      <w:r w:rsidRPr="004C3DF2">
        <w:t xml:space="preserve"> 4.1% of parous women.</w:t>
      </w:r>
    </w:p>
    <w:p w:rsidR="00EA6945" w:rsidRPr="004C3DF2" w:rsidRDefault="00EA6945" w:rsidP="00133AE9">
      <w:r w:rsidRPr="004C3DF2">
        <w:lastRenderedPageBreak/>
        <w:t>The most common drug related AEs were acne and ovarian cyst. The most frequently reported serio</w:t>
      </w:r>
      <w:r w:rsidR="00675926">
        <w:t>us drug-related AEs in pivotal Study A52238 for LCS</w:t>
      </w:r>
      <w:r w:rsidRPr="004C3DF2">
        <w:t xml:space="preserve">12 as assessed by investigators were: appendicitis 6 (0.4%), ectopic pregnancy 3 (0.2%), ovarian cyst 4 (0.3%), spontaneous abortion 3 (0.2%), and </w:t>
      </w:r>
      <w:r w:rsidR="00675926">
        <w:t xml:space="preserve">PID </w:t>
      </w:r>
      <w:r w:rsidRPr="004C3DF2">
        <w:t>2 (0.1%).</w:t>
      </w:r>
    </w:p>
    <w:p w:rsidR="00675926" w:rsidRDefault="00EA6945" w:rsidP="00133AE9">
      <w:r w:rsidRPr="004C3DF2">
        <w:t xml:space="preserve">The available data comparing SAEs for LCS12 (the non-market version of the device, without the silver ring attached) with the registered IUS </w:t>
      </w:r>
      <w:r w:rsidR="00B90593">
        <w:t>Mirena</w:t>
      </w:r>
      <w:r w:rsidRPr="004C3DF2">
        <w:t xml:space="preserve"> are from </w:t>
      </w:r>
      <w:r w:rsidR="00675926">
        <w:t xml:space="preserve">Study </w:t>
      </w:r>
      <w:r w:rsidRPr="004C3DF2">
        <w:t xml:space="preserve">A46796. Overall SAE rates in this study were n = 12 (5%) for LCS12 and n = 16 (6.3%) for </w:t>
      </w:r>
      <w:r w:rsidR="00B90593">
        <w:t>Mirena</w:t>
      </w:r>
      <w:r w:rsidRPr="004C3DF2">
        <w:t xml:space="preserve">; numbers in different event categories are small, as per </w:t>
      </w:r>
      <w:r w:rsidR="00675926">
        <w:t>T</w:t>
      </w:r>
      <w:r w:rsidRPr="004C3DF2">
        <w:t xml:space="preserve">able </w:t>
      </w:r>
      <w:r w:rsidR="004251D5">
        <w:t>1</w:t>
      </w:r>
      <w:r w:rsidR="00D82998">
        <w:t>5</w:t>
      </w:r>
      <w:r w:rsidR="00675926">
        <w:t>.</w:t>
      </w:r>
    </w:p>
    <w:p w:rsidR="00675926" w:rsidRDefault="00675926" w:rsidP="00133AE9">
      <w:pPr>
        <w:pStyle w:val="TableTitle"/>
      </w:pPr>
      <w:proofErr w:type="gramStart"/>
      <w:r>
        <w:t xml:space="preserve">Table </w:t>
      </w:r>
      <w:r w:rsidR="009229DA">
        <w:t>15</w:t>
      </w:r>
      <w:r>
        <w:t>.</w:t>
      </w:r>
      <w:proofErr w:type="gramEnd"/>
      <w:r>
        <w:t xml:space="preserve"> Most frequent serious adverse events</w:t>
      </w:r>
      <w:r w:rsidR="004251D5">
        <w:t xml:space="preserve"> –</w:t>
      </w:r>
      <w:r>
        <w:t xml:space="preserve">FAS, Studies A52238 and </w:t>
      </w:r>
      <w:r w:rsidRPr="00675926">
        <w:t>A46796</w:t>
      </w:r>
    </w:p>
    <w:p w:rsidR="00EA6945" w:rsidRPr="004C3DF2" w:rsidRDefault="00675926" w:rsidP="00133AE9">
      <w:r>
        <w:rPr>
          <w:noProof/>
          <w:lang w:eastAsia="en-AU"/>
        </w:rPr>
        <w:drawing>
          <wp:inline distT="0" distB="0" distL="0" distR="0" wp14:anchorId="03887877" wp14:editId="25821C10">
            <wp:extent cx="5064252" cy="2654300"/>
            <wp:effectExtent l="19050" t="0" r="3048" b="0"/>
            <wp:docPr id="12" name="Picture 8" descr="Table 15. Most frequent serious adverse events –FAS, Studies A52238 and A4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061024" cy="2652608"/>
                    </a:xfrm>
                    <a:prstGeom prst="rect">
                      <a:avLst/>
                    </a:prstGeom>
                    <a:noFill/>
                    <a:ln w="9525">
                      <a:noFill/>
                      <a:miter lim="800000"/>
                      <a:headEnd/>
                      <a:tailEnd/>
                    </a:ln>
                  </pic:spPr>
                </pic:pic>
              </a:graphicData>
            </a:graphic>
          </wp:inline>
        </w:drawing>
      </w:r>
      <w:r w:rsidR="00EA6945" w:rsidRPr="004C3DF2">
        <w:t>There were no concerns arising from laboratory testing. The clinical evaluator noted there was no information for women with hepatic impairment.</w:t>
      </w:r>
    </w:p>
    <w:p w:rsidR="00EA6945" w:rsidRPr="00133AE9" w:rsidRDefault="00F376C9" w:rsidP="00133AE9">
      <w:pPr>
        <w:pStyle w:val="Heading5"/>
      </w:pPr>
      <w:r>
        <w:t>Events of s</w:t>
      </w:r>
      <w:r w:rsidR="00EA6945" w:rsidRPr="004C3DF2">
        <w:t>pecial interest</w:t>
      </w:r>
    </w:p>
    <w:p w:rsidR="00EA6945" w:rsidRPr="004C3DF2" w:rsidRDefault="00EA6945" w:rsidP="00133AE9">
      <w:r w:rsidRPr="004C3DF2">
        <w:t xml:space="preserve">Expulsion rates were reported to be low (about 4%), with a trend to more in parous women and women ≤ 25 years. One perforation prior to insertion was reported. Insertion </w:t>
      </w:r>
      <w:r w:rsidR="00133AE9">
        <w:t>was successful in 99% of women.</w:t>
      </w:r>
    </w:p>
    <w:p w:rsidR="00EA6945" w:rsidRPr="004C3DF2" w:rsidRDefault="00EA6945" w:rsidP="00133AE9">
      <w:r w:rsidRPr="004C3DF2">
        <w:t xml:space="preserve">From pooled data, 86/608 (14.1%) nulliparous women received anaesthesia at LCS12 insertion </w:t>
      </w:r>
      <w:r w:rsidR="001A1109">
        <w:t>versus</w:t>
      </w:r>
      <w:r w:rsidRPr="004C3DF2">
        <w:t xml:space="preserve"> </w:t>
      </w:r>
      <w:r w:rsidR="00133AE9">
        <w:t xml:space="preserve">48/1064 (4.5%) of </w:t>
      </w:r>
      <w:proofErr w:type="spellStart"/>
      <w:r w:rsidR="00133AE9">
        <w:t>parous</w:t>
      </w:r>
      <w:proofErr w:type="spellEnd"/>
      <w:r w:rsidR="00133AE9">
        <w:t xml:space="preserve"> women.</w:t>
      </w:r>
    </w:p>
    <w:p w:rsidR="00EA6945" w:rsidRDefault="00EA6945" w:rsidP="00133AE9">
      <w:r w:rsidRPr="004C3DF2">
        <w:t xml:space="preserve">Insertion and removal was assessed by the investigator as ‘easy’ in about 90% and ‘very difficult’ in 2% of all women across the studies. In A46796 easier insertion of the LCS12 was reported </w:t>
      </w:r>
      <w:r w:rsidR="001A1109">
        <w:t>versus</w:t>
      </w:r>
      <w:r w:rsidRPr="004C3DF2">
        <w:t xml:space="preserve"> </w:t>
      </w:r>
      <w:r w:rsidR="00B90593">
        <w:t>Mirena</w:t>
      </w:r>
      <w:r w:rsidRPr="004C3DF2">
        <w:t xml:space="preserve"> in nulliparous women (T</w:t>
      </w:r>
      <w:r w:rsidR="009229DA">
        <w:t>able 16</w:t>
      </w:r>
      <w:r w:rsidRPr="004C3DF2">
        <w:t>):</w:t>
      </w:r>
    </w:p>
    <w:p w:rsidR="00675926" w:rsidRPr="004C3DF2" w:rsidRDefault="00675926" w:rsidP="00133AE9">
      <w:pPr>
        <w:pStyle w:val="TableTitle"/>
      </w:pPr>
      <w:proofErr w:type="gramStart"/>
      <w:r>
        <w:t xml:space="preserve">Table </w:t>
      </w:r>
      <w:r w:rsidR="009229DA">
        <w:t>16</w:t>
      </w:r>
      <w:r>
        <w:t>.</w:t>
      </w:r>
      <w:proofErr w:type="gramEnd"/>
      <w:r>
        <w:t xml:space="preserve"> </w:t>
      </w:r>
      <w:r w:rsidR="00392517">
        <w:t>IUS e</w:t>
      </w:r>
      <w:r>
        <w:t>ase of insertion</w:t>
      </w:r>
      <w:r w:rsidR="00392517">
        <w:t xml:space="preserve">. Study </w:t>
      </w:r>
      <w:r w:rsidR="00392517" w:rsidRPr="00392517">
        <w:t>A46796</w:t>
      </w:r>
    </w:p>
    <w:p w:rsidR="00EA6945" w:rsidRPr="004C3DF2" w:rsidRDefault="00EA6945" w:rsidP="00133AE9">
      <w:r w:rsidRPr="004C3DF2">
        <w:rPr>
          <w:noProof/>
          <w:lang w:eastAsia="en-AU"/>
        </w:rPr>
        <w:drawing>
          <wp:inline distT="0" distB="0" distL="0" distR="0" wp14:anchorId="0B7B5973" wp14:editId="162336C5">
            <wp:extent cx="4415428" cy="1113947"/>
            <wp:effectExtent l="19050" t="0" r="4172" b="0"/>
            <wp:docPr id="20" name="Picture 1" descr="Table 16. IUS ease of insertion. Study A467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423958" cy="1116099"/>
                    </a:xfrm>
                    <a:prstGeom prst="rect">
                      <a:avLst/>
                    </a:prstGeom>
                    <a:noFill/>
                    <a:ln w="9525">
                      <a:noFill/>
                      <a:miter lim="800000"/>
                      <a:headEnd/>
                      <a:tailEnd/>
                    </a:ln>
                  </pic:spPr>
                </pic:pic>
              </a:graphicData>
            </a:graphic>
          </wp:inline>
        </w:drawing>
      </w:r>
    </w:p>
    <w:p w:rsidR="00EA6945" w:rsidRPr="004C3DF2" w:rsidRDefault="00EA6945" w:rsidP="00133AE9">
      <w:r w:rsidRPr="004C3DF2">
        <w:t xml:space="preserve">From pooled data </w:t>
      </w:r>
      <w:r w:rsidR="00392517">
        <w:t>for LCS</w:t>
      </w:r>
      <w:r w:rsidRPr="004C3DF2">
        <w:t xml:space="preserve">12 (1672 insertions) </w:t>
      </w:r>
      <w:r w:rsidR="00392517" w:rsidRPr="004C3DF2">
        <w:t xml:space="preserve">pain reports </w:t>
      </w:r>
      <w:r w:rsidR="00392517">
        <w:t xml:space="preserve">in </w:t>
      </w:r>
      <w:r w:rsidRPr="004C3DF2">
        <w:t xml:space="preserve">nulliparous women were: none 7.6%, mild 31.1%, moderate 44.7%, severe16.6%, </w:t>
      </w:r>
      <w:r w:rsidR="001A1109">
        <w:t>versus</w:t>
      </w:r>
      <w:r w:rsidRPr="004C3DF2">
        <w:t xml:space="preserve"> </w:t>
      </w:r>
      <w:r w:rsidR="00392517">
        <w:t xml:space="preserve">reports </w:t>
      </w:r>
      <w:r w:rsidRPr="004C3DF2">
        <w:t xml:space="preserve">parous women: none 30.2%, mild 50.8%, moderate 16.1%, severe 2.7%. For </w:t>
      </w:r>
      <w:r w:rsidR="00B90593">
        <w:t>Mirena</w:t>
      </w:r>
      <w:r w:rsidRPr="004C3DF2">
        <w:t xml:space="preserve"> (256 insertions) the corresponding frequencies were nulliparous</w:t>
      </w:r>
      <w:r w:rsidR="00392517">
        <w:t xml:space="preserve"> women</w:t>
      </w:r>
      <w:r w:rsidRPr="004C3DF2">
        <w:t xml:space="preserve">: 5.1%, mild 15.3%, moderate 57.6%, severe 20.3%, </w:t>
      </w:r>
      <w:r w:rsidR="001A1109">
        <w:t>versus</w:t>
      </w:r>
      <w:r w:rsidRPr="004C3DF2">
        <w:t xml:space="preserve"> parous</w:t>
      </w:r>
      <w:r w:rsidR="00392517">
        <w:t xml:space="preserve"> women</w:t>
      </w:r>
      <w:r w:rsidRPr="004C3DF2">
        <w:t xml:space="preserve">: none 20.8%, mild 47.7%, moderate 28.4%, severe </w:t>
      </w:r>
      <w:r w:rsidRPr="004C3DF2">
        <w:lastRenderedPageBreak/>
        <w:t>2.5%. Thus, even for ‘easy’ insertions, many nulliparous women would experience significant pain.</w:t>
      </w:r>
    </w:p>
    <w:p w:rsidR="00EA6945" w:rsidRDefault="00EA6945" w:rsidP="00133AE9">
      <w:r w:rsidRPr="004C3DF2">
        <w:t xml:space="preserve">The data from </w:t>
      </w:r>
      <w:r w:rsidR="00F376C9">
        <w:t xml:space="preserve">Study </w:t>
      </w:r>
      <w:r w:rsidRPr="004C3DF2">
        <w:t xml:space="preserve">A46796 suggest a trend for less pain on insertion for LCS groups than </w:t>
      </w:r>
      <w:r w:rsidR="00B90593">
        <w:t>Mirena</w:t>
      </w:r>
      <w:r w:rsidRPr="004C3DF2">
        <w:t>, but more than a quarter of nulliparous women receiving LCS12 experienced moderate to severe pain in this study (</w:t>
      </w:r>
      <w:r w:rsidR="00F06EAC">
        <w:t>T</w:t>
      </w:r>
      <w:r w:rsidRPr="004C3DF2">
        <w:t xml:space="preserve">able </w:t>
      </w:r>
      <w:r w:rsidR="009229DA">
        <w:t>17</w:t>
      </w:r>
      <w:r w:rsidR="004251D5">
        <w:t>,</w:t>
      </w:r>
      <w:r w:rsidR="00F06EAC">
        <w:t xml:space="preserve"> </w:t>
      </w:r>
      <w:r w:rsidRPr="004C3DF2">
        <w:t xml:space="preserve">below), and 10% nulliparous </w:t>
      </w:r>
      <w:r w:rsidR="001A1109">
        <w:t>versus</w:t>
      </w:r>
      <w:r w:rsidRPr="004C3DF2">
        <w:t xml:space="preserve"> 3% parous had severe pain on removal.</w:t>
      </w:r>
    </w:p>
    <w:p w:rsidR="00F06EAC" w:rsidRPr="004C3DF2" w:rsidRDefault="009229DA" w:rsidP="00133AE9">
      <w:pPr>
        <w:pStyle w:val="TableTitle"/>
      </w:pPr>
      <w:proofErr w:type="gramStart"/>
      <w:r>
        <w:t>Table 17</w:t>
      </w:r>
      <w:r w:rsidR="00675926" w:rsidRPr="00F06EAC">
        <w:t>.</w:t>
      </w:r>
      <w:proofErr w:type="gramEnd"/>
      <w:r w:rsidR="00675926" w:rsidRPr="00F06EAC">
        <w:t xml:space="preserve"> </w:t>
      </w:r>
      <w:proofErr w:type="gramStart"/>
      <w:r w:rsidR="00392517" w:rsidRPr="00F06EAC">
        <w:t xml:space="preserve">IUS </w:t>
      </w:r>
      <w:r w:rsidR="00675926" w:rsidRPr="00F06EAC">
        <w:t>insertion</w:t>
      </w:r>
      <w:r w:rsidR="00F06EAC">
        <w:t xml:space="preserve"> pain</w:t>
      </w:r>
      <w:r w:rsidR="00392517" w:rsidRPr="00F06EAC">
        <w:t>.</w:t>
      </w:r>
      <w:proofErr w:type="gramEnd"/>
      <w:r w:rsidR="00392517" w:rsidRPr="00F06EAC">
        <w:t xml:space="preserve"> Study A46796</w:t>
      </w:r>
      <w:r w:rsidR="00675926" w:rsidRPr="00F06EAC">
        <w:t xml:space="preserve"> </w:t>
      </w:r>
    </w:p>
    <w:p w:rsidR="00EA6945" w:rsidRPr="004C3DF2" w:rsidRDefault="00EA6945" w:rsidP="00133AE9">
      <w:r w:rsidRPr="004C3DF2">
        <w:rPr>
          <w:noProof/>
          <w:lang w:eastAsia="en-AU"/>
        </w:rPr>
        <w:drawing>
          <wp:inline distT="0" distB="0" distL="0" distR="0" wp14:anchorId="5FF8DA90" wp14:editId="68E5AC96">
            <wp:extent cx="4627052" cy="1101287"/>
            <wp:effectExtent l="19050" t="0" r="2098" b="0"/>
            <wp:docPr id="21" name="Picture 2" descr="Table 17. IUS insertion pain. Study A467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633635" cy="1102854"/>
                    </a:xfrm>
                    <a:prstGeom prst="rect">
                      <a:avLst/>
                    </a:prstGeom>
                    <a:noFill/>
                    <a:ln w="9525">
                      <a:noFill/>
                      <a:miter lim="800000"/>
                      <a:headEnd/>
                      <a:tailEnd/>
                    </a:ln>
                  </pic:spPr>
                </pic:pic>
              </a:graphicData>
            </a:graphic>
          </wp:inline>
        </w:drawing>
      </w:r>
    </w:p>
    <w:p w:rsidR="00EA6945" w:rsidRPr="004C3DF2" w:rsidRDefault="00EA6945" w:rsidP="00133AE9">
      <w:r w:rsidRPr="004C3DF2">
        <w:t xml:space="preserve">The overall ectopic pregnancy rate from the pooled trial data was 0.11 per 100 women years for LCS12 and 0.24 per 100 women years for LCS16. However, no ectopic pregnancy was reported for </w:t>
      </w:r>
      <w:r w:rsidR="00B90593">
        <w:t>Mirena</w:t>
      </w:r>
      <w:r w:rsidRPr="004C3DF2">
        <w:t xml:space="preserve"> from study A46796. While the ectopic pregnancy rate for </w:t>
      </w:r>
      <w:r w:rsidR="00B90593">
        <w:t>Jaydess</w:t>
      </w:r>
      <w:r w:rsidRPr="004C3DF2">
        <w:t xml:space="preserve"> is low, lack of comparison with </w:t>
      </w:r>
      <w:r w:rsidR="00B90593">
        <w:t>Mirena</w:t>
      </w:r>
      <w:r w:rsidRPr="004C3DF2">
        <w:t xml:space="preserve"> in the pivotal study raises concern that there may be an undetected clinically significant difference in risk of pregnancy, and specifically ectopic pregnancy.</w:t>
      </w:r>
    </w:p>
    <w:p w:rsidR="00EA6945" w:rsidRPr="004C3DF2" w:rsidRDefault="00EA6945" w:rsidP="00133AE9">
      <w:r w:rsidRPr="004C3DF2">
        <w:t xml:space="preserve">There were no concerns raised from gynaecological findings. Ultrasound of endometrium showed comparable low levels (&lt; 1%) of abnormal findings in all groups after 36 months. </w:t>
      </w:r>
    </w:p>
    <w:p w:rsidR="00EA6945" w:rsidRDefault="00EA6945" w:rsidP="00133AE9">
      <w:r w:rsidRPr="004C3DF2">
        <w:t xml:space="preserve">There was no decrease in mean </w:t>
      </w:r>
      <w:r w:rsidR="00F06EAC">
        <w:t>bone mineral density (</w:t>
      </w:r>
      <w:r w:rsidRPr="004C3DF2">
        <w:t>BMD</w:t>
      </w:r>
      <w:r w:rsidR="00F06EAC">
        <w:t>)</w:t>
      </w:r>
      <w:r w:rsidRPr="004C3DF2">
        <w:t xml:space="preserve"> in subgroup testing from </w:t>
      </w:r>
      <w:r w:rsidR="00F376C9">
        <w:t xml:space="preserve">Study </w:t>
      </w:r>
      <w:r w:rsidRPr="004C3DF2">
        <w:t>A52238:</w:t>
      </w:r>
    </w:p>
    <w:p w:rsidR="00F06EAC" w:rsidRPr="004C3DF2" w:rsidRDefault="00F06EAC" w:rsidP="00133AE9">
      <w:pPr>
        <w:pStyle w:val="TableTitle"/>
      </w:pPr>
      <w:proofErr w:type="gramStart"/>
      <w:r>
        <w:t xml:space="preserve">Table </w:t>
      </w:r>
      <w:r w:rsidR="009229DA">
        <w:t>18</w:t>
      </w:r>
      <w:r>
        <w:t>.</w:t>
      </w:r>
      <w:proofErr w:type="gramEnd"/>
      <w:r>
        <w:t xml:space="preserve"> </w:t>
      </w:r>
      <w:proofErr w:type="gramStart"/>
      <w:r>
        <w:t>Bone mineral density measurements.</w:t>
      </w:r>
      <w:proofErr w:type="gramEnd"/>
      <w:r>
        <w:t xml:space="preserve"> Study </w:t>
      </w:r>
      <w:r w:rsidRPr="00F06EAC">
        <w:t>A52238</w:t>
      </w:r>
    </w:p>
    <w:p w:rsidR="00EA6945" w:rsidRPr="004C3DF2" w:rsidRDefault="00EA6945" w:rsidP="00133AE9">
      <w:r w:rsidRPr="004C3DF2">
        <w:rPr>
          <w:noProof/>
          <w:lang w:eastAsia="en-AU"/>
        </w:rPr>
        <w:drawing>
          <wp:inline distT="0" distB="0" distL="0" distR="0" wp14:anchorId="4E1AF45F" wp14:editId="7B1DC057">
            <wp:extent cx="4752975" cy="1360105"/>
            <wp:effectExtent l="19050" t="0" r="0" b="0"/>
            <wp:docPr id="31" name="Picture 2" descr="Table 18. Bone mineral density measurements. Study A5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760906" cy="1362375"/>
                    </a:xfrm>
                    <a:prstGeom prst="rect">
                      <a:avLst/>
                    </a:prstGeom>
                    <a:noFill/>
                    <a:ln w="9525">
                      <a:noFill/>
                      <a:miter lim="800000"/>
                      <a:headEnd/>
                      <a:tailEnd/>
                    </a:ln>
                  </pic:spPr>
                </pic:pic>
              </a:graphicData>
            </a:graphic>
          </wp:inline>
        </w:drawing>
      </w:r>
    </w:p>
    <w:p w:rsidR="00EA6945" w:rsidRDefault="00EA6945" w:rsidP="00133AE9">
      <w:r w:rsidRPr="004C3DF2">
        <w:t>In A46796, endometrial histology evaluation was normal for all women tested at years 1, 2, and 3 (n = 90) with marked progesterone effect in all three treatment groups; 1 woman each in LCS12 and LCS16 groups had abnormalities at baseline. In A52238 a subset of n = 60 women, (LCS12 n =31) had endometrial histology studied; again one woman in each LCS group had abnormalities at baseline. At month 12 and 24 endometrium was secretory in all classified; at month 36 it was secretory in 46/48 women and proliferative in one for whom previous biopsies were secretory, and unclassified in another</w:t>
      </w:r>
      <w:r w:rsidR="001359FA">
        <w:t>.</w:t>
      </w:r>
      <w:r w:rsidRPr="004C3DF2">
        <w:t xml:space="preserve"> </w:t>
      </w:r>
    </w:p>
    <w:p w:rsidR="001359FA" w:rsidRPr="00133AE9" w:rsidRDefault="001359FA" w:rsidP="00133AE9">
      <w:pPr>
        <w:pStyle w:val="Heading4"/>
      </w:pPr>
      <w:r>
        <w:t>Clinical evaluator’s recommendation</w:t>
      </w:r>
    </w:p>
    <w:p w:rsidR="00EA6945" w:rsidRPr="00F376C9" w:rsidRDefault="00EA6945" w:rsidP="00133AE9">
      <w:r w:rsidRPr="00F376C9">
        <w:t xml:space="preserve">Overall, the clinical evaluator found there were no new </w:t>
      </w:r>
      <w:proofErr w:type="gramStart"/>
      <w:r w:rsidRPr="00F376C9">
        <w:t>safety</w:t>
      </w:r>
      <w:proofErr w:type="gramEnd"/>
      <w:r w:rsidRPr="00F376C9">
        <w:t xml:space="preserve"> concerns compared to </w:t>
      </w:r>
      <w:r w:rsidR="00B90593" w:rsidRPr="00F376C9">
        <w:t>Mirena</w:t>
      </w:r>
      <w:r w:rsidRPr="00F376C9">
        <w:t>, but recommended ongoing monitoring for ectopic pregnancies, PID and expulsions, as well as outcomes in women with BMI &gt; 35.</w:t>
      </w:r>
    </w:p>
    <w:p w:rsidR="00EA6945" w:rsidRPr="004C3DF2" w:rsidRDefault="00EA6945" w:rsidP="00133AE9">
      <w:r w:rsidRPr="004C3DF2">
        <w:t xml:space="preserve">The clinical evaluator considered the benefit-risk balance was favourable on </w:t>
      </w:r>
      <w:r w:rsidR="001359FA">
        <w:t xml:space="preserve">a </w:t>
      </w:r>
      <w:r w:rsidRPr="004C3DF2">
        <w:t xml:space="preserve">population basis, provided pharmacovigilance and education (including selection of suitable patients) was ensured. There was concern about risk to future fertility particularly in nulliparous </w:t>
      </w:r>
      <w:r w:rsidRPr="004C3DF2">
        <w:lastRenderedPageBreak/>
        <w:t xml:space="preserve">women due to ectopic pregnancies and PID. The evaluator recommended the Indication should be </w:t>
      </w:r>
      <w:r w:rsidRPr="001359FA">
        <w:rPr>
          <w:i/>
          <w:iCs/>
        </w:rPr>
        <w:t>‘Contraception for 3 years’</w:t>
      </w:r>
      <w:r w:rsidRPr="004C3DF2">
        <w:t xml:space="preserve">, as this is different to </w:t>
      </w:r>
      <w:r w:rsidR="00B90593">
        <w:t>Mirena</w:t>
      </w:r>
      <w:r w:rsidRPr="004C3DF2">
        <w:t>.</w:t>
      </w:r>
    </w:p>
    <w:p w:rsidR="008E7846" w:rsidRPr="00133AE9" w:rsidRDefault="00386150" w:rsidP="00133AE9">
      <w:pPr>
        <w:pStyle w:val="Heading3"/>
      </w:pPr>
      <w:bookmarkStart w:id="258" w:name="_Toc314842514"/>
      <w:bookmarkStart w:id="259" w:name="_Toc380568288"/>
      <w:r>
        <w:rPr>
          <w:lang w:eastAsia="en-AU"/>
        </w:rPr>
        <w:t>Risk m</w:t>
      </w:r>
      <w:r w:rsidR="008E7846">
        <w:rPr>
          <w:lang w:eastAsia="en-AU"/>
        </w:rPr>
        <w:t xml:space="preserve">anagement </w:t>
      </w:r>
      <w:r>
        <w:rPr>
          <w:lang w:eastAsia="en-AU"/>
        </w:rPr>
        <w:t>p</w:t>
      </w:r>
      <w:r w:rsidR="008E7846">
        <w:rPr>
          <w:lang w:eastAsia="en-AU"/>
        </w:rPr>
        <w:t>lan</w:t>
      </w:r>
      <w:bookmarkEnd w:id="258"/>
      <w:bookmarkEnd w:id="259"/>
    </w:p>
    <w:p w:rsidR="004C3DF2" w:rsidRPr="001359FA" w:rsidRDefault="004C3DF2" w:rsidP="00133AE9">
      <w:r w:rsidRPr="001359FA">
        <w:t>The RMP evaluator made recommendations with respect to risk minimisation activities for ectopic pregnancy and the currency of education for insertion. Most aspects of the R</w:t>
      </w:r>
      <w:r w:rsidR="001359FA">
        <w:t xml:space="preserve">MP </w:t>
      </w:r>
      <w:r w:rsidRPr="001359FA">
        <w:t xml:space="preserve">were acceptable. The </w:t>
      </w:r>
      <w:r w:rsidR="001359FA">
        <w:t>s</w:t>
      </w:r>
      <w:r w:rsidRPr="001359FA">
        <w:t>ponsor provided assurance that the printed materials would be provided to the TGA when available.</w:t>
      </w:r>
    </w:p>
    <w:p w:rsidR="008E7846" w:rsidRPr="00133AE9" w:rsidRDefault="00AA0ED0" w:rsidP="00133AE9">
      <w:pPr>
        <w:pStyle w:val="Heading3"/>
      </w:pPr>
      <w:bookmarkStart w:id="260" w:name="_Toc247691531"/>
      <w:bookmarkStart w:id="261" w:name="_Toc314842515"/>
      <w:bookmarkStart w:id="262" w:name="_Toc196046505"/>
      <w:bookmarkStart w:id="263" w:name="_Toc196046949"/>
      <w:bookmarkStart w:id="264" w:name="_Toc380568289"/>
      <w:r>
        <w:t>Risk-benefit a</w:t>
      </w:r>
      <w:r w:rsidR="008E7846">
        <w:t>nalysis</w:t>
      </w:r>
      <w:bookmarkEnd w:id="260"/>
      <w:bookmarkEnd w:id="261"/>
      <w:bookmarkEnd w:id="264"/>
    </w:p>
    <w:p w:rsidR="008E7846" w:rsidRDefault="008E7846" w:rsidP="00133AE9">
      <w:pPr>
        <w:pStyle w:val="Heading4"/>
      </w:pPr>
      <w:r>
        <w:t xml:space="preserve">Delegate </w:t>
      </w:r>
      <w:r w:rsidR="00ED3CAD" w:rsidRPr="00133AE9">
        <w:t>c</w:t>
      </w:r>
      <w:r w:rsidRPr="00133AE9">
        <w:t>onsiderations</w:t>
      </w:r>
    </w:p>
    <w:p w:rsidR="00EA6945" w:rsidRPr="00A93108" w:rsidRDefault="00EA6945" w:rsidP="00133AE9">
      <w:pPr>
        <w:pStyle w:val="Numberbullet0"/>
      </w:pPr>
      <w:r w:rsidRPr="00A93108">
        <w:t xml:space="preserve">The drug delivery </w:t>
      </w:r>
      <w:r w:rsidRPr="00133AE9">
        <w:t>rate</w:t>
      </w:r>
      <w:r w:rsidRPr="00A93108">
        <w:t xml:space="preserve"> for </w:t>
      </w:r>
      <w:proofErr w:type="spellStart"/>
      <w:r w:rsidR="00B90593" w:rsidRPr="00A93108">
        <w:t>Jaydess</w:t>
      </w:r>
      <w:proofErr w:type="spellEnd"/>
      <w:r w:rsidRPr="00A93108">
        <w:t xml:space="preserve"> is not steady. The construction of the drug reservoir is different to </w:t>
      </w:r>
      <w:r w:rsidR="00B90593" w:rsidRPr="00A93108">
        <w:t>Mirena</w:t>
      </w:r>
      <w:r w:rsidRPr="00A93108">
        <w:t xml:space="preserve">. There is apparently an initial ‘burst effect’, with high early release rates and a different profile compared to </w:t>
      </w:r>
      <w:r w:rsidR="00B90593" w:rsidRPr="00A93108">
        <w:t>Mirena</w:t>
      </w:r>
      <w:r w:rsidRPr="00A93108">
        <w:t>, based on the available data.</w:t>
      </w:r>
    </w:p>
    <w:p w:rsidR="00EA6945" w:rsidRPr="00A93108" w:rsidRDefault="00EA6945" w:rsidP="00133AE9">
      <w:pPr>
        <w:pStyle w:val="Numberbullet0"/>
        <w:numPr>
          <w:ilvl w:val="0"/>
          <w:numId w:val="0"/>
        </w:numPr>
        <w:ind w:left="425"/>
      </w:pPr>
      <w:r w:rsidRPr="00A93108">
        <w:rPr>
          <w:i/>
          <w:iCs/>
        </w:rPr>
        <w:t>In vitro</w:t>
      </w:r>
      <w:r w:rsidRPr="00A93108">
        <w:t xml:space="preserve"> rates of release were </w:t>
      </w:r>
      <w:proofErr w:type="gramStart"/>
      <w:r w:rsidRPr="00A93108">
        <w:t>approximately 30</w:t>
      </w:r>
      <w:r w:rsidR="00A93108">
        <w:t xml:space="preserve"> </w:t>
      </w:r>
      <w:r w:rsidRPr="00A93108">
        <w:t xml:space="preserve">µg/24 </w:t>
      </w:r>
      <w:r w:rsidR="00A93108">
        <w:t>h</w:t>
      </w:r>
      <w:proofErr w:type="gramEnd"/>
      <w:r w:rsidR="00A93108">
        <w:t xml:space="preserve"> </w:t>
      </w:r>
      <w:r w:rsidRPr="00A93108">
        <w:t>in the first few days, or possibly up to 55</w:t>
      </w:r>
      <w:r w:rsidR="00A93108">
        <w:t xml:space="preserve"> </w:t>
      </w:r>
      <w:r w:rsidRPr="00A93108">
        <w:t xml:space="preserve">µg/24 </w:t>
      </w:r>
      <w:r w:rsidR="00A93108">
        <w:t xml:space="preserve">h </w:t>
      </w:r>
      <w:r w:rsidRPr="00A93108">
        <w:t xml:space="preserve">on the first day. The average </w:t>
      </w:r>
      <w:r w:rsidRPr="00A93108">
        <w:rPr>
          <w:i/>
          <w:iCs/>
        </w:rPr>
        <w:t>in vitro</w:t>
      </w:r>
      <w:r w:rsidRPr="00A93108">
        <w:t xml:space="preserve"> release rates are given during weeks 3-4 (sampling from days 19-25) because this is when the plateau describing membrane-controlled release is reached. The estimated </w:t>
      </w:r>
      <w:r w:rsidRPr="00A93108">
        <w:rPr>
          <w:i/>
          <w:iCs/>
        </w:rPr>
        <w:t>in vivo</w:t>
      </w:r>
      <w:r w:rsidRPr="00A93108">
        <w:t xml:space="preserve"> release rate is </w:t>
      </w:r>
      <w:proofErr w:type="gramStart"/>
      <w:r w:rsidRPr="00A93108">
        <w:t>approximately 14</w:t>
      </w:r>
      <w:r w:rsidR="00A93108">
        <w:t xml:space="preserve"> µg/24 h </w:t>
      </w:r>
      <w:r w:rsidRPr="00A93108">
        <w:t>after 24 days</w:t>
      </w:r>
      <w:proofErr w:type="gramEnd"/>
      <w:r w:rsidRPr="00A93108">
        <w:t>, 10</w:t>
      </w:r>
      <w:r w:rsidR="00A93108">
        <w:t xml:space="preserve"> </w:t>
      </w:r>
      <w:r w:rsidRPr="00A93108">
        <w:t xml:space="preserve">µg/24 </w:t>
      </w:r>
      <w:r w:rsidR="00A93108">
        <w:t xml:space="preserve">h </w:t>
      </w:r>
      <w:r w:rsidRPr="00A93108">
        <w:t>after 60 days, and 5</w:t>
      </w:r>
      <w:r w:rsidR="00A93108">
        <w:t xml:space="preserve"> </w:t>
      </w:r>
      <w:r w:rsidRPr="00A93108">
        <w:t xml:space="preserve">µg/24 </w:t>
      </w:r>
      <w:r w:rsidR="00A93108">
        <w:t xml:space="preserve">h </w:t>
      </w:r>
      <w:r w:rsidRPr="00A93108">
        <w:t>after 3 years; thus the ‘average’ is 6</w:t>
      </w:r>
      <w:r w:rsidR="00A93108">
        <w:t xml:space="preserve"> </w:t>
      </w:r>
      <w:r w:rsidRPr="00A93108">
        <w:t xml:space="preserve">µg/24 </w:t>
      </w:r>
      <w:r w:rsidR="00A93108">
        <w:t xml:space="preserve">h </w:t>
      </w:r>
      <w:r w:rsidRPr="00A93108">
        <w:t>over the period of 3 years.</w:t>
      </w:r>
    </w:p>
    <w:p w:rsidR="002C1D25" w:rsidRDefault="00B90593" w:rsidP="00133AE9">
      <w:pPr>
        <w:pStyle w:val="Numberbullet0"/>
      </w:pPr>
      <w:r>
        <w:t>Jaydess</w:t>
      </w:r>
      <w:r w:rsidR="00EA6945" w:rsidRPr="004C3DF2">
        <w:t xml:space="preserve"> is proposed for contraceptive protection over a </w:t>
      </w:r>
      <w:r w:rsidR="00EA6945" w:rsidRPr="00133AE9">
        <w:t>period</w:t>
      </w:r>
      <w:r w:rsidR="00EA6945" w:rsidRPr="004C3DF2">
        <w:t xml:space="preserve"> of up to </w:t>
      </w:r>
      <w:r w:rsidR="00A93108">
        <w:t xml:space="preserve">3 </w:t>
      </w:r>
      <w:r w:rsidR="00EA6945" w:rsidRPr="004C3DF2">
        <w:t xml:space="preserve">years, compared to 5 years for the currently approved </w:t>
      </w:r>
      <w:r>
        <w:t>Mirena</w:t>
      </w:r>
      <w:r w:rsidR="00EA6945" w:rsidRPr="004C3DF2">
        <w:t>.</w:t>
      </w:r>
    </w:p>
    <w:p w:rsidR="002C1D25" w:rsidRDefault="00EA6945" w:rsidP="00133AE9">
      <w:pPr>
        <w:pStyle w:val="Numberbullet0"/>
        <w:numPr>
          <w:ilvl w:val="0"/>
          <w:numId w:val="0"/>
        </w:numPr>
        <w:ind w:left="425"/>
      </w:pPr>
      <w:r w:rsidRPr="004C3DF2">
        <w:t xml:space="preserve">The base IUD for </w:t>
      </w:r>
      <w:r w:rsidR="00B90593">
        <w:t>Jaydess</w:t>
      </w:r>
      <w:r w:rsidRPr="004C3DF2">
        <w:t xml:space="preserve"> is somewhat smaller than </w:t>
      </w:r>
      <w:r w:rsidR="00B90593">
        <w:t>Mirena</w:t>
      </w:r>
      <w:r w:rsidRPr="004C3DF2">
        <w:t xml:space="preserve">; it is stated in the </w:t>
      </w:r>
      <w:r w:rsidR="00A93108">
        <w:t xml:space="preserve">sponsor’s </w:t>
      </w:r>
      <w:r w:rsidRPr="004C3DF2">
        <w:t xml:space="preserve">letter of application that this was designed ‘to aid successful insertion, particularly in young and nulliparous women’. Of note, the additional approved indications for </w:t>
      </w:r>
      <w:proofErr w:type="spellStart"/>
      <w:r w:rsidR="00B90593">
        <w:t>Mirena</w:t>
      </w:r>
      <w:proofErr w:type="spellEnd"/>
      <w:r w:rsidRPr="004C3DF2">
        <w:t xml:space="preserve"> </w:t>
      </w:r>
      <w:r w:rsidR="00A93108">
        <w:t xml:space="preserve">of </w:t>
      </w:r>
      <w:r w:rsidRPr="002C1D25">
        <w:rPr>
          <w:i/>
          <w:iCs/>
        </w:rPr>
        <w:t>menorrhagia</w:t>
      </w:r>
      <w:r w:rsidRPr="004C3DF2">
        <w:t xml:space="preserve"> and </w:t>
      </w:r>
      <w:r w:rsidRPr="002C1D25">
        <w:rPr>
          <w:i/>
          <w:iCs/>
        </w:rPr>
        <w:t>use with oestrogen replacement therapy</w:t>
      </w:r>
      <w:r w:rsidRPr="004C3DF2">
        <w:t xml:space="preserve"> are not proposed for </w:t>
      </w:r>
      <w:r w:rsidR="00B90593">
        <w:t>Jaydess</w:t>
      </w:r>
      <w:r w:rsidRPr="004C3DF2">
        <w:t>.</w:t>
      </w:r>
    </w:p>
    <w:p w:rsidR="002C1D25" w:rsidRDefault="00EA6945" w:rsidP="00133AE9">
      <w:pPr>
        <w:pStyle w:val="Numberbullet0"/>
        <w:numPr>
          <w:ilvl w:val="0"/>
          <w:numId w:val="0"/>
        </w:numPr>
        <w:ind w:left="425"/>
      </w:pPr>
      <w:r w:rsidRPr="004C3DF2">
        <w:t xml:space="preserve">Clinical use was compared to </w:t>
      </w:r>
      <w:r w:rsidR="00B90593">
        <w:t>Mirena</w:t>
      </w:r>
      <w:r w:rsidRPr="004C3DF2">
        <w:t xml:space="preserve"> only in the Phase </w:t>
      </w:r>
      <w:r w:rsidR="00A93108">
        <w:t>II</w:t>
      </w:r>
      <w:r w:rsidRPr="004C3DF2">
        <w:t xml:space="preserve"> dose-finding trial A46796; this trial did not use the final commercial </w:t>
      </w:r>
      <w:r w:rsidR="00B90593">
        <w:t>Jaydess</w:t>
      </w:r>
      <w:r w:rsidRPr="004C3DF2">
        <w:t xml:space="preserve"> product with silver ring.</w:t>
      </w:r>
    </w:p>
    <w:p w:rsidR="002C1D25" w:rsidRDefault="00A93108" w:rsidP="00133AE9">
      <w:pPr>
        <w:pStyle w:val="Numberbullet0"/>
        <w:numPr>
          <w:ilvl w:val="0"/>
          <w:numId w:val="0"/>
        </w:numPr>
        <w:ind w:left="425"/>
      </w:pPr>
      <w:r>
        <w:t>The pivotal S</w:t>
      </w:r>
      <w:r w:rsidR="00EA6945" w:rsidRPr="004C3DF2">
        <w:t xml:space="preserve">tudy A52238 used the modified IUS proposed for registration, but did not compare efficacy and safety with the </w:t>
      </w:r>
      <w:r w:rsidR="00B90593">
        <w:t>Mirena</w:t>
      </w:r>
      <w:r>
        <w:t xml:space="preserve">. </w:t>
      </w:r>
      <w:r w:rsidR="00EA6945" w:rsidRPr="004C3DF2">
        <w:t xml:space="preserve">Therefore there are no directly comparable data, in particular for important </w:t>
      </w:r>
      <w:r>
        <w:t xml:space="preserve">SAEs </w:t>
      </w:r>
      <w:r w:rsidR="00EA6945" w:rsidRPr="004C3DF2">
        <w:t xml:space="preserve">such as ectopic pregnancy and </w:t>
      </w:r>
      <w:r>
        <w:t>PID</w:t>
      </w:r>
      <w:r w:rsidR="00EA6945" w:rsidRPr="004C3DF2">
        <w:t>.</w:t>
      </w:r>
    </w:p>
    <w:p w:rsidR="002C1D25" w:rsidRDefault="00EA6945" w:rsidP="00133AE9">
      <w:pPr>
        <w:pStyle w:val="Numberbullet0"/>
        <w:numPr>
          <w:ilvl w:val="0"/>
          <w:numId w:val="0"/>
        </w:numPr>
        <w:ind w:left="425"/>
        <w:rPr>
          <w:i/>
          <w:iCs/>
        </w:rPr>
      </w:pPr>
      <w:r w:rsidRPr="004C3DF2">
        <w:t xml:space="preserve">For </w:t>
      </w:r>
      <w:r w:rsidR="00A93108">
        <w:t xml:space="preserve">the </w:t>
      </w:r>
      <w:r w:rsidR="00B90593">
        <w:t>Jaydess</w:t>
      </w:r>
      <w:r w:rsidRPr="004C3DF2">
        <w:t xml:space="preserve"> </w:t>
      </w:r>
      <w:r w:rsidR="00A93108">
        <w:t xml:space="preserve">PI the sponsor proposes to delete several </w:t>
      </w:r>
      <w:r w:rsidRPr="004C3DF2">
        <w:t>precautionary statements</w:t>
      </w:r>
      <w:r w:rsidR="00A93108">
        <w:t xml:space="preserve"> that are found in the Mirena PI</w:t>
      </w:r>
      <w:r w:rsidRPr="004C3DF2">
        <w:t xml:space="preserve">, including the following: </w:t>
      </w:r>
      <w:r w:rsidRPr="00A93108">
        <w:rPr>
          <w:i/>
          <w:iCs/>
        </w:rPr>
        <w:t>(</w:t>
      </w:r>
      <w:r w:rsidR="00B90593" w:rsidRPr="00A93108">
        <w:rPr>
          <w:i/>
          <w:iCs/>
        </w:rPr>
        <w:t>Jaydess</w:t>
      </w:r>
      <w:r w:rsidRPr="00A93108">
        <w:rPr>
          <w:i/>
          <w:iCs/>
        </w:rPr>
        <w:t>)</w:t>
      </w:r>
      <w:proofErr w:type="gramStart"/>
      <w:r w:rsidRPr="00A93108">
        <w:rPr>
          <w:i/>
          <w:iCs/>
        </w:rPr>
        <w:t>..‘is</w:t>
      </w:r>
      <w:proofErr w:type="gramEnd"/>
      <w:r w:rsidRPr="00A93108">
        <w:rPr>
          <w:i/>
          <w:iCs/>
        </w:rPr>
        <w:t xml:space="preserve"> not the method of first choice for young </w:t>
      </w:r>
      <w:proofErr w:type="spellStart"/>
      <w:r w:rsidRPr="00A93108">
        <w:rPr>
          <w:i/>
          <w:iCs/>
        </w:rPr>
        <w:t>nulligravid</w:t>
      </w:r>
      <w:proofErr w:type="spellEnd"/>
      <w:r w:rsidRPr="00A93108">
        <w:rPr>
          <w:i/>
          <w:iCs/>
        </w:rPr>
        <w:t xml:space="preserve"> women. Previous studies indicate that women with many sexual partners are more susceptible to infections (see Pelvic Infections).’</w:t>
      </w:r>
      <w:r w:rsidRPr="004C3DF2">
        <w:t xml:space="preserve"> In addition, it was proposed to include under </w:t>
      </w:r>
      <w:r w:rsidRPr="00A93108">
        <w:rPr>
          <w:i/>
          <w:iCs/>
        </w:rPr>
        <w:t>Paediatrics</w:t>
      </w:r>
      <w:r w:rsidRPr="004C3DF2">
        <w:t xml:space="preserve"> the following extrapolation: </w:t>
      </w:r>
      <w:r w:rsidRPr="00A93108">
        <w:rPr>
          <w:i/>
          <w:iCs/>
        </w:rPr>
        <w:t xml:space="preserve">‘Safety and efficacy has been studied in women aged 18 and over. Efficacy and safety is expected to be the same for </w:t>
      </w:r>
      <w:proofErr w:type="spellStart"/>
      <w:r w:rsidRPr="00A93108">
        <w:rPr>
          <w:i/>
          <w:iCs/>
        </w:rPr>
        <w:t>postpubertal</w:t>
      </w:r>
      <w:proofErr w:type="spellEnd"/>
      <w:r w:rsidRPr="00A93108">
        <w:rPr>
          <w:i/>
          <w:iCs/>
        </w:rPr>
        <w:t xml:space="preserve"> adolescents under the age of 18 as for users 18 years and older.’</w:t>
      </w:r>
    </w:p>
    <w:p w:rsidR="002C1D25" w:rsidRDefault="00EA6945" w:rsidP="00133AE9">
      <w:pPr>
        <w:pStyle w:val="Numberbullet0"/>
        <w:numPr>
          <w:ilvl w:val="0"/>
          <w:numId w:val="0"/>
        </w:numPr>
        <w:ind w:left="425"/>
      </w:pPr>
      <w:r w:rsidRPr="004C3DF2">
        <w:t xml:space="preserve">This implies that the </w:t>
      </w:r>
      <w:r w:rsidR="00A93108">
        <w:t>s</w:t>
      </w:r>
      <w:r w:rsidRPr="004C3DF2">
        <w:t xml:space="preserve">ponsor considers that the data support </w:t>
      </w:r>
      <w:r w:rsidR="00B90593">
        <w:t>Jaydess</w:t>
      </w:r>
      <w:r w:rsidRPr="004C3DF2">
        <w:t xml:space="preserve"> as a method of first choice for young </w:t>
      </w:r>
      <w:proofErr w:type="spellStart"/>
      <w:r w:rsidRPr="004C3DF2">
        <w:t>nulligravid</w:t>
      </w:r>
      <w:proofErr w:type="spellEnd"/>
      <w:r w:rsidRPr="004C3DF2">
        <w:t xml:space="preserve"> women, by comparison with </w:t>
      </w:r>
      <w:r w:rsidR="00B90593">
        <w:t>Mirena</w:t>
      </w:r>
      <w:r w:rsidRPr="004C3DF2">
        <w:t xml:space="preserve">. The clinical data included significant numbers of nulliparous women, as for the original registration of </w:t>
      </w:r>
      <w:r w:rsidR="00B90593">
        <w:t>Mirena</w:t>
      </w:r>
      <w:r w:rsidRPr="004C3DF2">
        <w:t xml:space="preserve">. However there appears to be no statistically supported evidence for easier insertion, or for decreased rates of </w:t>
      </w:r>
      <w:r w:rsidR="00FB7179">
        <w:t>AE</w:t>
      </w:r>
      <w:r w:rsidRPr="004C3DF2">
        <w:t xml:space="preserve">s compared to </w:t>
      </w:r>
      <w:r w:rsidR="00B90593">
        <w:t>Mirena</w:t>
      </w:r>
      <w:r w:rsidRPr="004C3DF2">
        <w:t>, to justify such a change. For example, the ectopic pregnancy rate for LCS12/</w:t>
      </w:r>
      <w:r w:rsidR="00B90593">
        <w:t>Jaydess</w:t>
      </w:r>
      <w:r w:rsidRPr="004C3DF2">
        <w:t xml:space="preserve"> was </w:t>
      </w:r>
      <w:r w:rsidRPr="004C3DF2">
        <w:lastRenderedPageBreak/>
        <w:t xml:space="preserve">0.11 per 100 women years, </w:t>
      </w:r>
      <w:r w:rsidR="001A1109">
        <w:t>versus</w:t>
      </w:r>
      <w:r w:rsidRPr="004C3DF2">
        <w:t xml:space="preserve"> the cited rate of 0.06/100 women years for </w:t>
      </w:r>
      <w:r w:rsidR="00B90593">
        <w:t>Mirena</w:t>
      </w:r>
      <w:r w:rsidRPr="004C3DF2">
        <w:t xml:space="preserve">, but in this dossier there were no pregnancies, ectopic or otherwise, reported for </w:t>
      </w:r>
      <w:r w:rsidR="00B90593">
        <w:t>Mirena</w:t>
      </w:r>
      <w:r w:rsidRPr="004C3DF2">
        <w:t>, whereas with LCS12 there were 4 ectopic pregnancies, and 11 pregnancies overall, reported in pooled data. It was also noted that for unsuccessful insertions of LCS12, ‘malfunction of the inserter’ was frequently given as the reason.</w:t>
      </w:r>
    </w:p>
    <w:p w:rsidR="002C1D25" w:rsidRDefault="00EA6945" w:rsidP="00133AE9">
      <w:pPr>
        <w:pStyle w:val="Numberbullet0"/>
        <w:numPr>
          <w:ilvl w:val="0"/>
          <w:numId w:val="0"/>
        </w:numPr>
        <w:ind w:left="425"/>
      </w:pPr>
      <w:r w:rsidRPr="004C3DF2">
        <w:t xml:space="preserve">The Delegate has concerns that the new IUS </w:t>
      </w:r>
      <w:r w:rsidR="00B90593">
        <w:t>Jaydess</w:t>
      </w:r>
      <w:r w:rsidRPr="004C3DF2">
        <w:t xml:space="preserve"> is to be promoted for use in nulliparous women, without specific data to support increased safety compared to the currently registered </w:t>
      </w:r>
      <w:r w:rsidR="00B90593">
        <w:t>Mirena</w:t>
      </w:r>
      <w:r w:rsidRPr="004C3DF2">
        <w:t>.</w:t>
      </w:r>
    </w:p>
    <w:p w:rsidR="00EA6945" w:rsidRPr="004C3DF2" w:rsidRDefault="00EA6945" w:rsidP="00133AE9">
      <w:pPr>
        <w:pStyle w:val="Numberbullet0"/>
        <w:numPr>
          <w:ilvl w:val="0"/>
          <w:numId w:val="0"/>
        </w:numPr>
        <w:ind w:left="425"/>
      </w:pPr>
      <w:r w:rsidRPr="004C3DF2">
        <w:t xml:space="preserve">The </w:t>
      </w:r>
      <w:r w:rsidR="00FB7179">
        <w:t xml:space="preserve">Delegate requested that the </w:t>
      </w:r>
      <w:r w:rsidRPr="004C3DF2">
        <w:t xml:space="preserve">sponsor’s response </w:t>
      </w:r>
      <w:r w:rsidR="00FB7179">
        <w:t>to the Delegate’</w:t>
      </w:r>
      <w:r w:rsidR="006C6445">
        <w:t>s O</w:t>
      </w:r>
      <w:r w:rsidR="00FB7179">
        <w:t xml:space="preserve">verview </w:t>
      </w:r>
      <w:r w:rsidRPr="004C3DF2">
        <w:t xml:space="preserve">provide justification for the claim of improved efficacy and safety for nulliparous women for </w:t>
      </w:r>
      <w:r w:rsidR="00B90593">
        <w:t>Jaydess</w:t>
      </w:r>
      <w:r w:rsidRPr="004C3DF2">
        <w:t xml:space="preserve"> compared to </w:t>
      </w:r>
      <w:r w:rsidR="00B90593">
        <w:t>Mirena</w:t>
      </w:r>
      <w:r w:rsidRPr="004C3DF2">
        <w:t>.</w:t>
      </w:r>
      <w:r w:rsidR="006C6445">
        <w:t xml:space="preserve"> </w:t>
      </w:r>
      <w:r w:rsidRPr="004C3DF2">
        <w:t xml:space="preserve">Clarification regarding the inserter proposed for registration </w:t>
      </w:r>
      <w:r w:rsidR="006C6445">
        <w:t>wa</w:t>
      </w:r>
      <w:r w:rsidRPr="004C3DF2">
        <w:t xml:space="preserve">s also required; </w:t>
      </w:r>
      <w:r w:rsidR="006C6445">
        <w:t xml:space="preserve">it was not clear if it </w:t>
      </w:r>
      <w:r w:rsidRPr="004C3DF2">
        <w:t xml:space="preserve">is identical to the new </w:t>
      </w:r>
      <w:r w:rsidR="00B90593">
        <w:t>Mirena</w:t>
      </w:r>
      <w:r w:rsidRPr="004C3DF2">
        <w:t xml:space="preserve"> inserter, or </w:t>
      </w:r>
      <w:r w:rsidR="006C6445">
        <w:t xml:space="preserve">whether it has </w:t>
      </w:r>
      <w:r w:rsidRPr="004C3DF2">
        <w:t>a slightly smaller diameter as described in the</w:t>
      </w:r>
      <w:r w:rsidR="00FB7179">
        <w:t xml:space="preserve"> letter of application and the d</w:t>
      </w:r>
      <w:r w:rsidRPr="004C3DF2">
        <w:t>ossier?</w:t>
      </w:r>
    </w:p>
    <w:p w:rsidR="00EA6945" w:rsidRPr="004C3DF2" w:rsidRDefault="00EA6945" w:rsidP="00133AE9">
      <w:pPr>
        <w:pStyle w:val="Numberbullet0"/>
      </w:pPr>
      <w:r w:rsidRPr="004C3DF2">
        <w:t xml:space="preserve">A specific issue is that extrapolation from ‘non-clinical testing’ has been cited to support safety of </w:t>
      </w:r>
      <w:r w:rsidR="00FB7179">
        <w:t>magnetic resonance imaging (</w:t>
      </w:r>
      <w:r w:rsidRPr="004C3DF2">
        <w:t>MRI</w:t>
      </w:r>
      <w:r w:rsidR="00FB7179">
        <w:t>)</w:t>
      </w:r>
      <w:r w:rsidRPr="004C3DF2">
        <w:t xml:space="preserve"> under specified conditions, for women with </w:t>
      </w:r>
      <w:r w:rsidR="00B90593">
        <w:t>Jaydess</w:t>
      </w:r>
      <w:r w:rsidRPr="004C3DF2">
        <w:t xml:space="preserve"> IUS with silver ring profile </w:t>
      </w:r>
      <w:r w:rsidRPr="00FB7179">
        <w:rPr>
          <w:i/>
          <w:iCs/>
        </w:rPr>
        <w:t>in situ</w:t>
      </w:r>
      <w:r w:rsidRPr="004C3DF2">
        <w:t xml:space="preserve">. There appears to have been no information provided for TGA evaluation to support the proposed PI statement under the sub-heading </w:t>
      </w:r>
      <w:r w:rsidRPr="00212982">
        <w:rPr>
          <w:i/>
          <w:iCs/>
        </w:rPr>
        <w:t>Magnetic Resonance Imaging (MRI)</w:t>
      </w:r>
      <w:r w:rsidR="00212982">
        <w:rPr>
          <w:i/>
          <w:iCs/>
        </w:rPr>
        <w:t xml:space="preserve">. </w:t>
      </w:r>
    </w:p>
    <w:p w:rsidR="00EA6945" w:rsidRPr="004C3DF2" w:rsidRDefault="00EA6945" w:rsidP="00133AE9">
      <w:pPr>
        <w:pStyle w:val="Numberbullet0"/>
      </w:pPr>
      <w:r w:rsidRPr="004C3DF2">
        <w:t xml:space="preserve">The </w:t>
      </w:r>
      <w:r w:rsidR="00B90593">
        <w:t>Jaydess</w:t>
      </w:r>
      <w:r w:rsidRPr="004C3DF2">
        <w:t xml:space="preserve"> PI is based on the currently approved </w:t>
      </w:r>
      <w:r w:rsidR="00B90593">
        <w:t>Mirena</w:t>
      </w:r>
      <w:r w:rsidRPr="004C3DF2">
        <w:t xml:space="preserve"> PI; however there are many proposed changes to the text, and several versions have been provided during the evaluation process. </w:t>
      </w:r>
      <w:r w:rsidR="006C6445">
        <w:t xml:space="preserve">The </w:t>
      </w:r>
      <w:r w:rsidRPr="004C3DF2">
        <w:t xml:space="preserve">sponsor </w:t>
      </w:r>
      <w:r w:rsidR="00212982">
        <w:t>wa</w:t>
      </w:r>
      <w:r w:rsidRPr="004C3DF2">
        <w:t xml:space="preserve">s requested to </w:t>
      </w:r>
      <w:r w:rsidR="006C6445">
        <w:t xml:space="preserve">provide </w:t>
      </w:r>
      <w:r w:rsidRPr="004C3DF2">
        <w:t xml:space="preserve">updated </w:t>
      </w:r>
      <w:r w:rsidR="006C6445">
        <w:t xml:space="preserve">draft </w:t>
      </w:r>
      <w:r w:rsidRPr="004C3DF2">
        <w:t>PI</w:t>
      </w:r>
      <w:r w:rsidR="00212982">
        <w:t xml:space="preserve"> </w:t>
      </w:r>
      <w:r w:rsidRPr="004C3DF2">
        <w:t xml:space="preserve">incorporating all changes </w:t>
      </w:r>
      <w:r w:rsidR="00212982">
        <w:t xml:space="preserve">recommended </w:t>
      </w:r>
      <w:r w:rsidRPr="004C3DF2">
        <w:t xml:space="preserve">by various evaluation areas of the TGA </w:t>
      </w:r>
      <w:r w:rsidR="006C6445">
        <w:t xml:space="preserve">and in the Delegate’s </w:t>
      </w:r>
      <w:r w:rsidRPr="004C3DF2">
        <w:t>Overview.</w:t>
      </w:r>
      <w:r w:rsidR="00212982">
        <w:rPr>
          <w:rStyle w:val="FootnoteReference"/>
        </w:rPr>
        <w:footnoteReference w:id="3"/>
      </w:r>
      <w:r w:rsidRPr="004C3DF2">
        <w:t xml:space="preserve"> </w:t>
      </w:r>
    </w:p>
    <w:p w:rsidR="00EA6945" w:rsidRDefault="00EA6945" w:rsidP="00133AE9">
      <w:r w:rsidRPr="004C3DF2">
        <w:t xml:space="preserve">Overall, the </w:t>
      </w:r>
      <w:r w:rsidR="00B12000">
        <w:t>PK</w:t>
      </w:r>
      <w:r w:rsidRPr="004C3DF2">
        <w:t xml:space="preserve"> modelling suggested more variable </w:t>
      </w:r>
      <w:r w:rsidR="00B90593" w:rsidRPr="00B90593">
        <w:t>levonorgestrel</w:t>
      </w:r>
      <w:r w:rsidRPr="004C3DF2">
        <w:t xml:space="preserve"> plasma levels over the first year compared to relatively steady levels over the next two years. The pharmacodynamic data showed lower frequency of amenorrhoea and low frequency of suppression of ovulation with </w:t>
      </w:r>
      <w:r w:rsidR="00B90593">
        <w:t>Jaydess</w:t>
      </w:r>
      <w:r w:rsidRPr="004C3DF2">
        <w:t xml:space="preserve"> compared to </w:t>
      </w:r>
      <w:r w:rsidR="00B90593">
        <w:t>Mirena</w:t>
      </w:r>
      <w:r w:rsidRPr="004C3DF2">
        <w:t xml:space="preserve">. Lower rates of amenorrhoea may have bearing on acceptance or discontinuation rates. Lack of ovulation suppression is not considered to impact on the preventative efficacy which is principally a local effect on the uterine endometrium and cervical </w:t>
      </w:r>
      <w:proofErr w:type="spellStart"/>
      <w:r w:rsidRPr="004C3DF2">
        <w:t>mucous</w:t>
      </w:r>
      <w:proofErr w:type="spellEnd"/>
      <w:r w:rsidRPr="004C3DF2">
        <w:t xml:space="preserve">. The observed efficacy of </w:t>
      </w:r>
      <w:r w:rsidR="00B90593">
        <w:t>Jaydess</w:t>
      </w:r>
      <w:r w:rsidRPr="004C3DF2">
        <w:t xml:space="preserve"> was consistent with the adopted guidelines and comparable but nevertheless lower than </w:t>
      </w:r>
      <w:r w:rsidR="00B90593">
        <w:t>Mirena</w:t>
      </w:r>
      <w:r w:rsidR="006C6445">
        <w:t>,</w:t>
      </w:r>
      <w:r w:rsidRPr="004C3DF2">
        <w:t xml:space="preserve"> which may be an issue at individual user level. However, consistently lesser suppression of ovulation may have an unspecified relation with ectopic pregnancy. The data indicated higher relative risk of ectopic pregnancy (1.8 fold) with </w:t>
      </w:r>
      <w:r w:rsidR="00B90593">
        <w:t>Jaydess</w:t>
      </w:r>
      <w:r w:rsidRPr="004C3DF2">
        <w:t xml:space="preserve"> compared to </w:t>
      </w:r>
      <w:r w:rsidR="00B90593">
        <w:t>Mirena</w:t>
      </w:r>
      <w:r w:rsidR="006C6445">
        <w:t>. The sponsor wa</w:t>
      </w:r>
      <w:r w:rsidRPr="004C3DF2">
        <w:t xml:space="preserve">s requested to comment </w:t>
      </w:r>
      <w:r w:rsidR="006C6445">
        <w:t xml:space="preserve">on these issues </w:t>
      </w:r>
      <w:r w:rsidRPr="004C3DF2">
        <w:t>in its response</w:t>
      </w:r>
      <w:r w:rsidR="006C6445">
        <w:t xml:space="preserve"> to the Overview</w:t>
      </w:r>
      <w:r w:rsidRPr="004C3DF2">
        <w:t>.</w:t>
      </w:r>
    </w:p>
    <w:p w:rsidR="00212982" w:rsidRPr="004C3DF2" w:rsidRDefault="00212982" w:rsidP="00133AE9">
      <w:pPr>
        <w:pStyle w:val="Heading4"/>
      </w:pPr>
      <w:r>
        <w:t xml:space="preserve">Proposed </w:t>
      </w:r>
      <w:r w:rsidR="00133AE9" w:rsidRPr="00133AE9">
        <w:t>a</w:t>
      </w:r>
      <w:r w:rsidRPr="00133AE9">
        <w:t>ction</w:t>
      </w:r>
    </w:p>
    <w:p w:rsidR="00EA6945" w:rsidRDefault="006C6445" w:rsidP="00133AE9">
      <w:r>
        <w:t>A recommendation wa</w:t>
      </w:r>
      <w:r w:rsidR="00EA6945" w:rsidRPr="004C3DF2">
        <w:t xml:space="preserve">s not proposed at this stage. The decision regarding </w:t>
      </w:r>
      <w:r>
        <w:t xml:space="preserve">registration was to </w:t>
      </w:r>
      <w:r w:rsidR="00EA6945" w:rsidRPr="004C3DF2">
        <w:t xml:space="preserve">be made once </w:t>
      </w:r>
      <w:r>
        <w:t xml:space="preserve">the </w:t>
      </w:r>
      <w:r w:rsidR="00EA6945" w:rsidRPr="004C3DF2">
        <w:t xml:space="preserve">sponsor’s response </w:t>
      </w:r>
      <w:r>
        <w:t xml:space="preserve">to the Delegate’s Overview was </w:t>
      </w:r>
      <w:r w:rsidR="00EA6945" w:rsidRPr="004C3DF2">
        <w:t xml:space="preserve">reviewed </w:t>
      </w:r>
      <w:r>
        <w:t xml:space="preserve">by TGA </w:t>
      </w:r>
      <w:r w:rsidR="00EA6945" w:rsidRPr="004C3DF2">
        <w:t>and the advice from ACPM bec</w:t>
      </w:r>
      <w:r>
        <w:t>a</w:t>
      </w:r>
      <w:r w:rsidR="00EA6945" w:rsidRPr="004C3DF2">
        <w:t>me available.</w:t>
      </w:r>
    </w:p>
    <w:p w:rsidR="00212982" w:rsidRPr="004C3DF2" w:rsidRDefault="00212982" w:rsidP="00133AE9">
      <w:pPr>
        <w:pStyle w:val="Heading4"/>
      </w:pPr>
      <w:r>
        <w:t xml:space="preserve">Request for </w:t>
      </w:r>
      <w:r w:rsidRPr="00212982">
        <w:t>advice from ACPM</w:t>
      </w:r>
    </w:p>
    <w:p w:rsidR="00EA6945" w:rsidRPr="004C3DF2" w:rsidRDefault="006C6445" w:rsidP="00133AE9">
      <w:r w:rsidRPr="00F376C9">
        <w:t xml:space="preserve">The Delegate proposed to seek general advice on this application from the </w:t>
      </w:r>
      <w:r w:rsidR="00EA6945" w:rsidRPr="00F376C9">
        <w:t xml:space="preserve">ACPM </w:t>
      </w:r>
      <w:r w:rsidRPr="00F376C9">
        <w:t xml:space="preserve">in addition to </w:t>
      </w:r>
      <w:r w:rsidR="00F376C9">
        <w:t xml:space="preserve">requesting </w:t>
      </w:r>
      <w:r w:rsidRPr="00F376C9">
        <w:t>the committee address matters raised in the Overview</w:t>
      </w:r>
      <w:r w:rsidR="00F376C9">
        <w:t xml:space="preserve"> (above)</w:t>
      </w:r>
      <w:r w:rsidRPr="00F376C9">
        <w:t>.</w:t>
      </w:r>
    </w:p>
    <w:p w:rsidR="008E7846" w:rsidRDefault="008E7846" w:rsidP="00133AE9">
      <w:pPr>
        <w:pStyle w:val="Heading4"/>
      </w:pPr>
      <w:r>
        <w:lastRenderedPageBreak/>
        <w:t xml:space="preserve">Response from </w:t>
      </w:r>
      <w:r w:rsidR="00133AE9" w:rsidRPr="00133AE9">
        <w:t>s</w:t>
      </w:r>
      <w:r w:rsidRPr="00133AE9">
        <w:t>ponsor</w:t>
      </w:r>
    </w:p>
    <w:p w:rsidR="00EA6945" w:rsidRPr="00EA6945" w:rsidRDefault="00634D11" w:rsidP="00133AE9">
      <w:r w:rsidRPr="00634D11">
        <w:t xml:space="preserve">The sponsor's response to matters raised in the Delegate's Overview has not been included in this </w:t>
      </w:r>
      <w:proofErr w:type="spellStart"/>
      <w:r w:rsidRPr="00634D11">
        <w:t>AusPAR</w:t>
      </w:r>
      <w:proofErr w:type="spellEnd"/>
      <w:r w:rsidR="00133AE9">
        <w:t>.</w:t>
      </w:r>
    </w:p>
    <w:p w:rsidR="008E7846" w:rsidRDefault="008E7846" w:rsidP="00133AE9">
      <w:pPr>
        <w:pStyle w:val="Heading4"/>
      </w:pPr>
      <w:r>
        <w:t xml:space="preserve">Advisory </w:t>
      </w:r>
      <w:r w:rsidR="00133AE9">
        <w:t>c</w:t>
      </w:r>
      <w:r>
        <w:t xml:space="preserve">ommittee </w:t>
      </w:r>
      <w:r w:rsidR="00133AE9">
        <w:t>c</w:t>
      </w:r>
      <w:r w:rsidRPr="00133AE9">
        <w:t>onsiderations</w:t>
      </w:r>
    </w:p>
    <w:p w:rsidR="008E7846" w:rsidRPr="00BE2F11" w:rsidRDefault="008E7846" w:rsidP="00133AE9">
      <w:r w:rsidRPr="00BE2F11">
        <w:t>The Advisory Committee on Prescription Medicines (ACPM) having considered the evaluations and the Delegate’s overview, as well as the sponsor’s response to these documents, advised the following:</w:t>
      </w:r>
    </w:p>
    <w:p w:rsidR="00BE2F11" w:rsidRPr="00BE2F11" w:rsidRDefault="00BE2F11" w:rsidP="00133AE9">
      <w:r w:rsidRPr="00BE2F11">
        <w:t>The ACPM, taking into account the submitted evidence of efficacy, safet</w:t>
      </w:r>
      <w:r w:rsidR="00AA2D96">
        <w:t>y and quality, agreed with the D</w:t>
      </w:r>
      <w:r w:rsidRPr="00BE2F11">
        <w:t xml:space="preserve">elegate and considered </w:t>
      </w:r>
      <w:r w:rsidR="00B90593">
        <w:t>Jaydess</w:t>
      </w:r>
      <w:r w:rsidRPr="00BE2F11">
        <w:t xml:space="preserve"> intrauterine drug delivery system containing 13.5 mg of levonorgestrel to have an overall positive benefit–risk profile for the amended indication</w:t>
      </w:r>
      <w:r w:rsidR="00766F9D">
        <w:t>:</w:t>
      </w:r>
    </w:p>
    <w:p w:rsidR="00BE2F11" w:rsidRPr="00133AE9" w:rsidRDefault="00BE2F11" w:rsidP="00133AE9">
      <w:pPr>
        <w:ind w:left="720"/>
        <w:rPr>
          <w:i/>
        </w:rPr>
      </w:pPr>
      <w:r w:rsidRPr="00133AE9">
        <w:rPr>
          <w:i/>
        </w:rPr>
        <w:t>Contraception for three years</w:t>
      </w:r>
    </w:p>
    <w:p w:rsidR="00BE2F11" w:rsidRPr="00BE2F11" w:rsidRDefault="00BE2F11" w:rsidP="00133AE9">
      <w:pPr>
        <w:pStyle w:val="Heading5"/>
      </w:pPr>
      <w:r w:rsidRPr="00BE2F11">
        <w:t xml:space="preserve">Proposed conditions of </w:t>
      </w:r>
      <w:r w:rsidRPr="00133AE9">
        <w:t>registration</w:t>
      </w:r>
      <w:r w:rsidRPr="00BE2F11">
        <w:t>:</w:t>
      </w:r>
    </w:p>
    <w:p w:rsidR="00BE2F11" w:rsidRPr="00BE2F11" w:rsidRDefault="00BE2F11" w:rsidP="00404C3D">
      <w:r w:rsidRPr="00BE2F11">
        <w:t>The ACPM advised that the conditions of registration should include the following:</w:t>
      </w:r>
    </w:p>
    <w:p w:rsidR="00BE2F11" w:rsidRPr="00BE2F11" w:rsidRDefault="00BE2F11" w:rsidP="00404C3D">
      <w:pPr>
        <w:pStyle w:val="ListBullet"/>
      </w:pPr>
      <w:r w:rsidRPr="00BE2F11">
        <w:t xml:space="preserve">Subject to satisfactory </w:t>
      </w:r>
      <w:r w:rsidRPr="00404C3D">
        <w:t>negotiation</w:t>
      </w:r>
      <w:r w:rsidRPr="00BE2F11">
        <w:t xml:space="preserve"> of the R</w:t>
      </w:r>
      <w:r>
        <w:t xml:space="preserve">MP </w:t>
      </w:r>
      <w:r w:rsidRPr="00BE2F11">
        <w:t>most recently approved by the TGA, including provision of physician and consumer educational materials to the TGA. The need for notifying imaging staff concerning the silver collar before MRI procedures should be reflected in these documents.</w:t>
      </w:r>
    </w:p>
    <w:p w:rsidR="00BE2F11" w:rsidRPr="00BE2F11" w:rsidRDefault="00BE2F11" w:rsidP="00404C3D">
      <w:pPr>
        <w:pStyle w:val="ListBullet"/>
      </w:pPr>
      <w:r w:rsidRPr="00BE2F11">
        <w:t xml:space="preserve">Negotiation of </w:t>
      </w:r>
      <w:r>
        <w:t>PI</w:t>
      </w:r>
      <w:r w:rsidRPr="00BE2F11">
        <w:t xml:space="preserve"> and CMI to the satisfaction of the TGA. The </w:t>
      </w:r>
      <w:r>
        <w:t>c</w:t>
      </w:r>
      <w:r w:rsidRPr="00BE2F11">
        <w:t xml:space="preserve">ommittee supported the </w:t>
      </w:r>
      <w:r>
        <w:t>D</w:t>
      </w:r>
      <w:r w:rsidRPr="00BE2F11">
        <w:t xml:space="preserve">elegate’s view that all safety </w:t>
      </w:r>
      <w:r w:rsidRPr="00404C3D">
        <w:t>information</w:t>
      </w:r>
      <w:r w:rsidRPr="00BE2F11">
        <w:t xml:space="preserve"> and precautions currently in the M</w:t>
      </w:r>
      <w:r>
        <w:t xml:space="preserve">irena </w:t>
      </w:r>
      <w:r w:rsidRPr="00BE2F11">
        <w:t>PI should be included in the J</w:t>
      </w:r>
      <w:r>
        <w:t xml:space="preserve">aydess </w:t>
      </w:r>
      <w:r w:rsidRPr="00BE2F11">
        <w:t>PI.</w:t>
      </w:r>
    </w:p>
    <w:p w:rsidR="00BE2F11" w:rsidRPr="00404C3D" w:rsidRDefault="00404C3D" w:rsidP="00404C3D">
      <w:pPr>
        <w:pStyle w:val="Heading5"/>
      </w:pPr>
      <w:r>
        <w:t>Proposed PI/CMI amendments:</w:t>
      </w:r>
    </w:p>
    <w:p w:rsidR="00BE2F11" w:rsidRPr="00BE2F11" w:rsidRDefault="00BE2F11" w:rsidP="00404C3D">
      <w:r>
        <w:t>The ACPM agreed with the D</w:t>
      </w:r>
      <w:r w:rsidRPr="00BE2F11">
        <w:t xml:space="preserve">elegate to the proposed amendments to the PI and CMI and specifically advised on </w:t>
      </w:r>
      <w:r w:rsidR="00404C3D">
        <w:t>the inclusion of the following:</w:t>
      </w:r>
    </w:p>
    <w:p w:rsidR="00BE2F11" w:rsidRPr="00BE2F11" w:rsidRDefault="00BE2F11" w:rsidP="00404C3D">
      <w:pPr>
        <w:pStyle w:val="ListBullet"/>
      </w:pPr>
      <w:r w:rsidRPr="00BE2F11">
        <w:t>A statement in the relevant sections of the PI and the CMI to ensure procedures are known and understood in the</w:t>
      </w:r>
      <w:r w:rsidR="00404C3D">
        <w:t xml:space="preserve"> case of an unplanned pregnancy</w:t>
      </w:r>
    </w:p>
    <w:p w:rsidR="00BE2F11" w:rsidRPr="00BE2F11" w:rsidRDefault="00BE2F11" w:rsidP="00404C3D">
      <w:pPr>
        <w:pStyle w:val="ListBullet"/>
      </w:pPr>
      <w:r w:rsidRPr="00BE2F11">
        <w:t xml:space="preserve">A statement in the CMI to ensure correct disposal procedures </w:t>
      </w:r>
      <w:r w:rsidRPr="00404C3D">
        <w:t>in</w:t>
      </w:r>
      <w:r w:rsidRPr="00BE2F11">
        <w:t xml:space="preserve"> case of expulsion in a domestic situation.</w:t>
      </w:r>
    </w:p>
    <w:p w:rsidR="00BE2F11" w:rsidRPr="00BE2F11" w:rsidRDefault="00BE2F11" w:rsidP="00404C3D">
      <w:pPr>
        <w:pStyle w:val="ListBullet"/>
      </w:pPr>
      <w:r w:rsidRPr="00BE2F11">
        <w:t>A statement in the CMI that accurately reflects the information on the silver collar for MRI purposes</w:t>
      </w:r>
      <w:r w:rsidR="00AA2D96">
        <w:t>.</w:t>
      </w:r>
    </w:p>
    <w:p w:rsidR="00BE2F11" w:rsidRPr="00AA2D96" w:rsidRDefault="00BE2F11" w:rsidP="00404C3D">
      <w:r w:rsidRPr="00AA2D96">
        <w:t>The ACPM advised that the implementation by the sponsor of the recommendations outlined above to the satisfaction of the TGA, in addition to the evidence of efficacy and safety provided would support the safe and</w:t>
      </w:r>
      <w:r w:rsidR="00404C3D">
        <w:t xml:space="preserve"> effective use of this product.</w:t>
      </w:r>
    </w:p>
    <w:p w:rsidR="008E7846" w:rsidRPr="00404C3D" w:rsidRDefault="008E7846" w:rsidP="00404C3D">
      <w:pPr>
        <w:pStyle w:val="Heading3"/>
      </w:pPr>
      <w:bookmarkStart w:id="265" w:name="_Toc247691532"/>
      <w:bookmarkStart w:id="266" w:name="_Toc314842516"/>
      <w:bookmarkStart w:id="267" w:name="_Toc380568290"/>
      <w:bookmarkEnd w:id="240"/>
      <w:bookmarkEnd w:id="262"/>
      <w:bookmarkEnd w:id="263"/>
      <w:r>
        <w:t>Outcome</w:t>
      </w:r>
      <w:bookmarkEnd w:id="265"/>
      <w:bookmarkEnd w:id="266"/>
      <w:bookmarkEnd w:id="267"/>
    </w:p>
    <w:p w:rsidR="008E7846" w:rsidRPr="00F91480" w:rsidRDefault="008E7846" w:rsidP="00404C3D">
      <w:r w:rsidRPr="00F91480">
        <w:t>Based on a review of quality, safety and efficacy, TG</w:t>
      </w:r>
      <w:r w:rsidR="00F91480">
        <w:t xml:space="preserve">A approved the registration of </w:t>
      </w:r>
      <w:r w:rsidR="00F91480" w:rsidRPr="00F91480">
        <w:t>J</w:t>
      </w:r>
      <w:r w:rsidR="00F91480">
        <w:t xml:space="preserve">aydess </w:t>
      </w:r>
      <w:r w:rsidR="00F91480" w:rsidRPr="00F91480">
        <w:t>levonorgestrel 13.5 mg intrauterine drug delivery system</w:t>
      </w:r>
      <w:r w:rsidRPr="00F91480">
        <w:t>, indicated for:</w:t>
      </w:r>
    </w:p>
    <w:p w:rsidR="008E7846" w:rsidRPr="00404C3D" w:rsidRDefault="00F91480" w:rsidP="00404C3D">
      <w:pPr>
        <w:ind w:left="720"/>
        <w:rPr>
          <w:i/>
        </w:rPr>
      </w:pPr>
      <w:proofErr w:type="gramStart"/>
      <w:r w:rsidRPr="00404C3D">
        <w:rPr>
          <w:i/>
        </w:rPr>
        <w:t>Contraception for up to 3 years.</w:t>
      </w:r>
      <w:proofErr w:type="gramEnd"/>
    </w:p>
    <w:p w:rsidR="00F91480" w:rsidRPr="00F91480" w:rsidRDefault="00F91480" w:rsidP="00404C3D">
      <w:pPr>
        <w:pStyle w:val="Heading4"/>
      </w:pPr>
      <w:r>
        <w:t>S</w:t>
      </w:r>
      <w:r w:rsidRPr="00F91480">
        <w:t>pecific conditions applying to these therapeutic goods</w:t>
      </w:r>
    </w:p>
    <w:p w:rsidR="00F91480" w:rsidRPr="00F91480" w:rsidRDefault="00F91480" w:rsidP="00404C3D">
      <w:pPr>
        <w:pStyle w:val="ListBullet"/>
      </w:pPr>
      <w:r w:rsidRPr="00F91480">
        <w:t>The Jaydess</w:t>
      </w:r>
      <w:r>
        <w:t xml:space="preserve"> levonorgestrel </w:t>
      </w:r>
      <w:r w:rsidRPr="00F91480">
        <w:t xml:space="preserve">(LCS12) EU Risk Management Plan (EU–RMP) (Version 1.3, dated 28 November 2012) with an Australian specific Annex (ASA) (Version 2, dated </w:t>
      </w:r>
      <w:r w:rsidRPr="00F91480">
        <w:lastRenderedPageBreak/>
        <w:t>March 2013), in associated with submission PM-2012-01933-3-5, and any subsequent revisions, as agreed with the TGA must be implemented in Australia.</w:t>
      </w:r>
    </w:p>
    <w:p w:rsidR="008E7846" w:rsidRDefault="008E7846" w:rsidP="00404C3D">
      <w:pPr>
        <w:pStyle w:val="Heading2"/>
      </w:pPr>
      <w:bookmarkStart w:id="268" w:name="_Toc247691533"/>
      <w:bookmarkStart w:id="269" w:name="_Toc314842517"/>
      <w:bookmarkStart w:id="270" w:name="_Toc380568291"/>
      <w:proofErr w:type="gramStart"/>
      <w:r>
        <w:t>Attachment 1.</w:t>
      </w:r>
      <w:proofErr w:type="gramEnd"/>
      <w:r>
        <w:tab/>
        <w:t xml:space="preserve">Product </w:t>
      </w:r>
      <w:r w:rsidR="00AA0ED0" w:rsidRPr="00404C3D">
        <w:t>I</w:t>
      </w:r>
      <w:r w:rsidRPr="00404C3D">
        <w:t>nformation</w:t>
      </w:r>
      <w:bookmarkEnd w:id="268"/>
      <w:bookmarkEnd w:id="269"/>
      <w:bookmarkEnd w:id="270"/>
    </w:p>
    <w:p w:rsidR="00C80137" w:rsidRDefault="00C80137" w:rsidP="00404C3D">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3" w:history="1">
        <w:r w:rsidR="00722B57" w:rsidRPr="00625A6E">
          <w:rPr>
            <w:rStyle w:val="Hyperlink"/>
          </w:rPr>
          <w:t>http://www.tga.gov.au/hp/information-medicines-pi.htm</w:t>
        </w:r>
      </w:hyperlink>
      <w:hyperlink w:history="1"/>
      <w:r w:rsidR="008F6943">
        <w:rPr>
          <w:color w:val="000000"/>
          <w:lang w:eastAsia="en-AU"/>
        </w:rPr>
        <w:t>&gt;.</w:t>
      </w:r>
    </w:p>
    <w:p w:rsidR="00291957" w:rsidRDefault="00C80137" w:rsidP="00404C3D">
      <w:pPr>
        <w:pStyle w:val="Heading2"/>
        <w:rPr>
          <w:lang w:eastAsia="ja-JP"/>
        </w:rPr>
      </w:pPr>
      <w:bookmarkStart w:id="271" w:name="_Toc380568292"/>
      <w:proofErr w:type="gramStart"/>
      <w:r>
        <w:rPr>
          <w:lang w:eastAsia="en-AU"/>
        </w:rPr>
        <w:t>Attachment 2.</w:t>
      </w:r>
      <w:proofErr w:type="gramEnd"/>
      <w:r>
        <w:rPr>
          <w:lang w:eastAsia="en-AU"/>
        </w:rPr>
        <w:t xml:space="preserve"> Extract </w:t>
      </w:r>
      <w:r w:rsidRPr="00404C3D">
        <w:t>from</w:t>
      </w:r>
      <w:r>
        <w:rPr>
          <w:lang w:eastAsia="en-AU"/>
        </w:rPr>
        <w:t xml:space="preserve"> the Clinical Evaluation Report</w:t>
      </w:r>
      <w:bookmarkEnd w:id="271"/>
    </w:p>
    <w:p w:rsidR="00C80137" w:rsidRPr="001D043B" w:rsidRDefault="00C80137" w:rsidP="003A7F6C">
      <w:pPr>
        <w:pStyle w:val="TableTitle"/>
        <w:sectPr w:rsidR="00C80137" w:rsidRPr="001D043B" w:rsidSect="00B452CE">
          <w:headerReference w:type="even" r:id="rId34"/>
          <w:headerReference w:type="default" r:id="rId35"/>
          <w:footerReference w:type="default" r:id="rId36"/>
          <w:headerReference w:type="first" r:id="rId37"/>
          <w:footerReference w:type="first" r:id="rId38"/>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9"/>
      <w:headerReference w:type="default" r:id="rId40"/>
      <w:footerReference w:type="default" r:id="rId41"/>
      <w:headerReference w:type="first" r:id="rId42"/>
      <w:footerReference w:type="first" r:id="rId43"/>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DFF" w:rsidRDefault="00912DFF" w:rsidP="00C40A36">
      <w:pPr>
        <w:spacing w:after="0"/>
      </w:pPr>
      <w:r>
        <w:separator/>
      </w:r>
    </w:p>
  </w:endnote>
  <w:endnote w:type="continuationSeparator" w:id="0">
    <w:p w:rsidR="00912DFF" w:rsidRDefault="00912DF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912DFF" w:rsidRPr="00487162" w:rsidTr="004B0A40">
      <w:trPr>
        <w:trHeight w:val="269"/>
      </w:trPr>
      <w:tc>
        <w:tcPr>
          <w:tcW w:w="7655" w:type="dxa"/>
          <w:tcMar>
            <w:top w:w="142" w:type="dxa"/>
            <w:bottom w:w="0" w:type="dxa"/>
          </w:tcMar>
        </w:tcPr>
        <w:p w:rsidR="00912DFF" w:rsidRPr="00487162" w:rsidRDefault="00912DFF" w:rsidP="007656FC">
          <w:pPr>
            <w:pStyle w:val="Footer"/>
          </w:pPr>
          <w:r w:rsidRPr="00487162">
            <w:t xml:space="preserve">AusPAR </w:t>
          </w:r>
          <w:r>
            <w:t xml:space="preserve">Jaydess (intrauterine drug delivery system), levonorgestrel, Bayer Australia Ltd </w:t>
          </w:r>
          <w:r>
            <w:br/>
          </w:r>
          <w:r w:rsidRPr="00487162">
            <w:t>PM-2</w:t>
          </w:r>
          <w:r>
            <w:t>012</w:t>
          </w:r>
          <w:r w:rsidRPr="00487162">
            <w:t>-</w:t>
          </w:r>
          <w:r>
            <w:t>01933</w:t>
          </w:r>
          <w:r w:rsidRPr="00487162">
            <w:t>-</w:t>
          </w:r>
          <w:r>
            <w:t>3</w:t>
          </w:r>
          <w:r w:rsidRPr="00487162">
            <w:t>-</w:t>
          </w:r>
          <w:r>
            <w:t xml:space="preserve">5 </w:t>
          </w:r>
          <w:r w:rsidRPr="00487162">
            <w:t>Date of Finalisation</w:t>
          </w:r>
          <w:r>
            <w:t xml:space="preserve"> 5 February 2014</w:t>
          </w:r>
        </w:p>
      </w:tc>
      <w:tc>
        <w:tcPr>
          <w:tcW w:w="1206" w:type="dxa"/>
          <w:tcMar>
            <w:top w:w="142" w:type="dxa"/>
            <w:bottom w:w="0" w:type="dxa"/>
          </w:tcMar>
        </w:tcPr>
        <w:p w:rsidR="00912DFF" w:rsidRPr="00487162" w:rsidRDefault="00912DFF" w:rsidP="00D855D4">
          <w:pPr>
            <w:pStyle w:val="Footer"/>
            <w:jc w:val="right"/>
          </w:pPr>
          <w:r w:rsidRPr="00487162">
            <w:t xml:space="preserve">Page </w:t>
          </w:r>
          <w:r>
            <w:t>2</w:t>
          </w:r>
          <w:r w:rsidRPr="00487162">
            <w:t xml:space="preserve"> of </w:t>
          </w:r>
          <w:r>
            <w:fldChar w:fldCharType="begin"/>
          </w:r>
          <w:r>
            <w:instrText xml:space="preserve"> NUMPAGES  \* Arabic </w:instrText>
          </w:r>
          <w:r>
            <w:fldChar w:fldCharType="separate"/>
          </w:r>
          <w:r w:rsidR="00B074B5">
            <w:rPr>
              <w:noProof/>
            </w:rPr>
            <w:t>40</w:t>
          </w:r>
          <w:r>
            <w:rPr>
              <w:noProof/>
            </w:rPr>
            <w:fldChar w:fldCharType="end"/>
          </w:r>
        </w:p>
      </w:tc>
    </w:tr>
  </w:tbl>
  <w:p w:rsidR="00912DFF" w:rsidRDefault="00912DF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912DFF" w:rsidRPr="00487162" w:rsidTr="004B0A40">
      <w:trPr>
        <w:trHeight w:val="269"/>
      </w:trPr>
      <w:tc>
        <w:tcPr>
          <w:tcW w:w="7655" w:type="dxa"/>
          <w:tcMar>
            <w:top w:w="142" w:type="dxa"/>
            <w:bottom w:w="0" w:type="dxa"/>
          </w:tcMar>
        </w:tcPr>
        <w:p w:rsidR="00912DFF" w:rsidRPr="00487162" w:rsidRDefault="00912DFF" w:rsidP="007656FC">
          <w:pPr>
            <w:pStyle w:val="Footer"/>
          </w:pPr>
          <w:r w:rsidRPr="0011678D">
            <w:t>AusPAR Jaydess</w:t>
          </w:r>
          <w:r>
            <w:t xml:space="preserve"> </w:t>
          </w:r>
          <w:r w:rsidRPr="0011678D">
            <w:t>(intrauterine drug delivery system)</w:t>
          </w:r>
          <w:r>
            <w:t xml:space="preserve">, </w:t>
          </w:r>
          <w:r w:rsidRPr="00BA7A55">
            <w:t>levonorgestrel</w:t>
          </w:r>
          <w:r>
            <w:t>,</w:t>
          </w:r>
          <w:r w:rsidRPr="0011678D">
            <w:t xml:space="preserve"> Bayer Australia Ltd </w:t>
          </w:r>
          <w:r>
            <w:br/>
          </w:r>
          <w:r w:rsidRPr="0011678D">
            <w:t>PM-2012-01933-3-5</w:t>
          </w:r>
          <w:r>
            <w:t xml:space="preserve"> </w:t>
          </w:r>
          <w:r w:rsidRPr="0011678D">
            <w:t>Date of Finalisation</w:t>
          </w:r>
          <w:r>
            <w:t xml:space="preserve"> 5 February 2014</w:t>
          </w:r>
        </w:p>
      </w:tc>
      <w:tc>
        <w:tcPr>
          <w:tcW w:w="1206" w:type="dxa"/>
          <w:tcMar>
            <w:top w:w="142" w:type="dxa"/>
            <w:bottom w:w="0" w:type="dxa"/>
          </w:tcMar>
        </w:tcPr>
        <w:p w:rsidR="00912DFF" w:rsidRPr="00487162" w:rsidRDefault="00912DFF" w:rsidP="00E45619">
          <w:pPr>
            <w:pStyle w:val="Footer"/>
            <w:jc w:val="right"/>
          </w:pPr>
          <w:r w:rsidRPr="00487162">
            <w:t xml:space="preserve">Page </w:t>
          </w:r>
          <w:r>
            <w:fldChar w:fldCharType="begin"/>
          </w:r>
          <w:r>
            <w:instrText>PAGE</w:instrText>
          </w:r>
          <w:r>
            <w:fldChar w:fldCharType="separate"/>
          </w:r>
          <w:r w:rsidR="00B074B5">
            <w:rPr>
              <w:noProof/>
            </w:rPr>
            <w:t>5</w:t>
          </w:r>
          <w:r>
            <w:rPr>
              <w:noProof/>
            </w:rPr>
            <w:fldChar w:fldCharType="end"/>
          </w:r>
          <w:r w:rsidRPr="00487162">
            <w:t xml:space="preserve"> of </w:t>
          </w:r>
          <w:r>
            <w:fldChar w:fldCharType="begin"/>
          </w:r>
          <w:r>
            <w:instrText xml:space="preserve"> NUMPAGES  \* Arabic </w:instrText>
          </w:r>
          <w:r>
            <w:fldChar w:fldCharType="separate"/>
          </w:r>
          <w:r w:rsidR="00B074B5">
            <w:rPr>
              <w:noProof/>
            </w:rPr>
            <w:t>40</w:t>
          </w:r>
          <w:r>
            <w:rPr>
              <w:noProof/>
            </w:rPr>
            <w:fldChar w:fldCharType="end"/>
          </w:r>
        </w:p>
      </w:tc>
    </w:tr>
  </w:tbl>
  <w:p w:rsidR="00912DFF" w:rsidRDefault="00912DFF"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12DFF" w:rsidRPr="00487162" w:rsidTr="00E45619">
      <w:trPr>
        <w:trHeight w:val="269"/>
      </w:trPr>
      <w:tc>
        <w:tcPr>
          <w:tcW w:w="4519" w:type="dxa"/>
          <w:tcBorders>
            <w:top w:val="single" w:sz="4" w:space="0" w:color="auto"/>
          </w:tcBorders>
          <w:tcMar>
            <w:top w:w="142" w:type="dxa"/>
            <w:bottom w:w="0" w:type="dxa"/>
          </w:tcMar>
        </w:tcPr>
        <w:p w:rsidR="00912DFF" w:rsidRPr="00487162" w:rsidRDefault="00912DFF" w:rsidP="00FE1DEE">
          <w:pPr>
            <w:pStyle w:val="Footer"/>
          </w:pPr>
          <w:r w:rsidRPr="00487162">
            <w:t>Document title, Part #, Section # - Section title</w:t>
          </w:r>
        </w:p>
        <w:p w:rsidR="00912DFF" w:rsidRPr="00487162" w:rsidRDefault="00912DFF" w:rsidP="00FE1DEE">
          <w:pPr>
            <w:pStyle w:val="Footer"/>
          </w:pPr>
          <w:r w:rsidRPr="00487162">
            <w:t>V1.0 October 2010</w:t>
          </w:r>
        </w:p>
      </w:tc>
      <w:tc>
        <w:tcPr>
          <w:tcW w:w="4342" w:type="dxa"/>
          <w:tcBorders>
            <w:top w:val="single" w:sz="4" w:space="0" w:color="auto"/>
          </w:tcBorders>
          <w:tcMar>
            <w:top w:w="142" w:type="dxa"/>
            <w:bottom w:w="0" w:type="dxa"/>
          </w:tcMar>
        </w:tcPr>
        <w:p w:rsidR="00912DFF" w:rsidRPr="00487162" w:rsidRDefault="00912DF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rsidR="00912DFF" w:rsidRDefault="00912D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912DFF" w:rsidRPr="00487162" w:rsidTr="00E45619">
              <w:trPr>
                <w:trHeight w:hRule="exact" w:val="704"/>
              </w:trPr>
              <w:tc>
                <w:tcPr>
                  <w:tcW w:w="9175" w:type="dxa"/>
                </w:tcPr>
                <w:p w:rsidR="00912DFF" w:rsidRPr="00487162" w:rsidRDefault="00912DFF" w:rsidP="008E7846">
                  <w:pPr>
                    <w:pStyle w:val="TGASignoff"/>
                  </w:pPr>
                  <w:r w:rsidRPr="00487162">
                    <w:t>Therapeutic Goods Administration</w:t>
                  </w:r>
                </w:p>
              </w:tc>
            </w:tr>
            <w:tr w:rsidR="00912DFF" w:rsidRPr="00487162" w:rsidTr="00E45619">
              <w:trPr>
                <w:trHeight w:val="1221"/>
              </w:trPr>
              <w:tc>
                <w:tcPr>
                  <w:tcW w:w="9175" w:type="dxa"/>
                  <w:tcMar>
                    <w:top w:w="28" w:type="dxa"/>
                  </w:tcMar>
                </w:tcPr>
                <w:p w:rsidR="00912DFF" w:rsidRPr="00487162" w:rsidRDefault="00912DFF" w:rsidP="00E45619">
                  <w:pPr>
                    <w:pStyle w:val="Address"/>
                  </w:pPr>
                  <w:r w:rsidRPr="00487162">
                    <w:t>PO Box 100 Woden ACT 2606 Australia</w:t>
                  </w:r>
                </w:p>
                <w:p w:rsidR="00912DFF" w:rsidRPr="00487162" w:rsidRDefault="00912DFF"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912DFF" w:rsidRPr="004C239D" w:rsidRDefault="00912DFF" w:rsidP="004C239D">
                  <w:pPr>
                    <w:pStyle w:val="Address"/>
                    <w:spacing w:line="260" w:lineRule="atLeast"/>
                    <w:rPr>
                      <w:b/>
                      <w:color w:val="0000FF"/>
                      <w:u w:val="single"/>
                    </w:rPr>
                  </w:pPr>
                  <w:hyperlink r:id="rId2" w:history="1">
                    <w:r w:rsidRPr="00607888">
                      <w:rPr>
                        <w:rStyle w:val="Hyperlink"/>
                        <w:b/>
                      </w:rPr>
                      <w:t>http://www.tga.gov.au</w:t>
                    </w:r>
                  </w:hyperlink>
                </w:p>
              </w:tc>
            </w:tr>
          </w:tbl>
          <w:p w:rsidR="00912DFF" w:rsidRDefault="00912DFF" w:rsidP="008E7846">
            <w:pPr>
              <w:pStyle w:val="Notes"/>
            </w:pP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12DFF" w:rsidTr="0010601F">
      <w:trPr>
        <w:trHeight w:val="108"/>
      </w:trPr>
      <w:tc>
        <w:tcPr>
          <w:tcW w:w="8875" w:type="dxa"/>
          <w:gridSpan w:val="2"/>
          <w:tcBorders>
            <w:bottom w:val="single" w:sz="4" w:space="0" w:color="auto"/>
          </w:tcBorders>
          <w:tcMar>
            <w:right w:w="284" w:type="dxa"/>
          </w:tcMar>
        </w:tcPr>
        <w:p w:rsidR="00912DFF" w:rsidRDefault="00912DFF" w:rsidP="006E08B3">
          <w:pPr>
            <w:pStyle w:val="Heading3"/>
          </w:pPr>
          <w:r>
            <w:t>Copyright</w:t>
          </w:r>
        </w:p>
        <w:p w:rsidR="00912DFF" w:rsidRDefault="00912DFF" w:rsidP="006E08B3">
          <w:r>
            <w:rPr>
              <w:rFonts w:cs="Arial"/>
            </w:rPr>
            <w:t>©</w:t>
          </w:r>
          <w:r>
            <w:t xml:space="preserve"> Commonwealth of Australia [add year]</w:t>
          </w:r>
        </w:p>
        <w:p w:rsidR="00912DFF" w:rsidRDefault="00912DFF" w:rsidP="006E08B3"/>
        <w:p w:rsidR="00912DFF" w:rsidRDefault="00912DF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12DFF" w:rsidRDefault="00912DFF" w:rsidP="006E08B3"/>
        <w:p w:rsidR="00912DFF" w:rsidRDefault="00912DFF" w:rsidP="006E08B3">
          <w:pPr>
            <w:pStyle w:val="Heading3"/>
          </w:pPr>
          <w:r>
            <w:t>Confidentiality</w:t>
          </w:r>
        </w:p>
        <w:p w:rsidR="00912DFF" w:rsidRDefault="00912DF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12DFF" w:rsidRDefault="00912DFF" w:rsidP="006E08B3"/>
        <w:p w:rsidR="00912DFF" w:rsidRDefault="00912DFF" w:rsidP="006E08B3">
          <w:r>
            <w:t>For submission made by individuals, all personal details, other than your name, will be removed from your submission before it is published on the TGA’s Internet site.</w:t>
          </w:r>
        </w:p>
        <w:p w:rsidR="00912DFF" w:rsidRDefault="00912DFF" w:rsidP="006E08B3"/>
        <w:p w:rsidR="00912DFF" w:rsidRDefault="00912DF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12DFF" w:rsidTr="0010601F">
      <w:trPr>
        <w:trHeight w:val="417"/>
      </w:trPr>
      <w:tc>
        <w:tcPr>
          <w:tcW w:w="4519" w:type="dxa"/>
          <w:tcBorders>
            <w:top w:val="single" w:sz="4" w:space="0" w:color="auto"/>
          </w:tcBorders>
          <w:tcMar>
            <w:top w:w="142" w:type="dxa"/>
            <w:bottom w:w="0" w:type="dxa"/>
          </w:tcMar>
        </w:tcPr>
        <w:p w:rsidR="00912DFF" w:rsidRDefault="00912DFF" w:rsidP="006E08B3">
          <w:r>
            <w:t>Document title, Part #, Section # - Section title</w:t>
          </w:r>
        </w:p>
        <w:p w:rsidR="00912DFF" w:rsidRDefault="00912DFF" w:rsidP="006E08B3">
          <w:r>
            <w:t>V1.0 October 2010</w:t>
          </w:r>
        </w:p>
      </w:tc>
      <w:tc>
        <w:tcPr>
          <w:tcW w:w="4356" w:type="dxa"/>
          <w:tcBorders>
            <w:top w:val="single" w:sz="4" w:space="0" w:color="auto"/>
          </w:tcBorders>
          <w:tcMar>
            <w:top w:w="142" w:type="dxa"/>
            <w:bottom w:w="0" w:type="dxa"/>
          </w:tcMar>
        </w:tcPr>
        <w:p w:rsidR="00912DFF" w:rsidRDefault="00912DF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rsidR="00912DFF" w:rsidRDefault="00912D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DFF" w:rsidRDefault="00912DFF" w:rsidP="00C40A36">
      <w:pPr>
        <w:spacing w:after="0"/>
      </w:pPr>
      <w:r>
        <w:separator/>
      </w:r>
    </w:p>
  </w:footnote>
  <w:footnote w:type="continuationSeparator" w:id="0">
    <w:p w:rsidR="00912DFF" w:rsidRDefault="00912DFF" w:rsidP="00C40A36">
      <w:pPr>
        <w:spacing w:after="0"/>
      </w:pPr>
      <w:r>
        <w:continuationSeparator/>
      </w:r>
    </w:p>
  </w:footnote>
  <w:footnote w:id="1">
    <w:p w:rsidR="00912DFF" w:rsidRPr="00E12E0A" w:rsidRDefault="00912DFF" w:rsidP="00620EF4">
      <w:pPr>
        <w:pStyle w:val="FootnoteText"/>
      </w:pPr>
      <w:r w:rsidRPr="00E12E0A">
        <w:rPr>
          <w:rStyle w:val="FootnoteReference"/>
          <w:sz w:val="18"/>
          <w:szCs w:val="18"/>
        </w:rPr>
        <w:footnoteRef/>
      </w:r>
      <w:r w:rsidRPr="00E12E0A">
        <w:t xml:space="preserve"> </w:t>
      </w:r>
      <w:r w:rsidRPr="00620EF4">
        <w:t>Category</w:t>
      </w:r>
      <w:r w:rsidRPr="00E12E0A">
        <w:t xml:space="preserve"> B3 is defined as: </w:t>
      </w:r>
      <w:r w:rsidRPr="00620EF4">
        <w:rPr>
          <w:i/>
        </w:rPr>
        <w:t xml:space="preserve">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w:t>
      </w:r>
      <w:proofErr w:type="spellStart"/>
      <w:r w:rsidRPr="00620EF4">
        <w:rPr>
          <w:i/>
        </w:rPr>
        <w:t>fetal</w:t>
      </w:r>
      <w:proofErr w:type="spellEnd"/>
      <w:r w:rsidRPr="00620EF4">
        <w:rPr>
          <w:i/>
        </w:rPr>
        <w:t xml:space="preserve"> damage, the significance of which is considered uncertain in humans.</w:t>
      </w:r>
    </w:p>
  </w:footnote>
  <w:footnote w:id="2">
    <w:p w:rsidR="00912DFF" w:rsidRPr="00821733" w:rsidRDefault="00912DFF" w:rsidP="0055782C">
      <w:pPr>
        <w:pStyle w:val="FootnoteText"/>
      </w:pPr>
      <w:r w:rsidRPr="00821733">
        <w:rPr>
          <w:rStyle w:val="FootnoteReference"/>
          <w:sz w:val="18"/>
          <w:szCs w:val="18"/>
        </w:rPr>
        <w:footnoteRef/>
      </w:r>
      <w:r w:rsidRPr="00821733">
        <w:t xml:space="preserve"> Details of PI revisions are beyond the scope of the AusPAR.</w:t>
      </w:r>
    </w:p>
  </w:footnote>
  <w:footnote w:id="3">
    <w:p w:rsidR="00912DFF" w:rsidRPr="00212982" w:rsidRDefault="00912DFF" w:rsidP="00133AE9">
      <w:pPr>
        <w:pStyle w:val="FootnoteText"/>
      </w:pPr>
      <w:r w:rsidRPr="00212982">
        <w:rPr>
          <w:rStyle w:val="FootnoteReference"/>
          <w:sz w:val="18"/>
          <w:szCs w:val="18"/>
        </w:rPr>
        <w:footnoteRef/>
      </w:r>
      <w:r w:rsidRPr="00212982">
        <w:t xml:space="preserve"> Details of recommendations and </w:t>
      </w:r>
      <w:r w:rsidRPr="00133AE9">
        <w:t>revisions</w:t>
      </w:r>
      <w:r w:rsidRPr="00212982">
        <w:t xml:space="preserve"> regarding the PI are beyond the scope of the AusPAR.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DFF" w:rsidRDefault="00912DF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DFF" w:rsidRDefault="00912DFF">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-1081709</wp:posOffset>
          </wp:positionH>
          <wp:positionV relativeFrom="paragraph">
            <wp:posOffset>-585470</wp:posOffset>
          </wp:positionV>
          <wp:extent cx="7572375" cy="10706100"/>
          <wp:effectExtent l="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912DFF" w:rsidRDefault="00912DFF"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DFF" w:rsidRDefault="00912D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DFF" w:rsidRDefault="00912DF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DFF" w:rsidRDefault="00912DF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DFF" w:rsidRDefault="00912DF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DFF" w:rsidRDefault="00912DF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DFF" w:rsidRDefault="00912DFF" w:rsidP="006E08B3">
    <w:r>
      <w:t>Therapeutic Goods Administration</w:t>
    </w:r>
  </w:p>
  <w:p w:rsidR="00912DFF" w:rsidRDefault="00912DF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3711B93"/>
    <w:multiLevelType w:val="hybridMultilevel"/>
    <w:tmpl w:val="FD3CA4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53F26D2"/>
    <w:multiLevelType w:val="hybridMultilevel"/>
    <w:tmpl w:val="67A4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CF57AC"/>
    <w:multiLevelType w:val="hybridMultilevel"/>
    <w:tmpl w:val="4120F9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79050AF"/>
    <w:multiLevelType w:val="hybridMultilevel"/>
    <w:tmpl w:val="0EF63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2B44459"/>
    <w:multiLevelType w:val="hybridMultilevel"/>
    <w:tmpl w:val="9E908FB8"/>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24F7A39"/>
    <w:multiLevelType w:val="hybridMultilevel"/>
    <w:tmpl w:val="8AE2818E"/>
    <w:lvl w:ilvl="0" w:tplc="1BCCCB8A">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50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B56639B"/>
    <w:multiLevelType w:val="hybridMultilevel"/>
    <w:tmpl w:val="DB0298AA"/>
    <w:lvl w:ilvl="0" w:tplc="C5CA8D02">
      <w:start w:val="1"/>
      <w:numFmt w:val="decimal"/>
      <w:lvlText w:val="%1."/>
      <w:lvlJc w:val="left"/>
      <w:pPr>
        <w:ind w:left="360" w:hanging="360"/>
      </w:pPr>
      <w:rPr>
        <w:rFonts w:hint="default"/>
      </w:rPr>
    </w:lvl>
    <w:lvl w:ilvl="1" w:tplc="0F3CEAFC" w:tentative="1">
      <w:start w:val="1"/>
      <w:numFmt w:val="bullet"/>
      <w:lvlText w:val="o"/>
      <w:lvlJc w:val="left"/>
      <w:pPr>
        <w:ind w:left="1080" w:hanging="360"/>
      </w:pPr>
      <w:rPr>
        <w:rFonts w:ascii="Courier New" w:hAnsi="Courier New" w:cs="Courier New" w:hint="default"/>
      </w:rPr>
    </w:lvl>
    <w:lvl w:ilvl="2" w:tplc="6D32ADE0" w:tentative="1">
      <w:start w:val="1"/>
      <w:numFmt w:val="bullet"/>
      <w:lvlText w:val=""/>
      <w:lvlJc w:val="left"/>
      <w:pPr>
        <w:ind w:left="1800" w:hanging="360"/>
      </w:pPr>
      <w:rPr>
        <w:rFonts w:ascii="Wingdings" w:hAnsi="Wingdings" w:hint="default"/>
      </w:rPr>
    </w:lvl>
    <w:lvl w:ilvl="3" w:tplc="D610E01A" w:tentative="1">
      <w:start w:val="1"/>
      <w:numFmt w:val="bullet"/>
      <w:lvlText w:val=""/>
      <w:lvlJc w:val="left"/>
      <w:pPr>
        <w:ind w:left="2520" w:hanging="360"/>
      </w:pPr>
      <w:rPr>
        <w:rFonts w:ascii="Symbol" w:hAnsi="Symbol" w:hint="default"/>
      </w:rPr>
    </w:lvl>
    <w:lvl w:ilvl="4" w:tplc="F79CE1BC" w:tentative="1">
      <w:start w:val="1"/>
      <w:numFmt w:val="bullet"/>
      <w:lvlText w:val="o"/>
      <w:lvlJc w:val="left"/>
      <w:pPr>
        <w:ind w:left="3240" w:hanging="360"/>
      </w:pPr>
      <w:rPr>
        <w:rFonts w:ascii="Courier New" w:hAnsi="Courier New" w:cs="Courier New" w:hint="default"/>
      </w:rPr>
    </w:lvl>
    <w:lvl w:ilvl="5" w:tplc="AAF053AA" w:tentative="1">
      <w:start w:val="1"/>
      <w:numFmt w:val="bullet"/>
      <w:lvlText w:val=""/>
      <w:lvlJc w:val="left"/>
      <w:pPr>
        <w:ind w:left="3960" w:hanging="360"/>
      </w:pPr>
      <w:rPr>
        <w:rFonts w:ascii="Wingdings" w:hAnsi="Wingdings" w:hint="default"/>
      </w:rPr>
    </w:lvl>
    <w:lvl w:ilvl="6" w:tplc="051A24EA" w:tentative="1">
      <w:start w:val="1"/>
      <w:numFmt w:val="bullet"/>
      <w:lvlText w:val=""/>
      <w:lvlJc w:val="left"/>
      <w:pPr>
        <w:ind w:left="4680" w:hanging="360"/>
      </w:pPr>
      <w:rPr>
        <w:rFonts w:ascii="Symbol" w:hAnsi="Symbol" w:hint="default"/>
      </w:rPr>
    </w:lvl>
    <w:lvl w:ilvl="7" w:tplc="8592BCA2" w:tentative="1">
      <w:start w:val="1"/>
      <w:numFmt w:val="bullet"/>
      <w:lvlText w:val="o"/>
      <w:lvlJc w:val="left"/>
      <w:pPr>
        <w:ind w:left="5400" w:hanging="360"/>
      </w:pPr>
      <w:rPr>
        <w:rFonts w:ascii="Courier New" w:hAnsi="Courier New" w:cs="Courier New" w:hint="default"/>
      </w:rPr>
    </w:lvl>
    <w:lvl w:ilvl="8" w:tplc="2098E098"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5"/>
  </w:num>
  <w:num w:numId="29">
    <w:abstractNumId w:val="11"/>
  </w:num>
  <w:num w:numId="3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8"/>
  </w:num>
  <w:num w:numId="33">
    <w:abstractNumId w:val="9"/>
  </w:num>
  <w:num w:numId="34">
    <w:abstractNumId w:val="7"/>
  </w:num>
  <w:num w:numId="35">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4514">
      <o:colormenu v:ext="edit" fillcolor="none [3206]"/>
    </o:shapedefaults>
  </w:hdrShapeDefaults>
  <w:footnotePr>
    <w:footnote w:id="-1"/>
    <w:footnote w:id="0"/>
  </w:footnotePr>
  <w:endnotePr>
    <w:endnote w:id="-1"/>
    <w:endnote w:id="0"/>
  </w:endnotePr>
  <w:compat>
    <w:compatSetting w:name="compatibilityMode" w:uri="http://schemas.microsoft.com/office/word" w:val="12"/>
  </w:compat>
  <w:rsids>
    <w:rsidRoot w:val="0011678D"/>
    <w:rsid w:val="00002031"/>
    <w:rsid w:val="00004734"/>
    <w:rsid w:val="00006B22"/>
    <w:rsid w:val="0001276A"/>
    <w:rsid w:val="0002438C"/>
    <w:rsid w:val="000246AE"/>
    <w:rsid w:val="00025C67"/>
    <w:rsid w:val="000447FF"/>
    <w:rsid w:val="0005559E"/>
    <w:rsid w:val="00075070"/>
    <w:rsid w:val="00075EAA"/>
    <w:rsid w:val="00077775"/>
    <w:rsid w:val="00090471"/>
    <w:rsid w:val="00096AA7"/>
    <w:rsid w:val="000A3AED"/>
    <w:rsid w:val="000B3532"/>
    <w:rsid w:val="000B3A75"/>
    <w:rsid w:val="000C690F"/>
    <w:rsid w:val="000D1295"/>
    <w:rsid w:val="000D391B"/>
    <w:rsid w:val="000D3D6D"/>
    <w:rsid w:val="000D4FC7"/>
    <w:rsid w:val="000F4869"/>
    <w:rsid w:val="000F5B42"/>
    <w:rsid w:val="000F6E6F"/>
    <w:rsid w:val="00100807"/>
    <w:rsid w:val="0010601F"/>
    <w:rsid w:val="0010788A"/>
    <w:rsid w:val="00107A31"/>
    <w:rsid w:val="00110EA5"/>
    <w:rsid w:val="00112F56"/>
    <w:rsid w:val="0011678D"/>
    <w:rsid w:val="00125318"/>
    <w:rsid w:val="001305A2"/>
    <w:rsid w:val="00133238"/>
    <w:rsid w:val="00133AE9"/>
    <w:rsid w:val="001359FA"/>
    <w:rsid w:val="0014197B"/>
    <w:rsid w:val="001447CD"/>
    <w:rsid w:val="001516B1"/>
    <w:rsid w:val="00154EBB"/>
    <w:rsid w:val="00156316"/>
    <w:rsid w:val="00162D14"/>
    <w:rsid w:val="00165389"/>
    <w:rsid w:val="0017693F"/>
    <w:rsid w:val="0018110E"/>
    <w:rsid w:val="00181684"/>
    <w:rsid w:val="001843C6"/>
    <w:rsid w:val="001850E0"/>
    <w:rsid w:val="001A1109"/>
    <w:rsid w:val="001A2158"/>
    <w:rsid w:val="001A525F"/>
    <w:rsid w:val="001B09F9"/>
    <w:rsid w:val="001B6448"/>
    <w:rsid w:val="001E07CF"/>
    <w:rsid w:val="001E59F1"/>
    <w:rsid w:val="001F147F"/>
    <w:rsid w:val="001F49EB"/>
    <w:rsid w:val="001F6CBA"/>
    <w:rsid w:val="00201D4E"/>
    <w:rsid w:val="00204EC6"/>
    <w:rsid w:val="002076C9"/>
    <w:rsid w:val="00212982"/>
    <w:rsid w:val="00220B8A"/>
    <w:rsid w:val="002257F3"/>
    <w:rsid w:val="00233456"/>
    <w:rsid w:val="002339A5"/>
    <w:rsid w:val="00244CB1"/>
    <w:rsid w:val="00246E60"/>
    <w:rsid w:val="00257848"/>
    <w:rsid w:val="00261891"/>
    <w:rsid w:val="0026567D"/>
    <w:rsid w:val="0027084A"/>
    <w:rsid w:val="00277E7F"/>
    <w:rsid w:val="00286434"/>
    <w:rsid w:val="00286C59"/>
    <w:rsid w:val="00291957"/>
    <w:rsid w:val="002942D1"/>
    <w:rsid w:val="0029501A"/>
    <w:rsid w:val="002B1638"/>
    <w:rsid w:val="002C1D25"/>
    <w:rsid w:val="002E4C9A"/>
    <w:rsid w:val="002F11F8"/>
    <w:rsid w:val="002F3F56"/>
    <w:rsid w:val="002F44B5"/>
    <w:rsid w:val="00311AC0"/>
    <w:rsid w:val="0032583B"/>
    <w:rsid w:val="00327883"/>
    <w:rsid w:val="00332B94"/>
    <w:rsid w:val="0033364F"/>
    <w:rsid w:val="00335364"/>
    <w:rsid w:val="00335504"/>
    <w:rsid w:val="00347824"/>
    <w:rsid w:val="00350567"/>
    <w:rsid w:val="003521E8"/>
    <w:rsid w:val="003653E9"/>
    <w:rsid w:val="003728F3"/>
    <w:rsid w:val="0037496E"/>
    <w:rsid w:val="00386150"/>
    <w:rsid w:val="003874CE"/>
    <w:rsid w:val="00390900"/>
    <w:rsid w:val="00392517"/>
    <w:rsid w:val="003A56D0"/>
    <w:rsid w:val="003A7F6C"/>
    <w:rsid w:val="003B45BD"/>
    <w:rsid w:val="003B4D60"/>
    <w:rsid w:val="003B7E39"/>
    <w:rsid w:val="003C274A"/>
    <w:rsid w:val="003C58DC"/>
    <w:rsid w:val="003D1E62"/>
    <w:rsid w:val="003D3822"/>
    <w:rsid w:val="003D56EB"/>
    <w:rsid w:val="003E2486"/>
    <w:rsid w:val="003E3208"/>
    <w:rsid w:val="003F0B04"/>
    <w:rsid w:val="0040134E"/>
    <w:rsid w:val="00404C3D"/>
    <w:rsid w:val="004170D0"/>
    <w:rsid w:val="004251D5"/>
    <w:rsid w:val="00426AD5"/>
    <w:rsid w:val="00436B75"/>
    <w:rsid w:val="00440A2D"/>
    <w:rsid w:val="004564A7"/>
    <w:rsid w:val="004617BF"/>
    <w:rsid w:val="00463658"/>
    <w:rsid w:val="004722CC"/>
    <w:rsid w:val="00474FCE"/>
    <w:rsid w:val="00477677"/>
    <w:rsid w:val="00492A20"/>
    <w:rsid w:val="004936E4"/>
    <w:rsid w:val="00493E90"/>
    <w:rsid w:val="00494E60"/>
    <w:rsid w:val="00497487"/>
    <w:rsid w:val="004B04AC"/>
    <w:rsid w:val="004B0A40"/>
    <w:rsid w:val="004B7B76"/>
    <w:rsid w:val="004C2069"/>
    <w:rsid w:val="004C239D"/>
    <w:rsid w:val="004C2DCA"/>
    <w:rsid w:val="004C3DF2"/>
    <w:rsid w:val="004C63DC"/>
    <w:rsid w:val="004D3823"/>
    <w:rsid w:val="004D4A90"/>
    <w:rsid w:val="004F0BE8"/>
    <w:rsid w:val="004F0F38"/>
    <w:rsid w:val="00501921"/>
    <w:rsid w:val="00530354"/>
    <w:rsid w:val="00532305"/>
    <w:rsid w:val="0053625B"/>
    <w:rsid w:val="005434C6"/>
    <w:rsid w:val="00543B39"/>
    <w:rsid w:val="00550096"/>
    <w:rsid w:val="0055782C"/>
    <w:rsid w:val="00557FF9"/>
    <w:rsid w:val="00576378"/>
    <w:rsid w:val="00577130"/>
    <w:rsid w:val="00577945"/>
    <w:rsid w:val="00577E38"/>
    <w:rsid w:val="00585322"/>
    <w:rsid w:val="005857C6"/>
    <w:rsid w:val="00592F6E"/>
    <w:rsid w:val="00593AD1"/>
    <w:rsid w:val="00593B0A"/>
    <w:rsid w:val="005A68B6"/>
    <w:rsid w:val="005C21F1"/>
    <w:rsid w:val="005C5570"/>
    <w:rsid w:val="005C79A4"/>
    <w:rsid w:val="005D5442"/>
    <w:rsid w:val="00603F32"/>
    <w:rsid w:val="00615D99"/>
    <w:rsid w:val="00616043"/>
    <w:rsid w:val="00620EF4"/>
    <w:rsid w:val="00625A6E"/>
    <w:rsid w:val="00631FD0"/>
    <w:rsid w:val="00632398"/>
    <w:rsid w:val="00634D11"/>
    <w:rsid w:val="00640FC3"/>
    <w:rsid w:val="00642020"/>
    <w:rsid w:val="0065337B"/>
    <w:rsid w:val="0065419D"/>
    <w:rsid w:val="006604D8"/>
    <w:rsid w:val="00664A5B"/>
    <w:rsid w:val="00675926"/>
    <w:rsid w:val="006763D2"/>
    <w:rsid w:val="00680C08"/>
    <w:rsid w:val="006931B1"/>
    <w:rsid w:val="006A15C0"/>
    <w:rsid w:val="006C3E2A"/>
    <w:rsid w:val="006C642F"/>
    <w:rsid w:val="006C6445"/>
    <w:rsid w:val="006D03E5"/>
    <w:rsid w:val="006D5D3E"/>
    <w:rsid w:val="006E08B3"/>
    <w:rsid w:val="006F17AC"/>
    <w:rsid w:val="006F572E"/>
    <w:rsid w:val="007046D6"/>
    <w:rsid w:val="00705DB0"/>
    <w:rsid w:val="007155D0"/>
    <w:rsid w:val="00722B57"/>
    <w:rsid w:val="00723141"/>
    <w:rsid w:val="00723EEB"/>
    <w:rsid w:val="0074253D"/>
    <w:rsid w:val="0074429B"/>
    <w:rsid w:val="00751271"/>
    <w:rsid w:val="007615BC"/>
    <w:rsid w:val="00762F05"/>
    <w:rsid w:val="007652FF"/>
    <w:rsid w:val="007656FC"/>
    <w:rsid w:val="00766F9D"/>
    <w:rsid w:val="00767DA1"/>
    <w:rsid w:val="00770EF1"/>
    <w:rsid w:val="00773EF7"/>
    <w:rsid w:val="00774D3A"/>
    <w:rsid w:val="00774E1D"/>
    <w:rsid w:val="0077675A"/>
    <w:rsid w:val="007769C0"/>
    <w:rsid w:val="00780355"/>
    <w:rsid w:val="00785721"/>
    <w:rsid w:val="00791DCE"/>
    <w:rsid w:val="00793A59"/>
    <w:rsid w:val="007B6E9F"/>
    <w:rsid w:val="007C1216"/>
    <w:rsid w:val="007C1AF7"/>
    <w:rsid w:val="007D3C86"/>
    <w:rsid w:val="007D53A1"/>
    <w:rsid w:val="00801436"/>
    <w:rsid w:val="00805D27"/>
    <w:rsid w:val="00821733"/>
    <w:rsid w:val="00821776"/>
    <w:rsid w:val="008321F5"/>
    <w:rsid w:val="00832369"/>
    <w:rsid w:val="00833FE9"/>
    <w:rsid w:val="00834660"/>
    <w:rsid w:val="00836BC2"/>
    <w:rsid w:val="0085641B"/>
    <w:rsid w:val="00857136"/>
    <w:rsid w:val="00861E0B"/>
    <w:rsid w:val="00877646"/>
    <w:rsid w:val="00885B11"/>
    <w:rsid w:val="00886D15"/>
    <w:rsid w:val="00887DD8"/>
    <w:rsid w:val="00896018"/>
    <w:rsid w:val="008960DD"/>
    <w:rsid w:val="0089635C"/>
    <w:rsid w:val="008A2B9D"/>
    <w:rsid w:val="008A5E0B"/>
    <w:rsid w:val="008A6D59"/>
    <w:rsid w:val="008B14BA"/>
    <w:rsid w:val="008B4B03"/>
    <w:rsid w:val="008B596F"/>
    <w:rsid w:val="008C159F"/>
    <w:rsid w:val="008C1623"/>
    <w:rsid w:val="008C1850"/>
    <w:rsid w:val="008C2AC8"/>
    <w:rsid w:val="008C51A9"/>
    <w:rsid w:val="008E5851"/>
    <w:rsid w:val="008E7846"/>
    <w:rsid w:val="008F1CCC"/>
    <w:rsid w:val="008F2967"/>
    <w:rsid w:val="008F6943"/>
    <w:rsid w:val="00902A21"/>
    <w:rsid w:val="0091127A"/>
    <w:rsid w:val="00912DFF"/>
    <w:rsid w:val="00920330"/>
    <w:rsid w:val="009219D7"/>
    <w:rsid w:val="009229DA"/>
    <w:rsid w:val="00922D53"/>
    <w:rsid w:val="00923B70"/>
    <w:rsid w:val="00924482"/>
    <w:rsid w:val="00930237"/>
    <w:rsid w:val="00935D55"/>
    <w:rsid w:val="009450D0"/>
    <w:rsid w:val="00946EA5"/>
    <w:rsid w:val="00963411"/>
    <w:rsid w:val="00963C08"/>
    <w:rsid w:val="00966695"/>
    <w:rsid w:val="00966CCF"/>
    <w:rsid w:val="00984CDE"/>
    <w:rsid w:val="0098585A"/>
    <w:rsid w:val="009A4CED"/>
    <w:rsid w:val="009A690D"/>
    <w:rsid w:val="009B1D12"/>
    <w:rsid w:val="009B416B"/>
    <w:rsid w:val="009C4BD5"/>
    <w:rsid w:val="009C5D93"/>
    <w:rsid w:val="009D0041"/>
    <w:rsid w:val="009D1A27"/>
    <w:rsid w:val="009D7B77"/>
    <w:rsid w:val="009E0BB0"/>
    <w:rsid w:val="009E3FBB"/>
    <w:rsid w:val="009F38E1"/>
    <w:rsid w:val="00A102E4"/>
    <w:rsid w:val="00A12C42"/>
    <w:rsid w:val="00A14DF7"/>
    <w:rsid w:val="00A3246D"/>
    <w:rsid w:val="00A36FA7"/>
    <w:rsid w:val="00A475B7"/>
    <w:rsid w:val="00A47AF7"/>
    <w:rsid w:val="00A47C3E"/>
    <w:rsid w:val="00A50226"/>
    <w:rsid w:val="00A5228E"/>
    <w:rsid w:val="00A532ED"/>
    <w:rsid w:val="00A60BAD"/>
    <w:rsid w:val="00A84CEA"/>
    <w:rsid w:val="00A84E36"/>
    <w:rsid w:val="00A93108"/>
    <w:rsid w:val="00A93E4B"/>
    <w:rsid w:val="00A964D1"/>
    <w:rsid w:val="00AA0ED0"/>
    <w:rsid w:val="00AA2D96"/>
    <w:rsid w:val="00AB09E1"/>
    <w:rsid w:val="00AB38E1"/>
    <w:rsid w:val="00AC2B40"/>
    <w:rsid w:val="00AC2BB2"/>
    <w:rsid w:val="00AC2C3C"/>
    <w:rsid w:val="00AC512D"/>
    <w:rsid w:val="00AD0083"/>
    <w:rsid w:val="00AE65EB"/>
    <w:rsid w:val="00AE67A7"/>
    <w:rsid w:val="00AF1D94"/>
    <w:rsid w:val="00AF60C5"/>
    <w:rsid w:val="00B009C6"/>
    <w:rsid w:val="00B01548"/>
    <w:rsid w:val="00B074B5"/>
    <w:rsid w:val="00B12000"/>
    <w:rsid w:val="00B21D29"/>
    <w:rsid w:val="00B25034"/>
    <w:rsid w:val="00B33588"/>
    <w:rsid w:val="00B33863"/>
    <w:rsid w:val="00B37D17"/>
    <w:rsid w:val="00B4175E"/>
    <w:rsid w:val="00B452CE"/>
    <w:rsid w:val="00B54C25"/>
    <w:rsid w:val="00B76B91"/>
    <w:rsid w:val="00B77EB1"/>
    <w:rsid w:val="00B811C6"/>
    <w:rsid w:val="00B829BC"/>
    <w:rsid w:val="00B855B0"/>
    <w:rsid w:val="00B90593"/>
    <w:rsid w:val="00B92E08"/>
    <w:rsid w:val="00BA430F"/>
    <w:rsid w:val="00BA7A55"/>
    <w:rsid w:val="00BC622A"/>
    <w:rsid w:val="00BC70EC"/>
    <w:rsid w:val="00BE0A78"/>
    <w:rsid w:val="00BE2F11"/>
    <w:rsid w:val="00BE79F0"/>
    <w:rsid w:val="00BF046D"/>
    <w:rsid w:val="00BF1190"/>
    <w:rsid w:val="00BF4C33"/>
    <w:rsid w:val="00BF5D04"/>
    <w:rsid w:val="00C06390"/>
    <w:rsid w:val="00C1078B"/>
    <w:rsid w:val="00C1164D"/>
    <w:rsid w:val="00C16861"/>
    <w:rsid w:val="00C31AFB"/>
    <w:rsid w:val="00C404A6"/>
    <w:rsid w:val="00C40A36"/>
    <w:rsid w:val="00C44419"/>
    <w:rsid w:val="00C45E7B"/>
    <w:rsid w:val="00C471B1"/>
    <w:rsid w:val="00C543F0"/>
    <w:rsid w:val="00C57293"/>
    <w:rsid w:val="00C6316B"/>
    <w:rsid w:val="00C634A9"/>
    <w:rsid w:val="00C64586"/>
    <w:rsid w:val="00C70D53"/>
    <w:rsid w:val="00C71CDC"/>
    <w:rsid w:val="00C73D0B"/>
    <w:rsid w:val="00C772FF"/>
    <w:rsid w:val="00C80137"/>
    <w:rsid w:val="00C801AF"/>
    <w:rsid w:val="00C80256"/>
    <w:rsid w:val="00C82F47"/>
    <w:rsid w:val="00C836A2"/>
    <w:rsid w:val="00C92674"/>
    <w:rsid w:val="00CB6BC0"/>
    <w:rsid w:val="00CC1B7C"/>
    <w:rsid w:val="00CC727F"/>
    <w:rsid w:val="00CF15C3"/>
    <w:rsid w:val="00CF2B6F"/>
    <w:rsid w:val="00CF3372"/>
    <w:rsid w:val="00CF58B6"/>
    <w:rsid w:val="00D017ED"/>
    <w:rsid w:val="00D02148"/>
    <w:rsid w:val="00D040D3"/>
    <w:rsid w:val="00D04C65"/>
    <w:rsid w:val="00D224FE"/>
    <w:rsid w:val="00D6493E"/>
    <w:rsid w:val="00D7301E"/>
    <w:rsid w:val="00D7559D"/>
    <w:rsid w:val="00D82998"/>
    <w:rsid w:val="00D83AE1"/>
    <w:rsid w:val="00D855D4"/>
    <w:rsid w:val="00D87328"/>
    <w:rsid w:val="00D93466"/>
    <w:rsid w:val="00DA1124"/>
    <w:rsid w:val="00DA1ABA"/>
    <w:rsid w:val="00DA1FAC"/>
    <w:rsid w:val="00DA6B17"/>
    <w:rsid w:val="00DB6124"/>
    <w:rsid w:val="00DB75B7"/>
    <w:rsid w:val="00DC040E"/>
    <w:rsid w:val="00DC4470"/>
    <w:rsid w:val="00DC5C6F"/>
    <w:rsid w:val="00DC651C"/>
    <w:rsid w:val="00DC6E02"/>
    <w:rsid w:val="00DE02AE"/>
    <w:rsid w:val="00DF1D7F"/>
    <w:rsid w:val="00DF4BE4"/>
    <w:rsid w:val="00E02FB4"/>
    <w:rsid w:val="00E12E0A"/>
    <w:rsid w:val="00E20571"/>
    <w:rsid w:val="00E235F7"/>
    <w:rsid w:val="00E23659"/>
    <w:rsid w:val="00E239D4"/>
    <w:rsid w:val="00E26130"/>
    <w:rsid w:val="00E40B22"/>
    <w:rsid w:val="00E45619"/>
    <w:rsid w:val="00E4588F"/>
    <w:rsid w:val="00E46DA3"/>
    <w:rsid w:val="00E51BB1"/>
    <w:rsid w:val="00E624A5"/>
    <w:rsid w:val="00E7344E"/>
    <w:rsid w:val="00E8354B"/>
    <w:rsid w:val="00EA6945"/>
    <w:rsid w:val="00EB0798"/>
    <w:rsid w:val="00EB40AD"/>
    <w:rsid w:val="00EB586E"/>
    <w:rsid w:val="00EB5FC8"/>
    <w:rsid w:val="00EC7A85"/>
    <w:rsid w:val="00ED3CAD"/>
    <w:rsid w:val="00ED5A41"/>
    <w:rsid w:val="00EE1DE8"/>
    <w:rsid w:val="00EE5462"/>
    <w:rsid w:val="00F033EC"/>
    <w:rsid w:val="00F04F68"/>
    <w:rsid w:val="00F06EAC"/>
    <w:rsid w:val="00F12670"/>
    <w:rsid w:val="00F14B27"/>
    <w:rsid w:val="00F204F0"/>
    <w:rsid w:val="00F3148D"/>
    <w:rsid w:val="00F325C5"/>
    <w:rsid w:val="00F32FE0"/>
    <w:rsid w:val="00F35298"/>
    <w:rsid w:val="00F376C9"/>
    <w:rsid w:val="00F47333"/>
    <w:rsid w:val="00F47E37"/>
    <w:rsid w:val="00F53C07"/>
    <w:rsid w:val="00F54B65"/>
    <w:rsid w:val="00F56872"/>
    <w:rsid w:val="00F6152A"/>
    <w:rsid w:val="00F631FE"/>
    <w:rsid w:val="00F640B6"/>
    <w:rsid w:val="00F80E40"/>
    <w:rsid w:val="00F848D9"/>
    <w:rsid w:val="00F91480"/>
    <w:rsid w:val="00FA5B82"/>
    <w:rsid w:val="00FA639E"/>
    <w:rsid w:val="00FB7179"/>
    <w:rsid w:val="00FC25E4"/>
    <w:rsid w:val="00FC4EF7"/>
    <w:rsid w:val="00FD02AE"/>
    <w:rsid w:val="00FE1DEE"/>
    <w:rsid w:val="00FE1FC7"/>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6451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9"/>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uiPriority w:val="9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620EF4"/>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55782C"/>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styleId="CommentReference">
    <w:name w:val="annotation reference"/>
    <w:basedOn w:val="DefaultParagraphFont"/>
    <w:rsid w:val="00F91480"/>
    <w:rPr>
      <w:sz w:val="16"/>
      <w:szCs w:val="16"/>
    </w:rPr>
  </w:style>
  <w:style w:type="paragraph" w:customStyle="1" w:styleId="Bulletpoint">
    <w:name w:val="Bullet point"/>
    <w:basedOn w:val="Normal"/>
    <w:rsid w:val="00D87328"/>
    <w:pPr>
      <w:numPr>
        <w:numId w:val="29"/>
      </w:numPr>
      <w:tabs>
        <w:tab w:val="clear" w:pos="369"/>
        <w:tab w:val="left" w:pos="397"/>
        <w:tab w:val="num" w:pos="511"/>
      </w:tabs>
      <w:spacing w:before="0" w:after="180" w:line="252" w:lineRule="auto"/>
      <w:ind w:left="397" w:firstLine="0"/>
    </w:pPr>
    <w:rPr>
      <w:rFonts w:eastAsia="Times New Roman"/>
      <w:snapToGrid w:val="0"/>
      <w:kern w:val="16"/>
      <w:szCs w:val="24"/>
    </w:rPr>
  </w:style>
  <w:style w:type="paragraph" w:styleId="ListParagraph">
    <w:name w:val="List Paragraph"/>
    <w:basedOn w:val="Normal"/>
    <w:uiPriority w:val="34"/>
    <w:rsid w:val="00C71CDC"/>
    <w:pPr>
      <w:ind w:left="720"/>
      <w:contextualSpacing/>
    </w:pPr>
  </w:style>
  <w:style w:type="paragraph" w:styleId="FootnoteText">
    <w:name w:val="footnote text"/>
    <w:basedOn w:val="Normal"/>
    <w:link w:val="FootnoteTextChar"/>
    <w:uiPriority w:val="99"/>
    <w:unhideWhenUsed/>
    <w:rsid w:val="00E12E0A"/>
    <w:pPr>
      <w:spacing w:before="0" w:after="0" w:line="240" w:lineRule="auto"/>
    </w:pPr>
    <w:rPr>
      <w:sz w:val="20"/>
      <w:szCs w:val="20"/>
    </w:rPr>
  </w:style>
  <w:style w:type="character" w:customStyle="1" w:styleId="FootnoteTextChar">
    <w:name w:val="Footnote Text Char"/>
    <w:basedOn w:val="DefaultParagraphFont"/>
    <w:link w:val="FootnoteText"/>
    <w:uiPriority w:val="99"/>
    <w:rsid w:val="00E12E0A"/>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E12E0A"/>
    <w:rPr>
      <w:vertAlign w:val="superscript"/>
    </w:rPr>
  </w:style>
  <w:style w:type="paragraph" w:styleId="DocumentMap">
    <w:name w:val="Document Map"/>
    <w:basedOn w:val="Normal"/>
    <w:link w:val="DocumentMapChar"/>
    <w:uiPriority w:val="99"/>
    <w:semiHidden/>
    <w:unhideWhenUsed/>
    <w:rsid w:val="00767DA1"/>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67DA1"/>
    <w:rPr>
      <w:rFonts w:ascii="Tahoma" w:eastAsia="Cambria" w:hAnsi="Tahoma" w:cs="Tahoma"/>
      <w:sz w:val="16"/>
      <w:szCs w:val="16"/>
    </w:rPr>
  </w:style>
  <w:style w:type="paragraph" w:styleId="EndnoteText">
    <w:name w:val="endnote text"/>
    <w:basedOn w:val="Normal"/>
    <w:link w:val="EndnoteTextChar"/>
    <w:uiPriority w:val="99"/>
    <w:semiHidden/>
    <w:unhideWhenUsed/>
    <w:rsid w:val="00BC70E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C70EC"/>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BC70EC"/>
    <w:rPr>
      <w:vertAlign w:val="superscript"/>
    </w:rPr>
  </w:style>
  <w:style w:type="paragraph" w:styleId="CommentText">
    <w:name w:val="annotation text"/>
    <w:basedOn w:val="Normal"/>
    <w:link w:val="CommentTextChar"/>
    <w:uiPriority w:val="99"/>
    <w:semiHidden/>
    <w:unhideWhenUsed/>
    <w:rsid w:val="00C57293"/>
    <w:pPr>
      <w:spacing w:line="240" w:lineRule="auto"/>
    </w:pPr>
    <w:rPr>
      <w:sz w:val="20"/>
      <w:szCs w:val="20"/>
    </w:rPr>
  </w:style>
  <w:style w:type="character" w:customStyle="1" w:styleId="CommentTextChar">
    <w:name w:val="Comment Text Char"/>
    <w:basedOn w:val="DefaultParagraphFont"/>
    <w:link w:val="CommentText"/>
    <w:uiPriority w:val="99"/>
    <w:semiHidden/>
    <w:rsid w:val="00C57293"/>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C57293"/>
    <w:rPr>
      <w:b/>
      <w:bCs/>
    </w:rPr>
  </w:style>
  <w:style w:type="character" w:customStyle="1" w:styleId="CommentSubjectChar">
    <w:name w:val="Comment Subject Char"/>
    <w:basedOn w:val="CommentTextChar"/>
    <w:link w:val="CommentSubject"/>
    <w:uiPriority w:val="99"/>
    <w:semiHidden/>
    <w:rsid w:val="00C57293"/>
    <w:rPr>
      <w:rFonts w:ascii="Cambria" w:eastAsia="Cambria" w:hAnsi="Cambria" w:cs="Times New Roman"/>
      <w:b/>
      <w:bCs/>
      <w:sz w:val="20"/>
      <w:szCs w:val="20"/>
    </w:rPr>
  </w:style>
  <w:style w:type="paragraph" w:styleId="Revision">
    <w:name w:val="Revision"/>
    <w:hidden/>
    <w:uiPriority w:val="99"/>
    <w:semiHidden/>
    <w:rsid w:val="007656FC"/>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80067">
      <w:bodyDiv w:val="1"/>
      <w:marLeft w:val="0"/>
      <w:marRight w:val="0"/>
      <w:marTop w:val="0"/>
      <w:marBottom w:val="0"/>
      <w:divBdr>
        <w:top w:val="none" w:sz="0" w:space="0" w:color="auto"/>
        <w:left w:val="none" w:sz="0" w:space="0" w:color="auto"/>
        <w:bottom w:val="none" w:sz="0" w:space="0" w:color="auto"/>
        <w:right w:val="none" w:sz="0" w:space="0" w:color="auto"/>
      </w:divBdr>
    </w:div>
    <w:div w:id="80492560">
      <w:bodyDiv w:val="1"/>
      <w:marLeft w:val="0"/>
      <w:marRight w:val="0"/>
      <w:marTop w:val="0"/>
      <w:marBottom w:val="0"/>
      <w:divBdr>
        <w:top w:val="none" w:sz="0" w:space="0" w:color="auto"/>
        <w:left w:val="none" w:sz="0" w:space="0" w:color="auto"/>
        <w:bottom w:val="none" w:sz="0" w:space="0" w:color="auto"/>
        <w:right w:val="none" w:sz="0" w:space="0" w:color="auto"/>
      </w:divBdr>
    </w:div>
    <w:div w:id="107816996">
      <w:bodyDiv w:val="1"/>
      <w:marLeft w:val="0"/>
      <w:marRight w:val="0"/>
      <w:marTop w:val="0"/>
      <w:marBottom w:val="0"/>
      <w:divBdr>
        <w:top w:val="none" w:sz="0" w:space="0" w:color="auto"/>
        <w:left w:val="none" w:sz="0" w:space="0" w:color="auto"/>
        <w:bottom w:val="none" w:sz="0" w:space="0" w:color="auto"/>
        <w:right w:val="none" w:sz="0" w:space="0" w:color="auto"/>
      </w:divBdr>
    </w:div>
    <w:div w:id="162595541">
      <w:bodyDiv w:val="1"/>
      <w:marLeft w:val="0"/>
      <w:marRight w:val="0"/>
      <w:marTop w:val="0"/>
      <w:marBottom w:val="0"/>
      <w:divBdr>
        <w:top w:val="none" w:sz="0" w:space="0" w:color="auto"/>
        <w:left w:val="none" w:sz="0" w:space="0" w:color="auto"/>
        <w:bottom w:val="none" w:sz="0" w:space="0" w:color="auto"/>
        <w:right w:val="none" w:sz="0" w:space="0" w:color="auto"/>
      </w:divBdr>
    </w:div>
    <w:div w:id="271520494">
      <w:bodyDiv w:val="1"/>
      <w:marLeft w:val="0"/>
      <w:marRight w:val="0"/>
      <w:marTop w:val="0"/>
      <w:marBottom w:val="0"/>
      <w:divBdr>
        <w:top w:val="none" w:sz="0" w:space="0" w:color="auto"/>
        <w:left w:val="none" w:sz="0" w:space="0" w:color="auto"/>
        <w:bottom w:val="none" w:sz="0" w:space="0" w:color="auto"/>
        <w:right w:val="none" w:sz="0" w:space="0" w:color="auto"/>
      </w:divBdr>
    </w:div>
    <w:div w:id="275795951">
      <w:bodyDiv w:val="1"/>
      <w:marLeft w:val="0"/>
      <w:marRight w:val="0"/>
      <w:marTop w:val="0"/>
      <w:marBottom w:val="0"/>
      <w:divBdr>
        <w:top w:val="none" w:sz="0" w:space="0" w:color="auto"/>
        <w:left w:val="none" w:sz="0" w:space="0" w:color="auto"/>
        <w:bottom w:val="none" w:sz="0" w:space="0" w:color="auto"/>
        <w:right w:val="none" w:sz="0" w:space="0" w:color="auto"/>
      </w:divBdr>
    </w:div>
    <w:div w:id="307327479">
      <w:bodyDiv w:val="1"/>
      <w:marLeft w:val="0"/>
      <w:marRight w:val="0"/>
      <w:marTop w:val="0"/>
      <w:marBottom w:val="0"/>
      <w:divBdr>
        <w:top w:val="none" w:sz="0" w:space="0" w:color="auto"/>
        <w:left w:val="none" w:sz="0" w:space="0" w:color="auto"/>
        <w:bottom w:val="none" w:sz="0" w:space="0" w:color="auto"/>
        <w:right w:val="none" w:sz="0" w:space="0" w:color="auto"/>
      </w:divBdr>
    </w:div>
    <w:div w:id="355932891">
      <w:bodyDiv w:val="1"/>
      <w:marLeft w:val="0"/>
      <w:marRight w:val="0"/>
      <w:marTop w:val="0"/>
      <w:marBottom w:val="0"/>
      <w:divBdr>
        <w:top w:val="none" w:sz="0" w:space="0" w:color="auto"/>
        <w:left w:val="none" w:sz="0" w:space="0" w:color="auto"/>
        <w:bottom w:val="none" w:sz="0" w:space="0" w:color="auto"/>
        <w:right w:val="none" w:sz="0" w:space="0" w:color="auto"/>
      </w:divBdr>
    </w:div>
    <w:div w:id="422727281">
      <w:bodyDiv w:val="1"/>
      <w:marLeft w:val="0"/>
      <w:marRight w:val="0"/>
      <w:marTop w:val="0"/>
      <w:marBottom w:val="0"/>
      <w:divBdr>
        <w:top w:val="none" w:sz="0" w:space="0" w:color="auto"/>
        <w:left w:val="none" w:sz="0" w:space="0" w:color="auto"/>
        <w:bottom w:val="none" w:sz="0" w:space="0" w:color="auto"/>
        <w:right w:val="none" w:sz="0" w:space="0" w:color="auto"/>
      </w:divBdr>
    </w:div>
    <w:div w:id="522673352">
      <w:bodyDiv w:val="1"/>
      <w:marLeft w:val="0"/>
      <w:marRight w:val="0"/>
      <w:marTop w:val="0"/>
      <w:marBottom w:val="0"/>
      <w:divBdr>
        <w:top w:val="none" w:sz="0" w:space="0" w:color="auto"/>
        <w:left w:val="none" w:sz="0" w:space="0" w:color="auto"/>
        <w:bottom w:val="none" w:sz="0" w:space="0" w:color="auto"/>
        <w:right w:val="none" w:sz="0" w:space="0" w:color="auto"/>
      </w:divBdr>
    </w:div>
    <w:div w:id="615790989">
      <w:bodyDiv w:val="1"/>
      <w:marLeft w:val="0"/>
      <w:marRight w:val="0"/>
      <w:marTop w:val="0"/>
      <w:marBottom w:val="0"/>
      <w:divBdr>
        <w:top w:val="none" w:sz="0" w:space="0" w:color="auto"/>
        <w:left w:val="none" w:sz="0" w:space="0" w:color="auto"/>
        <w:bottom w:val="none" w:sz="0" w:space="0" w:color="auto"/>
        <w:right w:val="none" w:sz="0" w:space="0" w:color="auto"/>
      </w:divBdr>
    </w:div>
    <w:div w:id="623462933">
      <w:bodyDiv w:val="1"/>
      <w:marLeft w:val="0"/>
      <w:marRight w:val="0"/>
      <w:marTop w:val="0"/>
      <w:marBottom w:val="0"/>
      <w:divBdr>
        <w:top w:val="none" w:sz="0" w:space="0" w:color="auto"/>
        <w:left w:val="none" w:sz="0" w:space="0" w:color="auto"/>
        <w:bottom w:val="none" w:sz="0" w:space="0" w:color="auto"/>
        <w:right w:val="none" w:sz="0" w:space="0" w:color="auto"/>
      </w:divBdr>
    </w:div>
    <w:div w:id="659044399">
      <w:bodyDiv w:val="1"/>
      <w:marLeft w:val="0"/>
      <w:marRight w:val="0"/>
      <w:marTop w:val="0"/>
      <w:marBottom w:val="0"/>
      <w:divBdr>
        <w:top w:val="none" w:sz="0" w:space="0" w:color="auto"/>
        <w:left w:val="none" w:sz="0" w:space="0" w:color="auto"/>
        <w:bottom w:val="none" w:sz="0" w:space="0" w:color="auto"/>
        <w:right w:val="none" w:sz="0" w:space="0" w:color="auto"/>
      </w:divBdr>
    </w:div>
    <w:div w:id="674654962">
      <w:bodyDiv w:val="1"/>
      <w:marLeft w:val="0"/>
      <w:marRight w:val="0"/>
      <w:marTop w:val="0"/>
      <w:marBottom w:val="0"/>
      <w:divBdr>
        <w:top w:val="none" w:sz="0" w:space="0" w:color="auto"/>
        <w:left w:val="none" w:sz="0" w:space="0" w:color="auto"/>
        <w:bottom w:val="none" w:sz="0" w:space="0" w:color="auto"/>
        <w:right w:val="none" w:sz="0" w:space="0" w:color="auto"/>
      </w:divBdr>
    </w:div>
    <w:div w:id="808323763">
      <w:bodyDiv w:val="1"/>
      <w:marLeft w:val="0"/>
      <w:marRight w:val="0"/>
      <w:marTop w:val="0"/>
      <w:marBottom w:val="0"/>
      <w:divBdr>
        <w:top w:val="none" w:sz="0" w:space="0" w:color="auto"/>
        <w:left w:val="none" w:sz="0" w:space="0" w:color="auto"/>
        <w:bottom w:val="none" w:sz="0" w:space="0" w:color="auto"/>
        <w:right w:val="none" w:sz="0" w:space="0" w:color="auto"/>
      </w:divBdr>
      <w:divsChild>
        <w:div w:id="921259348">
          <w:marLeft w:val="0"/>
          <w:marRight w:val="0"/>
          <w:marTop w:val="0"/>
          <w:marBottom w:val="0"/>
          <w:divBdr>
            <w:top w:val="none" w:sz="0" w:space="0" w:color="auto"/>
            <w:left w:val="none" w:sz="0" w:space="0" w:color="auto"/>
            <w:bottom w:val="none" w:sz="0" w:space="0" w:color="auto"/>
            <w:right w:val="none" w:sz="0" w:space="0" w:color="auto"/>
          </w:divBdr>
          <w:divsChild>
            <w:div w:id="228198162">
              <w:marLeft w:val="0"/>
              <w:marRight w:val="0"/>
              <w:marTop w:val="0"/>
              <w:marBottom w:val="0"/>
              <w:divBdr>
                <w:top w:val="none" w:sz="0" w:space="0" w:color="auto"/>
                <w:left w:val="none" w:sz="0" w:space="0" w:color="auto"/>
                <w:bottom w:val="none" w:sz="0" w:space="0" w:color="auto"/>
                <w:right w:val="none" w:sz="0" w:space="0" w:color="auto"/>
              </w:divBdr>
              <w:divsChild>
                <w:div w:id="1289125714">
                  <w:marLeft w:val="0"/>
                  <w:marRight w:val="0"/>
                  <w:marTop w:val="0"/>
                  <w:marBottom w:val="0"/>
                  <w:divBdr>
                    <w:top w:val="none" w:sz="0" w:space="0" w:color="auto"/>
                    <w:left w:val="none" w:sz="0" w:space="0" w:color="auto"/>
                    <w:bottom w:val="none" w:sz="0" w:space="0" w:color="auto"/>
                    <w:right w:val="none" w:sz="0" w:space="0" w:color="auto"/>
                  </w:divBdr>
                  <w:divsChild>
                    <w:div w:id="1589002126">
                      <w:marLeft w:val="0"/>
                      <w:marRight w:val="0"/>
                      <w:marTop w:val="0"/>
                      <w:marBottom w:val="0"/>
                      <w:divBdr>
                        <w:top w:val="none" w:sz="0" w:space="0" w:color="auto"/>
                        <w:left w:val="none" w:sz="0" w:space="0" w:color="auto"/>
                        <w:bottom w:val="none" w:sz="0" w:space="0" w:color="auto"/>
                        <w:right w:val="none" w:sz="0" w:space="0" w:color="auto"/>
                      </w:divBdr>
                      <w:divsChild>
                        <w:div w:id="11286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062131">
      <w:bodyDiv w:val="1"/>
      <w:marLeft w:val="0"/>
      <w:marRight w:val="0"/>
      <w:marTop w:val="0"/>
      <w:marBottom w:val="0"/>
      <w:divBdr>
        <w:top w:val="none" w:sz="0" w:space="0" w:color="auto"/>
        <w:left w:val="none" w:sz="0" w:space="0" w:color="auto"/>
        <w:bottom w:val="none" w:sz="0" w:space="0" w:color="auto"/>
        <w:right w:val="none" w:sz="0" w:space="0" w:color="auto"/>
      </w:divBdr>
    </w:div>
    <w:div w:id="983660100">
      <w:bodyDiv w:val="1"/>
      <w:marLeft w:val="0"/>
      <w:marRight w:val="0"/>
      <w:marTop w:val="0"/>
      <w:marBottom w:val="0"/>
      <w:divBdr>
        <w:top w:val="none" w:sz="0" w:space="0" w:color="auto"/>
        <w:left w:val="none" w:sz="0" w:space="0" w:color="auto"/>
        <w:bottom w:val="none" w:sz="0" w:space="0" w:color="auto"/>
        <w:right w:val="none" w:sz="0" w:space="0" w:color="auto"/>
      </w:divBdr>
    </w:div>
    <w:div w:id="985284261">
      <w:bodyDiv w:val="1"/>
      <w:marLeft w:val="0"/>
      <w:marRight w:val="0"/>
      <w:marTop w:val="0"/>
      <w:marBottom w:val="0"/>
      <w:divBdr>
        <w:top w:val="none" w:sz="0" w:space="0" w:color="auto"/>
        <w:left w:val="none" w:sz="0" w:space="0" w:color="auto"/>
        <w:bottom w:val="none" w:sz="0" w:space="0" w:color="auto"/>
        <w:right w:val="none" w:sz="0" w:space="0" w:color="auto"/>
      </w:divBdr>
    </w:div>
    <w:div w:id="995916925">
      <w:bodyDiv w:val="1"/>
      <w:marLeft w:val="0"/>
      <w:marRight w:val="0"/>
      <w:marTop w:val="0"/>
      <w:marBottom w:val="0"/>
      <w:divBdr>
        <w:top w:val="none" w:sz="0" w:space="0" w:color="auto"/>
        <w:left w:val="none" w:sz="0" w:space="0" w:color="auto"/>
        <w:bottom w:val="none" w:sz="0" w:space="0" w:color="auto"/>
        <w:right w:val="none" w:sz="0" w:space="0" w:color="auto"/>
      </w:divBdr>
    </w:div>
    <w:div w:id="1072124307">
      <w:bodyDiv w:val="1"/>
      <w:marLeft w:val="0"/>
      <w:marRight w:val="0"/>
      <w:marTop w:val="0"/>
      <w:marBottom w:val="0"/>
      <w:divBdr>
        <w:top w:val="none" w:sz="0" w:space="0" w:color="auto"/>
        <w:left w:val="none" w:sz="0" w:space="0" w:color="auto"/>
        <w:bottom w:val="none" w:sz="0" w:space="0" w:color="auto"/>
        <w:right w:val="none" w:sz="0" w:space="0" w:color="auto"/>
      </w:divBdr>
    </w:div>
    <w:div w:id="1165584632">
      <w:bodyDiv w:val="1"/>
      <w:marLeft w:val="0"/>
      <w:marRight w:val="0"/>
      <w:marTop w:val="0"/>
      <w:marBottom w:val="0"/>
      <w:divBdr>
        <w:top w:val="none" w:sz="0" w:space="0" w:color="auto"/>
        <w:left w:val="none" w:sz="0" w:space="0" w:color="auto"/>
        <w:bottom w:val="none" w:sz="0" w:space="0" w:color="auto"/>
        <w:right w:val="none" w:sz="0" w:space="0" w:color="auto"/>
      </w:divBdr>
    </w:div>
    <w:div w:id="1425759792">
      <w:bodyDiv w:val="1"/>
      <w:marLeft w:val="0"/>
      <w:marRight w:val="0"/>
      <w:marTop w:val="0"/>
      <w:marBottom w:val="0"/>
      <w:divBdr>
        <w:top w:val="none" w:sz="0" w:space="0" w:color="auto"/>
        <w:left w:val="none" w:sz="0" w:space="0" w:color="auto"/>
        <w:bottom w:val="none" w:sz="0" w:space="0" w:color="auto"/>
        <w:right w:val="none" w:sz="0" w:space="0" w:color="auto"/>
      </w:divBdr>
    </w:div>
    <w:div w:id="1468812244">
      <w:bodyDiv w:val="1"/>
      <w:marLeft w:val="0"/>
      <w:marRight w:val="0"/>
      <w:marTop w:val="0"/>
      <w:marBottom w:val="0"/>
      <w:divBdr>
        <w:top w:val="none" w:sz="0" w:space="0" w:color="auto"/>
        <w:left w:val="none" w:sz="0" w:space="0" w:color="auto"/>
        <w:bottom w:val="none" w:sz="0" w:space="0" w:color="auto"/>
        <w:right w:val="none" w:sz="0" w:space="0" w:color="auto"/>
      </w:divBdr>
    </w:div>
    <w:div w:id="1627928746">
      <w:bodyDiv w:val="1"/>
      <w:marLeft w:val="0"/>
      <w:marRight w:val="0"/>
      <w:marTop w:val="0"/>
      <w:marBottom w:val="0"/>
      <w:divBdr>
        <w:top w:val="none" w:sz="0" w:space="0" w:color="auto"/>
        <w:left w:val="none" w:sz="0" w:space="0" w:color="auto"/>
        <w:bottom w:val="none" w:sz="0" w:space="0" w:color="auto"/>
        <w:right w:val="none" w:sz="0" w:space="0" w:color="auto"/>
      </w:divBdr>
    </w:div>
    <w:div w:id="1639872671">
      <w:bodyDiv w:val="1"/>
      <w:marLeft w:val="0"/>
      <w:marRight w:val="0"/>
      <w:marTop w:val="0"/>
      <w:marBottom w:val="0"/>
      <w:divBdr>
        <w:top w:val="none" w:sz="0" w:space="0" w:color="auto"/>
        <w:left w:val="none" w:sz="0" w:space="0" w:color="auto"/>
        <w:bottom w:val="none" w:sz="0" w:space="0" w:color="auto"/>
        <w:right w:val="none" w:sz="0" w:space="0" w:color="auto"/>
      </w:divBdr>
    </w:div>
    <w:div w:id="1773820618">
      <w:bodyDiv w:val="1"/>
      <w:marLeft w:val="0"/>
      <w:marRight w:val="0"/>
      <w:marTop w:val="0"/>
      <w:marBottom w:val="0"/>
      <w:divBdr>
        <w:top w:val="none" w:sz="0" w:space="0" w:color="auto"/>
        <w:left w:val="none" w:sz="0" w:space="0" w:color="auto"/>
        <w:bottom w:val="none" w:sz="0" w:space="0" w:color="auto"/>
        <w:right w:val="none" w:sz="0" w:space="0" w:color="auto"/>
      </w:divBdr>
    </w:div>
    <w:div w:id="1946494139">
      <w:bodyDiv w:val="1"/>
      <w:marLeft w:val="0"/>
      <w:marRight w:val="0"/>
      <w:marTop w:val="0"/>
      <w:marBottom w:val="0"/>
      <w:divBdr>
        <w:top w:val="none" w:sz="0" w:space="0" w:color="auto"/>
        <w:left w:val="none" w:sz="0" w:space="0" w:color="auto"/>
        <w:bottom w:val="none" w:sz="0" w:space="0" w:color="auto"/>
        <w:right w:val="none" w:sz="0" w:space="0" w:color="auto"/>
      </w:divBdr>
    </w:div>
    <w:div w:id="2012103588">
      <w:bodyDiv w:val="1"/>
      <w:marLeft w:val="0"/>
      <w:marRight w:val="0"/>
      <w:marTop w:val="0"/>
      <w:marBottom w:val="0"/>
      <w:divBdr>
        <w:top w:val="none" w:sz="0" w:space="0" w:color="auto"/>
        <w:left w:val="none" w:sz="0" w:space="0" w:color="auto"/>
        <w:bottom w:val="none" w:sz="0" w:space="0" w:color="auto"/>
        <w:right w:val="none" w:sz="0" w:space="0" w:color="auto"/>
      </w:divBdr>
      <w:divsChild>
        <w:div w:id="1731151997">
          <w:marLeft w:val="0"/>
          <w:marRight w:val="0"/>
          <w:marTop w:val="0"/>
          <w:marBottom w:val="0"/>
          <w:divBdr>
            <w:top w:val="none" w:sz="0" w:space="0" w:color="auto"/>
            <w:left w:val="none" w:sz="0" w:space="0" w:color="auto"/>
            <w:bottom w:val="none" w:sz="0" w:space="0" w:color="auto"/>
            <w:right w:val="none" w:sz="0" w:space="0" w:color="auto"/>
          </w:divBdr>
          <w:divsChild>
            <w:div w:id="1304502537">
              <w:marLeft w:val="0"/>
              <w:marRight w:val="0"/>
              <w:marTop w:val="0"/>
              <w:marBottom w:val="0"/>
              <w:divBdr>
                <w:top w:val="none" w:sz="0" w:space="0" w:color="auto"/>
                <w:left w:val="none" w:sz="0" w:space="0" w:color="auto"/>
                <w:bottom w:val="none" w:sz="0" w:space="0" w:color="auto"/>
                <w:right w:val="none" w:sz="0" w:space="0" w:color="auto"/>
              </w:divBdr>
              <w:divsChild>
                <w:div w:id="950937238">
                  <w:marLeft w:val="0"/>
                  <w:marRight w:val="0"/>
                  <w:marTop w:val="0"/>
                  <w:marBottom w:val="0"/>
                  <w:divBdr>
                    <w:top w:val="none" w:sz="0" w:space="0" w:color="auto"/>
                    <w:left w:val="none" w:sz="0" w:space="0" w:color="auto"/>
                    <w:bottom w:val="none" w:sz="0" w:space="0" w:color="auto"/>
                    <w:right w:val="none" w:sz="0" w:space="0" w:color="auto"/>
                  </w:divBdr>
                  <w:divsChild>
                    <w:div w:id="1639188295">
                      <w:marLeft w:val="0"/>
                      <w:marRight w:val="0"/>
                      <w:marTop w:val="0"/>
                      <w:marBottom w:val="0"/>
                      <w:divBdr>
                        <w:top w:val="none" w:sz="0" w:space="0" w:color="auto"/>
                        <w:left w:val="none" w:sz="0" w:space="0" w:color="auto"/>
                        <w:bottom w:val="none" w:sz="0" w:space="0" w:color="auto"/>
                        <w:right w:val="none" w:sz="0" w:space="0" w:color="auto"/>
                      </w:divBdr>
                      <w:divsChild>
                        <w:div w:id="1457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508254">
      <w:bodyDiv w:val="1"/>
      <w:marLeft w:val="0"/>
      <w:marRight w:val="0"/>
      <w:marTop w:val="0"/>
      <w:marBottom w:val="0"/>
      <w:divBdr>
        <w:top w:val="none" w:sz="0" w:space="0" w:color="auto"/>
        <w:left w:val="none" w:sz="0" w:space="0" w:color="auto"/>
        <w:bottom w:val="none" w:sz="0" w:space="0" w:color="auto"/>
        <w:right w:val="none" w:sz="0" w:space="0" w:color="auto"/>
      </w:divBdr>
    </w:div>
    <w:div w:id="212141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www.tga.gov.au/hp/information-medicines-pi.htm"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http://www.uspnf.com/uspnf/pub/images/v35302/g-479.gif"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2.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gi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eader" Target="header4.xml"/><Relationship Id="rId43"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2348\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0C7FC-4DA7-47C1-9CA4-884307ECC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98</TotalTime>
  <Pages>40</Pages>
  <Words>13302</Words>
  <Characters>75823</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Australian public assessment for levonorgestrel</vt:lpstr>
    </vt:vector>
  </TitlesOfParts>
  <Company>Department of Health Therapeutic Goods Administration</Company>
  <LinksUpToDate>false</LinksUpToDate>
  <CharactersWithSpaces>88948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levonorgestrel</dc:title>
  <dc:subject>prescription medicine regulation</dc:subject>
  <dc:creator>Therapeutic Goods Administration</dc:creator>
  <cp:keywords>auspar, prescription, medicine, assessment, regulation, australia, levonorgestrel, jaydess, intrauterine, delivery, system, bayer</cp:keywords>
  <cp:lastModifiedBy>dixonj</cp:lastModifiedBy>
  <cp:revision>18</cp:revision>
  <cp:lastPrinted>2010-12-20T22:59:00Z</cp:lastPrinted>
  <dcterms:created xsi:type="dcterms:W3CDTF">2014-02-05T03:53:00Z</dcterms:created>
  <dcterms:modified xsi:type="dcterms:W3CDTF">2014-02-18T23:15:00Z</dcterms:modified>
  <cp:category>External publication</cp:category>
</cp:coreProperties>
</file>