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November 2017"/>
      </w:tblPr>
      <w:tblGrid>
        <w:gridCol w:w="3652"/>
      </w:tblGrid>
      <w:tr w:rsidR="008E7846" w:rsidRPr="00487162" w14:paraId="76139FC7" w14:textId="77777777" w:rsidTr="00BF1190">
        <w:trPr>
          <w:trHeight w:val="1863"/>
        </w:trPr>
        <w:tc>
          <w:tcPr>
            <w:tcW w:w="3652" w:type="dxa"/>
            <w:tcBorders>
              <w:top w:val="nil"/>
              <w:left w:val="nil"/>
              <w:bottom w:val="nil"/>
              <w:right w:val="nil"/>
            </w:tcBorders>
          </w:tcPr>
          <w:p w14:paraId="4EED0633" w14:textId="4B919B96" w:rsidR="008E7846" w:rsidRPr="00096AA7" w:rsidRDefault="00F31CB0" w:rsidP="00096AA7">
            <w:pPr>
              <w:rPr>
                <w:rFonts w:ascii="Arial" w:hAnsi="Arial" w:cs="Arial"/>
                <w:b/>
                <w:color w:val="002C47"/>
                <w:sz w:val="36"/>
                <w:szCs w:val="36"/>
              </w:rPr>
            </w:pPr>
            <w:r>
              <w:rPr>
                <w:rFonts w:ascii="Arial" w:hAnsi="Arial" w:cs="Arial"/>
                <w:b/>
                <w:color w:val="002C47"/>
                <w:sz w:val="36"/>
                <w:szCs w:val="36"/>
              </w:rPr>
              <w:t xml:space="preserve">November </w:t>
            </w:r>
            <w:r w:rsidR="008E4F2D">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Description w:val="Australian Public Assessment Report for Levonorgestrel&#10;Proprietary Product Name: Kyleena&#10;Sponsor: Bayer Australia Ltd&#10;"/>
      </w:tblPr>
      <w:tblGrid>
        <w:gridCol w:w="9079"/>
      </w:tblGrid>
      <w:tr w:rsidR="0032583B" w:rsidRPr="00A964D1" w14:paraId="2374CB33" w14:textId="77777777" w:rsidTr="00B238D2">
        <w:trPr>
          <w:trHeight w:val="1701"/>
        </w:trPr>
        <w:tc>
          <w:tcPr>
            <w:tcW w:w="9079" w:type="dxa"/>
          </w:tcPr>
          <w:p w14:paraId="69E5798B" w14:textId="612D5B4D" w:rsidR="0032583B" w:rsidRPr="00A964D1" w:rsidRDefault="0032583B" w:rsidP="00A964D1">
            <w:pPr>
              <w:pStyle w:val="Title"/>
              <w:rPr>
                <w:color w:val="FFFFFF" w:themeColor="background1"/>
              </w:rPr>
            </w:pPr>
            <w:r w:rsidRPr="00A964D1">
              <w:rPr>
                <w:color w:val="FFFFFF" w:themeColor="background1"/>
              </w:rPr>
              <w:t xml:space="preserve">Australian </w:t>
            </w:r>
            <w:r w:rsidR="00B238D2">
              <w:rPr>
                <w:color w:val="FFFFFF" w:themeColor="background1"/>
              </w:rPr>
              <w:t xml:space="preserve">Public Assessment Report for </w:t>
            </w:r>
            <w:r w:rsidR="001E34EF">
              <w:rPr>
                <w:color w:val="FFFFFF" w:themeColor="background1"/>
              </w:rPr>
              <w:t>L</w:t>
            </w:r>
            <w:r w:rsidR="001E34EF" w:rsidRPr="001E34EF">
              <w:rPr>
                <w:color w:val="FFFFFF" w:themeColor="background1"/>
              </w:rPr>
              <w:t>evonorgestrel</w:t>
            </w:r>
          </w:p>
        </w:tc>
      </w:tr>
      <w:tr w:rsidR="0032583B" w:rsidRPr="00B64760" w14:paraId="7E7D573A" w14:textId="77777777" w:rsidTr="0032583B">
        <w:tc>
          <w:tcPr>
            <w:tcW w:w="9079" w:type="dxa"/>
          </w:tcPr>
          <w:p w14:paraId="52A4271D" w14:textId="7E11FEC2" w:rsidR="0032583B" w:rsidRPr="008E7846" w:rsidRDefault="0032583B" w:rsidP="001E34EF">
            <w:pPr>
              <w:pStyle w:val="Subtitle"/>
              <w:ind w:left="0"/>
              <w:rPr>
                <w:color w:val="FFFFFF" w:themeColor="background1"/>
              </w:rPr>
            </w:pPr>
            <w:r w:rsidRPr="008E7846">
              <w:rPr>
                <w:color w:val="FFFFFF" w:themeColor="background1"/>
              </w:rPr>
              <w:t xml:space="preserve">Proprietary Product Name: </w:t>
            </w:r>
            <w:r w:rsidR="001E34EF">
              <w:rPr>
                <w:color w:val="FFFFFF" w:themeColor="background1"/>
              </w:rPr>
              <w:t>Kyleena</w:t>
            </w:r>
          </w:p>
        </w:tc>
      </w:tr>
      <w:tr w:rsidR="0032583B" w:rsidRPr="00B64760" w14:paraId="6C44D236" w14:textId="77777777" w:rsidTr="0032583B">
        <w:trPr>
          <w:trHeight w:val="486"/>
        </w:trPr>
        <w:tc>
          <w:tcPr>
            <w:tcW w:w="9079" w:type="dxa"/>
          </w:tcPr>
          <w:p w14:paraId="29884827" w14:textId="5AE96303" w:rsidR="0032583B" w:rsidRPr="008E7846" w:rsidRDefault="0032583B" w:rsidP="00816ED9">
            <w:pPr>
              <w:pStyle w:val="Subtitle"/>
              <w:ind w:left="0"/>
              <w:rPr>
                <w:color w:val="FFFFFF" w:themeColor="background1"/>
              </w:rPr>
            </w:pPr>
            <w:r w:rsidRPr="008E7846">
              <w:rPr>
                <w:color w:val="FFFFFF" w:themeColor="background1"/>
              </w:rPr>
              <w:t xml:space="preserve">Sponsor: </w:t>
            </w:r>
            <w:r w:rsidR="00500F75">
              <w:rPr>
                <w:color w:val="FFFFFF" w:themeColor="background1"/>
              </w:rPr>
              <w:t>Bayer Australia Ltd</w:t>
            </w:r>
          </w:p>
        </w:tc>
      </w:tr>
    </w:tbl>
    <w:p w14:paraId="27415DDA" w14:textId="77777777" w:rsidR="008E7846" w:rsidRPr="0085156D" w:rsidRDefault="008E7846" w:rsidP="0085156D">
      <w:r w:rsidRPr="0085156D">
        <w:br w:type="page"/>
      </w:r>
    </w:p>
    <w:p w14:paraId="11BA2DF8" w14:textId="77777777" w:rsidR="008E7846" w:rsidRPr="001F6CBA" w:rsidRDefault="008E7846" w:rsidP="008E7846">
      <w:pPr>
        <w:pStyle w:val="NonTOCHeading2"/>
      </w:pPr>
      <w:r w:rsidRPr="001F6CBA">
        <w:lastRenderedPageBreak/>
        <w:t>About the Therapeutic Goods Administration (TGA)</w:t>
      </w:r>
    </w:p>
    <w:p w14:paraId="2E82384B" w14:textId="77777777" w:rsidR="008E7846" w:rsidRDefault="008E7846" w:rsidP="000E4CDF">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4B66DBC" w14:textId="77777777" w:rsidR="008E7846" w:rsidRDefault="00C80137" w:rsidP="000E4CDF">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59CB2FD" w14:textId="77777777" w:rsidR="008E7846" w:rsidRDefault="008E7846" w:rsidP="000E4CDF">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178B911E" w14:textId="77777777" w:rsidR="008E7846" w:rsidRDefault="008E7846" w:rsidP="000E4CDF">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604AF374" w14:textId="77777777" w:rsidR="00441C3F" w:rsidRDefault="008E7846" w:rsidP="000E4CDF">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366A94E3" w14:textId="77777777" w:rsidR="008E7846" w:rsidRDefault="008E7846" w:rsidP="00875A6B">
      <w:pPr>
        <w:pStyle w:val="NonTOCHeading2"/>
      </w:pPr>
      <w:r>
        <w:t>About AusPARs</w:t>
      </w:r>
    </w:p>
    <w:p w14:paraId="31DEA9F3" w14:textId="77777777" w:rsidR="008E7846" w:rsidRDefault="008E7846" w:rsidP="000E4CDF">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462A8ED1" w14:textId="77777777" w:rsidR="008E7846" w:rsidRDefault="008E7846" w:rsidP="000E4CDF">
      <w:pPr>
        <w:pStyle w:val="ListBullet"/>
        <w:numPr>
          <w:ilvl w:val="0"/>
          <w:numId w:val="1"/>
        </w:numPr>
        <w:ind w:left="357" w:hanging="357"/>
      </w:pPr>
      <w:r>
        <w:t>AusPARs are prepared and published by the TGA.</w:t>
      </w:r>
    </w:p>
    <w:p w14:paraId="69B5C2F6" w14:textId="77777777" w:rsidR="008E7846" w:rsidRDefault="008E7846" w:rsidP="000E4CDF">
      <w:pPr>
        <w:pStyle w:val="ListBullet"/>
        <w:numPr>
          <w:ilvl w:val="0"/>
          <w:numId w:val="1"/>
        </w:numPr>
        <w:ind w:left="357" w:hanging="357"/>
      </w:pPr>
      <w:r>
        <w:t>An AusPAR is prepared for submissions that relate to new chemical entities, generic medicines, major variations and extensions of indications.</w:t>
      </w:r>
    </w:p>
    <w:p w14:paraId="7D054BCD" w14:textId="77777777" w:rsidR="008E7846" w:rsidRDefault="008E7846" w:rsidP="000E4CDF">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F3A0204" w14:textId="77777777" w:rsidR="00B452CE" w:rsidRDefault="008E7846" w:rsidP="000E4CDF">
      <w:pPr>
        <w:pStyle w:val="ListBullet"/>
        <w:numPr>
          <w:ilvl w:val="0"/>
          <w:numId w:val="1"/>
        </w:numPr>
        <w:ind w:left="357" w:hanging="357"/>
      </w:pPr>
      <w:r>
        <w:t>A new AusPAR will be developed to reflect changes to indications and/or major variations to a prescription medicine subject to evaluation by the TGA.</w:t>
      </w:r>
    </w:p>
    <w:p w14:paraId="7F6C27BE" w14:textId="77777777" w:rsidR="00924482" w:rsidRPr="00DF1D7F" w:rsidRDefault="00924482" w:rsidP="00F54B65">
      <w:pPr>
        <w:pStyle w:val="LegalSubheading"/>
        <w:spacing w:before="3120"/>
      </w:pPr>
      <w:r w:rsidRPr="00DF1D7F">
        <w:t>Copyright</w:t>
      </w:r>
    </w:p>
    <w:p w14:paraId="733DB17C" w14:textId="3260FC33" w:rsidR="00924482" w:rsidRDefault="00924482" w:rsidP="00924482">
      <w:pPr>
        <w:pStyle w:val="LegalCopy"/>
      </w:pPr>
      <w:r w:rsidRPr="00191B3B">
        <w:rPr>
          <w:rFonts w:cs="Arial"/>
          <w:lang w:val="en-GB"/>
        </w:rPr>
        <w:t>© Comm</w:t>
      </w:r>
      <w:r>
        <w:rPr>
          <w:rFonts w:cs="Arial"/>
          <w:lang w:val="en-GB"/>
        </w:rPr>
        <w:t>onwealth of Australia 201</w:t>
      </w:r>
      <w:r w:rsidR="0089140B">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14:paraId="20CEDFDB"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B6E8723" w14:textId="77777777" w:rsidR="0089635C" w:rsidRPr="0089635C" w:rsidRDefault="0089635C" w:rsidP="0010788A">
          <w:pPr>
            <w:pStyle w:val="Contents"/>
          </w:pPr>
          <w:r w:rsidRPr="0010788A">
            <w:t>Contents</w:t>
          </w:r>
        </w:p>
        <w:p w14:paraId="79C1C0C9" w14:textId="77777777" w:rsidR="00061AA9"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9040534" w:history="1">
            <w:r w:rsidR="00061AA9" w:rsidRPr="008D29ED">
              <w:rPr>
                <w:rStyle w:val="Hyperlink"/>
                <w:noProof/>
              </w:rPr>
              <w:t>Common abbreviations</w:t>
            </w:r>
            <w:r w:rsidR="00061AA9">
              <w:rPr>
                <w:noProof/>
                <w:webHidden/>
              </w:rPr>
              <w:tab/>
            </w:r>
            <w:r w:rsidR="00061AA9">
              <w:rPr>
                <w:noProof/>
                <w:webHidden/>
              </w:rPr>
              <w:fldChar w:fldCharType="begin"/>
            </w:r>
            <w:r w:rsidR="00061AA9">
              <w:rPr>
                <w:noProof/>
                <w:webHidden/>
              </w:rPr>
              <w:instrText xml:space="preserve"> PAGEREF _Toc499040534 \h </w:instrText>
            </w:r>
            <w:r w:rsidR="00061AA9">
              <w:rPr>
                <w:noProof/>
                <w:webHidden/>
              </w:rPr>
            </w:r>
            <w:r w:rsidR="00061AA9">
              <w:rPr>
                <w:noProof/>
                <w:webHidden/>
              </w:rPr>
              <w:fldChar w:fldCharType="separate"/>
            </w:r>
            <w:r w:rsidR="00061AA9">
              <w:rPr>
                <w:noProof/>
                <w:webHidden/>
              </w:rPr>
              <w:t>4</w:t>
            </w:r>
            <w:r w:rsidR="00061AA9">
              <w:rPr>
                <w:noProof/>
                <w:webHidden/>
              </w:rPr>
              <w:fldChar w:fldCharType="end"/>
            </w:r>
          </w:hyperlink>
        </w:p>
        <w:p w14:paraId="190DE478" w14:textId="77777777" w:rsidR="00061AA9" w:rsidRDefault="00061AA9">
          <w:pPr>
            <w:pStyle w:val="TOC2"/>
            <w:rPr>
              <w:rFonts w:asciiTheme="minorHAnsi" w:eastAsiaTheme="minorEastAsia" w:hAnsiTheme="minorHAnsi" w:cstheme="minorBidi"/>
              <w:b w:val="0"/>
              <w:noProof/>
              <w:sz w:val="22"/>
              <w:lang w:eastAsia="en-AU"/>
            </w:rPr>
          </w:pPr>
          <w:hyperlink w:anchor="_Toc499040535" w:history="1">
            <w:r w:rsidRPr="008D29ED">
              <w:rPr>
                <w:rStyle w:val="Hyperlink"/>
                <w:noProof/>
              </w:rPr>
              <w:t>I. Introduction to product submission</w:t>
            </w:r>
            <w:r>
              <w:rPr>
                <w:noProof/>
                <w:webHidden/>
              </w:rPr>
              <w:tab/>
            </w:r>
            <w:r>
              <w:rPr>
                <w:noProof/>
                <w:webHidden/>
              </w:rPr>
              <w:fldChar w:fldCharType="begin"/>
            </w:r>
            <w:r>
              <w:rPr>
                <w:noProof/>
                <w:webHidden/>
              </w:rPr>
              <w:instrText xml:space="preserve"> PAGEREF _Toc499040535 \h </w:instrText>
            </w:r>
            <w:r>
              <w:rPr>
                <w:noProof/>
                <w:webHidden/>
              </w:rPr>
            </w:r>
            <w:r>
              <w:rPr>
                <w:noProof/>
                <w:webHidden/>
              </w:rPr>
              <w:fldChar w:fldCharType="separate"/>
            </w:r>
            <w:r>
              <w:rPr>
                <w:noProof/>
                <w:webHidden/>
              </w:rPr>
              <w:t>6</w:t>
            </w:r>
            <w:r>
              <w:rPr>
                <w:noProof/>
                <w:webHidden/>
              </w:rPr>
              <w:fldChar w:fldCharType="end"/>
            </w:r>
          </w:hyperlink>
        </w:p>
        <w:p w14:paraId="45029667" w14:textId="77777777" w:rsidR="00061AA9" w:rsidRDefault="00061AA9">
          <w:pPr>
            <w:pStyle w:val="TOC3"/>
            <w:rPr>
              <w:rFonts w:asciiTheme="minorHAnsi" w:eastAsiaTheme="minorEastAsia" w:hAnsiTheme="minorHAnsi" w:cstheme="minorBidi"/>
              <w:noProof/>
              <w:lang w:eastAsia="en-AU"/>
            </w:rPr>
          </w:pPr>
          <w:hyperlink w:anchor="_Toc499040536" w:history="1">
            <w:r w:rsidRPr="008D29ED">
              <w:rPr>
                <w:rStyle w:val="Hyperlink"/>
                <w:noProof/>
                <w:lang w:eastAsia="en-AU"/>
              </w:rPr>
              <w:t>Submission details</w:t>
            </w:r>
            <w:r>
              <w:rPr>
                <w:noProof/>
                <w:webHidden/>
              </w:rPr>
              <w:tab/>
            </w:r>
            <w:r>
              <w:rPr>
                <w:noProof/>
                <w:webHidden/>
              </w:rPr>
              <w:fldChar w:fldCharType="begin"/>
            </w:r>
            <w:r>
              <w:rPr>
                <w:noProof/>
                <w:webHidden/>
              </w:rPr>
              <w:instrText xml:space="preserve"> PAGEREF _Toc499040536 \h </w:instrText>
            </w:r>
            <w:r>
              <w:rPr>
                <w:noProof/>
                <w:webHidden/>
              </w:rPr>
            </w:r>
            <w:r>
              <w:rPr>
                <w:noProof/>
                <w:webHidden/>
              </w:rPr>
              <w:fldChar w:fldCharType="separate"/>
            </w:r>
            <w:r>
              <w:rPr>
                <w:noProof/>
                <w:webHidden/>
              </w:rPr>
              <w:t>6</w:t>
            </w:r>
            <w:r>
              <w:rPr>
                <w:noProof/>
                <w:webHidden/>
              </w:rPr>
              <w:fldChar w:fldCharType="end"/>
            </w:r>
          </w:hyperlink>
        </w:p>
        <w:p w14:paraId="0F50B9D9" w14:textId="77777777" w:rsidR="00061AA9" w:rsidRDefault="00061AA9">
          <w:pPr>
            <w:pStyle w:val="TOC3"/>
            <w:rPr>
              <w:rFonts w:asciiTheme="minorHAnsi" w:eastAsiaTheme="minorEastAsia" w:hAnsiTheme="minorHAnsi" w:cstheme="minorBidi"/>
              <w:noProof/>
              <w:lang w:eastAsia="en-AU"/>
            </w:rPr>
          </w:pPr>
          <w:hyperlink w:anchor="_Toc499040537" w:history="1">
            <w:r w:rsidRPr="008D29ED">
              <w:rPr>
                <w:rStyle w:val="Hyperlink"/>
                <w:noProof/>
              </w:rPr>
              <w:t>Product background</w:t>
            </w:r>
            <w:r>
              <w:rPr>
                <w:noProof/>
                <w:webHidden/>
              </w:rPr>
              <w:tab/>
            </w:r>
            <w:r>
              <w:rPr>
                <w:noProof/>
                <w:webHidden/>
              </w:rPr>
              <w:fldChar w:fldCharType="begin"/>
            </w:r>
            <w:r>
              <w:rPr>
                <w:noProof/>
                <w:webHidden/>
              </w:rPr>
              <w:instrText xml:space="preserve"> PAGEREF _Toc499040537 \h </w:instrText>
            </w:r>
            <w:r>
              <w:rPr>
                <w:noProof/>
                <w:webHidden/>
              </w:rPr>
            </w:r>
            <w:r>
              <w:rPr>
                <w:noProof/>
                <w:webHidden/>
              </w:rPr>
              <w:fldChar w:fldCharType="separate"/>
            </w:r>
            <w:r>
              <w:rPr>
                <w:noProof/>
                <w:webHidden/>
              </w:rPr>
              <w:t>6</w:t>
            </w:r>
            <w:r>
              <w:rPr>
                <w:noProof/>
                <w:webHidden/>
              </w:rPr>
              <w:fldChar w:fldCharType="end"/>
            </w:r>
          </w:hyperlink>
        </w:p>
        <w:p w14:paraId="26F677CD" w14:textId="77777777" w:rsidR="00061AA9" w:rsidRDefault="00061AA9">
          <w:pPr>
            <w:pStyle w:val="TOC3"/>
            <w:rPr>
              <w:rFonts w:asciiTheme="minorHAnsi" w:eastAsiaTheme="minorEastAsia" w:hAnsiTheme="minorHAnsi" w:cstheme="minorBidi"/>
              <w:noProof/>
              <w:lang w:eastAsia="en-AU"/>
            </w:rPr>
          </w:pPr>
          <w:hyperlink w:anchor="_Toc499040538" w:history="1">
            <w:r w:rsidRPr="008D29ED">
              <w:rPr>
                <w:rStyle w:val="Hyperlink"/>
                <w:noProof/>
              </w:rPr>
              <w:t>Regulatory status</w:t>
            </w:r>
            <w:r>
              <w:rPr>
                <w:noProof/>
                <w:webHidden/>
              </w:rPr>
              <w:tab/>
            </w:r>
            <w:r>
              <w:rPr>
                <w:noProof/>
                <w:webHidden/>
              </w:rPr>
              <w:fldChar w:fldCharType="begin"/>
            </w:r>
            <w:r>
              <w:rPr>
                <w:noProof/>
                <w:webHidden/>
              </w:rPr>
              <w:instrText xml:space="preserve"> PAGEREF _Toc499040538 \h </w:instrText>
            </w:r>
            <w:r>
              <w:rPr>
                <w:noProof/>
                <w:webHidden/>
              </w:rPr>
            </w:r>
            <w:r>
              <w:rPr>
                <w:noProof/>
                <w:webHidden/>
              </w:rPr>
              <w:fldChar w:fldCharType="separate"/>
            </w:r>
            <w:r>
              <w:rPr>
                <w:noProof/>
                <w:webHidden/>
              </w:rPr>
              <w:t>7</w:t>
            </w:r>
            <w:r>
              <w:rPr>
                <w:noProof/>
                <w:webHidden/>
              </w:rPr>
              <w:fldChar w:fldCharType="end"/>
            </w:r>
          </w:hyperlink>
        </w:p>
        <w:p w14:paraId="585EAF44" w14:textId="77777777" w:rsidR="00061AA9" w:rsidRDefault="00061AA9">
          <w:pPr>
            <w:pStyle w:val="TOC3"/>
            <w:rPr>
              <w:rFonts w:asciiTheme="minorHAnsi" w:eastAsiaTheme="minorEastAsia" w:hAnsiTheme="minorHAnsi" w:cstheme="minorBidi"/>
              <w:noProof/>
              <w:lang w:eastAsia="en-AU"/>
            </w:rPr>
          </w:pPr>
          <w:hyperlink w:anchor="_Toc499040539" w:history="1">
            <w:r w:rsidRPr="008D29ED">
              <w:rPr>
                <w:rStyle w:val="Hyperlink"/>
                <w:noProof/>
              </w:rPr>
              <w:t>Product Information</w:t>
            </w:r>
            <w:r>
              <w:rPr>
                <w:noProof/>
                <w:webHidden/>
              </w:rPr>
              <w:tab/>
            </w:r>
            <w:r>
              <w:rPr>
                <w:noProof/>
                <w:webHidden/>
              </w:rPr>
              <w:fldChar w:fldCharType="begin"/>
            </w:r>
            <w:r>
              <w:rPr>
                <w:noProof/>
                <w:webHidden/>
              </w:rPr>
              <w:instrText xml:space="preserve"> PAGEREF _Toc499040539 \h </w:instrText>
            </w:r>
            <w:r>
              <w:rPr>
                <w:noProof/>
                <w:webHidden/>
              </w:rPr>
            </w:r>
            <w:r>
              <w:rPr>
                <w:noProof/>
                <w:webHidden/>
              </w:rPr>
              <w:fldChar w:fldCharType="separate"/>
            </w:r>
            <w:r>
              <w:rPr>
                <w:noProof/>
                <w:webHidden/>
              </w:rPr>
              <w:t>7</w:t>
            </w:r>
            <w:r>
              <w:rPr>
                <w:noProof/>
                <w:webHidden/>
              </w:rPr>
              <w:fldChar w:fldCharType="end"/>
            </w:r>
          </w:hyperlink>
        </w:p>
        <w:p w14:paraId="43769B98" w14:textId="77777777" w:rsidR="00061AA9" w:rsidRDefault="00061AA9">
          <w:pPr>
            <w:pStyle w:val="TOC2"/>
            <w:rPr>
              <w:rFonts w:asciiTheme="minorHAnsi" w:eastAsiaTheme="minorEastAsia" w:hAnsiTheme="minorHAnsi" w:cstheme="minorBidi"/>
              <w:b w:val="0"/>
              <w:noProof/>
              <w:sz w:val="22"/>
              <w:lang w:eastAsia="en-AU"/>
            </w:rPr>
          </w:pPr>
          <w:hyperlink w:anchor="_Toc499040540" w:history="1">
            <w:r w:rsidRPr="008D29ED">
              <w:rPr>
                <w:rStyle w:val="Hyperlink"/>
                <w:noProof/>
              </w:rPr>
              <w:t>II. Quality findings</w:t>
            </w:r>
            <w:r>
              <w:rPr>
                <w:noProof/>
                <w:webHidden/>
              </w:rPr>
              <w:tab/>
            </w:r>
            <w:r>
              <w:rPr>
                <w:noProof/>
                <w:webHidden/>
              </w:rPr>
              <w:fldChar w:fldCharType="begin"/>
            </w:r>
            <w:r>
              <w:rPr>
                <w:noProof/>
                <w:webHidden/>
              </w:rPr>
              <w:instrText xml:space="preserve"> PAGEREF _Toc499040540 \h </w:instrText>
            </w:r>
            <w:r>
              <w:rPr>
                <w:noProof/>
                <w:webHidden/>
              </w:rPr>
            </w:r>
            <w:r>
              <w:rPr>
                <w:noProof/>
                <w:webHidden/>
              </w:rPr>
              <w:fldChar w:fldCharType="separate"/>
            </w:r>
            <w:r>
              <w:rPr>
                <w:noProof/>
                <w:webHidden/>
              </w:rPr>
              <w:t>7</w:t>
            </w:r>
            <w:r>
              <w:rPr>
                <w:noProof/>
                <w:webHidden/>
              </w:rPr>
              <w:fldChar w:fldCharType="end"/>
            </w:r>
          </w:hyperlink>
        </w:p>
        <w:p w14:paraId="383BF288" w14:textId="77777777" w:rsidR="00061AA9" w:rsidRDefault="00061AA9">
          <w:pPr>
            <w:pStyle w:val="TOC3"/>
            <w:rPr>
              <w:rFonts w:asciiTheme="minorHAnsi" w:eastAsiaTheme="minorEastAsia" w:hAnsiTheme="minorHAnsi" w:cstheme="minorBidi"/>
              <w:noProof/>
              <w:lang w:eastAsia="en-AU"/>
            </w:rPr>
          </w:pPr>
          <w:hyperlink w:anchor="_Toc499040541" w:history="1">
            <w:r w:rsidRPr="008D29ED">
              <w:rPr>
                <w:rStyle w:val="Hyperlink"/>
                <w:noProof/>
              </w:rPr>
              <w:t>Quality summary and conclusions</w:t>
            </w:r>
            <w:r>
              <w:rPr>
                <w:noProof/>
                <w:webHidden/>
              </w:rPr>
              <w:tab/>
            </w:r>
            <w:r>
              <w:rPr>
                <w:noProof/>
                <w:webHidden/>
              </w:rPr>
              <w:fldChar w:fldCharType="begin"/>
            </w:r>
            <w:r>
              <w:rPr>
                <w:noProof/>
                <w:webHidden/>
              </w:rPr>
              <w:instrText xml:space="preserve"> PAGEREF _Toc499040541 \h </w:instrText>
            </w:r>
            <w:r>
              <w:rPr>
                <w:noProof/>
                <w:webHidden/>
              </w:rPr>
            </w:r>
            <w:r>
              <w:rPr>
                <w:noProof/>
                <w:webHidden/>
              </w:rPr>
              <w:fldChar w:fldCharType="separate"/>
            </w:r>
            <w:r>
              <w:rPr>
                <w:noProof/>
                <w:webHidden/>
              </w:rPr>
              <w:t>8</w:t>
            </w:r>
            <w:r>
              <w:rPr>
                <w:noProof/>
                <w:webHidden/>
              </w:rPr>
              <w:fldChar w:fldCharType="end"/>
            </w:r>
          </w:hyperlink>
        </w:p>
        <w:p w14:paraId="6ED41CDA" w14:textId="77777777" w:rsidR="00061AA9" w:rsidRDefault="00061AA9">
          <w:pPr>
            <w:pStyle w:val="TOC2"/>
            <w:rPr>
              <w:rFonts w:asciiTheme="minorHAnsi" w:eastAsiaTheme="minorEastAsia" w:hAnsiTheme="minorHAnsi" w:cstheme="minorBidi"/>
              <w:b w:val="0"/>
              <w:noProof/>
              <w:sz w:val="22"/>
              <w:lang w:eastAsia="en-AU"/>
            </w:rPr>
          </w:pPr>
          <w:hyperlink w:anchor="_Toc499040542" w:history="1">
            <w:r w:rsidRPr="008D29ED">
              <w:rPr>
                <w:rStyle w:val="Hyperlink"/>
                <w:noProof/>
              </w:rPr>
              <w:t>III. Nonclinical findings</w:t>
            </w:r>
            <w:r>
              <w:rPr>
                <w:noProof/>
                <w:webHidden/>
              </w:rPr>
              <w:tab/>
            </w:r>
            <w:r>
              <w:rPr>
                <w:noProof/>
                <w:webHidden/>
              </w:rPr>
              <w:fldChar w:fldCharType="begin"/>
            </w:r>
            <w:r>
              <w:rPr>
                <w:noProof/>
                <w:webHidden/>
              </w:rPr>
              <w:instrText xml:space="preserve"> PAGEREF _Toc499040542 \h </w:instrText>
            </w:r>
            <w:r>
              <w:rPr>
                <w:noProof/>
                <w:webHidden/>
              </w:rPr>
            </w:r>
            <w:r>
              <w:rPr>
                <w:noProof/>
                <w:webHidden/>
              </w:rPr>
              <w:fldChar w:fldCharType="separate"/>
            </w:r>
            <w:r>
              <w:rPr>
                <w:noProof/>
                <w:webHidden/>
              </w:rPr>
              <w:t>9</w:t>
            </w:r>
            <w:r>
              <w:rPr>
                <w:noProof/>
                <w:webHidden/>
              </w:rPr>
              <w:fldChar w:fldCharType="end"/>
            </w:r>
          </w:hyperlink>
        </w:p>
        <w:p w14:paraId="5A63C20B" w14:textId="77777777" w:rsidR="00061AA9" w:rsidRDefault="00061AA9">
          <w:pPr>
            <w:pStyle w:val="TOC3"/>
            <w:rPr>
              <w:rFonts w:asciiTheme="minorHAnsi" w:eastAsiaTheme="minorEastAsia" w:hAnsiTheme="minorHAnsi" w:cstheme="minorBidi"/>
              <w:noProof/>
              <w:lang w:eastAsia="en-AU"/>
            </w:rPr>
          </w:pPr>
          <w:hyperlink w:anchor="_Toc499040543" w:history="1">
            <w:r w:rsidRPr="008D29ED">
              <w:rPr>
                <w:rStyle w:val="Hyperlink"/>
                <w:noProof/>
              </w:rPr>
              <w:t>Nonclinical summary and conclusions</w:t>
            </w:r>
            <w:r>
              <w:rPr>
                <w:noProof/>
                <w:webHidden/>
              </w:rPr>
              <w:tab/>
            </w:r>
            <w:r>
              <w:rPr>
                <w:noProof/>
                <w:webHidden/>
              </w:rPr>
              <w:fldChar w:fldCharType="begin"/>
            </w:r>
            <w:r>
              <w:rPr>
                <w:noProof/>
                <w:webHidden/>
              </w:rPr>
              <w:instrText xml:space="preserve"> PAGEREF _Toc499040543 \h </w:instrText>
            </w:r>
            <w:r>
              <w:rPr>
                <w:noProof/>
                <w:webHidden/>
              </w:rPr>
            </w:r>
            <w:r>
              <w:rPr>
                <w:noProof/>
                <w:webHidden/>
              </w:rPr>
              <w:fldChar w:fldCharType="separate"/>
            </w:r>
            <w:r>
              <w:rPr>
                <w:noProof/>
                <w:webHidden/>
              </w:rPr>
              <w:t>9</w:t>
            </w:r>
            <w:r>
              <w:rPr>
                <w:noProof/>
                <w:webHidden/>
              </w:rPr>
              <w:fldChar w:fldCharType="end"/>
            </w:r>
          </w:hyperlink>
        </w:p>
        <w:p w14:paraId="4017FA96" w14:textId="77777777" w:rsidR="00061AA9" w:rsidRDefault="00061AA9">
          <w:pPr>
            <w:pStyle w:val="TOC2"/>
            <w:rPr>
              <w:rFonts w:asciiTheme="minorHAnsi" w:eastAsiaTheme="minorEastAsia" w:hAnsiTheme="minorHAnsi" w:cstheme="minorBidi"/>
              <w:b w:val="0"/>
              <w:noProof/>
              <w:sz w:val="22"/>
              <w:lang w:eastAsia="en-AU"/>
            </w:rPr>
          </w:pPr>
          <w:hyperlink w:anchor="_Toc499040544" w:history="1">
            <w:r w:rsidRPr="008D29ED">
              <w:rPr>
                <w:rStyle w:val="Hyperlink"/>
                <w:noProof/>
              </w:rPr>
              <w:t>IV. Clinical findings</w:t>
            </w:r>
            <w:r>
              <w:rPr>
                <w:noProof/>
                <w:webHidden/>
              </w:rPr>
              <w:tab/>
            </w:r>
            <w:r>
              <w:rPr>
                <w:noProof/>
                <w:webHidden/>
              </w:rPr>
              <w:fldChar w:fldCharType="begin"/>
            </w:r>
            <w:r>
              <w:rPr>
                <w:noProof/>
                <w:webHidden/>
              </w:rPr>
              <w:instrText xml:space="preserve"> PAGEREF _Toc499040544 \h </w:instrText>
            </w:r>
            <w:r>
              <w:rPr>
                <w:noProof/>
                <w:webHidden/>
              </w:rPr>
            </w:r>
            <w:r>
              <w:rPr>
                <w:noProof/>
                <w:webHidden/>
              </w:rPr>
              <w:fldChar w:fldCharType="separate"/>
            </w:r>
            <w:r>
              <w:rPr>
                <w:noProof/>
                <w:webHidden/>
              </w:rPr>
              <w:t>9</w:t>
            </w:r>
            <w:r>
              <w:rPr>
                <w:noProof/>
                <w:webHidden/>
              </w:rPr>
              <w:fldChar w:fldCharType="end"/>
            </w:r>
          </w:hyperlink>
        </w:p>
        <w:p w14:paraId="72F5171E" w14:textId="77777777" w:rsidR="00061AA9" w:rsidRDefault="00061AA9">
          <w:pPr>
            <w:pStyle w:val="TOC3"/>
            <w:rPr>
              <w:rFonts w:asciiTheme="minorHAnsi" w:eastAsiaTheme="minorEastAsia" w:hAnsiTheme="minorHAnsi" w:cstheme="minorBidi"/>
              <w:noProof/>
              <w:lang w:eastAsia="en-AU"/>
            </w:rPr>
          </w:pPr>
          <w:hyperlink w:anchor="_Toc499040545" w:history="1">
            <w:r w:rsidRPr="008D29ED">
              <w:rPr>
                <w:rStyle w:val="Hyperlink"/>
                <w:noProof/>
              </w:rPr>
              <w:t>Introduction</w:t>
            </w:r>
            <w:r>
              <w:rPr>
                <w:noProof/>
                <w:webHidden/>
              </w:rPr>
              <w:tab/>
            </w:r>
            <w:r>
              <w:rPr>
                <w:noProof/>
                <w:webHidden/>
              </w:rPr>
              <w:fldChar w:fldCharType="begin"/>
            </w:r>
            <w:r>
              <w:rPr>
                <w:noProof/>
                <w:webHidden/>
              </w:rPr>
              <w:instrText xml:space="preserve"> PAGEREF _Toc499040545 \h </w:instrText>
            </w:r>
            <w:r>
              <w:rPr>
                <w:noProof/>
                <w:webHidden/>
              </w:rPr>
            </w:r>
            <w:r>
              <w:rPr>
                <w:noProof/>
                <w:webHidden/>
              </w:rPr>
              <w:fldChar w:fldCharType="separate"/>
            </w:r>
            <w:r>
              <w:rPr>
                <w:noProof/>
                <w:webHidden/>
              </w:rPr>
              <w:t>9</w:t>
            </w:r>
            <w:r>
              <w:rPr>
                <w:noProof/>
                <w:webHidden/>
              </w:rPr>
              <w:fldChar w:fldCharType="end"/>
            </w:r>
          </w:hyperlink>
        </w:p>
        <w:p w14:paraId="3F84D6CE" w14:textId="77777777" w:rsidR="00061AA9" w:rsidRDefault="00061AA9">
          <w:pPr>
            <w:pStyle w:val="TOC3"/>
            <w:rPr>
              <w:rFonts w:asciiTheme="minorHAnsi" w:eastAsiaTheme="minorEastAsia" w:hAnsiTheme="minorHAnsi" w:cstheme="minorBidi"/>
              <w:noProof/>
              <w:lang w:eastAsia="en-AU"/>
            </w:rPr>
          </w:pPr>
          <w:hyperlink w:anchor="_Toc499040546" w:history="1">
            <w:r w:rsidRPr="008D29ED">
              <w:rPr>
                <w:rStyle w:val="Hyperlink"/>
                <w:noProof/>
              </w:rPr>
              <w:t>Pharmacokinetics</w:t>
            </w:r>
            <w:r>
              <w:rPr>
                <w:noProof/>
                <w:webHidden/>
              </w:rPr>
              <w:tab/>
            </w:r>
            <w:r>
              <w:rPr>
                <w:noProof/>
                <w:webHidden/>
              </w:rPr>
              <w:fldChar w:fldCharType="begin"/>
            </w:r>
            <w:r>
              <w:rPr>
                <w:noProof/>
                <w:webHidden/>
              </w:rPr>
              <w:instrText xml:space="preserve"> PAGEREF _Toc499040546 \h </w:instrText>
            </w:r>
            <w:r>
              <w:rPr>
                <w:noProof/>
                <w:webHidden/>
              </w:rPr>
            </w:r>
            <w:r>
              <w:rPr>
                <w:noProof/>
                <w:webHidden/>
              </w:rPr>
              <w:fldChar w:fldCharType="separate"/>
            </w:r>
            <w:r>
              <w:rPr>
                <w:noProof/>
                <w:webHidden/>
              </w:rPr>
              <w:t>11</w:t>
            </w:r>
            <w:r>
              <w:rPr>
                <w:noProof/>
                <w:webHidden/>
              </w:rPr>
              <w:fldChar w:fldCharType="end"/>
            </w:r>
          </w:hyperlink>
        </w:p>
        <w:p w14:paraId="66316EE1" w14:textId="77777777" w:rsidR="00061AA9" w:rsidRDefault="00061AA9">
          <w:pPr>
            <w:pStyle w:val="TOC3"/>
            <w:rPr>
              <w:rFonts w:asciiTheme="minorHAnsi" w:eastAsiaTheme="minorEastAsia" w:hAnsiTheme="minorHAnsi" w:cstheme="minorBidi"/>
              <w:noProof/>
              <w:lang w:eastAsia="en-AU"/>
            </w:rPr>
          </w:pPr>
          <w:hyperlink w:anchor="_Toc499040547" w:history="1">
            <w:r w:rsidRPr="008D29ED">
              <w:rPr>
                <w:rStyle w:val="Hyperlink"/>
                <w:noProof/>
              </w:rPr>
              <w:t>Pharmacodynamics</w:t>
            </w:r>
            <w:r>
              <w:rPr>
                <w:noProof/>
                <w:webHidden/>
              </w:rPr>
              <w:tab/>
            </w:r>
            <w:r>
              <w:rPr>
                <w:noProof/>
                <w:webHidden/>
              </w:rPr>
              <w:fldChar w:fldCharType="begin"/>
            </w:r>
            <w:r>
              <w:rPr>
                <w:noProof/>
                <w:webHidden/>
              </w:rPr>
              <w:instrText xml:space="preserve"> PAGEREF _Toc499040547 \h </w:instrText>
            </w:r>
            <w:r>
              <w:rPr>
                <w:noProof/>
                <w:webHidden/>
              </w:rPr>
            </w:r>
            <w:r>
              <w:rPr>
                <w:noProof/>
                <w:webHidden/>
              </w:rPr>
              <w:fldChar w:fldCharType="separate"/>
            </w:r>
            <w:r>
              <w:rPr>
                <w:noProof/>
                <w:webHidden/>
              </w:rPr>
              <w:t>11</w:t>
            </w:r>
            <w:r>
              <w:rPr>
                <w:noProof/>
                <w:webHidden/>
              </w:rPr>
              <w:fldChar w:fldCharType="end"/>
            </w:r>
          </w:hyperlink>
        </w:p>
        <w:p w14:paraId="1177A9F9" w14:textId="77777777" w:rsidR="00061AA9" w:rsidRDefault="00061AA9">
          <w:pPr>
            <w:pStyle w:val="TOC3"/>
            <w:rPr>
              <w:rFonts w:asciiTheme="minorHAnsi" w:eastAsiaTheme="minorEastAsia" w:hAnsiTheme="minorHAnsi" w:cstheme="minorBidi"/>
              <w:noProof/>
              <w:lang w:eastAsia="en-AU"/>
            </w:rPr>
          </w:pPr>
          <w:hyperlink w:anchor="_Toc499040548" w:history="1">
            <w:r w:rsidRPr="008D29ED">
              <w:rPr>
                <w:rStyle w:val="Hyperlink"/>
                <w:noProof/>
              </w:rPr>
              <w:t>Efficacy</w:t>
            </w:r>
            <w:r>
              <w:rPr>
                <w:noProof/>
                <w:webHidden/>
              </w:rPr>
              <w:tab/>
            </w:r>
            <w:r>
              <w:rPr>
                <w:noProof/>
                <w:webHidden/>
              </w:rPr>
              <w:fldChar w:fldCharType="begin"/>
            </w:r>
            <w:r>
              <w:rPr>
                <w:noProof/>
                <w:webHidden/>
              </w:rPr>
              <w:instrText xml:space="preserve"> PAGEREF _Toc499040548 \h </w:instrText>
            </w:r>
            <w:r>
              <w:rPr>
                <w:noProof/>
                <w:webHidden/>
              </w:rPr>
            </w:r>
            <w:r>
              <w:rPr>
                <w:noProof/>
                <w:webHidden/>
              </w:rPr>
              <w:fldChar w:fldCharType="separate"/>
            </w:r>
            <w:r>
              <w:rPr>
                <w:noProof/>
                <w:webHidden/>
              </w:rPr>
              <w:t>12</w:t>
            </w:r>
            <w:r>
              <w:rPr>
                <w:noProof/>
                <w:webHidden/>
              </w:rPr>
              <w:fldChar w:fldCharType="end"/>
            </w:r>
          </w:hyperlink>
        </w:p>
        <w:p w14:paraId="36C06F14" w14:textId="77777777" w:rsidR="00061AA9" w:rsidRDefault="00061AA9">
          <w:pPr>
            <w:pStyle w:val="TOC3"/>
            <w:rPr>
              <w:rFonts w:asciiTheme="minorHAnsi" w:eastAsiaTheme="minorEastAsia" w:hAnsiTheme="minorHAnsi" w:cstheme="minorBidi"/>
              <w:noProof/>
              <w:lang w:eastAsia="en-AU"/>
            </w:rPr>
          </w:pPr>
          <w:hyperlink w:anchor="_Toc499040549" w:history="1">
            <w:r w:rsidRPr="008D29ED">
              <w:rPr>
                <w:rStyle w:val="Hyperlink"/>
                <w:noProof/>
              </w:rPr>
              <w:t>Safety</w:t>
            </w:r>
            <w:r>
              <w:rPr>
                <w:noProof/>
                <w:webHidden/>
              </w:rPr>
              <w:tab/>
            </w:r>
            <w:r>
              <w:rPr>
                <w:noProof/>
                <w:webHidden/>
              </w:rPr>
              <w:fldChar w:fldCharType="begin"/>
            </w:r>
            <w:r>
              <w:rPr>
                <w:noProof/>
                <w:webHidden/>
              </w:rPr>
              <w:instrText xml:space="preserve"> PAGEREF _Toc499040549 \h </w:instrText>
            </w:r>
            <w:r>
              <w:rPr>
                <w:noProof/>
                <w:webHidden/>
              </w:rPr>
            </w:r>
            <w:r>
              <w:rPr>
                <w:noProof/>
                <w:webHidden/>
              </w:rPr>
              <w:fldChar w:fldCharType="separate"/>
            </w:r>
            <w:r>
              <w:rPr>
                <w:noProof/>
                <w:webHidden/>
              </w:rPr>
              <w:t>12</w:t>
            </w:r>
            <w:r>
              <w:rPr>
                <w:noProof/>
                <w:webHidden/>
              </w:rPr>
              <w:fldChar w:fldCharType="end"/>
            </w:r>
          </w:hyperlink>
        </w:p>
        <w:p w14:paraId="0F721FE5" w14:textId="77777777" w:rsidR="00061AA9" w:rsidRDefault="00061AA9">
          <w:pPr>
            <w:pStyle w:val="TOC3"/>
            <w:rPr>
              <w:rFonts w:asciiTheme="minorHAnsi" w:eastAsiaTheme="minorEastAsia" w:hAnsiTheme="minorHAnsi" w:cstheme="minorBidi"/>
              <w:noProof/>
              <w:lang w:eastAsia="en-AU"/>
            </w:rPr>
          </w:pPr>
          <w:hyperlink w:anchor="_Toc499040550" w:history="1">
            <w:r w:rsidRPr="008D29ED">
              <w:rPr>
                <w:rStyle w:val="Hyperlink"/>
                <w:noProof/>
              </w:rPr>
              <w:t>First Round Benefit-Risk Assessment</w:t>
            </w:r>
            <w:r>
              <w:rPr>
                <w:noProof/>
                <w:webHidden/>
              </w:rPr>
              <w:tab/>
            </w:r>
            <w:r>
              <w:rPr>
                <w:noProof/>
                <w:webHidden/>
              </w:rPr>
              <w:fldChar w:fldCharType="begin"/>
            </w:r>
            <w:r>
              <w:rPr>
                <w:noProof/>
                <w:webHidden/>
              </w:rPr>
              <w:instrText xml:space="preserve"> PAGEREF _Toc499040550 \h </w:instrText>
            </w:r>
            <w:r>
              <w:rPr>
                <w:noProof/>
                <w:webHidden/>
              </w:rPr>
            </w:r>
            <w:r>
              <w:rPr>
                <w:noProof/>
                <w:webHidden/>
              </w:rPr>
              <w:fldChar w:fldCharType="separate"/>
            </w:r>
            <w:r>
              <w:rPr>
                <w:noProof/>
                <w:webHidden/>
              </w:rPr>
              <w:t>15</w:t>
            </w:r>
            <w:r>
              <w:rPr>
                <w:noProof/>
                <w:webHidden/>
              </w:rPr>
              <w:fldChar w:fldCharType="end"/>
            </w:r>
          </w:hyperlink>
        </w:p>
        <w:p w14:paraId="283E4E90" w14:textId="77777777" w:rsidR="00061AA9" w:rsidRDefault="00061AA9">
          <w:pPr>
            <w:pStyle w:val="TOC3"/>
            <w:rPr>
              <w:rFonts w:asciiTheme="minorHAnsi" w:eastAsiaTheme="minorEastAsia" w:hAnsiTheme="minorHAnsi" w:cstheme="minorBidi"/>
              <w:noProof/>
              <w:lang w:eastAsia="en-AU"/>
            </w:rPr>
          </w:pPr>
          <w:hyperlink w:anchor="_Toc499040551" w:history="1">
            <w:r w:rsidRPr="008D29ED">
              <w:rPr>
                <w:rStyle w:val="Hyperlink"/>
                <w:noProof/>
              </w:rPr>
              <w:t>Clinical Questions and Second Round Evaluation of clinical data submitted in response to questions</w:t>
            </w:r>
            <w:r>
              <w:rPr>
                <w:noProof/>
                <w:webHidden/>
              </w:rPr>
              <w:tab/>
            </w:r>
            <w:r>
              <w:rPr>
                <w:noProof/>
                <w:webHidden/>
              </w:rPr>
              <w:fldChar w:fldCharType="begin"/>
            </w:r>
            <w:r>
              <w:rPr>
                <w:noProof/>
                <w:webHidden/>
              </w:rPr>
              <w:instrText xml:space="preserve"> PAGEREF _Toc499040551 \h </w:instrText>
            </w:r>
            <w:r>
              <w:rPr>
                <w:noProof/>
                <w:webHidden/>
              </w:rPr>
            </w:r>
            <w:r>
              <w:rPr>
                <w:noProof/>
                <w:webHidden/>
              </w:rPr>
              <w:fldChar w:fldCharType="separate"/>
            </w:r>
            <w:r>
              <w:rPr>
                <w:noProof/>
                <w:webHidden/>
              </w:rPr>
              <w:t>15</w:t>
            </w:r>
            <w:r>
              <w:rPr>
                <w:noProof/>
                <w:webHidden/>
              </w:rPr>
              <w:fldChar w:fldCharType="end"/>
            </w:r>
          </w:hyperlink>
        </w:p>
        <w:p w14:paraId="7958B0E4" w14:textId="77777777" w:rsidR="00061AA9" w:rsidRDefault="00061AA9">
          <w:pPr>
            <w:pStyle w:val="TOC3"/>
            <w:rPr>
              <w:rFonts w:asciiTheme="minorHAnsi" w:eastAsiaTheme="minorEastAsia" w:hAnsiTheme="minorHAnsi" w:cstheme="minorBidi"/>
              <w:noProof/>
              <w:lang w:eastAsia="en-AU"/>
            </w:rPr>
          </w:pPr>
          <w:hyperlink w:anchor="_Toc499040552" w:history="1">
            <w:r w:rsidRPr="008D29ED">
              <w:rPr>
                <w:rStyle w:val="Hyperlink"/>
                <w:noProof/>
              </w:rPr>
              <w:t>Second Round Benefit-Risk Assessment</w:t>
            </w:r>
            <w:r>
              <w:rPr>
                <w:noProof/>
                <w:webHidden/>
              </w:rPr>
              <w:tab/>
            </w:r>
            <w:r>
              <w:rPr>
                <w:noProof/>
                <w:webHidden/>
              </w:rPr>
              <w:fldChar w:fldCharType="begin"/>
            </w:r>
            <w:r>
              <w:rPr>
                <w:noProof/>
                <w:webHidden/>
              </w:rPr>
              <w:instrText xml:space="preserve"> PAGEREF _Toc499040552 \h </w:instrText>
            </w:r>
            <w:r>
              <w:rPr>
                <w:noProof/>
                <w:webHidden/>
              </w:rPr>
            </w:r>
            <w:r>
              <w:rPr>
                <w:noProof/>
                <w:webHidden/>
              </w:rPr>
              <w:fldChar w:fldCharType="separate"/>
            </w:r>
            <w:r>
              <w:rPr>
                <w:noProof/>
                <w:webHidden/>
              </w:rPr>
              <w:t>16</w:t>
            </w:r>
            <w:r>
              <w:rPr>
                <w:noProof/>
                <w:webHidden/>
              </w:rPr>
              <w:fldChar w:fldCharType="end"/>
            </w:r>
          </w:hyperlink>
        </w:p>
        <w:p w14:paraId="5A871F13" w14:textId="77777777" w:rsidR="00061AA9" w:rsidRDefault="00061AA9">
          <w:pPr>
            <w:pStyle w:val="TOC2"/>
            <w:rPr>
              <w:rFonts w:asciiTheme="minorHAnsi" w:eastAsiaTheme="minorEastAsia" w:hAnsiTheme="minorHAnsi" w:cstheme="minorBidi"/>
              <w:b w:val="0"/>
              <w:noProof/>
              <w:sz w:val="22"/>
              <w:lang w:eastAsia="en-AU"/>
            </w:rPr>
          </w:pPr>
          <w:hyperlink w:anchor="_Toc499040553" w:history="1">
            <w:r w:rsidRPr="008D29ED">
              <w:rPr>
                <w:rStyle w:val="Hyperlink"/>
                <w:noProof/>
              </w:rPr>
              <w:t>V. Pharmacovigilance findings</w:t>
            </w:r>
            <w:r>
              <w:rPr>
                <w:noProof/>
                <w:webHidden/>
              </w:rPr>
              <w:tab/>
            </w:r>
            <w:r>
              <w:rPr>
                <w:noProof/>
                <w:webHidden/>
              </w:rPr>
              <w:fldChar w:fldCharType="begin"/>
            </w:r>
            <w:r>
              <w:rPr>
                <w:noProof/>
                <w:webHidden/>
              </w:rPr>
              <w:instrText xml:space="preserve"> PAGEREF _Toc499040553 \h </w:instrText>
            </w:r>
            <w:r>
              <w:rPr>
                <w:noProof/>
                <w:webHidden/>
              </w:rPr>
            </w:r>
            <w:r>
              <w:rPr>
                <w:noProof/>
                <w:webHidden/>
              </w:rPr>
              <w:fldChar w:fldCharType="separate"/>
            </w:r>
            <w:r>
              <w:rPr>
                <w:noProof/>
                <w:webHidden/>
              </w:rPr>
              <w:t>16</w:t>
            </w:r>
            <w:r>
              <w:rPr>
                <w:noProof/>
                <w:webHidden/>
              </w:rPr>
              <w:fldChar w:fldCharType="end"/>
            </w:r>
          </w:hyperlink>
        </w:p>
        <w:p w14:paraId="0CC00CAC" w14:textId="77777777" w:rsidR="00061AA9" w:rsidRDefault="00061AA9">
          <w:pPr>
            <w:pStyle w:val="TOC3"/>
            <w:rPr>
              <w:rFonts w:asciiTheme="minorHAnsi" w:eastAsiaTheme="minorEastAsia" w:hAnsiTheme="minorHAnsi" w:cstheme="minorBidi"/>
              <w:noProof/>
              <w:lang w:eastAsia="en-AU"/>
            </w:rPr>
          </w:pPr>
          <w:hyperlink w:anchor="_Toc499040554" w:history="1">
            <w:r w:rsidRPr="008D29ED">
              <w:rPr>
                <w:rStyle w:val="Hyperlink"/>
                <w:noProof/>
                <w:lang w:eastAsia="en-AU"/>
              </w:rPr>
              <w:t>Risk management plan</w:t>
            </w:r>
            <w:r>
              <w:rPr>
                <w:noProof/>
                <w:webHidden/>
              </w:rPr>
              <w:tab/>
            </w:r>
            <w:r>
              <w:rPr>
                <w:noProof/>
                <w:webHidden/>
              </w:rPr>
              <w:fldChar w:fldCharType="begin"/>
            </w:r>
            <w:r>
              <w:rPr>
                <w:noProof/>
                <w:webHidden/>
              </w:rPr>
              <w:instrText xml:space="preserve"> PAGEREF _Toc499040554 \h </w:instrText>
            </w:r>
            <w:r>
              <w:rPr>
                <w:noProof/>
                <w:webHidden/>
              </w:rPr>
            </w:r>
            <w:r>
              <w:rPr>
                <w:noProof/>
                <w:webHidden/>
              </w:rPr>
              <w:fldChar w:fldCharType="separate"/>
            </w:r>
            <w:r>
              <w:rPr>
                <w:noProof/>
                <w:webHidden/>
              </w:rPr>
              <w:t>16</w:t>
            </w:r>
            <w:r>
              <w:rPr>
                <w:noProof/>
                <w:webHidden/>
              </w:rPr>
              <w:fldChar w:fldCharType="end"/>
            </w:r>
          </w:hyperlink>
        </w:p>
        <w:p w14:paraId="3EB2E41F" w14:textId="77777777" w:rsidR="00061AA9" w:rsidRDefault="00061AA9">
          <w:pPr>
            <w:pStyle w:val="TOC2"/>
            <w:rPr>
              <w:rFonts w:asciiTheme="minorHAnsi" w:eastAsiaTheme="minorEastAsia" w:hAnsiTheme="minorHAnsi" w:cstheme="minorBidi"/>
              <w:b w:val="0"/>
              <w:noProof/>
              <w:sz w:val="22"/>
              <w:lang w:eastAsia="en-AU"/>
            </w:rPr>
          </w:pPr>
          <w:hyperlink w:anchor="_Toc499040555" w:history="1">
            <w:r w:rsidRPr="008D29ED">
              <w:rPr>
                <w:rStyle w:val="Hyperlink"/>
                <w:noProof/>
              </w:rPr>
              <w:t>VI. Overall conclusion and risk/benefit assessment</w:t>
            </w:r>
            <w:r>
              <w:rPr>
                <w:noProof/>
                <w:webHidden/>
              </w:rPr>
              <w:tab/>
            </w:r>
            <w:r>
              <w:rPr>
                <w:noProof/>
                <w:webHidden/>
              </w:rPr>
              <w:fldChar w:fldCharType="begin"/>
            </w:r>
            <w:r>
              <w:rPr>
                <w:noProof/>
                <w:webHidden/>
              </w:rPr>
              <w:instrText xml:space="preserve"> PAGEREF _Toc499040555 \h </w:instrText>
            </w:r>
            <w:r>
              <w:rPr>
                <w:noProof/>
                <w:webHidden/>
              </w:rPr>
            </w:r>
            <w:r>
              <w:rPr>
                <w:noProof/>
                <w:webHidden/>
              </w:rPr>
              <w:fldChar w:fldCharType="separate"/>
            </w:r>
            <w:r>
              <w:rPr>
                <w:noProof/>
                <w:webHidden/>
              </w:rPr>
              <w:t>24</w:t>
            </w:r>
            <w:r>
              <w:rPr>
                <w:noProof/>
                <w:webHidden/>
              </w:rPr>
              <w:fldChar w:fldCharType="end"/>
            </w:r>
          </w:hyperlink>
        </w:p>
        <w:p w14:paraId="6FE65798" w14:textId="77777777" w:rsidR="00061AA9" w:rsidRDefault="00061AA9">
          <w:pPr>
            <w:pStyle w:val="TOC3"/>
            <w:rPr>
              <w:rFonts w:asciiTheme="minorHAnsi" w:eastAsiaTheme="minorEastAsia" w:hAnsiTheme="minorHAnsi" w:cstheme="minorBidi"/>
              <w:noProof/>
              <w:lang w:eastAsia="en-AU"/>
            </w:rPr>
          </w:pPr>
          <w:hyperlink w:anchor="_Toc499040556" w:history="1">
            <w:r w:rsidRPr="008D29ED">
              <w:rPr>
                <w:rStyle w:val="Hyperlink"/>
                <w:noProof/>
              </w:rPr>
              <w:t>Background</w:t>
            </w:r>
            <w:r>
              <w:rPr>
                <w:noProof/>
                <w:webHidden/>
              </w:rPr>
              <w:tab/>
            </w:r>
            <w:r>
              <w:rPr>
                <w:noProof/>
                <w:webHidden/>
              </w:rPr>
              <w:fldChar w:fldCharType="begin"/>
            </w:r>
            <w:r>
              <w:rPr>
                <w:noProof/>
                <w:webHidden/>
              </w:rPr>
              <w:instrText xml:space="preserve"> PAGEREF _Toc499040556 \h </w:instrText>
            </w:r>
            <w:r>
              <w:rPr>
                <w:noProof/>
                <w:webHidden/>
              </w:rPr>
            </w:r>
            <w:r>
              <w:rPr>
                <w:noProof/>
                <w:webHidden/>
              </w:rPr>
              <w:fldChar w:fldCharType="separate"/>
            </w:r>
            <w:r>
              <w:rPr>
                <w:noProof/>
                <w:webHidden/>
              </w:rPr>
              <w:t>24</w:t>
            </w:r>
            <w:r>
              <w:rPr>
                <w:noProof/>
                <w:webHidden/>
              </w:rPr>
              <w:fldChar w:fldCharType="end"/>
            </w:r>
          </w:hyperlink>
        </w:p>
        <w:p w14:paraId="72BB565B" w14:textId="77777777" w:rsidR="00061AA9" w:rsidRDefault="00061AA9">
          <w:pPr>
            <w:pStyle w:val="TOC3"/>
            <w:rPr>
              <w:rFonts w:asciiTheme="minorHAnsi" w:eastAsiaTheme="minorEastAsia" w:hAnsiTheme="minorHAnsi" w:cstheme="minorBidi"/>
              <w:noProof/>
              <w:lang w:eastAsia="en-AU"/>
            </w:rPr>
          </w:pPr>
          <w:hyperlink w:anchor="_Toc499040557" w:history="1">
            <w:r w:rsidRPr="008D29ED">
              <w:rPr>
                <w:rStyle w:val="Hyperlink"/>
                <w:noProof/>
              </w:rPr>
              <w:t>Quality</w:t>
            </w:r>
            <w:r>
              <w:rPr>
                <w:noProof/>
                <w:webHidden/>
              </w:rPr>
              <w:tab/>
            </w:r>
            <w:r>
              <w:rPr>
                <w:noProof/>
                <w:webHidden/>
              </w:rPr>
              <w:fldChar w:fldCharType="begin"/>
            </w:r>
            <w:r>
              <w:rPr>
                <w:noProof/>
                <w:webHidden/>
              </w:rPr>
              <w:instrText xml:space="preserve"> PAGEREF _Toc499040557 \h </w:instrText>
            </w:r>
            <w:r>
              <w:rPr>
                <w:noProof/>
                <w:webHidden/>
              </w:rPr>
            </w:r>
            <w:r>
              <w:rPr>
                <w:noProof/>
                <w:webHidden/>
              </w:rPr>
              <w:fldChar w:fldCharType="separate"/>
            </w:r>
            <w:r>
              <w:rPr>
                <w:noProof/>
                <w:webHidden/>
              </w:rPr>
              <w:t>25</w:t>
            </w:r>
            <w:r>
              <w:rPr>
                <w:noProof/>
                <w:webHidden/>
              </w:rPr>
              <w:fldChar w:fldCharType="end"/>
            </w:r>
          </w:hyperlink>
        </w:p>
        <w:p w14:paraId="17ECCFBB" w14:textId="77777777" w:rsidR="00061AA9" w:rsidRDefault="00061AA9">
          <w:pPr>
            <w:pStyle w:val="TOC3"/>
            <w:rPr>
              <w:rFonts w:asciiTheme="minorHAnsi" w:eastAsiaTheme="minorEastAsia" w:hAnsiTheme="minorHAnsi" w:cstheme="minorBidi"/>
              <w:noProof/>
              <w:lang w:eastAsia="en-AU"/>
            </w:rPr>
          </w:pPr>
          <w:hyperlink w:anchor="_Toc499040558" w:history="1">
            <w:r w:rsidRPr="008D29ED">
              <w:rPr>
                <w:rStyle w:val="Hyperlink"/>
                <w:noProof/>
              </w:rPr>
              <w:t>Nonclinical</w:t>
            </w:r>
            <w:r>
              <w:rPr>
                <w:noProof/>
                <w:webHidden/>
              </w:rPr>
              <w:tab/>
            </w:r>
            <w:r>
              <w:rPr>
                <w:noProof/>
                <w:webHidden/>
              </w:rPr>
              <w:fldChar w:fldCharType="begin"/>
            </w:r>
            <w:r>
              <w:rPr>
                <w:noProof/>
                <w:webHidden/>
              </w:rPr>
              <w:instrText xml:space="preserve"> PAGEREF _Toc499040558 \h </w:instrText>
            </w:r>
            <w:r>
              <w:rPr>
                <w:noProof/>
                <w:webHidden/>
              </w:rPr>
            </w:r>
            <w:r>
              <w:rPr>
                <w:noProof/>
                <w:webHidden/>
              </w:rPr>
              <w:fldChar w:fldCharType="separate"/>
            </w:r>
            <w:r>
              <w:rPr>
                <w:noProof/>
                <w:webHidden/>
              </w:rPr>
              <w:t>25</w:t>
            </w:r>
            <w:r>
              <w:rPr>
                <w:noProof/>
                <w:webHidden/>
              </w:rPr>
              <w:fldChar w:fldCharType="end"/>
            </w:r>
          </w:hyperlink>
        </w:p>
        <w:p w14:paraId="72E9F759" w14:textId="77777777" w:rsidR="00061AA9" w:rsidRDefault="00061AA9">
          <w:pPr>
            <w:pStyle w:val="TOC3"/>
            <w:rPr>
              <w:rFonts w:asciiTheme="minorHAnsi" w:eastAsiaTheme="minorEastAsia" w:hAnsiTheme="minorHAnsi" w:cstheme="minorBidi"/>
              <w:noProof/>
              <w:lang w:eastAsia="en-AU"/>
            </w:rPr>
          </w:pPr>
          <w:hyperlink w:anchor="_Toc499040559" w:history="1">
            <w:r w:rsidRPr="008D29ED">
              <w:rPr>
                <w:rStyle w:val="Hyperlink"/>
                <w:noProof/>
              </w:rPr>
              <w:t>Clinical</w:t>
            </w:r>
            <w:r>
              <w:rPr>
                <w:noProof/>
                <w:webHidden/>
              </w:rPr>
              <w:tab/>
            </w:r>
            <w:r>
              <w:rPr>
                <w:noProof/>
                <w:webHidden/>
              </w:rPr>
              <w:fldChar w:fldCharType="begin"/>
            </w:r>
            <w:r>
              <w:rPr>
                <w:noProof/>
                <w:webHidden/>
              </w:rPr>
              <w:instrText xml:space="preserve"> PAGEREF _Toc499040559 \h </w:instrText>
            </w:r>
            <w:r>
              <w:rPr>
                <w:noProof/>
                <w:webHidden/>
              </w:rPr>
            </w:r>
            <w:r>
              <w:rPr>
                <w:noProof/>
                <w:webHidden/>
              </w:rPr>
              <w:fldChar w:fldCharType="separate"/>
            </w:r>
            <w:r>
              <w:rPr>
                <w:noProof/>
                <w:webHidden/>
              </w:rPr>
              <w:t>26</w:t>
            </w:r>
            <w:r>
              <w:rPr>
                <w:noProof/>
                <w:webHidden/>
              </w:rPr>
              <w:fldChar w:fldCharType="end"/>
            </w:r>
          </w:hyperlink>
        </w:p>
        <w:p w14:paraId="14C2F6F0" w14:textId="77777777" w:rsidR="00061AA9" w:rsidRDefault="00061AA9">
          <w:pPr>
            <w:pStyle w:val="TOC3"/>
            <w:rPr>
              <w:rFonts w:asciiTheme="minorHAnsi" w:eastAsiaTheme="minorEastAsia" w:hAnsiTheme="minorHAnsi" w:cstheme="minorBidi"/>
              <w:noProof/>
              <w:lang w:eastAsia="en-AU"/>
            </w:rPr>
          </w:pPr>
          <w:hyperlink w:anchor="_Toc499040560" w:history="1">
            <w:r w:rsidRPr="008D29ED">
              <w:rPr>
                <w:rStyle w:val="Hyperlink"/>
                <w:noProof/>
              </w:rPr>
              <w:t>Risk management plan</w:t>
            </w:r>
            <w:r>
              <w:rPr>
                <w:noProof/>
                <w:webHidden/>
              </w:rPr>
              <w:tab/>
            </w:r>
            <w:r>
              <w:rPr>
                <w:noProof/>
                <w:webHidden/>
              </w:rPr>
              <w:fldChar w:fldCharType="begin"/>
            </w:r>
            <w:r>
              <w:rPr>
                <w:noProof/>
                <w:webHidden/>
              </w:rPr>
              <w:instrText xml:space="preserve"> PAGEREF _Toc499040560 \h </w:instrText>
            </w:r>
            <w:r>
              <w:rPr>
                <w:noProof/>
                <w:webHidden/>
              </w:rPr>
            </w:r>
            <w:r>
              <w:rPr>
                <w:noProof/>
                <w:webHidden/>
              </w:rPr>
              <w:fldChar w:fldCharType="separate"/>
            </w:r>
            <w:r>
              <w:rPr>
                <w:noProof/>
                <w:webHidden/>
              </w:rPr>
              <w:t>30</w:t>
            </w:r>
            <w:r>
              <w:rPr>
                <w:noProof/>
                <w:webHidden/>
              </w:rPr>
              <w:fldChar w:fldCharType="end"/>
            </w:r>
          </w:hyperlink>
        </w:p>
        <w:p w14:paraId="1688145B" w14:textId="77777777" w:rsidR="00061AA9" w:rsidRDefault="00061AA9">
          <w:pPr>
            <w:pStyle w:val="TOC3"/>
            <w:rPr>
              <w:rFonts w:asciiTheme="minorHAnsi" w:eastAsiaTheme="minorEastAsia" w:hAnsiTheme="minorHAnsi" w:cstheme="minorBidi"/>
              <w:noProof/>
              <w:lang w:eastAsia="en-AU"/>
            </w:rPr>
          </w:pPr>
          <w:hyperlink w:anchor="_Toc499040561" w:history="1">
            <w:r w:rsidRPr="008D29ED">
              <w:rPr>
                <w:rStyle w:val="Hyperlink"/>
                <w:noProof/>
              </w:rPr>
              <w:t>Risk-benefit analysis</w:t>
            </w:r>
            <w:r>
              <w:rPr>
                <w:noProof/>
                <w:webHidden/>
              </w:rPr>
              <w:tab/>
            </w:r>
            <w:r>
              <w:rPr>
                <w:noProof/>
                <w:webHidden/>
              </w:rPr>
              <w:fldChar w:fldCharType="begin"/>
            </w:r>
            <w:r>
              <w:rPr>
                <w:noProof/>
                <w:webHidden/>
              </w:rPr>
              <w:instrText xml:space="preserve"> PAGEREF _Toc499040561 \h </w:instrText>
            </w:r>
            <w:r>
              <w:rPr>
                <w:noProof/>
                <w:webHidden/>
              </w:rPr>
            </w:r>
            <w:r>
              <w:rPr>
                <w:noProof/>
                <w:webHidden/>
              </w:rPr>
              <w:fldChar w:fldCharType="separate"/>
            </w:r>
            <w:r>
              <w:rPr>
                <w:noProof/>
                <w:webHidden/>
              </w:rPr>
              <w:t>31</w:t>
            </w:r>
            <w:r>
              <w:rPr>
                <w:noProof/>
                <w:webHidden/>
              </w:rPr>
              <w:fldChar w:fldCharType="end"/>
            </w:r>
          </w:hyperlink>
        </w:p>
        <w:p w14:paraId="7D819F40" w14:textId="77777777" w:rsidR="00061AA9" w:rsidRDefault="00061AA9">
          <w:pPr>
            <w:pStyle w:val="TOC3"/>
            <w:rPr>
              <w:rFonts w:asciiTheme="minorHAnsi" w:eastAsiaTheme="minorEastAsia" w:hAnsiTheme="minorHAnsi" w:cstheme="minorBidi"/>
              <w:noProof/>
              <w:lang w:eastAsia="en-AU"/>
            </w:rPr>
          </w:pPr>
          <w:hyperlink w:anchor="_Toc499040562" w:history="1">
            <w:r w:rsidRPr="008D29ED">
              <w:rPr>
                <w:rStyle w:val="Hyperlink"/>
                <w:noProof/>
              </w:rPr>
              <w:t>Outcome</w:t>
            </w:r>
            <w:r>
              <w:rPr>
                <w:noProof/>
                <w:webHidden/>
              </w:rPr>
              <w:tab/>
            </w:r>
            <w:r>
              <w:rPr>
                <w:noProof/>
                <w:webHidden/>
              </w:rPr>
              <w:fldChar w:fldCharType="begin"/>
            </w:r>
            <w:r>
              <w:rPr>
                <w:noProof/>
                <w:webHidden/>
              </w:rPr>
              <w:instrText xml:space="preserve"> PAGEREF _Toc499040562 \h </w:instrText>
            </w:r>
            <w:r>
              <w:rPr>
                <w:noProof/>
                <w:webHidden/>
              </w:rPr>
            </w:r>
            <w:r>
              <w:rPr>
                <w:noProof/>
                <w:webHidden/>
              </w:rPr>
              <w:fldChar w:fldCharType="separate"/>
            </w:r>
            <w:r>
              <w:rPr>
                <w:noProof/>
                <w:webHidden/>
              </w:rPr>
              <w:t>37</w:t>
            </w:r>
            <w:r>
              <w:rPr>
                <w:noProof/>
                <w:webHidden/>
              </w:rPr>
              <w:fldChar w:fldCharType="end"/>
            </w:r>
          </w:hyperlink>
        </w:p>
        <w:p w14:paraId="70C7634B" w14:textId="77777777" w:rsidR="00061AA9" w:rsidRDefault="00061AA9">
          <w:pPr>
            <w:pStyle w:val="TOC2"/>
            <w:rPr>
              <w:rFonts w:asciiTheme="minorHAnsi" w:eastAsiaTheme="minorEastAsia" w:hAnsiTheme="minorHAnsi" w:cstheme="minorBidi"/>
              <w:b w:val="0"/>
              <w:noProof/>
              <w:sz w:val="22"/>
              <w:lang w:eastAsia="en-AU"/>
            </w:rPr>
          </w:pPr>
          <w:hyperlink w:anchor="_Toc499040563" w:history="1">
            <w:r w:rsidRPr="008D29ED">
              <w:rPr>
                <w:rStyle w:val="Hyperlink"/>
                <w:noProof/>
              </w:rPr>
              <w:t>Attachment 1. Product Information</w:t>
            </w:r>
            <w:r>
              <w:rPr>
                <w:noProof/>
                <w:webHidden/>
              </w:rPr>
              <w:tab/>
            </w:r>
            <w:r>
              <w:rPr>
                <w:noProof/>
                <w:webHidden/>
              </w:rPr>
              <w:fldChar w:fldCharType="begin"/>
            </w:r>
            <w:r>
              <w:rPr>
                <w:noProof/>
                <w:webHidden/>
              </w:rPr>
              <w:instrText xml:space="preserve"> PAGEREF _Toc499040563 \h </w:instrText>
            </w:r>
            <w:r>
              <w:rPr>
                <w:noProof/>
                <w:webHidden/>
              </w:rPr>
            </w:r>
            <w:r>
              <w:rPr>
                <w:noProof/>
                <w:webHidden/>
              </w:rPr>
              <w:fldChar w:fldCharType="separate"/>
            </w:r>
            <w:r>
              <w:rPr>
                <w:noProof/>
                <w:webHidden/>
              </w:rPr>
              <w:t>38</w:t>
            </w:r>
            <w:r>
              <w:rPr>
                <w:noProof/>
                <w:webHidden/>
              </w:rPr>
              <w:fldChar w:fldCharType="end"/>
            </w:r>
          </w:hyperlink>
        </w:p>
        <w:p w14:paraId="2C3916A1" w14:textId="77777777" w:rsidR="00061AA9" w:rsidRDefault="00061AA9">
          <w:pPr>
            <w:pStyle w:val="TOC2"/>
            <w:rPr>
              <w:rFonts w:asciiTheme="minorHAnsi" w:eastAsiaTheme="minorEastAsia" w:hAnsiTheme="minorHAnsi" w:cstheme="minorBidi"/>
              <w:b w:val="0"/>
              <w:noProof/>
              <w:sz w:val="22"/>
              <w:lang w:eastAsia="en-AU"/>
            </w:rPr>
          </w:pPr>
          <w:hyperlink w:anchor="_Toc499040564" w:history="1">
            <w:r w:rsidRPr="008D29ED">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_Toc499040564 \h </w:instrText>
            </w:r>
            <w:r>
              <w:rPr>
                <w:noProof/>
                <w:webHidden/>
              </w:rPr>
            </w:r>
            <w:r>
              <w:rPr>
                <w:noProof/>
                <w:webHidden/>
              </w:rPr>
              <w:fldChar w:fldCharType="separate"/>
            </w:r>
            <w:r>
              <w:rPr>
                <w:noProof/>
                <w:webHidden/>
              </w:rPr>
              <w:t>38</w:t>
            </w:r>
            <w:r>
              <w:rPr>
                <w:noProof/>
                <w:webHidden/>
              </w:rPr>
              <w:fldChar w:fldCharType="end"/>
            </w:r>
          </w:hyperlink>
        </w:p>
        <w:p w14:paraId="567CFA02" w14:textId="5E9465E0" w:rsidR="003A7F6C" w:rsidRPr="00B811C6" w:rsidRDefault="00DB6124" w:rsidP="00B811C6">
          <w:pPr>
            <w:pStyle w:val="TOC2"/>
          </w:pPr>
          <w:r>
            <w:fldChar w:fldCharType="end"/>
          </w:r>
        </w:p>
      </w:sdtContent>
    </w:sdt>
    <w:bookmarkStart w:id="2" w:name="_Toc314842482" w:displacedByCustomXml="prev"/>
    <w:p w14:paraId="16FD304E" w14:textId="77777777" w:rsidR="00FD119B" w:rsidRPr="00FD119B" w:rsidRDefault="00441C3F" w:rsidP="004F0C4A">
      <w:pPr>
        <w:pStyle w:val="Heading2"/>
      </w:pPr>
      <w:bookmarkStart w:id="3" w:name="_Toc351716269"/>
      <w:bookmarkStart w:id="4" w:name="_Toc351718881"/>
      <w:bookmarkStart w:id="5" w:name="_Toc355338616"/>
      <w:bookmarkStart w:id="6" w:name="_Toc356306144"/>
      <w:bookmarkStart w:id="7" w:name="_Toc499040534"/>
      <w:r>
        <w:lastRenderedPageBreak/>
        <w:t>Common</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Description w:val="Common abbreviations"/>
      </w:tblPr>
      <w:tblGrid>
        <w:gridCol w:w="1809"/>
        <w:gridCol w:w="6911"/>
      </w:tblGrid>
      <w:tr w:rsidR="00852CE9" w:rsidRPr="00FD119B" w14:paraId="66113E0C"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4B335AB0" w14:textId="77777777" w:rsidR="00852CE9" w:rsidRPr="00FD119B" w:rsidRDefault="00852CE9" w:rsidP="00FD119B">
            <w:pPr>
              <w:keepNext w:val="0"/>
              <w:ind w:left="0" w:right="0"/>
              <w:rPr>
                <w:szCs w:val="22"/>
                <w:lang w:eastAsia="en-US"/>
              </w:rPr>
            </w:pPr>
            <w:r w:rsidRPr="00FD119B">
              <w:rPr>
                <w:szCs w:val="22"/>
                <w:lang w:eastAsia="en-US"/>
              </w:rPr>
              <w:t>Abbreviation</w:t>
            </w:r>
          </w:p>
        </w:tc>
        <w:tc>
          <w:tcPr>
            <w:tcW w:w="6911" w:type="dxa"/>
          </w:tcPr>
          <w:p w14:paraId="0C2AEEA1" w14:textId="77777777" w:rsidR="00852CE9" w:rsidRPr="00FD119B" w:rsidRDefault="00852CE9" w:rsidP="00FD119B">
            <w:pPr>
              <w:keepNext w:val="0"/>
              <w:ind w:left="0" w:right="0"/>
              <w:rPr>
                <w:szCs w:val="22"/>
                <w:lang w:eastAsia="en-US"/>
              </w:rPr>
            </w:pPr>
            <w:r w:rsidRPr="00FD119B">
              <w:rPr>
                <w:szCs w:val="22"/>
                <w:lang w:eastAsia="en-US"/>
              </w:rPr>
              <w:t>Meaning</w:t>
            </w:r>
          </w:p>
        </w:tc>
      </w:tr>
      <w:tr w:rsidR="00C20F78" w:rsidRPr="00FD119B" w14:paraId="10FC7ACB" w14:textId="77777777" w:rsidTr="00FD119B">
        <w:tc>
          <w:tcPr>
            <w:tcW w:w="1809" w:type="dxa"/>
          </w:tcPr>
          <w:p w14:paraId="6876B743" w14:textId="068C64CA" w:rsidR="00C20F78" w:rsidRDefault="00C20F78" w:rsidP="00FD119B">
            <w:r>
              <w:t>ACE</w:t>
            </w:r>
          </w:p>
        </w:tc>
        <w:tc>
          <w:tcPr>
            <w:tcW w:w="6911" w:type="dxa"/>
          </w:tcPr>
          <w:p w14:paraId="2D618372" w14:textId="7C43C602" w:rsidR="00C20F78" w:rsidRDefault="00C20F78" w:rsidP="005C71C8">
            <w:pPr>
              <w:rPr>
                <w:lang w:val="en-GB"/>
              </w:rPr>
            </w:pPr>
            <w:r>
              <w:rPr>
                <w:lang w:val="en-GB"/>
              </w:rPr>
              <w:t>Angiotensin-converting enzyme</w:t>
            </w:r>
          </w:p>
        </w:tc>
      </w:tr>
      <w:tr w:rsidR="003D636C" w:rsidRPr="00FD119B" w14:paraId="010164EF" w14:textId="77777777" w:rsidTr="00FD119B">
        <w:tc>
          <w:tcPr>
            <w:tcW w:w="1809" w:type="dxa"/>
          </w:tcPr>
          <w:p w14:paraId="1A834E4D" w14:textId="6416868D" w:rsidR="003D636C" w:rsidRDefault="003D636C" w:rsidP="00FD119B">
            <w:r>
              <w:t>ACPM</w:t>
            </w:r>
          </w:p>
        </w:tc>
        <w:tc>
          <w:tcPr>
            <w:tcW w:w="6911" w:type="dxa"/>
          </w:tcPr>
          <w:p w14:paraId="3A5F9C71" w14:textId="40C6B4E9" w:rsidR="003D636C" w:rsidRDefault="003D636C" w:rsidP="005C71C8">
            <w:pPr>
              <w:rPr>
                <w:lang w:val="en-GB"/>
              </w:rPr>
            </w:pPr>
            <w:r>
              <w:rPr>
                <w:lang w:val="en-GB"/>
              </w:rPr>
              <w:t>Advisory Committee on Prescription Medicines</w:t>
            </w:r>
          </w:p>
        </w:tc>
      </w:tr>
      <w:tr w:rsidR="003D636C" w:rsidRPr="00FD119B" w14:paraId="638FC9B9" w14:textId="77777777" w:rsidTr="00FD119B">
        <w:tc>
          <w:tcPr>
            <w:tcW w:w="1809" w:type="dxa"/>
          </w:tcPr>
          <w:p w14:paraId="54A0D835" w14:textId="124FD45B" w:rsidR="003D636C" w:rsidRDefault="003D636C" w:rsidP="00FD119B">
            <w:r>
              <w:t>ADEC</w:t>
            </w:r>
          </w:p>
        </w:tc>
        <w:tc>
          <w:tcPr>
            <w:tcW w:w="6911" w:type="dxa"/>
          </w:tcPr>
          <w:p w14:paraId="399350CE" w14:textId="42E25399" w:rsidR="003D636C" w:rsidRDefault="003D636C" w:rsidP="005C71C8">
            <w:pPr>
              <w:rPr>
                <w:lang w:val="en-GB"/>
              </w:rPr>
            </w:pPr>
            <w:r>
              <w:rPr>
                <w:lang w:val="en-GB"/>
              </w:rPr>
              <w:t>Australian Drug Evaluation Committee</w:t>
            </w:r>
          </w:p>
        </w:tc>
      </w:tr>
      <w:tr w:rsidR="00852CE9" w:rsidRPr="00FD119B" w14:paraId="547BD52F" w14:textId="77777777" w:rsidTr="00FD119B">
        <w:tc>
          <w:tcPr>
            <w:tcW w:w="1809" w:type="dxa"/>
          </w:tcPr>
          <w:p w14:paraId="3E864EF7" w14:textId="77777777" w:rsidR="00852CE9" w:rsidRDefault="00852CE9" w:rsidP="00FD119B">
            <w:r>
              <w:t>AE</w:t>
            </w:r>
          </w:p>
        </w:tc>
        <w:tc>
          <w:tcPr>
            <w:tcW w:w="6911" w:type="dxa"/>
          </w:tcPr>
          <w:p w14:paraId="41903631" w14:textId="77777777" w:rsidR="00852CE9" w:rsidRDefault="00852CE9" w:rsidP="005C71C8">
            <w:pPr>
              <w:rPr>
                <w:lang w:val="en-GB"/>
              </w:rPr>
            </w:pPr>
            <w:r>
              <w:rPr>
                <w:lang w:val="en-GB"/>
              </w:rPr>
              <w:t>Adverse event</w:t>
            </w:r>
          </w:p>
        </w:tc>
      </w:tr>
      <w:tr w:rsidR="00852CE9" w:rsidRPr="00FD119B" w14:paraId="7F0B98CE" w14:textId="77777777" w:rsidTr="00FD119B">
        <w:tc>
          <w:tcPr>
            <w:tcW w:w="1809" w:type="dxa"/>
          </w:tcPr>
          <w:p w14:paraId="2DAE4EAE" w14:textId="77777777" w:rsidR="00852CE9" w:rsidRDefault="00852CE9" w:rsidP="00FD119B">
            <w:r>
              <w:t>ARTG</w:t>
            </w:r>
          </w:p>
        </w:tc>
        <w:tc>
          <w:tcPr>
            <w:tcW w:w="6911" w:type="dxa"/>
          </w:tcPr>
          <w:p w14:paraId="130D448D" w14:textId="77777777" w:rsidR="00852CE9" w:rsidRDefault="00852CE9" w:rsidP="005C71C8">
            <w:pPr>
              <w:rPr>
                <w:lang w:val="en-GB"/>
              </w:rPr>
            </w:pPr>
            <w:r w:rsidRPr="00FF3646">
              <w:rPr>
                <w:lang w:val="en-GB"/>
              </w:rPr>
              <w:t>Australian Register of Therapeutic Goods</w:t>
            </w:r>
          </w:p>
        </w:tc>
      </w:tr>
      <w:tr w:rsidR="00852CE9" w:rsidRPr="00FD119B" w14:paraId="28D5FAA3" w14:textId="77777777" w:rsidTr="00FD119B">
        <w:tc>
          <w:tcPr>
            <w:tcW w:w="1809" w:type="dxa"/>
          </w:tcPr>
          <w:p w14:paraId="7AF210E4" w14:textId="77777777" w:rsidR="00852CE9" w:rsidRDefault="00852CE9" w:rsidP="00FD119B">
            <w:r>
              <w:t>ASA</w:t>
            </w:r>
          </w:p>
        </w:tc>
        <w:tc>
          <w:tcPr>
            <w:tcW w:w="6911" w:type="dxa"/>
          </w:tcPr>
          <w:p w14:paraId="337EF6FC" w14:textId="77777777" w:rsidR="00852CE9" w:rsidRDefault="00852CE9" w:rsidP="005C71C8">
            <w:pPr>
              <w:rPr>
                <w:lang w:val="en-GB"/>
              </w:rPr>
            </w:pPr>
            <w:r>
              <w:rPr>
                <w:lang w:val="en-GB"/>
              </w:rPr>
              <w:t>Australian Specific Annex</w:t>
            </w:r>
          </w:p>
        </w:tc>
      </w:tr>
      <w:tr w:rsidR="00852CE9" w:rsidRPr="00FD119B" w14:paraId="045E5A83" w14:textId="77777777" w:rsidTr="00FD119B">
        <w:tc>
          <w:tcPr>
            <w:tcW w:w="1809" w:type="dxa"/>
          </w:tcPr>
          <w:p w14:paraId="33FD17EE" w14:textId="77777777" w:rsidR="00852CE9" w:rsidRDefault="00852CE9" w:rsidP="00FD119B">
            <w:r>
              <w:t>BMI</w:t>
            </w:r>
          </w:p>
        </w:tc>
        <w:tc>
          <w:tcPr>
            <w:tcW w:w="6911" w:type="dxa"/>
          </w:tcPr>
          <w:p w14:paraId="0F8BE1B3" w14:textId="77777777" w:rsidR="00852CE9" w:rsidRDefault="00852CE9" w:rsidP="005C71C8">
            <w:pPr>
              <w:rPr>
                <w:lang w:val="en-GB"/>
              </w:rPr>
            </w:pPr>
            <w:r>
              <w:rPr>
                <w:lang w:val="en-GB"/>
              </w:rPr>
              <w:t>Body mass index</w:t>
            </w:r>
          </w:p>
        </w:tc>
      </w:tr>
      <w:tr w:rsidR="00852CE9" w:rsidRPr="00FD119B" w14:paraId="3498835F" w14:textId="77777777" w:rsidTr="00FD119B">
        <w:tc>
          <w:tcPr>
            <w:tcW w:w="1809" w:type="dxa"/>
          </w:tcPr>
          <w:p w14:paraId="32C2F5D5" w14:textId="77777777" w:rsidR="00852CE9" w:rsidRDefault="00852CE9" w:rsidP="00FD119B">
            <w:r>
              <w:t>CCDS</w:t>
            </w:r>
          </w:p>
        </w:tc>
        <w:tc>
          <w:tcPr>
            <w:tcW w:w="6911" w:type="dxa"/>
          </w:tcPr>
          <w:p w14:paraId="7C5DC697" w14:textId="77777777" w:rsidR="00852CE9" w:rsidRDefault="00852CE9" w:rsidP="005C71C8">
            <w:pPr>
              <w:rPr>
                <w:lang w:val="en-GB"/>
              </w:rPr>
            </w:pPr>
            <w:r>
              <w:rPr>
                <w:lang w:val="en-GB"/>
              </w:rPr>
              <w:t>Company core datasheet</w:t>
            </w:r>
          </w:p>
        </w:tc>
      </w:tr>
      <w:tr w:rsidR="00852CE9" w:rsidRPr="00FD119B" w14:paraId="160E4928" w14:textId="77777777" w:rsidTr="00FD119B">
        <w:tc>
          <w:tcPr>
            <w:tcW w:w="1809" w:type="dxa"/>
          </w:tcPr>
          <w:p w14:paraId="59F4985F" w14:textId="77777777" w:rsidR="00852CE9" w:rsidRDefault="00852CE9" w:rsidP="00FD119B">
            <w:r>
              <w:t>CMI</w:t>
            </w:r>
          </w:p>
        </w:tc>
        <w:tc>
          <w:tcPr>
            <w:tcW w:w="6911" w:type="dxa"/>
          </w:tcPr>
          <w:p w14:paraId="17864B95" w14:textId="77777777" w:rsidR="00852CE9" w:rsidRDefault="00852CE9" w:rsidP="005C71C8">
            <w:pPr>
              <w:rPr>
                <w:lang w:val="en-GB"/>
              </w:rPr>
            </w:pPr>
            <w:r>
              <w:rPr>
                <w:lang w:val="en-GB"/>
              </w:rPr>
              <w:t>Consumer Medicines Information</w:t>
            </w:r>
          </w:p>
        </w:tc>
      </w:tr>
      <w:tr w:rsidR="00852CE9" w:rsidRPr="00FD119B" w14:paraId="51815B85" w14:textId="77777777" w:rsidTr="00FD119B">
        <w:tc>
          <w:tcPr>
            <w:tcW w:w="1809" w:type="dxa"/>
          </w:tcPr>
          <w:p w14:paraId="3D193595" w14:textId="77777777" w:rsidR="00852CE9" w:rsidRDefault="00852CE9" w:rsidP="00FD119B">
            <w:r>
              <w:t>CSR</w:t>
            </w:r>
          </w:p>
        </w:tc>
        <w:tc>
          <w:tcPr>
            <w:tcW w:w="6911" w:type="dxa"/>
          </w:tcPr>
          <w:p w14:paraId="0B297BDC" w14:textId="77777777" w:rsidR="00852CE9" w:rsidRDefault="00852CE9" w:rsidP="005C71C8">
            <w:pPr>
              <w:rPr>
                <w:lang w:val="en-GB"/>
              </w:rPr>
            </w:pPr>
            <w:r>
              <w:rPr>
                <w:lang w:val="en-GB"/>
              </w:rPr>
              <w:t>Clinical study report</w:t>
            </w:r>
          </w:p>
        </w:tc>
      </w:tr>
      <w:tr w:rsidR="00852CE9" w:rsidRPr="00FD119B" w14:paraId="77DE62A1" w14:textId="77777777" w:rsidTr="00FD119B">
        <w:tc>
          <w:tcPr>
            <w:tcW w:w="1809" w:type="dxa"/>
          </w:tcPr>
          <w:p w14:paraId="6AA0EAC9" w14:textId="77777777" w:rsidR="00852CE9" w:rsidRDefault="00852CE9" w:rsidP="00FD119B">
            <w:r>
              <w:t>DUS</w:t>
            </w:r>
          </w:p>
        </w:tc>
        <w:tc>
          <w:tcPr>
            <w:tcW w:w="6911" w:type="dxa"/>
          </w:tcPr>
          <w:p w14:paraId="3A5C0952" w14:textId="77777777" w:rsidR="00852CE9" w:rsidRDefault="00852CE9" w:rsidP="005C71C8">
            <w:pPr>
              <w:rPr>
                <w:lang w:val="en-GB"/>
              </w:rPr>
            </w:pPr>
            <w:r>
              <w:rPr>
                <w:lang w:val="en-GB"/>
              </w:rPr>
              <w:t>Drug utilisation study</w:t>
            </w:r>
          </w:p>
        </w:tc>
      </w:tr>
      <w:tr w:rsidR="00852CE9" w:rsidRPr="00FD119B" w14:paraId="3022BE44" w14:textId="77777777" w:rsidTr="00FD119B">
        <w:tc>
          <w:tcPr>
            <w:tcW w:w="1809" w:type="dxa"/>
          </w:tcPr>
          <w:p w14:paraId="297AC482" w14:textId="77777777" w:rsidR="00852CE9" w:rsidRDefault="00852CE9" w:rsidP="00FD119B">
            <w:r>
              <w:t>EMA</w:t>
            </w:r>
          </w:p>
        </w:tc>
        <w:tc>
          <w:tcPr>
            <w:tcW w:w="6911" w:type="dxa"/>
          </w:tcPr>
          <w:p w14:paraId="65D1792E" w14:textId="77777777" w:rsidR="00852CE9" w:rsidRDefault="00852CE9" w:rsidP="005C71C8">
            <w:pPr>
              <w:rPr>
                <w:lang w:val="en-GB"/>
              </w:rPr>
            </w:pPr>
            <w:r>
              <w:rPr>
                <w:lang w:val="en-GB"/>
              </w:rPr>
              <w:t>European Medicines Agency</w:t>
            </w:r>
          </w:p>
        </w:tc>
      </w:tr>
      <w:tr w:rsidR="00852CE9" w:rsidRPr="00FD119B" w14:paraId="53F8B259" w14:textId="77777777" w:rsidTr="00FD119B">
        <w:tc>
          <w:tcPr>
            <w:tcW w:w="1809" w:type="dxa"/>
          </w:tcPr>
          <w:p w14:paraId="3FEA0767" w14:textId="77777777" w:rsidR="00852CE9" w:rsidRDefault="00852CE9" w:rsidP="00FD119B">
            <w:r>
              <w:t>EU</w:t>
            </w:r>
          </w:p>
        </w:tc>
        <w:tc>
          <w:tcPr>
            <w:tcW w:w="6911" w:type="dxa"/>
          </w:tcPr>
          <w:p w14:paraId="102AC5F3" w14:textId="77777777" w:rsidR="00852CE9" w:rsidRDefault="00852CE9" w:rsidP="005C71C8">
            <w:pPr>
              <w:rPr>
                <w:lang w:val="en-GB"/>
              </w:rPr>
            </w:pPr>
            <w:r>
              <w:rPr>
                <w:lang w:val="en-GB"/>
              </w:rPr>
              <w:t>European Union</w:t>
            </w:r>
          </w:p>
        </w:tc>
      </w:tr>
      <w:tr w:rsidR="00852CE9" w:rsidRPr="00FD119B" w14:paraId="75F17719" w14:textId="77777777" w:rsidTr="00FD119B">
        <w:tc>
          <w:tcPr>
            <w:tcW w:w="1809" w:type="dxa"/>
          </w:tcPr>
          <w:p w14:paraId="06DEED95" w14:textId="77777777" w:rsidR="00852CE9" w:rsidRDefault="00852CE9" w:rsidP="00FD119B">
            <w:r>
              <w:t>FAS</w:t>
            </w:r>
          </w:p>
        </w:tc>
        <w:tc>
          <w:tcPr>
            <w:tcW w:w="6911" w:type="dxa"/>
          </w:tcPr>
          <w:p w14:paraId="314D1A29" w14:textId="77777777" w:rsidR="00852CE9" w:rsidRDefault="00852CE9" w:rsidP="005C71C8">
            <w:pPr>
              <w:rPr>
                <w:lang w:val="en-GB"/>
              </w:rPr>
            </w:pPr>
            <w:r>
              <w:rPr>
                <w:lang w:val="en-GB"/>
              </w:rPr>
              <w:t>Full analysis set</w:t>
            </w:r>
          </w:p>
        </w:tc>
      </w:tr>
      <w:tr w:rsidR="00852CE9" w:rsidRPr="00FD119B" w14:paraId="1744D061" w14:textId="77777777" w:rsidTr="00FD119B">
        <w:tc>
          <w:tcPr>
            <w:tcW w:w="1809" w:type="dxa"/>
          </w:tcPr>
          <w:p w14:paraId="4B7302FA" w14:textId="77777777" w:rsidR="00852CE9" w:rsidRDefault="00852CE9" w:rsidP="00FD119B">
            <w:r>
              <w:t>FDA</w:t>
            </w:r>
          </w:p>
        </w:tc>
        <w:tc>
          <w:tcPr>
            <w:tcW w:w="6911" w:type="dxa"/>
          </w:tcPr>
          <w:p w14:paraId="16460544" w14:textId="77777777" w:rsidR="00852CE9" w:rsidRDefault="00852CE9" w:rsidP="005C71C8">
            <w:pPr>
              <w:rPr>
                <w:lang w:val="en-GB"/>
              </w:rPr>
            </w:pPr>
            <w:r>
              <w:rPr>
                <w:lang w:val="en-GB"/>
              </w:rPr>
              <w:t>Food and Drug Administration</w:t>
            </w:r>
          </w:p>
        </w:tc>
      </w:tr>
      <w:tr w:rsidR="00852CE9" w:rsidRPr="00FD119B" w14:paraId="22306F1B" w14:textId="77777777" w:rsidTr="00FD119B">
        <w:tc>
          <w:tcPr>
            <w:tcW w:w="1809" w:type="dxa"/>
          </w:tcPr>
          <w:p w14:paraId="45FAE870" w14:textId="77777777" w:rsidR="00852CE9" w:rsidRDefault="00852CE9" w:rsidP="00FD119B">
            <w:r>
              <w:t>FRSH</w:t>
            </w:r>
          </w:p>
        </w:tc>
        <w:tc>
          <w:tcPr>
            <w:tcW w:w="6911" w:type="dxa"/>
          </w:tcPr>
          <w:p w14:paraId="45B3EA4D" w14:textId="37915012" w:rsidR="00852CE9" w:rsidRDefault="00852CE9" w:rsidP="005C71C8">
            <w:pPr>
              <w:rPr>
                <w:lang w:val="en-GB"/>
              </w:rPr>
            </w:pPr>
            <w:r>
              <w:rPr>
                <w:lang w:val="en-GB"/>
              </w:rPr>
              <w:t>Faculty of Sexual and Reproductive Healthcare</w:t>
            </w:r>
            <w:r w:rsidR="00343E9A">
              <w:rPr>
                <w:lang w:val="en-GB"/>
              </w:rPr>
              <w:t xml:space="preserve"> (UK)</w:t>
            </w:r>
          </w:p>
        </w:tc>
      </w:tr>
      <w:tr w:rsidR="00852CE9" w:rsidRPr="00FD119B" w14:paraId="141091CF" w14:textId="77777777" w:rsidTr="00FD119B">
        <w:tc>
          <w:tcPr>
            <w:tcW w:w="1809" w:type="dxa"/>
          </w:tcPr>
          <w:p w14:paraId="37231E33" w14:textId="77777777" w:rsidR="00852CE9" w:rsidRDefault="00852CE9" w:rsidP="00FD119B">
            <w:r>
              <w:t>GCP</w:t>
            </w:r>
          </w:p>
        </w:tc>
        <w:tc>
          <w:tcPr>
            <w:tcW w:w="6911" w:type="dxa"/>
          </w:tcPr>
          <w:p w14:paraId="594A57A1" w14:textId="77777777" w:rsidR="00852CE9" w:rsidRDefault="00852CE9" w:rsidP="005C71C8">
            <w:pPr>
              <w:rPr>
                <w:lang w:val="en-GB"/>
              </w:rPr>
            </w:pPr>
            <w:r>
              <w:rPr>
                <w:lang w:val="en-GB"/>
              </w:rPr>
              <w:t>Good Clinical Practice</w:t>
            </w:r>
          </w:p>
        </w:tc>
      </w:tr>
      <w:tr w:rsidR="00852CE9" w:rsidRPr="00FD119B" w14:paraId="18630CB7" w14:textId="77777777" w:rsidTr="00FD119B">
        <w:tc>
          <w:tcPr>
            <w:tcW w:w="1809" w:type="dxa"/>
          </w:tcPr>
          <w:p w14:paraId="5AB66F44" w14:textId="77777777" w:rsidR="00852CE9" w:rsidRDefault="00852CE9" w:rsidP="00FD119B">
            <w:r>
              <w:t>GLP</w:t>
            </w:r>
          </w:p>
        </w:tc>
        <w:tc>
          <w:tcPr>
            <w:tcW w:w="6911" w:type="dxa"/>
          </w:tcPr>
          <w:p w14:paraId="23D75EF8" w14:textId="336D26CC" w:rsidR="00852CE9" w:rsidRDefault="00852CE9" w:rsidP="005C71C8">
            <w:pPr>
              <w:rPr>
                <w:lang w:val="en-GB"/>
              </w:rPr>
            </w:pPr>
            <w:r>
              <w:rPr>
                <w:lang w:val="en-GB"/>
              </w:rPr>
              <w:t>Good Laboratory P</w:t>
            </w:r>
            <w:r w:rsidR="002A49A7">
              <w:rPr>
                <w:lang w:val="en-GB"/>
              </w:rPr>
              <w:t>r</w:t>
            </w:r>
            <w:r>
              <w:rPr>
                <w:lang w:val="en-GB"/>
              </w:rPr>
              <w:t>actice</w:t>
            </w:r>
          </w:p>
        </w:tc>
      </w:tr>
      <w:tr w:rsidR="00852CE9" w:rsidRPr="00FD119B" w14:paraId="069A9631" w14:textId="77777777" w:rsidTr="00FD119B">
        <w:tc>
          <w:tcPr>
            <w:tcW w:w="1809" w:type="dxa"/>
          </w:tcPr>
          <w:p w14:paraId="2AEB79EF" w14:textId="77777777" w:rsidR="00852CE9" w:rsidRDefault="00852CE9" w:rsidP="00FD119B">
            <w:r>
              <w:t>HCP</w:t>
            </w:r>
          </w:p>
        </w:tc>
        <w:tc>
          <w:tcPr>
            <w:tcW w:w="6911" w:type="dxa"/>
          </w:tcPr>
          <w:p w14:paraId="26B19B2B" w14:textId="77777777" w:rsidR="00852CE9" w:rsidRDefault="00852CE9" w:rsidP="005C71C8">
            <w:pPr>
              <w:rPr>
                <w:lang w:val="en-GB"/>
              </w:rPr>
            </w:pPr>
            <w:r>
              <w:rPr>
                <w:lang w:val="en-GB"/>
              </w:rPr>
              <w:t>Healthcare professional</w:t>
            </w:r>
          </w:p>
        </w:tc>
      </w:tr>
      <w:tr w:rsidR="002A49A7" w:rsidRPr="00FD119B" w14:paraId="1D4865C4" w14:textId="77777777" w:rsidTr="00FD119B">
        <w:tc>
          <w:tcPr>
            <w:tcW w:w="1809" w:type="dxa"/>
          </w:tcPr>
          <w:p w14:paraId="36BF1F03" w14:textId="30D68A15" w:rsidR="002A49A7" w:rsidRDefault="002A49A7" w:rsidP="00FD119B">
            <w:r>
              <w:t>IUD</w:t>
            </w:r>
          </w:p>
        </w:tc>
        <w:tc>
          <w:tcPr>
            <w:tcW w:w="6911" w:type="dxa"/>
          </w:tcPr>
          <w:p w14:paraId="5D1582D1" w14:textId="358171E2" w:rsidR="002A49A7" w:rsidRDefault="002A49A7" w:rsidP="005C71C8">
            <w:pPr>
              <w:rPr>
                <w:lang w:val="en-GB"/>
              </w:rPr>
            </w:pPr>
            <w:r>
              <w:rPr>
                <w:lang w:val="en-GB"/>
              </w:rPr>
              <w:t>Intrauterine device</w:t>
            </w:r>
          </w:p>
        </w:tc>
      </w:tr>
      <w:tr w:rsidR="00852CE9" w:rsidRPr="00FD119B" w14:paraId="5B229459" w14:textId="77777777" w:rsidTr="00FD119B">
        <w:tc>
          <w:tcPr>
            <w:tcW w:w="1809" w:type="dxa"/>
          </w:tcPr>
          <w:p w14:paraId="738099E8" w14:textId="77777777" w:rsidR="00852CE9" w:rsidRDefault="00852CE9" w:rsidP="00FD119B">
            <w:r>
              <w:t>IUS</w:t>
            </w:r>
          </w:p>
        </w:tc>
        <w:tc>
          <w:tcPr>
            <w:tcW w:w="6911" w:type="dxa"/>
          </w:tcPr>
          <w:p w14:paraId="279D5DC2" w14:textId="471C7FBD" w:rsidR="00852CE9" w:rsidRDefault="00852CE9" w:rsidP="005C71C8">
            <w:pPr>
              <w:rPr>
                <w:lang w:val="en-GB"/>
              </w:rPr>
            </w:pPr>
            <w:r>
              <w:rPr>
                <w:lang w:val="en-GB"/>
              </w:rPr>
              <w:t xml:space="preserve">Intrauterine </w:t>
            </w:r>
            <w:r w:rsidR="002A49A7">
              <w:rPr>
                <w:lang w:val="en-GB"/>
              </w:rPr>
              <w:t>(</w:t>
            </w:r>
            <w:r>
              <w:rPr>
                <w:lang w:val="en-GB"/>
              </w:rPr>
              <w:t>drug delivery</w:t>
            </w:r>
            <w:r w:rsidR="002A49A7">
              <w:rPr>
                <w:lang w:val="en-GB"/>
              </w:rPr>
              <w:t>)</w:t>
            </w:r>
            <w:r>
              <w:rPr>
                <w:lang w:val="en-GB"/>
              </w:rPr>
              <w:t xml:space="preserve"> system</w:t>
            </w:r>
          </w:p>
        </w:tc>
      </w:tr>
      <w:tr w:rsidR="00852CE9" w:rsidRPr="00FD119B" w14:paraId="4E1B34F7" w14:textId="77777777" w:rsidTr="00FD119B">
        <w:tc>
          <w:tcPr>
            <w:tcW w:w="1809" w:type="dxa"/>
          </w:tcPr>
          <w:p w14:paraId="58A1EF00" w14:textId="77777777" w:rsidR="00852CE9" w:rsidRDefault="00852CE9" w:rsidP="00FD119B">
            <w:r>
              <w:t>LARC</w:t>
            </w:r>
          </w:p>
        </w:tc>
        <w:tc>
          <w:tcPr>
            <w:tcW w:w="6911" w:type="dxa"/>
          </w:tcPr>
          <w:p w14:paraId="575AB694" w14:textId="77777777" w:rsidR="00852CE9" w:rsidRDefault="00852CE9" w:rsidP="005C71C8">
            <w:pPr>
              <w:rPr>
                <w:lang w:val="en-GB"/>
              </w:rPr>
            </w:pPr>
            <w:r>
              <w:rPr>
                <w:lang w:val="en-GB"/>
              </w:rPr>
              <w:t>Long-acting reversible contraceptive</w:t>
            </w:r>
          </w:p>
        </w:tc>
      </w:tr>
      <w:tr w:rsidR="00852CE9" w:rsidRPr="00FD119B" w14:paraId="78F34931" w14:textId="77777777" w:rsidTr="00FD119B">
        <w:tc>
          <w:tcPr>
            <w:tcW w:w="1809" w:type="dxa"/>
          </w:tcPr>
          <w:p w14:paraId="04CBC279" w14:textId="77777777" w:rsidR="00852CE9" w:rsidRDefault="00852CE9" w:rsidP="00FD119B">
            <w:r>
              <w:t>LCS12</w:t>
            </w:r>
          </w:p>
        </w:tc>
        <w:tc>
          <w:tcPr>
            <w:tcW w:w="6911" w:type="dxa"/>
          </w:tcPr>
          <w:p w14:paraId="17F04E29" w14:textId="77777777" w:rsidR="00852CE9" w:rsidRDefault="00852CE9" w:rsidP="005C71C8">
            <w:pPr>
              <w:rPr>
                <w:lang w:val="en-GB"/>
              </w:rPr>
            </w:pPr>
            <w:r>
              <w:rPr>
                <w:lang w:val="en-GB"/>
              </w:rPr>
              <w:t>Development name for Jaydess IUS</w:t>
            </w:r>
          </w:p>
        </w:tc>
      </w:tr>
      <w:tr w:rsidR="00852CE9" w:rsidRPr="00FD119B" w14:paraId="782C840B" w14:textId="77777777" w:rsidTr="00FD119B">
        <w:tc>
          <w:tcPr>
            <w:tcW w:w="1809" w:type="dxa"/>
          </w:tcPr>
          <w:p w14:paraId="284BD5E3" w14:textId="77777777" w:rsidR="00852CE9" w:rsidRDefault="00852CE9" w:rsidP="00FD119B">
            <w:r>
              <w:t>LCS16</w:t>
            </w:r>
          </w:p>
        </w:tc>
        <w:tc>
          <w:tcPr>
            <w:tcW w:w="6911" w:type="dxa"/>
          </w:tcPr>
          <w:p w14:paraId="00592D53" w14:textId="77777777" w:rsidR="00852CE9" w:rsidRDefault="00852CE9" w:rsidP="005C71C8">
            <w:pPr>
              <w:rPr>
                <w:lang w:val="en-GB"/>
              </w:rPr>
            </w:pPr>
            <w:r>
              <w:rPr>
                <w:lang w:eastAsia="ja-JP"/>
              </w:rPr>
              <w:t>Development name for Kyleena IUS</w:t>
            </w:r>
          </w:p>
        </w:tc>
      </w:tr>
      <w:tr w:rsidR="00852CE9" w:rsidRPr="00FD119B" w14:paraId="7DCA3DDB" w14:textId="77777777" w:rsidTr="00FD119B">
        <w:tc>
          <w:tcPr>
            <w:tcW w:w="1809" w:type="dxa"/>
          </w:tcPr>
          <w:p w14:paraId="5ED2915B" w14:textId="77777777" w:rsidR="00852CE9" w:rsidRDefault="00852CE9" w:rsidP="00FD119B">
            <w:r>
              <w:t>LLOQ</w:t>
            </w:r>
          </w:p>
        </w:tc>
        <w:tc>
          <w:tcPr>
            <w:tcW w:w="6911" w:type="dxa"/>
          </w:tcPr>
          <w:p w14:paraId="4F1F45EC" w14:textId="77777777" w:rsidR="00852CE9" w:rsidRDefault="00852CE9" w:rsidP="005C71C8">
            <w:pPr>
              <w:rPr>
                <w:lang w:val="en-GB"/>
              </w:rPr>
            </w:pPr>
            <w:r>
              <w:rPr>
                <w:lang w:val="en-GB"/>
              </w:rPr>
              <w:t>Lower limit of quantification</w:t>
            </w:r>
          </w:p>
        </w:tc>
      </w:tr>
      <w:tr w:rsidR="00852CE9" w:rsidRPr="00FD119B" w14:paraId="315E9159" w14:textId="77777777" w:rsidTr="00FD119B">
        <w:tc>
          <w:tcPr>
            <w:tcW w:w="1809" w:type="dxa"/>
          </w:tcPr>
          <w:p w14:paraId="52B3F391" w14:textId="77777777" w:rsidR="00852CE9" w:rsidRDefault="00852CE9" w:rsidP="00FD119B">
            <w:r>
              <w:lastRenderedPageBreak/>
              <w:t>MEC</w:t>
            </w:r>
          </w:p>
        </w:tc>
        <w:tc>
          <w:tcPr>
            <w:tcW w:w="6911" w:type="dxa"/>
          </w:tcPr>
          <w:p w14:paraId="5C93E900" w14:textId="77777777" w:rsidR="00852CE9" w:rsidRDefault="00852CE9" w:rsidP="005C71C8">
            <w:pPr>
              <w:rPr>
                <w:lang w:val="en-GB"/>
              </w:rPr>
            </w:pPr>
            <w:r>
              <w:rPr>
                <w:lang w:val="en-GB"/>
              </w:rPr>
              <w:t>Medical Eligibility Criteria</w:t>
            </w:r>
          </w:p>
        </w:tc>
      </w:tr>
      <w:tr w:rsidR="00852CE9" w:rsidRPr="00FD119B" w14:paraId="6DF40FE1" w14:textId="77777777" w:rsidTr="00FD119B">
        <w:tc>
          <w:tcPr>
            <w:tcW w:w="1809" w:type="dxa"/>
          </w:tcPr>
          <w:p w14:paraId="13FACFD6" w14:textId="77777777" w:rsidR="00852CE9" w:rsidRDefault="00852CE9" w:rsidP="00FD119B">
            <w:r>
              <w:t>MRI</w:t>
            </w:r>
          </w:p>
        </w:tc>
        <w:tc>
          <w:tcPr>
            <w:tcW w:w="6911" w:type="dxa"/>
          </w:tcPr>
          <w:p w14:paraId="180409AE" w14:textId="77777777" w:rsidR="00852CE9" w:rsidRDefault="00852CE9" w:rsidP="005C71C8">
            <w:pPr>
              <w:rPr>
                <w:lang w:val="en-GB"/>
              </w:rPr>
            </w:pPr>
            <w:r>
              <w:rPr>
                <w:lang w:val="en-GB"/>
              </w:rPr>
              <w:t>Magnetic resonance imaging</w:t>
            </w:r>
          </w:p>
        </w:tc>
      </w:tr>
      <w:tr w:rsidR="00852CE9" w:rsidRPr="00FD119B" w14:paraId="3FDA4122" w14:textId="77777777" w:rsidTr="00FD119B">
        <w:tc>
          <w:tcPr>
            <w:tcW w:w="1809" w:type="dxa"/>
          </w:tcPr>
          <w:p w14:paraId="4712295E" w14:textId="77777777" w:rsidR="00852CE9" w:rsidRDefault="00852CE9" w:rsidP="00FD119B">
            <w:r>
              <w:t>PBRER</w:t>
            </w:r>
          </w:p>
        </w:tc>
        <w:tc>
          <w:tcPr>
            <w:tcW w:w="6911" w:type="dxa"/>
          </w:tcPr>
          <w:p w14:paraId="1EC9D417" w14:textId="77777777" w:rsidR="00852CE9" w:rsidRDefault="00852CE9" w:rsidP="005C71C8">
            <w:pPr>
              <w:rPr>
                <w:lang w:val="en-GB"/>
              </w:rPr>
            </w:pPr>
            <w:r>
              <w:rPr>
                <w:lang w:val="en-GB"/>
              </w:rPr>
              <w:t>Periodic benefit-risk evaluation report</w:t>
            </w:r>
          </w:p>
        </w:tc>
      </w:tr>
      <w:tr w:rsidR="00852CE9" w:rsidRPr="00FD119B" w14:paraId="7E62E3D1" w14:textId="77777777" w:rsidTr="00FD119B">
        <w:tc>
          <w:tcPr>
            <w:tcW w:w="1809" w:type="dxa"/>
          </w:tcPr>
          <w:p w14:paraId="330199D5" w14:textId="77777777" w:rsidR="00852CE9" w:rsidRDefault="00852CE9" w:rsidP="00FD119B">
            <w:r>
              <w:t>PI</w:t>
            </w:r>
          </w:p>
        </w:tc>
        <w:tc>
          <w:tcPr>
            <w:tcW w:w="6911" w:type="dxa"/>
          </w:tcPr>
          <w:p w14:paraId="5F774A1B" w14:textId="77777777" w:rsidR="00852CE9" w:rsidRDefault="00852CE9" w:rsidP="005C71C8">
            <w:pPr>
              <w:rPr>
                <w:lang w:val="en-GB"/>
              </w:rPr>
            </w:pPr>
            <w:r>
              <w:rPr>
                <w:lang w:val="en-GB"/>
              </w:rPr>
              <w:t>Product Information</w:t>
            </w:r>
          </w:p>
        </w:tc>
      </w:tr>
      <w:tr w:rsidR="00852CE9" w:rsidRPr="00FD119B" w14:paraId="28025DD3" w14:textId="77777777" w:rsidTr="00FD119B">
        <w:tc>
          <w:tcPr>
            <w:tcW w:w="1809" w:type="dxa"/>
          </w:tcPr>
          <w:p w14:paraId="32CACC5A" w14:textId="77777777" w:rsidR="00852CE9" w:rsidRDefault="00852CE9" w:rsidP="00FD119B">
            <w:r>
              <w:t>PK</w:t>
            </w:r>
          </w:p>
        </w:tc>
        <w:tc>
          <w:tcPr>
            <w:tcW w:w="6911" w:type="dxa"/>
          </w:tcPr>
          <w:p w14:paraId="290E6340" w14:textId="77777777" w:rsidR="00852CE9" w:rsidRDefault="00852CE9" w:rsidP="005C71C8">
            <w:pPr>
              <w:rPr>
                <w:lang w:val="en-GB"/>
              </w:rPr>
            </w:pPr>
            <w:r>
              <w:rPr>
                <w:lang w:val="en-GB"/>
              </w:rPr>
              <w:t>Pharmacokinetic(s)</w:t>
            </w:r>
          </w:p>
        </w:tc>
      </w:tr>
      <w:tr w:rsidR="00852CE9" w:rsidRPr="00FD119B" w14:paraId="1AA95046" w14:textId="77777777" w:rsidTr="00FD119B">
        <w:tc>
          <w:tcPr>
            <w:tcW w:w="1809" w:type="dxa"/>
          </w:tcPr>
          <w:p w14:paraId="7DD63DBE" w14:textId="77777777" w:rsidR="00852CE9" w:rsidRDefault="00852CE9" w:rsidP="00FD119B">
            <w:r>
              <w:t>PRAC</w:t>
            </w:r>
          </w:p>
        </w:tc>
        <w:tc>
          <w:tcPr>
            <w:tcW w:w="6911" w:type="dxa"/>
          </w:tcPr>
          <w:p w14:paraId="1F0B96EA" w14:textId="77777777" w:rsidR="00852CE9" w:rsidRDefault="00852CE9" w:rsidP="005C71C8">
            <w:pPr>
              <w:rPr>
                <w:lang w:val="en-GB"/>
              </w:rPr>
            </w:pPr>
            <w:r w:rsidRPr="00B70315">
              <w:t>Pharmacovigilance Risk Assessment Committee</w:t>
            </w:r>
          </w:p>
        </w:tc>
      </w:tr>
      <w:tr w:rsidR="00852CE9" w:rsidRPr="00FD119B" w14:paraId="127A0D69" w14:textId="77777777" w:rsidTr="00FD119B">
        <w:tc>
          <w:tcPr>
            <w:tcW w:w="1809" w:type="dxa"/>
          </w:tcPr>
          <w:p w14:paraId="6C7948EC" w14:textId="77777777" w:rsidR="00852CE9" w:rsidRDefault="00852CE9" w:rsidP="00FD119B">
            <w:r>
              <w:t>PSUR</w:t>
            </w:r>
          </w:p>
        </w:tc>
        <w:tc>
          <w:tcPr>
            <w:tcW w:w="6911" w:type="dxa"/>
          </w:tcPr>
          <w:p w14:paraId="03EF681F" w14:textId="77777777" w:rsidR="00852CE9" w:rsidRDefault="00852CE9" w:rsidP="005C71C8">
            <w:pPr>
              <w:rPr>
                <w:lang w:val="en-GB"/>
              </w:rPr>
            </w:pPr>
            <w:r>
              <w:rPr>
                <w:lang w:val="en-GB"/>
              </w:rPr>
              <w:t>Periodic safety update report</w:t>
            </w:r>
          </w:p>
        </w:tc>
      </w:tr>
      <w:tr w:rsidR="00852CE9" w:rsidRPr="00FD119B" w14:paraId="2101B30E" w14:textId="77777777" w:rsidTr="00FD119B">
        <w:tc>
          <w:tcPr>
            <w:tcW w:w="1809" w:type="dxa"/>
          </w:tcPr>
          <w:p w14:paraId="6F6125B2" w14:textId="77777777" w:rsidR="00852CE9" w:rsidRDefault="00852CE9" w:rsidP="00FD119B">
            <w:r>
              <w:t>RMP</w:t>
            </w:r>
          </w:p>
        </w:tc>
        <w:tc>
          <w:tcPr>
            <w:tcW w:w="6911" w:type="dxa"/>
          </w:tcPr>
          <w:p w14:paraId="7CF01279" w14:textId="77777777" w:rsidR="00852CE9" w:rsidRDefault="00852CE9" w:rsidP="005C71C8">
            <w:pPr>
              <w:rPr>
                <w:lang w:val="en-GB"/>
              </w:rPr>
            </w:pPr>
            <w:r>
              <w:rPr>
                <w:lang w:val="en-GB"/>
              </w:rPr>
              <w:t>Risk Management Plan</w:t>
            </w:r>
          </w:p>
        </w:tc>
      </w:tr>
      <w:tr w:rsidR="00852CE9" w:rsidRPr="00FD119B" w14:paraId="3933DCF2" w14:textId="77777777" w:rsidTr="00FD119B">
        <w:tc>
          <w:tcPr>
            <w:tcW w:w="1809" w:type="dxa"/>
          </w:tcPr>
          <w:p w14:paraId="593EE6BE" w14:textId="77777777" w:rsidR="00852CE9" w:rsidRDefault="00852CE9" w:rsidP="00FD119B">
            <w:r>
              <w:t>US</w:t>
            </w:r>
          </w:p>
        </w:tc>
        <w:tc>
          <w:tcPr>
            <w:tcW w:w="6911" w:type="dxa"/>
          </w:tcPr>
          <w:p w14:paraId="5D26EBE0" w14:textId="77777777" w:rsidR="00852CE9" w:rsidRDefault="00852CE9" w:rsidP="005C71C8">
            <w:pPr>
              <w:rPr>
                <w:lang w:val="en-GB"/>
              </w:rPr>
            </w:pPr>
            <w:r>
              <w:rPr>
                <w:lang w:val="en-GB"/>
              </w:rPr>
              <w:t>United States</w:t>
            </w:r>
          </w:p>
        </w:tc>
      </w:tr>
      <w:tr w:rsidR="00852CE9" w:rsidRPr="00FD119B" w14:paraId="6206795D" w14:textId="77777777" w:rsidTr="00FD119B">
        <w:tc>
          <w:tcPr>
            <w:tcW w:w="1809" w:type="dxa"/>
          </w:tcPr>
          <w:p w14:paraId="15B01153" w14:textId="77777777" w:rsidR="00852CE9" w:rsidRDefault="00852CE9" w:rsidP="00FD119B">
            <w:r>
              <w:t>WHO</w:t>
            </w:r>
          </w:p>
        </w:tc>
        <w:tc>
          <w:tcPr>
            <w:tcW w:w="6911" w:type="dxa"/>
          </w:tcPr>
          <w:p w14:paraId="1E9555BA" w14:textId="77777777" w:rsidR="00852CE9" w:rsidRDefault="00852CE9" w:rsidP="005C71C8">
            <w:pPr>
              <w:rPr>
                <w:lang w:val="en-GB"/>
              </w:rPr>
            </w:pPr>
            <w:r>
              <w:rPr>
                <w:lang w:val="en-GB"/>
              </w:rPr>
              <w:t>World Health Organization</w:t>
            </w:r>
          </w:p>
        </w:tc>
      </w:tr>
    </w:tbl>
    <w:p w14:paraId="25368BE3" w14:textId="77777777" w:rsidR="008E7846" w:rsidRDefault="00F53C07" w:rsidP="00B927D2">
      <w:pPr>
        <w:pStyle w:val="Heading2"/>
        <w:pageBreakBefore/>
      </w:pPr>
      <w:bookmarkStart w:id="8" w:name="_Toc499040535"/>
      <w:r>
        <w:lastRenderedPageBreak/>
        <w:t>I.</w:t>
      </w:r>
      <w:r w:rsidR="008E7846">
        <w:t xml:space="preserve"> Introduction to product submission</w:t>
      </w:r>
      <w:bookmarkEnd w:id="0"/>
      <w:bookmarkEnd w:id="2"/>
      <w:bookmarkEnd w:id="8"/>
    </w:p>
    <w:p w14:paraId="38A157AF" w14:textId="77777777" w:rsidR="008E7846" w:rsidRDefault="008E7846" w:rsidP="008E7846">
      <w:pPr>
        <w:pStyle w:val="Heading3"/>
        <w:rPr>
          <w:lang w:eastAsia="en-AU"/>
        </w:rPr>
      </w:pPr>
      <w:bookmarkStart w:id="9" w:name="_Toc247691502"/>
      <w:bookmarkStart w:id="10" w:name="_Toc314842483"/>
      <w:bookmarkStart w:id="11" w:name="_Toc499040536"/>
      <w:r>
        <w:rPr>
          <w:lang w:eastAsia="en-AU"/>
        </w:rPr>
        <w:t>Submission details</w:t>
      </w:r>
      <w:bookmarkEnd w:id="9"/>
      <w:bookmarkEnd w:id="10"/>
      <w:bookmarkEnd w:id="11"/>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14:paraId="1A277EEB" w14:textId="77777777" w:rsidTr="00E00538">
        <w:trPr>
          <w:trHeight w:hRule="exact" w:val="454"/>
        </w:trPr>
        <w:tc>
          <w:tcPr>
            <w:tcW w:w="2907" w:type="dxa"/>
          </w:tcPr>
          <w:p w14:paraId="20ADB4B6"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42FA5F51" w14:textId="51041F03" w:rsidR="008E7846" w:rsidRPr="003D1E62" w:rsidRDefault="00171E95" w:rsidP="001B5C90">
            <w:r>
              <w:t>Major variation/new strength</w:t>
            </w:r>
          </w:p>
        </w:tc>
      </w:tr>
      <w:tr w:rsidR="008E7846" w:rsidRPr="003D1E62" w14:paraId="61D6395A" w14:textId="77777777" w:rsidTr="00E00538">
        <w:trPr>
          <w:trHeight w:hRule="exact" w:val="454"/>
        </w:trPr>
        <w:tc>
          <w:tcPr>
            <w:tcW w:w="2907" w:type="dxa"/>
          </w:tcPr>
          <w:p w14:paraId="783CC4B3" w14:textId="77777777" w:rsidR="008E7846" w:rsidRPr="003D1E62" w:rsidRDefault="008E7846" w:rsidP="003D1E62">
            <w:r w:rsidRPr="003D1E62">
              <w:rPr>
                <w:i/>
              </w:rPr>
              <w:t>Decision</w:t>
            </w:r>
            <w:r w:rsidRPr="003D1E62">
              <w:t>:</w:t>
            </w:r>
          </w:p>
        </w:tc>
        <w:tc>
          <w:tcPr>
            <w:tcW w:w="6590" w:type="dxa"/>
            <w:gridSpan w:val="2"/>
          </w:tcPr>
          <w:p w14:paraId="4E53043B" w14:textId="480A393F" w:rsidR="008E7846" w:rsidRPr="003D1E62" w:rsidRDefault="008E7846" w:rsidP="00D95014">
            <w:r w:rsidRPr="003D1E62">
              <w:t>Approved</w:t>
            </w:r>
          </w:p>
        </w:tc>
      </w:tr>
      <w:tr w:rsidR="008E7846" w:rsidRPr="003D1E62" w14:paraId="01109C63" w14:textId="77777777" w:rsidTr="00E00538">
        <w:trPr>
          <w:trHeight w:hRule="exact" w:val="454"/>
        </w:trPr>
        <w:tc>
          <w:tcPr>
            <w:tcW w:w="2907" w:type="dxa"/>
          </w:tcPr>
          <w:p w14:paraId="72631D70"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5F6D5988" w14:textId="791D630C" w:rsidR="008E7846" w:rsidRPr="003D1E62" w:rsidRDefault="00171E95" w:rsidP="001B5C90">
            <w:r>
              <w:t>9 January 2017</w:t>
            </w:r>
          </w:p>
        </w:tc>
      </w:tr>
      <w:tr w:rsidR="00ED2922" w:rsidRPr="003D1E62" w14:paraId="3A69114B" w14:textId="77777777" w:rsidTr="00E00538">
        <w:trPr>
          <w:trHeight w:hRule="exact" w:val="426"/>
        </w:trPr>
        <w:tc>
          <w:tcPr>
            <w:tcW w:w="2907" w:type="dxa"/>
          </w:tcPr>
          <w:p w14:paraId="754C3D9B" w14:textId="77777777" w:rsidR="00ED2922" w:rsidRPr="00441C3F" w:rsidRDefault="00ED2922" w:rsidP="001B5C90">
            <w:pPr>
              <w:rPr>
                <w:i/>
              </w:rPr>
            </w:pPr>
            <w:r w:rsidRPr="00441C3F">
              <w:rPr>
                <w:i/>
              </w:rPr>
              <w:t>Date of entry onto ARTG</w:t>
            </w:r>
          </w:p>
        </w:tc>
        <w:tc>
          <w:tcPr>
            <w:tcW w:w="6590" w:type="dxa"/>
            <w:gridSpan w:val="2"/>
          </w:tcPr>
          <w:p w14:paraId="08E453A2" w14:textId="4BF552D5" w:rsidR="00ED2922" w:rsidRPr="00A537E1" w:rsidRDefault="00A537E1" w:rsidP="0004579E">
            <w:r w:rsidRPr="00A537E1">
              <w:t xml:space="preserve">18 </w:t>
            </w:r>
            <w:r w:rsidR="0004579E">
              <w:t>January</w:t>
            </w:r>
            <w:r w:rsidRPr="00A537E1">
              <w:t xml:space="preserve"> 2017</w:t>
            </w:r>
          </w:p>
        </w:tc>
      </w:tr>
      <w:tr w:rsidR="008E7846" w:rsidRPr="00487162" w14:paraId="46A0272E" w14:textId="77777777" w:rsidTr="00E00538">
        <w:trPr>
          <w:gridAfter w:val="1"/>
          <w:wAfter w:w="283" w:type="dxa"/>
        </w:trPr>
        <w:tc>
          <w:tcPr>
            <w:tcW w:w="2907" w:type="dxa"/>
          </w:tcPr>
          <w:p w14:paraId="22CA373A" w14:textId="083A015C" w:rsidR="008E7846" w:rsidRPr="00487162" w:rsidRDefault="00D95014" w:rsidP="00E45619">
            <w:pPr>
              <w:rPr>
                <w:i/>
              </w:rPr>
            </w:pPr>
            <w:r>
              <w:rPr>
                <w:i/>
              </w:rPr>
              <w:t>Active ingredient</w:t>
            </w:r>
            <w:r w:rsidR="001B5C90">
              <w:rPr>
                <w:i/>
              </w:rPr>
              <w:t>:</w:t>
            </w:r>
          </w:p>
        </w:tc>
        <w:tc>
          <w:tcPr>
            <w:tcW w:w="6307" w:type="dxa"/>
          </w:tcPr>
          <w:p w14:paraId="42B576ED" w14:textId="301A78C8" w:rsidR="008E7846" w:rsidRPr="00487162" w:rsidRDefault="00A537E1" w:rsidP="00E45619">
            <w:r>
              <w:t>L</w:t>
            </w:r>
            <w:r w:rsidRPr="00A537E1">
              <w:t>ev</w:t>
            </w:r>
            <w:bookmarkStart w:id="12" w:name="_GoBack"/>
            <w:bookmarkEnd w:id="12"/>
            <w:r w:rsidRPr="00A537E1">
              <w:t>onorgestrel</w:t>
            </w:r>
          </w:p>
        </w:tc>
      </w:tr>
      <w:tr w:rsidR="008E7846" w:rsidRPr="00487162" w14:paraId="7B5F1F1E" w14:textId="77777777" w:rsidTr="00E00538">
        <w:trPr>
          <w:gridAfter w:val="1"/>
          <w:wAfter w:w="283" w:type="dxa"/>
        </w:trPr>
        <w:tc>
          <w:tcPr>
            <w:tcW w:w="2907" w:type="dxa"/>
          </w:tcPr>
          <w:p w14:paraId="090BFBB0" w14:textId="00A9298F" w:rsidR="008E7846" w:rsidRPr="00487162" w:rsidRDefault="008E7846" w:rsidP="001B5C90">
            <w:pPr>
              <w:rPr>
                <w:i/>
              </w:rPr>
            </w:pPr>
            <w:r w:rsidRPr="00487162">
              <w:rPr>
                <w:i/>
              </w:rPr>
              <w:t>Product</w:t>
            </w:r>
            <w:r w:rsidR="00D95014">
              <w:rPr>
                <w:i/>
              </w:rPr>
              <w:t xml:space="preserve"> name</w:t>
            </w:r>
            <w:r w:rsidR="001B5C90">
              <w:rPr>
                <w:i/>
              </w:rPr>
              <w:t>:</w:t>
            </w:r>
          </w:p>
        </w:tc>
        <w:tc>
          <w:tcPr>
            <w:tcW w:w="6307" w:type="dxa"/>
          </w:tcPr>
          <w:p w14:paraId="2BC33899" w14:textId="7A03FCEF" w:rsidR="008E7846" w:rsidRPr="00487162" w:rsidRDefault="00A537E1" w:rsidP="00E45619">
            <w:r>
              <w:t>Kyleena</w:t>
            </w:r>
          </w:p>
        </w:tc>
      </w:tr>
      <w:tr w:rsidR="008E7846" w:rsidRPr="00487162" w14:paraId="786DB7A3" w14:textId="77777777" w:rsidTr="00E00538">
        <w:trPr>
          <w:gridAfter w:val="1"/>
          <w:wAfter w:w="283" w:type="dxa"/>
        </w:trPr>
        <w:tc>
          <w:tcPr>
            <w:tcW w:w="2907" w:type="dxa"/>
          </w:tcPr>
          <w:p w14:paraId="0B39C46D"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42314D42" w14:textId="78FE6068" w:rsidR="008E7846" w:rsidRPr="0040193E" w:rsidRDefault="00C77A5C" w:rsidP="00C77A5C">
            <w:pPr>
              <w:rPr>
                <w:lang w:val="en-GB"/>
              </w:rPr>
            </w:pPr>
            <w:r>
              <w:rPr>
                <w:lang w:val="en-GB"/>
              </w:rPr>
              <w:t>Bayer Australia Ltd</w:t>
            </w:r>
            <w:r>
              <w:rPr>
                <w:lang w:val="en-GB"/>
              </w:rPr>
              <w:br/>
              <w:t>PO Box 182</w:t>
            </w:r>
            <w:r>
              <w:rPr>
                <w:lang w:val="en-GB"/>
              </w:rPr>
              <w:br/>
            </w:r>
            <w:r w:rsidRPr="00C77A5C">
              <w:rPr>
                <w:lang w:val="en-GB"/>
              </w:rPr>
              <w:t>Go</w:t>
            </w:r>
            <w:r>
              <w:rPr>
                <w:lang w:val="en-GB"/>
              </w:rPr>
              <w:t>rdon NSW 2072</w:t>
            </w:r>
          </w:p>
        </w:tc>
      </w:tr>
      <w:tr w:rsidR="008E7846" w:rsidRPr="00487162" w14:paraId="05B267CA" w14:textId="77777777" w:rsidTr="00E00538">
        <w:trPr>
          <w:gridAfter w:val="1"/>
          <w:wAfter w:w="283" w:type="dxa"/>
          <w:trHeight w:val="516"/>
        </w:trPr>
        <w:tc>
          <w:tcPr>
            <w:tcW w:w="2907" w:type="dxa"/>
          </w:tcPr>
          <w:p w14:paraId="242AE02D" w14:textId="5AC435F4" w:rsidR="008E7846" w:rsidRPr="00487162" w:rsidRDefault="00D95014" w:rsidP="00E45619">
            <w:pPr>
              <w:rPr>
                <w:i/>
              </w:rPr>
            </w:pPr>
            <w:r>
              <w:rPr>
                <w:i/>
              </w:rPr>
              <w:t>Dose form</w:t>
            </w:r>
            <w:r w:rsidR="001B5C90">
              <w:rPr>
                <w:i/>
              </w:rPr>
              <w:t>:</w:t>
            </w:r>
          </w:p>
        </w:tc>
        <w:tc>
          <w:tcPr>
            <w:tcW w:w="6307" w:type="dxa"/>
          </w:tcPr>
          <w:p w14:paraId="1BE6F0D9" w14:textId="2EB30DC3" w:rsidR="008E7846" w:rsidRPr="00487162" w:rsidRDefault="00A537E1" w:rsidP="00EC1629">
            <w:r>
              <w:t>Intrauterine drug delivery system</w:t>
            </w:r>
          </w:p>
        </w:tc>
      </w:tr>
      <w:tr w:rsidR="008E7846" w:rsidRPr="00487162" w14:paraId="6A2DCBB9" w14:textId="77777777" w:rsidTr="00E00538">
        <w:trPr>
          <w:gridAfter w:val="1"/>
          <w:wAfter w:w="283" w:type="dxa"/>
        </w:trPr>
        <w:tc>
          <w:tcPr>
            <w:tcW w:w="2907" w:type="dxa"/>
          </w:tcPr>
          <w:p w14:paraId="28445147" w14:textId="4D0C7941" w:rsidR="008E7846" w:rsidRPr="00487162" w:rsidRDefault="007A0934" w:rsidP="00E45619">
            <w:pPr>
              <w:rPr>
                <w:i/>
              </w:rPr>
            </w:pPr>
            <w:r>
              <w:rPr>
                <w:i/>
              </w:rPr>
              <w:t>Strengths</w:t>
            </w:r>
            <w:r w:rsidR="008E7846" w:rsidRPr="00487162">
              <w:rPr>
                <w:i/>
              </w:rPr>
              <w:t xml:space="preserve">: </w:t>
            </w:r>
          </w:p>
        </w:tc>
        <w:tc>
          <w:tcPr>
            <w:tcW w:w="6307" w:type="dxa"/>
          </w:tcPr>
          <w:p w14:paraId="5FEEE0AA" w14:textId="3D507176" w:rsidR="008E7846" w:rsidRPr="00987298" w:rsidRDefault="00A537E1" w:rsidP="00987298">
            <w:pPr>
              <w:rPr>
                <w:bCs/>
              </w:rPr>
            </w:pPr>
            <w:r>
              <w:rPr>
                <w:bCs/>
              </w:rPr>
              <w:t>19.5 mg</w:t>
            </w:r>
          </w:p>
        </w:tc>
      </w:tr>
      <w:tr w:rsidR="008E7846" w:rsidRPr="00487162" w14:paraId="767926F3" w14:textId="77777777" w:rsidTr="00E00538">
        <w:trPr>
          <w:gridAfter w:val="1"/>
          <w:wAfter w:w="283" w:type="dxa"/>
        </w:trPr>
        <w:tc>
          <w:tcPr>
            <w:tcW w:w="2907" w:type="dxa"/>
          </w:tcPr>
          <w:p w14:paraId="79ED5C9C" w14:textId="1C0B8B03" w:rsidR="008E7846" w:rsidRPr="00487162" w:rsidRDefault="008E7846" w:rsidP="007A0934">
            <w:pPr>
              <w:rPr>
                <w:i/>
              </w:rPr>
            </w:pPr>
            <w:r w:rsidRPr="00487162">
              <w:rPr>
                <w:i/>
              </w:rPr>
              <w:t>Container:</w:t>
            </w:r>
          </w:p>
        </w:tc>
        <w:tc>
          <w:tcPr>
            <w:tcW w:w="6307" w:type="dxa"/>
          </w:tcPr>
          <w:p w14:paraId="2206B5CC" w14:textId="69DCD91A" w:rsidR="008E7846" w:rsidRPr="00487162" w:rsidRDefault="00A537E1" w:rsidP="00E45619">
            <w:r>
              <w:t>Sachet</w:t>
            </w:r>
          </w:p>
        </w:tc>
      </w:tr>
      <w:tr w:rsidR="008E7846" w:rsidRPr="00487162" w14:paraId="3A1EA3DE" w14:textId="77777777" w:rsidTr="00E00538">
        <w:trPr>
          <w:gridAfter w:val="1"/>
          <w:wAfter w:w="283" w:type="dxa"/>
        </w:trPr>
        <w:tc>
          <w:tcPr>
            <w:tcW w:w="2907" w:type="dxa"/>
          </w:tcPr>
          <w:p w14:paraId="20D8424C" w14:textId="32B931A3" w:rsidR="008E7846" w:rsidRPr="00487162" w:rsidRDefault="008E7846" w:rsidP="007A0934">
            <w:pPr>
              <w:rPr>
                <w:i/>
              </w:rPr>
            </w:pPr>
            <w:r w:rsidRPr="00487162">
              <w:rPr>
                <w:i/>
              </w:rPr>
              <w:t>Pack size</w:t>
            </w:r>
            <w:r w:rsidR="007A0934">
              <w:rPr>
                <w:i/>
              </w:rPr>
              <w:t>:</w:t>
            </w:r>
          </w:p>
        </w:tc>
        <w:tc>
          <w:tcPr>
            <w:tcW w:w="6307" w:type="dxa"/>
          </w:tcPr>
          <w:p w14:paraId="23742791" w14:textId="5B056E02" w:rsidR="008E7846" w:rsidRPr="00487162" w:rsidRDefault="001E34EF" w:rsidP="00E45619">
            <w:r>
              <w:t>1 x intrauterine drug delivery system</w:t>
            </w:r>
          </w:p>
        </w:tc>
      </w:tr>
      <w:tr w:rsidR="008E7846" w:rsidRPr="00487162" w14:paraId="47327E5B" w14:textId="77777777" w:rsidTr="00E00538">
        <w:trPr>
          <w:gridAfter w:val="1"/>
          <w:wAfter w:w="283" w:type="dxa"/>
        </w:trPr>
        <w:tc>
          <w:tcPr>
            <w:tcW w:w="2907" w:type="dxa"/>
          </w:tcPr>
          <w:p w14:paraId="44814C59"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2F5ABDDC" w14:textId="4CE692A5" w:rsidR="008E7846" w:rsidRPr="001E34EF" w:rsidRDefault="00A537E1" w:rsidP="00E45619">
            <w:pPr>
              <w:rPr>
                <w:i/>
                <w:lang w:val="en-GB"/>
              </w:rPr>
            </w:pPr>
            <w:r w:rsidRPr="001E34EF">
              <w:rPr>
                <w:i/>
                <w:lang w:val="en-GB"/>
              </w:rPr>
              <w:t>Contraception for up to 5 years</w:t>
            </w:r>
          </w:p>
        </w:tc>
      </w:tr>
      <w:tr w:rsidR="008E7846" w:rsidRPr="00487162" w14:paraId="1B1A0338" w14:textId="77777777" w:rsidTr="00E00538">
        <w:trPr>
          <w:gridAfter w:val="1"/>
          <w:wAfter w:w="283" w:type="dxa"/>
        </w:trPr>
        <w:tc>
          <w:tcPr>
            <w:tcW w:w="2907" w:type="dxa"/>
          </w:tcPr>
          <w:p w14:paraId="7726564D" w14:textId="08515127" w:rsidR="008E7846" w:rsidRPr="00487162" w:rsidRDefault="007A0934" w:rsidP="007A0934">
            <w:pPr>
              <w:rPr>
                <w:i/>
              </w:rPr>
            </w:pPr>
            <w:r>
              <w:rPr>
                <w:i/>
              </w:rPr>
              <w:t>Route</w:t>
            </w:r>
            <w:r w:rsidR="008E7846" w:rsidRPr="00487162">
              <w:rPr>
                <w:i/>
              </w:rPr>
              <w:t xml:space="preserve"> of administration:</w:t>
            </w:r>
          </w:p>
        </w:tc>
        <w:tc>
          <w:tcPr>
            <w:tcW w:w="6307" w:type="dxa"/>
          </w:tcPr>
          <w:p w14:paraId="14C9C1BC" w14:textId="417C6714" w:rsidR="008E7846" w:rsidRPr="00487162" w:rsidRDefault="00FF3646" w:rsidP="00E45619">
            <w:r>
              <w:t>Intrauterine</w:t>
            </w:r>
          </w:p>
        </w:tc>
      </w:tr>
      <w:tr w:rsidR="008E7846" w:rsidRPr="00487162" w14:paraId="65FECCE7" w14:textId="77777777" w:rsidTr="00E00538">
        <w:trPr>
          <w:gridAfter w:val="1"/>
          <w:wAfter w:w="283" w:type="dxa"/>
        </w:trPr>
        <w:tc>
          <w:tcPr>
            <w:tcW w:w="2907" w:type="dxa"/>
          </w:tcPr>
          <w:p w14:paraId="4FFA3E7B" w14:textId="77777777" w:rsidR="008E7846" w:rsidRPr="00487162" w:rsidRDefault="008E7846" w:rsidP="00E45619">
            <w:pPr>
              <w:rPr>
                <w:i/>
              </w:rPr>
            </w:pPr>
            <w:r w:rsidRPr="00487162">
              <w:rPr>
                <w:i/>
              </w:rPr>
              <w:t>Dosage:</w:t>
            </w:r>
          </w:p>
        </w:tc>
        <w:tc>
          <w:tcPr>
            <w:tcW w:w="6307" w:type="dxa"/>
          </w:tcPr>
          <w:p w14:paraId="4E3BC4EE" w14:textId="51131E06" w:rsidR="008E7846" w:rsidRPr="00AD45CA" w:rsidRDefault="00FF3646" w:rsidP="00323735">
            <w:pPr>
              <w:rPr>
                <w:lang w:val="en-GB"/>
              </w:rPr>
            </w:pPr>
            <w:r w:rsidRPr="00FF3646">
              <w:rPr>
                <w:lang w:val="en-GB"/>
              </w:rPr>
              <w:t xml:space="preserve">Kyleena is inserted into the uterine cavity and is effective for up to </w:t>
            </w:r>
            <w:r>
              <w:rPr>
                <w:lang w:val="en-GB"/>
              </w:rPr>
              <w:t>5</w:t>
            </w:r>
            <w:r w:rsidRPr="00FF3646">
              <w:rPr>
                <w:lang w:val="en-GB"/>
              </w:rPr>
              <w:t xml:space="preserve"> years</w:t>
            </w:r>
          </w:p>
        </w:tc>
      </w:tr>
      <w:tr w:rsidR="008E7846" w:rsidRPr="00487162" w14:paraId="629424DD" w14:textId="77777777" w:rsidTr="00E00538">
        <w:trPr>
          <w:gridAfter w:val="1"/>
          <w:wAfter w:w="283" w:type="dxa"/>
        </w:trPr>
        <w:tc>
          <w:tcPr>
            <w:tcW w:w="2907" w:type="dxa"/>
          </w:tcPr>
          <w:p w14:paraId="7B07B014" w14:textId="02CE4F9A" w:rsidR="008E7846" w:rsidRPr="00487162" w:rsidRDefault="008E7846" w:rsidP="001B5C90">
            <w:pPr>
              <w:rPr>
                <w:i/>
              </w:rPr>
            </w:pPr>
            <w:r w:rsidRPr="00487162">
              <w:rPr>
                <w:i/>
              </w:rPr>
              <w:t xml:space="preserve">ARTG </w:t>
            </w:r>
            <w:r w:rsidR="001B5C90">
              <w:rPr>
                <w:i/>
              </w:rPr>
              <w:t>n</w:t>
            </w:r>
            <w:r w:rsidR="007A0934">
              <w:rPr>
                <w:i/>
              </w:rPr>
              <w:t>umbers</w:t>
            </w:r>
            <w:r w:rsidR="001B5C90">
              <w:rPr>
                <w:i/>
              </w:rPr>
              <w:t>:</w:t>
            </w:r>
          </w:p>
        </w:tc>
        <w:tc>
          <w:tcPr>
            <w:tcW w:w="6307" w:type="dxa"/>
          </w:tcPr>
          <w:p w14:paraId="70FADA43" w14:textId="77D23B23" w:rsidR="008E7846" w:rsidRPr="007A0934" w:rsidRDefault="00C77A5C" w:rsidP="00E45619">
            <w:pPr>
              <w:rPr>
                <w:lang w:val="en-GB"/>
              </w:rPr>
            </w:pPr>
            <w:r w:rsidRPr="00C77A5C">
              <w:rPr>
                <w:lang w:val="en-GB"/>
              </w:rPr>
              <w:t>270517</w:t>
            </w:r>
          </w:p>
        </w:tc>
      </w:tr>
    </w:tbl>
    <w:p w14:paraId="68571B1C" w14:textId="77777777" w:rsidR="008E7846" w:rsidRDefault="008E7846" w:rsidP="008E7846">
      <w:pPr>
        <w:pStyle w:val="Heading3"/>
      </w:pPr>
      <w:bookmarkStart w:id="13" w:name="_Toc247691503"/>
      <w:bookmarkStart w:id="14" w:name="_Toc314842484"/>
      <w:bookmarkStart w:id="15" w:name="_Toc499040537"/>
      <w:r>
        <w:t>Product background</w:t>
      </w:r>
      <w:bookmarkEnd w:id="13"/>
      <w:bookmarkEnd w:id="14"/>
      <w:bookmarkEnd w:id="15"/>
    </w:p>
    <w:p w14:paraId="3E834DEA" w14:textId="7AC71984" w:rsidR="004C1459" w:rsidRPr="00607097" w:rsidRDefault="00940A89" w:rsidP="00607097">
      <w:r w:rsidRPr="00607097">
        <w:t xml:space="preserve">This AusPAR describes the application by the sponsor to </w:t>
      </w:r>
      <w:r w:rsidR="00FE4C74" w:rsidRPr="00607097">
        <w:t>register</w:t>
      </w:r>
      <w:r w:rsidR="00171E95" w:rsidRPr="00607097">
        <w:t xml:space="preserve"> Kyleena levonorgestrel 19.5 mg intrauterine drug delivery system </w:t>
      </w:r>
      <w:r w:rsidR="00C165DD">
        <w:t xml:space="preserve">(IUS) </w:t>
      </w:r>
      <w:r w:rsidR="00171E95" w:rsidRPr="00607097">
        <w:t>sachet indicated for</w:t>
      </w:r>
      <w:r w:rsidR="004C1459" w:rsidRPr="00607097">
        <w:t>:</w:t>
      </w:r>
    </w:p>
    <w:p w14:paraId="39E3BBE7" w14:textId="4BE26BF8" w:rsidR="00171E95" w:rsidRDefault="00171E95" w:rsidP="00171E95">
      <w:pPr>
        <w:ind w:left="720" w:firstLine="720"/>
        <w:rPr>
          <w:i/>
        </w:rPr>
      </w:pPr>
      <w:r w:rsidRPr="00171E95">
        <w:rPr>
          <w:i/>
        </w:rPr>
        <w:t>‘Contraception for up to 5 years’.</w:t>
      </w:r>
    </w:p>
    <w:p w14:paraId="4854E435" w14:textId="1C11583E" w:rsidR="00DE4927" w:rsidRPr="00DE4927" w:rsidRDefault="00DE4927" w:rsidP="00DE4927">
      <w:r>
        <w:t xml:space="preserve">This application was originally submitted under the proposed tradename of Sofitta and was subsequently changed as per sponsor request following the first round clinical evaluation. For continuity and clarity, Kyleena is used throughout this document except where discussion of tradename changes is relevant </w:t>
      </w:r>
      <w:r w:rsidR="00CC6DB0">
        <w:t>to the</w:t>
      </w:r>
      <w:r>
        <w:t xml:space="preserve"> application</w:t>
      </w:r>
      <w:r w:rsidR="00CC6DB0">
        <w:t xml:space="preserve"> itself</w:t>
      </w:r>
      <w:r>
        <w:t>.</w:t>
      </w:r>
    </w:p>
    <w:p w14:paraId="2D072064" w14:textId="586C36A1" w:rsidR="00847308" w:rsidRDefault="00847308" w:rsidP="00D95FAB">
      <w:r w:rsidRPr="00201D91">
        <w:t>Levonorgestrel is a second generation progestin with known anti-proliferative effec</w:t>
      </w:r>
      <w:r>
        <w:t>ts on the endometrium and</w:t>
      </w:r>
      <w:r w:rsidRPr="00201D91">
        <w:t xml:space="preserve"> is used widely as the progestogenic component of combined oral contraceptive pills, as well as progestogen-only pills and intrauterine drug delivery systems.</w:t>
      </w:r>
      <w:r>
        <w:t xml:space="preserve"> The application represents the proposed additional strength </w:t>
      </w:r>
      <w:r w:rsidRPr="00607097">
        <w:t>of levonorgest</w:t>
      </w:r>
      <w:r>
        <w:t xml:space="preserve">rel (19.5 mg) similar to the same sponsor’s </w:t>
      </w:r>
      <w:r w:rsidRPr="00607097">
        <w:t>curre</w:t>
      </w:r>
      <w:r>
        <w:t>ntly registered</w:t>
      </w:r>
      <w:r w:rsidRPr="00607097">
        <w:t xml:space="preserve"> </w:t>
      </w:r>
      <w:r>
        <w:t>drug products, Mirena (52 mg) and Jaydess</w:t>
      </w:r>
      <w:r w:rsidRPr="00607097">
        <w:t xml:space="preserve"> (13.5 mg) levonorgestrel intra</w:t>
      </w:r>
      <w:r>
        <w:t xml:space="preserve">uterine drug delivery system, as currently listed on </w:t>
      </w:r>
      <w:r w:rsidRPr="00607097">
        <w:t>the Australian Register of Therapeutic</w:t>
      </w:r>
      <w:r>
        <w:t xml:space="preserve"> Goods (ARTG).</w:t>
      </w:r>
    </w:p>
    <w:p w14:paraId="68A89DF4" w14:textId="1BE596D6" w:rsidR="001F31AB" w:rsidRPr="00201D91" w:rsidRDefault="00847308" w:rsidP="00847308">
      <w:r>
        <w:lastRenderedPageBreak/>
        <w:t>Other than differences in the strength for the proposed product,</w:t>
      </w:r>
      <w:r w:rsidR="001F31AB" w:rsidRPr="00201D91">
        <w:rPr>
          <w:b/>
        </w:rPr>
        <w:t xml:space="preserve"> </w:t>
      </w:r>
      <w:r>
        <w:t>t</w:t>
      </w:r>
      <w:r w:rsidR="001F31AB" w:rsidRPr="00201D91">
        <w:t xml:space="preserve">he proposed indication </w:t>
      </w:r>
      <w:r w:rsidR="00680885">
        <w:t xml:space="preserve">for Kyleena </w:t>
      </w:r>
      <w:r w:rsidR="001F31AB" w:rsidRPr="00201D91">
        <w:t>differs from the current approved indications for Mirena</w:t>
      </w:r>
      <w:r w:rsidR="001F31AB">
        <w:t xml:space="preserve"> </w:t>
      </w:r>
      <w:r w:rsidR="001F31AB" w:rsidRPr="00201D91">
        <w:t>and Jaydess, which are as follows:</w:t>
      </w:r>
    </w:p>
    <w:p w14:paraId="27C097F9" w14:textId="77777777" w:rsidR="001F31AB" w:rsidRPr="00201D91" w:rsidRDefault="001F31AB" w:rsidP="001F31AB">
      <w:r w:rsidRPr="00201D91">
        <w:t>The approved indication for Mirena is:</w:t>
      </w:r>
    </w:p>
    <w:p w14:paraId="2292E860" w14:textId="77777777" w:rsidR="001F31AB" w:rsidRPr="00201D91" w:rsidRDefault="001F31AB" w:rsidP="001F31AB">
      <w:pPr>
        <w:ind w:firstLine="720"/>
        <w:rPr>
          <w:i/>
        </w:rPr>
      </w:pPr>
      <w:r>
        <w:rPr>
          <w:i/>
        </w:rPr>
        <w:t>‘</w:t>
      </w:r>
      <w:r w:rsidRPr="00201D91">
        <w:rPr>
          <w:i/>
        </w:rPr>
        <w:t>Mirena is indicated for:</w:t>
      </w:r>
    </w:p>
    <w:p w14:paraId="78E97833" w14:textId="67C58F65" w:rsidR="001F31AB" w:rsidRPr="00852537" w:rsidRDefault="001F31AB" w:rsidP="004C71EC">
      <w:pPr>
        <w:pStyle w:val="ListBullet3"/>
        <w:numPr>
          <w:ilvl w:val="0"/>
          <w:numId w:val="38"/>
        </w:numPr>
        <w:rPr>
          <w:i/>
        </w:rPr>
      </w:pPr>
      <w:r w:rsidRPr="00852537">
        <w:rPr>
          <w:i/>
        </w:rPr>
        <w:t>Contraception</w:t>
      </w:r>
    </w:p>
    <w:p w14:paraId="2FB527C0" w14:textId="3A08A09A" w:rsidR="001F31AB" w:rsidRPr="00852537" w:rsidRDefault="001F31AB" w:rsidP="004C71EC">
      <w:pPr>
        <w:pStyle w:val="ListBullet3"/>
        <w:numPr>
          <w:ilvl w:val="0"/>
          <w:numId w:val="38"/>
        </w:numPr>
        <w:rPr>
          <w:i/>
        </w:rPr>
      </w:pPr>
      <w:r w:rsidRPr="00852537">
        <w:rPr>
          <w:i/>
        </w:rPr>
        <w:t>Treatment of idiopathic menorrhagia</w:t>
      </w:r>
    </w:p>
    <w:p w14:paraId="53C2C7E4" w14:textId="64BF1EC1" w:rsidR="001F31AB" w:rsidRPr="00852537" w:rsidRDefault="001F31AB" w:rsidP="004C71EC">
      <w:pPr>
        <w:pStyle w:val="ListBullet3"/>
        <w:numPr>
          <w:ilvl w:val="0"/>
          <w:numId w:val="38"/>
        </w:numPr>
        <w:rPr>
          <w:i/>
        </w:rPr>
      </w:pPr>
      <w:r w:rsidRPr="00852537">
        <w:rPr>
          <w:i/>
        </w:rPr>
        <w:t>Prevention of endometrial hyperplasia during oestrogen replacement therapy’.</w:t>
      </w:r>
      <w:bookmarkStart w:id="16" w:name="_Ref492129582"/>
      <w:r>
        <w:rPr>
          <w:rStyle w:val="FootnoteReference"/>
          <w:i/>
        </w:rPr>
        <w:footnoteReference w:id="1"/>
      </w:r>
      <w:bookmarkEnd w:id="16"/>
    </w:p>
    <w:p w14:paraId="727B592E" w14:textId="77777777" w:rsidR="001F31AB" w:rsidRPr="00201D91" w:rsidRDefault="001F31AB" w:rsidP="001F31AB">
      <w:r w:rsidRPr="00201D91">
        <w:t>The approved indication for Jaydess is:</w:t>
      </w:r>
    </w:p>
    <w:p w14:paraId="67D27CB6" w14:textId="19880DD9" w:rsidR="001F31AB" w:rsidRPr="00607097" w:rsidRDefault="001F31AB" w:rsidP="004C71EC">
      <w:pPr>
        <w:ind w:firstLine="720"/>
      </w:pPr>
      <w:r w:rsidRPr="00201D91">
        <w:rPr>
          <w:i/>
        </w:rPr>
        <w:t>‘Contraception for up to 3 years’.</w:t>
      </w:r>
      <w:bookmarkStart w:id="17" w:name="_Ref492129528"/>
      <w:r>
        <w:rPr>
          <w:rStyle w:val="FootnoteReference"/>
          <w:i/>
        </w:rPr>
        <w:footnoteReference w:id="2"/>
      </w:r>
      <w:bookmarkEnd w:id="17"/>
    </w:p>
    <w:p w14:paraId="16F1367F" w14:textId="2555FE49" w:rsidR="008E7846" w:rsidRDefault="00386150" w:rsidP="008E7846">
      <w:pPr>
        <w:pStyle w:val="Heading3"/>
      </w:pPr>
      <w:bookmarkStart w:id="18" w:name="_Toc314842485"/>
      <w:bookmarkStart w:id="19" w:name="_Toc247691504"/>
      <w:bookmarkStart w:id="20" w:name="_Toc499040538"/>
      <w:r>
        <w:t>Regulatory s</w:t>
      </w:r>
      <w:r w:rsidR="008E7846">
        <w:t>tatus</w:t>
      </w:r>
      <w:bookmarkEnd w:id="18"/>
      <w:bookmarkEnd w:id="19"/>
      <w:bookmarkEnd w:id="20"/>
    </w:p>
    <w:p w14:paraId="6F08F72E" w14:textId="06996445" w:rsidR="004C71EC" w:rsidRDefault="00C165DD" w:rsidP="00D95FAB">
      <w:r>
        <w:t xml:space="preserve">The </w:t>
      </w:r>
      <w:r w:rsidR="00FF3646">
        <w:t>Mirena</w:t>
      </w:r>
      <w:r>
        <w:t xml:space="preserve"> IUS</w:t>
      </w:r>
      <w:r w:rsidR="00FF3646">
        <w:t xml:space="preserve"> </w:t>
      </w:r>
      <w:r>
        <w:t xml:space="preserve">first </w:t>
      </w:r>
      <w:r w:rsidR="00FF3646">
        <w:t>received</w:t>
      </w:r>
      <w:r w:rsidR="00D95FAB">
        <w:t xml:space="preserve"> ARTG </w:t>
      </w:r>
      <w:r w:rsidR="00FF3646">
        <w:t xml:space="preserve">listing </w:t>
      </w:r>
      <w:r w:rsidR="00D95FAB">
        <w:t>on 24 July 2000</w:t>
      </w:r>
      <w:r>
        <w:t xml:space="preserve"> followed by</w:t>
      </w:r>
      <w:r w:rsidR="00FF3646">
        <w:t xml:space="preserve"> </w:t>
      </w:r>
      <w:r w:rsidR="00D95FAB">
        <w:t>Jaydess on 18 September 2013</w:t>
      </w:r>
      <w:r>
        <w:t>; however, Jaydess</w:t>
      </w:r>
      <w:r w:rsidR="00D95FAB">
        <w:t xml:space="preserve"> is not currently marketed in Australia.</w:t>
      </w:r>
    </w:p>
    <w:p w14:paraId="10EB7AC9" w14:textId="32244A92" w:rsidR="00D95FAB" w:rsidRDefault="00D95FAB" w:rsidP="00223B39">
      <w:pPr>
        <w:rPr>
          <w:i/>
        </w:rPr>
      </w:pPr>
      <w:r w:rsidRPr="00D95FAB">
        <w:t>A</w:t>
      </w:r>
      <w:r>
        <w:t xml:space="preserve">pplications to register Kyleena </w:t>
      </w:r>
      <w:r w:rsidRPr="00D95FAB">
        <w:t xml:space="preserve">have been submitted to the </w:t>
      </w:r>
      <w:r>
        <w:t>European Union (</w:t>
      </w:r>
      <w:r w:rsidRPr="00D95FAB">
        <w:t>EU</w:t>
      </w:r>
      <w:r>
        <w:t xml:space="preserve">) </w:t>
      </w:r>
      <w:r w:rsidRPr="00D95FAB">
        <w:t>via the decentralised procedure with Swede</w:t>
      </w:r>
      <w:r>
        <w:t>n as the Reference Member State</w:t>
      </w:r>
      <w:r w:rsidR="00C165DD">
        <w:t>;</w:t>
      </w:r>
      <w:r>
        <w:t xml:space="preserve"> the United States (US)</w:t>
      </w:r>
      <w:r w:rsidRPr="00D95FAB">
        <w:t xml:space="preserve"> and Can</w:t>
      </w:r>
      <w:r>
        <w:t>ada</w:t>
      </w:r>
      <w:r w:rsidRPr="00D95FAB">
        <w:t>. Regar</w:t>
      </w:r>
      <w:r>
        <w:t xml:space="preserve">ding dataset similarities, the </w:t>
      </w:r>
      <w:r w:rsidRPr="00D95FAB">
        <w:t>sponsor states</w:t>
      </w:r>
      <w:r w:rsidR="00223B39">
        <w:t>:</w:t>
      </w:r>
      <w:r w:rsidR="00223B39">
        <w:rPr>
          <w:i/>
        </w:rPr>
        <w:t xml:space="preserve"> </w:t>
      </w:r>
      <w:r w:rsidRPr="00D95FAB">
        <w:rPr>
          <w:i/>
        </w:rPr>
        <w:t>‘No significant differences exist in the data submitted with the current Australian Application compared to the data sets submitted in other countries other than the respective local regulatory requirements. The dossier submitted in Australia is based upon the data set su</w:t>
      </w:r>
      <w:r>
        <w:rPr>
          <w:i/>
        </w:rPr>
        <w:t>bmitted in EU’.</w:t>
      </w:r>
    </w:p>
    <w:p w14:paraId="10F34945" w14:textId="60BE205F" w:rsidR="00BD78CD" w:rsidRDefault="00BD78CD" w:rsidP="00D95FAB">
      <w:r>
        <w:t>As of 3 October 2016, Kyleena had received a positive outcome in the EU for the same indication as proposed in Australia and was</w:t>
      </w:r>
      <w:r w:rsidRPr="00BD78CD">
        <w:t xml:space="preserve"> awaiting national registrations in the individual EU countries.</w:t>
      </w:r>
      <w:r>
        <w:t xml:space="preserve"> As of </w:t>
      </w:r>
      <w:r w:rsidR="00500F75">
        <w:t xml:space="preserve">September </w:t>
      </w:r>
      <w:r>
        <w:t>2016, Kyleena had been approved in the US for the following indication:</w:t>
      </w:r>
    </w:p>
    <w:p w14:paraId="68FAC9D6" w14:textId="78ECB779" w:rsidR="00BD78CD" w:rsidRPr="00BD78CD" w:rsidRDefault="00BD78CD" w:rsidP="00BD78CD">
      <w:pPr>
        <w:ind w:left="720"/>
        <w:rPr>
          <w:i/>
        </w:rPr>
      </w:pPr>
      <w:r w:rsidRPr="00BD78CD">
        <w:rPr>
          <w:i/>
        </w:rPr>
        <w:t>‘Kyleena is indicated to prevent pregnancy for up to 5 years.’.</w:t>
      </w:r>
    </w:p>
    <w:p w14:paraId="20B1FC06" w14:textId="77777777" w:rsidR="008E7846" w:rsidRDefault="008E7846" w:rsidP="00940A89">
      <w:pPr>
        <w:pStyle w:val="Heading3"/>
      </w:pPr>
      <w:bookmarkStart w:id="21" w:name="_Toc247691505"/>
      <w:bookmarkStart w:id="22" w:name="_Toc314842486"/>
      <w:bookmarkStart w:id="23" w:name="_Toc499040539"/>
      <w:r>
        <w:t>Product Information</w:t>
      </w:r>
      <w:bookmarkEnd w:id="21"/>
      <w:bookmarkEnd w:id="22"/>
      <w:bookmarkEnd w:id="23"/>
    </w:p>
    <w:p w14:paraId="671E2F05" w14:textId="7129900C" w:rsidR="00940A89" w:rsidRDefault="006136D7" w:rsidP="00940A89">
      <w:pPr>
        <w:rPr>
          <w:b/>
          <w:bCs/>
        </w:rPr>
      </w:pPr>
      <w:bookmarkStart w:id="24" w:name="_Toc247691506"/>
      <w:bookmarkStart w:id="25"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52AF5576" w14:textId="28BA507F" w:rsidR="00C165DD" w:rsidRDefault="008E7846" w:rsidP="00C165DD">
      <w:pPr>
        <w:pStyle w:val="Heading2"/>
        <w:ind w:left="-11"/>
      </w:pPr>
      <w:bookmarkStart w:id="26" w:name="_Toc499040540"/>
      <w:r>
        <w:t>II. Quality</w:t>
      </w:r>
      <w:bookmarkEnd w:id="1"/>
      <w:r>
        <w:t xml:space="preserve"> findings</w:t>
      </w:r>
      <w:bookmarkEnd w:id="24"/>
      <w:bookmarkEnd w:id="25"/>
      <w:bookmarkEnd w:id="26"/>
    </w:p>
    <w:p w14:paraId="630C70EA" w14:textId="4BF009A8" w:rsidR="0017517C" w:rsidRDefault="0017517C" w:rsidP="0017517C">
      <w:r>
        <w:t>The Kyleena IU</w:t>
      </w:r>
      <w:r w:rsidR="00BD2AF3">
        <w:t>S</w:t>
      </w:r>
      <w:r>
        <w:t xml:space="preserve"> consists</w:t>
      </w:r>
      <w:r w:rsidRPr="0017517C">
        <w:t xml:space="preserve"> of a whitish or pale yellow drug reservoir mounted on the vertical stem of a T-body. </w:t>
      </w:r>
      <w:r w:rsidR="00BD2AF3">
        <w:t xml:space="preserve">In addition, the vertical stem contains a </w:t>
      </w:r>
      <w:r w:rsidRPr="0017517C">
        <w:t>silver ring</w:t>
      </w:r>
      <w:r w:rsidR="00BD2AF3">
        <w:t xml:space="preserve"> located close to the horizontal arms. The white </w:t>
      </w:r>
      <w:r w:rsidRPr="0017517C">
        <w:t>T</w:t>
      </w:r>
      <w:r>
        <w:t>-</w:t>
      </w:r>
      <w:r w:rsidRPr="0017517C">
        <w:t xml:space="preserve">body has a loop at one end </w:t>
      </w:r>
      <w:r w:rsidR="00BD2AF3">
        <w:t>of the vertical stem and two horizontal arms at the other end. B</w:t>
      </w:r>
      <w:r w:rsidRPr="0017517C">
        <w:t xml:space="preserve">lue </w:t>
      </w:r>
      <w:r w:rsidR="00BD2AF3">
        <w:t xml:space="preserve">coloured </w:t>
      </w:r>
      <w:r w:rsidRPr="0017517C">
        <w:t>removal threads are attached to the loop.</w:t>
      </w:r>
      <w:r>
        <w:t xml:space="preserve"> The vertical stem of the IU</w:t>
      </w:r>
      <w:r w:rsidR="00BD2AF3">
        <w:t>S</w:t>
      </w:r>
      <w:r>
        <w:t xml:space="preserve"> is loaded into the insertion tube</w:t>
      </w:r>
      <w:r w:rsidR="00BD2AF3">
        <w:t xml:space="preserve"> at the tip of the inserter. The inserter consists of a handle and slider that are integrated with flange, lock, pre-bent insertion tube and plunger. The removal threads are located within the insertion tube and handle.</w:t>
      </w:r>
    </w:p>
    <w:p w14:paraId="23AD93E5" w14:textId="77777777" w:rsidR="00FD085B" w:rsidRDefault="00BD2AF3" w:rsidP="00BD2AF3">
      <w:r>
        <w:t>The device has been evaluated</w:t>
      </w:r>
      <w:r w:rsidR="00FD085B">
        <w:t xml:space="preserve"> and was considered acceptable.</w:t>
      </w:r>
    </w:p>
    <w:p w14:paraId="60614D65" w14:textId="139B50F7" w:rsidR="00BD2AF3" w:rsidRDefault="00BD2AF3" w:rsidP="00BD2AF3">
      <w:r>
        <w:lastRenderedPageBreak/>
        <w:t>The schematic representation of the</w:t>
      </w:r>
      <w:r w:rsidR="00FD085B">
        <w:t xml:space="preserve"> Kyleena IUS and the inserter/applicator are</w:t>
      </w:r>
      <w:r>
        <w:t xml:space="preserve"> shown below in Figure</w:t>
      </w:r>
      <w:r w:rsidR="00FD085B">
        <w:t>s</w:t>
      </w:r>
      <w:r>
        <w:t xml:space="preserve"> 1</w:t>
      </w:r>
      <w:r w:rsidR="00FD085B">
        <w:t xml:space="preserve"> and 2 respectively</w:t>
      </w:r>
      <w:r>
        <w:t>.</w:t>
      </w:r>
    </w:p>
    <w:p w14:paraId="487DDD03" w14:textId="0EAD1D1E" w:rsidR="00FD085B" w:rsidRDefault="00FD085B" w:rsidP="00B77CD0">
      <w:pPr>
        <w:pStyle w:val="FigureTitle"/>
      </w:pPr>
      <w:r>
        <w:t xml:space="preserve">Figure 1. </w:t>
      </w:r>
      <w:r w:rsidR="00B77CD0">
        <w:t xml:space="preserve">Schematic </w:t>
      </w:r>
      <w:r w:rsidR="00C01252">
        <w:t>representation</w:t>
      </w:r>
      <w:r w:rsidR="00B77CD0">
        <w:t xml:space="preserve"> of the </w:t>
      </w:r>
      <w:r w:rsidR="00C165DD">
        <w:t>Kyleena IUS</w:t>
      </w:r>
    </w:p>
    <w:p w14:paraId="182F85AF" w14:textId="0BECE3CE" w:rsidR="002227D1" w:rsidRDefault="002227D1" w:rsidP="00B77CD0">
      <w:pPr>
        <w:pStyle w:val="FigureTitle"/>
      </w:pPr>
      <w:r>
        <w:rPr>
          <w:noProof/>
          <w:lang w:eastAsia="en-AU"/>
        </w:rPr>
        <w:drawing>
          <wp:inline distT="0" distB="0" distL="0" distR="0" wp14:anchorId="19EBFB01" wp14:editId="25E3274F">
            <wp:extent cx="1981200" cy="2362200"/>
            <wp:effectExtent l="0" t="0" r="0" b="0"/>
            <wp:docPr id="3" name="Picture 3" descr="Figure 1. Schematic representation of the Kyleena 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81200" cy="2362200"/>
                    </a:xfrm>
                    <a:prstGeom prst="rect">
                      <a:avLst/>
                    </a:prstGeom>
                  </pic:spPr>
                </pic:pic>
              </a:graphicData>
            </a:graphic>
          </wp:inline>
        </w:drawing>
      </w:r>
    </w:p>
    <w:p w14:paraId="09641881" w14:textId="3135E2EF" w:rsidR="00FD085B" w:rsidRDefault="00FD085B" w:rsidP="00B77CD0">
      <w:pPr>
        <w:pStyle w:val="FigureTitle"/>
      </w:pPr>
      <w:r>
        <w:t xml:space="preserve">Figure 2. </w:t>
      </w:r>
      <w:r w:rsidR="00B77CD0">
        <w:t>Schematic representation of the Kyleena IUS applicator</w:t>
      </w:r>
    </w:p>
    <w:p w14:paraId="343B2D8D" w14:textId="35A2D6DA" w:rsidR="00BD2AF3" w:rsidRDefault="00C271BF" w:rsidP="00BD2AF3">
      <w:r>
        <w:rPr>
          <w:noProof/>
          <w:lang w:eastAsia="en-AU"/>
        </w:rPr>
        <w:drawing>
          <wp:inline distT="0" distB="0" distL="0" distR="0" wp14:anchorId="4ADA32C1" wp14:editId="77934835">
            <wp:extent cx="4191000" cy="2239866"/>
            <wp:effectExtent l="0" t="0" r="0" b="8255"/>
            <wp:docPr id="2" name="Picture 2" descr="Figure 2. Schematic representation of the Kyleena IUS appl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91000" cy="2239866"/>
                    </a:xfrm>
                    <a:prstGeom prst="rect">
                      <a:avLst/>
                    </a:prstGeom>
                  </pic:spPr>
                </pic:pic>
              </a:graphicData>
            </a:graphic>
          </wp:inline>
        </w:drawing>
      </w:r>
    </w:p>
    <w:p w14:paraId="7208844E" w14:textId="2791F5F8" w:rsidR="00D76973" w:rsidRDefault="00D76973" w:rsidP="00D76973">
      <w:r>
        <w:t>W</w:t>
      </w:r>
      <w:r w:rsidRPr="00AF6045">
        <w:t xml:space="preserve">hilst a suitable </w:t>
      </w:r>
      <w:r w:rsidRPr="00D76973">
        <w:t>In vitro–In vivo Correlation</w:t>
      </w:r>
      <w:r>
        <w:t xml:space="preserve"> (</w:t>
      </w:r>
      <w:r w:rsidRPr="00AF6045">
        <w:t>IVIVC</w:t>
      </w:r>
      <w:r>
        <w:t>)</w:t>
      </w:r>
      <w:r w:rsidRPr="00AF6045">
        <w:t xml:space="preserve"> </w:t>
      </w:r>
      <w:r>
        <w:t xml:space="preserve">of the </w:t>
      </w:r>
      <w:r w:rsidRPr="00AA1451">
        <w:t>levonorgestrel release rate</w:t>
      </w:r>
      <w:r w:rsidRPr="00AF6045">
        <w:t xml:space="preserve"> was not established to cover the proposed 5 </w:t>
      </w:r>
      <w:r w:rsidRPr="00D76973">
        <w:t>year duration of use for Kyleena, in vivo vs in vitro performance of Kyleena has been reported for the Phase III LCS16 batch with ex vivo products up to 5 years used in the calculations. The residual levonorgestrel</w:t>
      </w:r>
      <w:r w:rsidRPr="00AA1451">
        <w:t xml:space="preserve"> content was determined in 911 intrauterine systems. There is a strong correlation between the observed and calculated cumulative percentage of levonorgestrel released which supports the conclusion that the model can reliably predict the levonorgestrel release rate. The population pharmacokinetic ana</w:t>
      </w:r>
      <w:r>
        <w:t>lysis wa</w:t>
      </w:r>
      <w:r w:rsidRPr="00AA1451">
        <w:t xml:space="preserve">s detailed in </w:t>
      </w:r>
      <w:r>
        <w:t>clinical r</w:t>
      </w:r>
      <w:r w:rsidRPr="00AA1451">
        <w:t>eport R-9266.</w:t>
      </w:r>
    </w:p>
    <w:p w14:paraId="0C63311A" w14:textId="07B4B2BB" w:rsidR="00BE1531" w:rsidRDefault="00BE1531" w:rsidP="0017517C">
      <w:r>
        <w:t>The shelf life proposed by the s</w:t>
      </w:r>
      <w:r w:rsidRPr="00BE1531">
        <w:t xml:space="preserve">ponsor </w:t>
      </w:r>
      <w:r w:rsidR="00957A3C">
        <w:t>is</w:t>
      </w:r>
      <w:r w:rsidRPr="00BE1531">
        <w:t xml:space="preserve"> considered acceptable </w:t>
      </w:r>
      <w:r w:rsidR="00957A3C">
        <w:t>as</w:t>
      </w:r>
      <w:r w:rsidRPr="00BE1531">
        <w:t xml:space="preserve"> 24 months when stored below 30°C (unopened). Once inserted, the intrauterine system may remain </w:t>
      </w:r>
      <w:r>
        <w:t>in place for</w:t>
      </w:r>
      <w:r w:rsidR="00223B39">
        <w:t xml:space="preserve"> up to 5 years (that is, the in-</w:t>
      </w:r>
      <w:r w:rsidRPr="00BE1531">
        <w:t>use shelf life is 5 years).</w:t>
      </w:r>
    </w:p>
    <w:p w14:paraId="42F6A84F" w14:textId="19C74731" w:rsidR="00BE1531" w:rsidRPr="00BD2AF3" w:rsidRDefault="00CB1D39" w:rsidP="00223B39">
      <w:pPr>
        <w:pStyle w:val="Heading3"/>
      </w:pPr>
      <w:bookmarkStart w:id="27" w:name="_Toc499040541"/>
      <w:r>
        <w:t>Quality summary and conclusions</w:t>
      </w:r>
      <w:bookmarkEnd w:id="27"/>
    </w:p>
    <w:p w14:paraId="67B215F9" w14:textId="2CC63ED0" w:rsidR="00BD2AF3" w:rsidRPr="00BD2AF3" w:rsidRDefault="00BD2AF3" w:rsidP="00BD2AF3">
      <w:r w:rsidRPr="00BD2AF3">
        <w:t>All outstanding chemistry and quality control issues have been satisfactorily resolved</w:t>
      </w:r>
      <w:r>
        <w:t>.</w:t>
      </w:r>
    </w:p>
    <w:p w14:paraId="0061B703" w14:textId="18626359" w:rsidR="00BE1531" w:rsidRPr="00BD2AF3" w:rsidRDefault="00BE1531" w:rsidP="00BD2AF3">
      <w:r w:rsidRPr="00BD2AF3">
        <w:t>Approval is recommended for registration of the proposed product from a pharmaceutical chemistry and biopharmaceutics perspective, provided the tradename is considered acceptable by the clinical evaluator.</w:t>
      </w:r>
    </w:p>
    <w:p w14:paraId="148FF89A" w14:textId="5D0E1402" w:rsidR="00E13ECB" w:rsidRDefault="008E7846" w:rsidP="00CB1D39">
      <w:pPr>
        <w:pStyle w:val="Heading2"/>
      </w:pPr>
      <w:bookmarkStart w:id="28" w:name="_Toc196046439"/>
      <w:bookmarkStart w:id="29" w:name="_Toc247691510"/>
      <w:bookmarkStart w:id="30" w:name="_Toc314842494"/>
      <w:bookmarkStart w:id="31" w:name="_Toc499040542"/>
      <w:r>
        <w:lastRenderedPageBreak/>
        <w:t>III. Nonclinical</w:t>
      </w:r>
      <w:bookmarkEnd w:id="28"/>
      <w:r>
        <w:t xml:space="preserve"> findings</w:t>
      </w:r>
      <w:bookmarkEnd w:id="29"/>
      <w:bookmarkEnd w:id="30"/>
      <w:bookmarkEnd w:id="31"/>
    </w:p>
    <w:p w14:paraId="7240DE85" w14:textId="69AD4908" w:rsidR="00E13ECB" w:rsidRDefault="00E13ECB" w:rsidP="00E13ECB">
      <w:r>
        <w:t>Kyleena represents a mid-strength version of the sponsor’s existing Mirena and Jaydess products (containing 52 and 13.5 mg levonorgestrel, respectively). The average in vivo release rate of levonorgestrel with Kyleena is 9 µg/day over 5 years, compared with 14 µg/day over 5 years with Mirena and 6 µg/day over 3 years with Jaydess. The initial rate of release and the rate of release at the end of the treatment period for Kyleena are also in-between that of Mirena and Jaydess (17.5, 20 and 14 µg/day initially for the respective products; and 9, 14 and 6 µg/day at end of use).</w:t>
      </w:r>
    </w:p>
    <w:p w14:paraId="3DA58575" w14:textId="689FE0B2" w:rsidR="00E13ECB" w:rsidRDefault="00E13ECB" w:rsidP="00E13ECB">
      <w:r>
        <w:t xml:space="preserve">Nonclinical data submitted included a series of </w:t>
      </w:r>
      <w:r w:rsidR="00CB1D39">
        <w:t>Good Laboratory Practice (</w:t>
      </w:r>
      <w:r>
        <w:t>GLP</w:t>
      </w:r>
      <w:r w:rsidR="00CB1D39">
        <w:t xml:space="preserve">) </w:t>
      </w:r>
      <w:r>
        <w:t>compliant toxicity studies conducted with th</w:t>
      </w:r>
      <w:r w:rsidR="002C5AA5">
        <w:t xml:space="preserve">e new materials used in Kyleena. These are blue </w:t>
      </w:r>
      <w:r>
        <w:t>coloured polypropylene rem</w:t>
      </w:r>
      <w:r w:rsidR="002C5AA5">
        <w:t xml:space="preserve">oval threads (which are in long term body contact) and a grey </w:t>
      </w:r>
      <w:r>
        <w:t>coloured polyethylene flange used as a component o</w:t>
      </w:r>
      <w:r w:rsidR="00C165DD">
        <w:t xml:space="preserve">f the inserter device (in short </w:t>
      </w:r>
      <w:r>
        <w:t>term body contact).</w:t>
      </w:r>
    </w:p>
    <w:p w14:paraId="11FDBE23" w14:textId="7C5BF4FE" w:rsidR="00E13ECB" w:rsidRDefault="00E13ECB" w:rsidP="00E13ECB">
      <w:r>
        <w:t>Biocompatibility of the modified polypropylene removal threads was shown in tests for cytotoxicity, genotoxicity, contact sensitisation, local (intracutaneous) tolerance and systemic toxicity; and biocompatibility of the modified flange of the inserter device was demonstrated in tests for cytotoxicity, contact sensitisation and local (intracutaneous) tolerance. The suite of tests performed was as per ISO 10993 req</w:t>
      </w:r>
      <w:r w:rsidR="002C5AA5">
        <w:t xml:space="preserve">uirements for materials in long and short </w:t>
      </w:r>
      <w:r>
        <w:t>term body contact.</w:t>
      </w:r>
      <w:r w:rsidR="00CB1D39" w:rsidRPr="00CB1D39">
        <w:rPr>
          <w:rStyle w:val="FootnoteReference"/>
        </w:rPr>
        <w:t xml:space="preserve"> </w:t>
      </w:r>
      <w:bookmarkStart w:id="32" w:name="_Ref492898051"/>
      <w:r w:rsidR="00CB1D39">
        <w:rPr>
          <w:rStyle w:val="FootnoteReference"/>
        </w:rPr>
        <w:footnoteReference w:id="3"/>
      </w:r>
      <w:bookmarkEnd w:id="32"/>
    </w:p>
    <w:p w14:paraId="204FD476" w14:textId="545113E5" w:rsidR="002C5AA5" w:rsidRDefault="003846B2" w:rsidP="00E13ECB">
      <w:r>
        <w:t>The proposed P</w:t>
      </w:r>
      <w:r w:rsidR="00E13ECB">
        <w:t>regnancy category, B3, is appropri</w:t>
      </w:r>
      <w:r w:rsidR="002C5AA5">
        <w:t>ate and matches that for Mirena and Jaydess.</w:t>
      </w:r>
      <w:r w:rsidR="002C5AA5">
        <w:rPr>
          <w:rStyle w:val="FootnoteReference"/>
        </w:rPr>
        <w:footnoteReference w:id="4"/>
      </w:r>
    </w:p>
    <w:p w14:paraId="51B1E539" w14:textId="0AA5CB53" w:rsidR="00E13ECB" w:rsidRDefault="00CB1D39" w:rsidP="00E13ECB">
      <w:r>
        <w:t>The n</w:t>
      </w:r>
      <w:r w:rsidR="00E13ECB">
        <w:t>onclinical Safety Specification contained in the sponsor’s draft Risk Management Plan is acceptable.</w:t>
      </w:r>
    </w:p>
    <w:p w14:paraId="3F1CA098" w14:textId="0AB416BE" w:rsidR="00CB1D39" w:rsidRDefault="00CB1D39" w:rsidP="00CB1D39">
      <w:pPr>
        <w:pStyle w:val="Heading3"/>
      </w:pPr>
      <w:bookmarkStart w:id="33" w:name="_Toc499040543"/>
      <w:r>
        <w:t>Nonclinical summary and conclusions</w:t>
      </w:r>
      <w:bookmarkEnd w:id="33"/>
    </w:p>
    <w:p w14:paraId="53E078B3" w14:textId="56ECAE45" w:rsidR="00E13ECB" w:rsidRPr="00E13ECB" w:rsidRDefault="00E13ECB" w:rsidP="00E13ECB">
      <w:r>
        <w:t>There are no nonclinical objec</w:t>
      </w:r>
      <w:r w:rsidR="002C5AA5">
        <w:t>tions to the registration of Kyleena</w:t>
      </w:r>
      <w:r w:rsidR="008C5DB2">
        <w:t xml:space="preserve"> </w:t>
      </w:r>
      <w:r w:rsidR="008C5DB2" w:rsidRPr="008C5DB2">
        <w:t>pending revision of the Product Information document</w:t>
      </w:r>
      <w:r w:rsidR="00C165DD">
        <w:t>.</w:t>
      </w:r>
    </w:p>
    <w:p w14:paraId="0D7CDAE2" w14:textId="77777777" w:rsidR="008E7846" w:rsidRPr="00254787" w:rsidRDefault="008E7846" w:rsidP="008E7846">
      <w:pPr>
        <w:pStyle w:val="Heading2"/>
      </w:pPr>
      <w:bookmarkStart w:id="34" w:name="_Toc196046462"/>
      <w:bookmarkStart w:id="35" w:name="_Toc247691516"/>
      <w:bookmarkStart w:id="36" w:name="_Toc314842500"/>
      <w:bookmarkStart w:id="37" w:name="_Toc163441353"/>
      <w:bookmarkStart w:id="38" w:name="_Toc163441348"/>
      <w:bookmarkStart w:id="39" w:name="_Toc499040544"/>
      <w:r>
        <w:t xml:space="preserve">IV. </w:t>
      </w:r>
      <w:r w:rsidRPr="00254787">
        <w:t>Clinical</w:t>
      </w:r>
      <w:bookmarkEnd w:id="34"/>
      <w:r>
        <w:t xml:space="preserve"> </w:t>
      </w:r>
      <w:r w:rsidR="003A7F6C">
        <w:t>f</w:t>
      </w:r>
      <w:r>
        <w:t>indings</w:t>
      </w:r>
      <w:bookmarkEnd w:id="35"/>
      <w:bookmarkEnd w:id="36"/>
      <w:bookmarkEnd w:id="39"/>
    </w:p>
    <w:p w14:paraId="09E5B9B1" w14:textId="77777777" w:rsidR="00C80137" w:rsidRDefault="00C80137" w:rsidP="00D425BB">
      <w:bookmarkStart w:id="4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2FBCC683" w14:textId="77777777" w:rsidR="008E7846" w:rsidRDefault="008E7846" w:rsidP="008E7846">
      <w:pPr>
        <w:pStyle w:val="Heading3"/>
      </w:pPr>
      <w:bookmarkStart w:id="41" w:name="_Toc247691517"/>
      <w:bookmarkStart w:id="42" w:name="_Toc314842501"/>
      <w:bookmarkStart w:id="43" w:name="_Toc499040545"/>
      <w:r w:rsidRPr="00254787">
        <w:t>Introduction</w:t>
      </w:r>
      <w:bookmarkEnd w:id="40"/>
      <w:bookmarkEnd w:id="41"/>
      <w:bookmarkEnd w:id="42"/>
      <w:bookmarkEnd w:id="43"/>
    </w:p>
    <w:p w14:paraId="781852B9" w14:textId="4481CAC6" w:rsidR="00605AD4" w:rsidRDefault="00605AD4" w:rsidP="00605AD4">
      <w:pPr>
        <w:pStyle w:val="Heading4"/>
      </w:pPr>
      <w:bookmarkStart w:id="44" w:name="_Toc196046464"/>
      <w:bookmarkStart w:id="45" w:name="_Toc247691518"/>
      <w:bookmarkStart w:id="46" w:name="_Toc314842502"/>
      <w:r w:rsidRPr="00605AD4">
        <w:t xml:space="preserve">Clinical </w:t>
      </w:r>
      <w:r w:rsidR="00EF59DC">
        <w:t>r</w:t>
      </w:r>
      <w:r w:rsidRPr="00605AD4">
        <w:t>ationale</w:t>
      </w:r>
    </w:p>
    <w:p w14:paraId="68AFBBA3" w14:textId="732313FD" w:rsidR="004F7D3A" w:rsidRDefault="00223B39" w:rsidP="004F7D3A">
      <w:pPr>
        <w:rPr>
          <w:lang w:eastAsia="ja-JP"/>
        </w:rPr>
      </w:pPr>
      <w:r>
        <w:rPr>
          <w:lang w:eastAsia="ja-JP"/>
        </w:rPr>
        <w:t>Kyleena is a low dose levonorgestrel</w:t>
      </w:r>
      <w:r w:rsidR="004F7D3A">
        <w:rPr>
          <w:lang w:eastAsia="ja-JP"/>
        </w:rPr>
        <w:t xml:space="preserve"> IUS which has b</w:t>
      </w:r>
      <w:r>
        <w:rPr>
          <w:lang w:eastAsia="ja-JP"/>
        </w:rPr>
        <w:t>een developed for use as a long</w:t>
      </w:r>
      <w:r>
        <w:rPr>
          <w:lang w:eastAsia="ja-JP"/>
        </w:rPr>
        <w:noBreakHyphen/>
      </w:r>
      <w:r w:rsidR="004F7D3A">
        <w:rPr>
          <w:lang w:eastAsia="ja-JP"/>
        </w:rPr>
        <w:t xml:space="preserve">acting reversible contraceptive (LARC). There are two </w:t>
      </w:r>
      <w:r>
        <w:rPr>
          <w:lang w:eastAsia="ja-JP"/>
        </w:rPr>
        <w:t>levonorgestrel</w:t>
      </w:r>
      <w:r w:rsidR="004F7D3A">
        <w:rPr>
          <w:lang w:eastAsia="ja-JP"/>
        </w:rPr>
        <w:t xml:space="preserve"> IUS currently registered. The Mirena IUS contains 52 mg of </w:t>
      </w:r>
      <w:r>
        <w:rPr>
          <w:lang w:eastAsia="ja-JP"/>
        </w:rPr>
        <w:t>levonorgestrel</w:t>
      </w:r>
      <w:r w:rsidR="004F7D3A">
        <w:rPr>
          <w:lang w:eastAsia="ja-JP"/>
        </w:rPr>
        <w:t xml:space="preserve"> with initial in vitro release rate of 20 µg/24 hour</w:t>
      </w:r>
      <w:r>
        <w:rPr>
          <w:lang w:eastAsia="ja-JP"/>
        </w:rPr>
        <w:t>s and can be used for up to 5</w:t>
      </w:r>
      <w:r w:rsidR="004F7D3A">
        <w:rPr>
          <w:lang w:eastAsia="ja-JP"/>
        </w:rPr>
        <w:t xml:space="preserve"> years. Jaydess (designated LCS12 during development) is a lower dose </w:t>
      </w:r>
      <w:r w:rsidR="00C165DD">
        <w:rPr>
          <w:lang w:eastAsia="ja-JP"/>
        </w:rPr>
        <w:t>levonorgestrel</w:t>
      </w:r>
      <w:r w:rsidR="004F7D3A">
        <w:rPr>
          <w:lang w:eastAsia="ja-JP"/>
        </w:rPr>
        <w:t xml:space="preserve"> IUS containing 13.5 mg of </w:t>
      </w:r>
      <w:r w:rsidR="00941AEA">
        <w:rPr>
          <w:lang w:eastAsia="ja-JP"/>
        </w:rPr>
        <w:t>levonorgestrel</w:t>
      </w:r>
      <w:r w:rsidR="004F7D3A">
        <w:rPr>
          <w:lang w:eastAsia="ja-JP"/>
        </w:rPr>
        <w:t xml:space="preserve"> with initial in vitro release rate of 12 µg/24 hours. Jaydess can be used for up to </w:t>
      </w:r>
      <w:r w:rsidR="00941AEA">
        <w:rPr>
          <w:lang w:eastAsia="ja-JP"/>
        </w:rPr>
        <w:t>3</w:t>
      </w:r>
      <w:r w:rsidR="004F7D3A">
        <w:rPr>
          <w:lang w:eastAsia="ja-JP"/>
        </w:rPr>
        <w:t xml:space="preserve"> years.</w:t>
      </w:r>
    </w:p>
    <w:p w14:paraId="5A29AD55" w14:textId="3B54F7B0" w:rsidR="00223B39" w:rsidRDefault="004F7D3A" w:rsidP="004F7D3A">
      <w:pPr>
        <w:rPr>
          <w:lang w:eastAsia="ja-JP"/>
        </w:rPr>
      </w:pPr>
      <w:r>
        <w:rPr>
          <w:lang w:eastAsia="ja-JP"/>
        </w:rPr>
        <w:lastRenderedPageBreak/>
        <w:t>The current submission proposes to register Kyleena (designated LCS16 during development), a low do</w:t>
      </w:r>
      <w:r w:rsidR="00223B39">
        <w:rPr>
          <w:lang w:eastAsia="ja-JP"/>
        </w:rPr>
        <w:t>se IUS containing 19.5 mg of levonorgestrel</w:t>
      </w:r>
      <w:r>
        <w:rPr>
          <w:lang w:eastAsia="ja-JP"/>
        </w:rPr>
        <w:t xml:space="preserve"> with initial in vitro release rate of 16 µg/24 hours. The proposed durat</w:t>
      </w:r>
      <w:r w:rsidR="00223B39">
        <w:rPr>
          <w:lang w:eastAsia="ja-JP"/>
        </w:rPr>
        <w:t>ion of use is for up to 5</w:t>
      </w:r>
      <w:r>
        <w:rPr>
          <w:lang w:eastAsia="ja-JP"/>
        </w:rPr>
        <w:t xml:space="preserve"> years. The sponsor’s rationale is</w:t>
      </w:r>
      <w:r w:rsidR="00223B39">
        <w:rPr>
          <w:lang w:eastAsia="ja-JP"/>
        </w:rPr>
        <w:t>:</w:t>
      </w:r>
    </w:p>
    <w:p w14:paraId="38BE4531" w14:textId="12BC0FB7" w:rsidR="004F7D3A" w:rsidRDefault="004F7D3A" w:rsidP="004F7D3A">
      <w:pPr>
        <w:rPr>
          <w:lang w:eastAsia="ja-JP"/>
        </w:rPr>
      </w:pPr>
      <w:r>
        <w:rPr>
          <w:lang w:eastAsia="ja-JP"/>
        </w:rPr>
        <w:t>‘</w:t>
      </w:r>
      <w:r w:rsidR="00223B39">
        <w:rPr>
          <w:i/>
          <w:lang w:eastAsia="ja-JP"/>
        </w:rPr>
        <w:t>T</w:t>
      </w:r>
      <w:r w:rsidRPr="007D6339">
        <w:rPr>
          <w:i/>
          <w:lang w:eastAsia="ja-JP"/>
        </w:rPr>
        <w:t>he smaller size of LCS16 as compared with Mirena has been designed to facilitate successful insertion in a wide range of women. The treatment duration of up to five years with LCS16 is considered to be a suitable option for women who would prefer the smaller insertion tube diameter and lower dose (compared to Mirena) but are interested in a 5 year treatment option (compared to LCS12)</w:t>
      </w:r>
      <w:r>
        <w:rPr>
          <w:lang w:eastAsia="ja-JP"/>
        </w:rPr>
        <w:t>’.</w:t>
      </w:r>
    </w:p>
    <w:p w14:paraId="424CEFF0" w14:textId="65610400" w:rsidR="004F7D3A" w:rsidRPr="004F7D3A" w:rsidRDefault="004F7D3A" w:rsidP="004F7D3A">
      <w:pPr>
        <w:rPr>
          <w:lang w:eastAsia="ja-JP"/>
        </w:rPr>
      </w:pPr>
      <w:r>
        <w:rPr>
          <w:lang w:eastAsia="ja-JP"/>
        </w:rPr>
        <w:t>The sponsor’s rationale is considered acceptable.</w:t>
      </w:r>
    </w:p>
    <w:p w14:paraId="582A79D1" w14:textId="4465FFC3" w:rsidR="00605AD4" w:rsidRDefault="00605AD4" w:rsidP="00605AD4">
      <w:pPr>
        <w:pStyle w:val="Heading4"/>
      </w:pPr>
      <w:r w:rsidRPr="00605AD4">
        <w:t>Guidance</w:t>
      </w:r>
    </w:p>
    <w:p w14:paraId="1811B1B6" w14:textId="52D35DED" w:rsidR="004F7D3A" w:rsidRPr="004F7D3A" w:rsidRDefault="004F7D3A" w:rsidP="004F7D3A">
      <w:pPr>
        <w:rPr>
          <w:lang w:eastAsia="ja-JP"/>
        </w:rPr>
      </w:pPr>
      <w:r>
        <w:rPr>
          <w:lang w:eastAsia="ja-JP"/>
        </w:rPr>
        <w:t xml:space="preserve">The </w:t>
      </w:r>
      <w:r w:rsidRPr="007D6339">
        <w:rPr>
          <w:lang w:eastAsia="ja-JP"/>
        </w:rPr>
        <w:t>TGA adopted EU Guideline on Clinical Investigation of Steroid Contraceptives in Women (EMEA/CHMP/021/97 Rev.1)</w:t>
      </w:r>
      <w:r w:rsidR="00545F7C">
        <w:rPr>
          <w:lang w:eastAsia="ja-JP"/>
        </w:rPr>
        <w:t xml:space="preserve"> was applicable to this submission</w:t>
      </w:r>
      <w:r>
        <w:rPr>
          <w:lang w:eastAsia="ja-JP"/>
        </w:rPr>
        <w:t>.</w:t>
      </w:r>
    </w:p>
    <w:p w14:paraId="70903571" w14:textId="000A8106" w:rsidR="00605AD4" w:rsidRDefault="00605AD4" w:rsidP="00605AD4">
      <w:pPr>
        <w:pStyle w:val="Heading4"/>
      </w:pPr>
      <w:r w:rsidRPr="00605AD4">
        <w:t>Contents of the clinical dossier</w:t>
      </w:r>
    </w:p>
    <w:p w14:paraId="0B2E0200" w14:textId="77777777" w:rsidR="003B120F" w:rsidRDefault="003B120F" w:rsidP="003B120F">
      <w:r>
        <w:t>The submission contained the following clinical information:</w:t>
      </w:r>
    </w:p>
    <w:p w14:paraId="7F0F6980" w14:textId="5AC9D62C" w:rsidR="003B120F" w:rsidRDefault="003B120F" w:rsidP="00545F7C">
      <w:pPr>
        <w:pStyle w:val="ListBullet"/>
      </w:pPr>
      <w:r>
        <w:t>3 clinical pharmacology studies</w:t>
      </w:r>
    </w:p>
    <w:p w14:paraId="0D4F59DA" w14:textId="1D32CF55" w:rsidR="003B120F" w:rsidRDefault="003B120F" w:rsidP="00545F7C">
      <w:pPr>
        <w:pStyle w:val="ListBullet"/>
      </w:pPr>
      <w:r>
        <w:t>8 population pharmacokinetic reports</w:t>
      </w:r>
    </w:p>
    <w:p w14:paraId="3836A789" w14:textId="0B108DD7" w:rsidR="003B120F" w:rsidRDefault="003B120F" w:rsidP="00545F7C">
      <w:pPr>
        <w:pStyle w:val="ListBullet"/>
      </w:pPr>
      <w:r>
        <w:t>1 pivotal efficacy/safety study</w:t>
      </w:r>
    </w:p>
    <w:p w14:paraId="23C5F41C" w14:textId="4FFB2F4A" w:rsidR="003B120F" w:rsidRDefault="003B120F" w:rsidP="00545F7C">
      <w:pPr>
        <w:pStyle w:val="ListBullet"/>
      </w:pPr>
      <w:r>
        <w:t>5 other efficacy/safety studies</w:t>
      </w:r>
    </w:p>
    <w:p w14:paraId="7C3298A1" w14:textId="73DC68D8" w:rsidR="003B120F" w:rsidRDefault="003B120F" w:rsidP="00545F7C">
      <w:pPr>
        <w:pStyle w:val="ListBullet"/>
      </w:pPr>
      <w:r>
        <w:t>1 P</w:t>
      </w:r>
      <w:r w:rsidR="003846B2">
        <w:t>eriodic Safety Update Report (P</w:t>
      </w:r>
      <w:r>
        <w:t>SUR</w:t>
      </w:r>
      <w:r w:rsidR="003846B2">
        <w:t>)</w:t>
      </w:r>
    </w:p>
    <w:p w14:paraId="3C165D1D" w14:textId="1B8A7C6C" w:rsidR="003B120F" w:rsidRDefault="003B120F" w:rsidP="00545F7C">
      <w:pPr>
        <w:pStyle w:val="ListBullet"/>
      </w:pPr>
      <w:r>
        <w:t>A Clinical Overview, Summary of Clinical Efficacy, and Summary of Clinical Safety.</w:t>
      </w:r>
    </w:p>
    <w:p w14:paraId="2E39AA22" w14:textId="1AB37269" w:rsidR="004F7D3A" w:rsidRPr="004F7D3A" w:rsidRDefault="004F7D3A" w:rsidP="00223B39">
      <w:r>
        <w:t>T</w:t>
      </w:r>
      <w:r w:rsidRPr="0094407D">
        <w:t>he majority of submitted data ha</w:t>
      </w:r>
      <w:r>
        <w:t>s been evaluated previously in the s</w:t>
      </w:r>
      <w:r w:rsidRPr="0094407D">
        <w:t>ubmission for Jaydess</w:t>
      </w:r>
      <w:r w:rsidR="00C34943">
        <w:t xml:space="preserve"> [</w:t>
      </w:r>
      <w:r w:rsidR="000B60E2">
        <w:t>details of the Jaydess evaluation can be found in the relevant AusPAR/Attachment 2 document on the TGA website</w:t>
      </w:r>
      <w:r w:rsidR="00C34943">
        <w:t>]</w:t>
      </w:r>
      <w:r w:rsidRPr="0094407D">
        <w:t>.</w:t>
      </w:r>
      <w:bookmarkStart w:id="47" w:name="_Ref492462285"/>
      <w:r>
        <w:rPr>
          <w:rStyle w:val="FootnoteReference"/>
        </w:rPr>
        <w:footnoteReference w:id="5"/>
      </w:r>
      <w:bookmarkEnd w:id="47"/>
      <w:r w:rsidR="00223B39">
        <w:t xml:space="preserve"> The focus of the clinical evaluation report (see Attachment 2) was</w:t>
      </w:r>
      <w:r>
        <w:t xml:space="preserve"> the pivotal efficacy/safety Study </w:t>
      </w:r>
      <w:r w:rsidRPr="0094407D">
        <w:t>91665/</w:t>
      </w:r>
      <w:r w:rsidR="00223B39">
        <w:t>310442 supporting use of Kyleena</w:t>
      </w:r>
      <w:r w:rsidRPr="0094407D">
        <w:t xml:space="preserve"> for up to 5 years, and additional safety data from 4 studies with Jaydess.</w:t>
      </w:r>
    </w:p>
    <w:p w14:paraId="675F2D2E" w14:textId="0DC6926D" w:rsidR="00605AD4" w:rsidRDefault="00605AD4" w:rsidP="00605AD4">
      <w:pPr>
        <w:pStyle w:val="Heading4"/>
      </w:pPr>
      <w:r w:rsidRPr="00605AD4">
        <w:t>Paediatric data</w:t>
      </w:r>
    </w:p>
    <w:p w14:paraId="7139AC73" w14:textId="079F48D0" w:rsidR="00A67B08" w:rsidRPr="00A67B08" w:rsidRDefault="00A67B08" w:rsidP="00A67B08">
      <w:r>
        <w:t>The TGA paediatric development program form states data to support use in the paediatric population was not submitted. On review of the dossier, data for adolescent subjects has been submitted. The sponsor is asked to comment why this was not indicated as such on the application form.</w:t>
      </w:r>
    </w:p>
    <w:p w14:paraId="495524BD" w14:textId="6650C353" w:rsidR="00605AD4" w:rsidRDefault="00605AD4" w:rsidP="00605AD4">
      <w:pPr>
        <w:pStyle w:val="Heading4"/>
      </w:pPr>
      <w:r w:rsidRPr="00605AD4">
        <w:t>Good clinical practice</w:t>
      </w:r>
    </w:p>
    <w:p w14:paraId="3FF7E942" w14:textId="77777777" w:rsidR="00E00538" w:rsidRDefault="00A67B08" w:rsidP="00A67B08">
      <w:pPr>
        <w:rPr>
          <w:lang w:eastAsia="ja-JP"/>
        </w:rPr>
      </w:pPr>
      <w:r>
        <w:rPr>
          <w:lang w:eastAsia="ja-JP"/>
        </w:rPr>
        <w:t>The clinical e</w:t>
      </w:r>
      <w:r w:rsidRPr="0094407D">
        <w:rPr>
          <w:lang w:eastAsia="ja-JP"/>
        </w:rPr>
        <w:t>xpert stated all clinical studies performed in the framework of this submission were conducted in accordance with the principles of the Declaration of Helsinki a</w:t>
      </w:r>
      <w:r>
        <w:rPr>
          <w:lang w:eastAsia="ja-JP"/>
        </w:rPr>
        <w:t>nd Good Clinical Practice</w:t>
      </w:r>
      <w:r w:rsidR="00941AEA">
        <w:rPr>
          <w:lang w:eastAsia="ja-JP"/>
        </w:rPr>
        <w:t xml:space="preserve"> (GCP)</w:t>
      </w:r>
      <w:r>
        <w:rPr>
          <w:lang w:eastAsia="ja-JP"/>
        </w:rPr>
        <w:t>.</w:t>
      </w:r>
    </w:p>
    <w:p w14:paraId="696E69EF" w14:textId="51B8D62D" w:rsidR="00A67B08" w:rsidRPr="00A67B08" w:rsidRDefault="008E7846" w:rsidP="003B120F">
      <w:pPr>
        <w:pStyle w:val="Heading3"/>
      </w:pPr>
      <w:bookmarkStart w:id="48" w:name="_Toc499040546"/>
      <w:r w:rsidRPr="00254787">
        <w:lastRenderedPageBreak/>
        <w:t>Pharmacokinetics</w:t>
      </w:r>
      <w:bookmarkEnd w:id="37"/>
      <w:bookmarkEnd w:id="44"/>
      <w:bookmarkEnd w:id="45"/>
      <w:bookmarkEnd w:id="46"/>
      <w:bookmarkEnd w:id="48"/>
    </w:p>
    <w:p w14:paraId="08EAFD0B" w14:textId="61227209" w:rsidR="00605AD4" w:rsidRDefault="00605AD4" w:rsidP="005F30E0">
      <w:pPr>
        <w:pStyle w:val="Heading4"/>
      </w:pPr>
      <w:r>
        <w:t>Studies</w:t>
      </w:r>
      <w:r w:rsidR="00296591">
        <w:t xml:space="preserve"> providing pharmacokinetic data</w:t>
      </w:r>
    </w:p>
    <w:p w14:paraId="4739491D" w14:textId="6131375B" w:rsidR="00A67B08" w:rsidRPr="005F30E0" w:rsidRDefault="00941AEA" w:rsidP="005F30E0">
      <w:r w:rsidRPr="005F30E0">
        <w:t>The majority of pharmacokinetic (PK) data for LCS16 was provided by the pivotal Phase III LCS16 efficacy Study Protocol 91665/310442 (clinical study reports (CSR) A52238 and PH-37274) and the Phase II Study Protocol 308901 (CS</w:t>
      </w:r>
      <w:r w:rsidR="005F30E0" w:rsidRPr="005F30E0">
        <w:t>R A46796).</w:t>
      </w:r>
    </w:p>
    <w:p w14:paraId="1B2FAAEF" w14:textId="77777777" w:rsidR="00A67B08" w:rsidRDefault="00A67B08" w:rsidP="005F30E0">
      <w:pPr>
        <w:pStyle w:val="Heading4"/>
      </w:pPr>
      <w:bookmarkStart w:id="49" w:name="_Toc416353681"/>
      <w:bookmarkStart w:id="50" w:name="_Toc421005250"/>
      <w:bookmarkStart w:id="51" w:name="_Toc432079132"/>
      <w:bookmarkStart w:id="52" w:name="_Toc432080705"/>
      <w:bookmarkStart w:id="53" w:name="_Toc462903817"/>
      <w:r w:rsidRPr="00545B14">
        <w:t>Evaluator’s overall conclusions on pharmacokinetics</w:t>
      </w:r>
      <w:bookmarkEnd w:id="49"/>
      <w:bookmarkEnd w:id="50"/>
      <w:bookmarkEnd w:id="51"/>
      <w:bookmarkEnd w:id="52"/>
      <w:bookmarkEnd w:id="53"/>
    </w:p>
    <w:p w14:paraId="0EBD458E" w14:textId="69AF1FED" w:rsidR="00A67B08" w:rsidRPr="00333DC4" w:rsidRDefault="00A67B08" w:rsidP="00A67B08">
      <w:r w:rsidRPr="00333DC4">
        <w:t>Th</w:t>
      </w:r>
      <w:r w:rsidR="005F30E0">
        <w:t xml:space="preserve">e pharmacokinetic </w:t>
      </w:r>
      <w:r w:rsidR="003846B2">
        <w:t xml:space="preserve">(PK) </w:t>
      </w:r>
      <w:r w:rsidR="005F30E0">
        <w:t>profile of levonorgestrel</w:t>
      </w:r>
      <w:r w:rsidRPr="00333DC4">
        <w:t xml:space="preserve"> has been described in the previous submission for the lower strength product LCS12 (Jaydess). The current submission included additional PK data from the two clinical studies to support the longer term (5 year) use of LCS16.</w:t>
      </w:r>
    </w:p>
    <w:p w14:paraId="0E2221F2" w14:textId="67D7FB6E" w:rsidR="00A67B08" w:rsidRPr="00333DC4" w:rsidRDefault="00A67B08" w:rsidP="00A67B08">
      <w:r w:rsidRPr="00333DC4">
        <w:t>Release of LNG occurs immediately after insertion of LCS16. The in vivo release rates calculated over the 5 year period demonstrate a reduction over the first 12 months, with rates remaining relatively stable thereafter to 5 years. T</w:t>
      </w:r>
      <w:r w:rsidR="005F30E0">
        <w:t>he mean release rate over the 5 </w:t>
      </w:r>
      <w:r w:rsidRPr="00333DC4">
        <w:t>year period was 9.0 µg/day. By comparison, the mean release rate over the 3 year period for LCS12 was 6.4 µg/day.</w:t>
      </w:r>
    </w:p>
    <w:p w14:paraId="4E7CEDB8" w14:textId="77777777" w:rsidR="00A67B08" w:rsidRPr="00333DC4" w:rsidRDefault="00A67B08" w:rsidP="00A67B08">
      <w:r w:rsidRPr="00333DC4">
        <w:t xml:space="preserve">As both LCS16 and LCS12 mainly act locally, the following comments from the </w:t>
      </w:r>
      <w:r>
        <w:t>clinical e</w:t>
      </w:r>
      <w:r w:rsidRPr="00333DC4">
        <w:t xml:space="preserve">valuator of </w:t>
      </w:r>
      <w:r>
        <w:t>the Jaydess submission are endorsed:</w:t>
      </w:r>
    </w:p>
    <w:p w14:paraId="29B89D83" w14:textId="77777777" w:rsidR="00A67B08" w:rsidRPr="00333DC4" w:rsidRDefault="00A67B08" w:rsidP="00A67B08">
      <w:pPr>
        <w:rPr>
          <w:i/>
        </w:rPr>
      </w:pPr>
      <w:r w:rsidRPr="00333DC4">
        <w:rPr>
          <w:i/>
        </w:rPr>
        <w:t>‘LCS12 acts primarily via local effects on the endometrium and cervix therefore systemic concentrations, drug interactions, pharmacogenetic factors and food are of less relevance than for oral administration of LNG such as in oral contraceptives. Further the systemic concentrations are &gt;</w:t>
      </w:r>
      <w:r>
        <w:rPr>
          <w:i/>
        </w:rPr>
        <w:t> </w:t>
      </w:r>
      <w:r w:rsidRPr="00333DC4">
        <w:rPr>
          <w:i/>
        </w:rPr>
        <w:t>30 fold more with oral contrace</w:t>
      </w:r>
      <w:r>
        <w:rPr>
          <w:i/>
        </w:rPr>
        <w:t xml:space="preserve">ptive use than with the LNG IUS… </w:t>
      </w:r>
      <w:r w:rsidRPr="00333DC4">
        <w:rPr>
          <w:i/>
        </w:rPr>
        <w:t>There were no pharmacokinetic issues of concern in healthy fertile women as studied in the large trials and there are no further pharmacokinetic studies that need to be undertaken for the requested indication’.</w:t>
      </w:r>
    </w:p>
    <w:p w14:paraId="2A7F731F" w14:textId="4D91BC18" w:rsidR="00A67B08" w:rsidRPr="00333DC4" w:rsidRDefault="00A67B08" w:rsidP="00A67B08">
      <w:r w:rsidRPr="00333DC4">
        <w:t>Given the effect of bodyw</w:t>
      </w:r>
      <w:r w:rsidR="005F30E0">
        <w:t>eight on levonorgestrel</w:t>
      </w:r>
      <w:r w:rsidRPr="00333DC4">
        <w:t xml:space="preserve"> clearan</w:t>
      </w:r>
      <w:r>
        <w:t>ce, the clinical e</w:t>
      </w:r>
      <w:r w:rsidRPr="00333DC4">
        <w:t xml:space="preserve">valuator of </w:t>
      </w:r>
      <w:r>
        <w:t>Jaydess submission</w:t>
      </w:r>
      <w:r w:rsidRPr="00333DC4">
        <w:t xml:space="preserve"> did raise the issue of use of LCS12 in obese women:</w:t>
      </w:r>
    </w:p>
    <w:p w14:paraId="5E4B4BD5" w14:textId="4FC61509" w:rsidR="00A67B08" w:rsidRPr="00A67B08" w:rsidRDefault="00A67B08" w:rsidP="00A67B08">
      <w:r w:rsidRPr="005B79F0">
        <w:rPr>
          <w:i/>
        </w:rPr>
        <w:t>‘On examining the pharmacometric work on clearance in the obese, it suggests it is important that pharmacovigilance is undertaken in obese women with Jaydess. Although the clinical data did not show a higher pregnancy rate in this group, it is possible from the pharmacokinetic simulation data’</w:t>
      </w:r>
      <w:r w:rsidR="000B60E2">
        <w:t>.</w:t>
      </w:r>
    </w:p>
    <w:p w14:paraId="53924E13" w14:textId="77777777" w:rsidR="008E7846" w:rsidRDefault="008E7846" w:rsidP="008E7846">
      <w:pPr>
        <w:pStyle w:val="Heading3"/>
      </w:pPr>
      <w:bookmarkStart w:id="54" w:name="_Toc196046481"/>
      <w:bookmarkStart w:id="55" w:name="_Toc247691520"/>
      <w:bookmarkStart w:id="56" w:name="_Toc314842503"/>
      <w:bookmarkStart w:id="57" w:name="_Toc499040547"/>
      <w:r w:rsidRPr="00254787">
        <w:t>Pharmacodynamics</w:t>
      </w:r>
      <w:bookmarkEnd w:id="38"/>
      <w:bookmarkEnd w:id="54"/>
      <w:bookmarkEnd w:id="55"/>
      <w:bookmarkEnd w:id="56"/>
      <w:bookmarkEnd w:id="57"/>
    </w:p>
    <w:p w14:paraId="2ECA0033" w14:textId="485C8B3D" w:rsidR="00605AD4" w:rsidRDefault="00605AD4" w:rsidP="00605AD4">
      <w:pPr>
        <w:pStyle w:val="Heading4"/>
      </w:pPr>
      <w:r>
        <w:t>Studies providing pharmacodynamic data</w:t>
      </w:r>
    </w:p>
    <w:p w14:paraId="0FC6CDD2" w14:textId="751DFB63" w:rsidR="00A67B08" w:rsidRDefault="00A67B08" w:rsidP="00A67B08">
      <w:pPr>
        <w:rPr>
          <w:lang w:eastAsia="ja-JP"/>
        </w:rPr>
      </w:pPr>
      <w:r>
        <w:rPr>
          <w:lang w:eastAsia="ja-JP"/>
        </w:rPr>
        <w:t>Pharmacodynamic information included effects on ovulation, cervical mucus, endometrium, serum oestradiol concentration. Data was</w:t>
      </w:r>
      <w:r w:rsidR="000B60E2">
        <w:rPr>
          <w:lang w:eastAsia="ja-JP"/>
        </w:rPr>
        <w:t xml:space="preserve"> provided in the Phase II Study </w:t>
      </w:r>
      <w:r>
        <w:rPr>
          <w:lang w:eastAsia="ja-JP"/>
        </w:rPr>
        <w:t>A46796, and the Phase III LCS 16 efficacy study.</w:t>
      </w:r>
    </w:p>
    <w:p w14:paraId="717CB5A8" w14:textId="02F1A292" w:rsidR="00A67B08" w:rsidRDefault="00A67B08" w:rsidP="00A67B08">
      <w:pPr>
        <w:pStyle w:val="Heading4"/>
      </w:pPr>
      <w:r>
        <w:t>Evaluator’s overall conclusions on pharmacodynamics</w:t>
      </w:r>
    </w:p>
    <w:p w14:paraId="215671E9" w14:textId="458FB3AA" w:rsidR="00A67B08" w:rsidRPr="00A67B08" w:rsidRDefault="00A67B08" w:rsidP="00A67B08">
      <w:r w:rsidRPr="00A67B08">
        <w:t>LCS16 acts primarily via local effects within the uterine cavity and cervix. The majority of data were provided in the 3 year Study A52238, with few subjects remaining within the subset for assessment during the extension phase. However, no change in pharmacodynamic effect would be expected in the extension phase given the release rate</w:t>
      </w:r>
      <w:r w:rsidR="005F30E0">
        <w:t>s and serum concentrations of levonorgestrel</w:t>
      </w:r>
      <w:r w:rsidRPr="00A67B08">
        <w:t xml:space="preserve"> over time as discussed above. Evidence of ovulation was present in almost all subjects during the 3 year</w:t>
      </w:r>
      <w:r w:rsidR="005F30E0">
        <w:t xml:space="preserve"> study suggesting serum levonorgestrel</w:t>
      </w:r>
      <w:r w:rsidRPr="00A67B08">
        <w:t xml:space="preserve"> concentrations were not sufficient to exert an inhibitory effect on ovulation. There was variability in circulating oestradiol levels, although values remained within the range for normal menstrual cycles. A strong progestogenic effect on the </w:t>
      </w:r>
      <w:r w:rsidRPr="00A67B08">
        <w:lastRenderedPageBreak/>
        <w:t>endometrium and cervix was observed indicating a high degree of endometrial suppression and thickening of cervical mucus respectively.</w:t>
      </w:r>
    </w:p>
    <w:p w14:paraId="3B922032" w14:textId="77777777" w:rsidR="008E7846" w:rsidRPr="00254787" w:rsidRDefault="008E7846" w:rsidP="008E7846">
      <w:pPr>
        <w:pStyle w:val="Heading3"/>
      </w:pPr>
      <w:bookmarkStart w:id="58" w:name="_Toc163441372"/>
      <w:bookmarkStart w:id="59" w:name="_Toc196046485"/>
      <w:bookmarkStart w:id="60" w:name="_Toc247691521"/>
      <w:bookmarkStart w:id="61" w:name="_Toc314842504"/>
      <w:bookmarkStart w:id="62" w:name="_Toc499040548"/>
      <w:r w:rsidRPr="00254787">
        <w:t>Efficacy</w:t>
      </w:r>
      <w:bookmarkEnd w:id="58"/>
      <w:bookmarkEnd w:id="59"/>
      <w:bookmarkEnd w:id="60"/>
      <w:bookmarkEnd w:id="61"/>
      <w:bookmarkEnd w:id="62"/>
    </w:p>
    <w:p w14:paraId="6FE9FBBF" w14:textId="15F2AA6E" w:rsidR="00605AD4" w:rsidRDefault="00605AD4" w:rsidP="00605AD4">
      <w:pPr>
        <w:pStyle w:val="Heading4"/>
      </w:pPr>
      <w:bookmarkStart w:id="63" w:name="_Toc184439992"/>
      <w:bookmarkStart w:id="64" w:name="_Toc184440279"/>
      <w:bookmarkStart w:id="65" w:name="_Toc184444657"/>
      <w:bookmarkStart w:id="66" w:name="_Toc196046487"/>
      <w:r>
        <w:t>Studies providing efficacy data</w:t>
      </w:r>
    </w:p>
    <w:p w14:paraId="1980F7F5" w14:textId="1363CAEE" w:rsidR="00A67B08" w:rsidRPr="00A67B08" w:rsidRDefault="00A67B08" w:rsidP="00A67B08">
      <w:r w:rsidRPr="00EA7CD0">
        <w:t>The two clinical efficacy studies providing evaluable data were the Phase II Study Protocol 308901 (CSR A46796) and the pivotal Phase III LCS16 efficacy Study Protocol 91665/310442 (CSRs A52238 and PH-37274). Study A46796 and the 3 year Study A52238 have been evaluated previously</w:t>
      </w:r>
      <w:r w:rsidR="00B70315">
        <w:t xml:space="preserve"> in the Jaydess submission; the clinical evaluation of Kyleena (see Attachment 2) </w:t>
      </w:r>
      <w:r w:rsidRPr="00EA7CD0">
        <w:t>cross reference</w:t>
      </w:r>
      <w:r w:rsidR="00B70315">
        <w:t>s the Clinical Evaluation Report</w:t>
      </w:r>
      <w:r w:rsidRPr="00EA7CD0">
        <w:t xml:space="preserve"> and the Delegat</w:t>
      </w:r>
      <w:r w:rsidR="00B70315">
        <w:t>e’s Overview for Jaydess where</w:t>
      </w:r>
      <w:r>
        <w:t xml:space="preserve"> appropriate [</w:t>
      </w:r>
      <w:r w:rsidRPr="00EA7CD0">
        <w:t xml:space="preserve">details of </w:t>
      </w:r>
      <w:r w:rsidR="00B70315">
        <w:t xml:space="preserve">this the previous Jaydess evaluation </w:t>
      </w:r>
      <w:r w:rsidRPr="00EA7CD0">
        <w:t xml:space="preserve">are available </w:t>
      </w:r>
      <w:r w:rsidR="00B70315">
        <w:t xml:space="preserve">via the </w:t>
      </w:r>
      <w:proofErr w:type="spellStart"/>
      <w:r w:rsidR="00B70315">
        <w:t>AusPAR</w:t>
      </w:r>
      <w:proofErr w:type="spellEnd"/>
      <w:r w:rsidR="00B70315">
        <w:t xml:space="preserve">/Attachment 2 for </w:t>
      </w:r>
      <w:proofErr w:type="spellStart"/>
      <w:r w:rsidR="00E5432E">
        <w:t>Jaydess</w:t>
      </w:r>
      <w:proofErr w:type="spellEnd"/>
      <w:r>
        <w:t>]</w:t>
      </w:r>
      <w:r w:rsidRPr="00EA7CD0">
        <w:t>.</w:t>
      </w:r>
      <w:r w:rsidR="00B70315" w:rsidRPr="00B70315">
        <w:rPr>
          <w:vertAlign w:val="superscript"/>
        </w:rPr>
        <w:fldChar w:fldCharType="begin"/>
      </w:r>
      <w:r w:rsidR="00B70315" w:rsidRPr="00B70315">
        <w:rPr>
          <w:vertAlign w:val="superscript"/>
        </w:rPr>
        <w:instrText xml:space="preserve"> NOTEREF _Ref492462285 \h  \* MERGEFORMAT </w:instrText>
      </w:r>
      <w:r w:rsidR="00B70315" w:rsidRPr="00B70315">
        <w:rPr>
          <w:vertAlign w:val="superscript"/>
        </w:rPr>
      </w:r>
      <w:r w:rsidR="00B70315" w:rsidRPr="00B70315">
        <w:rPr>
          <w:vertAlign w:val="superscript"/>
        </w:rPr>
        <w:fldChar w:fldCharType="separate"/>
      </w:r>
      <w:r w:rsidR="009D5B6F">
        <w:rPr>
          <w:vertAlign w:val="superscript"/>
        </w:rPr>
        <w:t>5</w:t>
      </w:r>
      <w:r w:rsidR="00B70315" w:rsidRPr="00B70315">
        <w:rPr>
          <w:vertAlign w:val="superscript"/>
        </w:rPr>
        <w:fldChar w:fldCharType="end"/>
      </w:r>
      <w:r w:rsidR="00B70315">
        <w:t xml:space="preserve"> This</w:t>
      </w:r>
      <w:r w:rsidRPr="00EA7CD0">
        <w:t xml:space="preserve"> </w:t>
      </w:r>
      <w:r w:rsidR="00B70315">
        <w:t xml:space="preserve">current </w:t>
      </w:r>
      <w:r w:rsidRPr="00EA7CD0">
        <w:t>submission includes new data from the 5 year Study PH-37274.</w:t>
      </w:r>
    </w:p>
    <w:p w14:paraId="7E6BC991" w14:textId="10CECE23" w:rsidR="008E7846" w:rsidRDefault="00605AD4" w:rsidP="00605AD4">
      <w:pPr>
        <w:pStyle w:val="Heading4"/>
      </w:pPr>
      <w:r>
        <w:t>Evaluator’s conclusions on efficacy</w:t>
      </w:r>
    </w:p>
    <w:p w14:paraId="0EA28435" w14:textId="2D280FE3" w:rsidR="00A67B08" w:rsidRDefault="00A67B08" w:rsidP="00A67B08">
      <w:r>
        <w:t xml:space="preserve">The pivotal Phase III LCS16 efficacy study provided data for 1452 women, 707 of which continued in to the 5 year extension phase. The overall LCS16 study population included healthy women aged 18 to 35 years, mostly Caucasian, with mean age 27.1 years, mean </w:t>
      </w:r>
      <w:r w:rsidR="005F30E0">
        <w:t>body mass index (</w:t>
      </w:r>
      <w:r>
        <w:t>BMI</w:t>
      </w:r>
      <w:r w:rsidR="005F30E0">
        <w:t>)</w:t>
      </w:r>
      <w:r>
        <w:t xml:space="preserve"> 25.3 kg/m</w:t>
      </w:r>
      <w:r w:rsidRPr="009B5107">
        <w:rPr>
          <w:vertAlign w:val="superscript"/>
        </w:rPr>
        <w:t>2</w:t>
      </w:r>
      <w:r>
        <w:t>. There were 39.5% of women who were nulliparous. The study population is considered representative of the target population for marketing.</w:t>
      </w:r>
    </w:p>
    <w:p w14:paraId="0BB69E94" w14:textId="4071AE48" w:rsidR="00A67B08" w:rsidRDefault="00A67B08" w:rsidP="00A67B08">
      <w:r>
        <w:t xml:space="preserve">There were 13 pregnancies over the course of the study. The primary efficacy </w:t>
      </w:r>
      <w:r w:rsidR="005F30E0">
        <w:t>endpoint was the overall P</w:t>
      </w:r>
      <w:r w:rsidR="002A49A7">
        <w:t>earl I</w:t>
      </w:r>
      <w:r>
        <w:t>ndex, which was 0.29 (</w:t>
      </w:r>
      <w:r w:rsidR="002A49A7">
        <w:t>95% CI: 0.16, 0.50). The Pearl I</w:t>
      </w:r>
      <w:r>
        <w:t xml:space="preserve">ndices for each year ranged </w:t>
      </w:r>
      <w:r w:rsidR="00112740">
        <w:t xml:space="preserve">from </w:t>
      </w:r>
      <w:r>
        <w:t>0.15</w:t>
      </w:r>
      <w:r w:rsidR="005F30E0">
        <w:t xml:space="preserve"> to 0.45 with no trend in the Pe</w:t>
      </w:r>
      <w:r w:rsidR="00343E9A">
        <w:t>arl I</w:t>
      </w:r>
      <w:r w:rsidR="005F30E0">
        <w:t>ndex</w:t>
      </w:r>
      <w:r w:rsidR="002A49A7">
        <w:t xml:space="preserve"> observed over time. All Pearl I</w:t>
      </w:r>
      <w:r w:rsidR="005F30E0">
        <w:t>ndices</w:t>
      </w:r>
      <w:r>
        <w:t xml:space="preserve"> met the </w:t>
      </w:r>
      <w:r w:rsidR="005F30E0">
        <w:t>European Medicines Agency (</w:t>
      </w:r>
      <w:r>
        <w:t>EMA</w:t>
      </w:r>
      <w:r w:rsidR="005F30E0">
        <w:t>)</w:t>
      </w:r>
      <w:r>
        <w:t xml:space="preserve"> guidelines efficacy requirement that the difference between th</w:t>
      </w:r>
      <w:r w:rsidR="002A49A7">
        <w:t>e point estimate for the Pearl I</w:t>
      </w:r>
      <w:r>
        <w:t>ndex and the upper 95% CI limit should not exceed 1. The cumulative failure rate over the 5 years was 1.4%.</w:t>
      </w:r>
    </w:p>
    <w:p w14:paraId="77EE4584" w14:textId="6EE4D4BA" w:rsidR="00A67B08" w:rsidRDefault="002A49A7" w:rsidP="00A67B08">
      <w:r>
        <w:t>The Pearl I</w:t>
      </w:r>
      <w:r w:rsidR="00A67B08">
        <w:t>ndices for subgroups stratified by age, parity and BMI were generally similar to the overall population. It is noted the number of subjects in the BMI subgroup ≥ 30 kg/m</w:t>
      </w:r>
      <w:r w:rsidR="00A67B08" w:rsidRPr="009B5107">
        <w:rPr>
          <w:vertAlign w:val="superscript"/>
        </w:rPr>
        <w:t>2</w:t>
      </w:r>
      <w:r w:rsidR="00A67B08">
        <w:t xml:space="preserve"> was small by comparison. Although the PI and upper limit of the 95% CI met EMA efficacy guideline requirements (that the difference between th</w:t>
      </w:r>
      <w:r w:rsidR="00343E9A">
        <w:t>e point estimate for the Pearl I</w:t>
      </w:r>
      <w:r w:rsidR="00A67B08">
        <w:t>ndex and the upper 95% CI li</w:t>
      </w:r>
      <w:r>
        <w:t>mit should not exceed 1; Pearl I</w:t>
      </w:r>
      <w:r w:rsidR="00A67B08">
        <w:t>ndex 0.56, 95% CI: 0.15, 1.42), the upper limit of the 95% CI was above 1. Whilst a wide confidence interval can reflect the small sample size, it is difficult to draw conclusions regar</w:t>
      </w:r>
      <w:r>
        <w:t>ding efficacy in this subgroup.</w:t>
      </w:r>
    </w:p>
    <w:p w14:paraId="0AEDCA2C" w14:textId="77777777" w:rsidR="00A67B08" w:rsidRDefault="00A67B08" w:rsidP="00A67B08">
      <w:r>
        <w:t>The bleeding profile for LCS16 is considered favourable, with an increase in amenorrhoea and infrequent bleeding over time, together with a reduction in prolonged and frequent bleeding. Return to fertility data demonstrate over 70% of women who ceased LCS16 due to desire for pregnancy conceived within 12 months after removal of LCS16.</w:t>
      </w:r>
    </w:p>
    <w:p w14:paraId="68C6D65A" w14:textId="3F073586" w:rsidR="00A67B08" w:rsidRPr="00A67B08" w:rsidRDefault="00A67B08" w:rsidP="00A67B08">
      <w:r>
        <w:t>Overall, proof of efficacy is considered demonstrated.</w:t>
      </w:r>
    </w:p>
    <w:p w14:paraId="0820B132" w14:textId="77777777" w:rsidR="008E7846" w:rsidRPr="002E238E" w:rsidRDefault="008E7846" w:rsidP="008E7846">
      <w:pPr>
        <w:pStyle w:val="Heading3"/>
      </w:pPr>
      <w:bookmarkStart w:id="67" w:name="_Toc163441378"/>
      <w:bookmarkStart w:id="68" w:name="_Toc196046495"/>
      <w:bookmarkStart w:id="69" w:name="_Toc247691522"/>
      <w:bookmarkStart w:id="70" w:name="_Toc314842505"/>
      <w:bookmarkStart w:id="71" w:name="_Toc499040549"/>
      <w:bookmarkEnd w:id="63"/>
      <w:bookmarkEnd w:id="64"/>
      <w:bookmarkEnd w:id="65"/>
      <w:bookmarkEnd w:id="66"/>
      <w:r w:rsidRPr="002E238E">
        <w:t>Safety</w:t>
      </w:r>
      <w:bookmarkEnd w:id="67"/>
      <w:bookmarkEnd w:id="68"/>
      <w:bookmarkEnd w:id="69"/>
      <w:bookmarkEnd w:id="70"/>
      <w:bookmarkEnd w:id="71"/>
    </w:p>
    <w:p w14:paraId="693A85D5" w14:textId="73D6455A" w:rsidR="00605AD4" w:rsidRDefault="00605AD4" w:rsidP="00605AD4">
      <w:pPr>
        <w:pStyle w:val="Heading4"/>
      </w:pPr>
      <w:bookmarkStart w:id="72" w:name="_Toc247691524"/>
      <w:bookmarkStart w:id="73" w:name="_Toc314842508"/>
      <w:bookmarkStart w:id="74" w:name="_Toc196046504"/>
      <w:bookmarkStart w:id="75" w:name="_Toc163441390"/>
      <w:r w:rsidRPr="00605AD4">
        <w:t>Studies providing safety data</w:t>
      </w:r>
    </w:p>
    <w:p w14:paraId="7E2F9038" w14:textId="64EC6802" w:rsidR="003A2AF0" w:rsidRPr="003A2AF0" w:rsidRDefault="003A2AF0" w:rsidP="003A2AF0">
      <w:r>
        <w:rPr>
          <w:lang w:eastAsia="ja-JP"/>
        </w:rPr>
        <w:t xml:space="preserve">The pivotal Phase III LCS16 efficacy Study Protocol 91665/310442 and the comparative Phase II Study Protocol 308901, as presented for demonstration of contraceptive efficacy, are relevant for </w:t>
      </w:r>
      <w:r w:rsidR="00E61A63">
        <w:rPr>
          <w:lang w:eastAsia="ja-JP"/>
        </w:rPr>
        <w:t xml:space="preserve">the </w:t>
      </w:r>
      <w:r>
        <w:rPr>
          <w:lang w:eastAsia="ja-JP"/>
        </w:rPr>
        <w:t>safety</w:t>
      </w:r>
      <w:r w:rsidR="00E61A63">
        <w:rPr>
          <w:lang w:eastAsia="ja-JP"/>
        </w:rPr>
        <w:t xml:space="preserve"> </w:t>
      </w:r>
      <w:r w:rsidR="00860C8A">
        <w:rPr>
          <w:lang w:eastAsia="ja-JP"/>
        </w:rPr>
        <w:t>evaluation.</w:t>
      </w:r>
    </w:p>
    <w:p w14:paraId="052D1ED7" w14:textId="7E360674" w:rsidR="00605AD4" w:rsidRDefault="00605AD4" w:rsidP="00605AD4">
      <w:pPr>
        <w:pStyle w:val="Heading4"/>
      </w:pPr>
      <w:r w:rsidRPr="00605AD4">
        <w:lastRenderedPageBreak/>
        <w:t>Patient exposure</w:t>
      </w:r>
    </w:p>
    <w:p w14:paraId="79A27E35" w14:textId="36E59735" w:rsidR="003A2AF0" w:rsidRDefault="003A2AF0" w:rsidP="003A2AF0">
      <w:pPr>
        <w:pStyle w:val="Heading5"/>
        <w:rPr>
          <w:lang w:eastAsia="ja-JP"/>
        </w:rPr>
      </w:pPr>
      <w:r>
        <w:rPr>
          <w:lang w:eastAsia="ja-JP"/>
        </w:rPr>
        <w:t>Phase III LCS16 efficacy Study Protocol 91665/310442</w:t>
      </w:r>
    </w:p>
    <w:p w14:paraId="7A37F9D3" w14:textId="7308C30C" w:rsidR="00D52CC1" w:rsidRDefault="00D56190" w:rsidP="00D52CC1">
      <w:r>
        <w:rPr>
          <w:lang w:eastAsia="ja-JP"/>
        </w:rPr>
        <w:t xml:space="preserve">The extent of exposure at 3 years was as follows: </w:t>
      </w:r>
      <w:r w:rsidR="007F7D42">
        <w:t>1452 subjects received LCS16 with a total exposure of 3353</w:t>
      </w:r>
      <w:r>
        <w:t xml:space="preserve">.42 women </w:t>
      </w:r>
      <w:r w:rsidR="007F7D42">
        <w:t>years</w:t>
      </w:r>
      <w:r>
        <w:t>.</w:t>
      </w:r>
    </w:p>
    <w:p w14:paraId="27656160" w14:textId="3581552D" w:rsidR="00D56190" w:rsidRDefault="005F30E0" w:rsidP="00D56190">
      <w:pPr>
        <w:rPr>
          <w:lang w:eastAsia="ja-JP"/>
        </w:rPr>
      </w:pPr>
      <w:r>
        <w:rPr>
          <w:lang w:eastAsia="ja-JP"/>
        </w:rPr>
        <w:t>The 5</w:t>
      </w:r>
      <w:r w:rsidR="00D56190">
        <w:rPr>
          <w:lang w:eastAsia="ja-JP"/>
        </w:rPr>
        <w:t xml:space="preserve"> year data (based on Report PH-37274 where LCS16 was extended to 5</w:t>
      </w:r>
      <w:r w:rsidR="00B70315">
        <w:rPr>
          <w:lang w:eastAsia="ja-JP"/>
        </w:rPr>
        <w:t xml:space="preserve"> years) for the pivotal efficacy study is shown </w:t>
      </w:r>
      <w:r>
        <w:rPr>
          <w:lang w:eastAsia="ja-JP"/>
        </w:rPr>
        <w:t>in Table 1</w:t>
      </w:r>
      <w:r w:rsidR="00D56190">
        <w:rPr>
          <w:lang w:eastAsia="ja-JP"/>
        </w:rPr>
        <w:t xml:space="preserve"> below.</w:t>
      </w:r>
    </w:p>
    <w:p w14:paraId="77557584" w14:textId="174D725B" w:rsidR="00D56190" w:rsidRDefault="00D56190" w:rsidP="00D56190">
      <w:pPr>
        <w:pStyle w:val="Tabletitle0"/>
        <w:rPr>
          <w:lang w:eastAsia="ja-JP"/>
        </w:rPr>
      </w:pPr>
      <w:r>
        <w:rPr>
          <w:lang w:eastAsia="ja-JP"/>
        </w:rPr>
        <w:t>Tabl</w:t>
      </w:r>
      <w:r w:rsidR="005F30E0">
        <w:rPr>
          <w:lang w:eastAsia="ja-JP"/>
        </w:rPr>
        <w:t>e 1</w:t>
      </w:r>
      <w:r>
        <w:rPr>
          <w:lang w:eastAsia="ja-JP"/>
        </w:rPr>
        <w:t>. Extent of exposure, all subjects treated with LCS16 (FAS)</w:t>
      </w:r>
    </w:p>
    <w:p w14:paraId="248A3A66" w14:textId="322D464A" w:rsidR="00D56190" w:rsidRDefault="00D56190" w:rsidP="00D56190">
      <w:pPr>
        <w:rPr>
          <w:lang w:eastAsia="ja-JP"/>
        </w:rPr>
      </w:pPr>
      <w:r w:rsidRPr="008E4AAC">
        <w:rPr>
          <w:rFonts w:ascii="Times New Roman" w:hAnsi="Times New Roman"/>
          <w:noProof/>
          <w:sz w:val="24"/>
          <w:szCs w:val="24"/>
          <w:lang w:eastAsia="en-AU"/>
        </w:rPr>
        <w:drawing>
          <wp:inline distT="0" distB="0" distL="0" distR="0" wp14:anchorId="65EF0ED4" wp14:editId="5C1429A6">
            <wp:extent cx="5142586" cy="1499081"/>
            <wp:effectExtent l="0" t="0" r="1270" b="6350"/>
            <wp:docPr id="24" name="Picture 24" descr="Table 1 is an image of a table showing the extent of exposure, all subjects treated with LCS16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lum bright="-20000" contrast="40000"/>
                      <a:extLst>
                        <a:ext uri="{28A0092B-C50C-407E-A947-70E740481C1C}">
                          <a14:useLocalDpi xmlns:a14="http://schemas.microsoft.com/office/drawing/2010/main" val="0"/>
                        </a:ext>
                      </a:extLst>
                    </a:blip>
                    <a:srcRect l="1277" t="16639" r="8961" b="2146"/>
                    <a:stretch/>
                  </pic:blipFill>
                  <pic:spPr bwMode="auto">
                    <a:xfrm>
                      <a:off x="0" y="0"/>
                      <a:ext cx="5144758" cy="1499714"/>
                    </a:xfrm>
                    <a:prstGeom prst="rect">
                      <a:avLst/>
                    </a:prstGeom>
                    <a:noFill/>
                    <a:ln>
                      <a:noFill/>
                    </a:ln>
                    <a:extLst>
                      <a:ext uri="{53640926-AAD7-44D8-BBD7-CCE9431645EC}">
                        <a14:shadowObscured xmlns:a14="http://schemas.microsoft.com/office/drawing/2010/main"/>
                      </a:ext>
                    </a:extLst>
                  </pic:spPr>
                </pic:pic>
              </a:graphicData>
            </a:graphic>
          </wp:inline>
        </w:drawing>
      </w:r>
    </w:p>
    <w:p w14:paraId="0DEE5908" w14:textId="05DDEA83" w:rsidR="00D56190" w:rsidRDefault="00D56190" w:rsidP="00D56190">
      <w:pPr>
        <w:pStyle w:val="Heading5"/>
        <w:rPr>
          <w:lang w:eastAsia="ja-JP"/>
        </w:rPr>
      </w:pPr>
      <w:r>
        <w:rPr>
          <w:lang w:eastAsia="ja-JP"/>
        </w:rPr>
        <w:t>Study A46796 (Protocol 308901)</w:t>
      </w:r>
    </w:p>
    <w:p w14:paraId="67531431" w14:textId="1ADE987E" w:rsidR="00D56190" w:rsidRDefault="00D56190" w:rsidP="00D56190">
      <w:pPr>
        <w:rPr>
          <w:lang w:eastAsia="ja-JP"/>
        </w:rPr>
      </w:pPr>
      <w:r>
        <w:rPr>
          <w:lang w:eastAsia="ja-JP"/>
        </w:rPr>
        <w:t>The extent of exposure to LCS16 (that is, Ky</w:t>
      </w:r>
      <w:r w:rsidR="005F30E0">
        <w:rPr>
          <w:lang w:eastAsia="ja-JP"/>
        </w:rPr>
        <w:t>leena) is shown below in Table 2</w:t>
      </w:r>
      <w:r>
        <w:rPr>
          <w:lang w:eastAsia="ja-JP"/>
        </w:rPr>
        <w:t>.</w:t>
      </w:r>
    </w:p>
    <w:p w14:paraId="793A93D5" w14:textId="247B6C83" w:rsidR="00D56190" w:rsidRDefault="005F30E0" w:rsidP="00D56190">
      <w:pPr>
        <w:pStyle w:val="Tabletitle0"/>
        <w:rPr>
          <w:lang w:eastAsia="ja-JP"/>
        </w:rPr>
      </w:pPr>
      <w:r>
        <w:rPr>
          <w:lang w:eastAsia="ja-JP"/>
        </w:rPr>
        <w:t>Table 2</w:t>
      </w:r>
      <w:r w:rsidR="00D56190">
        <w:rPr>
          <w:lang w:eastAsia="ja-JP"/>
        </w:rPr>
        <w:t>. Extent of total exposure by study phase in women years (FAS)</w:t>
      </w:r>
    </w:p>
    <w:p w14:paraId="3A316ED3" w14:textId="4ABBCE93" w:rsidR="00D56190" w:rsidRDefault="00D56190" w:rsidP="00D56190">
      <w:pPr>
        <w:rPr>
          <w:lang w:eastAsia="ja-JP"/>
        </w:rPr>
      </w:pPr>
      <w:r w:rsidRPr="008E4AAC">
        <w:rPr>
          <w:rFonts w:ascii="Times New Roman" w:hAnsi="Times New Roman"/>
          <w:noProof/>
          <w:sz w:val="24"/>
          <w:szCs w:val="24"/>
          <w:lang w:eastAsia="en-AU"/>
        </w:rPr>
        <w:drawing>
          <wp:inline distT="0" distB="0" distL="0" distR="0" wp14:anchorId="3FC9B0A7" wp14:editId="3FAC3EB9">
            <wp:extent cx="4623206" cy="1727166"/>
            <wp:effectExtent l="0" t="0" r="6350" b="6985"/>
            <wp:docPr id="29" name="Picture 29" descr="Table 2 is an image of a table showing the extent of total exposure by study phase in women years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a:extLst>
                        <a:ext uri="{28A0092B-C50C-407E-A947-70E740481C1C}">
                          <a14:useLocalDpi xmlns:a14="http://schemas.microsoft.com/office/drawing/2010/main" val="0"/>
                        </a:ext>
                      </a:extLst>
                    </a:blip>
                    <a:srcRect l="2553" t="10544" r="4525" b="5136"/>
                    <a:stretch/>
                  </pic:blipFill>
                  <pic:spPr bwMode="auto">
                    <a:xfrm>
                      <a:off x="0" y="0"/>
                      <a:ext cx="4633919" cy="1731168"/>
                    </a:xfrm>
                    <a:prstGeom prst="rect">
                      <a:avLst/>
                    </a:prstGeom>
                    <a:noFill/>
                    <a:ln>
                      <a:noFill/>
                    </a:ln>
                    <a:extLst>
                      <a:ext uri="{53640926-AAD7-44D8-BBD7-CCE9431645EC}">
                        <a14:shadowObscured xmlns:a14="http://schemas.microsoft.com/office/drawing/2010/main"/>
                      </a:ext>
                    </a:extLst>
                  </pic:spPr>
                </pic:pic>
              </a:graphicData>
            </a:graphic>
          </wp:inline>
        </w:drawing>
      </w:r>
    </w:p>
    <w:p w14:paraId="40D1252C" w14:textId="19526161" w:rsidR="00AA0815" w:rsidRDefault="00605AD4" w:rsidP="00AB2F1B">
      <w:pPr>
        <w:pStyle w:val="Heading4"/>
      </w:pPr>
      <w:r w:rsidRPr="00605AD4">
        <w:t>Safety issues with the potential for major regulatory impact</w:t>
      </w:r>
    </w:p>
    <w:p w14:paraId="50CDE8EF" w14:textId="4FD224DE" w:rsidR="00AA0815" w:rsidRDefault="005F30E0" w:rsidP="00AA0815">
      <w:r>
        <w:rPr>
          <w:lang w:eastAsia="ja-JP"/>
        </w:rPr>
        <w:t xml:space="preserve">Known risks of levonorgestrel </w:t>
      </w:r>
      <w:r w:rsidR="00AA0815">
        <w:rPr>
          <w:lang w:eastAsia="ja-JP"/>
        </w:rPr>
        <w:t xml:space="preserve">IUS include </w:t>
      </w:r>
      <w:r w:rsidR="00AA0815">
        <w:t xml:space="preserve">unplanned pregnancy; ectopic pregnancy, expulsion and </w:t>
      </w:r>
      <w:r w:rsidR="00AA0815" w:rsidRPr="00AA0815">
        <w:t xml:space="preserve">uterine </w:t>
      </w:r>
      <w:r w:rsidR="00721D65">
        <w:t>perforation</w:t>
      </w:r>
      <w:r w:rsidR="00AA0815">
        <w:rPr>
          <w:lang w:eastAsia="ja-JP"/>
        </w:rPr>
        <w:t xml:space="preserve">; </w:t>
      </w:r>
      <w:r w:rsidR="00AA0815">
        <w:t xml:space="preserve">ovarian cyst; </w:t>
      </w:r>
      <w:r w:rsidR="00AA0815" w:rsidRPr="00AA0815">
        <w:t>pelvic inflammatory diseas</w:t>
      </w:r>
      <w:r w:rsidR="00AA0815">
        <w:t xml:space="preserve">e; pain on insertion; changes in bleeding pattern; and </w:t>
      </w:r>
      <w:r w:rsidR="00AB2F1B">
        <w:t xml:space="preserve">progesterone related effects. These are characterised and </w:t>
      </w:r>
      <w:r>
        <w:t>comparable</w:t>
      </w:r>
      <w:r w:rsidR="00AB2F1B">
        <w:t xml:space="preserve"> to other IUS (see Attachment 2 for further details).</w:t>
      </w:r>
    </w:p>
    <w:p w14:paraId="3A278DE9" w14:textId="3F3952DD" w:rsidR="00AB2F1B" w:rsidRDefault="00AB2F1B" w:rsidP="00AA0815">
      <w:r w:rsidRPr="00B748EB">
        <w:t xml:space="preserve">It is noted that in relation to nulliparous women: 36.7% of the women in the LCS16 group were nulliparous with a higher percentage recorded in the pivotal study (39.5% in the LCS16 efficacy study versus 20.0% in the Phase II study). Adverse events </w:t>
      </w:r>
      <w:r w:rsidR="002A49A7">
        <w:t xml:space="preserve">(AE) </w:t>
      </w:r>
      <w:r w:rsidRPr="00B748EB">
        <w:t xml:space="preserve">were reported more frequently overall in nulliparous women: 93.7% of the nulliparous women in the </w:t>
      </w:r>
      <w:r w:rsidR="00561129">
        <w:t>LCS16 pool had adverse events (AE)</w:t>
      </w:r>
      <w:r w:rsidRPr="00B748EB">
        <w:t xml:space="preserve"> compared with 85.8% of the parous women. Acne (17.3% versus 12.3%), dysmenorrhea (11.7% versus 5.8%), pelvic pain (11.4% versus 6.1%), nasopharyngitis (10.4% versus 6.5%), and vulvovaginal mycotic infection (8.8% versus 7.1%) were specific AEs reported more frequently in nulliparous women, and the pattern was s</w:t>
      </w:r>
      <w:r>
        <w:t>imilar across treatment groups.</w:t>
      </w:r>
    </w:p>
    <w:p w14:paraId="07C596AD" w14:textId="785339AA" w:rsidR="00AB2F1B" w:rsidRPr="00AA0815" w:rsidRDefault="00AB2F1B" w:rsidP="00AA0815">
      <w:pPr>
        <w:rPr>
          <w:lang w:eastAsia="ja-JP"/>
        </w:rPr>
      </w:pPr>
      <w:r>
        <w:rPr>
          <w:lang w:eastAsia="ja-JP"/>
        </w:rPr>
        <w:t xml:space="preserve">Safety in </w:t>
      </w:r>
      <w:r w:rsidR="00561129">
        <w:rPr>
          <w:lang w:eastAsia="ja-JP"/>
        </w:rPr>
        <w:t>magnetic resonance imaging (</w:t>
      </w:r>
      <w:r>
        <w:rPr>
          <w:lang w:eastAsia="ja-JP"/>
        </w:rPr>
        <w:t>MRI</w:t>
      </w:r>
      <w:r w:rsidR="00561129">
        <w:rPr>
          <w:lang w:eastAsia="ja-JP"/>
        </w:rPr>
        <w:t>)</w:t>
      </w:r>
      <w:r>
        <w:rPr>
          <w:lang w:eastAsia="ja-JP"/>
        </w:rPr>
        <w:t xml:space="preserve"> is discussed in the clinical q</w:t>
      </w:r>
      <w:r w:rsidR="00B70315">
        <w:rPr>
          <w:lang w:eastAsia="ja-JP"/>
        </w:rPr>
        <w:t>uestions</w:t>
      </w:r>
      <w:r w:rsidR="00961E2F">
        <w:rPr>
          <w:lang w:eastAsia="ja-JP"/>
        </w:rPr>
        <w:t xml:space="preserve"> section of Attachment 2 and later in this document.</w:t>
      </w:r>
    </w:p>
    <w:p w14:paraId="650BE844" w14:textId="1AB2F970" w:rsidR="00605AD4" w:rsidRDefault="00605AD4" w:rsidP="00605AD4">
      <w:pPr>
        <w:pStyle w:val="Heading4"/>
      </w:pPr>
      <w:r w:rsidRPr="00605AD4">
        <w:lastRenderedPageBreak/>
        <w:t>Post</w:t>
      </w:r>
      <w:r w:rsidR="00BF7D2A">
        <w:t>-</w:t>
      </w:r>
      <w:r w:rsidRPr="00605AD4">
        <w:t>marketing data</w:t>
      </w:r>
    </w:p>
    <w:p w14:paraId="377341DB" w14:textId="47CE82C0" w:rsidR="00AB2F1B" w:rsidRPr="00B748EB" w:rsidRDefault="00AB2F1B" w:rsidP="00AB2F1B">
      <w:r>
        <w:t>Jaydess (L</w:t>
      </w:r>
      <w:r w:rsidRPr="00B748EB">
        <w:t>C</w:t>
      </w:r>
      <w:r>
        <w:t>S</w:t>
      </w:r>
      <w:r w:rsidRPr="00B748EB">
        <w:t>12), though registered in Australia is not marketed here. It is noted that the results of EURAS-IUD study were discussed at t</w:t>
      </w:r>
      <w:r>
        <w:t xml:space="preserve">he </w:t>
      </w:r>
      <w:r w:rsidR="00B70315" w:rsidRPr="00B70315">
        <w:t xml:space="preserve">Pharmacovigilance Risk Assessment Committee </w:t>
      </w:r>
      <w:r w:rsidR="00B70315">
        <w:t>(</w:t>
      </w:r>
      <w:r>
        <w:t>PRAC</w:t>
      </w:r>
      <w:r w:rsidR="00B70315">
        <w:t>)</w:t>
      </w:r>
      <w:r>
        <w:t xml:space="preserve"> during its meeting of 7 to </w:t>
      </w:r>
      <w:r w:rsidRPr="00B748EB">
        <w:t>10 April 2014. The PRAC recommended that the</w:t>
      </w:r>
      <w:r>
        <w:t xml:space="preserve"> product information for Mirena and Jaydess</w:t>
      </w:r>
      <w:r w:rsidRPr="00B748EB">
        <w:t xml:space="preserve"> be updated to r</w:t>
      </w:r>
      <w:r>
        <w:t xml:space="preserve">eflect the final 1 </w:t>
      </w:r>
      <w:r w:rsidRPr="00B748EB">
        <w:t>year follow-up results of the EUR</w:t>
      </w:r>
      <w:r>
        <w:t>AS-IUD study. In addition, the sponsor</w:t>
      </w:r>
      <w:r w:rsidRPr="00B748EB">
        <w:t xml:space="preserve"> was asked to submit additional data and information, which was provided by the company together with a la</w:t>
      </w:r>
      <w:r>
        <w:t>belling variation in June 2014.</w:t>
      </w:r>
    </w:p>
    <w:p w14:paraId="5BB24A0B" w14:textId="40B1C0C7" w:rsidR="00AB2F1B" w:rsidRPr="00B748EB" w:rsidRDefault="00AB2F1B" w:rsidP="00AB2F1B">
      <w:r w:rsidRPr="00B748EB">
        <w:t>Actions arising from the EU Decentralis</w:t>
      </w:r>
      <w:r>
        <w:t>ed Procedure for Jaydess</w:t>
      </w:r>
      <w:r w:rsidRPr="00B748EB">
        <w:t xml:space="preserve"> include additional risk minimisation measures in form of appropriate communication to raise prescribers' awareness of the risk of ectopic pregnancy, emphasising the importance of early diagnosis, and to help to differentiate </w:t>
      </w:r>
      <w:r w:rsidR="00561129">
        <w:t>between different types of levono</w:t>
      </w:r>
      <w:r w:rsidR="002A49A7">
        <w:t>r</w:t>
      </w:r>
      <w:r w:rsidR="00561129">
        <w:t xml:space="preserve">gestrel </w:t>
      </w:r>
      <w:r w:rsidRPr="00B748EB">
        <w:t>IUS (with different approved duration of use) via ultrasound. Consequently, educational material to address communication measures regarding awareness of the risk of ectopic pregnancy and to help to differentiate between di</w:t>
      </w:r>
      <w:r>
        <w:t>ff</w:t>
      </w:r>
      <w:r w:rsidR="00561129">
        <w:t xml:space="preserve">erent types of levonorgestrel </w:t>
      </w:r>
      <w:r w:rsidR="002A49A7">
        <w:t xml:space="preserve">IUS (that is, Jaydess or </w:t>
      </w:r>
      <w:r>
        <w:t>Mirena</w:t>
      </w:r>
      <w:r w:rsidRPr="00B748EB">
        <w:t xml:space="preserve">) was developed for all EU countries included in the EU Decentralised Procedure. The educational material was nationally submitted in </w:t>
      </w:r>
      <w:r w:rsidR="002A49A7">
        <w:t xml:space="preserve">the </w:t>
      </w:r>
      <w:r w:rsidRPr="00B748EB">
        <w:t>EU and approved depending on national regulations during 2013 and 2014, and was made available for launch in the indiv</w:t>
      </w:r>
      <w:r>
        <w:t>idual EU countries during 2014.</w:t>
      </w:r>
    </w:p>
    <w:p w14:paraId="61CF7FE1" w14:textId="0B9629EB" w:rsidR="00AB2F1B" w:rsidRPr="00B748EB" w:rsidRDefault="00AB2F1B" w:rsidP="00AB2F1B">
      <w:r w:rsidRPr="00B748EB">
        <w:t>It is stated in the</w:t>
      </w:r>
      <w:r>
        <w:t xml:space="preserve"> PSUR that the </w:t>
      </w:r>
      <w:r w:rsidR="00CF6295">
        <w:t>company core datasheet (</w:t>
      </w:r>
      <w:r>
        <w:t>CCDS</w:t>
      </w:r>
      <w:r w:rsidR="00CF6295">
        <w:t>)</w:t>
      </w:r>
      <w:r>
        <w:t xml:space="preserve"> for Jaydess</w:t>
      </w:r>
      <w:r w:rsidRPr="00B748EB">
        <w:t xml:space="preserve"> was updated to include the main results of EURAS-IUD regarding uterine perforation. This included perforation rates (for the entire stud</w:t>
      </w:r>
      <w:r>
        <w:t>y population and for the Mirena</w:t>
      </w:r>
      <w:r w:rsidR="00CF6295">
        <w:t xml:space="preserve"> and copper </w:t>
      </w:r>
      <w:r w:rsidR="002A49A7">
        <w:t>intrauterine device (</w:t>
      </w:r>
      <w:r w:rsidR="00CF6295">
        <w:t>IUD</w:t>
      </w:r>
      <w:r w:rsidR="002A49A7">
        <w:t>)</w:t>
      </w:r>
      <w:r w:rsidRPr="00B748EB">
        <w:t xml:space="preserve"> cohorts) and an update of the existing warning on risk factors for ute</w:t>
      </w:r>
      <w:r>
        <w:t>rine perforation in the Jaydess</w:t>
      </w:r>
      <w:r w:rsidRPr="00B748EB">
        <w:t xml:space="preserve"> CCDS with numerical information deriving from EURAS-IUD on the risk factors breastfeeding, and time since last delivery. </w:t>
      </w:r>
      <w:r>
        <w:t>A section</w:t>
      </w:r>
      <w:r w:rsidRPr="00B748EB">
        <w:t xml:space="preserve"> was modified to include information on the frequency of perforation in </w:t>
      </w:r>
      <w:r>
        <w:t>the populations at higher risk.</w:t>
      </w:r>
    </w:p>
    <w:p w14:paraId="7069CC8D" w14:textId="77777777" w:rsidR="00AB2F1B" w:rsidRPr="00B748EB" w:rsidRDefault="00AB2F1B" w:rsidP="00AB2F1B">
      <w:r w:rsidRPr="00B748EB">
        <w:t xml:space="preserve">There were no other safety related issues </w:t>
      </w:r>
      <w:r>
        <w:t>identified in the PSUR of 2014.</w:t>
      </w:r>
    </w:p>
    <w:p w14:paraId="25D93A0E" w14:textId="2A335F6B" w:rsidR="00AB2F1B" w:rsidRPr="00B748EB" w:rsidRDefault="00AB2F1B" w:rsidP="00AB2F1B">
      <w:r w:rsidRPr="00B748EB">
        <w:t xml:space="preserve">The estimated cumulative post-marketing exposure is estimated to be more than </w:t>
      </w:r>
      <w:r>
        <w:t>774,000 woman-years for Jaydess</w:t>
      </w:r>
      <w:r w:rsidR="00CF6295">
        <w:t xml:space="preserve"> at the time of database lock point</w:t>
      </w:r>
      <w:r w:rsidRPr="00B748EB">
        <w:t xml:space="preserve"> for this </w:t>
      </w:r>
      <w:r w:rsidR="00CF6295">
        <w:t>periodic benefit-risk evaluation report (</w:t>
      </w:r>
      <w:r w:rsidRPr="00B748EB">
        <w:t>PBRER</w:t>
      </w:r>
      <w:r w:rsidR="00CF6295">
        <w:t>)</w:t>
      </w:r>
      <w:r w:rsidRPr="00B748EB">
        <w:t>/PSUR. Close to 535,000 woman</w:t>
      </w:r>
      <w:r>
        <w:t>-years accumulated during 2015.</w:t>
      </w:r>
    </w:p>
    <w:p w14:paraId="5F17EF10" w14:textId="0E11CFEC" w:rsidR="00AB2F1B" w:rsidRPr="00AB2F1B" w:rsidRDefault="00AB2F1B" w:rsidP="00AB2F1B">
      <w:r w:rsidRPr="00B748EB">
        <w:t>No further safety changes or risk minimisation activities were undertaken during this period</w:t>
      </w:r>
      <w:r>
        <w:t>.</w:t>
      </w:r>
    </w:p>
    <w:p w14:paraId="14DA7204" w14:textId="74EAA90A" w:rsidR="00605AD4" w:rsidRDefault="00605AD4" w:rsidP="00605AD4">
      <w:pPr>
        <w:pStyle w:val="Heading4"/>
      </w:pPr>
      <w:r w:rsidRPr="00605AD4">
        <w:t>Evaluator’s conclusions on safety</w:t>
      </w:r>
    </w:p>
    <w:p w14:paraId="4264542F" w14:textId="4F9A5E7C" w:rsidR="006A3F0A" w:rsidRPr="00B748EB" w:rsidRDefault="00F27611" w:rsidP="006A3F0A">
      <w:r>
        <w:t>The pivotal S</w:t>
      </w:r>
      <w:r w:rsidR="006A3F0A" w:rsidRPr="00B748EB">
        <w:t>tudy Protocol 91665 (310442) was designed to compare LCS12 and LCS16 and was the study used in the r</w:t>
      </w:r>
      <w:r w:rsidR="006A3F0A">
        <w:t>egistration dossier for Jaydess, that is, the</w:t>
      </w:r>
      <w:r w:rsidR="006A3F0A" w:rsidRPr="00B748EB">
        <w:t xml:space="preserve"> safety and efficacy of these studies have been evaluated in </w:t>
      </w:r>
      <w:r w:rsidR="006A3F0A">
        <w:t>the previous submission</w:t>
      </w:r>
      <w:r w:rsidR="006A3F0A" w:rsidRPr="00B748EB">
        <w:t>.</w:t>
      </w:r>
      <w:r w:rsidR="00B70315" w:rsidRPr="00B70315">
        <w:rPr>
          <w:vertAlign w:val="superscript"/>
        </w:rPr>
        <w:fldChar w:fldCharType="begin"/>
      </w:r>
      <w:r w:rsidR="00B70315" w:rsidRPr="00B70315">
        <w:rPr>
          <w:vertAlign w:val="superscript"/>
        </w:rPr>
        <w:instrText xml:space="preserve"> NOTEREF _Ref492462285 \h  \* MERGEFORMAT </w:instrText>
      </w:r>
      <w:r w:rsidR="00B70315" w:rsidRPr="00B70315">
        <w:rPr>
          <w:vertAlign w:val="superscript"/>
        </w:rPr>
      </w:r>
      <w:r w:rsidR="00B70315" w:rsidRPr="00B70315">
        <w:rPr>
          <w:vertAlign w:val="superscript"/>
        </w:rPr>
        <w:fldChar w:fldCharType="separate"/>
      </w:r>
      <w:r w:rsidR="009D5B6F">
        <w:rPr>
          <w:vertAlign w:val="superscript"/>
        </w:rPr>
        <w:t>5</w:t>
      </w:r>
      <w:r w:rsidR="00B70315" w:rsidRPr="00B70315">
        <w:rPr>
          <w:vertAlign w:val="superscript"/>
        </w:rPr>
        <w:fldChar w:fldCharType="end"/>
      </w:r>
      <w:r w:rsidR="00B70315">
        <w:t xml:space="preserve"> The 3</w:t>
      </w:r>
      <w:r w:rsidR="006A3F0A" w:rsidRPr="00B748EB">
        <w:t xml:space="preserve"> year results of safety showed a trend to reducing the number of AEs over the duration. All AEs were similar between groups except for ovarian cysts which were 13.0% versus 20.9% in the LCS12 and LCS16 groups respectively. Other adverse events of special interests did not reveal any clinically significant increase in the LCS16 group. Report PH-37274 deals with the uncontrolled extension study of Protocol 91665 on 707 subjects using LCS16. Whilst these data have limited significance due to the nature of being uncontrolled in design, there were no untoward concerns id</w:t>
      </w:r>
      <w:r w:rsidR="006A3F0A">
        <w:t>entified in relation to safety.</w:t>
      </w:r>
    </w:p>
    <w:p w14:paraId="1DFE5908" w14:textId="310274A5" w:rsidR="006A3F0A" w:rsidRPr="00B748EB" w:rsidRDefault="006A3F0A" w:rsidP="006A3F0A">
      <w:r>
        <w:t>The Phase II Study A46796, (P</w:t>
      </w:r>
      <w:r w:rsidRPr="00B748EB">
        <w:t>rotocol 3089</w:t>
      </w:r>
      <w:r w:rsidR="00F27611">
        <w:t>01) where LCS12 (n = 239), LCS</w:t>
      </w:r>
      <w:r w:rsidRPr="00B748EB">
        <w:t xml:space="preserve">16 (n = 245) and Mirena (n = 254) were studied for three years, supported the safety </w:t>
      </w:r>
      <w:r>
        <w:t>findings of the pivotal study.</w:t>
      </w:r>
    </w:p>
    <w:p w14:paraId="41AA4619" w14:textId="3E5AF396" w:rsidR="006A3F0A" w:rsidRPr="00B748EB" w:rsidRDefault="006A3F0A" w:rsidP="006A3F0A">
      <w:r w:rsidRPr="00B748EB">
        <w:lastRenderedPageBreak/>
        <w:t xml:space="preserve">Safety of the inserter device: </w:t>
      </w:r>
      <w:r>
        <w:t>It is noted that the device to ‘be marketed’</w:t>
      </w:r>
      <w:r w:rsidRPr="00B748EB">
        <w:t xml:space="preserve"> is different to that used in the LCS16 studies that support efficacy. Three studies using this insertion device are discussed </w:t>
      </w:r>
      <w:r>
        <w:t>under the section ‘Clinical Safety: Studies using the same Evolution Inserter’</w:t>
      </w:r>
      <w:r w:rsidR="00F27611">
        <w:t xml:space="preserve"> (see Attachment 2)</w:t>
      </w:r>
      <w:r w:rsidRPr="00B748EB">
        <w:t>. A total of 965 subjects have been involved and provide a crude index that the device is safe and does not provide any untoward side effects. This is consider</w:t>
      </w:r>
      <w:r>
        <w:t>ed supportive information only.</w:t>
      </w:r>
    </w:p>
    <w:p w14:paraId="3C4FFDC8" w14:textId="77777777" w:rsidR="006A3F0A" w:rsidRPr="00B748EB" w:rsidRDefault="006A3F0A" w:rsidP="006A3F0A">
      <w:r w:rsidRPr="00B748EB">
        <w:t xml:space="preserve">A comprehensive evaluation of the device is required from a </w:t>
      </w:r>
      <w:r>
        <w:t>quality</w:t>
      </w:r>
      <w:r w:rsidRPr="00B748EB">
        <w:t xml:space="preserve"> point of </w:t>
      </w:r>
      <w:r>
        <w:t>view to recommend registration.</w:t>
      </w:r>
    </w:p>
    <w:p w14:paraId="6963CC8E" w14:textId="118A1AE3" w:rsidR="006A3F0A" w:rsidRPr="006A3F0A" w:rsidRDefault="006A3F0A" w:rsidP="006A3F0A">
      <w:r w:rsidRPr="00B748EB">
        <w:t>Overall, the safety o</w:t>
      </w:r>
      <w:r>
        <w:t>f the LCS16 appears acceptable.</w:t>
      </w:r>
    </w:p>
    <w:p w14:paraId="1C6AB517" w14:textId="77777777" w:rsidR="00605AD4" w:rsidRPr="00605AD4" w:rsidRDefault="00605AD4" w:rsidP="00605AD4">
      <w:pPr>
        <w:pStyle w:val="Heading3"/>
        <w:rPr>
          <w:rFonts w:eastAsia="Cambria"/>
        </w:rPr>
      </w:pPr>
      <w:bookmarkStart w:id="76" w:name="_Toc499040550"/>
      <w:r w:rsidRPr="00605AD4">
        <w:rPr>
          <w:rFonts w:eastAsia="Cambria"/>
        </w:rPr>
        <w:t>First Round Benefit-Risk Assessment</w:t>
      </w:r>
      <w:bookmarkEnd w:id="76"/>
    </w:p>
    <w:p w14:paraId="44B2057A" w14:textId="4AB876FD" w:rsidR="00605AD4" w:rsidRDefault="00605AD4" w:rsidP="00605AD4">
      <w:pPr>
        <w:pStyle w:val="Heading4"/>
      </w:pPr>
      <w:r w:rsidRPr="00605AD4">
        <w:t>First round assessment of benefits</w:t>
      </w:r>
    </w:p>
    <w:p w14:paraId="21B9AD71" w14:textId="5118EEBB" w:rsidR="00DC29B2" w:rsidRPr="00DC29B2" w:rsidRDefault="00DC29B2" w:rsidP="00DC29B2">
      <w:r>
        <w:t xml:space="preserve">At the first round, the </w:t>
      </w:r>
      <w:r w:rsidR="00205198">
        <w:t xml:space="preserve">identified </w:t>
      </w:r>
      <w:r>
        <w:t>benefits of Kyleena levo</w:t>
      </w:r>
      <w:r w:rsidR="00961E2F">
        <w:t>no</w:t>
      </w:r>
      <w:r>
        <w:t>rgestrel IUS are</w:t>
      </w:r>
      <w:r w:rsidR="00205198">
        <w:t>:</w:t>
      </w:r>
    </w:p>
    <w:p w14:paraId="56890E5C" w14:textId="70C56129" w:rsidR="00DC29B2" w:rsidRPr="00DC29B2" w:rsidRDefault="00DC29B2" w:rsidP="00DC29B2">
      <w:pPr>
        <w:pStyle w:val="ListBullet"/>
      </w:pPr>
      <w:r>
        <w:t>Kyleena</w:t>
      </w:r>
      <w:r w:rsidRPr="00DC29B2">
        <w:t xml:space="preserve"> provides effective contraception for 5 years, a longer duration of action than the </w:t>
      </w:r>
      <w:r>
        <w:t xml:space="preserve">currently registered low dose levonorgestrel </w:t>
      </w:r>
      <w:r w:rsidRPr="00DC29B2">
        <w:t>IUS Jaydess.</w:t>
      </w:r>
    </w:p>
    <w:p w14:paraId="62F8B1C4" w14:textId="06C364E7" w:rsidR="00DC29B2" w:rsidRPr="00DC29B2" w:rsidRDefault="00DC29B2" w:rsidP="00DC29B2">
      <w:pPr>
        <w:pStyle w:val="ListBullet"/>
      </w:pPr>
      <w:r>
        <w:t>The daily levonorgestrel</w:t>
      </w:r>
      <w:r w:rsidRPr="00DC29B2">
        <w:t xml:space="preserve"> release rates are lower than Mire</w:t>
      </w:r>
      <w:r>
        <w:t xml:space="preserve">na, the currently registered levonorgestrel </w:t>
      </w:r>
      <w:r w:rsidRPr="00DC29B2">
        <w:t>IUS product which can be used for 5 years. This may theoretically be associated with a more favourable adverse effect profile, although in the absence of direct comparison to Mirena over 5 years no conclusions can be drawn.</w:t>
      </w:r>
    </w:p>
    <w:p w14:paraId="79C89DF1" w14:textId="72764478" w:rsidR="00DC29B2" w:rsidRPr="00DC29B2" w:rsidRDefault="00DC29B2" w:rsidP="00DC29B2">
      <w:pPr>
        <w:pStyle w:val="ListBullet"/>
      </w:pPr>
      <w:r w:rsidRPr="00DC29B2">
        <w:t>The bleeding profile over 5 years demonstrates a trend towards infrequent bleeding over time. Again, there is no direct comparison to Mirena over the same duration.</w:t>
      </w:r>
    </w:p>
    <w:p w14:paraId="69FB5782" w14:textId="026B9CE4" w:rsidR="00DC29B2" w:rsidRPr="00DC29B2" w:rsidRDefault="00DC29B2" w:rsidP="00DC29B2">
      <w:pPr>
        <w:pStyle w:val="ListBullet"/>
      </w:pPr>
      <w:r w:rsidRPr="00DC29B2">
        <w:t>Less systemic progesterone exposure than oral products therefore less risk of progesterone related adverse events.</w:t>
      </w:r>
    </w:p>
    <w:p w14:paraId="7C88F627" w14:textId="73F7F84C" w:rsidR="00605AD4" w:rsidRDefault="00605AD4" w:rsidP="00605AD4">
      <w:pPr>
        <w:pStyle w:val="Heading4"/>
      </w:pPr>
      <w:r w:rsidRPr="00605AD4">
        <w:t>First round assessment of risks</w:t>
      </w:r>
    </w:p>
    <w:p w14:paraId="6AA92863" w14:textId="77777777" w:rsidR="00205198" w:rsidRDefault="00DC29B2" w:rsidP="00205198">
      <w:r>
        <w:t>At the first round, the</w:t>
      </w:r>
      <w:r w:rsidR="00205198">
        <w:t xml:space="preserve"> identified unknown </w:t>
      </w:r>
      <w:r>
        <w:t>risks of Kyleena levorgestrel I</w:t>
      </w:r>
      <w:bookmarkStart w:id="77" w:name="_Hlk492373651"/>
      <w:r w:rsidR="00205198">
        <w:t>US are:</w:t>
      </w:r>
    </w:p>
    <w:p w14:paraId="0071FEF5" w14:textId="52F1E95E" w:rsidR="00DC29B2" w:rsidRDefault="00DC29B2" w:rsidP="00205198">
      <w:pPr>
        <w:pStyle w:val="ListBullet"/>
        <w:rPr>
          <w:lang w:eastAsia="ja-JP"/>
        </w:rPr>
      </w:pPr>
      <w:r>
        <w:rPr>
          <w:lang w:eastAsia="ja-JP"/>
        </w:rPr>
        <w:t xml:space="preserve">efficacy in women with </w:t>
      </w:r>
      <w:r w:rsidR="00205198">
        <w:rPr>
          <w:lang w:eastAsia="ja-JP"/>
        </w:rPr>
        <w:t xml:space="preserve">a </w:t>
      </w:r>
      <w:r>
        <w:rPr>
          <w:lang w:eastAsia="ja-JP"/>
        </w:rPr>
        <w:t>BMI ≥ 30 kg/m</w:t>
      </w:r>
      <w:r w:rsidRPr="00A95D44">
        <w:rPr>
          <w:vertAlign w:val="superscript"/>
          <w:lang w:eastAsia="ja-JP"/>
        </w:rPr>
        <w:t>2</w:t>
      </w:r>
    </w:p>
    <w:p w14:paraId="304EAA56" w14:textId="43D4716D" w:rsidR="00DC29B2" w:rsidRDefault="00824292" w:rsidP="00205198">
      <w:pPr>
        <w:pStyle w:val="ListBullet"/>
        <w:rPr>
          <w:lang w:eastAsia="ja-JP"/>
        </w:rPr>
      </w:pPr>
      <w:r>
        <w:rPr>
          <w:lang w:eastAsia="ja-JP"/>
        </w:rPr>
        <w:t>safety in MRI</w:t>
      </w:r>
    </w:p>
    <w:p w14:paraId="54E97AF6" w14:textId="0E99BED4" w:rsidR="00DC29B2" w:rsidRDefault="00205198" w:rsidP="00205198">
      <w:pPr>
        <w:rPr>
          <w:lang w:eastAsia="ja-JP"/>
        </w:rPr>
      </w:pPr>
      <w:r>
        <w:rPr>
          <w:lang w:eastAsia="ja-JP"/>
        </w:rPr>
        <w:t>The known risks of Kyleen</w:t>
      </w:r>
      <w:r w:rsidR="00C573DD">
        <w:rPr>
          <w:lang w:eastAsia="ja-JP"/>
        </w:rPr>
        <w:t>a</w:t>
      </w:r>
      <w:r>
        <w:rPr>
          <w:lang w:eastAsia="ja-JP"/>
        </w:rPr>
        <w:t xml:space="preserve"> levorgestrel </w:t>
      </w:r>
      <w:r w:rsidR="00DC29B2">
        <w:rPr>
          <w:lang w:eastAsia="ja-JP"/>
        </w:rPr>
        <w:t>IUS</w:t>
      </w:r>
      <w:r>
        <w:rPr>
          <w:lang w:eastAsia="ja-JP"/>
        </w:rPr>
        <w:t xml:space="preserve"> are</w:t>
      </w:r>
      <w:r w:rsidR="00DC29B2">
        <w:rPr>
          <w:lang w:eastAsia="ja-JP"/>
        </w:rPr>
        <w:t>:</w:t>
      </w:r>
    </w:p>
    <w:p w14:paraId="1C1F0CEB" w14:textId="35BAC7F5" w:rsidR="00DC29B2" w:rsidRDefault="00205198" w:rsidP="00205198">
      <w:pPr>
        <w:pStyle w:val="ListBullet"/>
        <w:rPr>
          <w:lang w:eastAsia="ja-JP"/>
        </w:rPr>
      </w:pPr>
      <w:r>
        <w:rPr>
          <w:lang w:eastAsia="ja-JP"/>
        </w:rPr>
        <w:t>unplanned pregnancy</w:t>
      </w:r>
    </w:p>
    <w:p w14:paraId="6E3F518F" w14:textId="2863DE14" w:rsidR="00DC29B2" w:rsidRDefault="00DC29B2" w:rsidP="00205198">
      <w:pPr>
        <w:pStyle w:val="ListBullet"/>
        <w:rPr>
          <w:lang w:eastAsia="ja-JP"/>
        </w:rPr>
      </w:pPr>
      <w:r>
        <w:rPr>
          <w:lang w:eastAsia="ja-JP"/>
        </w:rPr>
        <w:t>ectopic pregna</w:t>
      </w:r>
      <w:r w:rsidR="00205198">
        <w:rPr>
          <w:lang w:eastAsia="ja-JP"/>
        </w:rPr>
        <w:t xml:space="preserve">ncy, expulsion, uterine </w:t>
      </w:r>
      <w:r w:rsidR="00721D65">
        <w:rPr>
          <w:lang w:eastAsia="ja-JP"/>
        </w:rPr>
        <w:t>perforation</w:t>
      </w:r>
    </w:p>
    <w:p w14:paraId="0E28D203" w14:textId="4348688F" w:rsidR="00DC29B2" w:rsidRDefault="00205198" w:rsidP="00205198">
      <w:pPr>
        <w:pStyle w:val="ListBullet"/>
        <w:rPr>
          <w:lang w:eastAsia="ja-JP"/>
        </w:rPr>
      </w:pPr>
      <w:r>
        <w:rPr>
          <w:lang w:eastAsia="ja-JP"/>
        </w:rPr>
        <w:t>ovarian cyst</w:t>
      </w:r>
    </w:p>
    <w:p w14:paraId="4F0D88B1" w14:textId="4975A056" w:rsidR="00DC29B2" w:rsidRDefault="00DC29B2" w:rsidP="00205198">
      <w:pPr>
        <w:pStyle w:val="ListBullet"/>
        <w:rPr>
          <w:lang w:eastAsia="ja-JP"/>
        </w:rPr>
      </w:pPr>
      <w:r>
        <w:rPr>
          <w:lang w:eastAsia="ja-JP"/>
        </w:rPr>
        <w:t xml:space="preserve">pelvic inflammatory </w:t>
      </w:r>
      <w:r w:rsidR="00205198">
        <w:rPr>
          <w:lang w:eastAsia="ja-JP"/>
        </w:rPr>
        <w:t>disease</w:t>
      </w:r>
    </w:p>
    <w:p w14:paraId="5541D2B4" w14:textId="5C855484" w:rsidR="00DC29B2" w:rsidRDefault="00205198" w:rsidP="00205198">
      <w:pPr>
        <w:pStyle w:val="ListBullet"/>
        <w:rPr>
          <w:lang w:eastAsia="ja-JP"/>
        </w:rPr>
      </w:pPr>
      <w:r>
        <w:rPr>
          <w:lang w:eastAsia="ja-JP"/>
        </w:rPr>
        <w:t>pain on insertion</w:t>
      </w:r>
    </w:p>
    <w:p w14:paraId="593D2C84" w14:textId="0C03F19D" w:rsidR="00DC29B2" w:rsidRDefault="00205198" w:rsidP="00205198">
      <w:pPr>
        <w:pStyle w:val="ListBullet"/>
        <w:rPr>
          <w:lang w:eastAsia="ja-JP"/>
        </w:rPr>
      </w:pPr>
      <w:r>
        <w:rPr>
          <w:lang w:eastAsia="ja-JP"/>
        </w:rPr>
        <w:t>changes in bleeding pattern</w:t>
      </w:r>
    </w:p>
    <w:p w14:paraId="24C912CD" w14:textId="5CD19E25" w:rsidR="00DC29B2" w:rsidRPr="00DC29B2" w:rsidRDefault="00DC29B2" w:rsidP="00DC29B2">
      <w:pPr>
        <w:pStyle w:val="ListBullet"/>
        <w:rPr>
          <w:lang w:eastAsia="ja-JP"/>
        </w:rPr>
      </w:pPr>
      <w:r>
        <w:rPr>
          <w:lang w:eastAsia="ja-JP"/>
        </w:rPr>
        <w:t>progesterone related effects.</w:t>
      </w:r>
      <w:bookmarkEnd w:id="77"/>
    </w:p>
    <w:p w14:paraId="44F55182" w14:textId="25ADF084" w:rsidR="00605AD4" w:rsidRPr="00605AD4" w:rsidRDefault="00605AD4" w:rsidP="00605AD4">
      <w:pPr>
        <w:pStyle w:val="Heading3"/>
        <w:rPr>
          <w:rFonts w:eastAsia="Cambria"/>
        </w:rPr>
      </w:pPr>
      <w:bookmarkStart w:id="78" w:name="_Toc499040551"/>
      <w:r w:rsidRPr="00605AD4">
        <w:rPr>
          <w:rFonts w:eastAsia="Cambria"/>
        </w:rPr>
        <w:t>Clinical Questions</w:t>
      </w:r>
      <w:r w:rsidR="00F50634">
        <w:rPr>
          <w:rFonts w:eastAsia="Cambria"/>
        </w:rPr>
        <w:t xml:space="preserve"> and </w:t>
      </w:r>
      <w:r w:rsidRPr="00605AD4">
        <w:rPr>
          <w:rFonts w:eastAsia="Cambria"/>
        </w:rPr>
        <w:t>Second Round Evaluation of clinical data submitted in response to questions</w:t>
      </w:r>
      <w:bookmarkEnd w:id="78"/>
    </w:p>
    <w:p w14:paraId="1244B16F" w14:textId="1CF0CC8D" w:rsidR="006136D7" w:rsidRPr="00605AD4" w:rsidRDefault="006136D7" w:rsidP="006136D7">
      <w:r>
        <w:t>For details of the</w:t>
      </w:r>
      <w:r w:rsidR="00F50634">
        <w:t xml:space="preserve"> clinical questions for the sponsor, the</w:t>
      </w:r>
      <w:r>
        <w:t xml:space="preserve"> sponsor’s responses and the evaluation of these responses please see Attachment 2.</w:t>
      </w:r>
    </w:p>
    <w:p w14:paraId="7057B48E" w14:textId="77777777" w:rsidR="00605AD4" w:rsidRPr="00605AD4" w:rsidRDefault="00605AD4" w:rsidP="00546154">
      <w:pPr>
        <w:pStyle w:val="Heading3"/>
        <w:rPr>
          <w:rFonts w:eastAsia="Cambria"/>
        </w:rPr>
      </w:pPr>
      <w:bookmarkStart w:id="79" w:name="_Toc499040552"/>
      <w:r w:rsidRPr="00605AD4">
        <w:rPr>
          <w:rFonts w:eastAsia="Cambria"/>
        </w:rPr>
        <w:lastRenderedPageBreak/>
        <w:t>Second Round Benefit-Risk Assessment</w:t>
      </w:r>
      <w:bookmarkEnd w:id="79"/>
    </w:p>
    <w:p w14:paraId="544CA0DC" w14:textId="7A130708" w:rsidR="00F50634" w:rsidRDefault="00F50634" w:rsidP="00F50634">
      <w:pPr>
        <w:pStyle w:val="Heading4"/>
      </w:pPr>
      <w:bookmarkStart w:id="80" w:name="_Toc272414709"/>
      <w:bookmarkStart w:id="81" w:name="_Toc290846349"/>
      <w:bookmarkStart w:id="82" w:name="_Toc457473621"/>
      <w:r>
        <w:t>Second round assessment of benefits</w:t>
      </w:r>
      <w:bookmarkEnd w:id="80"/>
      <w:bookmarkEnd w:id="81"/>
      <w:bookmarkEnd w:id="82"/>
    </w:p>
    <w:p w14:paraId="4701A622" w14:textId="7B9E8B7C" w:rsidR="00AF2FDA" w:rsidRPr="00AF2FDA" w:rsidRDefault="00AF2FDA" w:rsidP="00AF2FDA">
      <w:pPr>
        <w:rPr>
          <w:lang w:eastAsia="ja-JP"/>
        </w:rPr>
      </w:pPr>
      <w:r w:rsidRPr="004A41A2">
        <w:rPr>
          <w:lang w:eastAsia="ja-JP"/>
        </w:rPr>
        <w:t>After consideration of the responses to clinical questions, the benefits of Kyleena in the proposed usage are unchanged from those identified</w:t>
      </w:r>
      <w:r>
        <w:rPr>
          <w:lang w:eastAsia="ja-JP"/>
        </w:rPr>
        <w:t xml:space="preserve"> in the first round assessment of benefits.</w:t>
      </w:r>
    </w:p>
    <w:p w14:paraId="35DCD0F8" w14:textId="4B0C403F" w:rsidR="00F50634" w:rsidRDefault="00F50634" w:rsidP="00F50634">
      <w:pPr>
        <w:pStyle w:val="Heading4"/>
      </w:pPr>
      <w:bookmarkStart w:id="83" w:name="_Toc272414710"/>
      <w:bookmarkStart w:id="84" w:name="_Toc290846350"/>
      <w:bookmarkStart w:id="85" w:name="_Toc457473622"/>
      <w:r>
        <w:t>Second round assessment of risks</w:t>
      </w:r>
      <w:bookmarkEnd w:id="83"/>
      <w:bookmarkEnd w:id="84"/>
      <w:bookmarkEnd w:id="85"/>
    </w:p>
    <w:p w14:paraId="6C5AEA4B" w14:textId="77777777" w:rsidR="00AF2FDA" w:rsidRDefault="00AF2FDA" w:rsidP="00AF2FDA">
      <w:pPr>
        <w:rPr>
          <w:lang w:eastAsia="ja-JP"/>
        </w:rPr>
      </w:pPr>
      <w:r>
        <w:rPr>
          <w:lang w:eastAsia="ja-JP"/>
        </w:rPr>
        <w:t>After consideration of the responses to clinical questions, the risks of Kyleena in the proposed usage are unchanged from those identified in the first round assessment of risks.</w:t>
      </w:r>
    </w:p>
    <w:p w14:paraId="76DB334F" w14:textId="07DE16AC" w:rsidR="00AF2FDA" w:rsidRDefault="00AF2FDA" w:rsidP="00AF2FDA">
      <w:pPr>
        <w:pStyle w:val="ListBullet"/>
        <w:numPr>
          <w:ilvl w:val="0"/>
          <w:numId w:val="1"/>
        </w:numPr>
        <w:rPr>
          <w:lang w:eastAsia="ja-JP"/>
        </w:rPr>
      </w:pPr>
      <w:r>
        <w:rPr>
          <w:lang w:eastAsia="ja-JP"/>
        </w:rPr>
        <w:t>Although body weight can affect levonorgestrel clearance, the available data, albeit limited, for women with BMI ≥ 30 kg/m</w:t>
      </w:r>
      <w:r w:rsidRPr="004A41A2">
        <w:rPr>
          <w:vertAlign w:val="superscript"/>
          <w:lang w:eastAsia="ja-JP"/>
        </w:rPr>
        <w:t>2</w:t>
      </w:r>
      <w:r>
        <w:rPr>
          <w:lang w:eastAsia="ja-JP"/>
        </w:rPr>
        <w:t xml:space="preserve"> do not suggest a clinically significant effect of body weight </w:t>
      </w:r>
      <w:r w:rsidR="00F27611">
        <w:rPr>
          <w:lang w:eastAsia="ja-JP"/>
        </w:rPr>
        <w:t xml:space="preserve">on contraceptive efficacy of levonogestrel </w:t>
      </w:r>
      <w:r>
        <w:rPr>
          <w:lang w:eastAsia="ja-JP"/>
        </w:rPr>
        <w:t>IUS. This is not unexpected given the predominant local effect of Kyleena.</w:t>
      </w:r>
    </w:p>
    <w:p w14:paraId="524C4579" w14:textId="302B650C" w:rsidR="00AF2FDA" w:rsidRDefault="00AF2FDA" w:rsidP="00AF2FDA">
      <w:pPr>
        <w:pStyle w:val="ListBullet"/>
        <w:numPr>
          <w:ilvl w:val="0"/>
          <w:numId w:val="1"/>
        </w:numPr>
        <w:rPr>
          <w:lang w:eastAsia="ja-JP"/>
        </w:rPr>
      </w:pPr>
      <w:r>
        <w:rPr>
          <w:lang w:eastAsia="ja-JP"/>
        </w:rPr>
        <w:t>Use in MRI remains an unknown risk. Mirena does not contain metallic components and Jaydess (which does contain the silver ring) is not marketed in Australia. Appropriate information regarding this risk needs to be ad</w:t>
      </w:r>
      <w:r w:rsidR="00F27611">
        <w:rPr>
          <w:lang w:eastAsia="ja-JP"/>
        </w:rPr>
        <w:t xml:space="preserve">equately communicated in the PI/Consumer Medicines Information (CMI) </w:t>
      </w:r>
      <w:r>
        <w:rPr>
          <w:lang w:eastAsia="ja-JP"/>
        </w:rPr>
        <w:t>documents and patient card.</w:t>
      </w:r>
    </w:p>
    <w:p w14:paraId="30098D80" w14:textId="734EE6EA" w:rsidR="00AF2FDA" w:rsidRPr="00AF2FDA" w:rsidRDefault="00AF2FDA" w:rsidP="00AF2FDA">
      <w:pPr>
        <w:pStyle w:val="ListBullet"/>
        <w:numPr>
          <w:ilvl w:val="0"/>
          <w:numId w:val="1"/>
        </w:numPr>
        <w:rPr>
          <w:lang w:eastAsia="ja-JP"/>
        </w:rPr>
      </w:pPr>
      <w:r>
        <w:rPr>
          <w:lang w:eastAsia="ja-JP"/>
        </w:rPr>
        <w:t>Use in heart disease is an uncertain risk; the Sponsor is asked to clarify the discrepancy regarding the proposed text in Kyleena and that in the current Mirena PI, the latter recommending antibiotic prophylaxis when inserting or removing Mirena.</w:t>
      </w:r>
    </w:p>
    <w:p w14:paraId="231FF18F" w14:textId="58FB005E" w:rsidR="00F50634" w:rsidRDefault="00F50634" w:rsidP="00F50634">
      <w:pPr>
        <w:pStyle w:val="Heading4"/>
      </w:pPr>
      <w:bookmarkStart w:id="86" w:name="_Toc272414711"/>
      <w:bookmarkStart w:id="87" w:name="_Toc290846351"/>
      <w:bookmarkStart w:id="88" w:name="_Toc457473623"/>
      <w:r>
        <w:t>Second round assessment of benefit-risk balance</w:t>
      </w:r>
      <w:bookmarkEnd w:id="86"/>
      <w:bookmarkEnd w:id="87"/>
      <w:bookmarkEnd w:id="88"/>
    </w:p>
    <w:p w14:paraId="7744F01F" w14:textId="77777777" w:rsidR="00F12DFF" w:rsidRDefault="00F12DFF" w:rsidP="00F12DFF">
      <w:pPr>
        <w:rPr>
          <w:lang w:eastAsia="ja-JP"/>
        </w:rPr>
      </w:pPr>
      <w:r>
        <w:rPr>
          <w:lang w:eastAsia="ja-JP"/>
        </w:rPr>
        <w:t>The benefit-risk balance of Kyleena, given the proposed usage, is favourable.</w:t>
      </w:r>
    </w:p>
    <w:p w14:paraId="2ABCD038" w14:textId="16AE4241" w:rsidR="00F12DFF" w:rsidRDefault="00F12DFF" w:rsidP="00F12DFF">
      <w:pPr>
        <w:rPr>
          <w:lang w:eastAsia="ja-JP"/>
        </w:rPr>
      </w:pPr>
      <w:r>
        <w:rPr>
          <w:lang w:eastAsia="ja-JP"/>
        </w:rPr>
        <w:t>Contraceptive efficacy over 5 years with LCS16 has been demo</w:t>
      </w:r>
      <w:r w:rsidR="00F27611">
        <w:rPr>
          <w:lang w:eastAsia="ja-JP"/>
        </w:rPr>
        <w:t>nstrated with an overall Pearl i</w:t>
      </w:r>
      <w:r>
        <w:rPr>
          <w:lang w:eastAsia="ja-JP"/>
        </w:rPr>
        <w:t>ndex of 0.29 (95% CI: 016, 0.50). There was no trend observed with pregnancy rate over time. The cumulative failure rate at 5 years (1.4%) was similar to the cumulative failure rate at 3 years for the LCS16 arm (1.0%).</w:t>
      </w:r>
    </w:p>
    <w:p w14:paraId="288CD108" w14:textId="212F7D6B" w:rsidR="00F12DFF" w:rsidRPr="00586F98" w:rsidRDefault="00F12DFF" w:rsidP="00F12DFF">
      <w:pPr>
        <w:rPr>
          <w:lang w:eastAsia="ja-JP"/>
        </w:rPr>
      </w:pPr>
      <w:r>
        <w:rPr>
          <w:lang w:eastAsia="ja-JP"/>
        </w:rPr>
        <w:t xml:space="preserve">There were no new or unexpected safety findings. Ectopic pregnancy is a known safety issue with </w:t>
      </w:r>
      <w:r w:rsidR="00F27611">
        <w:rPr>
          <w:lang w:eastAsia="ja-JP"/>
        </w:rPr>
        <w:t xml:space="preserve">levonorgestrel </w:t>
      </w:r>
      <w:r>
        <w:rPr>
          <w:lang w:eastAsia="ja-JP"/>
        </w:rPr>
        <w:t>IU</w:t>
      </w:r>
      <w:r w:rsidR="003A1000">
        <w:rPr>
          <w:lang w:eastAsia="ja-JP"/>
        </w:rPr>
        <w:t>S. The unadjusted 5 year Pearl I</w:t>
      </w:r>
      <w:r>
        <w:rPr>
          <w:lang w:eastAsia="ja-JP"/>
        </w:rPr>
        <w:t>ndex for ectopic pregnancy for LCS16 in the pivotal study was 0.18 (95% CI: 0.08, 0.36), which is slightly higher than the overall incidence of ectopic pregna</w:t>
      </w:r>
      <w:r w:rsidR="00F27611">
        <w:rPr>
          <w:lang w:eastAsia="ja-JP"/>
        </w:rPr>
        <w:t>ncy for Jaydess (0.11 per 100 women-years</w:t>
      </w:r>
      <w:r>
        <w:rPr>
          <w:lang w:eastAsia="ja-JP"/>
        </w:rPr>
        <w:t>), although lower than the rates in women n</w:t>
      </w:r>
      <w:r w:rsidR="00F27611">
        <w:rPr>
          <w:lang w:eastAsia="ja-JP"/>
        </w:rPr>
        <w:t>ot using any contrace</w:t>
      </w:r>
      <w:r w:rsidR="003A1000">
        <w:rPr>
          <w:lang w:eastAsia="ja-JP"/>
        </w:rPr>
        <w:t>ption (0.3 to 0.5 per 100 women-</w:t>
      </w:r>
      <w:r w:rsidR="00F27611">
        <w:rPr>
          <w:lang w:eastAsia="ja-JP"/>
        </w:rPr>
        <w:t>years</w:t>
      </w:r>
      <w:r>
        <w:rPr>
          <w:lang w:eastAsia="ja-JP"/>
        </w:rPr>
        <w:t>).</w:t>
      </w:r>
      <w:r w:rsidRPr="004A41A2">
        <w:rPr>
          <w:vertAlign w:val="superscript"/>
          <w:lang w:eastAsia="ja-JP"/>
        </w:rPr>
        <w:fldChar w:fldCharType="begin"/>
      </w:r>
      <w:r w:rsidRPr="004A41A2">
        <w:rPr>
          <w:vertAlign w:val="superscript"/>
          <w:lang w:eastAsia="ja-JP"/>
        </w:rPr>
        <w:instrText xml:space="preserve"> NOTEREF _Ref492129528 \h </w:instrText>
      </w:r>
      <w:r>
        <w:rPr>
          <w:vertAlign w:val="superscript"/>
          <w:lang w:eastAsia="ja-JP"/>
        </w:rPr>
        <w:instrText xml:space="preserve"> \* MERGEFORMAT </w:instrText>
      </w:r>
      <w:r w:rsidRPr="004A41A2">
        <w:rPr>
          <w:vertAlign w:val="superscript"/>
          <w:lang w:eastAsia="ja-JP"/>
        </w:rPr>
      </w:r>
      <w:r w:rsidRPr="004A41A2">
        <w:rPr>
          <w:vertAlign w:val="superscript"/>
          <w:lang w:eastAsia="ja-JP"/>
        </w:rPr>
        <w:fldChar w:fldCharType="separate"/>
      </w:r>
      <w:r w:rsidR="009D5B6F">
        <w:rPr>
          <w:vertAlign w:val="superscript"/>
          <w:lang w:eastAsia="ja-JP"/>
        </w:rPr>
        <w:t>2</w:t>
      </w:r>
      <w:r w:rsidRPr="004A41A2">
        <w:rPr>
          <w:vertAlign w:val="superscript"/>
          <w:lang w:eastAsia="ja-JP"/>
        </w:rPr>
        <w:fldChar w:fldCharType="end"/>
      </w:r>
      <w:r>
        <w:rPr>
          <w:lang w:eastAsia="ja-JP"/>
        </w:rPr>
        <w:t xml:space="preserve"> The increased likelihood of a pregnancy being ectopic if pregnancy occurs with Kyleena in situ is clearly documented in the proposed PI. Further, the known risks of pelvic infection, expulsion and perforation are well characterised in the proposed PI.</w:t>
      </w:r>
    </w:p>
    <w:p w14:paraId="001FF9B0" w14:textId="66CF6582" w:rsidR="00F50634" w:rsidRDefault="00F50634" w:rsidP="00F50634">
      <w:pPr>
        <w:pStyle w:val="Heading4"/>
      </w:pPr>
      <w:bookmarkStart w:id="89" w:name="_Toc487490929"/>
      <w:r w:rsidRPr="003442FE">
        <w:t>Second round recommendation regarding authorisation</w:t>
      </w:r>
      <w:bookmarkEnd w:id="89"/>
    </w:p>
    <w:p w14:paraId="3D7625B0" w14:textId="72C424EC" w:rsidR="005E1A41" w:rsidRPr="005E1A41" w:rsidRDefault="005E1A41" w:rsidP="005E1A41">
      <w:bookmarkStart w:id="90" w:name="_Hlk492471948"/>
      <w:r w:rsidRPr="004A41A2">
        <w:t>Approval of the application to register the product Kyleena is recommended for the indication ‘Contraception for up to 5 years’.</w:t>
      </w:r>
      <w:bookmarkEnd w:id="90"/>
    </w:p>
    <w:p w14:paraId="4CF7C0FE" w14:textId="77777777" w:rsidR="008E7846" w:rsidRPr="00E41208" w:rsidRDefault="008E7846" w:rsidP="00546154">
      <w:pPr>
        <w:pStyle w:val="Heading2"/>
      </w:pPr>
      <w:bookmarkStart w:id="91" w:name="_Toc499040553"/>
      <w:r w:rsidRPr="00E41208">
        <w:t xml:space="preserve">V. Pharmacovigilance </w:t>
      </w:r>
      <w:r>
        <w:t>f</w:t>
      </w:r>
      <w:r w:rsidRPr="00E41208">
        <w:t>indings</w:t>
      </w:r>
      <w:bookmarkEnd w:id="72"/>
      <w:bookmarkEnd w:id="73"/>
      <w:bookmarkEnd w:id="91"/>
    </w:p>
    <w:p w14:paraId="454C8A71" w14:textId="77777777" w:rsidR="008E7846" w:rsidRDefault="00386150" w:rsidP="008E7846">
      <w:pPr>
        <w:pStyle w:val="Heading3"/>
        <w:rPr>
          <w:lang w:eastAsia="en-AU"/>
        </w:rPr>
      </w:pPr>
      <w:bookmarkStart w:id="92" w:name="_Toc247691526"/>
      <w:bookmarkStart w:id="93" w:name="_Toc314842509"/>
      <w:bookmarkStart w:id="94" w:name="_Toc499040554"/>
      <w:r>
        <w:rPr>
          <w:lang w:eastAsia="en-AU"/>
        </w:rPr>
        <w:t>Risk m</w:t>
      </w:r>
      <w:r w:rsidR="008E7846">
        <w:rPr>
          <w:lang w:eastAsia="en-AU"/>
        </w:rPr>
        <w:t xml:space="preserve">anagement </w:t>
      </w:r>
      <w:r>
        <w:rPr>
          <w:lang w:eastAsia="en-AU"/>
        </w:rPr>
        <w:t>p</w:t>
      </w:r>
      <w:r w:rsidR="008E7846">
        <w:rPr>
          <w:lang w:eastAsia="en-AU"/>
        </w:rPr>
        <w:t>lan</w:t>
      </w:r>
      <w:bookmarkEnd w:id="92"/>
      <w:bookmarkEnd w:id="93"/>
      <w:bookmarkEnd w:id="94"/>
    </w:p>
    <w:p w14:paraId="24FA5FB7" w14:textId="7B24B479" w:rsidR="005330A8" w:rsidRDefault="008E7846" w:rsidP="00DC29B2">
      <w:pPr>
        <w:rPr>
          <w:lang w:eastAsia="en-AU"/>
        </w:rPr>
      </w:pPr>
      <w:r>
        <w:rPr>
          <w:lang w:eastAsia="en-AU"/>
        </w:rPr>
        <w:t>The sponsor submitted a Risk Management Plan</w:t>
      </w:r>
      <w:r w:rsidR="005330A8">
        <w:rPr>
          <w:lang w:eastAsia="en-AU"/>
        </w:rPr>
        <w:t xml:space="preserve"> (RMP):</w:t>
      </w:r>
      <w:r w:rsidR="00DC29B2">
        <w:rPr>
          <w:lang w:eastAsia="en-AU"/>
        </w:rPr>
        <w:t xml:space="preserve"> EU-RMP </w:t>
      </w:r>
      <w:r w:rsidR="005330A8">
        <w:rPr>
          <w:lang w:eastAsia="en-AU"/>
        </w:rPr>
        <w:t xml:space="preserve">version 3; </w:t>
      </w:r>
      <w:r w:rsidR="00DC29B2">
        <w:rPr>
          <w:lang w:eastAsia="en-AU"/>
        </w:rPr>
        <w:t>dated 15 October 2015, with a</w:t>
      </w:r>
      <w:r w:rsidR="005330A8">
        <w:rPr>
          <w:lang w:eastAsia="en-AU"/>
        </w:rPr>
        <w:t xml:space="preserve"> </w:t>
      </w:r>
      <w:r w:rsidR="00DC29B2">
        <w:rPr>
          <w:lang w:eastAsia="en-AU"/>
        </w:rPr>
        <w:t xml:space="preserve">database lock point of </w:t>
      </w:r>
      <w:r w:rsidR="005330A8">
        <w:rPr>
          <w:lang w:eastAsia="en-AU"/>
        </w:rPr>
        <w:t xml:space="preserve">15 </w:t>
      </w:r>
      <w:r w:rsidR="00DC29B2">
        <w:rPr>
          <w:lang w:eastAsia="en-AU"/>
        </w:rPr>
        <w:t>July 2015; and an Australian Specific Annex (ASA) version 4 dated February 2016.</w:t>
      </w:r>
    </w:p>
    <w:p w14:paraId="4445E07F" w14:textId="77777777" w:rsidR="008E7846" w:rsidRDefault="003A7F6C" w:rsidP="008E7846">
      <w:pPr>
        <w:pStyle w:val="Heading4"/>
        <w:rPr>
          <w:lang w:eastAsia="en-AU"/>
        </w:rPr>
      </w:pPr>
      <w:r>
        <w:rPr>
          <w:lang w:eastAsia="en-AU"/>
        </w:rPr>
        <w:lastRenderedPageBreak/>
        <w:t>Safety s</w:t>
      </w:r>
      <w:r w:rsidR="008E7846">
        <w:rPr>
          <w:lang w:eastAsia="en-AU"/>
        </w:rPr>
        <w:t>pecification</w:t>
      </w:r>
    </w:p>
    <w:p w14:paraId="47C24486" w14:textId="205DBEC8" w:rsidR="00ED7A0A" w:rsidRDefault="008E7846" w:rsidP="00ED7A0A">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onc</w:t>
      </w:r>
      <w:r w:rsidR="00096ED1">
        <w:rPr>
          <w:lang w:eastAsia="en-AU"/>
        </w:rPr>
        <w:t xml:space="preserve">erns which are shown below in Table </w:t>
      </w:r>
      <w:r w:rsidR="00F27611">
        <w:rPr>
          <w:lang w:eastAsia="en-AU"/>
        </w:rPr>
        <w:t>3.</w:t>
      </w:r>
    </w:p>
    <w:p w14:paraId="476CBF2B" w14:textId="14ADD768" w:rsidR="00F27611" w:rsidRDefault="00F27611" w:rsidP="00F27611">
      <w:pPr>
        <w:pStyle w:val="Tabletitle0"/>
        <w:rPr>
          <w:lang w:eastAsia="en-AU"/>
        </w:rPr>
      </w:pPr>
      <w:r>
        <w:rPr>
          <w:lang w:eastAsia="en-AU"/>
        </w:rPr>
        <w:t>Table 3. Sponsor supplied summary of safety concerns for Kyleena IUS</w:t>
      </w:r>
    </w:p>
    <w:tbl>
      <w:tblPr>
        <w:tblStyle w:val="TableTGAblue"/>
        <w:tblW w:w="0" w:type="auto"/>
        <w:tblLayout w:type="fixed"/>
        <w:tblLook w:val="0020" w:firstRow="1" w:lastRow="0" w:firstColumn="0" w:lastColumn="0" w:noHBand="0" w:noVBand="0"/>
        <w:tblDescription w:val="Table 3. Sponsor supplied summary of safety concerns for Kyleena IUS"/>
      </w:tblPr>
      <w:tblGrid>
        <w:gridCol w:w="3006"/>
        <w:gridCol w:w="6066"/>
      </w:tblGrid>
      <w:tr w:rsidR="00DC29B2" w:rsidRPr="00DC29B2" w14:paraId="5060BF4B" w14:textId="77777777" w:rsidTr="00DC29B2">
        <w:trPr>
          <w:cnfStyle w:val="100000000000" w:firstRow="1" w:lastRow="0" w:firstColumn="0" w:lastColumn="0" w:oddVBand="0" w:evenVBand="0" w:oddHBand="0" w:evenHBand="0" w:firstRowFirstColumn="0" w:firstRowLastColumn="0" w:lastRowFirstColumn="0" w:lastRowLastColumn="0"/>
          <w:trHeight w:hRule="exact" w:val="605"/>
        </w:trPr>
        <w:tc>
          <w:tcPr>
            <w:tcW w:w="9072" w:type="dxa"/>
            <w:gridSpan w:val="2"/>
          </w:tcPr>
          <w:p w14:paraId="4E23D9A0" w14:textId="4B9C7B97" w:rsidR="00DC29B2" w:rsidRPr="00DC29B2" w:rsidRDefault="00DC29B2" w:rsidP="00DC29B2">
            <w:pPr>
              <w:ind w:left="0"/>
            </w:pPr>
            <w:r w:rsidRPr="00DC29B2">
              <w:t>Summary</w:t>
            </w:r>
            <w:r w:rsidR="0025789B">
              <w:t xml:space="preserve"> of safety concerns for </w:t>
            </w:r>
            <w:proofErr w:type="spellStart"/>
            <w:r w:rsidR="0025789B">
              <w:t>Kyleena</w:t>
            </w:r>
            <w:proofErr w:type="spellEnd"/>
          </w:p>
        </w:tc>
      </w:tr>
      <w:tr w:rsidR="00DC29B2" w:rsidRPr="00DC29B2" w14:paraId="1A7BDCDA" w14:textId="77777777" w:rsidTr="00DC29B2">
        <w:trPr>
          <w:trHeight w:val="275"/>
        </w:trPr>
        <w:tc>
          <w:tcPr>
            <w:tcW w:w="3006" w:type="dxa"/>
            <w:vMerge w:val="restart"/>
          </w:tcPr>
          <w:p w14:paraId="2A9776DD" w14:textId="77777777" w:rsidR="00DC29B2" w:rsidRPr="00DC29B2" w:rsidRDefault="00DC29B2" w:rsidP="0025789B">
            <w:pPr>
              <w:pStyle w:val="Tabletext"/>
            </w:pPr>
            <w:r w:rsidRPr="00DC29B2">
              <w:t>Important identified risks</w:t>
            </w:r>
          </w:p>
        </w:tc>
        <w:tc>
          <w:tcPr>
            <w:tcW w:w="6066" w:type="dxa"/>
          </w:tcPr>
          <w:p w14:paraId="0FB7D53A" w14:textId="77777777" w:rsidR="00DC29B2" w:rsidRPr="00DC29B2" w:rsidRDefault="00DC29B2" w:rsidP="0025789B">
            <w:pPr>
              <w:pStyle w:val="Tabletext"/>
            </w:pPr>
            <w:r w:rsidRPr="00DC29B2">
              <w:t xml:space="preserve">Pelvic inflammatory disease </w:t>
            </w:r>
          </w:p>
        </w:tc>
      </w:tr>
      <w:tr w:rsidR="00DC29B2" w:rsidRPr="00DC29B2" w14:paraId="7106E664" w14:textId="77777777" w:rsidTr="00DC29B2">
        <w:trPr>
          <w:trHeight w:val="313"/>
        </w:trPr>
        <w:tc>
          <w:tcPr>
            <w:tcW w:w="3006" w:type="dxa"/>
            <w:vMerge/>
          </w:tcPr>
          <w:p w14:paraId="1CD45550" w14:textId="77777777" w:rsidR="00DC29B2" w:rsidRPr="00DC29B2" w:rsidRDefault="00DC29B2" w:rsidP="0025789B">
            <w:pPr>
              <w:pStyle w:val="Tabletext"/>
            </w:pPr>
          </w:p>
        </w:tc>
        <w:tc>
          <w:tcPr>
            <w:tcW w:w="6066" w:type="dxa"/>
          </w:tcPr>
          <w:p w14:paraId="18D9A7CB" w14:textId="77777777" w:rsidR="00DC29B2" w:rsidRPr="00DC29B2" w:rsidRDefault="00DC29B2" w:rsidP="0025789B">
            <w:pPr>
              <w:pStyle w:val="Tabletext"/>
            </w:pPr>
            <w:r w:rsidRPr="00DC29B2">
              <w:t>Ectopic pregnancy</w:t>
            </w:r>
          </w:p>
        </w:tc>
      </w:tr>
      <w:tr w:rsidR="00DC29B2" w:rsidRPr="00DC29B2" w14:paraId="0A6242B3" w14:textId="77777777" w:rsidTr="00DC29B2">
        <w:trPr>
          <w:trHeight w:val="227"/>
        </w:trPr>
        <w:tc>
          <w:tcPr>
            <w:tcW w:w="3006" w:type="dxa"/>
            <w:vMerge/>
          </w:tcPr>
          <w:p w14:paraId="30C18DC1" w14:textId="77777777" w:rsidR="00DC29B2" w:rsidRPr="00DC29B2" w:rsidRDefault="00DC29B2" w:rsidP="0025789B">
            <w:pPr>
              <w:pStyle w:val="Tabletext"/>
            </w:pPr>
          </w:p>
        </w:tc>
        <w:tc>
          <w:tcPr>
            <w:tcW w:w="6066" w:type="dxa"/>
          </w:tcPr>
          <w:p w14:paraId="0C67EFAC" w14:textId="77777777" w:rsidR="00DC29B2" w:rsidRPr="00DC29B2" w:rsidRDefault="00DC29B2" w:rsidP="0025789B">
            <w:pPr>
              <w:pStyle w:val="Tabletext"/>
            </w:pPr>
            <w:r w:rsidRPr="00DC29B2">
              <w:t>Uterine perforation</w:t>
            </w:r>
          </w:p>
        </w:tc>
      </w:tr>
      <w:tr w:rsidR="00DC29B2" w:rsidRPr="00DC29B2" w14:paraId="092400A1" w14:textId="77777777" w:rsidTr="00DC29B2">
        <w:trPr>
          <w:trHeight w:val="325"/>
        </w:trPr>
        <w:tc>
          <w:tcPr>
            <w:tcW w:w="3006" w:type="dxa"/>
            <w:vMerge/>
          </w:tcPr>
          <w:p w14:paraId="76A57CC1" w14:textId="77777777" w:rsidR="00DC29B2" w:rsidRPr="00DC29B2" w:rsidRDefault="00DC29B2" w:rsidP="0025789B">
            <w:pPr>
              <w:pStyle w:val="Tabletext"/>
            </w:pPr>
          </w:p>
        </w:tc>
        <w:tc>
          <w:tcPr>
            <w:tcW w:w="6066" w:type="dxa"/>
          </w:tcPr>
          <w:p w14:paraId="45AFED00" w14:textId="77777777" w:rsidR="00DC29B2" w:rsidRPr="00DC29B2" w:rsidRDefault="00DC29B2" w:rsidP="0025789B">
            <w:pPr>
              <w:pStyle w:val="Tabletext"/>
            </w:pPr>
            <w:r w:rsidRPr="00DC29B2">
              <w:t xml:space="preserve">Unintended pregnancy with LCS </w:t>
            </w:r>
          </w:p>
        </w:tc>
      </w:tr>
      <w:tr w:rsidR="00DC29B2" w:rsidRPr="00DC29B2" w14:paraId="33A7971C" w14:textId="77777777" w:rsidTr="00DC29B2">
        <w:trPr>
          <w:trHeight w:val="263"/>
        </w:trPr>
        <w:tc>
          <w:tcPr>
            <w:tcW w:w="3006" w:type="dxa"/>
            <w:vMerge/>
          </w:tcPr>
          <w:p w14:paraId="4538DBFB" w14:textId="77777777" w:rsidR="00DC29B2" w:rsidRPr="00DC29B2" w:rsidRDefault="00DC29B2" w:rsidP="0025789B">
            <w:pPr>
              <w:pStyle w:val="Tabletext"/>
            </w:pPr>
          </w:p>
        </w:tc>
        <w:tc>
          <w:tcPr>
            <w:tcW w:w="6066" w:type="dxa"/>
          </w:tcPr>
          <w:p w14:paraId="315C0E91" w14:textId="77777777" w:rsidR="00DC29B2" w:rsidRPr="00DC29B2" w:rsidRDefault="00DC29B2" w:rsidP="0025789B">
            <w:pPr>
              <w:pStyle w:val="Tabletext"/>
            </w:pPr>
            <w:r w:rsidRPr="00DC29B2">
              <w:t>Ovarian cysts</w:t>
            </w:r>
          </w:p>
        </w:tc>
      </w:tr>
      <w:tr w:rsidR="00DC29B2" w:rsidRPr="00DC29B2" w14:paraId="3A418BAA" w14:textId="77777777" w:rsidTr="00DC29B2">
        <w:trPr>
          <w:trHeight w:val="313"/>
        </w:trPr>
        <w:tc>
          <w:tcPr>
            <w:tcW w:w="3006" w:type="dxa"/>
            <w:vMerge/>
          </w:tcPr>
          <w:p w14:paraId="3F5CDD1F" w14:textId="77777777" w:rsidR="00DC29B2" w:rsidRPr="00DC29B2" w:rsidRDefault="00DC29B2" w:rsidP="0025789B">
            <w:pPr>
              <w:pStyle w:val="Tabletext"/>
            </w:pPr>
          </w:p>
        </w:tc>
        <w:tc>
          <w:tcPr>
            <w:tcW w:w="6066" w:type="dxa"/>
          </w:tcPr>
          <w:p w14:paraId="689BC0D5" w14:textId="2563DB2F" w:rsidR="00DC29B2" w:rsidRPr="00DC29B2" w:rsidRDefault="00F27611" w:rsidP="0025789B">
            <w:pPr>
              <w:pStyle w:val="Tabletext"/>
            </w:pPr>
            <w:r>
              <w:t>Expulsion</w:t>
            </w:r>
          </w:p>
        </w:tc>
      </w:tr>
      <w:tr w:rsidR="00DC29B2" w:rsidRPr="00DC29B2" w14:paraId="32538735" w14:textId="77777777" w:rsidTr="00DC29B2">
        <w:trPr>
          <w:trHeight w:val="275"/>
        </w:trPr>
        <w:tc>
          <w:tcPr>
            <w:tcW w:w="3006" w:type="dxa"/>
            <w:vMerge/>
          </w:tcPr>
          <w:p w14:paraId="7F97BBE4" w14:textId="77777777" w:rsidR="00DC29B2" w:rsidRPr="00DC29B2" w:rsidRDefault="00DC29B2" w:rsidP="0025789B">
            <w:pPr>
              <w:pStyle w:val="Tabletext"/>
            </w:pPr>
          </w:p>
        </w:tc>
        <w:tc>
          <w:tcPr>
            <w:tcW w:w="6066" w:type="dxa"/>
          </w:tcPr>
          <w:p w14:paraId="7B101070" w14:textId="77777777" w:rsidR="00DC29B2" w:rsidRPr="00DC29B2" w:rsidRDefault="00DC29B2" w:rsidP="0025789B">
            <w:pPr>
              <w:pStyle w:val="Tabletext"/>
            </w:pPr>
            <w:r w:rsidRPr="00DC29B2">
              <w:t>Bleeding changes</w:t>
            </w:r>
          </w:p>
        </w:tc>
      </w:tr>
      <w:tr w:rsidR="00DC29B2" w:rsidRPr="00DC29B2" w14:paraId="3919D218" w14:textId="77777777" w:rsidTr="00DC29B2">
        <w:trPr>
          <w:trHeight w:val="227"/>
        </w:trPr>
        <w:tc>
          <w:tcPr>
            <w:tcW w:w="3006" w:type="dxa"/>
            <w:vMerge w:val="restart"/>
          </w:tcPr>
          <w:p w14:paraId="4976D318" w14:textId="77777777" w:rsidR="00DC29B2" w:rsidRPr="00DC29B2" w:rsidRDefault="00DC29B2" w:rsidP="0025789B">
            <w:pPr>
              <w:pStyle w:val="Tabletext"/>
            </w:pPr>
            <w:r w:rsidRPr="00DC29B2">
              <w:t xml:space="preserve">Important potential risks </w:t>
            </w:r>
          </w:p>
        </w:tc>
        <w:tc>
          <w:tcPr>
            <w:tcW w:w="6066" w:type="dxa"/>
          </w:tcPr>
          <w:p w14:paraId="6E8D2D90" w14:textId="77777777" w:rsidR="00DC29B2" w:rsidRPr="00DC29B2" w:rsidRDefault="00DC29B2" w:rsidP="0025789B">
            <w:pPr>
              <w:pStyle w:val="Tabletext"/>
            </w:pPr>
            <w:r w:rsidRPr="00DC29B2">
              <w:t>Potential for medication error</w:t>
            </w:r>
          </w:p>
        </w:tc>
      </w:tr>
      <w:tr w:rsidR="00DC29B2" w:rsidRPr="00DC29B2" w14:paraId="6035BEDB" w14:textId="77777777" w:rsidTr="00DC29B2">
        <w:trPr>
          <w:trHeight w:val="213"/>
        </w:trPr>
        <w:tc>
          <w:tcPr>
            <w:tcW w:w="3006" w:type="dxa"/>
            <w:vMerge/>
          </w:tcPr>
          <w:p w14:paraId="2E9DA209" w14:textId="77777777" w:rsidR="00DC29B2" w:rsidRPr="00DC29B2" w:rsidRDefault="00DC29B2" w:rsidP="0025789B">
            <w:pPr>
              <w:pStyle w:val="Tabletext"/>
            </w:pPr>
          </w:p>
        </w:tc>
        <w:tc>
          <w:tcPr>
            <w:tcW w:w="6066" w:type="dxa"/>
          </w:tcPr>
          <w:p w14:paraId="705DF966" w14:textId="77777777" w:rsidR="00DC29B2" w:rsidRPr="00DC29B2" w:rsidRDefault="00DC29B2" w:rsidP="0025789B">
            <w:pPr>
              <w:pStyle w:val="Tabletext"/>
            </w:pPr>
            <w:r w:rsidRPr="00DC29B2">
              <w:t>Potential for off-label use in indications other than contraception</w:t>
            </w:r>
          </w:p>
        </w:tc>
      </w:tr>
      <w:tr w:rsidR="00DC29B2" w:rsidRPr="00DC29B2" w14:paraId="24EC6E67" w14:textId="77777777" w:rsidTr="00DC29B2">
        <w:trPr>
          <w:trHeight w:val="227"/>
        </w:trPr>
        <w:tc>
          <w:tcPr>
            <w:tcW w:w="3006" w:type="dxa"/>
          </w:tcPr>
          <w:p w14:paraId="08E7BAB1" w14:textId="77777777" w:rsidR="00DC29B2" w:rsidRPr="00DC29B2" w:rsidRDefault="00DC29B2" w:rsidP="0025789B">
            <w:pPr>
              <w:pStyle w:val="Tabletext"/>
            </w:pPr>
            <w:r w:rsidRPr="00DC29B2">
              <w:t>Missing information</w:t>
            </w:r>
          </w:p>
        </w:tc>
        <w:tc>
          <w:tcPr>
            <w:tcW w:w="6066" w:type="dxa"/>
          </w:tcPr>
          <w:p w14:paraId="3CF1D7B1" w14:textId="77777777" w:rsidR="00DC29B2" w:rsidRPr="00DC29B2" w:rsidRDefault="00DC29B2" w:rsidP="0025789B">
            <w:pPr>
              <w:pStyle w:val="Tabletext"/>
            </w:pPr>
            <w:r w:rsidRPr="00DC29B2">
              <w:t>Not applicable</w:t>
            </w:r>
          </w:p>
        </w:tc>
      </w:tr>
    </w:tbl>
    <w:p w14:paraId="58EFFC72" w14:textId="4FFD5220"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14:paraId="4AD1C014" w14:textId="285D4E97" w:rsidR="00205198" w:rsidRPr="00F27611" w:rsidRDefault="00F27611" w:rsidP="00F27611">
      <w:r w:rsidRPr="00F27611">
        <w:t>The s</w:t>
      </w:r>
      <w:r w:rsidR="00205198" w:rsidRPr="00F27611">
        <w:t>ponsor has proposed routine pharmacovigilance for all safety concerns. This includes a targeted questionnaire for the important identified risk of ‘uterine perforation’. This questionnaire will be used to collect comprehensive and standardised follow-up information for any post-marketing adverse event reports arising in Australia which are suspicious for these events. For completeness, this form should be appended to the ASA.</w:t>
      </w:r>
    </w:p>
    <w:p w14:paraId="6BC2AC82" w14:textId="77777777" w:rsidR="00205198" w:rsidRPr="00F27611" w:rsidRDefault="00205198" w:rsidP="00F27611">
      <w:r w:rsidRPr="00F27611">
        <w:t>The targeted follow up of pregnancy outcomes is also conducted routinely according to Global Standard Operating Procedures. As part of this follow up, Pregnancy Monitoring forms are completed. These forms have been provided in the ASA.</w:t>
      </w:r>
    </w:p>
    <w:p w14:paraId="2660F0FD" w14:textId="1A4B6D46" w:rsidR="00205198" w:rsidRDefault="00205198" w:rsidP="00F27611">
      <w:r w:rsidRPr="00F27611">
        <w:t xml:space="preserve">There are no ongoing </w:t>
      </w:r>
      <w:r w:rsidR="00856BDA">
        <w:t xml:space="preserve">pharmacovigilance </w:t>
      </w:r>
      <w:r w:rsidRPr="00F27611">
        <w:t xml:space="preserve">studies for Kyleena. However, the sponsor has provided a list of ongoing studies with Jaydess listed </w:t>
      </w:r>
      <w:r w:rsidR="00F27611">
        <w:t xml:space="preserve">below </w:t>
      </w:r>
      <w:r w:rsidRPr="00F27611">
        <w:t xml:space="preserve">in </w:t>
      </w:r>
      <w:r w:rsidR="00F27611">
        <w:t>Table 4</w:t>
      </w:r>
      <w:r w:rsidRPr="00F27611">
        <w:t>. The protocols are provided in the EU-RMP (studies ongoing since 2014).</w:t>
      </w:r>
    </w:p>
    <w:p w14:paraId="3CCBB94F" w14:textId="7164E124" w:rsidR="00F27611" w:rsidRPr="00F27611" w:rsidRDefault="00F27611" w:rsidP="00F27611">
      <w:pPr>
        <w:pStyle w:val="Tabletitle0"/>
      </w:pPr>
      <w:r>
        <w:t>Table 4. Ongoing pharmacovigilance studies for Jaydess</w:t>
      </w:r>
    </w:p>
    <w:tbl>
      <w:tblPr>
        <w:tblStyle w:val="TableTGAblue"/>
        <w:tblW w:w="9469" w:type="dxa"/>
        <w:tblLook w:val="04A0" w:firstRow="1" w:lastRow="0" w:firstColumn="1" w:lastColumn="0" w:noHBand="0" w:noVBand="1"/>
        <w:tblDescription w:val="Table 4. Ongoing pharmacovigilance studies for Jaydess"/>
      </w:tblPr>
      <w:tblGrid>
        <w:gridCol w:w="1913"/>
        <w:gridCol w:w="2781"/>
        <w:gridCol w:w="2812"/>
        <w:gridCol w:w="1963"/>
      </w:tblGrid>
      <w:tr w:rsidR="00205198" w:rsidRPr="00F27611" w14:paraId="69E02B41" w14:textId="77777777" w:rsidTr="00F32C31">
        <w:trPr>
          <w:cnfStyle w:val="100000000000" w:firstRow="1" w:lastRow="0" w:firstColumn="0" w:lastColumn="0" w:oddVBand="0" w:evenVBand="0" w:oddHBand="0" w:evenHBand="0" w:firstRowFirstColumn="0" w:firstRowLastColumn="0" w:lastRowFirstColumn="0" w:lastRowLastColumn="0"/>
        </w:trPr>
        <w:tc>
          <w:tcPr>
            <w:tcW w:w="1779" w:type="dxa"/>
          </w:tcPr>
          <w:p w14:paraId="7009D3D4" w14:textId="77777777" w:rsidR="00205198" w:rsidRPr="00F27611" w:rsidRDefault="00205198" w:rsidP="00F27611">
            <w:pPr>
              <w:ind w:left="0"/>
            </w:pPr>
            <w:r w:rsidRPr="00F27611">
              <w:t>Safety Concern</w:t>
            </w:r>
          </w:p>
        </w:tc>
        <w:tc>
          <w:tcPr>
            <w:tcW w:w="2827" w:type="dxa"/>
          </w:tcPr>
          <w:p w14:paraId="44105584" w14:textId="77777777" w:rsidR="00205198" w:rsidRPr="00F27611" w:rsidRDefault="00205198" w:rsidP="00F27611">
            <w:pPr>
              <w:ind w:left="0"/>
            </w:pPr>
            <w:r w:rsidRPr="00F27611">
              <w:t>Additional activity</w:t>
            </w:r>
          </w:p>
        </w:tc>
        <w:tc>
          <w:tcPr>
            <w:tcW w:w="2873" w:type="dxa"/>
          </w:tcPr>
          <w:p w14:paraId="41AD7934" w14:textId="77777777" w:rsidR="00205198" w:rsidRPr="00F27611" w:rsidRDefault="00205198" w:rsidP="00F27611">
            <w:pPr>
              <w:ind w:left="0"/>
            </w:pPr>
            <w:r w:rsidRPr="00F27611">
              <w:t>Proposed actions/ outcomes</w:t>
            </w:r>
          </w:p>
        </w:tc>
        <w:tc>
          <w:tcPr>
            <w:tcW w:w="1990" w:type="dxa"/>
          </w:tcPr>
          <w:p w14:paraId="370F87F9" w14:textId="77777777" w:rsidR="00205198" w:rsidRPr="00F27611" w:rsidRDefault="00205198" w:rsidP="00F27611">
            <w:pPr>
              <w:ind w:left="0"/>
            </w:pPr>
            <w:r w:rsidRPr="00F27611">
              <w:t>Planned submission date</w:t>
            </w:r>
          </w:p>
        </w:tc>
      </w:tr>
      <w:tr w:rsidR="00205198" w:rsidRPr="00F27611" w14:paraId="05101433" w14:textId="77777777" w:rsidTr="00F27611">
        <w:tc>
          <w:tcPr>
            <w:tcW w:w="9469" w:type="dxa"/>
            <w:gridSpan w:val="4"/>
          </w:tcPr>
          <w:p w14:paraId="57E8479C" w14:textId="77777777" w:rsidR="00205198" w:rsidRPr="00F32C31" w:rsidRDefault="00205198" w:rsidP="0025789B">
            <w:pPr>
              <w:pStyle w:val="Tabletext"/>
            </w:pPr>
            <w:r w:rsidRPr="00F27611">
              <w:t>Ongoing studies</w:t>
            </w:r>
          </w:p>
        </w:tc>
      </w:tr>
      <w:tr w:rsidR="00205198" w:rsidRPr="00F27611" w14:paraId="12278067" w14:textId="77777777" w:rsidTr="00F32C31">
        <w:tc>
          <w:tcPr>
            <w:tcW w:w="1779" w:type="dxa"/>
          </w:tcPr>
          <w:p w14:paraId="54E3AAEA" w14:textId="11CC6375" w:rsidR="00205198" w:rsidRPr="00F27611" w:rsidRDefault="00F27611" w:rsidP="0025789B">
            <w:pPr>
              <w:pStyle w:val="Tabletext"/>
            </w:pPr>
            <w:r>
              <w:t>Pelvic inflammatory disease</w:t>
            </w:r>
            <w:r w:rsidR="00205198" w:rsidRPr="00F27611">
              <w:t xml:space="preserve">, ectopic pregnancy, </w:t>
            </w:r>
            <w:r w:rsidR="00205198" w:rsidRPr="00F27611">
              <w:lastRenderedPageBreak/>
              <w:t>unintended pregnancy</w:t>
            </w:r>
          </w:p>
        </w:tc>
        <w:tc>
          <w:tcPr>
            <w:tcW w:w="2827" w:type="dxa"/>
          </w:tcPr>
          <w:p w14:paraId="3D20AA4D" w14:textId="77777777" w:rsidR="00205198" w:rsidRPr="00F27611" w:rsidRDefault="00205198" w:rsidP="0025789B">
            <w:pPr>
              <w:pStyle w:val="Tabletext"/>
            </w:pPr>
            <w:r w:rsidRPr="00F27611">
              <w:lastRenderedPageBreak/>
              <w:t>Outcomes study including DUS component (EURAS-LCS12)</w:t>
            </w:r>
          </w:p>
        </w:tc>
        <w:tc>
          <w:tcPr>
            <w:tcW w:w="2873" w:type="dxa"/>
          </w:tcPr>
          <w:p w14:paraId="41927CF2" w14:textId="70556685" w:rsidR="00205198" w:rsidRPr="00F27611" w:rsidRDefault="00205198" w:rsidP="0025789B">
            <w:pPr>
              <w:pStyle w:val="Tabletext"/>
            </w:pPr>
            <w:r w:rsidRPr="00F27611">
              <w:t>Assess risk of contraceptive</w:t>
            </w:r>
            <w:r w:rsidR="00F27611">
              <w:t xml:space="preserve"> failure including ectopic pregnancy, pelvic inflammatory disease</w:t>
            </w:r>
            <w:r w:rsidRPr="00F27611">
              <w:t xml:space="preserve"> </w:t>
            </w:r>
            <w:r w:rsidRPr="00F27611">
              <w:lastRenderedPageBreak/>
              <w:t>and o</w:t>
            </w:r>
            <w:r w:rsidR="00F32C31">
              <w:t xml:space="preserve">ther clinical outcomes in </w:t>
            </w:r>
            <w:r w:rsidRPr="00F27611">
              <w:t>LCS12 users as compared to users of other IUDs/IUSs in real life.</w:t>
            </w:r>
          </w:p>
        </w:tc>
        <w:tc>
          <w:tcPr>
            <w:tcW w:w="1990" w:type="dxa"/>
          </w:tcPr>
          <w:p w14:paraId="2BD02051" w14:textId="64B54077" w:rsidR="00205198" w:rsidRPr="00F27611" w:rsidRDefault="00F32C31" w:rsidP="0025789B">
            <w:pPr>
              <w:pStyle w:val="Tabletext"/>
            </w:pPr>
            <w:r>
              <w:lastRenderedPageBreak/>
              <w:t>Q2/2021</w:t>
            </w:r>
          </w:p>
          <w:p w14:paraId="6A747E8B" w14:textId="77777777" w:rsidR="00205198" w:rsidRPr="00F27611" w:rsidRDefault="00205198" w:rsidP="0025789B">
            <w:pPr>
              <w:pStyle w:val="Tabletext"/>
            </w:pPr>
            <w:r w:rsidRPr="00F27611">
              <w:t>Annual interim reports</w:t>
            </w:r>
          </w:p>
        </w:tc>
      </w:tr>
      <w:tr w:rsidR="00205198" w:rsidRPr="00F27611" w14:paraId="2A5991F2" w14:textId="77777777" w:rsidTr="00F32C31">
        <w:tc>
          <w:tcPr>
            <w:tcW w:w="1779" w:type="dxa"/>
          </w:tcPr>
          <w:p w14:paraId="1615E490" w14:textId="27F59609" w:rsidR="00205198" w:rsidRPr="00F27611" w:rsidRDefault="00F32C31" w:rsidP="0025789B">
            <w:pPr>
              <w:pStyle w:val="Tabletext"/>
            </w:pPr>
            <w:r>
              <w:lastRenderedPageBreak/>
              <w:t xml:space="preserve">Off-label use in indications other than contraception, off-label use </w:t>
            </w:r>
            <w:r w:rsidR="00205198" w:rsidRPr="00F27611">
              <w:t>beyond 3 years</w:t>
            </w:r>
          </w:p>
        </w:tc>
        <w:tc>
          <w:tcPr>
            <w:tcW w:w="2827" w:type="dxa"/>
          </w:tcPr>
          <w:p w14:paraId="6066F975" w14:textId="2D395A64" w:rsidR="00205198" w:rsidRPr="00F27611" w:rsidRDefault="00F32C31" w:rsidP="0025789B">
            <w:pPr>
              <w:pStyle w:val="Tabletext"/>
            </w:pPr>
            <w:r>
              <w:t>Pharmaco</w:t>
            </w:r>
            <w:r w:rsidR="00AE5728">
              <w:t>-</w:t>
            </w:r>
            <w:r>
              <w:t xml:space="preserve">epidemiological study of LCS12 use in </w:t>
            </w:r>
            <w:r w:rsidR="00205198" w:rsidRPr="00F27611">
              <w:t>r</w:t>
            </w:r>
            <w:r>
              <w:t xml:space="preserve">outine clinical practice </w:t>
            </w:r>
            <w:r w:rsidR="00205198" w:rsidRPr="00F27611">
              <w:t>(Sweden)</w:t>
            </w:r>
          </w:p>
        </w:tc>
        <w:tc>
          <w:tcPr>
            <w:tcW w:w="2873" w:type="dxa"/>
          </w:tcPr>
          <w:p w14:paraId="697CE461" w14:textId="06ED068C" w:rsidR="00205198" w:rsidRPr="00F27611" w:rsidRDefault="00F32C31" w:rsidP="0025789B">
            <w:pPr>
              <w:pStyle w:val="Tabletext"/>
            </w:pPr>
            <w:r>
              <w:t>Drug utilis</w:t>
            </w:r>
            <w:r w:rsidR="00205198" w:rsidRPr="00F27611">
              <w:t>ation study</w:t>
            </w:r>
          </w:p>
        </w:tc>
        <w:tc>
          <w:tcPr>
            <w:tcW w:w="1990" w:type="dxa"/>
          </w:tcPr>
          <w:p w14:paraId="77524623" w14:textId="77777777" w:rsidR="00205198" w:rsidRPr="00F27611" w:rsidRDefault="00205198" w:rsidP="0025789B">
            <w:pPr>
              <w:pStyle w:val="Tabletext"/>
            </w:pPr>
            <w:r w:rsidRPr="00F27611">
              <w:t>Q4/2021</w:t>
            </w:r>
          </w:p>
        </w:tc>
      </w:tr>
    </w:tbl>
    <w:p w14:paraId="69C95E9A" w14:textId="6D3F374C" w:rsidR="00AE5728" w:rsidRDefault="00AE5728" w:rsidP="00AE5728">
      <w:pPr>
        <w:pStyle w:val="TableDescription"/>
        <w:rPr>
          <w:lang w:eastAsia="en-AU"/>
        </w:rPr>
      </w:pPr>
      <w:r>
        <w:rPr>
          <w:lang w:eastAsia="en-AU"/>
        </w:rPr>
        <w:t>Q2=second quarter; Q4=fourth quarter</w:t>
      </w:r>
    </w:p>
    <w:p w14:paraId="6C147359" w14:textId="0901F422"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14:paraId="62C7225B" w14:textId="3084CFBF" w:rsidR="00205198" w:rsidRPr="00F32C31" w:rsidRDefault="00205198" w:rsidP="00F32C31">
      <w:r w:rsidRPr="00F32C31">
        <w:t xml:space="preserve">The proposed risk management activities planned for Australia are routine except for the important potential risk of medication error, which will have additional </w:t>
      </w:r>
      <w:r w:rsidR="00F32C31" w:rsidRPr="00F32C31">
        <w:t>activities.</w:t>
      </w:r>
    </w:p>
    <w:p w14:paraId="0C7DD973" w14:textId="77777777" w:rsidR="00205198" w:rsidRPr="00F32C31" w:rsidRDefault="00205198" w:rsidP="00F32C31">
      <w:r w:rsidRPr="00F32C31">
        <w:t>The sponsor also commits to update the CMI/PI if any safety signal is identified from the PBRERs/PSURs if applicable.</w:t>
      </w:r>
    </w:p>
    <w:p w14:paraId="4D2E4DD8" w14:textId="4B85AB6A" w:rsidR="00AF2FDA" w:rsidRPr="00F32C31" w:rsidRDefault="00AF2FDA" w:rsidP="00F32C31">
      <w:r w:rsidRPr="00F32C31">
        <w:t xml:space="preserve">The additional activities planned are similar to that proposed in the EU-RMP and include physician education materials and a patient reminder card to minimise the risk of premature removal of Kyleena (medication error). The sponsor will provide the physician education material to the TGA when available. The education material is proposed only for physicians, and not </w:t>
      </w:r>
      <w:r w:rsidR="003A1000">
        <w:t xml:space="preserve">for </w:t>
      </w:r>
      <w:r w:rsidRPr="00F32C31">
        <w:t>other healthcare professionals such as pharmacists. As this product will be inserted by a physician this approach is reasonable.</w:t>
      </w:r>
    </w:p>
    <w:p w14:paraId="046D39C7" w14:textId="77777777" w:rsidR="00AF2FDA" w:rsidRPr="00F32C31" w:rsidRDefault="00AF2FDA" w:rsidP="00F32C31">
      <w:r w:rsidRPr="00F32C31">
        <w:t>The patient reminder card has been provided and is based on the reminder card for Jaydess, which is appropriate. The reminder card will capture a record of the date of insertion, latest date for removal and space to record yearly check-ups.</w:t>
      </w:r>
    </w:p>
    <w:p w14:paraId="6D4E46C1" w14:textId="0E69654A" w:rsidR="00AF2FDA" w:rsidRPr="00F32C31" w:rsidRDefault="00AF2FDA" w:rsidP="00F32C31">
      <w:r w:rsidRPr="00F32C31">
        <w:t xml:space="preserve">The EU-RMP version 3 includes additional risk minimisation activity for the important identified risk of ‘ectopic pregnancy’ (Jaydess only). Prescriber educational material is to be provided in the form of an ectopic pregnancy fact sheet. This is not </w:t>
      </w:r>
      <w:r w:rsidR="00F32C31">
        <w:t>being considered for Australia.</w:t>
      </w:r>
    </w:p>
    <w:p w14:paraId="6EFD548B" w14:textId="77777777" w:rsidR="00AF2FDA" w:rsidRPr="00F32C31" w:rsidRDefault="00AF2FDA" w:rsidP="00F32C31">
      <w:r w:rsidRPr="00F32C31">
        <w:t>The sponsor provides the following justification:</w:t>
      </w:r>
    </w:p>
    <w:p w14:paraId="07A15136" w14:textId="30763A31" w:rsidR="00AF2FDA" w:rsidRPr="00F32C31" w:rsidRDefault="00F32C31" w:rsidP="00F32C31">
      <w:pPr>
        <w:pStyle w:val="ListBullet"/>
        <w:rPr>
          <w:i/>
        </w:rPr>
      </w:pPr>
      <w:r w:rsidRPr="00F32C31">
        <w:rPr>
          <w:i/>
        </w:rPr>
        <w:t>‘</w:t>
      </w:r>
      <w:r w:rsidR="00AF2FDA" w:rsidRPr="00F32C31">
        <w:rPr>
          <w:i/>
        </w:rPr>
        <w:t xml:space="preserve">This safety concern is considered well-established amongst prescribers as a class effect of intrauterine contraceptives. In particular, Mirena (another levonorgestrel releasing IUS) has been registered and marketed in Australia since July 2000 and the positive risk/benefit ratio has remained unchanged. Mirena also contains a higher dose of levonorgestrel compared to Jaydess and </w:t>
      </w:r>
      <w:r w:rsidRPr="00F32C31">
        <w:rPr>
          <w:i/>
        </w:rPr>
        <w:t>Kyleena</w:t>
      </w:r>
      <w:r w:rsidR="00AF2FDA" w:rsidRPr="00F32C31">
        <w:rPr>
          <w:i/>
        </w:rPr>
        <w:t>.</w:t>
      </w:r>
    </w:p>
    <w:p w14:paraId="52B529B5" w14:textId="0C56F894" w:rsidR="00AF2FDA" w:rsidRPr="00F32C31" w:rsidRDefault="00AF2FDA" w:rsidP="00F32C31">
      <w:pPr>
        <w:pStyle w:val="ListBullet"/>
        <w:rPr>
          <w:i/>
        </w:rPr>
      </w:pPr>
      <w:r w:rsidRPr="00F32C31">
        <w:rPr>
          <w:i/>
        </w:rPr>
        <w:t>The risk of ectopic pregnancy in case of contraceptive failure with IUDs is considered low. From clinical studies, the overall incidence of ectopic pregnancy with Jaydess is approximately 0.11 per 100 women-years. This rate is lower than in women n</w:t>
      </w:r>
      <w:r w:rsidR="00F32C31" w:rsidRPr="00F32C31">
        <w:rPr>
          <w:i/>
        </w:rPr>
        <w:t xml:space="preserve">ot using any contraception (0.3 to </w:t>
      </w:r>
      <w:r w:rsidRPr="00F32C31">
        <w:rPr>
          <w:i/>
        </w:rPr>
        <w:t xml:space="preserve">0.5 per 100 women-years). From clinical studies, the overall incidence of </w:t>
      </w:r>
      <w:r w:rsidR="00F32C31" w:rsidRPr="00F32C31">
        <w:rPr>
          <w:i/>
        </w:rPr>
        <w:t>ectopic pregnancy with Kyleena</w:t>
      </w:r>
      <w:r w:rsidRPr="00F32C31">
        <w:rPr>
          <w:i/>
        </w:rPr>
        <w:t xml:space="preserve"> is approximately 0.20 per 100 women-years. This rate is lower than in women n</w:t>
      </w:r>
      <w:r w:rsidR="00F32C31" w:rsidRPr="00F32C31">
        <w:rPr>
          <w:i/>
        </w:rPr>
        <w:t>ot using any contraception (0.3 to 0.5 per 100 women-years)’.</w:t>
      </w:r>
    </w:p>
    <w:p w14:paraId="0B0DDB3A" w14:textId="0EA0D619" w:rsidR="00AF2FDA" w:rsidRPr="00F32C31" w:rsidRDefault="00AF2FDA" w:rsidP="00F32C31">
      <w:r w:rsidRPr="00F32C31">
        <w:lastRenderedPageBreak/>
        <w:t>Ectopic pregnancy is covered adequately in the PI and CMI and therefore the additional risk minimisation activity for ectopic pregnancy does not seem warranted given that Kyleena is similar to Mirena but a lower dose. In addition, the ASA for Jaydess (version 3.4, March 2015) was updated with the removal of ‘Ectopic Pregnancy’ as requiring additional risk minimisation activities</w:t>
      </w:r>
      <w:r w:rsidR="00112740">
        <w:t xml:space="preserve">; </w:t>
      </w:r>
      <w:r w:rsidR="00AE5728">
        <w:t>that is</w:t>
      </w:r>
      <w:r w:rsidRPr="00F32C31">
        <w:t xml:space="preserve"> education material. This has been previously approved by the TGA.</w:t>
      </w:r>
    </w:p>
    <w:p w14:paraId="2AFF784C" w14:textId="102D539A" w:rsidR="00205198" w:rsidRPr="00205198" w:rsidRDefault="00AF2FDA" w:rsidP="00205198">
      <w:r w:rsidRPr="00F32C31">
        <w:t>It is noted that for</w:t>
      </w:r>
      <w:r w:rsidR="00F32C31">
        <w:t xml:space="preserve"> the important identified risk ‘ectopic pregnancy’</w:t>
      </w:r>
      <w:r w:rsidRPr="00F32C31">
        <w:t xml:space="preserve"> and important potential r</w:t>
      </w:r>
      <w:r w:rsidR="00F32C31">
        <w:t>isk ‘medication error’</w:t>
      </w:r>
      <w:r w:rsidRPr="00F32C31">
        <w:t xml:space="preserve"> in the ASA states that there are no additional RMP activities planned for the EU or for Australia. However, the sponsor proposes physician education material and a patient reminder card to address medication error in both the EU and Australia and communication with health care professionals for ectopic pregnancy in </w:t>
      </w:r>
      <w:r w:rsidR="003A1000">
        <w:t>the EU (Jaydess only</w:t>
      </w:r>
      <w:r w:rsidRPr="00F32C31">
        <w:t>)</w:t>
      </w:r>
      <w:r w:rsidR="003A1000">
        <w:t>.</w:t>
      </w:r>
      <w:r w:rsidRPr="00F32C31">
        <w:t xml:space="preserve"> These additional risk minimisation activities should be accurately </w:t>
      </w:r>
      <w:r w:rsidR="00F32C31">
        <w:t>reported in the EU-RMP and ASA.</w:t>
      </w:r>
    </w:p>
    <w:p w14:paraId="197B1B6C" w14:textId="39AA6B14" w:rsidR="006F25B8" w:rsidRDefault="006F25B8" w:rsidP="006F25B8">
      <w:pPr>
        <w:pStyle w:val="Heading4"/>
        <w:rPr>
          <w:lang w:eastAsia="en-AU"/>
        </w:rPr>
      </w:pPr>
      <w:bookmarkStart w:id="95" w:name="_Toc247691527"/>
      <w:r w:rsidRPr="006F25B8">
        <w:rPr>
          <w:lang w:eastAsia="en-AU"/>
        </w:rPr>
        <w:t>Reconciliation of is</w:t>
      </w:r>
      <w:r w:rsidR="00B11911">
        <w:rPr>
          <w:lang w:eastAsia="en-AU"/>
        </w:rPr>
        <w:t>sues outlined in the RMP report</w:t>
      </w:r>
    </w:p>
    <w:p w14:paraId="4A4A67F3" w14:textId="3C509CB4" w:rsidR="006F25B8" w:rsidRDefault="00F32C31" w:rsidP="006F25B8">
      <w:pPr>
        <w:rPr>
          <w:lang w:eastAsia="en-AU"/>
        </w:rPr>
      </w:pPr>
      <w:r>
        <w:rPr>
          <w:lang w:eastAsia="en-AU"/>
        </w:rPr>
        <w:t>Table 5</w:t>
      </w:r>
      <w:r w:rsidR="003A1000">
        <w:rPr>
          <w:lang w:eastAsia="en-AU"/>
        </w:rPr>
        <w:t xml:space="preserve"> below</w:t>
      </w:r>
      <w:r>
        <w:rPr>
          <w:lang w:eastAsia="en-AU"/>
        </w:rPr>
        <w:t xml:space="preserve">, </w:t>
      </w:r>
      <w:r w:rsidR="006F25B8">
        <w:rPr>
          <w:lang w:eastAsia="en-AU"/>
        </w:rPr>
        <w:t>summarises the first round evaluation of the RMP, the sponsor’s responses to issues raised by the</w:t>
      </w:r>
      <w:r w:rsidR="004D2331">
        <w:rPr>
          <w:lang w:eastAsia="en-AU"/>
        </w:rPr>
        <w:t xml:space="preserve"> TGA</w:t>
      </w:r>
      <w:r w:rsidR="006F25B8">
        <w:rPr>
          <w:lang w:eastAsia="en-AU"/>
        </w:rPr>
        <w:t xml:space="preserve"> and the </w:t>
      </w:r>
      <w:r w:rsidR="00AB2A32">
        <w:rPr>
          <w:lang w:eastAsia="en-AU"/>
        </w:rPr>
        <w:t>RMP evaluator</w:t>
      </w:r>
      <w:r w:rsidR="006F25B8">
        <w:rPr>
          <w:lang w:eastAsia="en-AU"/>
        </w:rPr>
        <w:t>’s evaluat</w:t>
      </w:r>
      <w:r w:rsidR="00AB2A32">
        <w:rPr>
          <w:lang w:eastAsia="en-AU"/>
        </w:rPr>
        <w:t>ion of the sponsor’s responses.</w:t>
      </w:r>
    </w:p>
    <w:p w14:paraId="59C71917" w14:textId="22928069" w:rsidR="00F32C31" w:rsidRDefault="00F32C31" w:rsidP="00F32C31">
      <w:pPr>
        <w:pStyle w:val="Tabletitle0"/>
        <w:rPr>
          <w:lang w:eastAsia="en-AU"/>
        </w:rPr>
      </w:pPr>
      <w:r>
        <w:rPr>
          <w:lang w:eastAsia="en-AU"/>
        </w:rPr>
        <w:t>Table 5. Reconciliation of issues outlined in the RMP report</w:t>
      </w:r>
    </w:p>
    <w:tbl>
      <w:tblPr>
        <w:tblStyle w:val="TableTGAblue"/>
        <w:tblW w:w="4946" w:type="pct"/>
        <w:tblLayout w:type="fixed"/>
        <w:tblLook w:val="04A0" w:firstRow="1" w:lastRow="0" w:firstColumn="1" w:lastColumn="0" w:noHBand="0" w:noVBand="1"/>
        <w:tblDescription w:val="Table 5. Reconciliation of issues outlined in the RMP report"/>
      </w:tblPr>
      <w:tblGrid>
        <w:gridCol w:w="8626"/>
      </w:tblGrid>
      <w:tr w:rsidR="002F1A6A" w:rsidRPr="00ED7A0A" w14:paraId="7C1A1C08" w14:textId="4D873FD3" w:rsidTr="002F1A6A">
        <w:trPr>
          <w:cnfStyle w:val="100000000000" w:firstRow="1" w:lastRow="0" w:firstColumn="0" w:lastColumn="0" w:oddVBand="0" w:evenVBand="0" w:oddHBand="0" w:evenHBand="0" w:firstRowFirstColumn="0" w:firstRowLastColumn="0" w:lastRowFirstColumn="0" w:lastRowLastColumn="0"/>
        </w:trPr>
        <w:tc>
          <w:tcPr>
            <w:tcW w:w="5000" w:type="pct"/>
            <w:noWrap/>
          </w:tcPr>
          <w:p w14:paraId="7F47AF39" w14:textId="7F647FC9" w:rsidR="002F1A6A" w:rsidRPr="00ED7A0A" w:rsidRDefault="002F1A6A" w:rsidP="00ED7A0A">
            <w:r>
              <w:t>Reconciliation of issues outlined in the RMP report</w:t>
            </w:r>
          </w:p>
        </w:tc>
      </w:tr>
      <w:tr w:rsidR="00ED7A0A" w:rsidRPr="00ED7A0A" w14:paraId="0AC3C4D4" w14:textId="2991D918" w:rsidTr="002F1A6A">
        <w:tc>
          <w:tcPr>
            <w:tcW w:w="5000" w:type="pct"/>
            <w:noWrap/>
          </w:tcPr>
          <w:p w14:paraId="411CD929" w14:textId="7C3F75A9" w:rsidR="00ED7A0A" w:rsidRPr="00ED7A0A" w:rsidRDefault="00ED7A0A" w:rsidP="0025789B">
            <w:pPr>
              <w:pStyle w:val="Tabletext"/>
            </w:pPr>
            <w:r w:rsidRPr="002F1A6A">
              <w:rPr>
                <w:b/>
              </w:rPr>
              <w:t>Recommendation 1</w:t>
            </w:r>
            <w:r w:rsidRPr="00ED7A0A">
              <w:t>: Any saf</w:t>
            </w:r>
            <w:r w:rsidR="002F1A6A">
              <w:t>ety concerns identified by the c</w:t>
            </w:r>
            <w:r w:rsidRPr="00ED7A0A">
              <w:t xml:space="preserve">linical or </w:t>
            </w:r>
            <w:r w:rsidR="002F1A6A">
              <w:t>nonclinical e</w:t>
            </w:r>
            <w:r w:rsidRPr="00ED7A0A">
              <w:t xml:space="preserve">valuators that impact on the safety specifications should </w:t>
            </w:r>
            <w:r w:rsidR="00956B9C">
              <w:t>be addressed in a revised RMP.</w:t>
            </w:r>
          </w:p>
        </w:tc>
      </w:tr>
      <w:tr w:rsidR="00ED7A0A" w:rsidRPr="00ED7A0A" w14:paraId="496F473E" w14:textId="36C1CDB5" w:rsidTr="002F1A6A">
        <w:tc>
          <w:tcPr>
            <w:tcW w:w="5000" w:type="pct"/>
            <w:noWrap/>
          </w:tcPr>
          <w:p w14:paraId="13629EB5" w14:textId="0F291971" w:rsidR="00ED7A0A" w:rsidRPr="00ED7A0A" w:rsidRDefault="00ED7A0A" w:rsidP="0025789B">
            <w:pPr>
              <w:pStyle w:val="Tabletext"/>
            </w:pPr>
            <w:r w:rsidRPr="002F1A6A">
              <w:rPr>
                <w:i/>
              </w:rPr>
              <w:t>Sponsor’s response</w:t>
            </w:r>
            <w:r w:rsidRPr="00ED7A0A">
              <w:t xml:space="preserve">: </w:t>
            </w:r>
            <w:r w:rsidR="002F1A6A">
              <w:t>The sponsor</w:t>
            </w:r>
            <w:r w:rsidRPr="00ED7A0A">
              <w:t xml:space="preserve"> confirms that any saf</w:t>
            </w:r>
            <w:r w:rsidR="002F1A6A">
              <w:t>ety concerns identified by the clinical or nonclinical e</w:t>
            </w:r>
            <w:r w:rsidRPr="00ED7A0A">
              <w:t>valuators that impact the safety specifications will be addressed in the RMP.</w:t>
            </w:r>
          </w:p>
        </w:tc>
      </w:tr>
      <w:tr w:rsidR="00ED7A0A" w:rsidRPr="00ED7A0A" w14:paraId="02DD64C2" w14:textId="71FBC526" w:rsidTr="002F1A6A">
        <w:tc>
          <w:tcPr>
            <w:tcW w:w="5000" w:type="pct"/>
            <w:noWrap/>
          </w:tcPr>
          <w:p w14:paraId="4D0CE5EC" w14:textId="1D5571CF" w:rsidR="00ED7A0A" w:rsidRPr="00ED7A0A" w:rsidRDefault="002F1A6A" w:rsidP="0025789B">
            <w:pPr>
              <w:pStyle w:val="Tabletext"/>
            </w:pPr>
            <w:r>
              <w:rPr>
                <w:b/>
              </w:rPr>
              <w:t>RMP e</w:t>
            </w:r>
            <w:r w:rsidR="00ED7A0A" w:rsidRPr="002F1A6A">
              <w:rPr>
                <w:b/>
              </w:rPr>
              <w:t>valuator</w:t>
            </w:r>
            <w:r w:rsidR="005702A8">
              <w:rPr>
                <w:b/>
              </w:rPr>
              <w:t>’s</w:t>
            </w:r>
            <w:r w:rsidR="00ED7A0A" w:rsidRPr="002F1A6A">
              <w:rPr>
                <w:b/>
              </w:rPr>
              <w:t xml:space="preserve"> comment</w:t>
            </w:r>
            <w:r w:rsidR="00ED7A0A" w:rsidRPr="00ED7A0A">
              <w:t xml:space="preserve">: The sponsor’s response is noted. However, the sponsor has not included </w:t>
            </w:r>
            <w:r>
              <w:rPr>
                <w:i/>
              </w:rPr>
              <w:t>‘</w:t>
            </w:r>
            <w:r w:rsidR="00ED7A0A" w:rsidRPr="002F1A6A">
              <w:rPr>
                <w:i/>
              </w:rPr>
              <w:t>Safety with MRI</w:t>
            </w:r>
            <w:r>
              <w:t>’</w:t>
            </w:r>
            <w:r w:rsidR="00ED7A0A" w:rsidRPr="00ED7A0A">
              <w:t xml:space="preserve"> in Missing information of the Summary</w:t>
            </w:r>
            <w:r w:rsidR="00AE5728">
              <w:t xml:space="preserve"> of Safety Concerns as per the clinical e</w:t>
            </w:r>
            <w:r w:rsidR="00ED7A0A" w:rsidRPr="00ED7A0A">
              <w:t xml:space="preserve">valuator’s recommendation. The sponsor states in </w:t>
            </w:r>
            <w:r w:rsidR="00AE5728">
              <w:t>their</w:t>
            </w:r>
            <w:r w:rsidR="00ED7A0A" w:rsidRPr="00ED7A0A">
              <w:t xml:space="preserve"> response that patients with Kyleena</w:t>
            </w:r>
            <w:r>
              <w:t xml:space="preserve"> in-</w:t>
            </w:r>
            <w:r w:rsidR="00ED7A0A" w:rsidRPr="00ED7A0A">
              <w:t>situ can be safe</w:t>
            </w:r>
            <w:r w:rsidR="00AE5728">
              <w:t>l</w:t>
            </w:r>
            <w:r w:rsidR="00ED7A0A" w:rsidRPr="00ED7A0A">
              <w:t>y scanned using MRI</w:t>
            </w:r>
            <w:r w:rsidR="00AE5728">
              <w:t xml:space="preserve"> and the </w:t>
            </w:r>
            <w:r w:rsidR="00ED7A0A" w:rsidRPr="00ED7A0A">
              <w:t xml:space="preserve">PI </w:t>
            </w:r>
            <w:r w:rsidR="00AE5728">
              <w:t xml:space="preserve">has been updated </w:t>
            </w:r>
            <w:r w:rsidR="00ED7A0A" w:rsidRPr="00ED7A0A">
              <w:t>with this information. The sponsor provided</w:t>
            </w:r>
            <w:r>
              <w:t xml:space="preserve"> </w:t>
            </w:r>
            <w:r w:rsidRPr="00586B33">
              <w:rPr>
                <w:i/>
              </w:rPr>
              <w:t xml:space="preserve">Design Verification Reports: </w:t>
            </w:r>
            <w:r w:rsidR="00ED7A0A" w:rsidRPr="00586B33">
              <w:rPr>
                <w:i/>
              </w:rPr>
              <w:t xml:space="preserve">Evaluation of Magnetic Field Interactions, Heating, and </w:t>
            </w:r>
            <w:r w:rsidR="00AE5728">
              <w:rPr>
                <w:i/>
              </w:rPr>
              <w:t>Art</w:t>
            </w:r>
            <w:r w:rsidR="00A851BE">
              <w:rPr>
                <w:i/>
              </w:rPr>
              <w:t>e</w:t>
            </w:r>
            <w:r w:rsidR="003A1000" w:rsidRPr="00586B33">
              <w:rPr>
                <w:i/>
              </w:rPr>
              <w:t>facts</w:t>
            </w:r>
            <w:r w:rsidR="00ED7A0A" w:rsidRPr="00586B33">
              <w:rPr>
                <w:i/>
              </w:rPr>
              <w:t xml:space="preserve"> at 3-Tesla for the IUD, LCS, Ultra Low Dose Levonorgestrel Contraceptive System for Kyleena and Kyleena/Jaydess</w:t>
            </w:r>
            <w:r w:rsidR="00ED7A0A" w:rsidRPr="00ED7A0A">
              <w:t xml:space="preserve"> to support the inclusion of this precautionary statement in the PI. Kyleena is MR-conditional, similar to Jaydess.</w:t>
            </w:r>
            <w:r>
              <w:t xml:space="preserve"> The inclusion of ‘Safety with MRI’</w:t>
            </w:r>
            <w:r w:rsidR="00ED7A0A" w:rsidRPr="00ED7A0A">
              <w:t xml:space="preserve"> in Missing Information of the Summary of Safety Concerns is an outstanding issue and should be addressed by the sponsor.</w:t>
            </w:r>
          </w:p>
        </w:tc>
      </w:tr>
      <w:tr w:rsidR="00ED7A0A" w:rsidRPr="00ED7A0A" w14:paraId="788616DE" w14:textId="5BA1661F" w:rsidTr="002F1A6A">
        <w:tc>
          <w:tcPr>
            <w:tcW w:w="5000" w:type="pct"/>
            <w:noWrap/>
          </w:tcPr>
          <w:p w14:paraId="026F07AD" w14:textId="14DF753D" w:rsidR="00ED7A0A" w:rsidRPr="00ED7A0A" w:rsidRDefault="00ED7A0A" w:rsidP="0025789B">
            <w:pPr>
              <w:pStyle w:val="Tabletext"/>
            </w:pPr>
            <w:r w:rsidRPr="002F1A6A">
              <w:rPr>
                <w:b/>
              </w:rPr>
              <w:t>Recommendation 2</w:t>
            </w:r>
            <w:r w:rsidRPr="00ED7A0A">
              <w:t xml:space="preserve">: </w:t>
            </w:r>
            <w:r w:rsidR="002F1A6A">
              <w:t>In the ASA</w:t>
            </w:r>
            <w:r w:rsidRPr="00ED7A0A">
              <w:t xml:space="preserve">, the wording regarding what to do if expulsion occurs reproduced from the CMI has been superseded (states </w:t>
            </w:r>
            <w:r w:rsidR="002F1A6A">
              <w:t>‘[the sponsor] Drug Safety should be contacted’</w:t>
            </w:r>
            <w:r w:rsidRPr="00ED7A0A">
              <w:t>). This should be changed to reflect the revised wording in the draft CMI.</w:t>
            </w:r>
          </w:p>
        </w:tc>
      </w:tr>
      <w:tr w:rsidR="00ED7A0A" w:rsidRPr="00ED7A0A" w14:paraId="61713654" w14:textId="5C0C55EF" w:rsidTr="002F1A6A">
        <w:tc>
          <w:tcPr>
            <w:tcW w:w="5000" w:type="pct"/>
            <w:noWrap/>
          </w:tcPr>
          <w:p w14:paraId="4B283B21" w14:textId="31DF3BF8" w:rsidR="00ED7A0A" w:rsidRPr="00ED7A0A" w:rsidRDefault="00ED7A0A" w:rsidP="0025789B">
            <w:pPr>
              <w:pStyle w:val="Tabletext"/>
            </w:pPr>
            <w:r w:rsidRPr="002F1A6A">
              <w:rPr>
                <w:i/>
              </w:rPr>
              <w:t>Sponsor’s response</w:t>
            </w:r>
            <w:r w:rsidRPr="00ED7A0A">
              <w:t xml:space="preserve">: </w:t>
            </w:r>
            <w:r w:rsidR="002F1A6A">
              <w:t>T</w:t>
            </w:r>
            <w:r w:rsidRPr="00ED7A0A">
              <w:t>he ASA has been updated as per the revised wording in the draft CMI.</w:t>
            </w:r>
          </w:p>
        </w:tc>
      </w:tr>
      <w:tr w:rsidR="00ED7A0A" w:rsidRPr="00ED7A0A" w14:paraId="1FD56FE4" w14:textId="42ABFAB5" w:rsidTr="002F1A6A">
        <w:tc>
          <w:tcPr>
            <w:tcW w:w="5000" w:type="pct"/>
            <w:noWrap/>
          </w:tcPr>
          <w:p w14:paraId="4F3E3072" w14:textId="63AB6E1B" w:rsidR="00ED7A0A" w:rsidRPr="00ED7A0A" w:rsidRDefault="00E614C6" w:rsidP="0025789B">
            <w:pPr>
              <w:pStyle w:val="Tabletext"/>
            </w:pPr>
            <w:r>
              <w:rPr>
                <w:b/>
              </w:rPr>
              <w:t>RMP e</w:t>
            </w:r>
            <w:r w:rsidR="00ED7A0A" w:rsidRPr="002F1A6A">
              <w:rPr>
                <w:b/>
              </w:rPr>
              <w:t>valuator</w:t>
            </w:r>
            <w:r w:rsidR="005702A8">
              <w:rPr>
                <w:b/>
              </w:rPr>
              <w:t>’s</w:t>
            </w:r>
            <w:r w:rsidR="00ED7A0A" w:rsidRPr="002F1A6A">
              <w:rPr>
                <w:b/>
              </w:rPr>
              <w:t xml:space="preserve"> comment</w:t>
            </w:r>
            <w:r w:rsidR="00ED7A0A" w:rsidRPr="00ED7A0A">
              <w:t>: The table has been updated appropriately.</w:t>
            </w:r>
          </w:p>
        </w:tc>
      </w:tr>
      <w:tr w:rsidR="00ED7A0A" w:rsidRPr="00ED7A0A" w14:paraId="533E27A3" w14:textId="1B096BCB" w:rsidTr="002F1A6A">
        <w:tc>
          <w:tcPr>
            <w:tcW w:w="5000" w:type="pct"/>
            <w:noWrap/>
          </w:tcPr>
          <w:p w14:paraId="5A323593" w14:textId="33A9FADB" w:rsidR="00ED7A0A" w:rsidRPr="00ED7A0A" w:rsidRDefault="00ED7A0A" w:rsidP="0025789B">
            <w:pPr>
              <w:pStyle w:val="Tabletext"/>
            </w:pPr>
            <w:r w:rsidRPr="00E614C6">
              <w:rPr>
                <w:b/>
              </w:rPr>
              <w:t>Recommendation 3</w:t>
            </w:r>
            <w:r w:rsidRPr="00ED7A0A">
              <w:t>: In the ASA, for</w:t>
            </w:r>
            <w:r w:rsidR="00E614C6">
              <w:t xml:space="preserve"> the important identified risk ‘ectopic pregnancy’ and important potential risk ‘medication error’, the table </w:t>
            </w:r>
            <w:r w:rsidRPr="00ED7A0A">
              <w:t xml:space="preserve">states that there is no additional RMP activities planned for the EU or for Australia. However, the sponsor </w:t>
            </w:r>
            <w:r w:rsidRPr="00ED7A0A">
              <w:lastRenderedPageBreak/>
              <w:t xml:space="preserve">proposes physician education material and a patient reminder card to address medication error in both the EU and Australia and communication with health care professionals </w:t>
            </w:r>
            <w:r w:rsidR="00E614C6">
              <w:t>for ectopic pregnancy (</w:t>
            </w:r>
            <w:r w:rsidRPr="00ED7A0A">
              <w:t>EU only</w:t>
            </w:r>
            <w:r w:rsidR="00E614C6">
              <w:t>)</w:t>
            </w:r>
            <w:r w:rsidRPr="00ED7A0A">
              <w:t>. This table should be corrected.</w:t>
            </w:r>
          </w:p>
        </w:tc>
      </w:tr>
      <w:tr w:rsidR="00ED7A0A" w:rsidRPr="00ED7A0A" w14:paraId="29D1C7E2" w14:textId="1D260FBD" w:rsidTr="002F1A6A">
        <w:trPr>
          <w:trHeight w:val="180"/>
        </w:trPr>
        <w:tc>
          <w:tcPr>
            <w:tcW w:w="5000" w:type="pct"/>
            <w:noWrap/>
          </w:tcPr>
          <w:p w14:paraId="0FB4E56A" w14:textId="4643411F" w:rsidR="00ED7A0A" w:rsidRPr="00ED7A0A" w:rsidRDefault="00ED7A0A" w:rsidP="0025789B">
            <w:pPr>
              <w:pStyle w:val="Tabletext"/>
            </w:pPr>
            <w:r w:rsidRPr="00E614C6">
              <w:rPr>
                <w:i/>
              </w:rPr>
              <w:lastRenderedPageBreak/>
              <w:t>Sponsor’s response</w:t>
            </w:r>
            <w:r w:rsidRPr="00ED7A0A">
              <w:t xml:space="preserve">: </w:t>
            </w:r>
            <w:r w:rsidR="00E614C6">
              <w:t>The sponsor</w:t>
            </w:r>
            <w:r w:rsidRPr="00ED7A0A">
              <w:t xml:space="preserve"> wishes to clarify that no additional risk minimisation activities are proposed for the</w:t>
            </w:r>
            <w:r w:rsidR="00E614C6">
              <w:t xml:space="preserve"> important identified risk ‘ectopic pregnancy’ in the EU for LCS16. </w:t>
            </w:r>
            <w:r w:rsidRPr="00ED7A0A">
              <w:t xml:space="preserve">However, </w:t>
            </w:r>
            <w:r w:rsidR="00E614C6">
              <w:t>the table</w:t>
            </w:r>
            <w:r w:rsidRPr="00ED7A0A">
              <w:t xml:space="preserve"> in the ASA has been amended to include the physician educational material and patient reminder card to address medication error for both the EU and Australia.</w:t>
            </w:r>
          </w:p>
        </w:tc>
      </w:tr>
      <w:tr w:rsidR="00ED7A0A" w:rsidRPr="00ED7A0A" w14:paraId="18C2CB6D" w14:textId="4FC40021" w:rsidTr="002F1A6A">
        <w:trPr>
          <w:trHeight w:val="110"/>
        </w:trPr>
        <w:tc>
          <w:tcPr>
            <w:tcW w:w="5000" w:type="pct"/>
            <w:noWrap/>
          </w:tcPr>
          <w:p w14:paraId="6FEE01AA" w14:textId="5B54656D" w:rsidR="00ED7A0A" w:rsidRPr="00ED7A0A" w:rsidRDefault="00E614C6" w:rsidP="0025789B">
            <w:pPr>
              <w:pStyle w:val="Tabletext"/>
            </w:pPr>
            <w:r>
              <w:rPr>
                <w:b/>
              </w:rPr>
              <w:t>RMP e</w:t>
            </w:r>
            <w:r w:rsidR="00ED7A0A" w:rsidRPr="00E614C6">
              <w:rPr>
                <w:b/>
              </w:rPr>
              <w:t>valuator</w:t>
            </w:r>
            <w:r w:rsidR="00C20F78">
              <w:rPr>
                <w:b/>
              </w:rPr>
              <w:t>’s</w:t>
            </w:r>
            <w:r w:rsidR="00ED7A0A" w:rsidRPr="00E614C6">
              <w:rPr>
                <w:b/>
              </w:rPr>
              <w:t xml:space="preserve"> comment</w:t>
            </w:r>
            <w:r w:rsidR="00ED7A0A" w:rsidRPr="00ED7A0A">
              <w:t xml:space="preserve">: </w:t>
            </w:r>
            <w:r>
              <w:t>The table</w:t>
            </w:r>
            <w:r w:rsidR="00ED7A0A" w:rsidRPr="00ED7A0A">
              <w:t xml:space="preserve"> has been updated. However, the sponsor now proposes only a patient reminder card as an additional risk mi</w:t>
            </w:r>
            <w:r>
              <w:t>nimisation activity to address ‘Medication Error’ and does not propose health care professional</w:t>
            </w:r>
            <w:r w:rsidR="00ED7A0A" w:rsidRPr="00ED7A0A">
              <w:t xml:space="preserve"> educational material as it no longer proposes to market Jaydess. The RMP </w:t>
            </w:r>
            <w:r>
              <w:t>evaluator considers that the health care professional</w:t>
            </w:r>
            <w:r w:rsidR="00ED7A0A" w:rsidRPr="00ED7A0A">
              <w:t xml:space="preserve"> education material, as well as the Physician Questionnaire, should be adapted to provide information about Mirena and Kyleena.</w:t>
            </w:r>
          </w:p>
        </w:tc>
      </w:tr>
      <w:tr w:rsidR="00ED7A0A" w:rsidRPr="00ED7A0A" w14:paraId="78B41EBA" w14:textId="3CA9F6B6" w:rsidTr="002F1A6A">
        <w:trPr>
          <w:trHeight w:val="140"/>
        </w:trPr>
        <w:tc>
          <w:tcPr>
            <w:tcW w:w="5000" w:type="pct"/>
            <w:noWrap/>
          </w:tcPr>
          <w:p w14:paraId="0402C109" w14:textId="09773146" w:rsidR="00ED7A0A" w:rsidRPr="00ED7A0A" w:rsidRDefault="00ED7A0A" w:rsidP="0025789B">
            <w:pPr>
              <w:pStyle w:val="Tabletext"/>
            </w:pPr>
            <w:r w:rsidRPr="00E614C6">
              <w:rPr>
                <w:b/>
              </w:rPr>
              <w:t>Recommendation 4</w:t>
            </w:r>
            <w:r w:rsidRPr="00ED7A0A">
              <w:t>: The sponsor should clarify if it intends to make similar changes to the CMI for J</w:t>
            </w:r>
            <w:r w:rsidR="00E614C6">
              <w:t>aydess</w:t>
            </w:r>
            <w:r w:rsidRPr="00ED7A0A">
              <w:t xml:space="preserve"> and M</w:t>
            </w:r>
            <w:r w:rsidR="00E614C6">
              <w:t>irena</w:t>
            </w:r>
            <w:r w:rsidRPr="00ED7A0A">
              <w:t xml:space="preserve"> with regards to the drug interactions and what to do if the product is expelled.</w:t>
            </w:r>
          </w:p>
        </w:tc>
      </w:tr>
      <w:tr w:rsidR="00ED7A0A" w:rsidRPr="00ED7A0A" w14:paraId="69ED1664" w14:textId="3F5BCC52" w:rsidTr="002F1A6A">
        <w:trPr>
          <w:trHeight w:val="180"/>
        </w:trPr>
        <w:tc>
          <w:tcPr>
            <w:tcW w:w="5000" w:type="pct"/>
            <w:noWrap/>
          </w:tcPr>
          <w:p w14:paraId="2C2D88FD" w14:textId="58794513" w:rsidR="00ED7A0A" w:rsidRPr="00ED7A0A" w:rsidRDefault="00ED7A0A" w:rsidP="0025789B">
            <w:pPr>
              <w:pStyle w:val="Tabletext"/>
            </w:pPr>
            <w:r w:rsidRPr="00E614C6">
              <w:rPr>
                <w:i/>
              </w:rPr>
              <w:t>Sponsor’s response</w:t>
            </w:r>
            <w:r w:rsidRPr="00ED7A0A">
              <w:t>: It is planned to make similar changes to the drug interactions sections for the Mirena and</w:t>
            </w:r>
            <w:r w:rsidR="00E614C6">
              <w:t xml:space="preserve"> </w:t>
            </w:r>
            <w:r w:rsidRPr="00ED7A0A">
              <w:t>Jaydess PIs in early 2017. The Mirena and Jaydess CMIs will also be updated to include the information regarding what to do in the event of a product expulsion.</w:t>
            </w:r>
          </w:p>
        </w:tc>
      </w:tr>
      <w:tr w:rsidR="00ED7A0A" w:rsidRPr="00ED7A0A" w14:paraId="3A34C3C9" w14:textId="358498F1" w:rsidTr="002F1A6A">
        <w:trPr>
          <w:trHeight w:val="130"/>
        </w:trPr>
        <w:tc>
          <w:tcPr>
            <w:tcW w:w="5000" w:type="pct"/>
            <w:noWrap/>
          </w:tcPr>
          <w:p w14:paraId="4780FB48" w14:textId="17410C61" w:rsidR="00ED7A0A" w:rsidRPr="00ED7A0A" w:rsidRDefault="00956B9C" w:rsidP="0025789B">
            <w:pPr>
              <w:pStyle w:val="Tabletext"/>
            </w:pPr>
            <w:r>
              <w:rPr>
                <w:b/>
              </w:rPr>
              <w:t>RMP e</w:t>
            </w:r>
            <w:r w:rsidR="00ED7A0A" w:rsidRPr="00E614C6">
              <w:rPr>
                <w:b/>
              </w:rPr>
              <w:t>valuator comment</w:t>
            </w:r>
            <w:r w:rsidR="00ED7A0A" w:rsidRPr="00ED7A0A">
              <w:t>: The sponsor’s response is acceptable.</w:t>
            </w:r>
          </w:p>
        </w:tc>
      </w:tr>
      <w:tr w:rsidR="00ED7A0A" w:rsidRPr="00ED7A0A" w14:paraId="7E7F8248" w14:textId="65C017F1" w:rsidTr="002F1A6A">
        <w:trPr>
          <w:trHeight w:val="120"/>
        </w:trPr>
        <w:tc>
          <w:tcPr>
            <w:tcW w:w="5000" w:type="pct"/>
            <w:noWrap/>
          </w:tcPr>
          <w:p w14:paraId="1547CC91" w14:textId="087AB00A" w:rsidR="00ED7A0A" w:rsidRPr="00ED7A0A" w:rsidRDefault="00ED7A0A" w:rsidP="0025789B">
            <w:pPr>
              <w:pStyle w:val="Tabletext"/>
            </w:pPr>
            <w:r w:rsidRPr="00E614C6">
              <w:rPr>
                <w:b/>
              </w:rPr>
              <w:t>Recommendation 5</w:t>
            </w:r>
            <w:r w:rsidRPr="00ED7A0A">
              <w:t xml:space="preserve">: The PI includes additional information under the following headings in the </w:t>
            </w:r>
            <w:r w:rsidR="00C20F78">
              <w:t>‘</w:t>
            </w:r>
            <w:r w:rsidRPr="00ED7A0A">
              <w:t>Precautions</w:t>
            </w:r>
            <w:r w:rsidR="00C20F78">
              <w:t>’</w:t>
            </w:r>
            <w:r w:rsidRPr="00ED7A0A">
              <w:t xml:space="preserve"> section: Paediatric Use and Interactions with Other Medicines, and Ethnic Differences. The Delegate should consider whether similar PI changes should be made for M</w:t>
            </w:r>
            <w:r w:rsidR="00E614C6">
              <w:t>irena</w:t>
            </w:r>
            <w:r w:rsidRPr="00ED7A0A">
              <w:t xml:space="preserve"> and J</w:t>
            </w:r>
            <w:r w:rsidR="00E614C6">
              <w:t>aydess</w:t>
            </w:r>
            <w:r w:rsidRPr="00ED7A0A">
              <w:t xml:space="preserve"> to reflect the proposed changes i</w:t>
            </w:r>
            <w:r w:rsidR="00C20F78">
              <w:t>n the draft PI for Kyleena</w:t>
            </w:r>
            <w:r w:rsidRPr="00ED7A0A">
              <w:t>.</w:t>
            </w:r>
          </w:p>
        </w:tc>
      </w:tr>
      <w:tr w:rsidR="00ED7A0A" w:rsidRPr="00ED7A0A" w14:paraId="6C2E620C" w14:textId="7F8814DD" w:rsidTr="002F1A6A">
        <w:trPr>
          <w:trHeight w:val="180"/>
        </w:trPr>
        <w:tc>
          <w:tcPr>
            <w:tcW w:w="5000" w:type="pct"/>
            <w:noWrap/>
          </w:tcPr>
          <w:p w14:paraId="7CB5F96A" w14:textId="3633E294" w:rsidR="00ED7A0A" w:rsidRPr="00ED7A0A" w:rsidRDefault="00ED7A0A" w:rsidP="0025789B">
            <w:pPr>
              <w:pStyle w:val="Tabletext"/>
            </w:pPr>
            <w:r w:rsidRPr="00E614C6">
              <w:t>Sponsor’s response</w:t>
            </w:r>
            <w:r w:rsidRPr="00ED7A0A">
              <w:t>: Not addressed.</w:t>
            </w:r>
          </w:p>
        </w:tc>
      </w:tr>
      <w:tr w:rsidR="00ED7A0A" w:rsidRPr="00ED7A0A" w14:paraId="6DBABDA0" w14:textId="0582777C" w:rsidTr="002F1A6A">
        <w:trPr>
          <w:trHeight w:val="180"/>
        </w:trPr>
        <w:tc>
          <w:tcPr>
            <w:tcW w:w="5000" w:type="pct"/>
            <w:noWrap/>
          </w:tcPr>
          <w:p w14:paraId="4A746104" w14:textId="260E1683" w:rsidR="00ED7A0A" w:rsidRPr="00ED7A0A" w:rsidRDefault="00956B9C" w:rsidP="0025789B">
            <w:pPr>
              <w:pStyle w:val="Tabletext"/>
            </w:pPr>
            <w:r>
              <w:rPr>
                <w:b/>
              </w:rPr>
              <w:t>RMP e</w:t>
            </w:r>
            <w:r w:rsidR="00ED7A0A" w:rsidRPr="00E614C6">
              <w:rPr>
                <w:b/>
              </w:rPr>
              <w:t>valuator comment</w:t>
            </w:r>
            <w:r w:rsidR="00ED7A0A" w:rsidRPr="00ED7A0A">
              <w:t>: The Delegate is responsible for the final wording of the PI/CMI.</w:t>
            </w:r>
          </w:p>
        </w:tc>
      </w:tr>
      <w:tr w:rsidR="00ED7A0A" w:rsidRPr="00ED7A0A" w14:paraId="7D7AF74C" w14:textId="75EBCB0C" w:rsidTr="002F1A6A">
        <w:trPr>
          <w:trHeight w:val="180"/>
        </w:trPr>
        <w:tc>
          <w:tcPr>
            <w:tcW w:w="5000" w:type="pct"/>
            <w:noWrap/>
          </w:tcPr>
          <w:p w14:paraId="3009A7E6" w14:textId="53C2DED7" w:rsidR="00ED7A0A" w:rsidRPr="00ED7A0A" w:rsidRDefault="00ED7A0A" w:rsidP="0025789B">
            <w:pPr>
              <w:pStyle w:val="Tabletext"/>
            </w:pPr>
            <w:r w:rsidRPr="00E614C6">
              <w:rPr>
                <w:b/>
              </w:rPr>
              <w:t>Recommendation 6</w:t>
            </w:r>
            <w:r w:rsidRPr="00ED7A0A">
              <w:t xml:space="preserve">: The CMI refers to medicine interactions with </w:t>
            </w:r>
            <w:r w:rsidR="00C20F78">
              <w:t>angiotensin</w:t>
            </w:r>
            <w:r w:rsidR="00C20F78">
              <w:noBreakHyphen/>
              <w:t>converting enzyme (</w:t>
            </w:r>
            <w:r w:rsidRPr="00ED7A0A">
              <w:t>ACE</w:t>
            </w:r>
            <w:r w:rsidR="00C20F78">
              <w:t>)</w:t>
            </w:r>
            <w:r w:rsidRPr="00ED7A0A">
              <w:t xml:space="preserve"> inhibitors and anticoagulants. However, the PI does not mention these medicines. The Delegate should consider if the PI should include all the medicine interactions reflected in the CMI.</w:t>
            </w:r>
          </w:p>
        </w:tc>
      </w:tr>
      <w:tr w:rsidR="00ED7A0A" w:rsidRPr="00ED7A0A" w14:paraId="41C2839A" w14:textId="25CF85C1" w:rsidTr="002F1A6A">
        <w:trPr>
          <w:trHeight w:val="180"/>
        </w:trPr>
        <w:tc>
          <w:tcPr>
            <w:tcW w:w="5000" w:type="pct"/>
            <w:noWrap/>
          </w:tcPr>
          <w:p w14:paraId="256228C3" w14:textId="77B64059" w:rsidR="00ED7A0A" w:rsidRPr="00ED7A0A" w:rsidRDefault="00ED7A0A" w:rsidP="0025789B">
            <w:pPr>
              <w:pStyle w:val="Tabletext"/>
            </w:pPr>
            <w:r w:rsidRPr="00E614C6">
              <w:t>Sponsor’s response</w:t>
            </w:r>
            <w:r w:rsidRPr="00ED7A0A">
              <w:t xml:space="preserve">: </w:t>
            </w:r>
            <w:r w:rsidR="00E614C6">
              <w:t>The sponsor</w:t>
            </w:r>
            <w:r w:rsidR="006B2F37">
              <w:t xml:space="preserve"> </w:t>
            </w:r>
            <w:r w:rsidRPr="00ED7A0A">
              <w:t>would like to clarify that in the initially submitted CMI for LCS16, the drug interactions with anticoagulants, medicines for pain and inflammation and ACE inhibitors was incorrectly</w:t>
            </w:r>
            <w:r w:rsidR="00E614C6">
              <w:t xml:space="preserve"> </w:t>
            </w:r>
            <w:r w:rsidRPr="00ED7A0A">
              <w:t>included. The CMI has been updated to reflect the information in the proposed PI.</w:t>
            </w:r>
          </w:p>
        </w:tc>
      </w:tr>
      <w:tr w:rsidR="00ED7A0A" w:rsidRPr="00ED7A0A" w14:paraId="44ED0F2B" w14:textId="185B3A2A" w:rsidTr="002F1A6A">
        <w:trPr>
          <w:trHeight w:val="180"/>
        </w:trPr>
        <w:tc>
          <w:tcPr>
            <w:tcW w:w="5000" w:type="pct"/>
            <w:noWrap/>
          </w:tcPr>
          <w:p w14:paraId="5E3F7EB7" w14:textId="288F3118" w:rsidR="00ED7A0A" w:rsidRPr="00ED7A0A" w:rsidRDefault="00956B9C" w:rsidP="0025789B">
            <w:pPr>
              <w:pStyle w:val="Tabletext"/>
            </w:pPr>
            <w:r>
              <w:rPr>
                <w:b/>
              </w:rPr>
              <w:t>RMP e</w:t>
            </w:r>
            <w:r w:rsidR="00ED7A0A" w:rsidRPr="00E614C6">
              <w:rPr>
                <w:b/>
              </w:rPr>
              <w:t>valuator comment</w:t>
            </w:r>
            <w:r w:rsidR="00ED7A0A" w:rsidRPr="00ED7A0A">
              <w:t>: The draft PI/CMI has been amended.</w:t>
            </w:r>
          </w:p>
        </w:tc>
      </w:tr>
      <w:tr w:rsidR="00ED7A0A" w:rsidRPr="00ED7A0A" w14:paraId="1FAD7B1B" w14:textId="7844BE3C" w:rsidTr="002F1A6A">
        <w:trPr>
          <w:trHeight w:val="180"/>
        </w:trPr>
        <w:tc>
          <w:tcPr>
            <w:tcW w:w="5000" w:type="pct"/>
            <w:noWrap/>
          </w:tcPr>
          <w:p w14:paraId="556BB28C" w14:textId="51CB1DD8" w:rsidR="00ED7A0A" w:rsidRPr="00ED7A0A" w:rsidRDefault="00ED7A0A" w:rsidP="0025789B">
            <w:pPr>
              <w:pStyle w:val="Tabletext"/>
            </w:pPr>
            <w:r w:rsidRPr="00E614C6">
              <w:rPr>
                <w:b/>
              </w:rPr>
              <w:t>Recommendation 7</w:t>
            </w:r>
            <w:r w:rsidRPr="00ED7A0A">
              <w:t xml:space="preserve">: Under </w:t>
            </w:r>
            <w:r w:rsidR="00C20F78">
              <w:t>‘</w:t>
            </w:r>
            <w:r w:rsidRPr="00ED7A0A">
              <w:t>Taking Other Medicines</w:t>
            </w:r>
            <w:r w:rsidR="00C20F78">
              <w:t>’</w:t>
            </w:r>
            <w:r w:rsidRPr="00ED7A0A">
              <w:t>: The Delegate should consider changi</w:t>
            </w:r>
            <w:r w:rsidR="006B2F37">
              <w:t>ng the wording in the CMI from ‘hydantoin’ to ‘phenytoin’</w:t>
            </w:r>
            <w:r w:rsidRPr="00ED7A0A">
              <w:t xml:space="preserve"> for clarity for the consumers.</w:t>
            </w:r>
          </w:p>
        </w:tc>
      </w:tr>
      <w:tr w:rsidR="00ED7A0A" w:rsidRPr="00ED7A0A" w14:paraId="24F053AB" w14:textId="1220E358" w:rsidTr="002F1A6A">
        <w:tc>
          <w:tcPr>
            <w:tcW w:w="5000" w:type="pct"/>
            <w:noWrap/>
          </w:tcPr>
          <w:p w14:paraId="5D5870E8" w14:textId="6771C1B3" w:rsidR="00ED7A0A" w:rsidRPr="00ED7A0A" w:rsidRDefault="00ED7A0A" w:rsidP="0025789B">
            <w:pPr>
              <w:pStyle w:val="Tabletext"/>
            </w:pPr>
            <w:r w:rsidRPr="006B2F37">
              <w:lastRenderedPageBreak/>
              <w:t>Sponsor’s response</w:t>
            </w:r>
            <w:r w:rsidRPr="00ED7A0A">
              <w:t>: Not addressed.</w:t>
            </w:r>
          </w:p>
        </w:tc>
      </w:tr>
      <w:tr w:rsidR="00ED7A0A" w:rsidRPr="00ED7A0A" w14:paraId="04AA6220" w14:textId="6DD88C81" w:rsidTr="002F1A6A">
        <w:tc>
          <w:tcPr>
            <w:tcW w:w="5000" w:type="pct"/>
            <w:noWrap/>
          </w:tcPr>
          <w:p w14:paraId="32C6835D" w14:textId="1104525E" w:rsidR="00ED7A0A" w:rsidRPr="00ED7A0A" w:rsidRDefault="00956B9C" w:rsidP="0025789B">
            <w:pPr>
              <w:pStyle w:val="Tabletext"/>
            </w:pPr>
            <w:r>
              <w:rPr>
                <w:b/>
              </w:rPr>
              <w:t>RMP e</w:t>
            </w:r>
            <w:r w:rsidR="00ED7A0A" w:rsidRPr="006B2F37">
              <w:rPr>
                <w:b/>
              </w:rPr>
              <w:t>valuator comment</w:t>
            </w:r>
            <w:r w:rsidR="00ED7A0A" w:rsidRPr="00ED7A0A">
              <w:t xml:space="preserve">: </w:t>
            </w:r>
            <w:r w:rsidR="006B2F37">
              <w:t xml:space="preserve">A </w:t>
            </w:r>
            <w:r w:rsidR="00ED7A0A" w:rsidRPr="00ED7A0A">
              <w:t>revised CMI (dated October 2016) has been provided which implements this change.</w:t>
            </w:r>
          </w:p>
        </w:tc>
      </w:tr>
    </w:tbl>
    <w:p w14:paraId="2382B064" w14:textId="2E20B229"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14:paraId="2D457C3C" w14:textId="6CA13AAB" w:rsidR="005055FF" w:rsidRDefault="005055FF" w:rsidP="005055FF">
      <w:r>
        <w:t xml:space="preserve">Following the second round evaluation, the following recommendations were made </w:t>
      </w:r>
      <w:r w:rsidR="00BE4CA9">
        <w:t xml:space="preserve">in relation to the RMP </w:t>
      </w:r>
      <w:r>
        <w:t xml:space="preserve">and </w:t>
      </w:r>
      <w:r w:rsidR="00BE4CA9">
        <w:t xml:space="preserve">were subsequently </w:t>
      </w:r>
      <w:r>
        <w:t>addressed by the s</w:t>
      </w:r>
      <w:r w:rsidR="00BE4CA9">
        <w:t xml:space="preserve">ponsor. These recommendations, along with the sponsor’s responses are discussed in Table 6, </w:t>
      </w:r>
      <w:r w:rsidRPr="005055FF">
        <w:t>below.</w:t>
      </w:r>
    </w:p>
    <w:p w14:paraId="78293C7C" w14:textId="48B7D506" w:rsidR="00BE4CA9" w:rsidRPr="005055FF" w:rsidRDefault="00BE4CA9" w:rsidP="00BE4CA9">
      <w:pPr>
        <w:pStyle w:val="Tabletitle0"/>
      </w:pPr>
      <w:r>
        <w:t>Table 6. Reconciliation of recommendations in the post-second round RMP evaluation</w:t>
      </w:r>
    </w:p>
    <w:tbl>
      <w:tblPr>
        <w:tblStyle w:val="TableTGAblue"/>
        <w:tblW w:w="4946" w:type="pct"/>
        <w:tblLayout w:type="fixed"/>
        <w:tblLook w:val="04A0" w:firstRow="1" w:lastRow="0" w:firstColumn="1" w:lastColumn="0" w:noHBand="0" w:noVBand="1"/>
        <w:tblDescription w:val="Table 6. Reconciliation of recommendations in the post-second round RMP evaluation"/>
      </w:tblPr>
      <w:tblGrid>
        <w:gridCol w:w="8626"/>
      </w:tblGrid>
      <w:tr w:rsidR="00BE4CA9" w:rsidRPr="00C94F6D" w14:paraId="716A8D3A" w14:textId="7EC1F97D" w:rsidTr="00BE4CA9">
        <w:trPr>
          <w:cnfStyle w:val="100000000000" w:firstRow="1" w:lastRow="0" w:firstColumn="0" w:lastColumn="0" w:oddVBand="0" w:evenVBand="0" w:oddHBand="0" w:evenHBand="0" w:firstRowFirstColumn="0" w:firstRowLastColumn="0" w:lastRowFirstColumn="0" w:lastRowLastColumn="0"/>
        </w:trPr>
        <w:tc>
          <w:tcPr>
            <w:tcW w:w="5000" w:type="pct"/>
            <w:noWrap/>
          </w:tcPr>
          <w:p w14:paraId="45809896" w14:textId="37096705" w:rsidR="00BE4CA9" w:rsidRPr="00BE4CA9" w:rsidRDefault="00BE4CA9" w:rsidP="00BE4CA9">
            <w:r>
              <w:t>Reconciliation of issues outlined in the post-second round RMP report</w:t>
            </w:r>
          </w:p>
        </w:tc>
      </w:tr>
      <w:tr w:rsidR="005055FF" w:rsidRPr="00C94F6D" w14:paraId="0813A430" w14:textId="73A695A1" w:rsidTr="00BE4CA9">
        <w:tc>
          <w:tcPr>
            <w:tcW w:w="5000" w:type="pct"/>
            <w:noWrap/>
          </w:tcPr>
          <w:p w14:paraId="5DBBC8CF" w14:textId="72EC708C" w:rsidR="005055FF" w:rsidRPr="00BE4CA9" w:rsidRDefault="005055FF" w:rsidP="0025789B">
            <w:pPr>
              <w:pStyle w:val="Tabletext"/>
            </w:pPr>
            <w:r w:rsidRPr="00BE4CA9">
              <w:rPr>
                <w:b/>
              </w:rPr>
              <w:t>Recommendation 8</w:t>
            </w:r>
            <w:r w:rsidRPr="00BE4CA9">
              <w:t xml:space="preserve">: </w:t>
            </w:r>
            <w:r w:rsidR="00BE4CA9">
              <w:t>The inclusion of ‘</w:t>
            </w:r>
            <w:r w:rsidRPr="00BE4CA9">
              <w:rPr>
                <w:i/>
              </w:rPr>
              <w:t>Safety with MRI</w:t>
            </w:r>
            <w:r w:rsidR="00BE4CA9">
              <w:t>’</w:t>
            </w:r>
            <w:r w:rsidRPr="00BE4CA9">
              <w:t xml:space="preserve"> in Missing Information of the Summary of Safety Concerns is an outstanding issue and should be addressed </w:t>
            </w:r>
            <w:r w:rsidR="00BE4CA9">
              <w:t>by the sponsor</w:t>
            </w:r>
            <w:r w:rsidRPr="00BE4CA9">
              <w:t>.</w:t>
            </w:r>
          </w:p>
        </w:tc>
      </w:tr>
      <w:tr w:rsidR="005055FF" w:rsidRPr="00C94F6D" w14:paraId="1B50DD32" w14:textId="28615FA7" w:rsidTr="00BE4CA9">
        <w:tc>
          <w:tcPr>
            <w:tcW w:w="5000" w:type="pct"/>
            <w:noWrap/>
          </w:tcPr>
          <w:p w14:paraId="748E89FE" w14:textId="6736477C" w:rsidR="005055FF" w:rsidRPr="00BE4CA9" w:rsidRDefault="005055FF" w:rsidP="0025789B">
            <w:pPr>
              <w:pStyle w:val="Tabletext"/>
              <w:rPr>
                <w:vertAlign w:val="superscript"/>
              </w:rPr>
            </w:pPr>
            <w:r w:rsidRPr="00BE4CA9">
              <w:rPr>
                <w:i/>
              </w:rPr>
              <w:t>Sponsor’s response</w:t>
            </w:r>
            <w:r w:rsidR="00405553">
              <w:t>: Non-</w:t>
            </w:r>
            <w:r w:rsidRPr="00BE4CA9">
              <w:t xml:space="preserve">clinical testing has been conducted with a similar levonorgestrel </w:t>
            </w:r>
            <w:r w:rsidR="00BE4CA9">
              <w:t>IUS</w:t>
            </w:r>
            <w:r w:rsidRPr="00BE4CA9">
              <w:t xml:space="preserve"> with the same size silver ring and T-body and has demonstrated that the intrauterine system can be used in commercially available MRIs under specific conditions. This type of non-clinical testing is consistent with the testin</w:t>
            </w:r>
            <w:r w:rsidR="00BE4CA9">
              <w:t xml:space="preserve">g recommended by the US </w:t>
            </w:r>
            <w:r w:rsidR="00961E2F">
              <w:t>Food and Drug Administration (</w:t>
            </w:r>
            <w:r w:rsidR="00BE4CA9">
              <w:t>FDA</w:t>
            </w:r>
            <w:r w:rsidR="00961E2F">
              <w:t>)</w:t>
            </w:r>
            <w:r w:rsidR="00BE4CA9">
              <w:t xml:space="preserve"> in ‘</w:t>
            </w:r>
            <w:r w:rsidRPr="00BE4CA9">
              <w:rPr>
                <w:i/>
              </w:rPr>
              <w:t>Guidance for Industry and FDA Staff: Establishing Safety and Compatibility of Passive Implants in the Magnetic Resonance (MR) Environme</w:t>
            </w:r>
            <w:r w:rsidR="00BE4CA9" w:rsidRPr="00BE4CA9">
              <w:rPr>
                <w:i/>
              </w:rPr>
              <w:t>nt</w:t>
            </w:r>
            <w:r w:rsidR="00BE4CA9">
              <w:t>’</w:t>
            </w:r>
            <w:r w:rsidRPr="00BE4CA9">
              <w:t xml:space="preserve">. </w:t>
            </w:r>
            <w:r w:rsidR="00BE4CA9">
              <w:t>Therefore, the sponsor</w:t>
            </w:r>
            <w:r w:rsidRPr="00BE4CA9">
              <w:t xml:space="preserve"> considers the safety of Kyleena during a MRI to be sufficiently demonstrated based on the non-clinical testing as recommended by ASTM in Standard F2503-08 and the abovementioned FDA guidance document.</w:t>
            </w:r>
            <w:r w:rsidR="00BE4CA9">
              <w:rPr>
                <w:rStyle w:val="FootnoteReference"/>
              </w:rPr>
              <w:footnoteReference w:id="6"/>
            </w:r>
            <w:r w:rsidR="00BE4CA9">
              <w:rPr>
                <w:vertAlign w:val="superscript"/>
              </w:rPr>
              <w:t>,</w:t>
            </w:r>
            <w:r w:rsidR="00BE4CA9">
              <w:rPr>
                <w:rStyle w:val="FootnoteReference"/>
              </w:rPr>
              <w:footnoteReference w:id="7"/>
            </w:r>
          </w:p>
        </w:tc>
      </w:tr>
      <w:tr w:rsidR="005055FF" w:rsidRPr="00831FF2" w14:paraId="7C479624" w14:textId="4FBC0005" w:rsidTr="00BE4CA9">
        <w:tc>
          <w:tcPr>
            <w:tcW w:w="5000" w:type="pct"/>
            <w:noWrap/>
          </w:tcPr>
          <w:p w14:paraId="08428DD3" w14:textId="3152C77E" w:rsidR="005055FF" w:rsidRPr="00BE4CA9" w:rsidRDefault="009F5703" w:rsidP="0025789B">
            <w:pPr>
              <w:pStyle w:val="Tabletext"/>
            </w:pPr>
            <w:r>
              <w:rPr>
                <w:b/>
              </w:rPr>
              <w:t>RMP e</w:t>
            </w:r>
            <w:r w:rsidR="005055FF" w:rsidRPr="009F5703">
              <w:rPr>
                <w:b/>
              </w:rPr>
              <w:t>valuator</w:t>
            </w:r>
            <w:r>
              <w:rPr>
                <w:b/>
              </w:rPr>
              <w:t>’s</w:t>
            </w:r>
            <w:r w:rsidR="005055FF" w:rsidRPr="009F5703">
              <w:rPr>
                <w:b/>
              </w:rPr>
              <w:t xml:space="preserve"> comment</w:t>
            </w:r>
            <w:r w:rsidR="005055FF" w:rsidRPr="00BE4CA9">
              <w:t>: The sponsor has provided evidence that there is sufficient information regarding Kyleena to ensure safety with MRI and therefore, from an</w:t>
            </w:r>
            <w:r>
              <w:t xml:space="preserve"> RMP perspective ‘Safety with MRI’</w:t>
            </w:r>
            <w:r w:rsidR="005055FF" w:rsidRPr="00BE4CA9">
              <w:t>’ does not need to be included under Missing Information of the Summary of Safety Concerns.</w:t>
            </w:r>
          </w:p>
        </w:tc>
      </w:tr>
      <w:tr w:rsidR="009F5703" w:rsidRPr="00C94F6D" w14:paraId="00C5F4CA" w14:textId="2CCCCCB9" w:rsidTr="00957A3C">
        <w:trPr>
          <w:trHeight w:val="1790"/>
        </w:trPr>
        <w:tc>
          <w:tcPr>
            <w:tcW w:w="5000" w:type="pct"/>
            <w:noWrap/>
          </w:tcPr>
          <w:p w14:paraId="38587039" w14:textId="1727714B" w:rsidR="009F5703" w:rsidRPr="009F5703" w:rsidRDefault="009F5703" w:rsidP="0025789B">
            <w:pPr>
              <w:pStyle w:val="Tabletext"/>
            </w:pPr>
            <w:r w:rsidRPr="009F5703">
              <w:rPr>
                <w:b/>
              </w:rPr>
              <w:t>Recommendation 9</w:t>
            </w:r>
            <w:r w:rsidRPr="009F5703">
              <w:t xml:space="preserve">: The RMP </w:t>
            </w:r>
            <w:r>
              <w:t>evaluator considers that the healthcare professional</w:t>
            </w:r>
            <w:r w:rsidRPr="009F5703">
              <w:t xml:space="preserve"> education material, as well as the Physician Questionnaire, should be adapted to </w:t>
            </w:r>
            <w:r>
              <w:t>provide information about Mirena and Kyleena.</w:t>
            </w:r>
          </w:p>
          <w:p w14:paraId="6157CFA6" w14:textId="47268BC5" w:rsidR="009F5703" w:rsidRPr="009F5703" w:rsidRDefault="009F5703" w:rsidP="0025789B">
            <w:pPr>
              <w:pStyle w:val="Tabletext"/>
            </w:pPr>
            <w:r w:rsidRPr="009F5703">
              <w:rPr>
                <w:b/>
              </w:rPr>
              <w:t>Recommendation 10</w:t>
            </w:r>
            <w:r w:rsidRPr="009F5703">
              <w:t>: H</w:t>
            </w:r>
            <w:r>
              <w:t>ealthcare professional</w:t>
            </w:r>
            <w:r w:rsidRPr="009F5703">
              <w:t xml:space="preserve"> material should be added as an additional risk minimisation activity for Medication Error in the ASA.</w:t>
            </w:r>
          </w:p>
        </w:tc>
      </w:tr>
      <w:tr w:rsidR="005055FF" w:rsidRPr="00C94F6D" w14:paraId="58334D2A" w14:textId="5172B2EE" w:rsidTr="00BE4CA9">
        <w:tc>
          <w:tcPr>
            <w:tcW w:w="5000" w:type="pct"/>
            <w:noWrap/>
          </w:tcPr>
          <w:p w14:paraId="7D36C577" w14:textId="17A2148B" w:rsidR="005055FF" w:rsidRPr="009F5703" w:rsidRDefault="005055FF" w:rsidP="0025789B">
            <w:pPr>
              <w:pStyle w:val="Tabletext"/>
            </w:pPr>
            <w:r w:rsidRPr="009F5703">
              <w:rPr>
                <w:i/>
              </w:rPr>
              <w:t>Sponsor’s response</w:t>
            </w:r>
            <w:r w:rsidR="009F5703" w:rsidRPr="009F5703">
              <w:rPr>
                <w:i/>
              </w:rPr>
              <w:t xml:space="preserve"> (to recommendations 9 and</w:t>
            </w:r>
            <w:r w:rsidRPr="009F5703">
              <w:rPr>
                <w:i/>
              </w:rPr>
              <w:t xml:space="preserve"> 10</w:t>
            </w:r>
            <w:r w:rsidR="009F5703" w:rsidRPr="009F5703">
              <w:rPr>
                <w:i/>
              </w:rPr>
              <w:t>)</w:t>
            </w:r>
            <w:r w:rsidRPr="009F5703">
              <w:t>: The p</w:t>
            </w:r>
            <w:r w:rsidR="009F5703">
              <w:t>rinciple of the safety concern ‘potential for medication error’</w:t>
            </w:r>
            <w:r w:rsidRPr="009F5703">
              <w:t xml:space="preserve"> in the EU-RMP for Jaydess and Kyleena (Version 3.0) is to differentiate between Jaydess, </w:t>
            </w:r>
            <w:r w:rsidR="009F5703">
              <w:t>an IUS</w:t>
            </w:r>
            <w:r w:rsidRPr="009F5703">
              <w:t xml:space="preserve"> with the contraceptive efficacy </w:t>
            </w:r>
            <w:r w:rsidR="009F5703">
              <w:t>of 3</w:t>
            </w:r>
            <w:r w:rsidRPr="009F5703">
              <w:t xml:space="preserve"> years, and the IUSs with the contraceptive efficacy of five years, Mirena and Kyleena, as use </w:t>
            </w:r>
            <w:r w:rsidRPr="009F5703">
              <w:lastRenderedPageBreak/>
              <w:t>beyond the approved duration may no longer provide full contraceptive efficacy.</w:t>
            </w:r>
          </w:p>
          <w:p w14:paraId="394268C2" w14:textId="5C0AB3CB" w:rsidR="005055FF" w:rsidRPr="009F5703" w:rsidRDefault="005055FF" w:rsidP="0025789B">
            <w:pPr>
              <w:pStyle w:val="Tabletext"/>
            </w:pPr>
            <w:r w:rsidRPr="009F5703">
              <w:t>In the EU, Jaydess is marketed with Mirena (Kyleena will also be marketed soon) and additional risk minimisation act</w:t>
            </w:r>
            <w:r w:rsidR="009F5703">
              <w:t>ivities for the safety concern ‘potential for medication error’ were deemed necessary for healthcare professionals</w:t>
            </w:r>
            <w:r w:rsidRPr="009F5703">
              <w:t xml:space="preserve"> due to the different duration of use between Jaydess and Mirena. However, as Jaydess will not be marketed in Australia, the potential for medication error is not applicable as both Mirena and Kyleena have the same duration of use for contrace</w:t>
            </w:r>
            <w:r w:rsidR="009F5703">
              <w:t>ptive efficacy. Therefore, the sponsor</w:t>
            </w:r>
            <w:r w:rsidRPr="009F5703">
              <w:t xml:space="preserve"> considers educational material re</w:t>
            </w:r>
            <w:r w:rsidR="009F5703">
              <w:t>garding medication error for healthcare professional</w:t>
            </w:r>
            <w:r w:rsidRPr="009F5703">
              <w:t>s to be not required.</w:t>
            </w:r>
          </w:p>
          <w:p w14:paraId="2DCFDE69" w14:textId="77777777" w:rsidR="00E00538" w:rsidRDefault="005055FF" w:rsidP="0025789B">
            <w:pPr>
              <w:pStyle w:val="Tabletext"/>
            </w:pPr>
            <w:r w:rsidRPr="009F5703">
              <w:t xml:space="preserve">Furthermore, the contraceptive efficacy (Pearl Index) of Mirena is 0.21 at 1 year and 0.14 at 5 years while for </w:t>
            </w:r>
            <w:proofErr w:type="gramStart"/>
            <w:r w:rsidRPr="009F5703">
              <w:t>Kyleena,</w:t>
            </w:r>
            <w:proofErr w:type="gramEnd"/>
            <w:r w:rsidRPr="009F5703">
              <w:t xml:space="preserve"> it is 0.16 at 1 year and 0.29 at 5 years. The Pearl Index shows that the two IUSs have similar contraceptive efficacy.</w:t>
            </w:r>
          </w:p>
          <w:p w14:paraId="42F47F61" w14:textId="1A942C7A" w:rsidR="005055FF" w:rsidRPr="009F5703" w:rsidRDefault="00E00538" w:rsidP="0025789B">
            <w:pPr>
              <w:pStyle w:val="Tabletext"/>
            </w:pPr>
            <w:r>
              <w:t xml:space="preserve"> </w:t>
            </w:r>
            <w:r w:rsidR="009F5703">
              <w:t>Nonetheless, the sponsor</w:t>
            </w:r>
            <w:r w:rsidR="005055FF" w:rsidRPr="009F5703">
              <w:t xml:space="preserve"> will be providi</w:t>
            </w:r>
            <w:r w:rsidR="009F5703">
              <w:t>ng promotional materials to healthcare professionals</w:t>
            </w:r>
            <w:r w:rsidR="005055FF" w:rsidRPr="009F5703">
              <w:t xml:space="preserve"> in the form of a quick reference guide which will highlight the differences between the two IUSs such as the silver ring and the thread colour. The Kyleena PI also has an image of the IUS with labels highlighting the silver ring and the blue thread colour.</w:t>
            </w:r>
          </w:p>
          <w:p w14:paraId="38C77DD6" w14:textId="1668E700" w:rsidR="005055FF" w:rsidRPr="009F5703" w:rsidRDefault="009F5703" w:rsidP="0025789B">
            <w:pPr>
              <w:pStyle w:val="Tabletext"/>
            </w:pPr>
            <w:r>
              <w:t>The sponsor</w:t>
            </w:r>
            <w:r w:rsidR="005055FF" w:rsidRPr="009F5703">
              <w:t xml:space="preserve"> will also recommend to external training providers to update their training materials to include Kyleena.</w:t>
            </w:r>
          </w:p>
        </w:tc>
      </w:tr>
      <w:tr w:rsidR="005055FF" w:rsidRPr="007637F6" w14:paraId="0E3105D1" w14:textId="0A50633F" w:rsidTr="00BE4CA9">
        <w:tc>
          <w:tcPr>
            <w:tcW w:w="5000" w:type="pct"/>
            <w:noWrap/>
          </w:tcPr>
          <w:p w14:paraId="2695125E" w14:textId="77777777" w:rsidR="00E00538" w:rsidRDefault="009F5703" w:rsidP="0025789B">
            <w:pPr>
              <w:pStyle w:val="Tabletext"/>
            </w:pPr>
            <w:r>
              <w:rPr>
                <w:b/>
              </w:rPr>
              <w:lastRenderedPageBreak/>
              <w:t>RMP e</w:t>
            </w:r>
            <w:r w:rsidR="005055FF" w:rsidRPr="009F5703">
              <w:rPr>
                <w:b/>
              </w:rPr>
              <w:t>valuator</w:t>
            </w:r>
            <w:r>
              <w:rPr>
                <w:b/>
              </w:rPr>
              <w:t>’s</w:t>
            </w:r>
            <w:r w:rsidR="005055FF" w:rsidRPr="009F5703">
              <w:rPr>
                <w:b/>
              </w:rPr>
              <w:t xml:space="preserve"> comment</w:t>
            </w:r>
            <w:r w:rsidR="005055FF" w:rsidRPr="009F5703">
              <w:t xml:space="preserve">: The educational material for insertion of Kyleena and understanding the various circumstances in which to use the various available contraceptive products is generally provided by external training providers and not the sponsor. A large majority of the IUS insertions are carried out at family planning clinics and they are responsible for training protocols as the sponsor has advised. In addition, medication error is less of a concern between Mirena and Kyleena as they both have the same duration of action </w:t>
            </w:r>
            <w:r>
              <w:t xml:space="preserve">(that is, </w:t>
            </w:r>
            <w:r w:rsidR="005055FF" w:rsidRPr="009F5703">
              <w:t>5 years</w:t>
            </w:r>
            <w:r>
              <w:t>)</w:t>
            </w:r>
            <w:r w:rsidR="005055FF" w:rsidRPr="009F5703">
              <w:t>.</w:t>
            </w:r>
          </w:p>
          <w:p w14:paraId="5A8403AF" w14:textId="3FEE6D8D" w:rsidR="005055FF" w:rsidRPr="009F5703" w:rsidRDefault="00E00538" w:rsidP="0025789B">
            <w:pPr>
              <w:pStyle w:val="Tabletext"/>
            </w:pPr>
            <w:r>
              <w:t xml:space="preserve"> </w:t>
            </w:r>
            <w:r w:rsidR="005055FF" w:rsidRPr="009F5703">
              <w:t>The sponsor has committed to ensure that educational materials provided by the external training providers are updated to include Kyleena. In addition, it is noted that the sponsor intends to provide promotional material for the new product which includes a quick reference guide which will highlight the differences between the two products. At face value</w:t>
            </w:r>
            <w:r w:rsidR="009F5703">
              <w:t>,</w:t>
            </w:r>
            <w:r w:rsidR="005055FF" w:rsidRPr="009F5703">
              <w:t xml:space="preserve"> this appears to be sufficient material for prescribers in order to ensure proper use of the product along with external training material. As these materials are considered to be promotional, rather than educational activities targeted to a specific safety concern, it is not considered necessary to include them in the ASA.</w:t>
            </w:r>
          </w:p>
          <w:p w14:paraId="158E4670" w14:textId="5DCC867D" w:rsidR="005055FF" w:rsidRPr="009F5703" w:rsidRDefault="005055FF" w:rsidP="0025789B">
            <w:pPr>
              <w:pStyle w:val="Tabletext"/>
            </w:pPr>
            <w:r w:rsidRPr="009F5703">
              <w:t>The intentions around marketing Jaydess were unclear, due a submission having been received to change the PI for Jaydess. Therefore, further clarif</w:t>
            </w:r>
            <w:r w:rsidR="00CE7859">
              <w:t>ication was sought from the s</w:t>
            </w:r>
            <w:r w:rsidRPr="009F5703">
              <w:t xml:space="preserve">ponsor (see below). </w:t>
            </w:r>
          </w:p>
        </w:tc>
      </w:tr>
    </w:tbl>
    <w:p w14:paraId="0DB0393F" w14:textId="7C150067" w:rsidR="005055FF" w:rsidRDefault="00CE7859" w:rsidP="00CE7859">
      <w:r>
        <w:t>During the post-second round e</w:t>
      </w:r>
      <w:r w:rsidR="005055FF" w:rsidRPr="00CE7859">
        <w:t xml:space="preserve">valuation, </w:t>
      </w:r>
      <w:r>
        <w:t>the RMP e</w:t>
      </w:r>
      <w:r w:rsidR="005055FF" w:rsidRPr="00CE7859">
        <w:t xml:space="preserve">valuator requested that </w:t>
      </w:r>
      <w:r>
        <w:t>the s</w:t>
      </w:r>
      <w:r w:rsidR="005055FF" w:rsidRPr="00CE7859">
        <w:t>ponsor address the questions outlined below regarding Recommendation 9 a</w:t>
      </w:r>
      <w:r w:rsidR="00FF1193">
        <w:t xml:space="preserve">nd 10. The sponsor provided </w:t>
      </w:r>
      <w:r w:rsidR="005055FF" w:rsidRPr="00CE7859">
        <w:t>responses</w:t>
      </w:r>
      <w:r>
        <w:t xml:space="preserve"> </w:t>
      </w:r>
      <w:r w:rsidR="005055FF" w:rsidRPr="00CE7859">
        <w:t>to the questions rai</w:t>
      </w:r>
      <w:r>
        <w:t>sed by the e</w:t>
      </w:r>
      <w:r w:rsidR="005055FF" w:rsidRPr="00CE7859">
        <w:t>valuator</w:t>
      </w:r>
      <w:r w:rsidR="00FF1193">
        <w:t xml:space="preserve"> and these </w:t>
      </w:r>
      <w:r w:rsidR="005055FF" w:rsidRPr="00CE7859">
        <w:t>are discussed below.</w:t>
      </w:r>
    </w:p>
    <w:p w14:paraId="7878B66C" w14:textId="49505870" w:rsidR="00CE7859" w:rsidRPr="00CE7859" w:rsidRDefault="00CE7859" w:rsidP="00CE7859">
      <w:pPr>
        <w:pStyle w:val="Tabletitle0"/>
      </w:pPr>
      <w:r>
        <w:lastRenderedPageBreak/>
        <w:t>Table 7. RMP evaluation of the sponsor’s responses to RMP questions and clarification of facts following the second round evaluation</w:t>
      </w:r>
    </w:p>
    <w:tbl>
      <w:tblPr>
        <w:tblStyle w:val="TableTGAblue"/>
        <w:tblW w:w="4946" w:type="pct"/>
        <w:jc w:val="center"/>
        <w:tblLayout w:type="fixed"/>
        <w:tblCellMar>
          <w:top w:w="28" w:type="dxa"/>
          <w:bottom w:w="28" w:type="dxa"/>
        </w:tblCellMar>
        <w:tblLook w:val="04A0" w:firstRow="1" w:lastRow="0" w:firstColumn="1" w:lastColumn="0" w:noHBand="0" w:noVBand="1"/>
        <w:tblDescription w:val="Table 7. RMP evaluation of the sponsor’s responses to RMP questions and clarification of facts following the second round evaluation"/>
      </w:tblPr>
      <w:tblGrid>
        <w:gridCol w:w="8626"/>
      </w:tblGrid>
      <w:tr w:rsidR="00CE7859" w:rsidRPr="00CE7859" w14:paraId="5B67C37B" w14:textId="4B879E7E" w:rsidTr="00CE7859">
        <w:trPr>
          <w:cnfStyle w:val="100000000000" w:firstRow="1" w:lastRow="0" w:firstColumn="0" w:lastColumn="0" w:oddVBand="0" w:evenVBand="0" w:oddHBand="0" w:evenHBand="0" w:firstRowFirstColumn="0" w:firstRowLastColumn="0" w:lastRowFirstColumn="0" w:lastRowLastColumn="0"/>
          <w:jc w:val="center"/>
        </w:trPr>
        <w:tc>
          <w:tcPr>
            <w:tcW w:w="5000" w:type="pct"/>
            <w:tcBorders>
              <w:bottom w:val="dotted" w:sz="2" w:space="0" w:color="auto"/>
            </w:tcBorders>
            <w:noWrap/>
          </w:tcPr>
          <w:p w14:paraId="4A4886CA" w14:textId="63B901D1" w:rsidR="00CE7859" w:rsidRPr="00CE7859" w:rsidRDefault="00CE7859" w:rsidP="00CE7859">
            <w:r>
              <w:t>RMP evaluation of sponsor’s responses and clarifications following the second round evaluation</w:t>
            </w:r>
          </w:p>
        </w:tc>
      </w:tr>
      <w:tr w:rsidR="005055FF" w:rsidRPr="00CE7859" w14:paraId="1A8E065E" w14:textId="63F281AF" w:rsidTr="00CE7859">
        <w:trPr>
          <w:jc w:val="center"/>
        </w:trPr>
        <w:tc>
          <w:tcPr>
            <w:tcW w:w="5000" w:type="pct"/>
            <w:tcBorders>
              <w:top w:val="single" w:sz="8" w:space="0" w:color="000000" w:themeColor="text1"/>
              <w:left w:val="single" w:sz="8" w:space="0" w:color="000000" w:themeColor="text1"/>
              <w:bottom w:val="dotted" w:sz="2" w:space="0" w:color="auto"/>
              <w:right w:val="single" w:sz="8" w:space="0" w:color="000000" w:themeColor="text1"/>
            </w:tcBorders>
            <w:noWrap/>
          </w:tcPr>
          <w:p w14:paraId="3C90D026" w14:textId="36974302" w:rsidR="005055FF" w:rsidRPr="00CE7859" w:rsidRDefault="005055FF" w:rsidP="0025789B">
            <w:pPr>
              <w:pStyle w:val="Tabletext"/>
            </w:pPr>
            <w:r w:rsidRPr="00CE7859">
              <w:rPr>
                <w:b/>
              </w:rPr>
              <w:t>Question 1</w:t>
            </w:r>
            <w:r w:rsidR="00CE7859">
              <w:t>: Is Jaydess</w:t>
            </w:r>
            <w:r w:rsidRPr="00CE7859">
              <w:t xml:space="preserve"> currently marketed in </w:t>
            </w:r>
            <w:r w:rsidR="00CE7859">
              <w:t>Australia, and if not, does the s</w:t>
            </w:r>
            <w:r w:rsidRPr="00CE7859">
              <w:t xml:space="preserve">ponsor intend to market </w:t>
            </w:r>
            <w:r w:rsidR="00CE7859">
              <w:t>if the current application</w:t>
            </w:r>
            <w:r w:rsidRPr="00CE7859">
              <w:t xml:space="preserve"> </w:t>
            </w:r>
            <w:r w:rsidR="00B22CE7">
              <w:t xml:space="preserve">to modify the Jaydess application </w:t>
            </w:r>
            <w:r w:rsidRPr="00CE7859">
              <w:t>is approved?</w:t>
            </w:r>
          </w:p>
        </w:tc>
      </w:tr>
      <w:tr w:rsidR="005055FF" w:rsidRPr="00CE7859" w14:paraId="1CCE997B" w14:textId="6D80BC64" w:rsidTr="00CE7859">
        <w:trPr>
          <w:jc w:val="center"/>
        </w:trPr>
        <w:tc>
          <w:tcPr>
            <w:tcW w:w="5000" w:type="pct"/>
            <w:tcBorders>
              <w:top w:val="dotted" w:sz="2" w:space="0" w:color="auto"/>
              <w:left w:val="single" w:sz="8" w:space="0" w:color="000000" w:themeColor="text1"/>
              <w:bottom w:val="dotted" w:sz="2" w:space="0" w:color="auto"/>
              <w:right w:val="single" w:sz="8" w:space="0" w:color="000000" w:themeColor="text1"/>
            </w:tcBorders>
            <w:noWrap/>
          </w:tcPr>
          <w:p w14:paraId="5596FF57" w14:textId="62E45AEA" w:rsidR="005055FF" w:rsidRPr="00CE7859" w:rsidRDefault="005055FF" w:rsidP="0025789B">
            <w:pPr>
              <w:pStyle w:val="Tabletext"/>
            </w:pPr>
            <w:r w:rsidRPr="00B22CE7">
              <w:rPr>
                <w:i/>
              </w:rPr>
              <w:t>Sponsor’s response</w:t>
            </w:r>
            <w:r w:rsidRPr="00CE7859">
              <w:t xml:space="preserve">: </w:t>
            </w:r>
            <w:r w:rsidR="00B22CE7">
              <w:t>The sponsor</w:t>
            </w:r>
            <w:r w:rsidRPr="00CE7859">
              <w:t xml:space="preserve"> wishes to re-affirm that Jaydess is not and will not be marketed in Australia</w:t>
            </w:r>
            <w:r w:rsidR="00B22CE7">
              <w:t xml:space="preserve">. This application </w:t>
            </w:r>
            <w:r w:rsidRPr="00CE7859">
              <w:t>was submitted for compliance reasons; although Jaydess is not marketed i</w:t>
            </w:r>
            <w:r w:rsidR="00B22CE7">
              <w:t>n Australia, the sponsor</w:t>
            </w:r>
            <w:r w:rsidRPr="00CE7859">
              <w:t xml:space="preserve"> is required to maintain the currency of the registration as per our parent company. Therefore, i</w:t>
            </w:r>
            <w:r w:rsidR="00B22CE7">
              <w:t xml:space="preserve">f this current application </w:t>
            </w:r>
            <w:r w:rsidRPr="00CE7859">
              <w:t>is approved, Jaydess will still not be marketed in Australia.</w:t>
            </w:r>
          </w:p>
        </w:tc>
      </w:tr>
      <w:tr w:rsidR="005055FF" w:rsidRPr="00CE7859" w14:paraId="6029569C" w14:textId="79DB22F7" w:rsidTr="00CE7859">
        <w:trPr>
          <w:jc w:val="center"/>
        </w:trPr>
        <w:tc>
          <w:tcPr>
            <w:tcW w:w="5000" w:type="pct"/>
            <w:tcBorders>
              <w:top w:val="dotted" w:sz="2" w:space="0" w:color="auto"/>
              <w:left w:val="single" w:sz="8" w:space="0" w:color="000000" w:themeColor="text1"/>
              <w:bottom w:val="double" w:sz="4" w:space="0" w:color="auto"/>
              <w:right w:val="single" w:sz="8" w:space="0" w:color="000000" w:themeColor="text1"/>
            </w:tcBorders>
            <w:noWrap/>
          </w:tcPr>
          <w:p w14:paraId="3CE2B43D" w14:textId="53979926" w:rsidR="005055FF" w:rsidRPr="00CE7859" w:rsidRDefault="005055FF" w:rsidP="0025789B">
            <w:pPr>
              <w:pStyle w:val="Tabletext"/>
            </w:pPr>
            <w:r w:rsidRPr="00B22CE7">
              <w:rPr>
                <w:b/>
              </w:rPr>
              <w:t>RMP Evaluator comment</w:t>
            </w:r>
            <w:r w:rsidRPr="00CE7859">
              <w:t>: The sponsor’s response that Jaydess will not be marketed in Australia is noted.</w:t>
            </w:r>
          </w:p>
        </w:tc>
      </w:tr>
      <w:tr w:rsidR="005055FF" w:rsidRPr="00CE7859" w14:paraId="07DD9F7F" w14:textId="21B981CB" w:rsidTr="00CE7859">
        <w:trPr>
          <w:jc w:val="center"/>
        </w:trPr>
        <w:tc>
          <w:tcPr>
            <w:tcW w:w="5000" w:type="pct"/>
            <w:tcBorders>
              <w:top w:val="double" w:sz="4" w:space="0" w:color="auto"/>
              <w:left w:val="single" w:sz="8" w:space="0" w:color="000000" w:themeColor="text1"/>
              <w:bottom w:val="dotted" w:sz="2" w:space="0" w:color="auto"/>
              <w:right w:val="single" w:sz="8" w:space="0" w:color="000000" w:themeColor="text1"/>
            </w:tcBorders>
            <w:noWrap/>
          </w:tcPr>
          <w:p w14:paraId="2CEC7F55" w14:textId="135AE96C" w:rsidR="005055FF" w:rsidRPr="00CE7859" w:rsidRDefault="005055FF" w:rsidP="0025789B">
            <w:pPr>
              <w:pStyle w:val="Tabletext"/>
            </w:pPr>
            <w:r w:rsidRPr="00B22CE7">
              <w:rPr>
                <w:b/>
              </w:rPr>
              <w:t>Question 2</w:t>
            </w:r>
            <w:r w:rsidR="00B22CE7">
              <w:t>: The s</w:t>
            </w:r>
            <w:r w:rsidRPr="00CE7859">
              <w:t>ponsor is advised that there should be only one current ASA. It is recomme</w:t>
            </w:r>
            <w:r w:rsidR="00B22CE7">
              <w:t>nded that a combined ASA (for Jaydess and Kyleena</w:t>
            </w:r>
            <w:r w:rsidRPr="00CE7859">
              <w:t xml:space="preserve">) should be resubmitted which includes all the activities included in the separate ASA </w:t>
            </w:r>
            <w:r w:rsidR="00B22CE7">
              <w:t>version 3.6 (Jaydess) and 4.1 (Jaydess and Kyleena</w:t>
            </w:r>
            <w:r w:rsidRPr="00CE7859">
              <w:t xml:space="preserve">). The revised ASA can be submitted and considered for both </w:t>
            </w:r>
            <w:r w:rsidR="00B22CE7">
              <w:t xml:space="preserve">the application [referenced in Question 1 (above)] </w:t>
            </w:r>
            <w:r w:rsidRPr="00CE7859">
              <w:t xml:space="preserve">and </w:t>
            </w:r>
            <w:r w:rsidR="00B22CE7">
              <w:t>the present application for marketing authorisation of Kyleena</w:t>
            </w:r>
            <w:r w:rsidRPr="00CE7859">
              <w:t>.</w:t>
            </w:r>
          </w:p>
        </w:tc>
      </w:tr>
      <w:tr w:rsidR="005055FF" w:rsidRPr="00CE7859" w14:paraId="190B709D" w14:textId="0A15C05A" w:rsidTr="00CE7859">
        <w:trPr>
          <w:jc w:val="center"/>
        </w:trPr>
        <w:tc>
          <w:tcPr>
            <w:tcW w:w="5000" w:type="pct"/>
            <w:tcBorders>
              <w:top w:val="dotted" w:sz="2" w:space="0" w:color="auto"/>
              <w:left w:val="single" w:sz="8" w:space="0" w:color="000000" w:themeColor="text1"/>
              <w:bottom w:val="dotted" w:sz="2" w:space="0" w:color="auto"/>
              <w:right w:val="single" w:sz="8" w:space="0" w:color="000000" w:themeColor="text1"/>
            </w:tcBorders>
            <w:noWrap/>
          </w:tcPr>
          <w:p w14:paraId="5C3C86C7" w14:textId="4DF6A49B" w:rsidR="005055FF" w:rsidRPr="00CE7859" w:rsidRDefault="005055FF" w:rsidP="0025789B">
            <w:pPr>
              <w:pStyle w:val="Tabletext"/>
            </w:pPr>
            <w:r w:rsidRPr="00B22CE7">
              <w:rPr>
                <w:i/>
              </w:rPr>
              <w:t>Sponsor’s response</w:t>
            </w:r>
            <w:r w:rsidRPr="00CE7859">
              <w:t xml:space="preserve">: As </w:t>
            </w:r>
            <w:r w:rsidR="00B22CE7">
              <w:t>Kyleena</w:t>
            </w:r>
            <w:r w:rsidRPr="00CE7859">
              <w:t xml:space="preserve"> is currently under review and is not yet approved in Austral</w:t>
            </w:r>
            <w:r w:rsidR="00B22CE7">
              <w:t>ia, the combined ASA for Jaydess and Kyleena</w:t>
            </w:r>
            <w:r w:rsidRPr="00CE7859">
              <w:t xml:space="preserve"> (Version 4.1) was not submitted </w:t>
            </w:r>
            <w:r w:rsidR="00B22CE7">
              <w:t>in the application [referenced in Question 1 (above)]</w:t>
            </w:r>
            <w:r w:rsidRPr="00CE7859">
              <w:t>. Therefore, two ASAs were maintained. However, once K</w:t>
            </w:r>
            <w:r w:rsidR="00B22CE7">
              <w:t>yleena is approved, the Jaydess</w:t>
            </w:r>
            <w:r w:rsidRPr="00CE7859">
              <w:t xml:space="preserve"> ASA (Version 3.6) will be su</w:t>
            </w:r>
            <w:r w:rsidR="00B22CE7">
              <w:t>perseded by the combined Jaydess</w:t>
            </w:r>
            <w:r w:rsidRPr="00CE7859">
              <w:t>/</w:t>
            </w:r>
            <w:r w:rsidR="00B22CE7">
              <w:t>Kyleena</w:t>
            </w:r>
            <w:r w:rsidRPr="00CE7859">
              <w:t xml:space="preserve"> ASA (Version 4.1)</w:t>
            </w:r>
            <w:r w:rsidR="00B22CE7">
              <w:t>.</w:t>
            </w:r>
          </w:p>
        </w:tc>
      </w:tr>
      <w:tr w:rsidR="005055FF" w:rsidRPr="00CE7859" w14:paraId="052B82C6" w14:textId="6F8EEC52" w:rsidTr="00CE7859">
        <w:trPr>
          <w:jc w:val="center"/>
        </w:trPr>
        <w:tc>
          <w:tcPr>
            <w:tcW w:w="5000" w:type="pct"/>
            <w:tcBorders>
              <w:top w:val="dotted" w:sz="2" w:space="0" w:color="auto"/>
              <w:left w:val="single" w:sz="8" w:space="0" w:color="000000" w:themeColor="text1"/>
              <w:bottom w:val="double" w:sz="4" w:space="0" w:color="auto"/>
              <w:right w:val="single" w:sz="8" w:space="0" w:color="000000" w:themeColor="text1"/>
            </w:tcBorders>
            <w:noWrap/>
          </w:tcPr>
          <w:p w14:paraId="66EBF539" w14:textId="047AA169" w:rsidR="005055FF" w:rsidRPr="00CE7859" w:rsidRDefault="00B22CE7" w:rsidP="0025789B">
            <w:pPr>
              <w:pStyle w:val="Tabletext"/>
            </w:pPr>
            <w:r w:rsidRPr="00B22CE7">
              <w:rPr>
                <w:b/>
              </w:rPr>
              <w:t>RMP e</w:t>
            </w:r>
            <w:r w:rsidR="005055FF" w:rsidRPr="00B22CE7">
              <w:rPr>
                <w:b/>
              </w:rPr>
              <w:t>valuator</w:t>
            </w:r>
            <w:r w:rsidRPr="00B22CE7">
              <w:rPr>
                <w:b/>
              </w:rPr>
              <w:t>’s</w:t>
            </w:r>
            <w:r w:rsidR="005055FF" w:rsidRPr="00B22CE7">
              <w:rPr>
                <w:b/>
              </w:rPr>
              <w:t xml:space="preserve"> comment</w:t>
            </w:r>
            <w:r w:rsidR="005055FF" w:rsidRPr="00CE7859">
              <w:t xml:space="preserve">: The sponsor should ensure that ASA version 3.6 for the Jaydess submission is replaced with the Jaydess/Kyleena ASA version 4.1 once Kyleena is approved for marketing. However, if Jaydess is not going to be marketed then there should be no need to evaluate the RMP (version 3.6) for this </w:t>
            </w:r>
            <w:r>
              <w:t>PI change</w:t>
            </w:r>
            <w:r w:rsidR="005055FF" w:rsidRPr="00CE7859">
              <w:t xml:space="preserve"> Jaydess submission.</w:t>
            </w:r>
          </w:p>
        </w:tc>
      </w:tr>
      <w:tr w:rsidR="005055FF" w:rsidRPr="00CE7859" w14:paraId="7F2883D8" w14:textId="566732C9" w:rsidTr="00CE7859">
        <w:trPr>
          <w:jc w:val="center"/>
        </w:trPr>
        <w:tc>
          <w:tcPr>
            <w:tcW w:w="5000" w:type="pct"/>
            <w:tcBorders>
              <w:top w:val="double" w:sz="4" w:space="0" w:color="auto"/>
              <w:left w:val="single" w:sz="8" w:space="0" w:color="000000" w:themeColor="text1"/>
              <w:bottom w:val="dotted" w:sz="2" w:space="0" w:color="auto"/>
              <w:right w:val="single" w:sz="8" w:space="0" w:color="000000" w:themeColor="text1"/>
            </w:tcBorders>
            <w:noWrap/>
          </w:tcPr>
          <w:p w14:paraId="2001C67E" w14:textId="60C09028" w:rsidR="005055FF" w:rsidRPr="00CE7859" w:rsidRDefault="005055FF" w:rsidP="0025789B">
            <w:pPr>
              <w:pStyle w:val="Tabletext"/>
            </w:pPr>
            <w:r w:rsidRPr="00B22CE7">
              <w:rPr>
                <w:b/>
              </w:rPr>
              <w:t>Question 3</w:t>
            </w:r>
            <w:r w:rsidR="00B22CE7">
              <w:t>: The s</w:t>
            </w:r>
            <w:r w:rsidRPr="00CE7859">
              <w:t>ponsor sh</w:t>
            </w:r>
            <w:r w:rsidR="00B22CE7">
              <w:t>ould clarify their response to R</w:t>
            </w:r>
            <w:r w:rsidRPr="00CE7859">
              <w:t>ecommend</w:t>
            </w:r>
            <w:r w:rsidR="00B22CE7">
              <w:t>ations 9 and 10 from the second round</w:t>
            </w:r>
            <w:r w:rsidRPr="00CE7859">
              <w:t xml:space="preserve"> RMP evaluation </w:t>
            </w:r>
            <w:r w:rsidR="00B22CE7">
              <w:t>for Kyleena (see Table 6, above)</w:t>
            </w:r>
            <w:r w:rsidRPr="00CE7859">
              <w:t>, particularly if</w:t>
            </w:r>
            <w:r w:rsidR="00B22CE7">
              <w:t xml:space="preserve"> the intention to market Jaydess</w:t>
            </w:r>
            <w:r w:rsidRPr="00CE7859">
              <w:t xml:space="preserve"> in Australia has cha</w:t>
            </w:r>
            <w:r w:rsidR="00B22CE7">
              <w:t>nged or is likely to change</w:t>
            </w:r>
          </w:p>
        </w:tc>
      </w:tr>
      <w:tr w:rsidR="005055FF" w:rsidRPr="00CE7859" w14:paraId="347D2966" w14:textId="4653F92E" w:rsidTr="00CE7859">
        <w:trPr>
          <w:trHeight w:val="180"/>
          <w:jc w:val="center"/>
        </w:trPr>
        <w:tc>
          <w:tcPr>
            <w:tcW w:w="5000" w:type="pct"/>
            <w:tcBorders>
              <w:top w:val="dotted" w:sz="2" w:space="0" w:color="auto"/>
              <w:left w:val="single" w:sz="8" w:space="0" w:color="000000" w:themeColor="text1"/>
              <w:bottom w:val="dotted" w:sz="2" w:space="0" w:color="auto"/>
              <w:right w:val="single" w:sz="8" w:space="0" w:color="000000" w:themeColor="text1"/>
            </w:tcBorders>
            <w:noWrap/>
          </w:tcPr>
          <w:p w14:paraId="5056FEE3" w14:textId="1B41CCA1" w:rsidR="005055FF" w:rsidRPr="00CE7859" w:rsidRDefault="005055FF" w:rsidP="0025789B">
            <w:pPr>
              <w:pStyle w:val="Tabletext"/>
            </w:pPr>
            <w:r w:rsidRPr="00B22CE7">
              <w:rPr>
                <w:i/>
              </w:rPr>
              <w:t>Sponsor’s response</w:t>
            </w:r>
            <w:r w:rsidR="00B22CE7">
              <w:t>: In the EU, Jaydess is marketed with Mirena (Kyleena</w:t>
            </w:r>
            <w:r w:rsidRPr="00CE7859">
              <w:t xml:space="preserve"> will also be marketed soon). As a result, additional risk minimisation activities for medication err</w:t>
            </w:r>
            <w:r w:rsidR="00B22CE7">
              <w:t>or were deemed necessary for healthcare professional</w:t>
            </w:r>
            <w:r w:rsidRPr="00CE7859">
              <w:t>s due to the different duration of u</w:t>
            </w:r>
            <w:r w:rsidR="004E708C">
              <w:t>se between Jaydess and Mirena. However, as Jaydess</w:t>
            </w:r>
            <w:r w:rsidRPr="00CE7859">
              <w:t xml:space="preserve"> will not be marketed in Australia, the potential for medication error </w:t>
            </w:r>
            <w:r w:rsidR="004E708C">
              <w:t>is not applicable as both Mirena and Kyleena h</w:t>
            </w:r>
            <w:r w:rsidRPr="00CE7859">
              <w:t>ave the same duration of use for contracep</w:t>
            </w:r>
            <w:r w:rsidR="00FF1193">
              <w:t xml:space="preserve">tive efficacy. </w:t>
            </w:r>
            <w:r w:rsidR="004E708C">
              <w:t>Therefore, the sponsor</w:t>
            </w:r>
            <w:r w:rsidRPr="00CE7859">
              <w:t xml:space="preserve"> believes that </w:t>
            </w:r>
            <w:r w:rsidR="004E708C">
              <w:t>healthcare professional</w:t>
            </w:r>
            <w:r w:rsidRPr="00CE7859">
              <w:t xml:space="preserve"> educational material and a physician questionn</w:t>
            </w:r>
            <w:r w:rsidR="004E708C">
              <w:t>aire are not required for Mirena and Kyleena</w:t>
            </w:r>
            <w:r w:rsidRPr="00CE7859">
              <w:t>.</w:t>
            </w:r>
          </w:p>
        </w:tc>
      </w:tr>
      <w:tr w:rsidR="005055FF" w:rsidRPr="00CE7859" w14:paraId="56C9C4AE" w14:textId="53EBDAFF" w:rsidTr="00CE7859">
        <w:trPr>
          <w:trHeight w:val="110"/>
          <w:jc w:val="center"/>
        </w:trPr>
        <w:tc>
          <w:tcPr>
            <w:tcW w:w="5000" w:type="pct"/>
            <w:tcBorders>
              <w:top w:val="dotted" w:sz="2" w:space="0" w:color="auto"/>
              <w:left w:val="single" w:sz="8" w:space="0" w:color="000000" w:themeColor="text1"/>
              <w:bottom w:val="single" w:sz="8" w:space="0" w:color="000000" w:themeColor="text1"/>
              <w:right w:val="single" w:sz="8" w:space="0" w:color="000000" w:themeColor="text1"/>
            </w:tcBorders>
            <w:noWrap/>
          </w:tcPr>
          <w:p w14:paraId="40AA0D37" w14:textId="025D64AC" w:rsidR="005055FF" w:rsidRPr="00CE7859" w:rsidRDefault="004E708C" w:rsidP="0025789B">
            <w:pPr>
              <w:pStyle w:val="Tabletext"/>
            </w:pPr>
            <w:r w:rsidRPr="004E708C">
              <w:rPr>
                <w:b/>
              </w:rPr>
              <w:t>RMP e</w:t>
            </w:r>
            <w:r w:rsidR="005055FF" w:rsidRPr="004E708C">
              <w:rPr>
                <w:b/>
              </w:rPr>
              <w:t>valuator</w:t>
            </w:r>
            <w:r w:rsidRPr="004E708C">
              <w:rPr>
                <w:b/>
              </w:rPr>
              <w:t>’s</w:t>
            </w:r>
            <w:r w:rsidR="005055FF" w:rsidRPr="004E708C">
              <w:rPr>
                <w:b/>
              </w:rPr>
              <w:t xml:space="preserve"> comment</w:t>
            </w:r>
            <w:r w:rsidR="005055FF" w:rsidRPr="00CE7859">
              <w:t>: The sponsor’s response</w:t>
            </w:r>
            <w:r>
              <w:t xml:space="preserve"> has reassured the e</w:t>
            </w:r>
            <w:r w:rsidR="005055FF" w:rsidRPr="00CE7859">
              <w:t>valuator that Jaydess will not be marketed</w:t>
            </w:r>
            <w:r w:rsidR="00FF1193">
              <w:t xml:space="preserve"> in Australia</w:t>
            </w:r>
            <w:r w:rsidR="005055FF" w:rsidRPr="00CE7859">
              <w:t xml:space="preserve"> therefore</w:t>
            </w:r>
            <w:r>
              <w:t xml:space="preserve"> the healthcare professional</w:t>
            </w:r>
            <w:r w:rsidR="005055FF" w:rsidRPr="00CE7859">
              <w:t xml:space="preserve"> material and physician questionnaire will not be required for Mirena and Kyleena.</w:t>
            </w:r>
          </w:p>
        </w:tc>
      </w:tr>
    </w:tbl>
    <w:p w14:paraId="1A1E5A94" w14:textId="07958559" w:rsidR="00C20F78" w:rsidRDefault="00C20F78" w:rsidP="00C20F78">
      <w:pPr>
        <w:pStyle w:val="Heading4"/>
        <w:rPr>
          <w:lang w:eastAsia="en-AU"/>
        </w:rPr>
      </w:pPr>
      <w:r>
        <w:rPr>
          <w:lang w:eastAsia="en-AU"/>
        </w:rPr>
        <w:lastRenderedPageBreak/>
        <w:t>Wording for conditions for registration</w:t>
      </w:r>
    </w:p>
    <w:p w14:paraId="7D75EBBB" w14:textId="6181E47C" w:rsidR="00C20F78" w:rsidRPr="00C20F78" w:rsidRDefault="00C20F78" w:rsidP="00C20F78">
      <w:r w:rsidRPr="00C20F78">
        <w:t xml:space="preserve">The suggested wording </w:t>
      </w:r>
      <w:r>
        <w:t xml:space="preserve">for registration </w:t>
      </w:r>
      <w:r w:rsidRPr="00C20F78">
        <w:t xml:space="preserve">is: The EU-RMP (version 3; 15 October 2015, </w:t>
      </w:r>
      <w:r>
        <w:t>data lock point</w:t>
      </w:r>
      <w:r w:rsidRPr="00C20F78">
        <w:t xml:space="preserve"> 15 July 2015), with Australian Specific Annex (version 4.1; August 2016</w:t>
      </w:r>
      <w:r>
        <w:t>), must be implemented.</w:t>
      </w:r>
    </w:p>
    <w:p w14:paraId="42C83992" w14:textId="77777777" w:rsidR="008E7846" w:rsidRPr="00792A32" w:rsidRDefault="008E7846" w:rsidP="008E7846">
      <w:pPr>
        <w:pStyle w:val="Heading2"/>
      </w:pPr>
      <w:bookmarkStart w:id="96" w:name="_Toc314842510"/>
      <w:bookmarkStart w:id="97" w:name="_Toc49904055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4"/>
      <w:bookmarkEnd w:id="95"/>
      <w:bookmarkEnd w:id="96"/>
      <w:bookmarkEnd w:id="97"/>
    </w:p>
    <w:p w14:paraId="16556AA3" w14:textId="600F6AE1" w:rsidR="008E7846" w:rsidRDefault="008E7846" w:rsidP="008E7846">
      <w:bookmarkStart w:id="98" w:name="_Toc247691528"/>
      <w:r>
        <w:t xml:space="preserve">The submission </w:t>
      </w:r>
      <w:r w:rsidR="00B7145F">
        <w:t>for the drug product Ky</w:t>
      </w:r>
      <w:r w:rsidR="004F27DD">
        <w:t>leena levonorgestrel 19.5 mg</w:t>
      </w:r>
      <w:r w:rsidR="003D636C">
        <w:t xml:space="preserve"> IUS</w:t>
      </w:r>
      <w:r w:rsidR="00B7145F">
        <w:t xml:space="preserve"> </w:t>
      </w:r>
      <w:r>
        <w:t xml:space="preserve">was summarised in the following </w:t>
      </w:r>
      <w:r w:rsidRPr="00EF5C48">
        <w:t xml:space="preserve">Delegate’s </w:t>
      </w:r>
      <w:r>
        <w:t>overview</w:t>
      </w:r>
      <w:r w:rsidRPr="00EF5C48">
        <w:t xml:space="preserve"> and recommendation</w:t>
      </w:r>
      <w:r w:rsidR="00C06787">
        <w:t>s.</w:t>
      </w:r>
    </w:p>
    <w:p w14:paraId="78193CC3" w14:textId="1BE7871F" w:rsidR="00B7145F" w:rsidRPr="00B7145F" w:rsidRDefault="00B7145F" w:rsidP="00B7145F">
      <w:r w:rsidRPr="00B7145F">
        <w:t xml:space="preserve">The </w:t>
      </w:r>
      <w:r w:rsidR="004F27DD">
        <w:t>Delegate</w:t>
      </w:r>
      <w:r>
        <w:t xml:space="preserve"> noted that </w:t>
      </w:r>
      <w:r w:rsidRPr="00B7145F">
        <w:t>proposed trade name Sofitta was changed to Kyle</w:t>
      </w:r>
      <w:r>
        <w:t>ena during the evaluation phase.</w:t>
      </w:r>
    </w:p>
    <w:p w14:paraId="7B3CF381" w14:textId="5E746006" w:rsidR="00B7145F" w:rsidRPr="00B7145F" w:rsidRDefault="00B7145F" w:rsidP="00B7145F">
      <w:r>
        <w:t>The requested indication is:</w:t>
      </w:r>
      <w:r w:rsidRPr="00B7145F">
        <w:t xml:space="preserve"> </w:t>
      </w:r>
      <w:r w:rsidRPr="00B7145F">
        <w:rPr>
          <w:i/>
        </w:rPr>
        <w:t>‘Contraception for up to 5 years’.</w:t>
      </w:r>
    </w:p>
    <w:p w14:paraId="47C21D8B" w14:textId="73C5300F" w:rsidR="00B7145F" w:rsidRPr="00B7145F" w:rsidRDefault="00B7145F" w:rsidP="00B7145F">
      <w:r>
        <w:t>The proposed d</w:t>
      </w:r>
      <w:r w:rsidRPr="00B7145F">
        <w:t>osing regimen</w:t>
      </w:r>
      <w:r w:rsidR="004F27DD">
        <w:t xml:space="preserve"> is: </w:t>
      </w:r>
      <w:r w:rsidRPr="004F27DD">
        <w:rPr>
          <w:i/>
        </w:rPr>
        <w:t>‘Kyleena is inserted into the uterine cavity and is</w:t>
      </w:r>
      <w:r w:rsidR="00956B9C">
        <w:rPr>
          <w:i/>
        </w:rPr>
        <w:t xml:space="preserve"> effective for up to 5</w:t>
      </w:r>
      <w:r w:rsidR="004F27DD">
        <w:rPr>
          <w:i/>
        </w:rPr>
        <w:t xml:space="preserve"> years</w:t>
      </w:r>
      <w:r w:rsidR="004F27DD">
        <w:t>‘.</w:t>
      </w:r>
    </w:p>
    <w:p w14:paraId="7CF4481E" w14:textId="77777777" w:rsidR="00B7145F" w:rsidRPr="00B7145F" w:rsidRDefault="00B7145F" w:rsidP="00C54994">
      <w:pPr>
        <w:pStyle w:val="Heading3"/>
      </w:pPr>
      <w:bookmarkStart w:id="99" w:name="_Toc499040556"/>
      <w:r w:rsidRPr="00B7145F">
        <w:t>Background</w:t>
      </w:r>
      <w:bookmarkEnd w:id="99"/>
    </w:p>
    <w:p w14:paraId="2B20FEA9" w14:textId="4A1252EE" w:rsidR="004F27DD" w:rsidRDefault="004F27DD" w:rsidP="004F27DD">
      <w:r>
        <w:t>Kyleena is a new drug delivery system that is proposed for registration. The currently registered intrauterine drug delivery systems are:</w:t>
      </w:r>
    </w:p>
    <w:p w14:paraId="6265C28D" w14:textId="77777777" w:rsidR="004F27DD" w:rsidRDefault="004F27DD" w:rsidP="004F27DD">
      <w:pPr>
        <w:pStyle w:val="ListBullet"/>
      </w:pPr>
      <w:r>
        <w:t>Mirena levonorgestrel 52 mg intrauterine drug delivery system (AUST R 73027) inserted every 5 years</w:t>
      </w:r>
    </w:p>
    <w:p w14:paraId="2E45A348" w14:textId="48638071" w:rsidR="004F27DD" w:rsidRDefault="004F27DD" w:rsidP="004F27DD">
      <w:pPr>
        <w:pStyle w:val="ListBullet"/>
      </w:pPr>
      <w:r>
        <w:t>Jaydess levonorgestrel 13.5 mg intrauterine drug delivery system (AUST R 200456) inserted every 3 years.</w:t>
      </w:r>
    </w:p>
    <w:p w14:paraId="4D13DBEF" w14:textId="64E6AE78" w:rsidR="004F27DD" w:rsidRDefault="004F27DD" w:rsidP="004F27DD">
      <w:r>
        <w:t>Both these products were considered by the Australian Drug Evaluatio</w:t>
      </w:r>
      <w:r w:rsidR="003D636C">
        <w:t>n Committee (ADEC) or the Advisory Committee on Prescription</w:t>
      </w:r>
      <w:r>
        <w:t xml:space="preserve"> Medicines (ACPM) and recommended for registration.</w:t>
      </w:r>
      <w:r>
        <w:rPr>
          <w:rStyle w:val="FootnoteReference"/>
        </w:rPr>
        <w:footnoteReference w:id="8"/>
      </w:r>
      <w:r>
        <w:t xml:space="preserve"> Jaydess</w:t>
      </w:r>
      <w:r w:rsidR="00C54994">
        <w:t xml:space="preserve"> </w:t>
      </w:r>
      <w:r>
        <w:t>is curre</w:t>
      </w:r>
      <w:r w:rsidR="00C54994">
        <w:t>ntly not marketed in Australia.</w:t>
      </w:r>
    </w:p>
    <w:p w14:paraId="4CE17A3C" w14:textId="5D705A60" w:rsidR="00C54994" w:rsidRDefault="004F27DD" w:rsidP="004F27DD">
      <w:r>
        <w:t>The current submission proposes to register Kyleena (designated LCS16 during development), a low do</w:t>
      </w:r>
      <w:r w:rsidR="003D636C">
        <w:t>se IUS containing 19.5 mg of levonorgestrel</w:t>
      </w:r>
      <w:r>
        <w:t xml:space="preserve"> with initi</w:t>
      </w:r>
      <w:r w:rsidR="00C54994">
        <w:t>al in vitro release rate of 16 µg/24 hours. The sponsor’s rationale is:</w:t>
      </w:r>
    </w:p>
    <w:p w14:paraId="46DD45DC" w14:textId="6A87473C" w:rsidR="004F27DD" w:rsidRPr="00C54994" w:rsidRDefault="00C54994" w:rsidP="00C54994">
      <w:pPr>
        <w:ind w:left="720"/>
        <w:rPr>
          <w:i/>
        </w:rPr>
      </w:pPr>
      <w:r w:rsidRPr="00C54994">
        <w:rPr>
          <w:i/>
        </w:rPr>
        <w:t>‘t</w:t>
      </w:r>
      <w:r w:rsidR="004F27DD" w:rsidRPr="00C54994">
        <w:rPr>
          <w:i/>
        </w:rPr>
        <w:t>he smaller size of LCS16 as compared with Mirena has been designed to facilitate successful insertion in a wide range of women. The treatment duration of up to five years with LCS16 is considered to be a suitable option for women who would prefer the smaller insertion tube diameter and lower dose (compared to Mi</w:t>
      </w:r>
      <w:r w:rsidRPr="00C54994">
        <w:rPr>
          <w:i/>
        </w:rPr>
        <w:t xml:space="preserve">rena) but are interested in a 5 </w:t>
      </w:r>
      <w:r w:rsidR="004F27DD" w:rsidRPr="00C54994">
        <w:rPr>
          <w:i/>
        </w:rPr>
        <w:t>year treatment option (compared to</w:t>
      </w:r>
      <w:r w:rsidRPr="00C54994">
        <w:rPr>
          <w:i/>
        </w:rPr>
        <w:t xml:space="preserve"> Jaydess- also known as LCS12).’</w:t>
      </w:r>
    </w:p>
    <w:p w14:paraId="3550AFE1" w14:textId="77777777" w:rsidR="00C54994" w:rsidRDefault="004F27DD" w:rsidP="00C54994">
      <w:r>
        <w:t xml:space="preserve">The </w:t>
      </w:r>
      <w:r w:rsidR="00C54994">
        <w:t xml:space="preserve">clinical </w:t>
      </w:r>
      <w:r>
        <w:t>evaluator men</w:t>
      </w:r>
      <w:r w:rsidR="00C54994">
        <w:t>tions that:</w:t>
      </w:r>
    </w:p>
    <w:p w14:paraId="144E83D1" w14:textId="5B6B0FF9" w:rsidR="00C54994" w:rsidRPr="00C54994" w:rsidRDefault="00C54994" w:rsidP="00C54994">
      <w:pPr>
        <w:ind w:left="720"/>
        <w:rPr>
          <w:i/>
        </w:rPr>
      </w:pPr>
      <w:r w:rsidRPr="00C54994">
        <w:rPr>
          <w:i/>
        </w:rPr>
        <w:t>‘</w:t>
      </w:r>
      <w:r w:rsidR="004F27DD" w:rsidRPr="00C54994">
        <w:rPr>
          <w:i/>
        </w:rPr>
        <w:t>the LCS16 IUS consists of a hormone-elastomer reservoir mounted on a T-shaped polyethylene frame</w:t>
      </w:r>
      <w:r w:rsidRPr="00C54994">
        <w:rPr>
          <w:i/>
        </w:rPr>
        <w:t>. The s</w:t>
      </w:r>
      <w:r w:rsidR="004F27DD" w:rsidRPr="00C54994">
        <w:rPr>
          <w:i/>
        </w:rPr>
        <w:t>ponsor states LCS16 uses the same T-frame as LCS12, but with a longer duration of action. Like LCS12, the LCS16 IUS T-frame contains a silver ring in the upper part of the vertical stem to facilitate detection and differentiation of LCS16 and LCS12 from other intrauterine systems on ultrasound. To further aid differentiation of LCS16 from LCS12 once in situ, a polypropylene</w:t>
      </w:r>
      <w:r w:rsidRPr="00C54994">
        <w:rPr>
          <w:i/>
        </w:rPr>
        <w:t xml:space="preserve"> removal thread </w:t>
      </w:r>
      <w:r w:rsidRPr="00C54994">
        <w:rPr>
          <w:i/>
        </w:rPr>
        <w:lastRenderedPageBreak/>
        <w:t>with a blue colorant will be used for the commercial LSC16 product, which differs from the brown polyethylene removal threads of the commercial LCS12 product’.</w:t>
      </w:r>
    </w:p>
    <w:p w14:paraId="427F92F2" w14:textId="355EB5B2" w:rsidR="00B7145F" w:rsidRPr="00B7145F" w:rsidRDefault="00C54994" w:rsidP="00C54994">
      <w:r>
        <w:t>Similar submi</w:t>
      </w:r>
      <w:r w:rsidR="003D636C">
        <w:t>ssions have been made in EU, US</w:t>
      </w:r>
      <w:r>
        <w:t xml:space="preserve"> and Canada. Kyleena has </w:t>
      </w:r>
      <w:r w:rsidR="003D636C">
        <w:t>been approved for use in the US</w:t>
      </w:r>
      <w:r>
        <w:t>.</w:t>
      </w:r>
    </w:p>
    <w:p w14:paraId="34464F8E" w14:textId="77777777" w:rsidR="00772A5D" w:rsidRDefault="00772A5D" w:rsidP="00772A5D">
      <w:pPr>
        <w:pStyle w:val="Heading3"/>
      </w:pPr>
      <w:bookmarkStart w:id="100" w:name="_Toc499040557"/>
      <w:r>
        <w:t>Quality</w:t>
      </w:r>
      <w:bookmarkEnd w:id="100"/>
    </w:p>
    <w:p w14:paraId="432F0179" w14:textId="5BD22752" w:rsidR="00C54994" w:rsidRDefault="00C54994" w:rsidP="00C54994">
      <w:r>
        <w:t>The sponsor did not submit in vivo biopharmaceutical studies, including bioavailability and bioequivalence studies, for the proposed product. The evaluator accepts the justification by the sponsor for not submitting bioavailability studies from a pharmaceutical perspective.</w:t>
      </w:r>
    </w:p>
    <w:p w14:paraId="40E060F4" w14:textId="2B2AD5DB" w:rsidR="00C54994" w:rsidRDefault="00C54994" w:rsidP="00C54994">
      <w:r>
        <w:t>In vivo release rates were calculated using a population pharmacokinetic model over the 5 year period which considered ex vivo residual content data and plasma concentration data obtained from women who prematurely discontinued or completed the study treatment in the pivotal Phase III LCS16 efficacy study. This is considered acceptable by the evaluator.</w:t>
      </w:r>
    </w:p>
    <w:p w14:paraId="0A838F38" w14:textId="139B001D" w:rsidR="00C54994" w:rsidRDefault="00C54994" w:rsidP="00C54994">
      <w:r>
        <w:t>The shelf life proposed by the sponsor and considered acceptable is 24 months when stored below 30°C (unopened). Once inserted, the intrauterine system may remain in place for up to 5 years (that is, the in-use shelf life is 5 years).</w:t>
      </w:r>
    </w:p>
    <w:p w14:paraId="26A7E5C1" w14:textId="19CA2125" w:rsidR="00C54994" w:rsidRDefault="00C54994" w:rsidP="00C54994">
      <w:r>
        <w:t>The device has been evaluated and was considered acceptable.</w:t>
      </w:r>
    </w:p>
    <w:p w14:paraId="4A46393F" w14:textId="45208768" w:rsidR="00C54994" w:rsidRDefault="00C54994" w:rsidP="00C54994">
      <w:r>
        <w:t>The schematic representa</w:t>
      </w:r>
      <w:r w:rsidR="00956B9C">
        <w:t xml:space="preserve">tion of the device is </w:t>
      </w:r>
      <w:r w:rsidR="003D636C">
        <w:t xml:space="preserve">shown in Figures 1 and 2 earlier in this </w:t>
      </w:r>
      <w:r w:rsidR="00956B9C">
        <w:t>document.</w:t>
      </w:r>
    </w:p>
    <w:p w14:paraId="10F2FB36" w14:textId="6421F09B" w:rsidR="00277646" w:rsidRDefault="00277646" w:rsidP="00277646">
      <w:pPr>
        <w:pStyle w:val="Heading4"/>
      </w:pPr>
      <w:r>
        <w:t>Quality conclus</w:t>
      </w:r>
      <w:r w:rsidR="003D636C">
        <w:t>ions and</w:t>
      </w:r>
      <w:r>
        <w:t xml:space="preserve"> recommendation</w:t>
      </w:r>
    </w:p>
    <w:p w14:paraId="76B5B76F" w14:textId="6D1AC479" w:rsidR="00277646" w:rsidRPr="00277646" w:rsidRDefault="00277646" w:rsidP="00277646">
      <w:r w:rsidRPr="00277646">
        <w:t>All outstanding chemistry and quality control issues have been satisfactorily resolved and the evaluator recommends approval from a chemistry perspective.</w:t>
      </w:r>
    </w:p>
    <w:p w14:paraId="681BF75E" w14:textId="399D814F" w:rsidR="00772A5D" w:rsidRDefault="00F97701" w:rsidP="00277646">
      <w:pPr>
        <w:pStyle w:val="Heading3"/>
        <w:tabs>
          <w:tab w:val="left" w:pos="2592"/>
        </w:tabs>
      </w:pPr>
      <w:bookmarkStart w:id="101" w:name="_Toc499040558"/>
      <w:r>
        <w:t>Nonclinical</w:t>
      </w:r>
      <w:bookmarkEnd w:id="101"/>
    </w:p>
    <w:p w14:paraId="7125BFDD" w14:textId="25B9B49B" w:rsidR="00277646" w:rsidRDefault="00277646" w:rsidP="00277646">
      <w:r>
        <w:t>The toxicology evaluator states that the nonclinical data subm</w:t>
      </w:r>
      <w:r w:rsidR="00672A54">
        <w:t xml:space="preserve">itted contained a series of GLP </w:t>
      </w:r>
      <w:r>
        <w:t>compliant toxicity studies conducted with the new materials used in Kyleena as well as previously evaluated data pertaining to existing materials. Only the new data are evaluated in the main body of this report.</w:t>
      </w:r>
    </w:p>
    <w:p w14:paraId="503E6FF4" w14:textId="18CAF6BE" w:rsidR="00277646" w:rsidRDefault="00277646" w:rsidP="00277646">
      <w:r>
        <w:t>The evaluator m</w:t>
      </w:r>
      <w:r w:rsidR="003D636C">
        <w:t xml:space="preserve">entions that these were blue </w:t>
      </w:r>
      <w:r>
        <w:t>coloured polypropylene removal threads (which are in long-term body contact) and a grey-coloured polyethylene flange used as a component of the inserter device (in short-term body contact).</w:t>
      </w:r>
    </w:p>
    <w:p w14:paraId="0659C86C" w14:textId="678C1050" w:rsidR="00277646" w:rsidRDefault="00277646" w:rsidP="00277646">
      <w:r>
        <w:t>Biocompatibility of the modified polypropylene removal threads was shown in tests for cytotoxicity, genotoxicity, contact sensitisation, local (intracutaneous) tolerance and systemic toxicity; and biocompatibility of the modified flange of the inserter device was demonstrated in tests for cytotoxicity, contact sensitisation and local (intra-cutaneous) tolerance. The suite of tests performed was as per ISO 10993 req</w:t>
      </w:r>
      <w:r w:rsidR="003D636C">
        <w:t xml:space="preserve">uirements for materials in long and short </w:t>
      </w:r>
      <w:r>
        <w:t>term body contact.</w:t>
      </w:r>
      <w:r w:rsidR="003D636C" w:rsidRPr="003D636C">
        <w:rPr>
          <w:vertAlign w:val="superscript"/>
        </w:rPr>
        <w:fldChar w:fldCharType="begin"/>
      </w:r>
      <w:r w:rsidR="003D636C" w:rsidRPr="003D636C">
        <w:rPr>
          <w:vertAlign w:val="superscript"/>
        </w:rPr>
        <w:instrText xml:space="preserve"> NOTEREF _Ref492898051 \h </w:instrText>
      </w:r>
      <w:r w:rsidR="003D636C">
        <w:rPr>
          <w:vertAlign w:val="superscript"/>
        </w:rPr>
        <w:instrText xml:space="preserve"> \* MERGEFORMAT </w:instrText>
      </w:r>
      <w:r w:rsidR="003D636C" w:rsidRPr="003D636C">
        <w:rPr>
          <w:vertAlign w:val="superscript"/>
        </w:rPr>
      </w:r>
      <w:r w:rsidR="003D636C" w:rsidRPr="003D636C">
        <w:rPr>
          <w:vertAlign w:val="superscript"/>
        </w:rPr>
        <w:fldChar w:fldCharType="separate"/>
      </w:r>
      <w:r w:rsidR="009D5B6F">
        <w:rPr>
          <w:vertAlign w:val="superscript"/>
        </w:rPr>
        <w:t>3</w:t>
      </w:r>
      <w:r w:rsidR="003D636C" w:rsidRPr="003D636C">
        <w:rPr>
          <w:vertAlign w:val="superscript"/>
        </w:rPr>
        <w:fldChar w:fldCharType="end"/>
      </w:r>
    </w:p>
    <w:p w14:paraId="3D1B857C" w14:textId="59B3F66E" w:rsidR="00277646" w:rsidRDefault="00277646" w:rsidP="00277646">
      <w:r>
        <w:t>Some PI amendments were recommended.</w:t>
      </w:r>
    </w:p>
    <w:p w14:paraId="6801CA34" w14:textId="2E1051E2" w:rsidR="00277646" w:rsidRDefault="00277646" w:rsidP="00277646">
      <w:pPr>
        <w:pStyle w:val="Heading4"/>
      </w:pPr>
      <w:r>
        <w:t>Nonclinical conclusions and reco</w:t>
      </w:r>
      <w:r w:rsidR="003D636C">
        <w:t>mmendation</w:t>
      </w:r>
    </w:p>
    <w:p w14:paraId="690E2CCD" w14:textId="09EE01DE" w:rsidR="00277646" w:rsidRPr="00277646" w:rsidRDefault="00277646" w:rsidP="00277646">
      <w:r>
        <w:t>The nonclinical evaluator recommends approval from a nonclinical point of view.</w:t>
      </w:r>
    </w:p>
    <w:p w14:paraId="2354B496" w14:textId="32D87AC8" w:rsidR="00F97701" w:rsidRDefault="00F97701" w:rsidP="00F97701">
      <w:pPr>
        <w:pStyle w:val="Heading3"/>
      </w:pPr>
      <w:bookmarkStart w:id="102" w:name="_Toc499040559"/>
      <w:r>
        <w:lastRenderedPageBreak/>
        <w:t>Clinical</w:t>
      </w:r>
      <w:bookmarkEnd w:id="102"/>
    </w:p>
    <w:p w14:paraId="7C627B89" w14:textId="06B4FC7E" w:rsidR="00277646" w:rsidRDefault="00277646" w:rsidP="00277646">
      <w:pPr>
        <w:pStyle w:val="Heading4"/>
      </w:pPr>
      <w:r>
        <w:t>Pharmacokinetics</w:t>
      </w:r>
    </w:p>
    <w:p w14:paraId="4FCA01CB" w14:textId="03410C61" w:rsidR="00277646" w:rsidRDefault="00277646" w:rsidP="00277646">
      <w:r>
        <w:t xml:space="preserve">The majority of the pharmacokinetic data for LCS16 was provided the pivotal Phase III LCS16 efficacy Study Protocol 91665/310442 (CSRs A52238 and PH-37274) and the Phase II Study Protocol 308901 (CSR A46796). (These two studies are referred to as Study A52238 and Study A46796, in this report). Pharmacokinetic data from Study A46796 and the 3 year Study A52238 were evaluated in </w:t>
      </w:r>
      <w:r w:rsidR="00463412">
        <w:t xml:space="preserve">the previous Jaydess submission (see the </w:t>
      </w:r>
      <w:r w:rsidR="005715A9">
        <w:t xml:space="preserve">Jaydess </w:t>
      </w:r>
      <w:r w:rsidR="00463412">
        <w:t>AusPAR/Attachment 2 for further details).</w:t>
      </w:r>
      <w:r w:rsidR="005715A9" w:rsidRPr="005715A9">
        <w:rPr>
          <w:vertAlign w:val="superscript"/>
        </w:rPr>
        <w:fldChar w:fldCharType="begin"/>
      </w:r>
      <w:r w:rsidR="005715A9" w:rsidRPr="005715A9">
        <w:rPr>
          <w:vertAlign w:val="superscript"/>
        </w:rPr>
        <w:instrText xml:space="preserve"> NOTEREF _Ref492462285 \h  \* MERGEFORMAT </w:instrText>
      </w:r>
      <w:r w:rsidR="005715A9" w:rsidRPr="005715A9">
        <w:rPr>
          <w:vertAlign w:val="superscript"/>
        </w:rPr>
      </w:r>
      <w:r w:rsidR="005715A9" w:rsidRPr="005715A9">
        <w:rPr>
          <w:vertAlign w:val="superscript"/>
        </w:rPr>
        <w:fldChar w:fldCharType="separate"/>
      </w:r>
      <w:r w:rsidR="009D5B6F">
        <w:rPr>
          <w:vertAlign w:val="superscript"/>
        </w:rPr>
        <w:t>5</w:t>
      </w:r>
      <w:r w:rsidR="005715A9" w:rsidRPr="005715A9">
        <w:rPr>
          <w:vertAlign w:val="superscript"/>
        </w:rPr>
        <w:fldChar w:fldCharType="end"/>
      </w:r>
      <w:r>
        <w:t xml:space="preserve"> Thus, several aspects of the pharmacokinetics are drawn upon from t</w:t>
      </w:r>
      <w:r w:rsidR="00463412">
        <w:t>he previous evaluation report.</w:t>
      </w:r>
    </w:p>
    <w:p w14:paraId="13B3A7D5" w14:textId="47403D21" w:rsidR="00277646" w:rsidRDefault="00277646" w:rsidP="00277646">
      <w:r>
        <w:t>Based on the population pharmacokinetic approach, the in vivo release rate of</w:t>
      </w:r>
      <w:r w:rsidR="00463412">
        <w:t xml:space="preserve"> LCS16 and</w:t>
      </w:r>
      <w:r w:rsidR="003D636C">
        <w:t xml:space="preserve"> LCS12 are as follows in Table 8</w:t>
      </w:r>
      <w:r w:rsidR="00463412">
        <w:t xml:space="preserve"> below.</w:t>
      </w:r>
    </w:p>
    <w:p w14:paraId="08130915" w14:textId="622A31FF" w:rsidR="00463412" w:rsidRDefault="003D636C" w:rsidP="003D636C">
      <w:pPr>
        <w:pStyle w:val="Tabletitle0"/>
      </w:pPr>
      <w:r>
        <w:t>Table 8</w:t>
      </w:r>
      <w:r w:rsidR="00463412">
        <w:t>. In vivo release rate of LCS16 and LCS12 over time</w:t>
      </w:r>
    </w:p>
    <w:p w14:paraId="003486CD" w14:textId="6FBFC05D" w:rsidR="00277646" w:rsidRDefault="00463412" w:rsidP="00277646">
      <w:r w:rsidRPr="00463412">
        <w:rPr>
          <w:noProof/>
          <w:lang w:eastAsia="en-AU"/>
        </w:rPr>
        <w:drawing>
          <wp:inline distT="0" distB="0" distL="0" distR="0" wp14:anchorId="1D0D1830" wp14:editId="64A49606">
            <wp:extent cx="4524219" cy="1238250"/>
            <wp:effectExtent l="0" t="0" r="0" b="0"/>
            <wp:docPr id="5" name="Picture 5" descr="Table 8 is an image of a table showing the In vivo release rate of LCS16 and LCS12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lum bright="-20000" contrast="40000"/>
                      <a:extLst>
                        <a:ext uri="{28A0092B-C50C-407E-A947-70E740481C1C}">
                          <a14:useLocalDpi xmlns:a14="http://schemas.microsoft.com/office/drawing/2010/main" val="0"/>
                        </a:ext>
                      </a:extLst>
                    </a:blip>
                    <a:srcRect/>
                    <a:stretch>
                      <a:fillRect/>
                    </a:stretch>
                  </pic:blipFill>
                  <pic:spPr bwMode="auto">
                    <a:xfrm>
                      <a:off x="0" y="0"/>
                      <a:ext cx="4565980" cy="1249680"/>
                    </a:xfrm>
                    <a:prstGeom prst="rect">
                      <a:avLst/>
                    </a:prstGeom>
                    <a:noFill/>
                    <a:ln>
                      <a:noFill/>
                    </a:ln>
                  </pic:spPr>
                </pic:pic>
              </a:graphicData>
            </a:graphic>
          </wp:inline>
        </w:drawing>
      </w:r>
    </w:p>
    <w:p w14:paraId="58405737" w14:textId="1B9706F5" w:rsidR="00277646" w:rsidRDefault="00277646" w:rsidP="00277646">
      <w:r>
        <w:t>Based on these findings, the ev</w:t>
      </w:r>
      <w:r w:rsidR="00463412">
        <w:t xml:space="preserve">aluator is of the opinion that </w:t>
      </w:r>
      <w:r w:rsidR="00463412" w:rsidRPr="00463412">
        <w:rPr>
          <w:i/>
        </w:rPr>
        <w:t>‘</w:t>
      </w:r>
      <w:r w:rsidRPr="00463412">
        <w:rPr>
          <w:i/>
        </w:rPr>
        <w:t>the in vivo release rates calculated over the 5 year period demonstrate a reduction over the first 12 months, with rates remaining relative</w:t>
      </w:r>
      <w:r w:rsidR="00463412" w:rsidRPr="00463412">
        <w:rPr>
          <w:i/>
        </w:rPr>
        <w:t>ly stable thereafter to 5 years’</w:t>
      </w:r>
      <w:r w:rsidRPr="00463412">
        <w:rPr>
          <w:i/>
        </w:rPr>
        <w:t>.</w:t>
      </w:r>
    </w:p>
    <w:p w14:paraId="46EDB4BD" w14:textId="4F74B897" w:rsidR="00277646" w:rsidRDefault="00277646" w:rsidP="00277646">
      <w:r>
        <w:t>It is noted that, the estimated in vivo release rate 24 hours after insertion for</w:t>
      </w:r>
      <w:r w:rsidR="005715A9">
        <w:t xml:space="preserve"> the Jaydess levonorgestrel IUS</w:t>
      </w:r>
      <w:r>
        <w:t xml:space="preserve"> 13.5 mg is 14 µg/24 hours and the aver</w:t>
      </w:r>
      <w:r w:rsidR="003D636C">
        <w:t>age in vivo release rate over 3 </w:t>
      </w:r>
      <w:r>
        <w:t>years is 6 µg/24 hours. The release rates for K</w:t>
      </w:r>
      <w:r w:rsidR="00463412">
        <w:t>yleena</w:t>
      </w:r>
      <w:r>
        <w:t xml:space="preserve"> w</w:t>
      </w:r>
      <w:r w:rsidR="00463412">
        <w:t>ere greater than those for Jaydess.</w:t>
      </w:r>
    </w:p>
    <w:p w14:paraId="283B826A" w14:textId="5A8CC0C9" w:rsidR="00277646" w:rsidRDefault="00277646" w:rsidP="00463412">
      <w:pPr>
        <w:pStyle w:val="Heading4"/>
      </w:pPr>
      <w:r>
        <w:t>Pharmacodynamics</w:t>
      </w:r>
    </w:p>
    <w:p w14:paraId="0E06E87D" w14:textId="531246EE" w:rsidR="00277646" w:rsidRDefault="00277646" w:rsidP="00277646">
      <w:r>
        <w:t>Again, the data are obtained from the Phase II Study A46796 and the Phase III</w:t>
      </w:r>
      <w:r w:rsidR="005715A9">
        <w:t xml:space="preserve"> LCS16 efficacy Study</w:t>
      </w:r>
      <w:r w:rsidR="00BF6B09">
        <w:t xml:space="preserve"> A52238.</w:t>
      </w:r>
    </w:p>
    <w:p w14:paraId="3A11BDEE" w14:textId="77777777" w:rsidR="00277646" w:rsidRDefault="00277646" w:rsidP="00277646">
      <w:r>
        <w:t>The actions of this product are primarily local on the uterine cavity and cervix.</w:t>
      </w:r>
    </w:p>
    <w:p w14:paraId="55B027FB" w14:textId="3C485981" w:rsidR="00277646" w:rsidRDefault="00277646" w:rsidP="00277646">
      <w:r>
        <w:t>Based on Study A46796, evidence of ovulation was observed in most women in all examinations in the LCS16 group (n = 15), except in the first year during which 2 women were anovulatory. There was a dose response seen i</w:t>
      </w:r>
      <w:r w:rsidR="00BF6B09">
        <w:t>n relation to LCS12 and Mirena.</w:t>
      </w:r>
    </w:p>
    <w:p w14:paraId="61FA9DD3" w14:textId="528F1046" w:rsidR="00277646" w:rsidRDefault="00277646" w:rsidP="00277646">
      <w:r>
        <w:t>In the Phase III LCS16 efficacy study, ovulation was based on serum progesterone values (threshold &gt; 2.5 ng/mL). In the subset of women treated with LCS16, evidence of ovulatio</w:t>
      </w:r>
      <w:r w:rsidR="00BF6B09">
        <w:t>n was shown for 11/12 women in Year 1, 9/10 in Year 2, 7/7 in Year 3 and 1/1 in Y</w:t>
      </w:r>
      <w:r>
        <w:t>ear 4. There were no subjec</w:t>
      </w:r>
      <w:r w:rsidR="00BF6B09">
        <w:t>ts left in the subset in Year 5.</w:t>
      </w:r>
    </w:p>
    <w:p w14:paraId="66859917" w14:textId="1B316E1D" w:rsidR="00277646" w:rsidRDefault="00277646" w:rsidP="00277646">
      <w:r>
        <w:t xml:space="preserve">Cervical </w:t>
      </w:r>
      <w:r w:rsidR="00721D65">
        <w:t xml:space="preserve">mucus </w:t>
      </w:r>
      <w:r>
        <w:t>thickening was also seen in the subsets in Studies A467</w:t>
      </w:r>
      <w:r w:rsidR="005715A9">
        <w:t>96 and A</w:t>
      </w:r>
      <w:r w:rsidR="00BF6B09">
        <w:t>52238 using LCS12, LCS</w:t>
      </w:r>
      <w:r>
        <w:t>16 and Mirena. The numbers included are small to be conclusive regarding dose effect (53 in Study A46796 and 39 in Study A52238). Endometrial biopsy results (taken on a yearly basis up to the end of the 3 year period) in subsets of 30 per treatment arm in both studies showed a strong progestin effect and secretory endometrium in the majority of cases, indicating a high degree of endometrial suppression during treatment.</w:t>
      </w:r>
    </w:p>
    <w:p w14:paraId="35EB112A" w14:textId="4FFF9D0B" w:rsidR="00277646" w:rsidRDefault="00277646" w:rsidP="00277646">
      <w:r>
        <w:lastRenderedPageBreak/>
        <w:t xml:space="preserve">Serum </w:t>
      </w:r>
      <w:r w:rsidR="00BF6B09">
        <w:t>o</w:t>
      </w:r>
      <w:r>
        <w:t>estradiol concentrations were variable (measured twice weekly for 6 wee</w:t>
      </w:r>
      <w:r w:rsidR="00BF6B09">
        <w:t>ks in Study A52238). In the LCS</w:t>
      </w:r>
      <w:r>
        <w:t>16 arm the values were within those observed in the normal menstrual cycle. This was studied in the first three years only.</w:t>
      </w:r>
    </w:p>
    <w:p w14:paraId="1C3881DF" w14:textId="69EE41FB" w:rsidR="00BF6B09" w:rsidRDefault="00BF6B09" w:rsidP="00BF6B09">
      <w:pPr>
        <w:pStyle w:val="Heading4"/>
      </w:pPr>
      <w:r>
        <w:t>Efficacy</w:t>
      </w:r>
    </w:p>
    <w:p w14:paraId="32EA2B4F" w14:textId="39AC0C1B" w:rsidR="00BF6B09" w:rsidRDefault="00BF6B09" w:rsidP="00BF6B09">
      <w:pPr>
        <w:pStyle w:val="Heading5"/>
      </w:pPr>
      <w:r>
        <w:t>Efficacy studies</w:t>
      </w:r>
    </w:p>
    <w:p w14:paraId="5C8C4FFD" w14:textId="789E4E56" w:rsidR="00BF6B09" w:rsidRDefault="00BF6B09" w:rsidP="00BF6B09">
      <w:r>
        <w:t>The efficacy information is obtained from the same 2 studies discussed above and in the previous submission. The pivotal study t</w:t>
      </w:r>
      <w:r w:rsidR="006C2E58">
        <w:t>o support efficacy was for 3</w:t>
      </w:r>
      <w:r>
        <w:t xml:space="preserve"> years duration. The latter study was extended for a further two years to provide support for the indication of ‘contraception</w:t>
      </w:r>
      <w:r w:rsidR="005715A9">
        <w:t xml:space="preserve"> for 5 years’. This was an open label single </w:t>
      </w:r>
      <w:r>
        <w:t>arm extension phase of the LCS16 group up to 5 years.</w:t>
      </w:r>
    </w:p>
    <w:p w14:paraId="0DE57208" w14:textId="349CA907" w:rsidR="00BF6B09" w:rsidRDefault="00BF6B09" w:rsidP="00BF6B09">
      <w:r>
        <w:t>The study population comprised 2884 healthy nulliparous and parous women aged 18 to 35 years in need of contraception. Subjects were randomised in a 1:1 ratio to either the LCS12 (n = 1432) or LCS16 (n = 1452) treatment arms. At the end of the 3 years, there were 707 subjects in the LCS16 treatment arm who continued in to the single arm extension study. There was no control group.</w:t>
      </w:r>
    </w:p>
    <w:p w14:paraId="5D967A83" w14:textId="17642493" w:rsidR="00BF6B09" w:rsidRDefault="00BF6B09" w:rsidP="00BF6B09">
      <w:r>
        <w:t>All safety and efficacy assessments were conducted on the full analysis set (FAS), which included all randomised subjects who received treatment (at least one insertion attempt), using the treatment actually received.</w:t>
      </w:r>
    </w:p>
    <w:p w14:paraId="70E6D093" w14:textId="77777777" w:rsidR="00BF6B09" w:rsidRDefault="00BF6B09" w:rsidP="00BF6B09">
      <w:r>
        <w:t>In total, 2871 (99.5%) women had successful insertions:</w:t>
      </w:r>
    </w:p>
    <w:p w14:paraId="61DC8133" w14:textId="33A9F943" w:rsidR="00BF6B09" w:rsidRDefault="00BF6B09" w:rsidP="00BF6B09">
      <w:pPr>
        <w:pStyle w:val="ListBullet"/>
      </w:pPr>
      <w:r>
        <w:t>LCS12: 1426 women (n = 1380 successful at the first attempt and n = 46 successful at the second attempt</w:t>
      </w:r>
    </w:p>
    <w:p w14:paraId="5F5C5743" w14:textId="242CB0AD" w:rsidR="00BF6B09" w:rsidRDefault="00BF6B09" w:rsidP="00BF6B09">
      <w:pPr>
        <w:pStyle w:val="ListBullet"/>
      </w:pPr>
      <w:r>
        <w:t>LCS16: 1445 women (n = 1390 successful at the first attempt and n = 55 successful at the second attempt).</w:t>
      </w:r>
    </w:p>
    <w:p w14:paraId="516FE5E9" w14:textId="28DE359F" w:rsidR="00BF6B09" w:rsidRDefault="00BF6B09" w:rsidP="00BF6B09">
      <w:r>
        <w:t>All women with an unsuccessful insertion were included in the FAS (n = 13; LCS12 = 6 and LSC16 = 7). The FAS co</w:t>
      </w:r>
      <w:r w:rsidR="005715A9">
        <w:t xml:space="preserve">mprised 2884 subjects for the 3 </w:t>
      </w:r>
      <w:r>
        <w:t>year study and 1452 subjects for the single arm LCS16 extension phase.</w:t>
      </w:r>
    </w:p>
    <w:p w14:paraId="4CD3FE79" w14:textId="729E8ED6" w:rsidR="00BF6B09" w:rsidRDefault="00BF6B09" w:rsidP="00BF6B09">
      <w:r>
        <w:t>Statistical principles have been previously discussed, in the earlier submission. It is noted that the primary efficacy variable was the occurrence of pregnanc</w:t>
      </w:r>
      <w:r w:rsidR="006C2E58">
        <w:t>y, calculated as the Pearl I</w:t>
      </w:r>
      <w:r>
        <w:t>ndex with 2-sided 95% confidence intervals.</w:t>
      </w:r>
    </w:p>
    <w:p w14:paraId="7BD65832" w14:textId="5B632FA0" w:rsidR="00BF6B09" w:rsidRDefault="00BF6B09" w:rsidP="00BF6B09">
      <w:r>
        <w:t>The primary efficacy variable was pregnancy rate, calcula</w:t>
      </w:r>
      <w:r w:rsidR="006C2E58">
        <w:t>ted as the Pearl I</w:t>
      </w:r>
      <w:r w:rsidR="005715A9">
        <w:t>ndex and life</w:t>
      </w:r>
      <w:r w:rsidR="005715A9">
        <w:noBreakHyphen/>
      </w:r>
      <w:r>
        <w:t>table analysis. Secondary variables included bleeding pattern, return to fertility and user satisfaction.</w:t>
      </w:r>
    </w:p>
    <w:p w14:paraId="69027A1C" w14:textId="3FD33465" w:rsidR="00BF6B09" w:rsidRDefault="00BF6B09" w:rsidP="00BF6B09">
      <w:r>
        <w:t xml:space="preserve">It is </w:t>
      </w:r>
      <w:r w:rsidR="005715A9">
        <w:t xml:space="preserve">noted that for the LCS16 single </w:t>
      </w:r>
      <w:r>
        <w:t>arm extension study,</w:t>
      </w:r>
      <w:r w:rsidR="006C2E58">
        <w:t xml:space="preserve"> there were 4 study visits at 6 </w:t>
      </w:r>
      <w:r>
        <w:t>monthly intervals from 36 to 60 months. Serum pregnancy testing was performed at screening, and interim visits as needed. Urine pregnancy testing was performed at Baseline, Visit 10 (36 months), Visit 12 (48 months) and Visit 14 (60 months</w:t>
      </w:r>
      <w:r w:rsidR="005715A9">
        <w:t>) (</w:t>
      </w:r>
      <w:r>
        <w:t xml:space="preserve">see </w:t>
      </w:r>
      <w:r w:rsidR="00036A2E">
        <w:t>Attachment 2 for further details</w:t>
      </w:r>
      <w:r w:rsidR="005715A9">
        <w:t>)</w:t>
      </w:r>
      <w:r w:rsidR="00036A2E">
        <w:t>.</w:t>
      </w:r>
    </w:p>
    <w:p w14:paraId="4A0C7115" w14:textId="2F88B411" w:rsidR="00BF6B09" w:rsidRDefault="00036A2E" w:rsidP="00BF6B09">
      <w:r>
        <w:t xml:space="preserve">The 4 </w:t>
      </w:r>
      <w:r w:rsidR="00BF6B09">
        <w:t>year P</w:t>
      </w:r>
      <w:r w:rsidR="006C2E58">
        <w:t>earl I</w:t>
      </w:r>
      <w:r>
        <w:t>ndex was obtained in the first 4</w:t>
      </w:r>
      <w:r w:rsidR="00BF6B09">
        <w:t xml:space="preserve"> years of treatment (number of pregnancies that occurred during the first four years of treatment divided by time the women were at risk of ge</w:t>
      </w:r>
      <w:r>
        <w:t>tting pregnant in the first 4</w:t>
      </w:r>
      <w:r w:rsidR="00BF6B09">
        <w:t xml:space="preserve"> years</w:t>
      </w:r>
      <w:r>
        <w:t xml:space="preserve"> of treatment</w:t>
      </w:r>
      <w:r w:rsidR="006C2E58">
        <w:t>). Similarly, the 5 year Pearl I</w:t>
      </w:r>
      <w:r>
        <w:t xml:space="preserve">ndex was </w:t>
      </w:r>
      <w:r w:rsidR="00BF6B09">
        <w:t xml:space="preserve">obtained in the first five years of treatment (number of pregnancies that occurred during the first five years of treatment divided by time the women were at risk of getting pregnant in the </w:t>
      </w:r>
      <w:r>
        <w:t>first five years of treatment).</w:t>
      </w:r>
    </w:p>
    <w:p w14:paraId="5A5B0F77" w14:textId="1D46A0A0" w:rsidR="00BF6B09" w:rsidRDefault="00036A2E" w:rsidP="00036A2E">
      <w:pPr>
        <w:pStyle w:val="Heading5"/>
      </w:pPr>
      <w:r>
        <w:t>Results</w:t>
      </w:r>
    </w:p>
    <w:p w14:paraId="2686C222" w14:textId="1B0D8F23" w:rsidR="00BF6B09" w:rsidRDefault="00036A2E" w:rsidP="00BF6B09">
      <w:r>
        <w:t xml:space="preserve">2885 were randomised. </w:t>
      </w:r>
      <w:r w:rsidR="00BF6B09">
        <w:t>Of th</w:t>
      </w:r>
      <w:r>
        <w:t xml:space="preserve">e 870 subjects completing the 3 </w:t>
      </w:r>
      <w:r w:rsidR="00BF6B09">
        <w:t>year treatment in the LCS16 treatment group, 707 continued in the LCS16 extension phase, with 550 (77.8%) of these su</w:t>
      </w:r>
      <w:r>
        <w:t>bjects completing the study at Year 5.</w:t>
      </w:r>
    </w:p>
    <w:p w14:paraId="109F7E40" w14:textId="7788B730" w:rsidR="00BF6B09" w:rsidRDefault="00BF6B09" w:rsidP="00BF6B09">
      <w:r>
        <w:lastRenderedPageBreak/>
        <w:t xml:space="preserve">Of the 707 subjects continuing the 5 year extension, 82.5% were Caucasian, mean age </w:t>
      </w:r>
      <w:r w:rsidR="006C2E58">
        <w:t>was 27.6 years (35.9% ≤ 25 years;</w:t>
      </w:r>
      <w:r>
        <w:t xml:space="preserve"> 64.1 % &gt; 25 ≤ 35 years), </w:t>
      </w:r>
      <w:r w:rsidR="006C2E58">
        <w:t xml:space="preserve">with a </w:t>
      </w:r>
      <w:r>
        <w:t>mean BMI 25.1 kg/m</w:t>
      </w:r>
      <w:r w:rsidRPr="00036A2E">
        <w:rPr>
          <w:vertAlign w:val="superscript"/>
        </w:rPr>
        <w:t>2</w:t>
      </w:r>
      <w:r w:rsidR="00036A2E">
        <w:t xml:space="preserve"> (note, t</w:t>
      </w:r>
      <w:r>
        <w:t>he demographics was similar to the original study group). There were 37.1% of</w:t>
      </w:r>
      <w:r w:rsidR="005715A9">
        <w:t xml:space="preserve"> subjects who were nulliparous (s</w:t>
      </w:r>
      <w:r w:rsidR="00036A2E">
        <w:t>ee Attachment 2 for further details</w:t>
      </w:r>
      <w:r w:rsidR="005715A9">
        <w:t>)</w:t>
      </w:r>
      <w:r w:rsidR="00036A2E">
        <w:t>.</w:t>
      </w:r>
    </w:p>
    <w:p w14:paraId="1155178C" w14:textId="5F03009D" w:rsidR="00BF6B09" w:rsidRDefault="00BF6B09" w:rsidP="00BF6B09">
      <w:r>
        <w:t>The primary ef</w:t>
      </w:r>
      <w:r w:rsidR="00036A2E">
        <w:t>ficacy analysis is follows:</w:t>
      </w:r>
    </w:p>
    <w:p w14:paraId="745A4868" w14:textId="712EEEC6" w:rsidR="00036A2E" w:rsidRDefault="00BF6B09" w:rsidP="00BF6B09">
      <w:pPr>
        <w:pStyle w:val="ListBullet"/>
      </w:pPr>
      <w:r>
        <w:t>3 year data: There were a total of 20 pregnancies over the 3 year study (n</w:t>
      </w:r>
      <w:r w:rsidR="005715A9">
        <w:t xml:space="preserve"> </w:t>
      </w:r>
      <w:r>
        <w:t>= 10 in each group). The unadjusted P</w:t>
      </w:r>
      <w:r w:rsidR="006C2E58">
        <w:t>earl I</w:t>
      </w:r>
      <w:r w:rsidR="00036A2E">
        <w:t>ndex</w:t>
      </w:r>
      <w:r>
        <w:t xml:space="preserve"> for the first year was 0.41 (95% CI: 0.13, 0.96) for the LCS12 group and 0.16 (95% CI: 0.02, 0</w:t>
      </w:r>
      <w:r w:rsidR="006514DC">
        <w:t xml:space="preserve">.58) for the LCS16 group. The 3 </w:t>
      </w:r>
      <w:r w:rsidR="006C2E58">
        <w:t>year unadjusted Pearl Index</w:t>
      </w:r>
      <w:r>
        <w:t xml:space="preserve"> was 0.33 (95% CI: 0.16, 0.6</w:t>
      </w:r>
      <w:r w:rsidR="006C2E58">
        <w:t>0) for LCS12, and 0.31 (95% CI: </w:t>
      </w:r>
      <w:r>
        <w:t>0.15, 0.57) for LCS16.</w:t>
      </w:r>
    </w:p>
    <w:p w14:paraId="17060CE9" w14:textId="06CF973E" w:rsidR="00036A2E" w:rsidRDefault="00BF6B09" w:rsidP="00BF6B09">
      <w:pPr>
        <w:pStyle w:val="ListBullet"/>
      </w:pPr>
      <w:r>
        <w:t>The cumulative failure rate</w:t>
      </w:r>
      <w:r w:rsidR="006514DC">
        <w:t xml:space="preserve"> over 3 years for all women (18 to </w:t>
      </w:r>
      <w:r>
        <w:t xml:space="preserve">35 years) was 0.009 (95% CI: 0.005, 0.017) in the LCS12 group and 0.010 (95% CI: 0.005, 0.018) in the LCS16 group. </w:t>
      </w:r>
      <w:r w:rsidR="00036A2E">
        <w:t xml:space="preserve">See the AusPAR/Attachment 2 for the previous </w:t>
      </w:r>
      <w:proofErr w:type="spellStart"/>
      <w:r w:rsidR="00036A2E">
        <w:t>Jaydess</w:t>
      </w:r>
      <w:proofErr w:type="spellEnd"/>
      <w:r w:rsidR="00036A2E">
        <w:t xml:space="preserve"> submission for details.</w:t>
      </w:r>
      <w:r w:rsidR="005A66B0" w:rsidRPr="005A66B0">
        <w:rPr>
          <w:vertAlign w:val="superscript"/>
        </w:rPr>
        <w:fldChar w:fldCharType="begin"/>
      </w:r>
      <w:r w:rsidR="005A66B0" w:rsidRPr="005A66B0">
        <w:rPr>
          <w:vertAlign w:val="superscript"/>
        </w:rPr>
        <w:instrText xml:space="preserve"> NOTEREF _Ref492462285 \h  \* MERGEFORMAT </w:instrText>
      </w:r>
      <w:r w:rsidR="005A66B0" w:rsidRPr="005A66B0">
        <w:rPr>
          <w:vertAlign w:val="superscript"/>
        </w:rPr>
      </w:r>
      <w:r w:rsidR="005A66B0" w:rsidRPr="005A66B0">
        <w:rPr>
          <w:vertAlign w:val="superscript"/>
        </w:rPr>
        <w:fldChar w:fldCharType="separate"/>
      </w:r>
      <w:r w:rsidR="009D5B6F">
        <w:rPr>
          <w:vertAlign w:val="superscript"/>
        </w:rPr>
        <w:t>5</w:t>
      </w:r>
      <w:r w:rsidR="005A66B0" w:rsidRPr="005A66B0">
        <w:rPr>
          <w:vertAlign w:val="superscript"/>
        </w:rPr>
        <w:fldChar w:fldCharType="end"/>
      </w:r>
    </w:p>
    <w:p w14:paraId="16626DD1" w14:textId="57828764" w:rsidR="00036A2E" w:rsidRDefault="006C2E58" w:rsidP="006514DC">
      <w:pPr>
        <w:pStyle w:val="ListBullet"/>
      </w:pPr>
      <w:r>
        <w:t xml:space="preserve">5 </w:t>
      </w:r>
      <w:r w:rsidR="00BF6B09">
        <w:t>year data: There were a total of 13 pregnancies observed on LCS16 treatment (n = 2 during the first year, n = 4 during the second year, n = 4 during the third year, n = 1</w:t>
      </w:r>
      <w:r w:rsidR="00036A2E">
        <w:t xml:space="preserve"> during the fourth year and n = 2 during the fifth year). Of th</w:t>
      </w:r>
      <w:r w:rsidR="006514DC">
        <w:t>e 13 pregnancies, n = 8 ectopic/</w:t>
      </w:r>
      <w:r w:rsidR="00036A2E">
        <w:t>suspected ectopic, n = 2 spontaneous abortion, n = 1 missed a</w:t>
      </w:r>
      <w:r w:rsidR="006514DC">
        <w:t>bortion and n = </w:t>
      </w:r>
      <w:r w:rsidR="00036A2E">
        <w:t>2 normal pregnancies carried to term.</w:t>
      </w:r>
    </w:p>
    <w:p w14:paraId="74663B48" w14:textId="6DDF58C2" w:rsidR="00BF6B09" w:rsidRDefault="00036A2E" w:rsidP="00036A2E">
      <w:pPr>
        <w:pStyle w:val="ListBullet"/>
      </w:pPr>
      <w:r>
        <w:t>The primary efficacy endpoint was the overall P</w:t>
      </w:r>
      <w:r w:rsidR="006C2E58">
        <w:t>earl I</w:t>
      </w:r>
      <w:r w:rsidR="006514DC">
        <w:t>ndex</w:t>
      </w:r>
      <w:r w:rsidR="005A66B0">
        <w:t>, which was 0.29 (95% CI: 0.1</w:t>
      </w:r>
      <w:r w:rsidR="006C2E58">
        <w:t>6, 0.50). The unadjusted Pearl I</w:t>
      </w:r>
      <w:r w:rsidR="005A66B0">
        <w:t>ndex</w:t>
      </w:r>
      <w:r>
        <w:t xml:space="preserve"> is all subjects treated with LCS16 as extracted from the clinical evaluation report (</w:t>
      </w:r>
      <w:r w:rsidR="005A66B0">
        <w:t xml:space="preserve">see </w:t>
      </w:r>
      <w:r>
        <w:t>Att</w:t>
      </w:r>
      <w:r w:rsidR="005A66B0">
        <w:t>ach</w:t>
      </w:r>
      <w:r w:rsidR="006C2E58">
        <w:t>ment 2), and is shown in Table 9</w:t>
      </w:r>
      <w:r>
        <w:t xml:space="preserve"> below.</w:t>
      </w:r>
    </w:p>
    <w:p w14:paraId="602147FB" w14:textId="00256F58" w:rsidR="00036A2E" w:rsidRDefault="006C2E58" w:rsidP="006514DC">
      <w:pPr>
        <w:pStyle w:val="Tabletitle0"/>
      </w:pPr>
      <w:r>
        <w:t>Table 9. Overall (accumulative) Pearl Index and Pearl I</w:t>
      </w:r>
      <w:r w:rsidR="006514DC">
        <w:t>ndex per study year</w:t>
      </w:r>
    </w:p>
    <w:p w14:paraId="08A3E75B" w14:textId="4FFA7606" w:rsidR="00036A2E" w:rsidRDefault="00036A2E" w:rsidP="00036A2E">
      <w:r w:rsidRPr="00036A2E">
        <w:rPr>
          <w:noProof/>
          <w:lang w:eastAsia="en-AU"/>
        </w:rPr>
        <w:drawing>
          <wp:inline distT="0" distB="0" distL="0" distR="0" wp14:anchorId="1B6A0A49" wp14:editId="5423D168">
            <wp:extent cx="4659868" cy="2047875"/>
            <wp:effectExtent l="0" t="0" r="7620" b="0"/>
            <wp:docPr id="6" name="Picture 6" descr="Table 9 is an image of a table showing the overall (accumulative) Pearl Index and Pearl Index per stud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lum bright="-20000" contrast="40000"/>
                      <a:extLst>
                        <a:ext uri="{28A0092B-C50C-407E-A947-70E740481C1C}">
                          <a14:useLocalDpi xmlns:a14="http://schemas.microsoft.com/office/drawing/2010/main" val="0"/>
                        </a:ext>
                      </a:extLst>
                    </a:blip>
                    <a:srcRect/>
                    <a:stretch>
                      <a:fillRect/>
                    </a:stretch>
                  </pic:blipFill>
                  <pic:spPr bwMode="auto">
                    <a:xfrm>
                      <a:off x="0" y="0"/>
                      <a:ext cx="4665899" cy="2050525"/>
                    </a:xfrm>
                    <a:prstGeom prst="rect">
                      <a:avLst/>
                    </a:prstGeom>
                    <a:noFill/>
                    <a:ln>
                      <a:noFill/>
                    </a:ln>
                  </pic:spPr>
                </pic:pic>
              </a:graphicData>
            </a:graphic>
          </wp:inline>
        </w:drawing>
      </w:r>
    </w:p>
    <w:p w14:paraId="1ACB9A46" w14:textId="1878A848" w:rsidR="006514DC" w:rsidRDefault="005719CC" w:rsidP="006514DC">
      <w:r>
        <w:t xml:space="preserve">The evaluator mentions that </w:t>
      </w:r>
      <w:r w:rsidRPr="005719CC">
        <w:rPr>
          <w:i/>
        </w:rPr>
        <w:t>‘the Year 4 and Year 5 Pear</w:t>
      </w:r>
      <w:r w:rsidR="005A66B0">
        <w:rPr>
          <w:i/>
        </w:rPr>
        <w:t>l</w:t>
      </w:r>
      <w:r w:rsidRPr="005719CC">
        <w:rPr>
          <w:i/>
        </w:rPr>
        <w:t xml:space="preserve"> indice</w:t>
      </w:r>
      <w:r w:rsidR="006514DC" w:rsidRPr="005719CC">
        <w:rPr>
          <w:i/>
        </w:rPr>
        <w:t xml:space="preserve">s were 0.15 (95% CI: 0.00, 0.85) and 0.36 (95% CI: 0.04, 1.29) respectively. The Kaplan-Meier estimate of the cumulative failure rate (unadjusted) over 5 years was 1.4 %. The cumulative failure rate over 3 years reported for subjects in the LCS16 treatment </w:t>
      </w:r>
      <w:r w:rsidRPr="005719CC">
        <w:rPr>
          <w:i/>
        </w:rPr>
        <w:t>arm was 1.0%’.</w:t>
      </w:r>
    </w:p>
    <w:p w14:paraId="0FEA33EB" w14:textId="383E5E7D" w:rsidR="006514DC" w:rsidRDefault="006514DC" w:rsidP="006514DC">
      <w:r>
        <w:t xml:space="preserve">Efficacy by subgroup analysis is discussed </w:t>
      </w:r>
      <w:r w:rsidR="006C2E58">
        <w:t>in Attachment 2. Here, Pearl I</w:t>
      </w:r>
      <w:r w:rsidR="005719CC">
        <w:t>ndices</w:t>
      </w:r>
      <w:r>
        <w:t xml:space="preserve"> were stratified by age, parity and BMI. The confidence intervals were wide, possibly reflected small sample size and hence, did</w:t>
      </w:r>
      <w:r w:rsidR="005719CC">
        <w:t xml:space="preserve"> not reveal conclusive results.</w:t>
      </w:r>
    </w:p>
    <w:p w14:paraId="26D67299" w14:textId="6E452180" w:rsidR="006514DC" w:rsidRDefault="006514DC" w:rsidP="006514DC">
      <w:r w:rsidRPr="00FD5DB7">
        <w:rPr>
          <w:i/>
        </w:rPr>
        <w:t>Other efficacy analysis</w:t>
      </w:r>
      <w:r>
        <w:t xml:space="preserve">: Results of other efficacy outcomes are included </w:t>
      </w:r>
      <w:r w:rsidR="00FD5DB7">
        <w:t>in Attachment 2.</w:t>
      </w:r>
      <w:r>
        <w:t xml:space="preserve"> Of note, </w:t>
      </w:r>
      <w:r w:rsidR="00FD5DB7">
        <w:t xml:space="preserve">bleeding profile: 3 year data, </w:t>
      </w:r>
      <w:r>
        <w:t>for both treatment groups, there was an increase in the number of subjects with amenorrhoea, infrequent bleeding and normal bleeding, and a reduction in the number of subjects with frequent, irre</w:t>
      </w:r>
      <w:r w:rsidR="005A66B0">
        <w:t>gular and prolonged bleeding (s</w:t>
      </w:r>
      <w:r>
        <w:t xml:space="preserve">ee </w:t>
      </w:r>
      <w:r w:rsidR="00FD5DB7">
        <w:t>the AusPAR/Attachment 2 for the previous Jaydess submission for further details</w:t>
      </w:r>
      <w:r w:rsidR="005A66B0">
        <w:t>).</w:t>
      </w:r>
      <w:r w:rsidR="005A66B0" w:rsidRPr="005A66B0">
        <w:rPr>
          <w:vertAlign w:val="superscript"/>
        </w:rPr>
        <w:fldChar w:fldCharType="begin"/>
      </w:r>
      <w:r w:rsidR="005A66B0" w:rsidRPr="005A66B0">
        <w:rPr>
          <w:vertAlign w:val="superscript"/>
        </w:rPr>
        <w:instrText xml:space="preserve"> NOTEREF _Ref492462285 \h </w:instrText>
      </w:r>
      <w:r w:rsidR="005A66B0">
        <w:rPr>
          <w:vertAlign w:val="superscript"/>
        </w:rPr>
        <w:instrText xml:space="preserve"> \* MERGEFORMAT </w:instrText>
      </w:r>
      <w:r w:rsidR="005A66B0" w:rsidRPr="005A66B0">
        <w:rPr>
          <w:vertAlign w:val="superscript"/>
        </w:rPr>
      </w:r>
      <w:r w:rsidR="005A66B0" w:rsidRPr="005A66B0">
        <w:rPr>
          <w:vertAlign w:val="superscript"/>
        </w:rPr>
        <w:fldChar w:fldCharType="separate"/>
      </w:r>
      <w:r w:rsidR="009D5B6F">
        <w:rPr>
          <w:vertAlign w:val="superscript"/>
        </w:rPr>
        <w:t>5</w:t>
      </w:r>
      <w:r w:rsidR="005A66B0" w:rsidRPr="005A66B0">
        <w:rPr>
          <w:vertAlign w:val="superscript"/>
        </w:rPr>
        <w:fldChar w:fldCharType="end"/>
      </w:r>
      <w:r>
        <w:t xml:space="preserve"> It is also stated that, over the course of the study, there was a reduction in prolonged bleeding, </w:t>
      </w:r>
      <w:r>
        <w:lastRenderedPageBreak/>
        <w:t>frequent bleeding and irregular bleeding whilst an increase in amenorrhoea and infrequent bleeding was observed.</w:t>
      </w:r>
    </w:p>
    <w:p w14:paraId="0BF72237" w14:textId="3BFC430A" w:rsidR="006514DC" w:rsidRDefault="006514DC" w:rsidP="006514DC">
      <w:r w:rsidRPr="00FD5DB7">
        <w:rPr>
          <w:i/>
        </w:rPr>
        <w:t>Return to fertility</w:t>
      </w:r>
      <w:r>
        <w:t>: Follow-up information is provided for 163 of the 179 women in the LCS16 treatment arm who discontinued due to wish for pregnancy (n = 62 in the extension phase). Of these 163 women, 116 (71.2%) became preg</w:t>
      </w:r>
      <w:r w:rsidR="00FD5DB7">
        <w:t>nant within the 12 month follow</w:t>
      </w:r>
      <w:r w:rsidR="00FD5DB7">
        <w:noBreakHyphen/>
      </w:r>
      <w:r>
        <w:t>up period, with 61 (37.4%) conceiving within 3 months following LCS16 removal.</w:t>
      </w:r>
    </w:p>
    <w:p w14:paraId="22E84829" w14:textId="591FC942" w:rsidR="006514DC" w:rsidRDefault="00FD5DB7" w:rsidP="00FD5DB7">
      <w:pPr>
        <w:pStyle w:val="Heading5"/>
      </w:pPr>
      <w:r>
        <w:t>Other efficacy studies</w:t>
      </w:r>
    </w:p>
    <w:p w14:paraId="44251EDE" w14:textId="50F81F56" w:rsidR="006514DC" w:rsidRDefault="006514DC" w:rsidP="00B36FB9">
      <w:pPr>
        <w:pStyle w:val="ListBullet"/>
      </w:pPr>
      <w:r>
        <w:t>Study A46796</w:t>
      </w:r>
      <w:r w:rsidR="00FD5DB7">
        <w:t xml:space="preserve"> (see AusPAR/Attachment 2 for the previous Jaydess submission for further details).</w:t>
      </w:r>
      <w:r w:rsidR="005A66B0" w:rsidRPr="005A66B0">
        <w:rPr>
          <w:vertAlign w:val="superscript"/>
        </w:rPr>
        <w:fldChar w:fldCharType="begin"/>
      </w:r>
      <w:r w:rsidR="005A66B0" w:rsidRPr="005A66B0">
        <w:rPr>
          <w:vertAlign w:val="superscript"/>
        </w:rPr>
        <w:instrText xml:space="preserve"> NOTEREF _Ref492462285 \h </w:instrText>
      </w:r>
      <w:r w:rsidR="005A66B0">
        <w:rPr>
          <w:vertAlign w:val="superscript"/>
        </w:rPr>
        <w:instrText xml:space="preserve"> \* MERGEFORMAT </w:instrText>
      </w:r>
      <w:r w:rsidR="005A66B0" w:rsidRPr="005A66B0">
        <w:rPr>
          <w:vertAlign w:val="superscript"/>
        </w:rPr>
      </w:r>
      <w:r w:rsidR="005A66B0" w:rsidRPr="005A66B0">
        <w:rPr>
          <w:vertAlign w:val="superscript"/>
        </w:rPr>
        <w:fldChar w:fldCharType="separate"/>
      </w:r>
      <w:r w:rsidR="009D5B6F">
        <w:rPr>
          <w:vertAlign w:val="superscript"/>
        </w:rPr>
        <w:t>5</w:t>
      </w:r>
      <w:r w:rsidR="005A66B0" w:rsidRPr="005A66B0">
        <w:rPr>
          <w:vertAlign w:val="superscript"/>
        </w:rPr>
        <w:fldChar w:fldCharType="end"/>
      </w:r>
    </w:p>
    <w:p w14:paraId="1BFB53F7" w14:textId="6772980B" w:rsidR="006514DC" w:rsidRDefault="00FD5DB7" w:rsidP="006514DC">
      <w:r>
        <w:t xml:space="preserve">This was a Phase II, multicentre, open </w:t>
      </w:r>
      <w:r w:rsidR="006514DC">
        <w:t>label, randomised, dose finding study to investigate LCS12 (n = 239) and LCS16 (n = 245) compared to Mirena (n = 254) in nulliparous and parous women in need of contraception for 3 years. There were some formulation differences also observed by the evaluator. This</w:t>
      </w:r>
      <w:r>
        <w:t xml:space="preserve"> is considered supportive data.</w:t>
      </w:r>
      <w:r w:rsidR="005A66B0">
        <w:t xml:space="preserve"> </w:t>
      </w:r>
      <w:r w:rsidR="006514DC">
        <w:t xml:space="preserve">Details are provided </w:t>
      </w:r>
      <w:r>
        <w:t>in Attachment 2.</w:t>
      </w:r>
    </w:p>
    <w:p w14:paraId="13D0F7FC" w14:textId="6F1C208C" w:rsidR="006514DC" w:rsidRDefault="006514DC" w:rsidP="006514DC">
      <w:r>
        <w:t>The unadjusted P</w:t>
      </w:r>
      <w:r w:rsidR="006C2E58">
        <w:t>earl I</w:t>
      </w:r>
      <w:r w:rsidR="00FD5DB7">
        <w:t>ndice</w:t>
      </w:r>
      <w:r>
        <w:t>s were</w:t>
      </w:r>
      <w:r w:rsidR="00FD5DB7">
        <w:t>:</w:t>
      </w:r>
      <w:r>
        <w:t xml:space="preserve"> LSC16 = 0.82 (95% CI:</w:t>
      </w:r>
      <w:r w:rsidR="00FD5DB7">
        <w:t xml:space="preserve"> 0.27, 1.92); LSC12 = 0.17 (95% </w:t>
      </w:r>
      <w:r w:rsidR="005A66B0">
        <w:t xml:space="preserve">CI: 0.00, 0.93); </w:t>
      </w:r>
      <w:r>
        <w:t>Mire</w:t>
      </w:r>
      <w:r w:rsidR="00FD5DB7">
        <w:t>na = 0.00 (95% CI: 0.00, 0.59).</w:t>
      </w:r>
    </w:p>
    <w:p w14:paraId="1A096FE1" w14:textId="6AAF3CAA" w:rsidR="006514DC" w:rsidRDefault="00FD5DB7" w:rsidP="006514DC">
      <w:r>
        <w:t>For the p</w:t>
      </w:r>
      <w:r w:rsidR="006514DC">
        <w:t xml:space="preserve">ooled analysis: </w:t>
      </w:r>
      <w:r>
        <w:t>please see Attachment 2.</w:t>
      </w:r>
    </w:p>
    <w:p w14:paraId="5F587FF6" w14:textId="49C48294" w:rsidR="006514DC" w:rsidRDefault="00FD5DB7" w:rsidP="006514DC">
      <w:r>
        <w:t>The s</w:t>
      </w:r>
      <w:r w:rsidR="006514DC">
        <w:t>ponsor has provided a pooled analysis for LCS16 and LCS12 from the Phase II Study A46796 and the Phase III LCS16 efficacy study to provide additional information regarding P</w:t>
      </w:r>
      <w:r w:rsidR="006C2E58">
        <w:t>earl I</w:t>
      </w:r>
      <w:r>
        <w:t>ndex</w:t>
      </w:r>
      <w:r w:rsidR="006514DC">
        <w:t xml:space="preserve"> calculations, bleeding data and IUS location within the uterine cavity. The evaluator has not considered this analysis further as the Phase II study is essentially of different design and also used a formulation that d</w:t>
      </w:r>
      <w:r>
        <w:t>iffered from the pivotal study.</w:t>
      </w:r>
    </w:p>
    <w:p w14:paraId="6131E06C" w14:textId="2F662B00" w:rsidR="006514DC" w:rsidRPr="00FD5DB7" w:rsidRDefault="00FD5DB7" w:rsidP="00FD5DB7">
      <w:pPr>
        <w:pStyle w:val="Heading5"/>
      </w:pPr>
      <w:r>
        <w:t xml:space="preserve">Clinical evaluator’s </w:t>
      </w:r>
      <w:r w:rsidR="006C2E58">
        <w:t>overall conclusions on efficacy</w:t>
      </w:r>
    </w:p>
    <w:p w14:paraId="160CE778" w14:textId="3669BE4C" w:rsidR="006514DC" w:rsidRPr="0017482F" w:rsidRDefault="006514DC" w:rsidP="006514DC">
      <w:r>
        <w:t xml:space="preserve">The </w:t>
      </w:r>
      <w:r w:rsidR="00FD5DB7">
        <w:t xml:space="preserve">clinical </w:t>
      </w:r>
      <w:r>
        <w:t>evaluator</w:t>
      </w:r>
      <w:r w:rsidR="0017482F">
        <w:t xml:space="preserve"> </w:t>
      </w:r>
      <w:r w:rsidR="00FD5DB7" w:rsidRPr="00FD5DB7">
        <w:rPr>
          <w:i/>
        </w:rPr>
        <w:t>‘</w:t>
      </w:r>
      <w:r w:rsidRPr="00FD5DB7">
        <w:rPr>
          <w:i/>
        </w:rPr>
        <w:t>considers the study population in the pivotal study to represe</w:t>
      </w:r>
      <w:r w:rsidR="006C2E58">
        <w:rPr>
          <w:i/>
        </w:rPr>
        <w:t>nt the target population. The Pearl Index</w:t>
      </w:r>
      <w:r w:rsidRPr="00FD5DB7">
        <w:rPr>
          <w:i/>
        </w:rPr>
        <w:t xml:space="preserve"> ranged from</w:t>
      </w:r>
      <w:r w:rsidR="00FD5DB7" w:rsidRPr="00FD5DB7">
        <w:rPr>
          <w:i/>
        </w:rPr>
        <w:t xml:space="preserve"> 0.1</w:t>
      </w:r>
      <w:r w:rsidR="006C2E58">
        <w:rPr>
          <w:i/>
        </w:rPr>
        <w:t>5 to 0.45 with time. The Pearl I</w:t>
      </w:r>
      <w:r w:rsidR="00FD5DB7" w:rsidRPr="00FD5DB7">
        <w:rPr>
          <w:i/>
        </w:rPr>
        <w:t>ndices</w:t>
      </w:r>
      <w:r w:rsidRPr="00FD5DB7">
        <w:rPr>
          <w:i/>
        </w:rPr>
        <w:t xml:space="preserve"> met the EMA guidelines efficacy requirement that the difference between th</w:t>
      </w:r>
      <w:r w:rsidR="006C2E58">
        <w:rPr>
          <w:i/>
        </w:rPr>
        <w:t>e point estimate for the Pearl I</w:t>
      </w:r>
      <w:r w:rsidRPr="00FD5DB7">
        <w:rPr>
          <w:i/>
        </w:rPr>
        <w:t>ndex and the upper 95% CI limit should not exceed 1. The cumulative failure r</w:t>
      </w:r>
      <w:r w:rsidR="00FD5DB7" w:rsidRPr="00FD5DB7">
        <w:rPr>
          <w:i/>
        </w:rPr>
        <w:t>ate over the 5 years was 1.4%</w:t>
      </w:r>
      <w:r w:rsidR="00FD5DB7">
        <w:rPr>
          <w:i/>
        </w:rPr>
        <w:t>’</w:t>
      </w:r>
      <w:r w:rsidR="00FD5DB7" w:rsidRPr="00FD5DB7">
        <w:rPr>
          <w:i/>
        </w:rPr>
        <w:t>.</w:t>
      </w:r>
    </w:p>
    <w:p w14:paraId="568E91CE" w14:textId="3544670B" w:rsidR="006514DC" w:rsidRDefault="00FD5DB7" w:rsidP="006514DC">
      <w:r w:rsidRPr="00FD5DB7">
        <w:t>Thus,</w:t>
      </w:r>
      <w:r w:rsidR="006514DC" w:rsidRPr="00FD5DB7">
        <w:t xml:space="preserve"> proof of efficacy was demonstrated.</w:t>
      </w:r>
    </w:p>
    <w:p w14:paraId="1C31E3DF" w14:textId="2AA50D10" w:rsidR="00FD5DB7" w:rsidRPr="00FD5DB7" w:rsidRDefault="00FD5DB7" w:rsidP="00FD5DB7">
      <w:pPr>
        <w:pStyle w:val="Heading4"/>
      </w:pPr>
      <w:r>
        <w:t>Safety</w:t>
      </w:r>
    </w:p>
    <w:p w14:paraId="02BA47BF" w14:textId="44DDC127" w:rsidR="00FD5DB7" w:rsidRDefault="00FD5DB7" w:rsidP="00FD5DB7">
      <w:r>
        <w:t>There were 1432 subjects exposed to LCS12 and 1452 exposed to LCS16 at 3 years.</w:t>
      </w:r>
    </w:p>
    <w:p w14:paraId="3F5F2AE6" w14:textId="15B7B8B6" w:rsidR="00FD5DB7" w:rsidRDefault="00FD5DB7" w:rsidP="00FD5DB7">
      <w:r>
        <w:t>Successful insertion at first attempt was reported in 96% of study participants.</w:t>
      </w:r>
    </w:p>
    <w:p w14:paraId="5D4E385F" w14:textId="28FE16AC" w:rsidR="00FD5DB7" w:rsidRDefault="0017482F" w:rsidP="00FD5DB7">
      <w:r>
        <w:t>84% reported AEs</w:t>
      </w:r>
      <w:r w:rsidR="00FD5DB7">
        <w:t>, generally the incidence was similar between devices; the incidence reduced with time.</w:t>
      </w:r>
    </w:p>
    <w:p w14:paraId="43E2F9C3" w14:textId="02AD6AE5" w:rsidR="00FD5DB7" w:rsidRDefault="00FD5DB7" w:rsidP="00FD5DB7">
      <w:r>
        <w:t>Though the incidence of adverse events was similar between groups, the exception was ovarian cysts, which were 13.0% versus 20.9% in the LCS12 and LCS16 groups res</w:t>
      </w:r>
      <w:r w:rsidR="0017482F">
        <w:t>pectively. Other AEs</w:t>
      </w:r>
      <w:r>
        <w:t xml:space="preserve"> of special interests did not reveal any clinically significant increase in the LCS16 group. Report PH-37274 deals with the uncontrolled extension study of Study A52238 on 707 subjects using LCS16. Whilst these data have limited significance due to the nature of being uncontrolled in design, there were no untoward concerns identified in relation to safety.</w:t>
      </w:r>
    </w:p>
    <w:p w14:paraId="5F2E63FC" w14:textId="53371129" w:rsidR="00FD5DB7" w:rsidRDefault="0017482F" w:rsidP="00FD5DB7">
      <w:r>
        <w:t>The Phase II Study A46796, (P</w:t>
      </w:r>
      <w:r w:rsidR="00FD5DB7">
        <w:t>rotocol 308901) where LCS 12 (n = 239), LCS 16 (n = 245) and Mirena (n = 254) subjects were studied for three years, supported the safety findings of the pivotal study.</w:t>
      </w:r>
    </w:p>
    <w:p w14:paraId="57F06465" w14:textId="391CF9C2" w:rsidR="00FD5DB7" w:rsidRDefault="00FD5DB7" w:rsidP="00FD5DB7">
      <w:r>
        <w:lastRenderedPageBreak/>
        <w:t>No decrease was seen in mean bone mineral density measurements, taken in a subset of 205 subjects at lumbar spine and total hip at baseline and at 3 annual visits.</w:t>
      </w:r>
    </w:p>
    <w:p w14:paraId="3D1E04E4" w14:textId="068C132F" w:rsidR="00FD5DB7" w:rsidRDefault="00FD5DB7" w:rsidP="00FD5DB7">
      <w:r>
        <w:rPr>
          <w:i/>
        </w:rPr>
        <w:t>Silver ion in pharmacokinetic</w:t>
      </w:r>
      <w:r w:rsidRPr="00FD5DB7">
        <w:rPr>
          <w:i/>
        </w:rPr>
        <w:t xml:space="preserve"> analysis</w:t>
      </w:r>
      <w:r>
        <w:t>: This was taken from the previous J</w:t>
      </w:r>
      <w:r w:rsidR="0017482F">
        <w:t xml:space="preserve">aydess submission (see the </w:t>
      </w:r>
      <w:proofErr w:type="spellStart"/>
      <w:r w:rsidR="0017482F">
        <w:t>Jaydess</w:t>
      </w:r>
      <w:proofErr w:type="spellEnd"/>
      <w:r w:rsidR="0017482F">
        <w:t xml:space="preserve"> </w:t>
      </w:r>
      <w:proofErr w:type="spellStart"/>
      <w:r>
        <w:t>AusPAR</w:t>
      </w:r>
      <w:proofErr w:type="spellEnd"/>
      <w:r>
        <w:t>/Attachment 2 for details).</w:t>
      </w:r>
      <w:r w:rsidR="0017482F" w:rsidRPr="0017482F">
        <w:rPr>
          <w:vertAlign w:val="superscript"/>
        </w:rPr>
        <w:fldChar w:fldCharType="begin"/>
      </w:r>
      <w:r w:rsidR="0017482F" w:rsidRPr="0017482F">
        <w:rPr>
          <w:vertAlign w:val="superscript"/>
        </w:rPr>
        <w:instrText xml:space="preserve"> NOTEREF _Ref492462285 \h </w:instrText>
      </w:r>
      <w:r w:rsidR="0017482F">
        <w:rPr>
          <w:vertAlign w:val="superscript"/>
        </w:rPr>
        <w:instrText xml:space="preserve"> \* MERGEFORMAT </w:instrText>
      </w:r>
      <w:r w:rsidR="0017482F" w:rsidRPr="0017482F">
        <w:rPr>
          <w:vertAlign w:val="superscript"/>
        </w:rPr>
      </w:r>
      <w:r w:rsidR="0017482F" w:rsidRPr="0017482F">
        <w:rPr>
          <w:vertAlign w:val="superscript"/>
        </w:rPr>
        <w:fldChar w:fldCharType="separate"/>
      </w:r>
      <w:r w:rsidR="009D5B6F">
        <w:rPr>
          <w:vertAlign w:val="superscript"/>
        </w:rPr>
        <w:t>5</w:t>
      </w:r>
      <w:r w:rsidR="0017482F" w:rsidRPr="0017482F">
        <w:rPr>
          <w:vertAlign w:val="superscript"/>
        </w:rPr>
        <w:fldChar w:fldCharType="end"/>
      </w:r>
      <w:r>
        <w:t xml:space="preserve"> </w:t>
      </w:r>
      <w:r w:rsidRPr="00FD5DB7">
        <w:rPr>
          <w:i/>
        </w:rPr>
        <w:t xml:space="preserve">‘In Study A52238 a subset (n = 12) had serum silver concentrations determined prior to and during treatment; no increases were detected with all concentrations except one pre dose measurement below </w:t>
      </w:r>
      <w:r w:rsidR="0017482F">
        <w:t>[the lower limit of quantification]</w:t>
      </w:r>
      <w:r w:rsidR="0017482F">
        <w:rPr>
          <w:i/>
        </w:rPr>
        <w:t xml:space="preserve"> (</w:t>
      </w:r>
      <w:r w:rsidRPr="00FD5DB7">
        <w:rPr>
          <w:i/>
        </w:rPr>
        <w:t>LLOQ</w:t>
      </w:r>
      <w:r w:rsidR="0017482F">
        <w:rPr>
          <w:i/>
        </w:rPr>
        <w:t>)</w:t>
      </w:r>
      <w:r w:rsidRPr="00FD5DB7">
        <w:rPr>
          <w:i/>
        </w:rPr>
        <w:t xml:space="preserve"> of the bioanalytical method, 1 g/mL; this LLOQ is within the range measured in populations not exposed to occupational silver, 0.072 to 1.</w:t>
      </w:r>
      <w:r w:rsidR="0017482F">
        <w:rPr>
          <w:i/>
        </w:rPr>
        <w:t>4 </w:t>
      </w:r>
      <w:r w:rsidRPr="00FD5DB7">
        <w:rPr>
          <w:i/>
        </w:rPr>
        <w:t>g/mL’</w:t>
      </w:r>
      <w:r>
        <w:t>. Similar results would be expected for LCS16.</w:t>
      </w:r>
    </w:p>
    <w:p w14:paraId="3782A109" w14:textId="231D319A" w:rsidR="00FD5DB7" w:rsidRDefault="00FD5DB7" w:rsidP="00FD5DB7">
      <w:pPr>
        <w:pStyle w:val="Heading5"/>
      </w:pPr>
      <w:r>
        <w:t>Clinical evaluator’s overall safety conclusions</w:t>
      </w:r>
    </w:p>
    <w:p w14:paraId="27F8FE91" w14:textId="306D213D" w:rsidR="00FD5DB7" w:rsidRDefault="00FD5DB7" w:rsidP="00FD5DB7">
      <w:r>
        <w:t>Overall, the safety of the LCS16 appears acceptable.</w:t>
      </w:r>
    </w:p>
    <w:p w14:paraId="4BD6E35D" w14:textId="5375BAD0" w:rsidR="00FD5DB7" w:rsidRDefault="00FD5DB7" w:rsidP="00FD5DB7">
      <w:r>
        <w:t>The safety profile is similar to that observed with the registered Jaydess, except for ovarian cysts which were predictably higher.</w:t>
      </w:r>
    </w:p>
    <w:p w14:paraId="668CA962" w14:textId="111268CE" w:rsidR="00FD5DB7" w:rsidRDefault="00FD5DB7" w:rsidP="00FD5DB7">
      <w:pPr>
        <w:pStyle w:val="Heading4"/>
      </w:pPr>
      <w:r>
        <w:t>Clinical evaluator’s risk-benefit assessment</w:t>
      </w:r>
    </w:p>
    <w:p w14:paraId="3B11386D" w14:textId="068106FF" w:rsidR="00FD5DB7" w:rsidRDefault="00FD5DB7" w:rsidP="00FD5DB7">
      <w:r w:rsidRPr="00FD5DB7">
        <w:rPr>
          <w:i/>
        </w:rPr>
        <w:t>Overall benefits</w:t>
      </w:r>
      <w:r>
        <w:t>: The evaluator lists e</w:t>
      </w:r>
      <w:r w:rsidR="006C2E58">
        <w:t>ffective contraception over 5</w:t>
      </w:r>
      <w:r>
        <w:t xml:space="preserve"> years, daily lower release rates of levonorgestrel compared with Mirena, a trend towards infrequent bleeding over five years and a lower systemic exposure to progesterone compared to oral products as benefits.</w:t>
      </w:r>
    </w:p>
    <w:p w14:paraId="1EAE8C89" w14:textId="6EE629EA" w:rsidR="00FD5DB7" w:rsidRDefault="00FD5DB7" w:rsidP="00FD5DB7">
      <w:r w:rsidRPr="00FD5DB7">
        <w:rPr>
          <w:i/>
        </w:rPr>
        <w:t>Overall risks</w:t>
      </w:r>
      <w:r>
        <w:t>: The risk assessment is found in Attachment 2. The risks that are unknown are: efficacy in women with BMI ≥ 30 kg/m</w:t>
      </w:r>
      <w:r w:rsidRPr="00FD5DB7">
        <w:rPr>
          <w:vertAlign w:val="superscript"/>
        </w:rPr>
        <w:t>2</w:t>
      </w:r>
      <w:r>
        <w:t>; and the sa</w:t>
      </w:r>
      <w:r w:rsidR="0017482F">
        <w:t xml:space="preserve">fety in MRI. Known risks of levonorgestrel </w:t>
      </w:r>
      <w:r>
        <w:t xml:space="preserve">IUS are unplanned pregnancy; ectopic pregnancy, expulsion, uterine </w:t>
      </w:r>
      <w:r w:rsidR="00721D65">
        <w:t>perforation</w:t>
      </w:r>
      <w:r>
        <w:t xml:space="preserve">; ovarian cyst; pelvic inflammatory disease; pain on insertion; changes in bleeding </w:t>
      </w:r>
      <w:r w:rsidR="002916DF">
        <w:t xml:space="preserve">pattern and </w:t>
      </w:r>
      <w:r>
        <w:t>progesterone related effects. These risks are satisfactorily addressed in the draft PI document.</w:t>
      </w:r>
    </w:p>
    <w:p w14:paraId="18F2F954" w14:textId="7004CDE4" w:rsidR="00FD5DB7" w:rsidRDefault="00FD5DB7" w:rsidP="00FD5DB7">
      <w:r w:rsidRPr="00FD5DB7">
        <w:rPr>
          <w:i/>
        </w:rPr>
        <w:t>Overall risk benefit assessment</w:t>
      </w:r>
      <w:r>
        <w:t>: This was deemed favourable.</w:t>
      </w:r>
    </w:p>
    <w:p w14:paraId="035BA4A2" w14:textId="03345406" w:rsidR="00FD5DB7" w:rsidRDefault="00FD5DB7" w:rsidP="00FD5DB7">
      <w:pPr>
        <w:pStyle w:val="Heading3"/>
      </w:pPr>
      <w:bookmarkStart w:id="103" w:name="_Toc499040560"/>
      <w:r>
        <w:t>Risk management plan</w:t>
      </w:r>
      <w:bookmarkEnd w:id="103"/>
    </w:p>
    <w:p w14:paraId="098820BB" w14:textId="793EEFEE" w:rsidR="002916DF" w:rsidRDefault="002916DF" w:rsidP="002916DF">
      <w:r>
        <w:t>A summary of the identified safety concerns along with pharmacovigilance and risk minimisation acti</w:t>
      </w:r>
      <w:r w:rsidR="006C2E58">
        <w:t>vities is shown below in Table 10</w:t>
      </w:r>
      <w:r>
        <w:t>.</w:t>
      </w:r>
    </w:p>
    <w:p w14:paraId="223FC234" w14:textId="7125DBFC" w:rsidR="002916DF" w:rsidRPr="002916DF" w:rsidRDefault="006C2E58" w:rsidP="002916DF">
      <w:pPr>
        <w:pStyle w:val="Tabletitle0"/>
      </w:pPr>
      <w:r>
        <w:t>Table 10</w:t>
      </w:r>
      <w:r w:rsidR="002916DF">
        <w:t>. Summary of safety concerns and related pharmacovigilance/risk minimisation activities</w:t>
      </w:r>
    </w:p>
    <w:tbl>
      <w:tblPr>
        <w:tblStyle w:val="TableTGAblue"/>
        <w:tblW w:w="9464" w:type="dxa"/>
        <w:tblLayout w:type="fixed"/>
        <w:tblLook w:val="04A0" w:firstRow="1" w:lastRow="0" w:firstColumn="1" w:lastColumn="0" w:noHBand="0" w:noVBand="1"/>
        <w:tblDescription w:val="Table 10. Summary of safety concerns and related pharmacovigilance/risk minimisation activities"/>
      </w:tblPr>
      <w:tblGrid>
        <w:gridCol w:w="1526"/>
        <w:gridCol w:w="2835"/>
        <w:gridCol w:w="1134"/>
        <w:gridCol w:w="1417"/>
        <w:gridCol w:w="38"/>
        <w:gridCol w:w="1134"/>
        <w:gridCol w:w="1380"/>
      </w:tblGrid>
      <w:tr w:rsidR="00FD5DB7" w:rsidRPr="00FD5DB7" w14:paraId="11DAF9F1" w14:textId="77777777" w:rsidTr="00B36FB9">
        <w:trPr>
          <w:cnfStyle w:val="100000000000" w:firstRow="1" w:lastRow="0" w:firstColumn="0" w:lastColumn="0" w:oddVBand="0" w:evenVBand="0" w:oddHBand="0" w:evenHBand="0" w:firstRowFirstColumn="0" w:firstRowLastColumn="0" w:lastRowFirstColumn="0" w:lastRowLastColumn="0"/>
          <w:cantSplit/>
        </w:trPr>
        <w:tc>
          <w:tcPr>
            <w:tcW w:w="4361" w:type="dxa"/>
            <w:gridSpan w:val="2"/>
            <w:vMerge w:val="restart"/>
            <w:hideMark/>
          </w:tcPr>
          <w:p w14:paraId="3857FC02" w14:textId="77777777" w:rsidR="00FD5DB7" w:rsidRPr="00FD5DB7" w:rsidRDefault="00FD5DB7" w:rsidP="00FD5DB7">
            <w:pPr>
              <w:ind w:left="0"/>
              <w:rPr>
                <w:sz w:val="20"/>
              </w:rPr>
            </w:pPr>
            <w:r w:rsidRPr="005848AD">
              <w:t>Summary of safety concerns</w:t>
            </w:r>
          </w:p>
        </w:tc>
        <w:tc>
          <w:tcPr>
            <w:tcW w:w="2551" w:type="dxa"/>
            <w:gridSpan w:val="2"/>
            <w:hideMark/>
          </w:tcPr>
          <w:p w14:paraId="226BB26B" w14:textId="77777777" w:rsidR="00FD5DB7" w:rsidRPr="005848AD" w:rsidRDefault="00FD5DB7" w:rsidP="00FD5DB7">
            <w:pPr>
              <w:ind w:left="0"/>
            </w:pPr>
            <w:r w:rsidRPr="005848AD">
              <w:t>Pharmacovigilance</w:t>
            </w:r>
          </w:p>
        </w:tc>
        <w:tc>
          <w:tcPr>
            <w:tcW w:w="2552" w:type="dxa"/>
            <w:gridSpan w:val="3"/>
            <w:hideMark/>
          </w:tcPr>
          <w:p w14:paraId="18A8769C" w14:textId="29DE9986" w:rsidR="00FD5DB7" w:rsidRPr="005848AD" w:rsidRDefault="006C2E58" w:rsidP="00FD5DB7">
            <w:pPr>
              <w:ind w:left="0"/>
            </w:pPr>
            <w:r>
              <w:t>Risk m</w:t>
            </w:r>
            <w:r w:rsidR="00FD5DB7" w:rsidRPr="005848AD">
              <w:t>inimisation</w:t>
            </w:r>
          </w:p>
        </w:tc>
      </w:tr>
      <w:tr w:rsidR="00FD5DB7" w:rsidRPr="00FD5DB7" w14:paraId="65227DE4" w14:textId="77777777" w:rsidTr="00B36FB9">
        <w:trPr>
          <w:cantSplit/>
        </w:trPr>
        <w:tc>
          <w:tcPr>
            <w:tcW w:w="4361" w:type="dxa"/>
            <w:gridSpan w:val="2"/>
            <w:vMerge/>
            <w:hideMark/>
          </w:tcPr>
          <w:p w14:paraId="18B36008" w14:textId="77777777" w:rsidR="00FD5DB7" w:rsidRPr="00FD5DB7" w:rsidRDefault="00FD5DB7" w:rsidP="00FD5DB7">
            <w:pPr>
              <w:ind w:left="0"/>
              <w:rPr>
                <w:sz w:val="20"/>
              </w:rPr>
            </w:pPr>
          </w:p>
        </w:tc>
        <w:tc>
          <w:tcPr>
            <w:tcW w:w="1134" w:type="dxa"/>
            <w:hideMark/>
          </w:tcPr>
          <w:p w14:paraId="3477BF57" w14:textId="77777777" w:rsidR="00FD5DB7" w:rsidRPr="00FD5DB7" w:rsidRDefault="00FD5DB7" w:rsidP="00FD5DB7">
            <w:pPr>
              <w:ind w:left="0"/>
              <w:rPr>
                <w:sz w:val="20"/>
              </w:rPr>
            </w:pPr>
            <w:r w:rsidRPr="00FD5DB7">
              <w:rPr>
                <w:sz w:val="20"/>
              </w:rPr>
              <w:t>Routine</w:t>
            </w:r>
          </w:p>
        </w:tc>
        <w:tc>
          <w:tcPr>
            <w:tcW w:w="1455" w:type="dxa"/>
            <w:gridSpan w:val="2"/>
            <w:hideMark/>
          </w:tcPr>
          <w:p w14:paraId="70F43B6D" w14:textId="77777777" w:rsidR="00FD5DB7" w:rsidRPr="00FD5DB7" w:rsidRDefault="00FD5DB7" w:rsidP="00FD5DB7">
            <w:pPr>
              <w:ind w:left="0"/>
              <w:rPr>
                <w:sz w:val="20"/>
              </w:rPr>
            </w:pPr>
            <w:r w:rsidRPr="00FD5DB7">
              <w:rPr>
                <w:sz w:val="20"/>
              </w:rPr>
              <w:t>Additional</w:t>
            </w:r>
          </w:p>
        </w:tc>
        <w:tc>
          <w:tcPr>
            <w:tcW w:w="1134" w:type="dxa"/>
            <w:hideMark/>
          </w:tcPr>
          <w:p w14:paraId="6498C818" w14:textId="77777777" w:rsidR="00FD5DB7" w:rsidRPr="00FD5DB7" w:rsidRDefault="00FD5DB7" w:rsidP="00FD5DB7">
            <w:pPr>
              <w:ind w:left="0"/>
              <w:rPr>
                <w:sz w:val="20"/>
              </w:rPr>
            </w:pPr>
            <w:r w:rsidRPr="00FD5DB7">
              <w:rPr>
                <w:sz w:val="20"/>
              </w:rPr>
              <w:t>Routine</w:t>
            </w:r>
          </w:p>
        </w:tc>
        <w:tc>
          <w:tcPr>
            <w:tcW w:w="1380" w:type="dxa"/>
            <w:hideMark/>
          </w:tcPr>
          <w:p w14:paraId="54413887" w14:textId="77777777" w:rsidR="00FD5DB7" w:rsidRPr="00FD5DB7" w:rsidRDefault="00FD5DB7" w:rsidP="00FD5DB7">
            <w:pPr>
              <w:ind w:left="0"/>
              <w:rPr>
                <w:sz w:val="20"/>
              </w:rPr>
            </w:pPr>
            <w:r w:rsidRPr="00FD5DB7">
              <w:rPr>
                <w:sz w:val="20"/>
              </w:rPr>
              <w:t>Additional</w:t>
            </w:r>
          </w:p>
        </w:tc>
      </w:tr>
      <w:tr w:rsidR="00FD5DB7" w:rsidRPr="00FD5DB7" w14:paraId="53D00345" w14:textId="77777777" w:rsidTr="00B36FB9">
        <w:trPr>
          <w:trHeight w:val="137"/>
        </w:trPr>
        <w:tc>
          <w:tcPr>
            <w:tcW w:w="1526" w:type="dxa"/>
            <w:vMerge w:val="restart"/>
            <w:hideMark/>
          </w:tcPr>
          <w:p w14:paraId="77446E6A" w14:textId="77777777" w:rsidR="00FD5DB7" w:rsidRPr="005848AD" w:rsidRDefault="00FD5DB7" w:rsidP="0025789B">
            <w:pPr>
              <w:pStyle w:val="Tabletext"/>
            </w:pPr>
            <w:r w:rsidRPr="005848AD">
              <w:t>Important identified risks</w:t>
            </w:r>
          </w:p>
        </w:tc>
        <w:tc>
          <w:tcPr>
            <w:tcW w:w="2835" w:type="dxa"/>
            <w:hideMark/>
          </w:tcPr>
          <w:p w14:paraId="174CC981" w14:textId="77777777" w:rsidR="00FD5DB7" w:rsidRPr="005848AD" w:rsidRDefault="00FD5DB7" w:rsidP="0025789B">
            <w:pPr>
              <w:pStyle w:val="Tabletext"/>
            </w:pPr>
            <w:r w:rsidRPr="005848AD">
              <w:t>Pelvic inflammatory disease</w:t>
            </w:r>
          </w:p>
        </w:tc>
        <w:tc>
          <w:tcPr>
            <w:tcW w:w="1134" w:type="dxa"/>
            <w:hideMark/>
          </w:tcPr>
          <w:p w14:paraId="77DB0A0A" w14:textId="77777777" w:rsidR="00FD5DB7" w:rsidRPr="00FD5DB7" w:rsidRDefault="00FD5DB7" w:rsidP="0025789B">
            <w:pPr>
              <w:pStyle w:val="Tabletext"/>
            </w:pPr>
            <w:r w:rsidRPr="00FD5DB7">
              <w:sym w:font="Wingdings" w:char="F0FC"/>
            </w:r>
          </w:p>
        </w:tc>
        <w:tc>
          <w:tcPr>
            <w:tcW w:w="1455" w:type="dxa"/>
            <w:gridSpan w:val="2"/>
            <w:hideMark/>
          </w:tcPr>
          <w:p w14:paraId="291D19F8" w14:textId="41E5E158" w:rsidR="00FD5DB7" w:rsidRPr="00FD5DB7" w:rsidRDefault="00FD5DB7" w:rsidP="0025789B">
            <w:pPr>
              <w:pStyle w:val="Tabletext"/>
              <w:rPr>
                <w:vertAlign w:val="superscript"/>
              </w:rPr>
            </w:pPr>
            <w:r w:rsidRPr="00FD5DB7">
              <w:sym w:font="Wingdings" w:char="F0FC"/>
            </w:r>
            <w:r>
              <w:rPr>
                <w:vertAlign w:val="superscript"/>
              </w:rPr>
              <w:t>a</w:t>
            </w:r>
          </w:p>
        </w:tc>
        <w:tc>
          <w:tcPr>
            <w:tcW w:w="1134" w:type="dxa"/>
            <w:hideMark/>
          </w:tcPr>
          <w:p w14:paraId="5C7A0E24" w14:textId="77777777" w:rsidR="00FD5DB7" w:rsidRPr="00FD5DB7" w:rsidRDefault="00FD5DB7" w:rsidP="0025789B">
            <w:pPr>
              <w:pStyle w:val="Tabletext"/>
            </w:pPr>
            <w:r w:rsidRPr="00FD5DB7">
              <w:sym w:font="Wingdings" w:char="F0FC"/>
            </w:r>
          </w:p>
        </w:tc>
        <w:tc>
          <w:tcPr>
            <w:tcW w:w="1380" w:type="dxa"/>
            <w:hideMark/>
          </w:tcPr>
          <w:p w14:paraId="517D6D1E" w14:textId="6620F18E" w:rsidR="00FD5DB7" w:rsidRPr="00FD5DB7" w:rsidRDefault="00FD5DB7" w:rsidP="0025789B">
            <w:pPr>
              <w:pStyle w:val="Tabletext"/>
            </w:pPr>
          </w:p>
        </w:tc>
      </w:tr>
      <w:tr w:rsidR="00FD5DB7" w:rsidRPr="00FD5DB7" w14:paraId="5CB5C777" w14:textId="77777777" w:rsidTr="00B36FB9">
        <w:trPr>
          <w:trHeight w:val="94"/>
        </w:trPr>
        <w:tc>
          <w:tcPr>
            <w:tcW w:w="1526" w:type="dxa"/>
            <w:vMerge/>
            <w:hideMark/>
          </w:tcPr>
          <w:p w14:paraId="6E1A5311" w14:textId="77777777" w:rsidR="00FD5DB7" w:rsidRPr="005848AD" w:rsidRDefault="00FD5DB7" w:rsidP="0025789B">
            <w:pPr>
              <w:pStyle w:val="Tabletext"/>
            </w:pPr>
          </w:p>
        </w:tc>
        <w:tc>
          <w:tcPr>
            <w:tcW w:w="2835" w:type="dxa"/>
            <w:hideMark/>
          </w:tcPr>
          <w:p w14:paraId="02F1ADB0" w14:textId="77777777" w:rsidR="00FD5DB7" w:rsidRPr="005848AD" w:rsidRDefault="00FD5DB7" w:rsidP="0025789B">
            <w:pPr>
              <w:pStyle w:val="Tabletext"/>
            </w:pPr>
            <w:r w:rsidRPr="005848AD">
              <w:t>Ectopic pregnancy</w:t>
            </w:r>
          </w:p>
        </w:tc>
        <w:tc>
          <w:tcPr>
            <w:tcW w:w="1134" w:type="dxa"/>
            <w:hideMark/>
          </w:tcPr>
          <w:p w14:paraId="0CA0EBD1" w14:textId="77777777" w:rsidR="00FD5DB7" w:rsidRPr="00FD5DB7" w:rsidRDefault="00FD5DB7" w:rsidP="0025789B">
            <w:pPr>
              <w:pStyle w:val="Tabletext"/>
            </w:pPr>
            <w:r w:rsidRPr="00FD5DB7">
              <w:sym w:font="Wingdings" w:char="F0FC"/>
            </w:r>
          </w:p>
        </w:tc>
        <w:tc>
          <w:tcPr>
            <w:tcW w:w="1455" w:type="dxa"/>
            <w:gridSpan w:val="2"/>
            <w:hideMark/>
          </w:tcPr>
          <w:p w14:paraId="14837138" w14:textId="43B4902E" w:rsidR="00FD5DB7" w:rsidRPr="00FD5DB7" w:rsidRDefault="00FD5DB7" w:rsidP="0025789B">
            <w:pPr>
              <w:pStyle w:val="Tabletext"/>
              <w:rPr>
                <w:vertAlign w:val="superscript"/>
              </w:rPr>
            </w:pPr>
            <w:r w:rsidRPr="00FD5DB7">
              <w:sym w:font="Wingdings" w:char="F0FC"/>
            </w:r>
            <w:r>
              <w:rPr>
                <w:vertAlign w:val="superscript"/>
              </w:rPr>
              <w:t>a</w:t>
            </w:r>
          </w:p>
        </w:tc>
        <w:tc>
          <w:tcPr>
            <w:tcW w:w="1134" w:type="dxa"/>
            <w:hideMark/>
          </w:tcPr>
          <w:p w14:paraId="119B35F9" w14:textId="77777777" w:rsidR="00FD5DB7" w:rsidRPr="00FD5DB7" w:rsidRDefault="00FD5DB7" w:rsidP="0025789B">
            <w:pPr>
              <w:pStyle w:val="Tabletext"/>
            </w:pPr>
            <w:r w:rsidRPr="00FD5DB7">
              <w:sym w:font="Wingdings" w:char="F0FC"/>
            </w:r>
          </w:p>
        </w:tc>
        <w:tc>
          <w:tcPr>
            <w:tcW w:w="1380" w:type="dxa"/>
            <w:hideMark/>
          </w:tcPr>
          <w:p w14:paraId="0A724460" w14:textId="59D2F0C0" w:rsidR="00FD5DB7" w:rsidRPr="00FD5DB7" w:rsidRDefault="00FD5DB7" w:rsidP="0025789B">
            <w:pPr>
              <w:pStyle w:val="Tabletext"/>
            </w:pPr>
          </w:p>
        </w:tc>
      </w:tr>
      <w:tr w:rsidR="00FD5DB7" w:rsidRPr="00FD5DB7" w14:paraId="68CFA3E3" w14:textId="77777777" w:rsidTr="00B36FB9">
        <w:trPr>
          <w:trHeight w:val="94"/>
        </w:trPr>
        <w:tc>
          <w:tcPr>
            <w:tcW w:w="1526" w:type="dxa"/>
            <w:vMerge/>
            <w:hideMark/>
          </w:tcPr>
          <w:p w14:paraId="44B20559" w14:textId="77777777" w:rsidR="00FD5DB7" w:rsidRPr="005848AD" w:rsidRDefault="00FD5DB7" w:rsidP="0025789B">
            <w:pPr>
              <w:pStyle w:val="Tabletext"/>
            </w:pPr>
          </w:p>
        </w:tc>
        <w:tc>
          <w:tcPr>
            <w:tcW w:w="2835" w:type="dxa"/>
            <w:hideMark/>
          </w:tcPr>
          <w:p w14:paraId="7C83F2B5" w14:textId="77777777" w:rsidR="00FD5DB7" w:rsidRPr="005848AD" w:rsidRDefault="00FD5DB7" w:rsidP="0025789B">
            <w:pPr>
              <w:pStyle w:val="Tabletext"/>
            </w:pPr>
            <w:r w:rsidRPr="005848AD">
              <w:t>Uterine perforation</w:t>
            </w:r>
          </w:p>
        </w:tc>
        <w:tc>
          <w:tcPr>
            <w:tcW w:w="1134" w:type="dxa"/>
            <w:hideMark/>
          </w:tcPr>
          <w:p w14:paraId="6D02FF9D" w14:textId="77777777" w:rsidR="00FD5DB7" w:rsidRPr="00FD5DB7" w:rsidRDefault="00FD5DB7" w:rsidP="0025789B">
            <w:pPr>
              <w:pStyle w:val="Tabletext"/>
            </w:pPr>
            <w:r w:rsidRPr="00FD5DB7">
              <w:sym w:font="Wingdings" w:char="F0FC"/>
            </w:r>
          </w:p>
        </w:tc>
        <w:tc>
          <w:tcPr>
            <w:tcW w:w="1455" w:type="dxa"/>
            <w:gridSpan w:val="2"/>
            <w:hideMark/>
          </w:tcPr>
          <w:p w14:paraId="27151F99" w14:textId="07D97219" w:rsidR="00FD5DB7" w:rsidRPr="00FD5DB7" w:rsidRDefault="00FD5DB7" w:rsidP="0025789B">
            <w:pPr>
              <w:pStyle w:val="Tabletext"/>
            </w:pPr>
          </w:p>
        </w:tc>
        <w:tc>
          <w:tcPr>
            <w:tcW w:w="1134" w:type="dxa"/>
            <w:hideMark/>
          </w:tcPr>
          <w:p w14:paraId="706A0A45" w14:textId="77777777" w:rsidR="00FD5DB7" w:rsidRPr="00FD5DB7" w:rsidRDefault="00FD5DB7" w:rsidP="0025789B">
            <w:pPr>
              <w:pStyle w:val="Tabletext"/>
            </w:pPr>
            <w:r w:rsidRPr="00FD5DB7">
              <w:sym w:font="Wingdings" w:char="F0FC"/>
            </w:r>
          </w:p>
        </w:tc>
        <w:tc>
          <w:tcPr>
            <w:tcW w:w="1380" w:type="dxa"/>
            <w:hideMark/>
          </w:tcPr>
          <w:p w14:paraId="2F18E32B" w14:textId="56849560" w:rsidR="00FD5DB7" w:rsidRPr="00FD5DB7" w:rsidRDefault="00FD5DB7" w:rsidP="0025789B">
            <w:pPr>
              <w:pStyle w:val="Tabletext"/>
            </w:pPr>
          </w:p>
        </w:tc>
      </w:tr>
      <w:tr w:rsidR="00FD5DB7" w:rsidRPr="00FD5DB7" w14:paraId="01673E89" w14:textId="77777777" w:rsidTr="00B36FB9">
        <w:trPr>
          <w:trHeight w:val="94"/>
        </w:trPr>
        <w:tc>
          <w:tcPr>
            <w:tcW w:w="1526" w:type="dxa"/>
            <w:vMerge/>
            <w:hideMark/>
          </w:tcPr>
          <w:p w14:paraId="00CF2F4F" w14:textId="77777777" w:rsidR="00FD5DB7" w:rsidRPr="005848AD" w:rsidRDefault="00FD5DB7" w:rsidP="0025789B">
            <w:pPr>
              <w:pStyle w:val="Tabletext"/>
            </w:pPr>
          </w:p>
        </w:tc>
        <w:tc>
          <w:tcPr>
            <w:tcW w:w="2835" w:type="dxa"/>
            <w:hideMark/>
          </w:tcPr>
          <w:p w14:paraId="27569622" w14:textId="77777777" w:rsidR="00FD5DB7" w:rsidRPr="005848AD" w:rsidRDefault="00FD5DB7" w:rsidP="0025789B">
            <w:pPr>
              <w:pStyle w:val="Tabletext"/>
            </w:pPr>
            <w:r w:rsidRPr="005848AD">
              <w:t>Unintended pregnancy with LCS</w:t>
            </w:r>
          </w:p>
        </w:tc>
        <w:tc>
          <w:tcPr>
            <w:tcW w:w="1134" w:type="dxa"/>
            <w:hideMark/>
          </w:tcPr>
          <w:p w14:paraId="3FCA652D" w14:textId="77777777" w:rsidR="00FD5DB7" w:rsidRPr="00FD5DB7" w:rsidRDefault="00FD5DB7" w:rsidP="0025789B">
            <w:pPr>
              <w:pStyle w:val="Tabletext"/>
            </w:pPr>
            <w:r w:rsidRPr="00FD5DB7">
              <w:sym w:font="Wingdings" w:char="F0FC"/>
            </w:r>
          </w:p>
        </w:tc>
        <w:tc>
          <w:tcPr>
            <w:tcW w:w="1455" w:type="dxa"/>
            <w:gridSpan w:val="2"/>
            <w:hideMark/>
          </w:tcPr>
          <w:p w14:paraId="529857FC" w14:textId="75EBA7EC" w:rsidR="00FD5DB7" w:rsidRPr="00FD5DB7" w:rsidRDefault="00FD5DB7" w:rsidP="0025789B">
            <w:pPr>
              <w:pStyle w:val="Tabletext"/>
              <w:rPr>
                <w:vertAlign w:val="superscript"/>
              </w:rPr>
            </w:pPr>
            <w:r w:rsidRPr="00FD5DB7">
              <w:sym w:font="Wingdings" w:char="F0FC"/>
            </w:r>
            <w:r>
              <w:rPr>
                <w:vertAlign w:val="superscript"/>
              </w:rPr>
              <w:t>a</w:t>
            </w:r>
          </w:p>
        </w:tc>
        <w:tc>
          <w:tcPr>
            <w:tcW w:w="1134" w:type="dxa"/>
            <w:hideMark/>
          </w:tcPr>
          <w:p w14:paraId="39743E9B" w14:textId="77777777" w:rsidR="00FD5DB7" w:rsidRPr="00FD5DB7" w:rsidRDefault="00FD5DB7" w:rsidP="0025789B">
            <w:pPr>
              <w:pStyle w:val="Tabletext"/>
            </w:pPr>
            <w:r w:rsidRPr="00FD5DB7">
              <w:sym w:font="Wingdings" w:char="F0FC"/>
            </w:r>
          </w:p>
        </w:tc>
        <w:tc>
          <w:tcPr>
            <w:tcW w:w="1380" w:type="dxa"/>
            <w:hideMark/>
          </w:tcPr>
          <w:p w14:paraId="3B9294E7" w14:textId="32E05722" w:rsidR="00FD5DB7" w:rsidRPr="00FD5DB7" w:rsidRDefault="00FD5DB7" w:rsidP="0025789B">
            <w:pPr>
              <w:pStyle w:val="Tabletext"/>
            </w:pPr>
          </w:p>
        </w:tc>
      </w:tr>
      <w:tr w:rsidR="00FD5DB7" w:rsidRPr="00FD5DB7" w14:paraId="1F2ACF81" w14:textId="77777777" w:rsidTr="00B36FB9">
        <w:trPr>
          <w:trHeight w:val="94"/>
        </w:trPr>
        <w:tc>
          <w:tcPr>
            <w:tcW w:w="1526" w:type="dxa"/>
            <w:vMerge/>
            <w:hideMark/>
          </w:tcPr>
          <w:p w14:paraId="70D6AE5C" w14:textId="77777777" w:rsidR="00FD5DB7" w:rsidRPr="005848AD" w:rsidRDefault="00FD5DB7" w:rsidP="0025789B">
            <w:pPr>
              <w:pStyle w:val="Tabletext"/>
            </w:pPr>
          </w:p>
        </w:tc>
        <w:tc>
          <w:tcPr>
            <w:tcW w:w="2835" w:type="dxa"/>
            <w:hideMark/>
          </w:tcPr>
          <w:p w14:paraId="76EC0026" w14:textId="77777777" w:rsidR="00FD5DB7" w:rsidRPr="005848AD" w:rsidRDefault="00FD5DB7" w:rsidP="0025789B">
            <w:pPr>
              <w:pStyle w:val="Tabletext"/>
            </w:pPr>
            <w:r w:rsidRPr="005848AD">
              <w:t>Ovarian cysts</w:t>
            </w:r>
          </w:p>
        </w:tc>
        <w:tc>
          <w:tcPr>
            <w:tcW w:w="1134" w:type="dxa"/>
            <w:hideMark/>
          </w:tcPr>
          <w:p w14:paraId="56CE996E" w14:textId="77777777" w:rsidR="00FD5DB7" w:rsidRPr="00FD5DB7" w:rsidRDefault="00FD5DB7" w:rsidP="0025789B">
            <w:pPr>
              <w:pStyle w:val="Tabletext"/>
            </w:pPr>
            <w:r w:rsidRPr="00FD5DB7">
              <w:sym w:font="Wingdings" w:char="F0FC"/>
            </w:r>
          </w:p>
        </w:tc>
        <w:tc>
          <w:tcPr>
            <w:tcW w:w="1455" w:type="dxa"/>
            <w:gridSpan w:val="2"/>
            <w:hideMark/>
          </w:tcPr>
          <w:p w14:paraId="4EE0F2E4" w14:textId="505B39AB" w:rsidR="00FD5DB7" w:rsidRPr="00FD5DB7" w:rsidRDefault="00FD5DB7" w:rsidP="0025789B">
            <w:pPr>
              <w:pStyle w:val="Tabletext"/>
            </w:pPr>
          </w:p>
        </w:tc>
        <w:tc>
          <w:tcPr>
            <w:tcW w:w="1134" w:type="dxa"/>
            <w:hideMark/>
          </w:tcPr>
          <w:p w14:paraId="26D2FE2E" w14:textId="77777777" w:rsidR="00FD5DB7" w:rsidRPr="00FD5DB7" w:rsidRDefault="00FD5DB7" w:rsidP="0025789B">
            <w:pPr>
              <w:pStyle w:val="Tabletext"/>
            </w:pPr>
            <w:r w:rsidRPr="00FD5DB7">
              <w:sym w:font="Wingdings" w:char="F0FC"/>
            </w:r>
          </w:p>
        </w:tc>
        <w:tc>
          <w:tcPr>
            <w:tcW w:w="1380" w:type="dxa"/>
            <w:hideMark/>
          </w:tcPr>
          <w:p w14:paraId="076DED07" w14:textId="7AB626C3" w:rsidR="00FD5DB7" w:rsidRPr="00FD5DB7" w:rsidRDefault="00FD5DB7" w:rsidP="0025789B">
            <w:pPr>
              <w:pStyle w:val="Tabletext"/>
            </w:pPr>
          </w:p>
        </w:tc>
      </w:tr>
      <w:tr w:rsidR="00FD5DB7" w:rsidRPr="00FD5DB7" w14:paraId="3425BC95" w14:textId="77777777" w:rsidTr="00B36FB9">
        <w:trPr>
          <w:trHeight w:val="94"/>
        </w:trPr>
        <w:tc>
          <w:tcPr>
            <w:tcW w:w="1526" w:type="dxa"/>
            <w:vMerge/>
            <w:hideMark/>
          </w:tcPr>
          <w:p w14:paraId="486756EA" w14:textId="77777777" w:rsidR="00FD5DB7" w:rsidRPr="005848AD" w:rsidRDefault="00FD5DB7" w:rsidP="0025789B">
            <w:pPr>
              <w:pStyle w:val="Tabletext"/>
            </w:pPr>
          </w:p>
        </w:tc>
        <w:tc>
          <w:tcPr>
            <w:tcW w:w="2835" w:type="dxa"/>
            <w:hideMark/>
          </w:tcPr>
          <w:p w14:paraId="3F7E1AB0" w14:textId="77777777" w:rsidR="00FD5DB7" w:rsidRPr="005848AD" w:rsidRDefault="00FD5DB7" w:rsidP="0025789B">
            <w:pPr>
              <w:pStyle w:val="Tabletext"/>
            </w:pPr>
            <w:r w:rsidRPr="005848AD">
              <w:t>Expulsion</w:t>
            </w:r>
          </w:p>
        </w:tc>
        <w:tc>
          <w:tcPr>
            <w:tcW w:w="1134" w:type="dxa"/>
            <w:hideMark/>
          </w:tcPr>
          <w:p w14:paraId="63D296F2" w14:textId="77777777" w:rsidR="00FD5DB7" w:rsidRPr="00FD5DB7" w:rsidRDefault="00FD5DB7" w:rsidP="0025789B">
            <w:pPr>
              <w:pStyle w:val="Tabletext"/>
            </w:pPr>
            <w:r w:rsidRPr="00FD5DB7">
              <w:sym w:font="Wingdings" w:char="F0FC"/>
            </w:r>
          </w:p>
        </w:tc>
        <w:tc>
          <w:tcPr>
            <w:tcW w:w="1455" w:type="dxa"/>
            <w:gridSpan w:val="2"/>
            <w:hideMark/>
          </w:tcPr>
          <w:p w14:paraId="20F5A6EB" w14:textId="03783526" w:rsidR="00FD5DB7" w:rsidRPr="00FD5DB7" w:rsidRDefault="00FD5DB7" w:rsidP="0025789B">
            <w:pPr>
              <w:pStyle w:val="Tabletext"/>
            </w:pPr>
          </w:p>
        </w:tc>
        <w:tc>
          <w:tcPr>
            <w:tcW w:w="1134" w:type="dxa"/>
            <w:hideMark/>
          </w:tcPr>
          <w:p w14:paraId="0B115985" w14:textId="77777777" w:rsidR="00FD5DB7" w:rsidRPr="00FD5DB7" w:rsidRDefault="00FD5DB7" w:rsidP="0025789B">
            <w:pPr>
              <w:pStyle w:val="Tabletext"/>
            </w:pPr>
            <w:r w:rsidRPr="00FD5DB7">
              <w:sym w:font="Wingdings" w:char="F0FC"/>
            </w:r>
          </w:p>
        </w:tc>
        <w:tc>
          <w:tcPr>
            <w:tcW w:w="1380" w:type="dxa"/>
            <w:hideMark/>
          </w:tcPr>
          <w:p w14:paraId="33A3F61E" w14:textId="62C1329E" w:rsidR="00FD5DB7" w:rsidRPr="00FD5DB7" w:rsidRDefault="00FD5DB7" w:rsidP="0025789B">
            <w:pPr>
              <w:pStyle w:val="Tabletext"/>
            </w:pPr>
          </w:p>
        </w:tc>
      </w:tr>
      <w:tr w:rsidR="00FD5DB7" w:rsidRPr="00FD5DB7" w14:paraId="46B32DE9" w14:textId="77777777" w:rsidTr="00B36FB9">
        <w:trPr>
          <w:trHeight w:val="94"/>
        </w:trPr>
        <w:tc>
          <w:tcPr>
            <w:tcW w:w="1526" w:type="dxa"/>
            <w:vMerge/>
            <w:hideMark/>
          </w:tcPr>
          <w:p w14:paraId="26C0783F" w14:textId="77777777" w:rsidR="00FD5DB7" w:rsidRPr="005848AD" w:rsidRDefault="00FD5DB7" w:rsidP="0025789B">
            <w:pPr>
              <w:pStyle w:val="Tabletext"/>
            </w:pPr>
          </w:p>
        </w:tc>
        <w:tc>
          <w:tcPr>
            <w:tcW w:w="2835" w:type="dxa"/>
            <w:hideMark/>
          </w:tcPr>
          <w:p w14:paraId="40D1D3BE" w14:textId="77777777" w:rsidR="00FD5DB7" w:rsidRPr="005848AD" w:rsidRDefault="00FD5DB7" w:rsidP="0025789B">
            <w:pPr>
              <w:pStyle w:val="Tabletext"/>
            </w:pPr>
            <w:r w:rsidRPr="005848AD">
              <w:t>Bleeding changes</w:t>
            </w:r>
          </w:p>
        </w:tc>
        <w:tc>
          <w:tcPr>
            <w:tcW w:w="1134" w:type="dxa"/>
            <w:hideMark/>
          </w:tcPr>
          <w:p w14:paraId="4CB4E51B" w14:textId="77777777" w:rsidR="00FD5DB7" w:rsidRPr="00FD5DB7" w:rsidRDefault="00FD5DB7" w:rsidP="0025789B">
            <w:pPr>
              <w:pStyle w:val="Tabletext"/>
            </w:pPr>
            <w:r w:rsidRPr="00FD5DB7">
              <w:sym w:font="Wingdings" w:char="F0FC"/>
            </w:r>
          </w:p>
        </w:tc>
        <w:tc>
          <w:tcPr>
            <w:tcW w:w="1455" w:type="dxa"/>
            <w:gridSpan w:val="2"/>
            <w:hideMark/>
          </w:tcPr>
          <w:p w14:paraId="52C628C8" w14:textId="075F29DA" w:rsidR="00FD5DB7" w:rsidRPr="00FD5DB7" w:rsidRDefault="00FD5DB7" w:rsidP="0025789B">
            <w:pPr>
              <w:pStyle w:val="Tabletext"/>
            </w:pPr>
          </w:p>
        </w:tc>
        <w:tc>
          <w:tcPr>
            <w:tcW w:w="1134" w:type="dxa"/>
            <w:hideMark/>
          </w:tcPr>
          <w:p w14:paraId="171750AF" w14:textId="77777777" w:rsidR="00FD5DB7" w:rsidRPr="00FD5DB7" w:rsidRDefault="00FD5DB7" w:rsidP="0025789B">
            <w:pPr>
              <w:pStyle w:val="Tabletext"/>
            </w:pPr>
            <w:r w:rsidRPr="00FD5DB7">
              <w:sym w:font="Wingdings" w:char="F0FC"/>
            </w:r>
          </w:p>
        </w:tc>
        <w:tc>
          <w:tcPr>
            <w:tcW w:w="1380" w:type="dxa"/>
            <w:hideMark/>
          </w:tcPr>
          <w:p w14:paraId="747EFCBF" w14:textId="1F17DE8F" w:rsidR="00FD5DB7" w:rsidRPr="00FD5DB7" w:rsidRDefault="00FD5DB7" w:rsidP="0025789B">
            <w:pPr>
              <w:pStyle w:val="Tabletext"/>
            </w:pPr>
          </w:p>
        </w:tc>
      </w:tr>
      <w:tr w:rsidR="00FD5DB7" w:rsidRPr="00FD5DB7" w14:paraId="6A3884CF" w14:textId="77777777" w:rsidTr="00B36FB9">
        <w:trPr>
          <w:trHeight w:val="159"/>
        </w:trPr>
        <w:tc>
          <w:tcPr>
            <w:tcW w:w="1526" w:type="dxa"/>
            <w:vMerge w:val="restart"/>
            <w:hideMark/>
          </w:tcPr>
          <w:p w14:paraId="62F52DAB" w14:textId="77777777" w:rsidR="00FD5DB7" w:rsidRPr="005848AD" w:rsidRDefault="00FD5DB7" w:rsidP="0025789B">
            <w:pPr>
              <w:pStyle w:val="Tabletext"/>
            </w:pPr>
            <w:r w:rsidRPr="005848AD">
              <w:t>Important potential risks</w:t>
            </w:r>
          </w:p>
        </w:tc>
        <w:tc>
          <w:tcPr>
            <w:tcW w:w="2835" w:type="dxa"/>
            <w:hideMark/>
          </w:tcPr>
          <w:p w14:paraId="72E5D3C8" w14:textId="77777777" w:rsidR="00FD5DB7" w:rsidRPr="005848AD" w:rsidRDefault="00FD5DB7" w:rsidP="0025789B">
            <w:pPr>
              <w:pStyle w:val="Tabletext"/>
            </w:pPr>
            <w:r w:rsidRPr="005848AD">
              <w:t>Potential for medication error</w:t>
            </w:r>
          </w:p>
        </w:tc>
        <w:tc>
          <w:tcPr>
            <w:tcW w:w="1134" w:type="dxa"/>
            <w:hideMark/>
          </w:tcPr>
          <w:p w14:paraId="75FA979D" w14:textId="77777777" w:rsidR="00FD5DB7" w:rsidRPr="00FD5DB7" w:rsidRDefault="00FD5DB7" w:rsidP="0025789B">
            <w:pPr>
              <w:pStyle w:val="Tabletext"/>
            </w:pPr>
            <w:r w:rsidRPr="00FD5DB7">
              <w:sym w:font="Wingdings" w:char="F0FC"/>
            </w:r>
          </w:p>
        </w:tc>
        <w:tc>
          <w:tcPr>
            <w:tcW w:w="1455" w:type="dxa"/>
            <w:gridSpan w:val="2"/>
            <w:hideMark/>
          </w:tcPr>
          <w:p w14:paraId="29975AE5" w14:textId="1D3654EC" w:rsidR="00FD5DB7" w:rsidRPr="00FD5DB7" w:rsidRDefault="00FD5DB7" w:rsidP="0025789B">
            <w:pPr>
              <w:pStyle w:val="Tabletext"/>
            </w:pPr>
          </w:p>
        </w:tc>
        <w:tc>
          <w:tcPr>
            <w:tcW w:w="1134" w:type="dxa"/>
            <w:hideMark/>
          </w:tcPr>
          <w:p w14:paraId="2E86DC95" w14:textId="77777777" w:rsidR="00FD5DB7" w:rsidRPr="00FD5DB7" w:rsidRDefault="00FD5DB7" w:rsidP="0025789B">
            <w:pPr>
              <w:pStyle w:val="Tabletext"/>
            </w:pPr>
            <w:r w:rsidRPr="00FD5DB7">
              <w:sym w:font="Wingdings" w:char="F0FC"/>
            </w:r>
          </w:p>
        </w:tc>
        <w:tc>
          <w:tcPr>
            <w:tcW w:w="1380" w:type="dxa"/>
            <w:hideMark/>
          </w:tcPr>
          <w:p w14:paraId="06C90E5C" w14:textId="77777777" w:rsidR="00FD5DB7" w:rsidRPr="00FD5DB7" w:rsidRDefault="00FD5DB7" w:rsidP="0025789B">
            <w:pPr>
              <w:pStyle w:val="Tabletext"/>
              <w:rPr>
                <w:highlight w:val="yellow"/>
              </w:rPr>
            </w:pPr>
            <w:r w:rsidRPr="00FD5DB7">
              <w:sym w:font="Wingdings" w:char="F0FC"/>
            </w:r>
          </w:p>
        </w:tc>
      </w:tr>
      <w:tr w:rsidR="00FD5DB7" w:rsidRPr="00FD5DB7" w14:paraId="2F6636BB" w14:textId="77777777" w:rsidTr="00B36FB9">
        <w:trPr>
          <w:trHeight w:val="122"/>
        </w:trPr>
        <w:tc>
          <w:tcPr>
            <w:tcW w:w="1526" w:type="dxa"/>
            <w:vMerge/>
            <w:hideMark/>
          </w:tcPr>
          <w:p w14:paraId="154BEB8B" w14:textId="77777777" w:rsidR="00FD5DB7" w:rsidRPr="005848AD" w:rsidRDefault="00FD5DB7" w:rsidP="0025789B">
            <w:pPr>
              <w:pStyle w:val="Tabletext"/>
            </w:pPr>
          </w:p>
        </w:tc>
        <w:tc>
          <w:tcPr>
            <w:tcW w:w="2835" w:type="dxa"/>
            <w:hideMark/>
          </w:tcPr>
          <w:p w14:paraId="1C97EE05" w14:textId="77777777" w:rsidR="00FD5DB7" w:rsidRPr="005848AD" w:rsidRDefault="00FD5DB7" w:rsidP="0025789B">
            <w:pPr>
              <w:pStyle w:val="Tabletext"/>
            </w:pPr>
            <w:r w:rsidRPr="005848AD">
              <w:t>Potential for off-label use in indications other than contraception</w:t>
            </w:r>
          </w:p>
        </w:tc>
        <w:tc>
          <w:tcPr>
            <w:tcW w:w="1134" w:type="dxa"/>
            <w:hideMark/>
          </w:tcPr>
          <w:p w14:paraId="0B92E3FA" w14:textId="77777777" w:rsidR="00FD5DB7" w:rsidRPr="00FD5DB7" w:rsidRDefault="00FD5DB7" w:rsidP="0025789B">
            <w:pPr>
              <w:pStyle w:val="Tabletext"/>
            </w:pPr>
            <w:r w:rsidRPr="00FD5DB7">
              <w:sym w:font="Wingdings" w:char="F0FC"/>
            </w:r>
          </w:p>
        </w:tc>
        <w:tc>
          <w:tcPr>
            <w:tcW w:w="1455" w:type="dxa"/>
            <w:gridSpan w:val="2"/>
            <w:hideMark/>
          </w:tcPr>
          <w:p w14:paraId="1D409D1A" w14:textId="4198D2CE" w:rsidR="00FD5DB7" w:rsidRPr="00FD5DB7" w:rsidRDefault="00FD5DB7" w:rsidP="0025789B">
            <w:pPr>
              <w:pStyle w:val="Tabletext"/>
            </w:pPr>
          </w:p>
        </w:tc>
        <w:tc>
          <w:tcPr>
            <w:tcW w:w="1134" w:type="dxa"/>
            <w:hideMark/>
          </w:tcPr>
          <w:p w14:paraId="52D7B986" w14:textId="77777777" w:rsidR="00FD5DB7" w:rsidRPr="00FD5DB7" w:rsidRDefault="00FD5DB7" w:rsidP="0025789B">
            <w:pPr>
              <w:pStyle w:val="Tabletext"/>
            </w:pPr>
            <w:r w:rsidRPr="00FD5DB7">
              <w:sym w:font="Wingdings" w:char="F0FC"/>
            </w:r>
          </w:p>
        </w:tc>
        <w:tc>
          <w:tcPr>
            <w:tcW w:w="1380" w:type="dxa"/>
            <w:hideMark/>
          </w:tcPr>
          <w:p w14:paraId="38F523AB" w14:textId="383245F4" w:rsidR="00FD5DB7" w:rsidRPr="00FD5DB7" w:rsidRDefault="00FD5DB7" w:rsidP="0025789B">
            <w:pPr>
              <w:pStyle w:val="Tabletext"/>
            </w:pPr>
          </w:p>
        </w:tc>
      </w:tr>
      <w:tr w:rsidR="00FD5DB7" w:rsidRPr="00FD5DB7" w14:paraId="39F9877F" w14:textId="77777777" w:rsidTr="00B36FB9">
        <w:trPr>
          <w:trHeight w:val="979"/>
        </w:trPr>
        <w:tc>
          <w:tcPr>
            <w:tcW w:w="1526" w:type="dxa"/>
            <w:hideMark/>
          </w:tcPr>
          <w:p w14:paraId="7F4E7514" w14:textId="77777777" w:rsidR="00FD5DB7" w:rsidRPr="005848AD" w:rsidRDefault="00FD5DB7" w:rsidP="0025789B">
            <w:pPr>
              <w:pStyle w:val="Tabletext"/>
            </w:pPr>
            <w:r w:rsidRPr="005848AD">
              <w:t>Missing information</w:t>
            </w:r>
          </w:p>
        </w:tc>
        <w:tc>
          <w:tcPr>
            <w:tcW w:w="2835" w:type="dxa"/>
            <w:hideMark/>
          </w:tcPr>
          <w:p w14:paraId="7FEE759A" w14:textId="77777777" w:rsidR="00FD5DB7" w:rsidRPr="005848AD" w:rsidRDefault="00FD5DB7" w:rsidP="0025789B">
            <w:pPr>
              <w:pStyle w:val="Tabletext"/>
            </w:pPr>
            <w:r w:rsidRPr="005848AD">
              <w:t>Not applicable</w:t>
            </w:r>
          </w:p>
        </w:tc>
        <w:tc>
          <w:tcPr>
            <w:tcW w:w="1134" w:type="dxa"/>
            <w:hideMark/>
          </w:tcPr>
          <w:p w14:paraId="7A22802A" w14:textId="77777777" w:rsidR="00FD5DB7" w:rsidRPr="00FD5DB7" w:rsidRDefault="00FD5DB7" w:rsidP="0025789B">
            <w:pPr>
              <w:pStyle w:val="Tabletext"/>
            </w:pPr>
            <w:r w:rsidRPr="00FD5DB7">
              <w:sym w:font="Wingdings" w:char="F0FC"/>
            </w:r>
          </w:p>
        </w:tc>
        <w:tc>
          <w:tcPr>
            <w:tcW w:w="1455" w:type="dxa"/>
            <w:gridSpan w:val="2"/>
            <w:hideMark/>
          </w:tcPr>
          <w:p w14:paraId="189BC8C4" w14:textId="6CC12962" w:rsidR="00FD5DB7" w:rsidRPr="00FD5DB7" w:rsidRDefault="00FD5DB7" w:rsidP="0025789B">
            <w:pPr>
              <w:pStyle w:val="Tabletext"/>
            </w:pPr>
          </w:p>
        </w:tc>
        <w:tc>
          <w:tcPr>
            <w:tcW w:w="1134" w:type="dxa"/>
            <w:hideMark/>
          </w:tcPr>
          <w:p w14:paraId="2B71C445" w14:textId="77777777" w:rsidR="00FD5DB7" w:rsidRPr="00FD5DB7" w:rsidRDefault="00FD5DB7" w:rsidP="0025789B">
            <w:pPr>
              <w:pStyle w:val="Tabletext"/>
            </w:pPr>
            <w:r w:rsidRPr="00FD5DB7">
              <w:sym w:font="Wingdings" w:char="F0FC"/>
            </w:r>
          </w:p>
        </w:tc>
        <w:tc>
          <w:tcPr>
            <w:tcW w:w="1380" w:type="dxa"/>
            <w:hideMark/>
          </w:tcPr>
          <w:p w14:paraId="46836654" w14:textId="7292F3AB" w:rsidR="00FD5DB7" w:rsidRPr="00FD5DB7" w:rsidRDefault="00FD5DB7" w:rsidP="0025789B">
            <w:pPr>
              <w:pStyle w:val="Tabletext"/>
            </w:pPr>
          </w:p>
        </w:tc>
      </w:tr>
    </w:tbl>
    <w:p w14:paraId="34CFEAF4" w14:textId="314571B3" w:rsidR="00FD5DB7" w:rsidRPr="00FD5DB7" w:rsidRDefault="00FD5DB7" w:rsidP="00FD5DB7">
      <w:pPr>
        <w:pStyle w:val="TableDescription"/>
      </w:pPr>
      <w:r>
        <w:t>a)</w:t>
      </w:r>
      <w:r w:rsidRPr="00FD5DB7">
        <w:t xml:space="preserve"> Outcomes study including drug utilisation study (DUS) component (EURASLCS12) and an ongoing pharmacoepidemiological study (Sweden) are being conducted for Jaydess.</w:t>
      </w:r>
    </w:p>
    <w:p w14:paraId="3F9ECB20" w14:textId="5A9CC695" w:rsidR="00FD5DB7" w:rsidRPr="00FD5DB7" w:rsidRDefault="00FD5DB7" w:rsidP="00FD5DB7">
      <w:r w:rsidRPr="00FD5DB7">
        <w:t>The additional activities planned are similar to that proposed in the EU-RMP and include physician education materials and a patient reminder card to minimise the risk of premature removal of Kyleena (medication error). The sponsor will provide the physician education material to the TGA when available. The evaluator recommends that this material should include inf</w:t>
      </w:r>
      <w:r>
        <w:t>ormation on Mirena and Kyleena.</w:t>
      </w:r>
    </w:p>
    <w:p w14:paraId="406A42BD" w14:textId="7687AB8F" w:rsidR="00AE5322" w:rsidRDefault="00AE5322" w:rsidP="00AE5322">
      <w:pPr>
        <w:pStyle w:val="Heading3"/>
      </w:pPr>
      <w:bookmarkStart w:id="104" w:name="_Toc247691531"/>
      <w:bookmarkStart w:id="105" w:name="_Toc314842515"/>
      <w:bookmarkStart w:id="106" w:name="_Toc499040561"/>
      <w:r>
        <w:t>Risk-benefit analysis</w:t>
      </w:r>
      <w:bookmarkEnd w:id="104"/>
      <w:bookmarkEnd w:id="105"/>
      <w:bookmarkEnd w:id="106"/>
    </w:p>
    <w:p w14:paraId="478F22E7" w14:textId="24AADBE2" w:rsidR="00AE5322" w:rsidRDefault="00AE5322" w:rsidP="00AE5322">
      <w:pPr>
        <w:pStyle w:val="Heading4"/>
      </w:pPr>
      <w:r w:rsidRPr="00D23139">
        <w:t>Delegate’s consi</w:t>
      </w:r>
      <w:r>
        <w:t>derations</w:t>
      </w:r>
    </w:p>
    <w:p w14:paraId="49C23A47" w14:textId="261C11FD" w:rsidR="005848AD" w:rsidRPr="005848AD" w:rsidRDefault="005848AD" w:rsidP="005848AD">
      <w:r w:rsidRPr="005848AD">
        <w:t>Efficacy</w:t>
      </w:r>
      <w:r>
        <w:t>:</w:t>
      </w:r>
    </w:p>
    <w:p w14:paraId="56BEE0E6" w14:textId="2285EBD6" w:rsidR="008824FB" w:rsidRDefault="003F463C" w:rsidP="005848AD">
      <w:pPr>
        <w:pStyle w:val="ListBullet"/>
      </w:pPr>
      <w:r>
        <w:t>Ef</w:t>
      </w:r>
      <w:r w:rsidR="008824FB">
        <w:t>ficacy is adequately established</w:t>
      </w:r>
      <w:r w:rsidR="005848AD">
        <w:t>.</w:t>
      </w:r>
    </w:p>
    <w:p w14:paraId="67834E79" w14:textId="00E52D44" w:rsidR="003F463C" w:rsidRDefault="003F463C" w:rsidP="005848AD">
      <w:pPr>
        <w:pStyle w:val="ListBullet"/>
        <w:numPr>
          <w:ilvl w:val="0"/>
          <w:numId w:val="0"/>
        </w:numPr>
        <w:ind w:left="360" w:hanging="360"/>
      </w:pPr>
      <w:r>
        <w:t>Safety</w:t>
      </w:r>
      <w:r w:rsidR="008824FB">
        <w:t>:</w:t>
      </w:r>
    </w:p>
    <w:p w14:paraId="6F7C80A4" w14:textId="507EC21B" w:rsidR="008824FB" w:rsidRDefault="003F463C" w:rsidP="005848AD">
      <w:pPr>
        <w:pStyle w:val="ListBullet"/>
      </w:pPr>
      <w:r>
        <w:t>The potential f</w:t>
      </w:r>
      <w:r w:rsidR="006C2E58">
        <w:t xml:space="preserve">or Kyleena to be confused with </w:t>
      </w:r>
      <w:r>
        <w:t>Jaydess is overcome with the assurance by the sponsor that Jaydess will not be marketed in Australia. In addition, the two IUDs have different colour strings</w:t>
      </w:r>
      <w:r w:rsidR="008824FB">
        <w:t>.</w:t>
      </w:r>
    </w:p>
    <w:p w14:paraId="68EB8E1F" w14:textId="11179E1B" w:rsidR="008824FB" w:rsidRDefault="008824FB" w:rsidP="005848AD">
      <w:pPr>
        <w:pStyle w:val="ListBullet"/>
      </w:pPr>
      <w:r>
        <w:t xml:space="preserve">The safety concerns, that is, </w:t>
      </w:r>
      <w:r w:rsidR="003F463C">
        <w:t xml:space="preserve">pelvic infection, expulsion, ectopic pregnancy, lost threads, ovarian cysts are adequately addressed in the </w:t>
      </w:r>
      <w:r w:rsidR="006C2E58">
        <w:t>‘</w:t>
      </w:r>
      <w:r w:rsidR="003F463C">
        <w:t>Preca</w:t>
      </w:r>
      <w:r>
        <w:t>utions</w:t>
      </w:r>
      <w:r w:rsidR="006C2E58">
        <w:t>’</w:t>
      </w:r>
      <w:r>
        <w:t xml:space="preserve"> section of the draft PI.</w:t>
      </w:r>
    </w:p>
    <w:p w14:paraId="3850ED40" w14:textId="77777777" w:rsidR="008824FB" w:rsidRDefault="003F463C" w:rsidP="005848AD">
      <w:pPr>
        <w:pStyle w:val="ListBullet"/>
      </w:pPr>
      <w:r>
        <w:t>MRI:</w:t>
      </w:r>
    </w:p>
    <w:p w14:paraId="45F7A08B" w14:textId="34307661" w:rsidR="008824FB" w:rsidRDefault="003F463C" w:rsidP="005848AD">
      <w:pPr>
        <w:pStyle w:val="ListBullet2"/>
      </w:pPr>
      <w:r>
        <w:t>No data for Kyleena</w:t>
      </w:r>
      <w:r w:rsidR="006C2E58">
        <w:t>.</w:t>
      </w:r>
    </w:p>
    <w:p w14:paraId="619B63F9" w14:textId="57F067BD" w:rsidR="008824FB" w:rsidRDefault="003F463C" w:rsidP="005848AD">
      <w:pPr>
        <w:pStyle w:val="ListBullet2"/>
      </w:pPr>
      <w:r>
        <w:t xml:space="preserve">Data for Jaydess with similar silver ring suggests MRI scanning is safe (see below). Mirena does not have a silver ring. Copper IUDs are safe but </w:t>
      </w:r>
      <w:r w:rsidR="00C47D82">
        <w:t>are a cause of</w:t>
      </w:r>
      <w:r>
        <w:t xml:space="preserve"> artefact</w:t>
      </w:r>
      <w:r w:rsidR="008824FB">
        <w:t>.</w:t>
      </w:r>
    </w:p>
    <w:p w14:paraId="5967896D" w14:textId="44D92D34" w:rsidR="008824FB" w:rsidRPr="005848AD" w:rsidRDefault="008824FB" w:rsidP="005848AD">
      <w:pPr>
        <w:pStyle w:val="ListBullet2"/>
      </w:pPr>
      <w:r>
        <w:t>The PI states:</w:t>
      </w:r>
      <w:r w:rsidR="005848AD">
        <w:t xml:space="preserve"> </w:t>
      </w:r>
      <w:r w:rsidRPr="005848AD">
        <w:rPr>
          <w:i/>
        </w:rPr>
        <w:t>‘</w:t>
      </w:r>
      <w:r w:rsidR="003F463C" w:rsidRPr="005848AD">
        <w:rPr>
          <w:i/>
        </w:rPr>
        <w:t>Non-clinical testing of another LNG-IUS with the same size silver ring and T-body has demonstrated that a patient may be scanned conditional’) under the following conditions:</w:t>
      </w:r>
    </w:p>
    <w:p w14:paraId="4E354E93" w14:textId="02B4492A" w:rsidR="003F463C" w:rsidRPr="005848AD" w:rsidRDefault="003F463C" w:rsidP="005848AD">
      <w:pPr>
        <w:pStyle w:val="ListBullet3"/>
        <w:rPr>
          <w:i/>
        </w:rPr>
      </w:pPr>
      <w:r w:rsidRPr="005848AD">
        <w:rPr>
          <w:i/>
        </w:rPr>
        <w:t>Static magnetic field of 3-Tesla or less,</w:t>
      </w:r>
    </w:p>
    <w:p w14:paraId="6E144853" w14:textId="2ACB3EBA" w:rsidR="003F463C" w:rsidRPr="005848AD" w:rsidRDefault="003F463C" w:rsidP="005848AD">
      <w:pPr>
        <w:pStyle w:val="ListBullet3"/>
        <w:rPr>
          <w:i/>
        </w:rPr>
      </w:pPr>
      <w:r w:rsidRPr="005848AD">
        <w:rPr>
          <w:i/>
        </w:rPr>
        <w:t>Spatial gradient field of 36,000 Gauss/cm (360 T/m) or less</w:t>
      </w:r>
    </w:p>
    <w:p w14:paraId="4F7364DE" w14:textId="77777777" w:rsidR="005848AD" w:rsidRDefault="003F463C" w:rsidP="005848AD">
      <w:pPr>
        <w:pStyle w:val="ListBullet3"/>
        <w:rPr>
          <w:i/>
        </w:rPr>
      </w:pPr>
      <w:r w:rsidRPr="005848AD">
        <w:rPr>
          <w:i/>
        </w:rPr>
        <w:t>Maximum whole body averaged specific absorption rate (SAR) of 4W/kg in the First</w:t>
      </w:r>
      <w:r w:rsidR="008824FB" w:rsidRPr="005848AD">
        <w:rPr>
          <w:i/>
        </w:rPr>
        <w:t xml:space="preserve"> </w:t>
      </w:r>
      <w:r w:rsidRPr="005848AD">
        <w:rPr>
          <w:i/>
        </w:rPr>
        <w:t>Level Controlled mode for 15 minutes of continuous scanning</w:t>
      </w:r>
    </w:p>
    <w:p w14:paraId="1E9BDAC4" w14:textId="77777777" w:rsidR="005848AD" w:rsidRDefault="003F463C" w:rsidP="005848AD">
      <w:pPr>
        <w:pStyle w:val="ListBullet2"/>
        <w:numPr>
          <w:ilvl w:val="0"/>
          <w:numId w:val="0"/>
        </w:numPr>
        <w:ind w:left="720"/>
        <w:rPr>
          <w:i/>
        </w:rPr>
      </w:pPr>
      <w:r w:rsidRPr="005848AD">
        <w:rPr>
          <w:i/>
        </w:rPr>
        <w:t xml:space="preserve">In non-clinical testing, the aforementioned LNG-IUS produced a temperature rise of equal or less than 1.8°C at a maximum whole body averaged specific absorption rate (SAR) of 2.9 W/kg, for 15 minutes of MR scanning at 3T using a transit/receive body </w:t>
      </w:r>
      <w:r w:rsidRPr="005848AD">
        <w:rPr>
          <w:i/>
        </w:rPr>
        <w:lastRenderedPageBreak/>
        <w:t>coil. A small amount of imaging artefact may occur if the area of interest is in the same area or relatively close to the position of Kyleena.</w:t>
      </w:r>
    </w:p>
    <w:p w14:paraId="3B9BFE3A" w14:textId="15ACBB58" w:rsidR="003F463C" w:rsidRPr="008824FB" w:rsidRDefault="003F463C" w:rsidP="005848AD">
      <w:pPr>
        <w:pStyle w:val="ListBullet2"/>
        <w:numPr>
          <w:ilvl w:val="0"/>
          <w:numId w:val="0"/>
        </w:numPr>
        <w:ind w:left="720"/>
        <w:rPr>
          <w:i/>
        </w:rPr>
      </w:pPr>
      <w:r w:rsidRPr="008824FB">
        <w:rPr>
          <w:i/>
        </w:rPr>
        <w:t xml:space="preserve">No clinical data are currently available in women using </w:t>
      </w:r>
      <w:r w:rsidR="008824FB">
        <w:rPr>
          <w:i/>
        </w:rPr>
        <w:t>Kyleena undergoing MRI’</w:t>
      </w:r>
      <w:r w:rsidRPr="008824FB">
        <w:rPr>
          <w:i/>
        </w:rPr>
        <w:t>.</w:t>
      </w:r>
    </w:p>
    <w:p w14:paraId="6A74D87A" w14:textId="064412FA" w:rsidR="003F463C" w:rsidRDefault="008824FB" w:rsidP="005848AD">
      <w:pPr>
        <w:pStyle w:val="ListBullet2"/>
      </w:pPr>
      <w:r>
        <w:t xml:space="preserve">The sponsor </w:t>
      </w:r>
      <w:r w:rsidR="003F463C">
        <w:t>was requested to include information on patient card but has not agreed. There is currently no information about MRI in the CMI. The sponsor will be requested to address this.</w:t>
      </w:r>
    </w:p>
    <w:p w14:paraId="1FA19F42" w14:textId="52A40C57" w:rsidR="003F463C" w:rsidRDefault="008824FB" w:rsidP="005848AD">
      <w:pPr>
        <w:pStyle w:val="ListBullet"/>
      </w:pPr>
      <w:r>
        <w:t>Use in valvular heart disease:</w:t>
      </w:r>
    </w:p>
    <w:p w14:paraId="194E45B8" w14:textId="77777777" w:rsidR="005848AD" w:rsidRDefault="005848AD" w:rsidP="005848AD">
      <w:pPr>
        <w:pStyle w:val="ListBullet2"/>
      </w:pPr>
      <w:r>
        <w:t xml:space="preserve">The </w:t>
      </w:r>
      <w:r w:rsidR="003F463C">
        <w:t>PI stat</w:t>
      </w:r>
      <w:r w:rsidR="008824FB">
        <w:t>es:</w:t>
      </w:r>
      <w:r>
        <w:t xml:space="preserve"> </w:t>
      </w:r>
      <w:r w:rsidR="008824FB" w:rsidRPr="008824FB">
        <w:t>‘</w:t>
      </w:r>
      <w:r w:rsidR="003F463C" w:rsidRPr="005848AD">
        <w:rPr>
          <w:i/>
        </w:rPr>
        <w:t>Kyleena should be used with caution in women who have congenital heart disease or valvular heart disease and who are at</w:t>
      </w:r>
      <w:r w:rsidRPr="005848AD">
        <w:rPr>
          <w:i/>
        </w:rPr>
        <w:t xml:space="preserve"> risk of infective endocarditis’.</w:t>
      </w:r>
    </w:p>
    <w:p w14:paraId="39A63F39" w14:textId="4D6A719C" w:rsidR="003F463C" w:rsidRPr="008824FB" w:rsidRDefault="003F463C" w:rsidP="005848AD">
      <w:pPr>
        <w:pStyle w:val="ListBullet2"/>
      </w:pPr>
      <w:r w:rsidRPr="008824FB">
        <w:t>However the Australian Antibiotic Guidelines do not recommend antibiotic prophylaxis for routine insertion of IUD unless there is an established genitourinary or pelvic infection.</w:t>
      </w:r>
    </w:p>
    <w:p w14:paraId="593AD461" w14:textId="1CDEB342" w:rsidR="00AE5322" w:rsidRDefault="00AE5322" w:rsidP="00AE5322">
      <w:pPr>
        <w:pStyle w:val="Heading4"/>
      </w:pPr>
      <w:r w:rsidRPr="00D23139">
        <w:t>Proposed action</w:t>
      </w:r>
    </w:p>
    <w:p w14:paraId="268F9A42" w14:textId="067565D7" w:rsidR="0062591A" w:rsidRPr="0062591A" w:rsidRDefault="0062591A" w:rsidP="0062591A">
      <w:r>
        <w:t>The Delegate had no reason to say, at the</w:t>
      </w:r>
      <w:r w:rsidRPr="0062591A">
        <w:t xml:space="preserve"> time, that the application for </w:t>
      </w:r>
      <w:r w:rsidR="00A851BE">
        <w:t>Kyleena</w:t>
      </w:r>
      <w:r w:rsidRPr="0062591A">
        <w:t xml:space="preserve"> should no</w:t>
      </w:r>
      <w:r>
        <w:t>t be approved for registration.</w:t>
      </w:r>
    </w:p>
    <w:p w14:paraId="40F26C9F" w14:textId="6ECC7E35" w:rsidR="00AE5322" w:rsidRDefault="00AE5322" w:rsidP="00AE5322">
      <w:pPr>
        <w:pStyle w:val="Heading4"/>
      </w:pPr>
      <w:r w:rsidRPr="00D23139">
        <w:t>Request for ACPM advice</w:t>
      </w:r>
    </w:p>
    <w:p w14:paraId="4637A47C" w14:textId="56F8507A" w:rsidR="008824FB" w:rsidRDefault="0062591A" w:rsidP="008824FB">
      <w:r>
        <w:t>The Delegate had the following questions for the Committee:</w:t>
      </w:r>
    </w:p>
    <w:p w14:paraId="5FADF34D" w14:textId="5CAEA8F3" w:rsidR="008824FB" w:rsidRPr="0062591A" w:rsidRDefault="008824FB" w:rsidP="0062591A">
      <w:pPr>
        <w:pStyle w:val="Numberbullet0"/>
        <w:numPr>
          <w:ilvl w:val="0"/>
          <w:numId w:val="35"/>
        </w:numPr>
      </w:pPr>
      <w:r w:rsidRPr="0062591A">
        <w:t>Is the information about MRI in the PI sufficient?</w:t>
      </w:r>
    </w:p>
    <w:p w14:paraId="2F5BAB0A" w14:textId="7AFFED28" w:rsidR="008824FB" w:rsidRPr="0062591A" w:rsidRDefault="008824FB" w:rsidP="0062591A">
      <w:pPr>
        <w:pStyle w:val="Numberbullet0"/>
        <w:numPr>
          <w:ilvl w:val="0"/>
          <w:numId w:val="35"/>
        </w:numPr>
      </w:pPr>
      <w:r w:rsidRPr="0062591A">
        <w:t>IUD batch number is on the patient card. GPs usually keep a record of IUDs inserted. Is this sufficient to track the device?</w:t>
      </w:r>
    </w:p>
    <w:p w14:paraId="7DEC77DB" w14:textId="07AB75E4" w:rsidR="008824FB" w:rsidRDefault="008824FB" w:rsidP="008824FB">
      <w:pPr>
        <w:pStyle w:val="Numberbullet0"/>
        <w:numPr>
          <w:ilvl w:val="0"/>
          <w:numId w:val="35"/>
        </w:numPr>
      </w:pPr>
      <w:r w:rsidRPr="0062591A">
        <w:t>Is there a need for a precaution in heart disease if no antibiotic prophylaxis is needed? What is the best reference to include in the PI?</w:t>
      </w:r>
    </w:p>
    <w:p w14:paraId="73BF0245" w14:textId="1DB35DEC" w:rsidR="008824FB" w:rsidRDefault="008824FB" w:rsidP="0062591A">
      <w:pPr>
        <w:pStyle w:val="Heading4"/>
      </w:pPr>
      <w:r>
        <w:t>Q</w:t>
      </w:r>
      <w:r w:rsidR="0062591A">
        <w:t>uestions/issues for the sponsor</w:t>
      </w:r>
    </w:p>
    <w:p w14:paraId="362BA024" w14:textId="5F4AB089" w:rsidR="0062591A" w:rsidRDefault="0062591A" w:rsidP="008824FB">
      <w:r>
        <w:t>The Delegate had the following questions or outstanding issues for the sponsor to address:</w:t>
      </w:r>
    </w:p>
    <w:p w14:paraId="01C6F8B2" w14:textId="279F6081" w:rsidR="008824FB" w:rsidRPr="0062591A" w:rsidRDefault="0091547C" w:rsidP="0062591A">
      <w:pPr>
        <w:pStyle w:val="ListBullet"/>
      </w:pPr>
      <w:r>
        <w:t>P</w:t>
      </w:r>
      <w:r w:rsidR="008824FB" w:rsidRPr="0062591A">
        <w:t>lease update on the status of applications to register Kyleena overseas</w:t>
      </w:r>
      <w:r w:rsidR="0062591A">
        <w:t>.</w:t>
      </w:r>
    </w:p>
    <w:p w14:paraId="0ABB9BB0" w14:textId="5ABE072C" w:rsidR="0062591A" w:rsidRDefault="0091547C" w:rsidP="0062591A">
      <w:pPr>
        <w:pStyle w:val="ListBullet"/>
      </w:pPr>
      <w:r>
        <w:t>P</w:t>
      </w:r>
      <w:r w:rsidR="008824FB" w:rsidRPr="0062591A">
        <w:t>lease include information about MRI in the CMI</w:t>
      </w:r>
      <w:r w:rsidR="0062591A">
        <w:t>.</w:t>
      </w:r>
    </w:p>
    <w:p w14:paraId="36129956" w14:textId="38DA8B92" w:rsidR="008824FB" w:rsidRPr="008824FB" w:rsidRDefault="0091547C" w:rsidP="0062591A">
      <w:pPr>
        <w:pStyle w:val="ListBullet"/>
      </w:pPr>
      <w:r>
        <w:t>P</w:t>
      </w:r>
      <w:r w:rsidR="008824FB" w:rsidRPr="0062591A">
        <w:t>lease address outstanding issues regarding the RMP</w:t>
      </w:r>
      <w:r w:rsidR="0062591A">
        <w:t xml:space="preserve"> including the </w:t>
      </w:r>
      <w:r w:rsidR="008824FB">
        <w:t>inclusion of safety in MRI under missing information</w:t>
      </w:r>
      <w:r w:rsidR="0062591A">
        <w:t>.</w:t>
      </w:r>
    </w:p>
    <w:p w14:paraId="1DBA64E5" w14:textId="2E877DC1" w:rsidR="00BF612B" w:rsidRPr="00BF612B" w:rsidRDefault="00AE5322" w:rsidP="00674613">
      <w:pPr>
        <w:pStyle w:val="Heading4"/>
      </w:pPr>
      <w:r w:rsidRPr="00D23139">
        <w:t>R</w:t>
      </w:r>
      <w:r w:rsidR="00562F04">
        <w:t>esponse from sponsor</w:t>
      </w:r>
    </w:p>
    <w:p w14:paraId="1B324277" w14:textId="22CEF524" w:rsidR="00562F04" w:rsidRDefault="00562F04" w:rsidP="00562F04">
      <w:pPr>
        <w:rPr>
          <w:lang w:val="en-GB"/>
        </w:rPr>
      </w:pPr>
      <w:r>
        <w:rPr>
          <w:lang w:val="en-GB"/>
        </w:rPr>
        <w:t>The sponsor</w:t>
      </w:r>
      <w:r w:rsidRPr="00562F04">
        <w:rPr>
          <w:lang w:val="en-GB"/>
        </w:rPr>
        <w:t xml:space="preserve"> provides the following comments in relation to questions submitted to the </w:t>
      </w:r>
      <w:r>
        <w:rPr>
          <w:lang w:val="en-GB"/>
        </w:rPr>
        <w:t>ACPM.</w:t>
      </w:r>
    </w:p>
    <w:p w14:paraId="0CEA1972" w14:textId="4438CEED" w:rsidR="0071419C" w:rsidRPr="0071419C" w:rsidRDefault="0071419C" w:rsidP="0071419C">
      <w:pPr>
        <w:rPr>
          <w:lang w:val="en-GB"/>
        </w:rPr>
      </w:pPr>
      <w:r w:rsidRPr="0071419C">
        <w:rPr>
          <w:lang w:val="en-GB"/>
        </w:rPr>
        <w:t>Following receipt of the Delegate’</w:t>
      </w:r>
      <w:r>
        <w:rPr>
          <w:lang w:val="en-GB"/>
        </w:rPr>
        <w:t>s Request for ACPM advice, the s</w:t>
      </w:r>
      <w:r w:rsidRPr="0071419C">
        <w:rPr>
          <w:lang w:val="en-GB"/>
        </w:rPr>
        <w:t>ponsor provi</w:t>
      </w:r>
      <w:r>
        <w:rPr>
          <w:lang w:val="en-GB"/>
        </w:rPr>
        <w:t>ded a justification to the RMP e</w:t>
      </w:r>
      <w:r w:rsidRPr="0071419C">
        <w:rPr>
          <w:lang w:val="en-GB"/>
        </w:rPr>
        <w:t xml:space="preserve">valuator whereby sufficient testing has been conducted in regards </w:t>
      </w:r>
      <w:r>
        <w:rPr>
          <w:lang w:val="en-GB"/>
        </w:rPr>
        <w:t>to the safety of Kyleena during a MRI. The RMP evaluator has accepted the s</w:t>
      </w:r>
      <w:r w:rsidRPr="0071419C">
        <w:rPr>
          <w:lang w:val="en-GB"/>
        </w:rPr>
        <w:t>ponsor’s</w:t>
      </w:r>
      <w:r>
        <w:rPr>
          <w:lang w:val="en-GB"/>
        </w:rPr>
        <w:t xml:space="preserve"> </w:t>
      </w:r>
      <w:r w:rsidRPr="0071419C">
        <w:rPr>
          <w:lang w:val="en-GB"/>
        </w:rPr>
        <w:t xml:space="preserve">justification and the final RMP evaluation report received on 11 November 2016 </w:t>
      </w:r>
      <w:r>
        <w:rPr>
          <w:lang w:val="en-GB"/>
        </w:rPr>
        <w:t>was amended to include the RMP e</w:t>
      </w:r>
      <w:r w:rsidRPr="0071419C">
        <w:rPr>
          <w:lang w:val="en-GB"/>
        </w:rPr>
        <w:t>valuator’s acceptance.</w:t>
      </w:r>
    </w:p>
    <w:p w14:paraId="08A39620" w14:textId="1A354955" w:rsidR="0071419C" w:rsidRDefault="0071419C" w:rsidP="0071419C">
      <w:pPr>
        <w:rPr>
          <w:lang w:val="en-GB"/>
        </w:rPr>
      </w:pPr>
      <w:r>
        <w:rPr>
          <w:lang w:val="en-GB"/>
        </w:rPr>
        <w:t>Therefore, the s</w:t>
      </w:r>
      <w:r w:rsidRPr="0071419C">
        <w:rPr>
          <w:lang w:val="en-GB"/>
        </w:rPr>
        <w:t>ponsor considers the Delegate’s request regarding outsta</w:t>
      </w:r>
      <w:r>
        <w:rPr>
          <w:lang w:val="en-GB"/>
        </w:rPr>
        <w:t xml:space="preserve">nding issue of safety of Kyleena </w:t>
      </w:r>
      <w:r w:rsidRPr="0071419C">
        <w:rPr>
          <w:lang w:val="en-GB"/>
        </w:rPr>
        <w:t xml:space="preserve">during a MRI to be </w:t>
      </w:r>
      <w:r>
        <w:rPr>
          <w:lang w:val="en-GB"/>
        </w:rPr>
        <w:t>addressed and the inclusion of ‘Safety with MRI’</w:t>
      </w:r>
      <w:r w:rsidRPr="0071419C">
        <w:rPr>
          <w:lang w:val="en-GB"/>
        </w:rPr>
        <w:t xml:space="preserve"> in the Missing Information of the EU-RMP to be not required.</w:t>
      </w:r>
    </w:p>
    <w:p w14:paraId="21F984D5" w14:textId="1AB3A13E" w:rsidR="000E59CA" w:rsidRDefault="000E59CA" w:rsidP="005848AD">
      <w:pPr>
        <w:pStyle w:val="Heading5"/>
        <w:rPr>
          <w:lang w:val="en-GB"/>
        </w:rPr>
      </w:pPr>
      <w:r>
        <w:rPr>
          <w:lang w:val="en-GB"/>
        </w:rPr>
        <w:lastRenderedPageBreak/>
        <w:t>Product Information (PI)</w:t>
      </w:r>
    </w:p>
    <w:p w14:paraId="6827C072" w14:textId="56EC5D62" w:rsidR="000E59CA" w:rsidRPr="000E59CA" w:rsidRDefault="000E59CA" w:rsidP="000E59CA">
      <w:pPr>
        <w:rPr>
          <w:lang w:val="en-GB"/>
        </w:rPr>
      </w:pPr>
      <w:r w:rsidRPr="000E59CA">
        <w:rPr>
          <w:lang w:val="en-GB"/>
        </w:rPr>
        <w:t>Non-clinical MRI testing has been conducted with J</w:t>
      </w:r>
      <w:r>
        <w:rPr>
          <w:lang w:val="en-GB"/>
        </w:rPr>
        <w:t>aydess</w:t>
      </w:r>
      <w:r w:rsidRPr="000E59CA">
        <w:rPr>
          <w:lang w:val="en-GB"/>
        </w:rPr>
        <w:t xml:space="preserve"> which has a similar T-body (same material and overall dimensions) and an identical silver ring as K</w:t>
      </w:r>
      <w:r>
        <w:rPr>
          <w:lang w:val="en-GB"/>
        </w:rPr>
        <w:t>yleena.</w:t>
      </w:r>
      <w:r w:rsidRPr="000E59CA">
        <w:rPr>
          <w:lang w:val="en-GB"/>
        </w:rPr>
        <w:t xml:space="preserve"> The testing was conducted in accordance to the international stand</w:t>
      </w:r>
      <w:r>
        <w:rPr>
          <w:lang w:val="en-GB"/>
        </w:rPr>
        <w:t>ard</w:t>
      </w:r>
      <w:r w:rsidRPr="000E59CA">
        <w:rPr>
          <w:lang w:val="en-GB"/>
        </w:rPr>
        <w:t>, which</w:t>
      </w:r>
      <w:r>
        <w:rPr>
          <w:lang w:val="en-GB"/>
        </w:rPr>
        <w:t xml:space="preserve"> </w:t>
      </w:r>
      <w:r w:rsidRPr="000E59CA">
        <w:rPr>
          <w:lang w:val="en-GB"/>
        </w:rPr>
        <w:t>is a well-established standard to determine safety of implant</w:t>
      </w:r>
      <w:r w:rsidR="00C47D82">
        <w:rPr>
          <w:lang w:val="en-GB"/>
        </w:rPr>
        <w:t>s and devices, such as IUD/IUS</w:t>
      </w:r>
      <w:r w:rsidRPr="000E59CA">
        <w:rPr>
          <w:lang w:val="en-GB"/>
        </w:rPr>
        <w:t xml:space="preserve"> during MRI.</w:t>
      </w:r>
      <w:bookmarkStart w:id="107" w:name="_Ref492894956"/>
      <w:r>
        <w:rPr>
          <w:rStyle w:val="FootnoteReference"/>
          <w:lang w:val="en-GB"/>
        </w:rPr>
        <w:footnoteReference w:id="9"/>
      </w:r>
      <w:bookmarkEnd w:id="107"/>
      <w:r>
        <w:rPr>
          <w:lang w:val="en-GB"/>
        </w:rPr>
        <w:t xml:space="preserve"> </w:t>
      </w:r>
      <w:r w:rsidRPr="000E59CA">
        <w:rPr>
          <w:lang w:val="en-GB"/>
        </w:rPr>
        <w:t>The standard is also generally accepted by the US FDA and is in line with the</w:t>
      </w:r>
      <w:r>
        <w:rPr>
          <w:lang w:val="en-GB"/>
        </w:rPr>
        <w:t xml:space="preserve"> current FDA guidance.</w:t>
      </w:r>
      <w:r>
        <w:rPr>
          <w:rStyle w:val="FootnoteReference"/>
          <w:lang w:val="en-GB"/>
        </w:rPr>
        <w:footnoteReference w:id="10"/>
      </w:r>
      <w:r w:rsidRPr="000E59CA">
        <w:rPr>
          <w:lang w:val="en-GB"/>
        </w:rPr>
        <w:t xml:space="preserve"> The guidance is commonly employed in the testing of medical devices which specifically evaluate magnetic field interactions, MRI relate</w:t>
      </w:r>
      <w:r w:rsidR="00C47D82">
        <w:rPr>
          <w:lang w:val="en-GB"/>
        </w:rPr>
        <w:t>d heating and arte</w:t>
      </w:r>
      <w:r>
        <w:rPr>
          <w:lang w:val="en-GB"/>
        </w:rPr>
        <w:t>fact testing.</w:t>
      </w:r>
    </w:p>
    <w:p w14:paraId="580ECF8C" w14:textId="234BC57A" w:rsidR="000E59CA" w:rsidRPr="000E59CA" w:rsidRDefault="000E59CA" w:rsidP="000E59CA">
      <w:pPr>
        <w:rPr>
          <w:lang w:val="en-GB"/>
        </w:rPr>
      </w:pPr>
      <w:r w:rsidRPr="000E59CA">
        <w:rPr>
          <w:lang w:val="en-GB"/>
        </w:rPr>
        <w:t>The testing</w:t>
      </w:r>
      <w:r>
        <w:rPr>
          <w:lang w:val="en-GB"/>
        </w:rPr>
        <w:t xml:space="preserve"> </w:t>
      </w:r>
      <w:r w:rsidR="005848AD">
        <w:rPr>
          <w:lang w:val="en-GB"/>
        </w:rPr>
        <w:t>demonstrated that Jaydess</w:t>
      </w:r>
      <w:r w:rsidRPr="000E59CA">
        <w:rPr>
          <w:lang w:val="en-GB"/>
        </w:rPr>
        <w:t xml:space="preserve"> can be used in commercially available MRIs under specific conditio</w:t>
      </w:r>
      <w:r>
        <w:rPr>
          <w:lang w:val="en-GB"/>
        </w:rPr>
        <w:t>ns. Since both products, Jaydess and Kyleena</w:t>
      </w:r>
      <w:r w:rsidRPr="000E59CA">
        <w:rPr>
          <w:lang w:val="en-GB"/>
        </w:rPr>
        <w:t>, have similar T-bodies (the same material and overall dimensions)</w:t>
      </w:r>
      <w:r>
        <w:rPr>
          <w:lang w:val="en-GB"/>
        </w:rPr>
        <w:t xml:space="preserve"> </w:t>
      </w:r>
      <w:r w:rsidRPr="000E59CA">
        <w:rPr>
          <w:lang w:val="en-GB"/>
        </w:rPr>
        <w:t xml:space="preserve">and an identical silver ring, </w:t>
      </w:r>
      <w:r>
        <w:rPr>
          <w:lang w:val="en-GB"/>
        </w:rPr>
        <w:t>the MRI testing done for Jaydess</w:t>
      </w:r>
      <w:r w:rsidRPr="000E59CA">
        <w:rPr>
          <w:lang w:val="en-GB"/>
        </w:rPr>
        <w:t xml:space="preserve"> is </w:t>
      </w:r>
      <w:r>
        <w:rPr>
          <w:lang w:val="en-GB"/>
        </w:rPr>
        <w:t>considered applicable for Kyleena. Subsequently, Kyleena</w:t>
      </w:r>
      <w:r w:rsidRPr="000E59CA">
        <w:rPr>
          <w:lang w:val="en-GB"/>
        </w:rPr>
        <w:t xml:space="preserve"> can also be considered as MR</w:t>
      </w:r>
      <w:r>
        <w:rPr>
          <w:lang w:val="en-GB"/>
        </w:rPr>
        <w:t xml:space="preserve"> </w:t>
      </w:r>
      <w:r w:rsidRPr="000E59CA">
        <w:rPr>
          <w:lang w:val="en-GB"/>
        </w:rPr>
        <w:t>conditional and can be scanned with MRI under the co</w:t>
      </w:r>
      <w:r>
        <w:rPr>
          <w:lang w:val="en-GB"/>
        </w:rPr>
        <w:t>nditions established for Jaydess</w:t>
      </w:r>
      <w:r w:rsidRPr="000E59CA">
        <w:rPr>
          <w:lang w:val="en-GB"/>
        </w:rPr>
        <w:t>.</w:t>
      </w:r>
    </w:p>
    <w:p w14:paraId="4B3D0A8C" w14:textId="67206245" w:rsidR="000E59CA" w:rsidRPr="000E59CA" w:rsidRDefault="000E59CA" w:rsidP="000E59CA">
      <w:pPr>
        <w:rPr>
          <w:lang w:val="en-GB"/>
        </w:rPr>
      </w:pPr>
      <w:r w:rsidRPr="000E59CA">
        <w:rPr>
          <w:lang w:val="en-GB"/>
        </w:rPr>
        <w:t>Based on the non-clinical MRI testing,</w:t>
      </w:r>
      <w:r>
        <w:rPr>
          <w:lang w:val="en-GB"/>
        </w:rPr>
        <w:t xml:space="preserve"> the s</w:t>
      </w:r>
      <w:r w:rsidRPr="000E59CA">
        <w:rPr>
          <w:lang w:val="en-GB"/>
        </w:rPr>
        <w:t>ponsor believes that there is sufficient information in the PI</w:t>
      </w:r>
      <w:r>
        <w:rPr>
          <w:lang w:val="en-GB"/>
        </w:rPr>
        <w:t xml:space="preserve"> for the clinical use of Kyleena</w:t>
      </w:r>
      <w:r w:rsidRPr="000E59CA">
        <w:rPr>
          <w:lang w:val="en-GB"/>
        </w:rPr>
        <w:t xml:space="preserve"> within the MRI conditions described in the proposed PI.</w:t>
      </w:r>
    </w:p>
    <w:p w14:paraId="314609EC" w14:textId="72B130A0" w:rsidR="000E59CA" w:rsidRDefault="000E59CA" w:rsidP="005848AD">
      <w:pPr>
        <w:pStyle w:val="Heading5"/>
        <w:rPr>
          <w:lang w:val="en-GB"/>
        </w:rPr>
      </w:pPr>
      <w:r w:rsidRPr="000E59CA">
        <w:rPr>
          <w:lang w:val="en-GB"/>
        </w:rPr>
        <w:t>Consu</w:t>
      </w:r>
      <w:r>
        <w:rPr>
          <w:lang w:val="en-GB"/>
        </w:rPr>
        <w:t>mer Medicines Information (CMI)</w:t>
      </w:r>
    </w:p>
    <w:p w14:paraId="0FD807BC" w14:textId="29C15E04" w:rsidR="000E59CA" w:rsidRDefault="000E59CA" w:rsidP="000E59CA">
      <w:r>
        <w:rPr>
          <w:lang w:val="en-GB"/>
        </w:rPr>
        <w:t>The s</w:t>
      </w:r>
      <w:r w:rsidRPr="000E59CA">
        <w:rPr>
          <w:lang w:val="en-GB"/>
        </w:rPr>
        <w:t>ponsor believes information about MRI is sufficiently addressed in the CMI. The CMI current</w:t>
      </w:r>
      <w:r>
        <w:rPr>
          <w:lang w:val="en-GB"/>
        </w:rPr>
        <w:t>ly advises patients that Kyleena</w:t>
      </w:r>
      <w:r w:rsidRPr="000E59CA">
        <w:rPr>
          <w:lang w:val="en-GB"/>
        </w:rPr>
        <w:t xml:space="preserve"> contains a silver ring and that prior to undergoing a MRI, to tell their healthc</w:t>
      </w:r>
      <w:r w:rsidR="00343E9A">
        <w:rPr>
          <w:lang w:val="en-GB"/>
        </w:rPr>
        <w:t>are professional</w:t>
      </w:r>
      <w:r>
        <w:rPr>
          <w:lang w:val="en-GB"/>
        </w:rPr>
        <w:t xml:space="preserve"> that they are using Kyleena</w:t>
      </w:r>
      <w:r w:rsidRPr="000E59CA">
        <w:rPr>
          <w:lang w:val="en-GB"/>
        </w:rPr>
        <w:t>. In addition, the CMI al</w:t>
      </w:r>
      <w:r>
        <w:rPr>
          <w:lang w:val="en-GB"/>
        </w:rPr>
        <w:t>so advises patients that Kyleena</w:t>
      </w:r>
      <w:r w:rsidRPr="000E59CA">
        <w:rPr>
          <w:lang w:val="en-GB"/>
        </w:rPr>
        <w:t xml:space="preserve"> can only be scanned under specific conditions. The information regarding MRI in the CMI</w:t>
      </w:r>
      <w:r>
        <w:rPr>
          <w:lang w:val="en-GB"/>
        </w:rPr>
        <w:t xml:space="preserve"> is consistent with the PI.</w:t>
      </w:r>
    </w:p>
    <w:p w14:paraId="5FECCD3E" w14:textId="1AD588F7" w:rsidR="000E59CA" w:rsidRDefault="000E59CA" w:rsidP="005848AD">
      <w:pPr>
        <w:pStyle w:val="Heading5"/>
        <w:rPr>
          <w:lang w:val="en-GB"/>
        </w:rPr>
      </w:pPr>
      <w:r>
        <w:rPr>
          <w:lang w:val="en-GB"/>
        </w:rPr>
        <w:t>Tracking of the IUS</w:t>
      </w:r>
    </w:p>
    <w:p w14:paraId="651619A5" w14:textId="520DD076" w:rsidR="000E59CA" w:rsidRPr="000E59CA" w:rsidRDefault="00343E9A" w:rsidP="000E59CA">
      <w:pPr>
        <w:rPr>
          <w:lang w:val="en-GB"/>
        </w:rPr>
      </w:pPr>
      <w:r>
        <w:rPr>
          <w:lang w:val="en-GB"/>
        </w:rPr>
        <w:t>Generally, healthcare professionals</w:t>
      </w:r>
      <w:r w:rsidR="000E59CA" w:rsidRPr="000E59CA">
        <w:rPr>
          <w:lang w:val="en-GB"/>
        </w:rPr>
        <w:t xml:space="preserve"> would record the batch number of the IUS inserted in the patient record as part of good clinical practice.</w:t>
      </w:r>
      <w:r w:rsidR="000E59CA">
        <w:rPr>
          <w:lang w:val="en-GB"/>
        </w:rPr>
        <w:t xml:space="preserve"> The s</w:t>
      </w:r>
      <w:r w:rsidR="000E59CA" w:rsidRPr="000E59CA">
        <w:rPr>
          <w:lang w:val="en-GB"/>
        </w:rPr>
        <w:t>ponsor considers this to be sufficient to track the IUS.</w:t>
      </w:r>
    </w:p>
    <w:p w14:paraId="65C8B898" w14:textId="50BA3CAE" w:rsidR="000E59CA" w:rsidRDefault="000E59CA" w:rsidP="005848AD">
      <w:pPr>
        <w:pStyle w:val="Heading5"/>
        <w:rPr>
          <w:lang w:val="en-GB"/>
        </w:rPr>
      </w:pPr>
      <w:r>
        <w:rPr>
          <w:lang w:val="en-GB"/>
        </w:rPr>
        <w:t>Valvular heart disease</w:t>
      </w:r>
    </w:p>
    <w:p w14:paraId="02ED59E8" w14:textId="282F9A62" w:rsidR="0071419C" w:rsidRDefault="000E59CA" w:rsidP="000E59CA">
      <w:pPr>
        <w:rPr>
          <w:lang w:val="en-GB"/>
        </w:rPr>
      </w:pPr>
      <w:r>
        <w:rPr>
          <w:lang w:val="en-GB"/>
        </w:rPr>
        <w:t>The s</w:t>
      </w:r>
      <w:r w:rsidRPr="000E59CA">
        <w:rPr>
          <w:lang w:val="en-GB"/>
        </w:rPr>
        <w:t>ponsor</w:t>
      </w:r>
      <w:r>
        <w:rPr>
          <w:lang w:val="en-GB"/>
        </w:rPr>
        <w:t xml:space="preserve"> </w:t>
      </w:r>
      <w:r w:rsidRPr="000E59CA">
        <w:rPr>
          <w:lang w:val="en-GB"/>
        </w:rPr>
        <w:t>agrees with the Delegate’s comment that no antibiotic proph</w:t>
      </w:r>
      <w:r w:rsidR="005848AD">
        <w:rPr>
          <w:lang w:val="en-GB"/>
        </w:rPr>
        <w:t>ylaxis is needed for routine IUS</w:t>
      </w:r>
      <w:r w:rsidRPr="000E59CA">
        <w:rPr>
          <w:lang w:val="en-GB"/>
        </w:rPr>
        <w:t xml:space="preserve"> insertion in women with congenital or valvular heart disease.</w:t>
      </w:r>
      <w:r>
        <w:rPr>
          <w:lang w:val="en-GB"/>
        </w:rPr>
        <w:t xml:space="preserve"> </w:t>
      </w:r>
      <w:r w:rsidRPr="000E59CA">
        <w:rPr>
          <w:lang w:val="en-GB"/>
        </w:rPr>
        <w:t>The majority of guid</w:t>
      </w:r>
      <w:r>
        <w:rPr>
          <w:lang w:val="en-GB"/>
        </w:rPr>
        <w:t>elines on contraceptive use, such as the</w:t>
      </w:r>
      <w:r w:rsidRPr="000E59CA">
        <w:rPr>
          <w:lang w:val="en-GB"/>
        </w:rPr>
        <w:t xml:space="preserve"> Medical Eligibility Criteria (MEC) published by national and international societies have adopted the recommendations from antibiotic prophylaxis guidelines and do not/no longer recommend prophylactic antibiotics to p</w:t>
      </w:r>
      <w:r w:rsidR="00343E9A">
        <w:rPr>
          <w:lang w:val="en-GB"/>
        </w:rPr>
        <w:t>revent endocarditis (see Table 11</w:t>
      </w:r>
      <w:r w:rsidR="005848AD">
        <w:rPr>
          <w:lang w:val="en-GB"/>
        </w:rPr>
        <w:t xml:space="preserve"> below</w:t>
      </w:r>
      <w:r w:rsidRPr="000E59CA">
        <w:rPr>
          <w:lang w:val="en-GB"/>
        </w:rPr>
        <w:t>). As commented by the Delegate, this is consistent with the Australian Antibiotic Guidelines.</w:t>
      </w:r>
      <w:r w:rsidR="000E5D80">
        <w:rPr>
          <w:lang w:val="en-GB"/>
        </w:rPr>
        <w:t xml:space="preserve"> </w:t>
      </w:r>
      <w:r w:rsidRPr="000E59CA">
        <w:rPr>
          <w:lang w:val="en-GB"/>
        </w:rPr>
        <w:t xml:space="preserve">The only exception </w:t>
      </w:r>
      <w:r w:rsidR="00A851BE">
        <w:rPr>
          <w:lang w:val="en-GB"/>
        </w:rPr>
        <w:t>is</w:t>
      </w:r>
      <w:r w:rsidRPr="000E59CA">
        <w:rPr>
          <w:lang w:val="en-GB"/>
        </w:rPr>
        <w:t xml:space="preserve"> the </w:t>
      </w:r>
      <w:r w:rsidR="006848C6">
        <w:rPr>
          <w:lang w:val="en-GB"/>
        </w:rPr>
        <w:t>World Health Organization (</w:t>
      </w:r>
      <w:r w:rsidRPr="000E59CA">
        <w:rPr>
          <w:lang w:val="en-GB"/>
        </w:rPr>
        <w:t>WHO</w:t>
      </w:r>
      <w:r w:rsidR="006848C6">
        <w:rPr>
          <w:lang w:val="en-GB"/>
        </w:rPr>
        <w:t>)</w:t>
      </w:r>
      <w:r w:rsidRPr="000E59CA">
        <w:rPr>
          <w:lang w:val="en-GB"/>
        </w:rPr>
        <w:t xml:space="preserve"> MEC, who advise to use antib</w:t>
      </w:r>
      <w:r w:rsidR="000E5D80">
        <w:rPr>
          <w:lang w:val="en-GB"/>
        </w:rPr>
        <w:t>iotic prophylaxis for insertion</w:t>
      </w:r>
      <w:r w:rsidRPr="000E59CA">
        <w:rPr>
          <w:lang w:val="en-GB"/>
        </w:rPr>
        <w:t>.</w:t>
      </w:r>
      <w:bookmarkStart w:id="108" w:name="_Ref492310035"/>
      <w:r w:rsidR="000E5D80">
        <w:rPr>
          <w:rStyle w:val="FootnoteReference"/>
          <w:lang w:val="en-GB"/>
        </w:rPr>
        <w:footnoteReference w:id="11"/>
      </w:r>
      <w:bookmarkEnd w:id="108"/>
      <w:r w:rsidRPr="000E59CA">
        <w:rPr>
          <w:lang w:val="en-GB"/>
        </w:rPr>
        <w:t xml:space="preserve"> This recommendation has remained largely unchanged since the first edition of the WHO MEC d</w:t>
      </w:r>
      <w:r w:rsidR="000E5D80">
        <w:rPr>
          <w:lang w:val="en-GB"/>
        </w:rPr>
        <w:t>ating back to 1996</w:t>
      </w:r>
      <w:r w:rsidRPr="000E59CA">
        <w:rPr>
          <w:lang w:val="en-GB"/>
        </w:rPr>
        <w:t>.</w:t>
      </w:r>
      <w:r w:rsidR="000E5D80">
        <w:rPr>
          <w:rStyle w:val="FootnoteReference"/>
          <w:lang w:val="en-GB"/>
        </w:rPr>
        <w:footnoteReference w:id="12"/>
      </w:r>
      <w:r w:rsidRPr="000E59CA">
        <w:rPr>
          <w:lang w:val="en-GB"/>
        </w:rPr>
        <w:t xml:space="preserve"> In line w</w:t>
      </w:r>
      <w:r w:rsidR="000E5D80">
        <w:rPr>
          <w:lang w:val="en-GB"/>
        </w:rPr>
        <w:t>ith these recommendations, the s</w:t>
      </w:r>
      <w:r w:rsidRPr="000E59CA">
        <w:rPr>
          <w:lang w:val="en-GB"/>
        </w:rPr>
        <w:t>ponsor</w:t>
      </w:r>
      <w:r w:rsidR="000E5D80">
        <w:rPr>
          <w:lang w:val="en-GB"/>
        </w:rPr>
        <w:t xml:space="preserve"> </w:t>
      </w:r>
      <w:r w:rsidRPr="000E59CA">
        <w:rPr>
          <w:lang w:val="en-GB"/>
        </w:rPr>
        <w:t>no longer recommends prophylactic use of antibiotics for insertion</w:t>
      </w:r>
      <w:r w:rsidR="000E5D80">
        <w:rPr>
          <w:lang w:val="en-GB"/>
        </w:rPr>
        <w:t xml:space="preserve"> </w:t>
      </w:r>
      <w:r w:rsidRPr="000E59CA">
        <w:rPr>
          <w:lang w:val="en-GB"/>
        </w:rPr>
        <w:t xml:space="preserve">in the </w:t>
      </w:r>
      <w:r w:rsidR="006848C6">
        <w:rPr>
          <w:lang w:val="en-GB"/>
        </w:rPr>
        <w:t xml:space="preserve">PIs of levonorgestrel </w:t>
      </w:r>
      <w:r w:rsidR="000E5D80">
        <w:rPr>
          <w:lang w:val="en-GB"/>
        </w:rPr>
        <w:t>IUS including Kyleena</w:t>
      </w:r>
      <w:r w:rsidRPr="000E59CA">
        <w:rPr>
          <w:lang w:val="en-GB"/>
        </w:rPr>
        <w:t xml:space="preserve"> (the PI update for M</w:t>
      </w:r>
      <w:r w:rsidR="006848C6">
        <w:rPr>
          <w:lang w:val="en-GB"/>
        </w:rPr>
        <w:t>irena</w:t>
      </w:r>
      <w:r w:rsidRPr="000E59CA">
        <w:rPr>
          <w:lang w:val="en-GB"/>
        </w:rPr>
        <w:t xml:space="preserve"> is planned for early</w:t>
      </w:r>
      <w:r w:rsidR="000E5D80">
        <w:rPr>
          <w:lang w:val="en-GB"/>
        </w:rPr>
        <w:t xml:space="preserve"> next year). Nevertheless, the s</w:t>
      </w:r>
      <w:r w:rsidRPr="000E59CA">
        <w:rPr>
          <w:lang w:val="en-GB"/>
        </w:rPr>
        <w:t>ponsor</w:t>
      </w:r>
      <w:r w:rsidR="000E5D80">
        <w:rPr>
          <w:lang w:val="en-GB"/>
        </w:rPr>
        <w:t xml:space="preserve"> </w:t>
      </w:r>
      <w:r w:rsidRPr="000E59CA">
        <w:rPr>
          <w:lang w:val="en-GB"/>
        </w:rPr>
        <w:t>feels that a precaution</w:t>
      </w:r>
      <w:r w:rsidR="000E5D80">
        <w:rPr>
          <w:lang w:val="en-GB"/>
        </w:rPr>
        <w:t xml:space="preserve"> maybe justified in some cases.</w:t>
      </w:r>
      <w:r w:rsidRPr="000E59CA">
        <w:rPr>
          <w:lang w:val="en-GB"/>
        </w:rPr>
        <w:t xml:space="preserve"> Namely, complicated </w:t>
      </w:r>
      <w:r w:rsidRPr="000E59CA">
        <w:rPr>
          <w:lang w:val="en-GB"/>
        </w:rPr>
        <w:lastRenderedPageBreak/>
        <w:t xml:space="preserve">valvular and congenital heart disease is assigned </w:t>
      </w:r>
      <w:r w:rsidR="000E5D80">
        <w:rPr>
          <w:lang w:val="en-GB"/>
        </w:rPr>
        <w:t>Category 2 which translates to ‘</w:t>
      </w:r>
      <w:r w:rsidRPr="000E59CA">
        <w:rPr>
          <w:lang w:val="en-GB"/>
        </w:rPr>
        <w:t>A condition where the advantages of using the method generally outweigh the theoretical or prove</w:t>
      </w:r>
      <w:r w:rsidR="000E5D80">
        <w:rPr>
          <w:lang w:val="en-GB"/>
        </w:rPr>
        <w:t>n risks’.</w:t>
      </w:r>
      <w:r w:rsidRPr="000E59CA">
        <w:rPr>
          <w:lang w:val="en-GB"/>
        </w:rPr>
        <w:t xml:space="preserve"> In addition,</w:t>
      </w:r>
      <w:r w:rsidR="006848C6">
        <w:rPr>
          <w:lang w:val="en-GB"/>
        </w:rPr>
        <w:t xml:space="preserve"> </w:t>
      </w:r>
      <w:r w:rsidRPr="000E59CA">
        <w:rPr>
          <w:lang w:val="en-GB"/>
        </w:rPr>
        <w:t xml:space="preserve">the </w:t>
      </w:r>
      <w:r w:rsidR="006848C6" w:rsidRPr="00731D2F">
        <w:t>F</w:t>
      </w:r>
      <w:r w:rsidR="006848C6">
        <w:t>aculty of Sexual and Reproductive Healthcare</w:t>
      </w:r>
      <w:r w:rsidR="006848C6" w:rsidRPr="000E59CA">
        <w:rPr>
          <w:lang w:val="en-GB"/>
        </w:rPr>
        <w:t xml:space="preserve"> </w:t>
      </w:r>
      <w:r w:rsidR="006848C6">
        <w:rPr>
          <w:lang w:val="en-GB"/>
        </w:rPr>
        <w:t>(</w:t>
      </w:r>
      <w:r w:rsidRPr="000E59CA">
        <w:rPr>
          <w:lang w:val="en-GB"/>
        </w:rPr>
        <w:t>FSRH</w:t>
      </w:r>
      <w:r w:rsidR="006848C6">
        <w:rPr>
          <w:lang w:val="en-GB"/>
        </w:rPr>
        <w:t>)</w:t>
      </w:r>
      <w:r w:rsidRPr="000E59CA">
        <w:rPr>
          <w:lang w:val="en-GB"/>
        </w:rPr>
        <w:t xml:space="preserve"> guidance (Contraceptive choices for women with cardiac disease) gives the following advice </w:t>
      </w:r>
      <w:r w:rsidR="000E5D80">
        <w:rPr>
          <w:lang w:val="en-GB"/>
        </w:rPr>
        <w:t>for women with cardiac disease</w:t>
      </w:r>
      <w:r w:rsidR="00343E9A">
        <w:rPr>
          <w:lang w:val="en-GB"/>
        </w:rPr>
        <w:t>:</w:t>
      </w:r>
      <w:r w:rsidR="000E5D80">
        <w:rPr>
          <w:lang w:val="en-GB"/>
        </w:rPr>
        <w:t xml:space="preserve"> ‘</w:t>
      </w:r>
      <w:r w:rsidR="00343E9A" w:rsidRPr="00A851BE">
        <w:rPr>
          <w:i/>
          <w:lang w:val="en-GB"/>
        </w:rPr>
        <w:t>F</w:t>
      </w:r>
      <w:r w:rsidRPr="00A851BE">
        <w:rPr>
          <w:i/>
          <w:lang w:val="en-GB"/>
        </w:rPr>
        <w:t>or women with cardia</w:t>
      </w:r>
      <w:r w:rsidR="006848C6" w:rsidRPr="00A851BE">
        <w:rPr>
          <w:i/>
          <w:lang w:val="en-GB"/>
        </w:rPr>
        <w:t>c diseases the decision to use intrauterine contraception</w:t>
      </w:r>
      <w:r w:rsidR="000E5D80" w:rsidRPr="00A851BE">
        <w:rPr>
          <w:i/>
          <w:lang w:val="en-GB"/>
        </w:rPr>
        <w:t xml:space="preserve"> should inv</w:t>
      </w:r>
      <w:r w:rsidR="00343E9A" w:rsidRPr="00A851BE">
        <w:rPr>
          <w:i/>
          <w:lang w:val="en-GB"/>
        </w:rPr>
        <w:t>olve cardiologist</w:t>
      </w:r>
      <w:r w:rsidR="00343E9A">
        <w:rPr>
          <w:lang w:val="en-GB"/>
        </w:rPr>
        <w:t>…’ (see Table 11</w:t>
      </w:r>
      <w:r w:rsidRPr="000E59CA">
        <w:rPr>
          <w:lang w:val="en-GB"/>
        </w:rPr>
        <w:t xml:space="preserve"> fo</w:t>
      </w:r>
      <w:r w:rsidR="000E5D80">
        <w:rPr>
          <w:lang w:val="en-GB"/>
        </w:rPr>
        <w:t>r details). Thus, the s</w:t>
      </w:r>
      <w:r w:rsidRPr="000E59CA">
        <w:rPr>
          <w:lang w:val="en-GB"/>
        </w:rPr>
        <w:t>ponsor</w:t>
      </w:r>
      <w:r w:rsidR="000E5D80">
        <w:rPr>
          <w:lang w:val="en-GB"/>
        </w:rPr>
        <w:t xml:space="preserve"> </w:t>
      </w:r>
      <w:r w:rsidRPr="000E59CA">
        <w:rPr>
          <w:lang w:val="en-GB"/>
        </w:rPr>
        <w:t>considers</w:t>
      </w:r>
      <w:r w:rsidR="000E5D80">
        <w:rPr>
          <w:lang w:val="en-GB"/>
        </w:rPr>
        <w:t xml:space="preserve"> </w:t>
      </w:r>
      <w:r w:rsidRPr="000E59CA">
        <w:rPr>
          <w:lang w:val="en-GB"/>
        </w:rPr>
        <w:t>that the proposed (current) wording of the precaution adequately reflects the current recommendations on IUD use in women with valvular and congenital heart disease.</w:t>
      </w:r>
    </w:p>
    <w:p w14:paraId="2C6428DA" w14:textId="4FE76B8F" w:rsidR="006848C6" w:rsidRDefault="006848C6" w:rsidP="006848C6">
      <w:pPr>
        <w:pStyle w:val="Tabletitle0"/>
        <w:rPr>
          <w:lang w:val="en-GB"/>
        </w:rPr>
      </w:pPr>
      <w:r>
        <w:rPr>
          <w:lang w:val="en-GB"/>
        </w:rPr>
        <w:t xml:space="preserve">Table </w:t>
      </w:r>
      <w:r w:rsidR="00343E9A">
        <w:rPr>
          <w:lang w:val="en-GB"/>
        </w:rPr>
        <w:t>11</w:t>
      </w:r>
      <w:r>
        <w:rPr>
          <w:lang w:val="en-GB"/>
        </w:rPr>
        <w:t>. Relevant guidelines on use of antibiotics in patients with valvular heart disease</w:t>
      </w:r>
    </w:p>
    <w:tbl>
      <w:tblPr>
        <w:tblStyle w:val="TableTGAblue"/>
        <w:tblW w:w="9322" w:type="dxa"/>
        <w:tblLook w:val="04A0" w:firstRow="1" w:lastRow="0" w:firstColumn="1" w:lastColumn="0" w:noHBand="0" w:noVBand="1"/>
        <w:tblDescription w:val="Table 11. Relevant guidelines on use of antibiotics in patients with valvular heart disease"/>
      </w:tblPr>
      <w:tblGrid>
        <w:gridCol w:w="1367"/>
        <w:gridCol w:w="1866"/>
        <w:gridCol w:w="2092"/>
        <w:gridCol w:w="1764"/>
        <w:gridCol w:w="2233"/>
      </w:tblGrid>
      <w:tr w:rsidR="00BE21BF" w14:paraId="1D4CD963" w14:textId="1783097E" w:rsidTr="006848C6">
        <w:trPr>
          <w:cnfStyle w:val="100000000000" w:firstRow="1" w:lastRow="0" w:firstColumn="0" w:lastColumn="0" w:oddVBand="0" w:evenVBand="0" w:oddHBand="0" w:evenHBand="0" w:firstRowFirstColumn="0" w:firstRowLastColumn="0" w:lastRowFirstColumn="0" w:lastRowLastColumn="0"/>
          <w:cantSplit/>
        </w:trPr>
        <w:tc>
          <w:tcPr>
            <w:tcW w:w="1172" w:type="dxa"/>
          </w:tcPr>
          <w:p w14:paraId="0300935C" w14:textId="7900435F" w:rsidR="00731D2F" w:rsidRDefault="00731D2F" w:rsidP="00731D2F">
            <w:pPr>
              <w:ind w:left="0"/>
              <w:rPr>
                <w:lang w:val="en-GB"/>
              </w:rPr>
            </w:pPr>
            <w:r>
              <w:t>MEC</w:t>
            </w:r>
          </w:p>
        </w:tc>
        <w:tc>
          <w:tcPr>
            <w:tcW w:w="1630" w:type="dxa"/>
          </w:tcPr>
          <w:p w14:paraId="4821DEE1" w14:textId="2C4AC021" w:rsidR="00731D2F" w:rsidRDefault="00731D2F" w:rsidP="00731D2F">
            <w:pPr>
              <w:ind w:left="0"/>
              <w:rPr>
                <w:lang w:val="en-GB"/>
              </w:rPr>
            </w:pPr>
            <w:r>
              <w:t>Condition</w:t>
            </w:r>
          </w:p>
        </w:tc>
        <w:tc>
          <w:tcPr>
            <w:tcW w:w="2126" w:type="dxa"/>
          </w:tcPr>
          <w:p w14:paraId="56703464" w14:textId="486A55E4" w:rsidR="00731D2F" w:rsidRDefault="00731D2F" w:rsidP="00731D2F">
            <w:pPr>
              <w:ind w:left="0"/>
              <w:rPr>
                <w:lang w:val="en-GB"/>
              </w:rPr>
            </w:pPr>
            <w:r w:rsidRPr="00230E5C">
              <w:t>Category for IUD use</w:t>
            </w:r>
          </w:p>
        </w:tc>
        <w:tc>
          <w:tcPr>
            <w:tcW w:w="1677" w:type="dxa"/>
          </w:tcPr>
          <w:p w14:paraId="2996B8F8" w14:textId="3B8C9441" w:rsidR="00731D2F" w:rsidRDefault="00731D2F" w:rsidP="00731D2F">
            <w:pPr>
              <w:ind w:left="0"/>
              <w:rPr>
                <w:lang w:val="en-GB"/>
              </w:rPr>
            </w:pPr>
            <w:r>
              <w:t>Antibiotic prophylaxis addressed?</w:t>
            </w:r>
          </w:p>
        </w:tc>
        <w:tc>
          <w:tcPr>
            <w:tcW w:w="2717" w:type="dxa"/>
          </w:tcPr>
          <w:p w14:paraId="1642D75D" w14:textId="40730491" w:rsidR="00731D2F" w:rsidRDefault="00731D2F" w:rsidP="00731D2F">
            <w:pPr>
              <w:ind w:left="0"/>
              <w:rPr>
                <w:lang w:val="en-GB"/>
              </w:rPr>
            </w:pPr>
            <w:r>
              <w:t>Other comments</w:t>
            </w:r>
          </w:p>
        </w:tc>
      </w:tr>
      <w:tr w:rsidR="000E5D80" w14:paraId="2B11A4A6" w14:textId="42D1E0DD" w:rsidTr="006848C6">
        <w:tc>
          <w:tcPr>
            <w:tcW w:w="1172" w:type="dxa"/>
          </w:tcPr>
          <w:p w14:paraId="283C7333" w14:textId="0A0F98D1" w:rsidR="000E5D80" w:rsidRDefault="00731D2F" w:rsidP="0025789B">
            <w:pPr>
              <w:pStyle w:val="Tabletext"/>
              <w:rPr>
                <w:lang w:val="en-GB"/>
              </w:rPr>
            </w:pPr>
            <w:r>
              <w:rPr>
                <w:lang w:val="en-GB"/>
              </w:rPr>
              <w:t>US MEC (2016)</w:t>
            </w:r>
            <w:r>
              <w:rPr>
                <w:rStyle w:val="FootnoteReference"/>
                <w:lang w:val="en-GB"/>
              </w:rPr>
              <w:footnoteReference w:id="13"/>
            </w:r>
          </w:p>
        </w:tc>
        <w:tc>
          <w:tcPr>
            <w:tcW w:w="1630" w:type="dxa"/>
          </w:tcPr>
          <w:p w14:paraId="59BF44F4" w14:textId="56D52CFE" w:rsidR="00BE21BF" w:rsidRDefault="00BE21BF" w:rsidP="0025789B">
            <w:pPr>
              <w:pStyle w:val="Tabletext"/>
              <w:ind w:left="51"/>
              <w:rPr>
                <w:lang w:val="en-GB"/>
              </w:rPr>
            </w:pPr>
            <w:r>
              <w:rPr>
                <w:lang w:val="en-GB"/>
              </w:rPr>
              <w:t>Valvular HD:</w:t>
            </w:r>
          </w:p>
          <w:p w14:paraId="0DB4F131" w14:textId="6D1C643B" w:rsidR="00BE21BF" w:rsidRDefault="00BE21BF" w:rsidP="0025789B">
            <w:pPr>
              <w:pStyle w:val="Tabletext"/>
              <w:ind w:left="51"/>
              <w:rPr>
                <w:lang w:val="en-GB"/>
              </w:rPr>
            </w:pPr>
            <w:r>
              <w:rPr>
                <w:lang w:val="en-GB"/>
              </w:rPr>
              <w:t>Uncomplicated</w:t>
            </w:r>
          </w:p>
          <w:p w14:paraId="321C22E7" w14:textId="6CFD3F4F" w:rsidR="000E5D80" w:rsidRDefault="00731D2F" w:rsidP="0025789B">
            <w:pPr>
              <w:pStyle w:val="Tabletext"/>
              <w:ind w:left="51"/>
              <w:rPr>
                <w:lang w:val="en-GB"/>
              </w:rPr>
            </w:pPr>
            <w:r w:rsidRPr="00731D2F">
              <w:rPr>
                <w:lang w:val="en-GB"/>
              </w:rPr>
              <w:t>Complicated</w:t>
            </w:r>
          </w:p>
        </w:tc>
        <w:tc>
          <w:tcPr>
            <w:tcW w:w="2126" w:type="dxa"/>
          </w:tcPr>
          <w:p w14:paraId="7C73B44F" w14:textId="298FDB80" w:rsidR="00BE21BF" w:rsidRDefault="006848C6" w:rsidP="0025789B">
            <w:pPr>
              <w:pStyle w:val="Tabletext"/>
              <w:ind w:left="0"/>
              <w:rPr>
                <w:lang w:val="en-GB"/>
              </w:rPr>
            </w:pPr>
            <w:r>
              <w:rPr>
                <w:lang w:val="en-GB"/>
              </w:rPr>
              <w:t>1 (Both complicated and uncomplicated</w:t>
            </w:r>
          </w:p>
        </w:tc>
        <w:tc>
          <w:tcPr>
            <w:tcW w:w="1677" w:type="dxa"/>
          </w:tcPr>
          <w:p w14:paraId="7DD923F8" w14:textId="374FCEF9" w:rsidR="000E5D80" w:rsidRDefault="00731D2F" w:rsidP="0025789B">
            <w:pPr>
              <w:pStyle w:val="Tabletext"/>
              <w:ind w:left="0" w:right="0"/>
              <w:rPr>
                <w:lang w:val="en-GB"/>
              </w:rPr>
            </w:pPr>
            <w:r w:rsidRPr="00731D2F">
              <w:rPr>
                <w:lang w:val="en-GB"/>
              </w:rPr>
              <w:t>According to the American Heart</w:t>
            </w:r>
            <w:r>
              <w:rPr>
                <w:lang w:val="en-GB"/>
              </w:rPr>
              <w:t xml:space="preserve"> </w:t>
            </w:r>
            <w:r w:rsidRPr="00731D2F">
              <w:rPr>
                <w:lang w:val="en-GB"/>
              </w:rPr>
              <w:t xml:space="preserve">Association, </w:t>
            </w:r>
            <w:r>
              <w:rPr>
                <w:lang w:val="en-GB"/>
              </w:rPr>
              <w:t>‘</w:t>
            </w:r>
            <w:r w:rsidRPr="00731D2F">
              <w:rPr>
                <w:lang w:val="en-GB"/>
              </w:rPr>
              <w:t>administration of prophylactic antibiotics solely to prevent endocarditis is not recommended for patients who undergo genitourinary tract procedures, including insertion or removal of IUDs</w:t>
            </w:r>
            <w:r>
              <w:rPr>
                <w:lang w:val="en-GB"/>
              </w:rPr>
              <w:t>’.</w:t>
            </w:r>
          </w:p>
        </w:tc>
        <w:tc>
          <w:tcPr>
            <w:tcW w:w="2717" w:type="dxa"/>
          </w:tcPr>
          <w:p w14:paraId="0E45E93E" w14:textId="57285F03" w:rsidR="000E5D80" w:rsidRDefault="00731D2F" w:rsidP="0025789B">
            <w:pPr>
              <w:pStyle w:val="Tabletext"/>
              <w:ind w:left="66" w:right="0"/>
              <w:rPr>
                <w:lang w:val="en-GB"/>
              </w:rPr>
            </w:pPr>
            <w:r>
              <w:rPr>
                <w:lang w:val="en-GB"/>
              </w:rPr>
              <w:t xml:space="preserve">No direct evidence exists on the safety of IUDs among women with </w:t>
            </w:r>
            <w:r w:rsidRPr="00731D2F">
              <w:rPr>
                <w:lang w:val="en-GB"/>
              </w:rPr>
              <w:t>peripartum cardiomyopathy. Limited indirect evidence from noncomparative studies did not demonstrate any cases of arrhythmia or infective endocarditis in women with cardiac disease who used IUDs. Separate category for women w</w:t>
            </w:r>
            <w:r>
              <w:rPr>
                <w:lang w:val="en-GB"/>
              </w:rPr>
              <w:t>ith peripartum myocardiopathy (C</w:t>
            </w:r>
            <w:r w:rsidRPr="00731D2F">
              <w:rPr>
                <w:lang w:val="en-GB"/>
              </w:rPr>
              <w:t>ategory 2), comment: IUD insertion might induce cardiac arrhythmias in healthy women; women with peripartum cardiomyopathy have a high incidence of cardiac arrhythmias</w:t>
            </w:r>
          </w:p>
        </w:tc>
      </w:tr>
      <w:tr w:rsidR="000E5D80" w14:paraId="77C476A4" w14:textId="5A5371B6" w:rsidTr="006848C6">
        <w:tc>
          <w:tcPr>
            <w:tcW w:w="1172" w:type="dxa"/>
          </w:tcPr>
          <w:p w14:paraId="5EE645D3" w14:textId="01410914" w:rsidR="000E5D80" w:rsidRDefault="00731D2F" w:rsidP="00BE21BF">
            <w:pPr>
              <w:ind w:left="0" w:right="0"/>
              <w:rPr>
                <w:lang w:val="en-GB"/>
              </w:rPr>
            </w:pPr>
            <w:r>
              <w:rPr>
                <w:lang w:val="en-GB"/>
              </w:rPr>
              <w:t xml:space="preserve">UK MEC </w:t>
            </w:r>
            <w:r>
              <w:rPr>
                <w:lang w:val="en-GB"/>
              </w:rPr>
              <w:lastRenderedPageBreak/>
              <w:t>(2016)</w:t>
            </w:r>
            <w:r>
              <w:rPr>
                <w:rStyle w:val="FootnoteReference"/>
                <w:lang w:val="en-GB"/>
              </w:rPr>
              <w:footnoteReference w:id="14"/>
            </w:r>
          </w:p>
        </w:tc>
        <w:tc>
          <w:tcPr>
            <w:tcW w:w="1630" w:type="dxa"/>
          </w:tcPr>
          <w:p w14:paraId="72F2329D" w14:textId="023964DD" w:rsidR="00BE21BF" w:rsidRDefault="00731D2F" w:rsidP="0025789B">
            <w:pPr>
              <w:pStyle w:val="Tabletext"/>
              <w:ind w:left="66"/>
              <w:rPr>
                <w:lang w:val="en-GB"/>
              </w:rPr>
            </w:pPr>
            <w:r w:rsidRPr="00731D2F">
              <w:rPr>
                <w:lang w:val="en-GB"/>
              </w:rPr>
              <w:lastRenderedPageBreak/>
              <w:t>Valvular and congenit</w:t>
            </w:r>
            <w:r w:rsidR="00BE21BF">
              <w:rPr>
                <w:lang w:val="en-GB"/>
              </w:rPr>
              <w:t xml:space="preserve">al </w:t>
            </w:r>
            <w:r w:rsidR="00BE21BF">
              <w:rPr>
                <w:lang w:val="en-GB"/>
              </w:rPr>
              <w:lastRenderedPageBreak/>
              <w:t>heart disease:</w:t>
            </w:r>
          </w:p>
          <w:p w14:paraId="1F0B1971" w14:textId="014580B1" w:rsidR="00BE21BF" w:rsidRDefault="00BE21BF" w:rsidP="0025789B">
            <w:pPr>
              <w:pStyle w:val="Tabletext"/>
              <w:ind w:left="66"/>
              <w:rPr>
                <w:lang w:val="en-GB"/>
              </w:rPr>
            </w:pPr>
            <w:r>
              <w:rPr>
                <w:lang w:val="en-GB"/>
              </w:rPr>
              <w:t>Uncomplicated</w:t>
            </w:r>
          </w:p>
          <w:p w14:paraId="4311A178" w14:textId="194560BA" w:rsidR="000E5D80" w:rsidRDefault="00731D2F" w:rsidP="0025789B">
            <w:pPr>
              <w:pStyle w:val="Tabletext"/>
              <w:ind w:left="66"/>
              <w:rPr>
                <w:lang w:val="en-GB"/>
              </w:rPr>
            </w:pPr>
            <w:r w:rsidRPr="00731D2F">
              <w:rPr>
                <w:lang w:val="en-GB"/>
              </w:rPr>
              <w:t>Complicated</w:t>
            </w:r>
          </w:p>
        </w:tc>
        <w:tc>
          <w:tcPr>
            <w:tcW w:w="2126" w:type="dxa"/>
          </w:tcPr>
          <w:p w14:paraId="166C4F10" w14:textId="33CA56DF" w:rsidR="000E5D80" w:rsidRDefault="006848C6" w:rsidP="0025789B">
            <w:pPr>
              <w:pStyle w:val="Tabletext"/>
              <w:ind w:left="66"/>
              <w:rPr>
                <w:lang w:val="en-GB"/>
              </w:rPr>
            </w:pPr>
            <w:r>
              <w:rPr>
                <w:lang w:val="en-GB"/>
              </w:rPr>
              <w:lastRenderedPageBreak/>
              <w:t xml:space="preserve">1 (Uncomplicated), </w:t>
            </w:r>
            <w:r w:rsidR="00BE21BF">
              <w:rPr>
                <w:lang w:val="en-GB"/>
              </w:rPr>
              <w:lastRenderedPageBreak/>
              <w:t>2</w:t>
            </w:r>
            <w:r>
              <w:rPr>
                <w:lang w:val="en-GB"/>
              </w:rPr>
              <w:t xml:space="preserve"> (Complicated)</w:t>
            </w:r>
          </w:p>
        </w:tc>
        <w:tc>
          <w:tcPr>
            <w:tcW w:w="1677" w:type="dxa"/>
          </w:tcPr>
          <w:p w14:paraId="5421E3D1" w14:textId="109A7805" w:rsidR="000E5D80" w:rsidRDefault="00731D2F" w:rsidP="0025789B">
            <w:pPr>
              <w:pStyle w:val="Tabletext"/>
              <w:ind w:left="66"/>
              <w:rPr>
                <w:lang w:val="en-GB"/>
              </w:rPr>
            </w:pPr>
            <w:r>
              <w:rPr>
                <w:lang w:val="en-GB"/>
              </w:rPr>
              <w:lastRenderedPageBreak/>
              <w:t>‘</w:t>
            </w:r>
            <w:r w:rsidRPr="00731D2F">
              <w:rPr>
                <w:lang w:val="en-GB"/>
              </w:rPr>
              <w:t xml:space="preserve">Prophylaxis against </w:t>
            </w:r>
            <w:r w:rsidRPr="00731D2F">
              <w:rPr>
                <w:lang w:val="en-GB"/>
              </w:rPr>
              <w:lastRenderedPageBreak/>
              <w:t>bacterial endocarditis is no longer indicated for women with artificial heart valves or previous endocarditi</w:t>
            </w:r>
            <w:r w:rsidR="00343E9A">
              <w:rPr>
                <w:lang w:val="en-GB"/>
              </w:rPr>
              <w:t>s when inserting or removing IUS</w:t>
            </w:r>
            <w:r w:rsidRPr="00731D2F">
              <w:rPr>
                <w:lang w:val="en-GB"/>
              </w:rPr>
              <w:t>. However, this does not necessarily mean that</w:t>
            </w:r>
            <w:r>
              <w:rPr>
                <w:lang w:val="en-GB"/>
              </w:rPr>
              <w:t xml:space="preserve"> there is no risk’.</w:t>
            </w:r>
          </w:p>
        </w:tc>
        <w:tc>
          <w:tcPr>
            <w:tcW w:w="2717" w:type="dxa"/>
          </w:tcPr>
          <w:p w14:paraId="332D9BF3" w14:textId="5F6FAD2D" w:rsidR="000E5D80" w:rsidRDefault="00731D2F" w:rsidP="0025789B">
            <w:pPr>
              <w:pStyle w:val="Tabletext"/>
              <w:ind w:left="66"/>
              <w:rPr>
                <w:lang w:val="en-GB"/>
              </w:rPr>
            </w:pPr>
            <w:r w:rsidRPr="00731D2F">
              <w:rPr>
                <w:lang w:val="en-GB"/>
              </w:rPr>
              <w:lastRenderedPageBreak/>
              <w:t>Congenital</w:t>
            </w:r>
            <w:r>
              <w:rPr>
                <w:lang w:val="en-GB"/>
              </w:rPr>
              <w:t xml:space="preserve"> </w:t>
            </w:r>
            <w:r w:rsidRPr="00731D2F">
              <w:rPr>
                <w:lang w:val="en-GB"/>
              </w:rPr>
              <w:t xml:space="preserve">heart disease including </w:t>
            </w:r>
            <w:r w:rsidRPr="00731D2F">
              <w:rPr>
                <w:lang w:val="en-GB"/>
              </w:rPr>
              <w:lastRenderedPageBreak/>
              <w:t>Aortic stenosis; Atrial septal defects; Atrio-ventricular septal defect; Cardiomyopathy (hypertrophic or dilated); Coarctation of the Aorta; Complex Transposition of the Great Arteries; Ebstein’s Anomaly; Eisenmenger Syndrome: Patent Ductus Arteriosus; Pulmonary Atresia; Pulmonary Stenosis; Tetralogy of Fallot; Total</w:t>
            </w:r>
            <w:r>
              <w:rPr>
                <w:lang w:val="en-GB"/>
              </w:rPr>
              <w:t xml:space="preserve"> </w:t>
            </w:r>
            <w:r w:rsidRPr="00731D2F">
              <w:rPr>
                <w:lang w:val="en-GB"/>
              </w:rPr>
              <w:t>Anomalous Pulmonary Venous Connection; Tricuspid Atresia; Truncus Arteriosus; Ventricular Septal Defect</w:t>
            </w:r>
          </w:p>
        </w:tc>
      </w:tr>
      <w:tr w:rsidR="000E5D80" w14:paraId="46983A38" w14:textId="6EB1D842" w:rsidTr="006848C6">
        <w:tc>
          <w:tcPr>
            <w:tcW w:w="1172" w:type="dxa"/>
          </w:tcPr>
          <w:p w14:paraId="470868B7" w14:textId="4023B071" w:rsidR="000E5D80" w:rsidRDefault="00731D2F" w:rsidP="00BE21BF">
            <w:pPr>
              <w:ind w:left="0" w:right="0"/>
              <w:rPr>
                <w:lang w:val="en-GB"/>
              </w:rPr>
            </w:pPr>
            <w:r>
              <w:rPr>
                <w:lang w:val="en-GB"/>
              </w:rPr>
              <w:lastRenderedPageBreak/>
              <w:t>WHO MEC 2015</w:t>
            </w:r>
            <w:r w:rsidRPr="00731D2F">
              <w:rPr>
                <w:vertAlign w:val="superscript"/>
                <w:lang w:val="en-GB"/>
              </w:rPr>
              <w:fldChar w:fldCharType="begin"/>
            </w:r>
            <w:r w:rsidRPr="00731D2F">
              <w:rPr>
                <w:vertAlign w:val="superscript"/>
                <w:lang w:val="en-GB"/>
              </w:rPr>
              <w:instrText xml:space="preserve"> NOTEREF _Ref492310035 \h </w:instrText>
            </w:r>
            <w:r>
              <w:rPr>
                <w:vertAlign w:val="superscript"/>
                <w:lang w:val="en-GB"/>
              </w:rPr>
              <w:instrText xml:space="preserve"> \* MERGEFORMAT </w:instrText>
            </w:r>
            <w:r w:rsidRPr="00731D2F">
              <w:rPr>
                <w:vertAlign w:val="superscript"/>
                <w:lang w:val="en-GB"/>
              </w:rPr>
            </w:r>
            <w:r w:rsidRPr="00731D2F">
              <w:rPr>
                <w:vertAlign w:val="superscript"/>
                <w:lang w:val="en-GB"/>
              </w:rPr>
              <w:fldChar w:fldCharType="separate"/>
            </w:r>
            <w:r w:rsidR="009D5B6F">
              <w:rPr>
                <w:vertAlign w:val="superscript"/>
                <w:lang w:val="en-GB"/>
              </w:rPr>
              <w:t>11</w:t>
            </w:r>
            <w:r w:rsidRPr="00731D2F">
              <w:rPr>
                <w:vertAlign w:val="superscript"/>
                <w:lang w:val="en-GB"/>
              </w:rPr>
              <w:fldChar w:fldCharType="end"/>
            </w:r>
          </w:p>
        </w:tc>
        <w:tc>
          <w:tcPr>
            <w:tcW w:w="1630" w:type="dxa"/>
          </w:tcPr>
          <w:p w14:paraId="28A60721" w14:textId="3995A32C" w:rsidR="000E5D80" w:rsidRDefault="00731D2F" w:rsidP="0025789B">
            <w:pPr>
              <w:pStyle w:val="Tabletext"/>
              <w:ind w:left="66"/>
              <w:rPr>
                <w:lang w:val="en-GB"/>
              </w:rPr>
            </w:pPr>
            <w:r w:rsidRPr="00731D2F">
              <w:rPr>
                <w:lang w:val="en-GB"/>
              </w:rPr>
              <w:t>Valvular heart dis</w:t>
            </w:r>
            <w:r w:rsidR="006848C6">
              <w:rPr>
                <w:lang w:val="en-GB"/>
              </w:rPr>
              <w:t>ease: Uncomplicated Complicated</w:t>
            </w:r>
          </w:p>
        </w:tc>
        <w:tc>
          <w:tcPr>
            <w:tcW w:w="2126" w:type="dxa"/>
          </w:tcPr>
          <w:p w14:paraId="046C3DE1" w14:textId="1D69BFC5" w:rsidR="000E5D80" w:rsidRDefault="006848C6" w:rsidP="0025789B">
            <w:pPr>
              <w:pStyle w:val="Tabletext"/>
              <w:ind w:left="66"/>
              <w:rPr>
                <w:lang w:val="en-GB"/>
              </w:rPr>
            </w:pPr>
            <w:r>
              <w:rPr>
                <w:lang w:val="en-GB"/>
              </w:rPr>
              <w:t>1 (Uncomplicated), 2 (Complicated)</w:t>
            </w:r>
          </w:p>
        </w:tc>
        <w:tc>
          <w:tcPr>
            <w:tcW w:w="1677" w:type="dxa"/>
          </w:tcPr>
          <w:p w14:paraId="478E9FC1" w14:textId="47975DD3" w:rsidR="000E5D80" w:rsidRDefault="006848C6" w:rsidP="0025789B">
            <w:pPr>
              <w:pStyle w:val="Tabletext"/>
              <w:ind w:left="66"/>
              <w:rPr>
                <w:lang w:val="en-GB"/>
              </w:rPr>
            </w:pPr>
            <w:r>
              <w:rPr>
                <w:lang w:val="en-GB"/>
              </w:rPr>
              <w:t>‘</w:t>
            </w:r>
            <w:r w:rsidR="00731D2F" w:rsidRPr="00731D2F">
              <w:rPr>
                <w:lang w:val="en-GB"/>
              </w:rPr>
              <w:t>Clarification: Prophylactic antibiotics to prevent endocard</w:t>
            </w:r>
            <w:r>
              <w:rPr>
                <w:lang w:val="en-GB"/>
              </w:rPr>
              <w:t>itis are advised for insertion’.</w:t>
            </w:r>
          </w:p>
        </w:tc>
        <w:tc>
          <w:tcPr>
            <w:tcW w:w="2717" w:type="dxa"/>
          </w:tcPr>
          <w:p w14:paraId="45937FBC" w14:textId="14F74F82" w:rsidR="000E5D80" w:rsidRDefault="000E5D80" w:rsidP="0025789B">
            <w:pPr>
              <w:pStyle w:val="Tabletext"/>
              <w:ind w:left="66"/>
              <w:rPr>
                <w:lang w:val="en-GB"/>
              </w:rPr>
            </w:pPr>
          </w:p>
        </w:tc>
      </w:tr>
      <w:tr w:rsidR="00731D2F" w14:paraId="0738E150" w14:textId="09651B05" w:rsidTr="006848C6">
        <w:tc>
          <w:tcPr>
            <w:tcW w:w="1172" w:type="dxa"/>
          </w:tcPr>
          <w:p w14:paraId="4B2A4CD1" w14:textId="20E1BF5D" w:rsidR="00731D2F" w:rsidRPr="00731D2F" w:rsidRDefault="00731D2F" w:rsidP="00BE21BF">
            <w:pPr>
              <w:ind w:left="0" w:right="0"/>
              <w:rPr>
                <w:lang w:val="en-GB"/>
              </w:rPr>
            </w:pPr>
            <w:r w:rsidRPr="00731D2F">
              <w:rPr>
                <w:lang w:val="en-GB"/>
              </w:rPr>
              <w:t xml:space="preserve">FSRH guidance/ </w:t>
            </w:r>
            <w:r>
              <w:rPr>
                <w:lang w:val="en-GB"/>
              </w:rPr>
              <w:t xml:space="preserve">women with cardiac </w:t>
            </w:r>
            <w:r>
              <w:rPr>
                <w:lang w:val="en-GB"/>
              </w:rPr>
              <w:lastRenderedPageBreak/>
              <w:t>disease 2014</w:t>
            </w:r>
            <w:r w:rsidR="006848C6">
              <w:rPr>
                <w:lang w:val="en-GB"/>
              </w:rPr>
              <w:t>.</w:t>
            </w:r>
            <w:r>
              <w:rPr>
                <w:rStyle w:val="FootnoteReference"/>
                <w:lang w:val="en-GB"/>
              </w:rPr>
              <w:footnoteReference w:id="15"/>
            </w:r>
          </w:p>
        </w:tc>
        <w:tc>
          <w:tcPr>
            <w:tcW w:w="1630" w:type="dxa"/>
          </w:tcPr>
          <w:p w14:paraId="30D1DBC6" w14:textId="68375BF8" w:rsidR="00731D2F" w:rsidRPr="00731D2F" w:rsidRDefault="00731D2F" w:rsidP="0025789B">
            <w:pPr>
              <w:pStyle w:val="Tabletext"/>
              <w:ind w:left="66"/>
              <w:rPr>
                <w:lang w:val="en-GB"/>
              </w:rPr>
            </w:pPr>
            <w:r>
              <w:rPr>
                <w:lang w:val="en-GB"/>
              </w:rPr>
              <w:lastRenderedPageBreak/>
              <w:t>See UK MEC</w:t>
            </w:r>
          </w:p>
        </w:tc>
        <w:tc>
          <w:tcPr>
            <w:tcW w:w="2126" w:type="dxa"/>
          </w:tcPr>
          <w:p w14:paraId="7DE8F957" w14:textId="03BD3B19" w:rsidR="00731D2F" w:rsidRDefault="00731D2F" w:rsidP="0025789B">
            <w:pPr>
              <w:pStyle w:val="Tabletext"/>
              <w:ind w:left="66"/>
              <w:rPr>
                <w:lang w:val="en-GB"/>
              </w:rPr>
            </w:pPr>
            <w:r>
              <w:rPr>
                <w:lang w:val="en-GB"/>
              </w:rPr>
              <w:t>See UK MEC</w:t>
            </w:r>
          </w:p>
        </w:tc>
        <w:tc>
          <w:tcPr>
            <w:tcW w:w="1677" w:type="dxa"/>
          </w:tcPr>
          <w:p w14:paraId="6DB28A92" w14:textId="26BD84A3" w:rsidR="00731D2F" w:rsidRPr="00731D2F" w:rsidRDefault="00BE21BF" w:rsidP="0025789B">
            <w:pPr>
              <w:pStyle w:val="Tabletext"/>
              <w:ind w:left="66"/>
              <w:rPr>
                <w:lang w:val="en-GB"/>
              </w:rPr>
            </w:pPr>
            <w:r>
              <w:rPr>
                <w:lang w:val="en-GB"/>
              </w:rPr>
              <w:t>‘</w:t>
            </w:r>
            <w:r w:rsidR="00731D2F" w:rsidRPr="00731D2F">
              <w:rPr>
                <w:lang w:val="en-GB"/>
              </w:rPr>
              <w:t xml:space="preserve">Prophylactic antibiotics are not routinely required for </w:t>
            </w:r>
            <w:r w:rsidR="00731D2F" w:rsidRPr="00731D2F">
              <w:rPr>
                <w:lang w:val="en-GB"/>
              </w:rPr>
              <w:lastRenderedPageBreak/>
              <w:t>the insertion</w:t>
            </w:r>
            <w:r w:rsidR="006848C6">
              <w:rPr>
                <w:lang w:val="en-GB"/>
              </w:rPr>
              <w:t xml:space="preserve"> </w:t>
            </w:r>
            <w:r w:rsidR="00731D2F" w:rsidRPr="00731D2F">
              <w:rPr>
                <w:lang w:val="en-GB"/>
              </w:rPr>
              <w:t xml:space="preserve">or removal of intrauterine contraception in women with an increased </w:t>
            </w:r>
            <w:r>
              <w:rPr>
                <w:lang w:val="en-GB"/>
              </w:rPr>
              <w:t>risk of infective endocarditis’.</w:t>
            </w:r>
          </w:p>
        </w:tc>
        <w:tc>
          <w:tcPr>
            <w:tcW w:w="2717" w:type="dxa"/>
          </w:tcPr>
          <w:p w14:paraId="757AE890" w14:textId="44DA6518" w:rsidR="00731D2F" w:rsidRDefault="00BE21BF" w:rsidP="0025789B">
            <w:pPr>
              <w:pStyle w:val="Tabletext"/>
              <w:ind w:left="66"/>
              <w:rPr>
                <w:lang w:val="en-GB"/>
              </w:rPr>
            </w:pPr>
            <w:r>
              <w:rPr>
                <w:lang w:val="en-GB"/>
              </w:rPr>
              <w:lastRenderedPageBreak/>
              <w:t>‘</w:t>
            </w:r>
            <w:r w:rsidR="00731D2F" w:rsidRPr="00731D2F">
              <w:rPr>
                <w:lang w:val="en-GB"/>
              </w:rPr>
              <w:t xml:space="preserve">Vasovagal reactions may occur as a result of cervical stimulation during </w:t>
            </w:r>
            <w:r w:rsidR="00731D2F" w:rsidRPr="00731D2F">
              <w:rPr>
                <w:lang w:val="en-GB"/>
              </w:rPr>
              <w:lastRenderedPageBreak/>
              <w:t>insertion or removal of intrauterine methods…the decision to use intrauterine contraceptio</w:t>
            </w:r>
            <w:r>
              <w:rPr>
                <w:lang w:val="en-GB"/>
              </w:rPr>
              <w:t>n should involve a cardiologist..</w:t>
            </w:r>
            <w:r w:rsidR="00731D2F" w:rsidRPr="00731D2F">
              <w:rPr>
                <w:lang w:val="en-GB"/>
              </w:rPr>
              <w:t>.The intrauterine method should be fitted in a hospital setting if a vasovagal reaction pre</w:t>
            </w:r>
            <w:r>
              <w:rPr>
                <w:lang w:val="en-GB"/>
              </w:rPr>
              <w:t>sents a particularly high risk…’</w:t>
            </w:r>
          </w:p>
        </w:tc>
      </w:tr>
    </w:tbl>
    <w:p w14:paraId="53D30A67" w14:textId="3272690A" w:rsidR="00BE21BF" w:rsidRDefault="00BE21BF" w:rsidP="006848C6">
      <w:pPr>
        <w:pStyle w:val="Heading5"/>
        <w:rPr>
          <w:lang w:val="en-GB"/>
        </w:rPr>
      </w:pPr>
      <w:r>
        <w:rPr>
          <w:lang w:val="en-GB"/>
        </w:rPr>
        <w:lastRenderedPageBreak/>
        <w:t>Overseas regulatory status</w:t>
      </w:r>
    </w:p>
    <w:p w14:paraId="1B850834" w14:textId="79A9FCF2" w:rsidR="000E59CA" w:rsidRDefault="00BE21BF" w:rsidP="000E59CA">
      <w:pPr>
        <w:rPr>
          <w:lang w:val="en-GB"/>
        </w:rPr>
      </w:pPr>
      <w:r>
        <w:rPr>
          <w:lang w:val="en-GB"/>
        </w:rPr>
        <w:t>Kyleena</w:t>
      </w:r>
      <w:r w:rsidRPr="00BE21BF">
        <w:rPr>
          <w:lang w:val="en-GB"/>
        </w:rPr>
        <w:t xml:space="preserve"> </w:t>
      </w:r>
      <w:r>
        <w:rPr>
          <w:lang w:val="en-GB"/>
        </w:rPr>
        <w:t>is currently approved in the US</w:t>
      </w:r>
      <w:r w:rsidRPr="00BE21BF">
        <w:rPr>
          <w:lang w:val="en-GB"/>
        </w:rPr>
        <w:t xml:space="preserve"> and the decentralised procedure in the EU has been finalised (national phase is still ongoing). The </w:t>
      </w:r>
      <w:r w:rsidR="002F0F43">
        <w:rPr>
          <w:lang w:val="en-GB"/>
        </w:rPr>
        <w:t xml:space="preserve">current </w:t>
      </w:r>
      <w:r w:rsidRPr="00BE21BF">
        <w:rPr>
          <w:lang w:val="en-GB"/>
        </w:rPr>
        <w:t>overs</w:t>
      </w:r>
      <w:r>
        <w:rPr>
          <w:lang w:val="en-GB"/>
        </w:rPr>
        <w:t>ea</w:t>
      </w:r>
      <w:r w:rsidR="002F0F43">
        <w:rPr>
          <w:lang w:val="en-GB"/>
        </w:rPr>
        <w:t>s regulatory status of Kyleena wa</w:t>
      </w:r>
      <w:r>
        <w:rPr>
          <w:lang w:val="en-GB"/>
        </w:rPr>
        <w:t>s provided</w:t>
      </w:r>
      <w:r w:rsidR="00FF2096">
        <w:rPr>
          <w:lang w:val="en-GB"/>
        </w:rPr>
        <w:t>.</w:t>
      </w:r>
    </w:p>
    <w:p w14:paraId="266C5AA8" w14:textId="6C3FCED0" w:rsidR="00FF2096" w:rsidRPr="00FF2096" w:rsidRDefault="00FF2096" w:rsidP="00FF2096">
      <w:pPr>
        <w:pStyle w:val="Heading5"/>
      </w:pPr>
      <w:r w:rsidRPr="00BE21BF">
        <w:rPr>
          <w:lang w:val="en-GB"/>
        </w:rPr>
        <w:t>Other comments in relation t</w:t>
      </w:r>
      <w:r>
        <w:rPr>
          <w:lang w:val="en-GB"/>
        </w:rPr>
        <w:t>o the Delegate’s Overview</w:t>
      </w:r>
    </w:p>
    <w:p w14:paraId="148D8904" w14:textId="2ECBB48A" w:rsidR="00FF2096" w:rsidRDefault="00FF2096" w:rsidP="00FF2096">
      <w:pPr>
        <w:pStyle w:val="Heading6"/>
        <w:rPr>
          <w:lang w:val="en-GB"/>
        </w:rPr>
      </w:pPr>
      <w:r>
        <w:rPr>
          <w:lang w:val="en-GB"/>
        </w:rPr>
        <w:t>Potential for medication e</w:t>
      </w:r>
      <w:r w:rsidR="00BE21BF" w:rsidRPr="00BE21BF">
        <w:rPr>
          <w:lang w:val="en-GB"/>
        </w:rPr>
        <w:t>rror</w:t>
      </w:r>
      <w:r>
        <w:rPr>
          <w:lang w:val="en-GB"/>
        </w:rPr>
        <w:t>s</w:t>
      </w:r>
    </w:p>
    <w:p w14:paraId="717E3BEC" w14:textId="1644EB52" w:rsidR="00BE21BF" w:rsidRPr="00BE21BF" w:rsidRDefault="00FF2096" w:rsidP="00BE21BF">
      <w:pPr>
        <w:rPr>
          <w:lang w:val="en-GB"/>
        </w:rPr>
      </w:pPr>
      <w:r>
        <w:rPr>
          <w:lang w:val="en-GB"/>
        </w:rPr>
        <w:t>The s</w:t>
      </w:r>
      <w:r w:rsidR="00BE21BF" w:rsidRPr="00BE21BF">
        <w:rPr>
          <w:lang w:val="en-GB"/>
        </w:rPr>
        <w:t>ponsor wishes to highlight that, in Australia, no additional risk</w:t>
      </w:r>
      <w:r w:rsidR="00343E9A">
        <w:rPr>
          <w:lang w:val="en-GB"/>
        </w:rPr>
        <w:t xml:space="preserve"> minimisation activities for healthcare professional</w:t>
      </w:r>
      <w:r w:rsidR="00BE21BF" w:rsidRPr="00BE21BF">
        <w:rPr>
          <w:lang w:val="en-GB"/>
        </w:rPr>
        <w:t xml:space="preserve">s are </w:t>
      </w:r>
      <w:r>
        <w:rPr>
          <w:lang w:val="en-GB"/>
        </w:rPr>
        <w:t xml:space="preserve">planned for the safety concern </w:t>
      </w:r>
      <w:r w:rsidR="00BE21BF" w:rsidRPr="00BE21BF">
        <w:rPr>
          <w:lang w:val="en-GB"/>
        </w:rPr>
        <w:t xml:space="preserve">potential for </w:t>
      </w:r>
      <w:r>
        <w:rPr>
          <w:lang w:val="en-GB"/>
        </w:rPr>
        <w:t>‘medication error’</w:t>
      </w:r>
      <w:r w:rsidR="00BE21BF" w:rsidRPr="00BE21BF">
        <w:rPr>
          <w:lang w:val="en-GB"/>
        </w:rPr>
        <w:t>. In the EU, J</w:t>
      </w:r>
      <w:r>
        <w:rPr>
          <w:lang w:val="en-GB"/>
        </w:rPr>
        <w:t>aydess</w:t>
      </w:r>
      <w:r w:rsidR="00BE21BF" w:rsidRPr="00BE21BF">
        <w:rPr>
          <w:lang w:val="en-GB"/>
        </w:rPr>
        <w:t xml:space="preserve"> is mark</w:t>
      </w:r>
      <w:r>
        <w:rPr>
          <w:lang w:val="en-GB"/>
        </w:rPr>
        <w:t>eted with Mirena (Kyleena</w:t>
      </w:r>
      <w:r w:rsidR="00BE21BF" w:rsidRPr="00BE21BF">
        <w:rPr>
          <w:lang w:val="en-GB"/>
        </w:rPr>
        <w:t xml:space="preserve"> will also be marketed soon). Therefore, additional risk minimisation activities for medication err</w:t>
      </w:r>
      <w:r w:rsidR="00343E9A">
        <w:rPr>
          <w:lang w:val="en-GB"/>
        </w:rPr>
        <w:t>or were deemed necessary for healthcare professional</w:t>
      </w:r>
      <w:r w:rsidR="00BE21BF" w:rsidRPr="00BE21BF">
        <w:rPr>
          <w:lang w:val="en-GB"/>
        </w:rPr>
        <w:t>s due to the different</w:t>
      </w:r>
      <w:r>
        <w:rPr>
          <w:lang w:val="en-GB"/>
        </w:rPr>
        <w:t xml:space="preserve"> duration of use between Jaydess and Mirena. However, as Jaydess</w:t>
      </w:r>
      <w:r w:rsidR="00BE21BF" w:rsidRPr="00BE21BF">
        <w:rPr>
          <w:lang w:val="en-GB"/>
        </w:rPr>
        <w:t xml:space="preserve"> will not be marketed in Australia, the potential for medication error is not applicable as both </w:t>
      </w:r>
      <w:r>
        <w:rPr>
          <w:lang w:val="en-GB"/>
        </w:rPr>
        <w:t>Mirena and Kyleena</w:t>
      </w:r>
      <w:r w:rsidR="00BE21BF" w:rsidRPr="00BE21BF">
        <w:rPr>
          <w:lang w:val="en-GB"/>
        </w:rPr>
        <w:t xml:space="preserve"> have the same duration of use for contraceptive efficacy.</w:t>
      </w:r>
    </w:p>
    <w:p w14:paraId="12CDC2D3" w14:textId="7EC37E75" w:rsidR="00BE21BF" w:rsidRPr="00BE21BF" w:rsidRDefault="00BE21BF" w:rsidP="00BE21BF">
      <w:pPr>
        <w:rPr>
          <w:lang w:val="en-GB"/>
        </w:rPr>
      </w:pPr>
      <w:r w:rsidRPr="00BE21BF">
        <w:rPr>
          <w:lang w:val="en-GB"/>
        </w:rPr>
        <w:t xml:space="preserve">Furthermore, as per the final RMP evaluation report received on 11 November 2016, the RMP Evaluator has also accepted that no additional </w:t>
      </w:r>
      <w:r w:rsidR="00FF2096">
        <w:rPr>
          <w:lang w:val="en-GB"/>
        </w:rPr>
        <w:t>risk minimisation activity for ‘medication error’</w:t>
      </w:r>
      <w:r w:rsidR="00343E9A">
        <w:rPr>
          <w:lang w:val="en-GB"/>
        </w:rPr>
        <w:t xml:space="preserve"> is required for healthcare professional</w:t>
      </w:r>
      <w:r w:rsidRPr="00BE21BF">
        <w:rPr>
          <w:lang w:val="en-GB"/>
        </w:rPr>
        <w:t>s.</w:t>
      </w:r>
    </w:p>
    <w:p w14:paraId="3107EC06" w14:textId="4A5F2409" w:rsidR="008E7846" w:rsidRDefault="008E7846" w:rsidP="008E7846">
      <w:pPr>
        <w:pStyle w:val="Heading4"/>
      </w:pPr>
      <w:bookmarkStart w:id="109" w:name="_Toc196046505"/>
      <w:bookmarkStart w:id="110" w:name="_Toc196046949"/>
      <w:bookmarkEnd w:id="98"/>
      <w:r>
        <w:t xml:space="preserve">Advisory Committee </w:t>
      </w:r>
      <w:r w:rsidR="00CD25FF">
        <w:t>on Prescription Medicines c</w:t>
      </w:r>
      <w:r>
        <w:t>onsiderations</w:t>
      </w:r>
    </w:p>
    <w:p w14:paraId="3EF64131" w14:textId="4F7696E7" w:rsidR="00CD25FF" w:rsidRDefault="00CD25FF" w:rsidP="00CD25FF">
      <w:r w:rsidRPr="00CD25FF">
        <w:t>The ACPM, taking into account the submitted evidence of efficacy, safet</w:t>
      </w:r>
      <w:r w:rsidR="00947116">
        <w:t>y and quality, agreed with the Delegate and considered Kyleena</w:t>
      </w:r>
      <w:r w:rsidRPr="00CD25FF">
        <w:t xml:space="preserve"> intrauterine drug delivery syste</w:t>
      </w:r>
      <w:r w:rsidR="00947116">
        <w:t>m containing a new strength of l</w:t>
      </w:r>
      <w:r w:rsidRPr="00CD25FF">
        <w:t>evonorgestrel, 19.5 mg, to have an overall positive benefi</w:t>
      </w:r>
      <w:r w:rsidR="00947116">
        <w:t>t</w:t>
      </w:r>
      <w:r w:rsidR="00947116">
        <w:noBreakHyphen/>
        <w:t>risk profile for the following indication:</w:t>
      </w:r>
    </w:p>
    <w:p w14:paraId="1387EB92" w14:textId="7B8716CD" w:rsidR="00947116" w:rsidRDefault="00947116" w:rsidP="00947116">
      <w:pPr>
        <w:ind w:firstLine="720"/>
        <w:rPr>
          <w:i/>
        </w:rPr>
      </w:pPr>
      <w:r w:rsidRPr="00947116">
        <w:rPr>
          <w:i/>
        </w:rPr>
        <w:t>‘Kyleena is indicated for contraception for up to 5 years’.</w:t>
      </w:r>
    </w:p>
    <w:p w14:paraId="0882C344" w14:textId="2BDC79AA" w:rsidR="00597373" w:rsidRPr="00597373" w:rsidRDefault="00597373" w:rsidP="00597373">
      <w:pPr>
        <w:pStyle w:val="Heading5"/>
        <w:rPr>
          <w:lang w:val="en-GB"/>
        </w:rPr>
      </w:pPr>
      <w:r w:rsidRPr="009E1C92">
        <w:rPr>
          <w:lang w:val="en-GB"/>
        </w:rPr>
        <w:lastRenderedPageBreak/>
        <w:t>Proposed conditions of registration</w:t>
      </w:r>
    </w:p>
    <w:p w14:paraId="28CA7878" w14:textId="40A8601C" w:rsidR="00947116" w:rsidRPr="00947116" w:rsidRDefault="009E1C92" w:rsidP="00947116">
      <w:pPr>
        <w:rPr>
          <w:bCs/>
          <w:iCs/>
          <w:lang w:val="en-GB"/>
        </w:rPr>
      </w:pPr>
      <w:r w:rsidRPr="009E1C92">
        <w:rPr>
          <w:bCs/>
          <w:iCs/>
          <w:lang w:val="en-GB"/>
        </w:rPr>
        <w:t>In making this recommendation the ACPM</w:t>
      </w:r>
      <w:r w:rsidR="00947116">
        <w:rPr>
          <w:bCs/>
          <w:iCs/>
          <w:lang w:val="en-GB"/>
        </w:rPr>
        <w:t xml:space="preserve"> </w:t>
      </w:r>
      <w:r w:rsidR="00597373">
        <w:t>agreed with the D</w:t>
      </w:r>
      <w:r w:rsidR="00947116" w:rsidRPr="00947116">
        <w:t xml:space="preserve">elegate on the proposed conditions of registration and advised </w:t>
      </w:r>
      <w:r w:rsidR="00597373">
        <w:t xml:space="preserve">the above </w:t>
      </w:r>
      <w:r w:rsidR="00947116" w:rsidRPr="00947116">
        <w:t>on the inclusion of the following:</w:t>
      </w:r>
    </w:p>
    <w:p w14:paraId="0B8A2E9C" w14:textId="51E051A1" w:rsidR="00947116" w:rsidRPr="00947116" w:rsidRDefault="00947116" w:rsidP="00947116">
      <w:pPr>
        <w:pStyle w:val="ListBullet"/>
      </w:pPr>
      <w:r w:rsidRPr="00947116">
        <w:t>Subject to satisfac</w:t>
      </w:r>
      <w:r w:rsidR="00597373">
        <w:t xml:space="preserve">tory implementation of the EU-RMP </w:t>
      </w:r>
      <w:r w:rsidRPr="00947116">
        <w:t>most recently negotiated by the TGA.</w:t>
      </w:r>
    </w:p>
    <w:p w14:paraId="0094485E" w14:textId="74EB0506" w:rsidR="00947116" w:rsidRPr="00947116" w:rsidRDefault="00947116" w:rsidP="00947116">
      <w:pPr>
        <w:pStyle w:val="ListBullet"/>
      </w:pPr>
      <w:r w:rsidRPr="00947116">
        <w:t>Ne</w:t>
      </w:r>
      <w:r w:rsidR="00597373">
        <w:t>gotiation of PI and CMI t</w:t>
      </w:r>
      <w:r w:rsidRPr="00947116">
        <w:t>o the satisfaction of the TGA.</w:t>
      </w:r>
    </w:p>
    <w:p w14:paraId="39BAC69C" w14:textId="77777777" w:rsidR="009E1C92" w:rsidRPr="009E1C92" w:rsidRDefault="009E1C92" w:rsidP="009E1C92">
      <w:pPr>
        <w:pStyle w:val="Heading5"/>
        <w:rPr>
          <w:lang w:val="en-GB"/>
        </w:rPr>
      </w:pPr>
      <w:r w:rsidRPr="009E1C92">
        <w:rPr>
          <w:lang w:val="en-GB"/>
        </w:rPr>
        <w:t>Specific Advice</w:t>
      </w:r>
    </w:p>
    <w:p w14:paraId="4D623386" w14:textId="033F52B3" w:rsidR="009E1C92" w:rsidRDefault="009E1C92" w:rsidP="009E1C92">
      <w:pPr>
        <w:rPr>
          <w:bCs/>
          <w:lang w:val="en-GB"/>
        </w:rPr>
      </w:pPr>
      <w:r w:rsidRPr="009E1C92">
        <w:rPr>
          <w:bCs/>
          <w:lang w:val="en-GB"/>
        </w:rPr>
        <w:t>The ACPM advised the following in response to the Delegate’s specific questions on this submission:</w:t>
      </w:r>
    </w:p>
    <w:p w14:paraId="3FD4EB8E" w14:textId="1B861863" w:rsidR="00947116" w:rsidRPr="00597373" w:rsidRDefault="00947116" w:rsidP="00597373">
      <w:pPr>
        <w:pStyle w:val="Numberbullet0"/>
        <w:numPr>
          <w:ilvl w:val="0"/>
          <w:numId w:val="37"/>
        </w:numPr>
        <w:rPr>
          <w:i/>
          <w:lang w:val="en-GB"/>
        </w:rPr>
      </w:pPr>
      <w:r w:rsidRPr="00597373">
        <w:rPr>
          <w:i/>
          <w:lang w:val="en-GB"/>
        </w:rPr>
        <w:t xml:space="preserve">Is the </w:t>
      </w:r>
      <w:r w:rsidRPr="00597373">
        <w:rPr>
          <w:i/>
        </w:rPr>
        <w:t>information</w:t>
      </w:r>
      <w:r w:rsidRPr="00597373">
        <w:rPr>
          <w:i/>
          <w:lang w:val="en-GB"/>
        </w:rPr>
        <w:t xml:space="preserve"> </w:t>
      </w:r>
      <w:r w:rsidR="00597373" w:rsidRPr="00597373">
        <w:rPr>
          <w:i/>
          <w:lang w:val="en-GB"/>
        </w:rPr>
        <w:t>about MRI in the PI sufficient?</w:t>
      </w:r>
    </w:p>
    <w:p w14:paraId="665D799B" w14:textId="77777777" w:rsidR="00947116" w:rsidRPr="00947116" w:rsidRDefault="00947116" w:rsidP="00947116">
      <w:pPr>
        <w:rPr>
          <w:bCs/>
          <w:lang w:val="en-GB"/>
        </w:rPr>
      </w:pPr>
      <w:r w:rsidRPr="00947116">
        <w:rPr>
          <w:bCs/>
          <w:lang w:val="en-GB"/>
        </w:rPr>
        <w:t>The ACPM was of the view that the information about MRI included in the PI was adequate but agreed there needed to be a statement in the CMI.</w:t>
      </w:r>
    </w:p>
    <w:p w14:paraId="2B0F130A" w14:textId="5C8A1EA6" w:rsidR="00947116" w:rsidRPr="00597373" w:rsidRDefault="00947116" w:rsidP="00597373">
      <w:pPr>
        <w:pStyle w:val="Numberbullet0"/>
        <w:rPr>
          <w:i/>
          <w:lang w:val="en-GB"/>
        </w:rPr>
      </w:pPr>
      <w:r w:rsidRPr="00597373">
        <w:rPr>
          <w:i/>
          <w:lang w:val="en-GB"/>
        </w:rPr>
        <w:t xml:space="preserve">IUD batch number is on the patient card. GPs usually keep a record of IUDs inserted. Is this </w:t>
      </w:r>
      <w:r w:rsidR="00597373" w:rsidRPr="00597373">
        <w:rPr>
          <w:i/>
          <w:lang w:val="en-GB"/>
        </w:rPr>
        <w:t>sufficient to track the device?</w:t>
      </w:r>
    </w:p>
    <w:p w14:paraId="7C5A3767" w14:textId="6C977031" w:rsidR="00947116" w:rsidRPr="00947116" w:rsidRDefault="00947116" w:rsidP="00947116">
      <w:pPr>
        <w:rPr>
          <w:bCs/>
          <w:lang w:val="en-GB"/>
        </w:rPr>
      </w:pPr>
      <w:r w:rsidRPr="00947116">
        <w:rPr>
          <w:bCs/>
          <w:lang w:val="en-GB"/>
        </w:rPr>
        <w:t xml:space="preserve">The ACPM considered that detailing the IUD batch number is on the patient card and it should be routine practice for clinicians to keep a record of all medical devices including IUDs and this is </w:t>
      </w:r>
      <w:r w:rsidR="00597373">
        <w:rPr>
          <w:bCs/>
          <w:lang w:val="en-GB"/>
        </w:rPr>
        <w:t>sufficient to track the device.</w:t>
      </w:r>
    </w:p>
    <w:p w14:paraId="2C0C6347" w14:textId="640A57B8" w:rsidR="00947116" w:rsidRPr="00343E9A" w:rsidRDefault="00947116" w:rsidP="00597373">
      <w:pPr>
        <w:pStyle w:val="Numberbullet0"/>
        <w:rPr>
          <w:i/>
          <w:lang w:val="en-GB"/>
        </w:rPr>
      </w:pPr>
      <w:r w:rsidRPr="00343E9A">
        <w:rPr>
          <w:i/>
          <w:lang w:val="en-GB"/>
        </w:rPr>
        <w:t>Is there a need for a P</w:t>
      </w:r>
      <w:r w:rsidR="00852CE9" w:rsidRPr="00343E9A">
        <w:rPr>
          <w:i/>
          <w:lang w:val="en-GB"/>
        </w:rPr>
        <w:t>recaution</w:t>
      </w:r>
      <w:r w:rsidRPr="00343E9A">
        <w:rPr>
          <w:i/>
          <w:lang w:val="en-GB"/>
        </w:rPr>
        <w:t xml:space="preserve"> in heart disease if no antibiotic prophylaxis is needed? What is the best reference to include in the PI?</w:t>
      </w:r>
    </w:p>
    <w:p w14:paraId="7249742E" w14:textId="25A4188B" w:rsidR="00947116" w:rsidRPr="00947116" w:rsidRDefault="00947116" w:rsidP="00947116">
      <w:pPr>
        <w:rPr>
          <w:bCs/>
          <w:lang w:val="en-GB"/>
        </w:rPr>
      </w:pPr>
      <w:r w:rsidRPr="00947116">
        <w:rPr>
          <w:bCs/>
          <w:lang w:val="en-GB"/>
        </w:rPr>
        <w:t>The ACPM advised that most jurisdictions do not recommend antibiotic cover for routine insertion. These include the Aus</w:t>
      </w:r>
      <w:r w:rsidR="00597373">
        <w:rPr>
          <w:bCs/>
          <w:lang w:val="en-GB"/>
        </w:rPr>
        <w:t>tralian Therapeutic Guidelines.</w:t>
      </w:r>
    </w:p>
    <w:p w14:paraId="2DE775F9" w14:textId="3D703437" w:rsidR="00597373" w:rsidRDefault="00947116" w:rsidP="00947116">
      <w:pPr>
        <w:rPr>
          <w:bCs/>
          <w:lang w:val="en-GB"/>
        </w:rPr>
      </w:pPr>
      <w:r w:rsidRPr="00947116">
        <w:rPr>
          <w:bCs/>
          <w:lang w:val="en-GB"/>
        </w:rPr>
        <w:t>Ther</w:t>
      </w:r>
      <w:r w:rsidR="00597373">
        <w:rPr>
          <w:bCs/>
          <w:lang w:val="en-GB"/>
        </w:rPr>
        <w:t>e is a known potential for vaso</w:t>
      </w:r>
      <w:r w:rsidRPr="00947116">
        <w:rPr>
          <w:bCs/>
          <w:lang w:val="en-GB"/>
        </w:rPr>
        <w:t xml:space="preserve">vagal response and this can be problematic in cardiomyopathy or other cardiac disease. This is not mentioned in PI but clinicians should be well aware of risk of these effects and if significant risk, the procedure should be done in a facility with adequate resources to manage this. A routine observation period after </w:t>
      </w:r>
      <w:r w:rsidR="00597373">
        <w:rPr>
          <w:bCs/>
          <w:lang w:val="en-GB"/>
        </w:rPr>
        <w:t>any insertion would be prudent.</w:t>
      </w:r>
    </w:p>
    <w:p w14:paraId="65D43EB9" w14:textId="2E487CC6" w:rsidR="00947116" w:rsidRPr="00597373" w:rsidRDefault="00947116" w:rsidP="00597373">
      <w:pPr>
        <w:pStyle w:val="Numberbullet0"/>
        <w:rPr>
          <w:i/>
          <w:lang w:val="en-GB"/>
        </w:rPr>
      </w:pPr>
      <w:r w:rsidRPr="00597373">
        <w:rPr>
          <w:i/>
          <w:lang w:val="en-GB"/>
        </w:rPr>
        <w:t>Is there a safety concern with the potential for confusion of the device inserted?</w:t>
      </w:r>
    </w:p>
    <w:p w14:paraId="1A77318D" w14:textId="531F29C9" w:rsidR="00947116" w:rsidRPr="00947116" w:rsidRDefault="00947116" w:rsidP="00947116">
      <w:pPr>
        <w:rPr>
          <w:bCs/>
          <w:lang w:val="en-GB"/>
        </w:rPr>
      </w:pPr>
      <w:r w:rsidRPr="00947116">
        <w:rPr>
          <w:bCs/>
          <w:lang w:val="en-GB"/>
        </w:rPr>
        <w:t xml:space="preserve">The ACPM noted that there </w:t>
      </w:r>
      <w:r w:rsidR="00597373">
        <w:rPr>
          <w:bCs/>
          <w:lang w:val="en-GB"/>
        </w:rPr>
        <w:t>are similarities between Jaydess and Kyleena</w:t>
      </w:r>
      <w:r w:rsidRPr="00947116">
        <w:rPr>
          <w:bCs/>
          <w:lang w:val="en-GB"/>
        </w:rPr>
        <w:t xml:space="preserve"> in that both have a silver ring at the neck of the devices. The differentiating feature is the colour of the attached string. In addition, although </w:t>
      </w:r>
      <w:r w:rsidR="00597373">
        <w:rPr>
          <w:bCs/>
          <w:lang w:val="en-GB"/>
        </w:rPr>
        <w:t>registered in Australia, Jaydess</w:t>
      </w:r>
      <w:r w:rsidRPr="00947116">
        <w:rPr>
          <w:bCs/>
          <w:lang w:val="en-GB"/>
        </w:rPr>
        <w:t xml:space="preserve"> has</w:t>
      </w:r>
      <w:r w:rsidR="00597373">
        <w:rPr>
          <w:bCs/>
          <w:lang w:val="en-GB"/>
        </w:rPr>
        <w:t xml:space="preserve"> not been marketed here and the s</w:t>
      </w:r>
      <w:r w:rsidRPr="00947116">
        <w:rPr>
          <w:bCs/>
          <w:lang w:val="en-GB"/>
        </w:rPr>
        <w:t>ponsor has given an assurance it will not be. However a device may be inserted overseas. The committee advised that reliance on the colour of the string would be problematic for clinicians as colour is</w:t>
      </w:r>
      <w:r w:rsidR="00597373">
        <w:rPr>
          <w:bCs/>
          <w:lang w:val="en-GB"/>
        </w:rPr>
        <w:t xml:space="preserve"> not easily appreciated during per vaginal examination</w:t>
      </w:r>
      <w:r w:rsidRPr="00947116">
        <w:rPr>
          <w:bCs/>
          <w:lang w:val="en-GB"/>
        </w:rPr>
        <w:t>. It was however considered adequate for devices before insertion.</w:t>
      </w:r>
    </w:p>
    <w:p w14:paraId="2F5456E0" w14:textId="69B4A8BD" w:rsidR="00947116" w:rsidRDefault="00947116" w:rsidP="00947116">
      <w:pPr>
        <w:rPr>
          <w:bCs/>
          <w:lang w:val="en-GB"/>
        </w:rPr>
      </w:pPr>
      <w:r w:rsidRPr="00947116">
        <w:rPr>
          <w:bCs/>
          <w:lang w:val="en-GB"/>
        </w:rPr>
        <w:t>The ACPM advised that implementation by the sponsor of the recommendations outlined above to the satisfaction of the TGA, in addition to the evidence of efficacy and safety provided would support the safe and effective use of this product.</w:t>
      </w:r>
    </w:p>
    <w:p w14:paraId="167B4181" w14:textId="77777777" w:rsidR="008E7846" w:rsidRPr="002E238E" w:rsidRDefault="008E7846" w:rsidP="008E7846">
      <w:pPr>
        <w:pStyle w:val="Heading3"/>
      </w:pPr>
      <w:bookmarkStart w:id="111" w:name="_Toc247691532"/>
      <w:bookmarkStart w:id="112" w:name="_Toc314842516"/>
      <w:bookmarkStart w:id="113" w:name="_Toc499040562"/>
      <w:bookmarkEnd w:id="75"/>
      <w:bookmarkEnd w:id="109"/>
      <w:bookmarkEnd w:id="110"/>
      <w:r>
        <w:t>Outcome</w:t>
      </w:r>
      <w:bookmarkEnd w:id="111"/>
      <w:bookmarkEnd w:id="112"/>
      <w:bookmarkEnd w:id="113"/>
    </w:p>
    <w:p w14:paraId="7869020F" w14:textId="19181C2C" w:rsidR="00852CE9" w:rsidRDefault="00D23139" w:rsidP="00852CE9">
      <w:bookmarkStart w:id="114" w:name="_Toc247691533"/>
      <w:bookmarkStart w:id="115" w:name="_Toc314842517"/>
      <w:r w:rsidRPr="00D23139">
        <w:t>Based on a review of quality, safety and efficacy, T</w:t>
      </w:r>
      <w:r w:rsidR="00F51816">
        <w:t xml:space="preserve">GA approved the registration of </w:t>
      </w:r>
      <w:r w:rsidR="00852CE9">
        <w:t>Kyleena</w:t>
      </w:r>
      <w:r w:rsidR="00852CE9" w:rsidRPr="00852CE9">
        <w:t xml:space="preserve"> levonorgestrel 19.5 mg intrauterine drug delivery system sachet</w:t>
      </w:r>
      <w:r w:rsidR="00C573DD">
        <w:t>.</w:t>
      </w:r>
      <w:r w:rsidR="00852CE9" w:rsidRPr="00852CE9">
        <w:t xml:space="preserve"> The approved indicatio</w:t>
      </w:r>
      <w:r w:rsidR="00852CE9">
        <w:t>n for this therapeutic good is:</w:t>
      </w:r>
    </w:p>
    <w:p w14:paraId="2EEF5938" w14:textId="31CF4A7A" w:rsidR="00043B9D" w:rsidRDefault="00852CE9" w:rsidP="00852CE9">
      <w:pPr>
        <w:ind w:left="720" w:firstLine="720"/>
        <w:rPr>
          <w:i/>
          <w:iCs/>
          <w:lang w:val="en-GB"/>
        </w:rPr>
      </w:pPr>
      <w:r w:rsidRPr="00852CE9">
        <w:rPr>
          <w:i/>
        </w:rPr>
        <w:t>‘Contraception for up to 5 years’.</w:t>
      </w:r>
    </w:p>
    <w:p w14:paraId="5AB21BB1" w14:textId="200D223F" w:rsidR="00D23139" w:rsidRDefault="00D23139" w:rsidP="00D23139">
      <w:pPr>
        <w:pStyle w:val="Heading4"/>
      </w:pPr>
      <w:r w:rsidRPr="00D23139">
        <w:lastRenderedPageBreak/>
        <w:t>Specific conditions of registration applying to these goods</w:t>
      </w:r>
    </w:p>
    <w:p w14:paraId="32E78542" w14:textId="5120CBA1" w:rsidR="00852CE9" w:rsidRPr="00852CE9" w:rsidRDefault="00852CE9" w:rsidP="00852CE9">
      <w:pPr>
        <w:pStyle w:val="ListBullet"/>
      </w:pPr>
      <w:r>
        <w:t>The Kyleena</w:t>
      </w:r>
      <w:r w:rsidRPr="00852CE9">
        <w:t xml:space="preserve"> (levonorgestrel) EU Risk</w:t>
      </w:r>
      <w:r>
        <w:t xml:space="preserve"> Management Plan (RMP), version </w:t>
      </w:r>
      <w:r w:rsidRPr="00852CE9">
        <w:t>3, dated 15 October 2015 (DLP 15 July 2015), with Australian Specific Annex, version 4.1, dated August 2016, and any subsequent revisions, a</w:t>
      </w:r>
      <w:r>
        <w:t>s agreed with the TGA will be implemented in Australia.</w:t>
      </w:r>
    </w:p>
    <w:p w14:paraId="4459C631" w14:textId="77777777" w:rsidR="008E7846" w:rsidRDefault="00A80B5B" w:rsidP="00D23139">
      <w:pPr>
        <w:pStyle w:val="Heading2"/>
      </w:pPr>
      <w:bookmarkStart w:id="116" w:name="_Toc499040563"/>
      <w:r>
        <w:t xml:space="preserve">Attachment 1. </w:t>
      </w:r>
      <w:r w:rsidR="008E7846">
        <w:t xml:space="preserve">Product </w:t>
      </w:r>
      <w:r w:rsidR="00AA0ED0">
        <w:t>I</w:t>
      </w:r>
      <w:r w:rsidR="008E7846">
        <w:t>nformation</w:t>
      </w:r>
      <w:bookmarkEnd w:id="114"/>
      <w:bookmarkEnd w:id="115"/>
      <w:bookmarkEnd w:id="116"/>
    </w:p>
    <w:p w14:paraId="43151D3E" w14:textId="2D839DE3" w:rsidR="00C80137" w:rsidRDefault="006136D7" w:rsidP="00C80137">
      <w:pPr>
        <w:rPr>
          <w:color w:val="000000"/>
          <w:lang w:eastAsia="en-AU"/>
        </w:rPr>
      </w:pPr>
      <w:r w:rsidRPr="002B3624">
        <w:t xml:space="preserve">The </w:t>
      </w:r>
      <w:r>
        <w:t>PI</w:t>
      </w:r>
      <w:r w:rsidRPr="002B3624">
        <w:t xml:space="preserve"> for </w:t>
      </w:r>
      <w:r w:rsidR="00852CE9">
        <w:t>Kyleena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611EC9">
        <w:t>&gt;.</w:t>
      </w:r>
    </w:p>
    <w:p w14:paraId="1C0FAC64" w14:textId="77777777" w:rsidR="00C80137" w:rsidRDefault="00C80137" w:rsidP="00C80137">
      <w:pPr>
        <w:pStyle w:val="Heading2"/>
        <w:rPr>
          <w:lang w:eastAsia="en-AU"/>
        </w:rPr>
      </w:pPr>
      <w:bookmarkStart w:id="117" w:name="_Toc499040564"/>
      <w:r>
        <w:rPr>
          <w:lang w:eastAsia="en-AU"/>
        </w:rPr>
        <w:t>Attachment 2.</w:t>
      </w:r>
      <w:r w:rsidR="00A80B5B">
        <w:rPr>
          <w:lang w:eastAsia="en-AU"/>
        </w:rPr>
        <w:t xml:space="preserve"> </w:t>
      </w:r>
      <w:r>
        <w:rPr>
          <w:lang w:eastAsia="en-AU"/>
        </w:rPr>
        <w:t>Extract from the Clinical Evaluation Report</w:t>
      </w:r>
      <w:bookmarkEnd w:id="117"/>
    </w:p>
    <w:p w14:paraId="7D40FEB4" w14:textId="77777777" w:rsidR="00B94A84" w:rsidRPr="001D043B" w:rsidRDefault="00B94A84" w:rsidP="003A7F6C">
      <w:pPr>
        <w:pStyle w:val="TableTitle"/>
        <w:sectPr w:rsidR="00B94A84"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14:paraId="143DBC7F" w14:textId="77777777" w:rsidTr="00A05FA4">
        <w:trPr>
          <w:trHeight w:hRule="exact" w:val="704"/>
        </w:trPr>
        <w:tc>
          <w:tcPr>
            <w:tcW w:w="9175" w:type="dxa"/>
          </w:tcPr>
          <w:p w14:paraId="19C42149" w14:textId="77777777" w:rsidR="001C32CD" w:rsidRPr="00487162" w:rsidRDefault="001C32CD" w:rsidP="00A05FA4">
            <w:pPr>
              <w:pStyle w:val="TGASignoff"/>
            </w:pPr>
            <w:r w:rsidRPr="00487162">
              <w:lastRenderedPageBreak/>
              <w:t>Therapeutic Goods Administration</w:t>
            </w:r>
          </w:p>
        </w:tc>
      </w:tr>
      <w:tr w:rsidR="001C32CD" w:rsidRPr="004C239D" w14:paraId="7A60184D" w14:textId="77777777" w:rsidTr="00A05FA4">
        <w:trPr>
          <w:trHeight w:val="1221"/>
        </w:trPr>
        <w:tc>
          <w:tcPr>
            <w:tcW w:w="9175" w:type="dxa"/>
            <w:tcMar>
              <w:top w:w="28" w:type="dxa"/>
            </w:tcMar>
          </w:tcPr>
          <w:p w14:paraId="1F7518D9" w14:textId="77777777" w:rsidR="001C32CD" w:rsidRPr="00487162" w:rsidRDefault="001C32CD" w:rsidP="00A05FA4">
            <w:pPr>
              <w:pStyle w:val="Address"/>
            </w:pPr>
            <w:r w:rsidRPr="00487162">
              <w:t>PO Box 100 Woden ACT 2606 Australia</w:t>
            </w:r>
          </w:p>
          <w:p w14:paraId="6A4705F6" w14:textId="1CD51002" w:rsidR="001C32CD" w:rsidRPr="00487162" w:rsidRDefault="001C32CD" w:rsidP="00A05FA4">
            <w:pPr>
              <w:pStyle w:val="Address"/>
            </w:pPr>
            <w:r w:rsidRPr="00487162">
              <w:t xml:space="preserve">Email: </w:t>
            </w:r>
            <w:hyperlink r:id="rId26" w:history="1">
              <w:r w:rsidRPr="004C239D">
                <w:rPr>
                  <w:rStyle w:val="Hyperlink"/>
                </w:rPr>
                <w:t>info@tga.gov.au</w:t>
              </w:r>
            </w:hyperlink>
            <w:r w:rsidR="00E00538">
              <w:t xml:space="preserve">  </w:t>
            </w:r>
            <w:r w:rsidRPr="00487162">
              <w:t>Phone: 1800 020 653</w:t>
            </w:r>
            <w:r w:rsidR="00E00538">
              <w:t xml:space="preserve">  </w:t>
            </w:r>
            <w:r w:rsidRPr="00487162">
              <w:t>Fax: 02 6232 8605</w:t>
            </w:r>
          </w:p>
          <w:p w14:paraId="41BC92FF" w14:textId="77777777" w:rsidR="001C32CD" w:rsidRPr="004C239D" w:rsidRDefault="00065831"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53912FBE"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CA98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A98F1" w16cid:durableId="1D610E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7EAFE" w14:textId="77777777" w:rsidR="00710832" w:rsidRDefault="00710832" w:rsidP="00C40A36">
      <w:pPr>
        <w:spacing w:after="0"/>
      </w:pPr>
      <w:r>
        <w:separator/>
      </w:r>
    </w:p>
  </w:endnote>
  <w:endnote w:type="continuationSeparator" w:id="0">
    <w:p w14:paraId="378F15FD" w14:textId="77777777" w:rsidR="00710832" w:rsidRDefault="0071083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10832" w:rsidRPr="00487162" w14:paraId="545D04F9" w14:textId="77777777" w:rsidTr="00DB750B">
      <w:trPr>
        <w:trHeight w:val="269"/>
      </w:trPr>
      <w:tc>
        <w:tcPr>
          <w:tcW w:w="7371" w:type="dxa"/>
          <w:tcMar>
            <w:top w:w="142" w:type="dxa"/>
            <w:bottom w:w="0" w:type="dxa"/>
          </w:tcMar>
        </w:tcPr>
        <w:p w14:paraId="484EBD30" w14:textId="58910F67" w:rsidR="00710832" w:rsidRPr="00B238D2" w:rsidRDefault="00710832" w:rsidP="00860C8A">
          <w:pPr>
            <w:pStyle w:val="Footer"/>
            <w:rPr>
              <w:lang w:val="en-GB"/>
            </w:rPr>
          </w:pPr>
          <w:r w:rsidRPr="00487162">
            <w:t>AusPA</w:t>
          </w:r>
          <w:r>
            <w:t xml:space="preserve">R for Kyleena Levonorgestrel Bayer Australia Ltd </w:t>
          </w:r>
          <w:r>
            <w:rPr>
              <w:lang w:val="en-GB"/>
            </w:rPr>
            <w:t>PM-2015-04370-1-5</w:t>
          </w:r>
          <w:r>
            <w:br/>
          </w:r>
          <w:r w:rsidR="000823FD">
            <w:t xml:space="preserve">Final </w:t>
          </w:r>
          <w:r w:rsidR="00860C8A">
            <w:t>9</w:t>
          </w:r>
          <w:r w:rsidR="000823FD">
            <w:t xml:space="preserve"> November 2017</w:t>
          </w:r>
        </w:p>
      </w:tc>
      <w:tc>
        <w:tcPr>
          <w:tcW w:w="1490" w:type="dxa"/>
          <w:tcMar>
            <w:top w:w="142" w:type="dxa"/>
            <w:bottom w:w="0" w:type="dxa"/>
          </w:tcMar>
        </w:tcPr>
        <w:p w14:paraId="0FBCAD9C" w14:textId="3CB070F1" w:rsidR="00710832" w:rsidRPr="00487162" w:rsidRDefault="00710832" w:rsidP="00DB750B">
          <w:pPr>
            <w:pStyle w:val="Footer"/>
            <w:jc w:val="right"/>
          </w:pPr>
          <w:r w:rsidRPr="00487162">
            <w:t xml:space="preserve">Page </w:t>
          </w:r>
          <w:r>
            <w:fldChar w:fldCharType="begin"/>
          </w:r>
          <w:r>
            <w:instrText xml:space="preserve"> PAGE  \* Arabic </w:instrText>
          </w:r>
          <w:r>
            <w:fldChar w:fldCharType="separate"/>
          </w:r>
          <w:r w:rsidR="00065831">
            <w:rPr>
              <w:noProof/>
            </w:rPr>
            <w:t>6</w:t>
          </w:r>
          <w:r>
            <w:fldChar w:fldCharType="end"/>
          </w:r>
          <w:r w:rsidRPr="00487162">
            <w:t xml:space="preserve"> of </w:t>
          </w:r>
          <w:fldSimple w:instr=" NUMPAGES  \* Arabic ">
            <w:r w:rsidR="00065831">
              <w:rPr>
                <w:noProof/>
              </w:rPr>
              <w:t>39</w:t>
            </w:r>
          </w:fldSimple>
        </w:p>
      </w:tc>
    </w:tr>
  </w:tbl>
  <w:p w14:paraId="0F94B35B" w14:textId="77777777" w:rsidR="00710832" w:rsidRDefault="00710832"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10832" w:rsidRPr="00487162" w14:paraId="24F794D5" w14:textId="77777777" w:rsidTr="00E45619">
      <w:trPr>
        <w:trHeight w:val="269"/>
      </w:trPr>
      <w:tc>
        <w:tcPr>
          <w:tcW w:w="4519" w:type="dxa"/>
          <w:tcBorders>
            <w:top w:val="single" w:sz="4" w:space="0" w:color="auto"/>
          </w:tcBorders>
          <w:tcMar>
            <w:top w:w="142" w:type="dxa"/>
            <w:bottom w:w="0" w:type="dxa"/>
          </w:tcMar>
        </w:tcPr>
        <w:p w14:paraId="10ECC76A" w14:textId="77777777" w:rsidR="00710832" w:rsidRPr="00487162" w:rsidRDefault="00710832" w:rsidP="00FE1DEE">
          <w:pPr>
            <w:pStyle w:val="Footer"/>
          </w:pPr>
          <w:r w:rsidRPr="00487162">
            <w:t>Document title, Part #, Section # - Section title</w:t>
          </w:r>
        </w:p>
        <w:p w14:paraId="66AAE507" w14:textId="77777777" w:rsidR="00710832" w:rsidRPr="00487162" w:rsidRDefault="00710832" w:rsidP="00FE1DEE">
          <w:pPr>
            <w:pStyle w:val="Footer"/>
          </w:pPr>
          <w:r w:rsidRPr="00487162">
            <w:t>V1.0 October 2010</w:t>
          </w:r>
        </w:p>
      </w:tc>
      <w:tc>
        <w:tcPr>
          <w:tcW w:w="4342" w:type="dxa"/>
          <w:tcBorders>
            <w:top w:val="single" w:sz="4" w:space="0" w:color="auto"/>
          </w:tcBorders>
          <w:tcMar>
            <w:top w:w="142" w:type="dxa"/>
            <w:bottom w:w="0" w:type="dxa"/>
          </w:tcMar>
        </w:tcPr>
        <w:p w14:paraId="45212E3C" w14:textId="4C0D8742" w:rsidR="00710832" w:rsidRPr="00487162" w:rsidRDefault="0071083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sidR="009D5B6F">
              <w:rPr>
                <w:noProof/>
              </w:rPr>
              <w:t>1</w:t>
            </w:r>
          </w:fldSimple>
        </w:p>
      </w:tc>
    </w:tr>
  </w:tbl>
  <w:p w14:paraId="49156B79" w14:textId="77777777" w:rsidR="00710832" w:rsidRDefault="007108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4F165" w14:textId="77777777" w:rsidR="00710832" w:rsidRPr="001C32CD" w:rsidRDefault="00710832"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10832" w14:paraId="07B6270C" w14:textId="77777777" w:rsidTr="0010601F">
      <w:trPr>
        <w:trHeight w:val="108"/>
      </w:trPr>
      <w:tc>
        <w:tcPr>
          <w:tcW w:w="8875" w:type="dxa"/>
          <w:gridSpan w:val="2"/>
          <w:tcBorders>
            <w:bottom w:val="single" w:sz="4" w:space="0" w:color="auto"/>
          </w:tcBorders>
          <w:tcMar>
            <w:right w:w="284" w:type="dxa"/>
          </w:tcMar>
        </w:tcPr>
        <w:p w14:paraId="0588F57E" w14:textId="77777777" w:rsidR="00710832" w:rsidRDefault="00710832" w:rsidP="006E08B3">
          <w:pPr>
            <w:pStyle w:val="Heading3"/>
          </w:pPr>
          <w:r>
            <w:t>Copyright</w:t>
          </w:r>
        </w:p>
        <w:p w14:paraId="723E9C3E" w14:textId="77777777" w:rsidR="00710832" w:rsidRDefault="00710832" w:rsidP="006E08B3">
          <w:r>
            <w:rPr>
              <w:rFonts w:cs="Arial"/>
            </w:rPr>
            <w:t>©</w:t>
          </w:r>
          <w:r>
            <w:t xml:space="preserve"> Commonwealth of Australia [add year]</w:t>
          </w:r>
        </w:p>
        <w:p w14:paraId="66FCDC93" w14:textId="77777777" w:rsidR="00710832" w:rsidRDefault="00710832" w:rsidP="006E08B3"/>
        <w:p w14:paraId="0DA6DC88" w14:textId="77777777" w:rsidR="00710832" w:rsidRDefault="0071083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566FAD0" w14:textId="77777777" w:rsidR="00710832" w:rsidRDefault="00710832" w:rsidP="006E08B3"/>
        <w:p w14:paraId="6AB0DA3F" w14:textId="77777777" w:rsidR="00710832" w:rsidRDefault="00710832" w:rsidP="006E08B3">
          <w:pPr>
            <w:pStyle w:val="Heading3"/>
          </w:pPr>
          <w:r>
            <w:t>Confidentiality</w:t>
          </w:r>
        </w:p>
        <w:p w14:paraId="1DB1972E" w14:textId="77777777" w:rsidR="00710832" w:rsidRDefault="0071083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1016F97" w14:textId="77777777" w:rsidR="00710832" w:rsidRDefault="00710832" w:rsidP="006E08B3"/>
        <w:p w14:paraId="6F22D050" w14:textId="77777777" w:rsidR="00710832" w:rsidRDefault="00710832" w:rsidP="006E08B3">
          <w:r>
            <w:t>For submission made by individuals, all personal details, other than your name, will be removed from your submission before it is published on the TGA’s Internet site.</w:t>
          </w:r>
        </w:p>
        <w:p w14:paraId="259E92D0" w14:textId="77777777" w:rsidR="00710832" w:rsidRDefault="00710832" w:rsidP="006E08B3"/>
        <w:p w14:paraId="4F72F1E1" w14:textId="77777777" w:rsidR="00710832" w:rsidRDefault="00710832" w:rsidP="006E08B3">
          <w:r>
            <w:t>In addition, a list of parties making submissions will be published. If you do not wish to be identified with your submission you must specifically request this in the space provided ib the submission coversheet.</w:t>
          </w:r>
        </w:p>
      </w:tc>
    </w:tr>
    <w:tr w:rsidR="00710832" w14:paraId="1BD5A1F7" w14:textId="77777777" w:rsidTr="0010601F">
      <w:trPr>
        <w:trHeight w:val="417"/>
      </w:trPr>
      <w:tc>
        <w:tcPr>
          <w:tcW w:w="4519" w:type="dxa"/>
          <w:tcBorders>
            <w:top w:val="single" w:sz="4" w:space="0" w:color="auto"/>
          </w:tcBorders>
          <w:tcMar>
            <w:top w:w="142" w:type="dxa"/>
            <w:bottom w:w="0" w:type="dxa"/>
          </w:tcMar>
        </w:tcPr>
        <w:p w14:paraId="7204B6D2" w14:textId="77777777" w:rsidR="00710832" w:rsidRDefault="00710832" w:rsidP="006E08B3">
          <w:r>
            <w:t>Document title, Part #, Section # - Section title</w:t>
          </w:r>
        </w:p>
        <w:p w14:paraId="39E690B9" w14:textId="77777777" w:rsidR="00710832" w:rsidRDefault="00710832" w:rsidP="006E08B3">
          <w:r>
            <w:t>V1.0 October 2010</w:t>
          </w:r>
        </w:p>
      </w:tc>
      <w:tc>
        <w:tcPr>
          <w:tcW w:w="4356" w:type="dxa"/>
          <w:tcBorders>
            <w:top w:val="single" w:sz="4" w:space="0" w:color="auto"/>
          </w:tcBorders>
          <w:tcMar>
            <w:top w:w="142" w:type="dxa"/>
            <w:bottom w:w="0" w:type="dxa"/>
          </w:tcMar>
        </w:tcPr>
        <w:p w14:paraId="5D4ADB8D" w14:textId="4D55DAAF" w:rsidR="00710832" w:rsidRDefault="0071083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sidR="009D5B6F">
              <w:rPr>
                <w:noProof/>
              </w:rPr>
              <w:t>1</w:t>
            </w:r>
          </w:fldSimple>
          <w:r>
            <w:t xml:space="preserve">  </w:t>
          </w:r>
        </w:p>
      </w:tc>
    </w:tr>
  </w:tbl>
  <w:p w14:paraId="6DB3503A" w14:textId="77777777" w:rsidR="00710832" w:rsidRDefault="007108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3292C" w14:textId="77777777" w:rsidR="00710832" w:rsidRDefault="00710832" w:rsidP="00C40A36">
      <w:pPr>
        <w:spacing w:after="0"/>
      </w:pPr>
      <w:r>
        <w:separator/>
      </w:r>
    </w:p>
  </w:footnote>
  <w:footnote w:type="continuationSeparator" w:id="0">
    <w:p w14:paraId="543D6AF6" w14:textId="77777777" w:rsidR="00710832" w:rsidRDefault="00710832" w:rsidP="00C40A36">
      <w:pPr>
        <w:spacing w:after="0"/>
      </w:pPr>
      <w:r>
        <w:continuationSeparator/>
      </w:r>
    </w:p>
  </w:footnote>
  <w:footnote w:id="1">
    <w:p w14:paraId="3EFAE153" w14:textId="77777777" w:rsidR="00710832" w:rsidRPr="008C5DB2" w:rsidRDefault="00710832" w:rsidP="001F31AB">
      <w:pPr>
        <w:pStyle w:val="FootnoteText"/>
        <w:rPr>
          <w:szCs w:val="18"/>
          <w:lang w:val="en-GB"/>
        </w:rPr>
      </w:pPr>
      <w:r>
        <w:rPr>
          <w:rStyle w:val="FootnoteReference"/>
        </w:rPr>
        <w:footnoteRef/>
      </w:r>
      <w:r>
        <w:t xml:space="preserve"> </w:t>
      </w:r>
      <w:r w:rsidRPr="008C5DB2">
        <w:rPr>
          <w:szCs w:val="18"/>
        </w:rPr>
        <w:t>Australian PI for Mirena levonorgestrel 52 mg intrauterine drug delivery system sachet. Bayer Australia Ltd</w:t>
      </w:r>
    </w:p>
  </w:footnote>
  <w:footnote w:id="2">
    <w:p w14:paraId="39A30B90" w14:textId="77777777" w:rsidR="00710832" w:rsidRPr="008C5DB2" w:rsidRDefault="00710832" w:rsidP="001F31AB">
      <w:pPr>
        <w:spacing w:before="0" w:after="0"/>
        <w:rPr>
          <w:sz w:val="18"/>
          <w:szCs w:val="18"/>
          <w:lang w:eastAsia="ja-JP"/>
        </w:rPr>
      </w:pPr>
      <w:r w:rsidRPr="008C5DB2">
        <w:rPr>
          <w:rStyle w:val="FootnoteReference"/>
          <w:sz w:val="18"/>
          <w:szCs w:val="18"/>
        </w:rPr>
        <w:footnoteRef/>
      </w:r>
      <w:r w:rsidRPr="008C5DB2">
        <w:rPr>
          <w:sz w:val="18"/>
          <w:szCs w:val="18"/>
        </w:rPr>
        <w:t xml:space="preserve"> Australian PI for Jaydess levonorgestrel 13.5 mg intrauterine drug delivery system sachet. Bayer Australia Ltd</w:t>
      </w:r>
    </w:p>
  </w:footnote>
  <w:footnote w:id="3">
    <w:p w14:paraId="429229D7" w14:textId="77777777" w:rsidR="00710832" w:rsidRPr="002C5AA5" w:rsidRDefault="00710832" w:rsidP="00CB1D39">
      <w:pPr>
        <w:pStyle w:val="FootnoteText"/>
        <w:rPr>
          <w:lang w:val="en-GB"/>
        </w:rPr>
      </w:pPr>
      <w:r>
        <w:rPr>
          <w:rStyle w:val="FootnoteReference"/>
        </w:rPr>
        <w:footnoteRef/>
      </w:r>
      <w:r>
        <w:t xml:space="preserve"> </w:t>
      </w:r>
      <w:r>
        <w:rPr>
          <w:lang w:val="en-GB"/>
        </w:rPr>
        <w:t xml:space="preserve">ISO 10993: International Organization on Standardization, </w:t>
      </w:r>
      <w:r>
        <w:t>Standards for Evaluating Biocompatibility of Medical Devices.</w:t>
      </w:r>
    </w:p>
  </w:footnote>
  <w:footnote w:id="4">
    <w:p w14:paraId="12220A9A" w14:textId="3C0D9929" w:rsidR="00710832" w:rsidRPr="002C5AA5" w:rsidRDefault="00710832" w:rsidP="002C5AA5">
      <w:pPr>
        <w:pStyle w:val="FootnoteText"/>
        <w:rPr>
          <w:lang w:val="en-GB"/>
        </w:rPr>
      </w:pPr>
      <w:r>
        <w:rPr>
          <w:rStyle w:val="FootnoteReference"/>
        </w:rPr>
        <w:footnoteRef/>
      </w:r>
      <w:r>
        <w:t xml:space="preserve"> </w:t>
      </w:r>
      <w:r>
        <w:rPr>
          <w:lang w:val="en-GB"/>
        </w:rPr>
        <w:t xml:space="preserve">Australian Pregnancy Category B3: </w:t>
      </w:r>
      <w:r w:rsidRPr="002C5AA5">
        <w:rPr>
          <w:lang w:val="en-GB"/>
        </w:rPr>
        <w:t>Drugs which have been taken by only a limited number of pregnant women and women of childbearing age, without an increase in the frequency of malformation or other direct or indirect harmful effects on the hu</w:t>
      </w:r>
      <w:r>
        <w:rPr>
          <w:lang w:val="en-GB"/>
        </w:rPr>
        <w:t xml:space="preserve">man fetus having been observed. </w:t>
      </w:r>
      <w:r w:rsidRPr="002C5AA5">
        <w:rPr>
          <w:lang w:val="en-GB"/>
        </w:rPr>
        <w:t>Studies in animals have shown evidence of an increased occurrence of fetal damage, the significance of which is considered uncertain in humans.</w:t>
      </w:r>
    </w:p>
  </w:footnote>
  <w:footnote w:id="5">
    <w:p w14:paraId="52C63661" w14:textId="77777777" w:rsidR="00710832" w:rsidRPr="00E018FA" w:rsidRDefault="00710832" w:rsidP="004F7D3A">
      <w:pPr>
        <w:pStyle w:val="FootnoteText"/>
        <w:rPr>
          <w:lang w:val="en-GB"/>
        </w:rPr>
      </w:pPr>
      <w:r>
        <w:rPr>
          <w:rStyle w:val="FootnoteReference"/>
        </w:rPr>
        <w:footnoteRef/>
      </w:r>
      <w:r>
        <w:t xml:space="preserve"> </w:t>
      </w:r>
      <w:r>
        <w:rPr>
          <w:lang w:val="en-GB"/>
        </w:rPr>
        <w:t>AusPAR for Jaydess (intrauterine delivery system) levonorgestrel Bayer Australia Ltd; February 2014. TGA; Canberra, Australia.</w:t>
      </w:r>
    </w:p>
  </w:footnote>
  <w:footnote w:id="6">
    <w:p w14:paraId="7F41BEF9" w14:textId="65975E48" w:rsidR="00710832" w:rsidRPr="00BE4CA9" w:rsidRDefault="00710832" w:rsidP="00BE4CA9">
      <w:pPr>
        <w:pStyle w:val="FootnoteText"/>
      </w:pPr>
      <w:r>
        <w:rPr>
          <w:rStyle w:val="FootnoteReference"/>
        </w:rPr>
        <w:footnoteRef/>
      </w:r>
      <w:r>
        <w:t xml:space="preserve"> American Section of the International Association for Testing Materials (ASTM International) Standard F2503-08: Standard Practice for Marking Medical Devices and Other Items for Safety in the Magnetic Resonance Environment.</w:t>
      </w:r>
    </w:p>
  </w:footnote>
  <w:footnote w:id="7">
    <w:p w14:paraId="1D2A9F90" w14:textId="022749F6" w:rsidR="00710832" w:rsidRPr="00BE4CA9" w:rsidRDefault="00710832">
      <w:pPr>
        <w:pStyle w:val="FootnoteText"/>
        <w:rPr>
          <w:lang w:val="en-GB"/>
        </w:rPr>
      </w:pPr>
      <w:r>
        <w:rPr>
          <w:rStyle w:val="FootnoteReference"/>
        </w:rPr>
        <w:footnoteRef/>
      </w:r>
      <w:r>
        <w:t xml:space="preserve"> FDA Guidance related to MR safety evaluation (2014): ‘Guidance for Industry and FDA Staff: Establishing Safety and Compatibility of Passive Implants in the Magnetic Resonance (MR) Environment’.</w:t>
      </w:r>
    </w:p>
  </w:footnote>
  <w:footnote w:id="8">
    <w:p w14:paraId="6D5015CE" w14:textId="404EAAAF" w:rsidR="00710832" w:rsidRPr="004F27DD" w:rsidRDefault="00710832">
      <w:pPr>
        <w:pStyle w:val="FootnoteText"/>
        <w:rPr>
          <w:lang w:val="en-GB"/>
        </w:rPr>
      </w:pPr>
      <w:r>
        <w:rPr>
          <w:rStyle w:val="FootnoteReference"/>
        </w:rPr>
        <w:footnoteRef/>
      </w:r>
      <w:r>
        <w:t xml:space="preserve"> </w:t>
      </w:r>
      <w:r w:rsidRPr="004F27DD">
        <w:t>The Australian Drug Evaluation Committee (ADEC) was formed in 1963 and given the role of providing independent, scientific advice on new drugs, within the policy framework of the time, to the Federal Government.</w:t>
      </w:r>
      <w:r>
        <w:t xml:space="preserve"> ADEC was replaced in 2010 by the Australian Committee on Pharmaceutical Medicines (2010). More recently, t</w:t>
      </w:r>
      <w:r w:rsidRPr="00C54994">
        <w:t xml:space="preserve">he </w:t>
      </w:r>
      <w:r>
        <w:t>Australian Committee on Medicines (</w:t>
      </w:r>
      <w:r w:rsidRPr="00C54994">
        <w:t>ACM</w:t>
      </w:r>
      <w:r>
        <w:t>)</w:t>
      </w:r>
      <w:r w:rsidRPr="00C54994">
        <w:t xml:space="preserve"> was established in January 2017, to encompass pre and post-market advice for medicines, following the consolidation of the previous functions of the </w:t>
      </w:r>
      <w:r>
        <w:t>ACPM</w:t>
      </w:r>
      <w:r w:rsidRPr="00C54994">
        <w:t>, the Advisory Committee on the Safety of Medicines (ACSOM) and the Advisory Committee on Non-Prescription Medicines (ACNM).</w:t>
      </w:r>
    </w:p>
  </w:footnote>
  <w:footnote w:id="9">
    <w:p w14:paraId="5821915E" w14:textId="1C50EAC2" w:rsidR="00710832" w:rsidRPr="000E59CA" w:rsidRDefault="00710832">
      <w:pPr>
        <w:pStyle w:val="FootnoteText"/>
        <w:rPr>
          <w:lang w:val="en-GB"/>
        </w:rPr>
      </w:pPr>
      <w:r>
        <w:rPr>
          <w:rStyle w:val="FootnoteReference"/>
        </w:rPr>
        <w:footnoteRef/>
      </w:r>
      <w:r>
        <w:t xml:space="preserve"> American Section of the International Association for Testing Materials (ASTM International) Standard F2503-08: </w:t>
      </w:r>
      <w:r w:rsidRPr="000E59CA">
        <w:t>Standard Practice for Marking Medical Devices and Other Items for Safety in the Magnetic Resonance Environment</w:t>
      </w:r>
      <w:r>
        <w:t>.</w:t>
      </w:r>
    </w:p>
  </w:footnote>
  <w:footnote w:id="10">
    <w:p w14:paraId="14CA0CC0" w14:textId="1155D515" w:rsidR="00710832" w:rsidRPr="000E59CA" w:rsidRDefault="00710832">
      <w:pPr>
        <w:pStyle w:val="FootnoteText"/>
        <w:rPr>
          <w:lang w:val="en-GB"/>
        </w:rPr>
      </w:pPr>
      <w:r>
        <w:rPr>
          <w:rStyle w:val="FootnoteReference"/>
        </w:rPr>
        <w:footnoteRef/>
      </w:r>
      <w:r>
        <w:t xml:space="preserve"> </w:t>
      </w:r>
      <w:r w:rsidRPr="000E59CA">
        <w:t>FDA Guidance related to MR safety evaluation</w:t>
      </w:r>
      <w:r>
        <w:t xml:space="preserve"> (2014): ‘</w:t>
      </w:r>
      <w:r w:rsidRPr="000E59CA">
        <w:t>Guidance for Industry and FDA Staff: Establishing Safety and Compatibility of Passive Implants in the Magnetic Resonance (MR) Environment</w:t>
      </w:r>
      <w:r>
        <w:t>’.</w:t>
      </w:r>
    </w:p>
  </w:footnote>
  <w:footnote w:id="11">
    <w:p w14:paraId="29C7B44E" w14:textId="3C2566E2" w:rsidR="00710832" w:rsidRPr="000E5D80" w:rsidRDefault="00710832">
      <w:pPr>
        <w:pStyle w:val="FootnoteText"/>
        <w:rPr>
          <w:lang w:val="en-GB"/>
        </w:rPr>
      </w:pPr>
      <w:r>
        <w:rPr>
          <w:rStyle w:val="FootnoteReference"/>
        </w:rPr>
        <w:footnoteRef/>
      </w:r>
      <w:r>
        <w:t xml:space="preserve"> </w:t>
      </w:r>
      <w:r>
        <w:rPr>
          <w:lang w:val="en-GB"/>
        </w:rPr>
        <w:t>WHO: Medical Eligibility Criteria for Contraceptive Use. Geneva: World Health Organization, 2015. 5</w:t>
      </w:r>
      <w:r w:rsidRPr="000E5D80">
        <w:rPr>
          <w:vertAlign w:val="superscript"/>
          <w:lang w:val="en-GB"/>
        </w:rPr>
        <w:t>th</w:t>
      </w:r>
      <w:r>
        <w:rPr>
          <w:lang w:val="en-GB"/>
        </w:rPr>
        <w:t xml:space="preserve"> Edition.</w:t>
      </w:r>
    </w:p>
  </w:footnote>
  <w:footnote w:id="12">
    <w:p w14:paraId="7A32C33B" w14:textId="5471EC4A" w:rsidR="00710832" w:rsidRPr="000E5D80" w:rsidRDefault="00710832">
      <w:pPr>
        <w:pStyle w:val="FootnoteText"/>
        <w:rPr>
          <w:lang w:val="en-GB"/>
        </w:rPr>
      </w:pPr>
      <w:r>
        <w:rPr>
          <w:rStyle w:val="FootnoteReference"/>
        </w:rPr>
        <w:footnoteRef/>
      </w:r>
      <w:r>
        <w:t xml:space="preserve"> </w:t>
      </w:r>
      <w:r>
        <w:rPr>
          <w:lang w:val="en-GB"/>
        </w:rPr>
        <w:t>WHO: Improving Access to Quality Care in Family Planning. Medical Eligibility Criteria for Initiating and Continuing Use of Contraceptive Methods. 1996, 1</w:t>
      </w:r>
      <w:r w:rsidRPr="000E5D80">
        <w:rPr>
          <w:vertAlign w:val="superscript"/>
          <w:lang w:val="en-GB"/>
        </w:rPr>
        <w:t>st</w:t>
      </w:r>
      <w:r>
        <w:rPr>
          <w:lang w:val="en-GB"/>
        </w:rPr>
        <w:t xml:space="preserve"> Edition.</w:t>
      </w:r>
    </w:p>
  </w:footnote>
  <w:footnote w:id="13">
    <w:p w14:paraId="0F216859" w14:textId="4319DE7B" w:rsidR="00710832" w:rsidRPr="00731D2F" w:rsidRDefault="00710832">
      <w:pPr>
        <w:pStyle w:val="FootnoteText"/>
        <w:rPr>
          <w:lang w:val="en-GB"/>
        </w:rPr>
      </w:pPr>
      <w:r>
        <w:rPr>
          <w:rStyle w:val="FootnoteReference"/>
        </w:rPr>
        <w:footnoteRef/>
      </w:r>
      <w:r>
        <w:t xml:space="preserve"> </w:t>
      </w:r>
      <w:r>
        <w:rPr>
          <w:lang w:val="en-GB"/>
        </w:rPr>
        <w:t>CDC: US Medical Eligibility Criteria for Contraceptive Use (2016) MMWR Recomm Rep. 2016; 65 (RR-3):1-103</w:t>
      </w:r>
    </w:p>
  </w:footnote>
  <w:footnote w:id="14">
    <w:p w14:paraId="1CDE5EAC" w14:textId="71D117FB" w:rsidR="00710832" w:rsidRPr="00731D2F" w:rsidRDefault="00710832">
      <w:pPr>
        <w:pStyle w:val="FootnoteText"/>
        <w:rPr>
          <w:lang w:val="en-GB"/>
        </w:rPr>
      </w:pPr>
      <w:r>
        <w:rPr>
          <w:rStyle w:val="FootnoteReference"/>
        </w:rPr>
        <w:footnoteRef/>
      </w:r>
      <w:r>
        <w:t xml:space="preserve"> </w:t>
      </w:r>
      <w:r w:rsidRPr="00731D2F">
        <w:t>F</w:t>
      </w:r>
      <w:r>
        <w:t xml:space="preserve">aculty of Sexual &amp; Reproductive Healthcare. </w:t>
      </w:r>
      <w:r w:rsidRPr="00731D2F">
        <w:t>UK Medical Eligibility Criteria for Contraceptive Use (UKMEC 2016). 2016.</w:t>
      </w:r>
    </w:p>
  </w:footnote>
  <w:footnote w:id="15">
    <w:p w14:paraId="1C313099" w14:textId="05FF794D" w:rsidR="00710832" w:rsidRPr="00731D2F" w:rsidRDefault="00710832">
      <w:pPr>
        <w:pStyle w:val="FootnoteText"/>
        <w:rPr>
          <w:lang w:val="en-GB"/>
        </w:rPr>
      </w:pPr>
      <w:r>
        <w:rPr>
          <w:rStyle w:val="FootnoteReference"/>
        </w:rPr>
        <w:footnoteRef/>
      </w:r>
      <w:r>
        <w:t xml:space="preserve"> </w:t>
      </w:r>
      <w:r>
        <w:rPr>
          <w:lang w:val="en-GB"/>
        </w:rPr>
        <w:t>FSRH, Faculty of Sexual and Reproductive Healthcare. Contraceptive Choices for Women with Cardiac Disease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50E4C" w14:textId="77777777" w:rsidR="00710832" w:rsidRDefault="0071083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12DD2" w14:textId="77777777" w:rsidR="00710832" w:rsidRDefault="00710832">
    <w:pPr>
      <w:rPr>
        <w:noProof/>
        <w:lang w:eastAsia="en-AU"/>
      </w:rPr>
    </w:pPr>
    <w:r w:rsidRPr="00347824">
      <w:rPr>
        <w:noProof/>
        <w:lang w:eastAsia="en-AU"/>
      </w:rPr>
      <w:drawing>
        <wp:anchor distT="0" distB="0" distL="114300" distR="114300" simplePos="0" relativeHeight="251659264" behindDoc="1" locked="0" layoutInCell="1" allowOverlap="1" wp14:anchorId="50A2D478" wp14:editId="11BDE4FA">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CA1F2" w14:textId="77777777" w:rsidR="00710832" w:rsidRDefault="007108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BD3C" w14:textId="77777777" w:rsidR="00710832" w:rsidRDefault="0071083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A7449" w14:textId="77777777" w:rsidR="00710832" w:rsidRDefault="0071083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6B41" w14:textId="77777777" w:rsidR="00710832" w:rsidRDefault="007108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DFED" w14:textId="77777777" w:rsidR="00710832" w:rsidRDefault="00710832"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4F2E8" w14:textId="77777777" w:rsidR="00710832" w:rsidRDefault="00710832" w:rsidP="006E08B3">
    <w:r>
      <w:t>Therapeutic Goods Administration</w:t>
    </w:r>
  </w:p>
  <w:p w14:paraId="52A77C48" w14:textId="77777777" w:rsidR="00710832" w:rsidRDefault="0071083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4A6866"/>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C96555"/>
    <w:multiLevelType w:val="hybridMultilevel"/>
    <w:tmpl w:val="6A281022"/>
    <w:lvl w:ilvl="0" w:tplc="D7A2DB20">
      <w:numFmt w:val="bullet"/>
      <w:lvlText w:val=""/>
      <w:lvlJc w:val="left"/>
      <w:pPr>
        <w:ind w:left="360" w:hanging="360"/>
      </w:pPr>
      <w:rPr>
        <w:rFonts w:ascii="Wingdings" w:eastAsia="MS Mincho" w:hAnsi="Wingdings"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1355824"/>
    <w:multiLevelType w:val="hybridMultilevel"/>
    <w:tmpl w:val="39A254E0"/>
    <w:lvl w:ilvl="0" w:tplc="0C090011">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11A2477"/>
    <w:multiLevelType w:val="hybridMultilevel"/>
    <w:tmpl w:val="AFDE87AE"/>
    <w:lvl w:ilvl="0" w:tplc="15B03E2C">
      <w:start w:val="1"/>
      <w:numFmt w:val="bullet"/>
      <w:lvlText w:val="-"/>
      <w:lvlJc w:val="left"/>
      <w:pPr>
        <w:ind w:left="1080" w:hanging="360"/>
      </w:pPr>
      <w:rPr>
        <w:rFonts w:ascii="Cambria" w:eastAsia="Cambria" w:hAnsi="Cambr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BD4626"/>
    <w:multiLevelType w:val="hybridMultilevel"/>
    <w:tmpl w:val="B5EEF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F471B7"/>
    <w:multiLevelType w:val="hybridMultilevel"/>
    <w:tmpl w:val="8CDE8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8292AD4"/>
    <w:multiLevelType w:val="multilevel"/>
    <w:tmpl w:val="7110D424"/>
    <w:styleLink w:val="Headings"/>
    <w:lvl w:ilvl="0">
      <w:start w:val="1"/>
      <w:numFmt w:val="decimal"/>
      <w:suff w:val="space"/>
      <w:lvlText w:val="%1."/>
      <w:lvlJc w:val="left"/>
      <w:pPr>
        <w:ind w:left="357" w:hanging="357"/>
      </w:pPr>
      <w:rPr>
        <w:rFonts w:asciiTheme="majorHAnsi" w:hAnsiTheme="majorHAnsi" w:hint="default"/>
      </w:rPr>
    </w:lvl>
    <w:lvl w:ilvl="1">
      <w:start w:val="1"/>
      <w:numFmt w:val="decimal"/>
      <w:suff w:val="space"/>
      <w:lvlText w:val="%1.%2."/>
      <w:lvlJc w:val="left"/>
      <w:pPr>
        <w:ind w:left="783" w:hanging="357"/>
      </w:pPr>
      <w:rPr>
        <w:rFonts w:asciiTheme="majorHAnsi" w:hAnsiTheme="majorHAnsi" w:hint="default"/>
      </w:rPr>
    </w:lvl>
    <w:lvl w:ilvl="2">
      <w:start w:val="1"/>
      <w:numFmt w:val="decimal"/>
      <w:suff w:val="space"/>
      <w:lvlText w:val="%1.%2.%3."/>
      <w:lvlJc w:val="left"/>
      <w:pPr>
        <w:ind w:left="357" w:hanging="357"/>
      </w:pPr>
      <w:rPr>
        <w:rFonts w:asciiTheme="majorHAnsi" w:hAnsiTheme="majorHAnsi" w:hint="default"/>
      </w:rPr>
    </w:lvl>
    <w:lvl w:ilvl="3">
      <w:start w:val="1"/>
      <w:numFmt w:val="decimal"/>
      <w:suff w:val="space"/>
      <w:lvlText w:val="%1.%2.%3.%4."/>
      <w:lvlJc w:val="left"/>
      <w:pPr>
        <w:ind w:left="357" w:hanging="357"/>
      </w:pPr>
      <w:rPr>
        <w:rFonts w:asciiTheme="majorHAnsi" w:hAnsiTheme="majorHAnsi"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1">
    <w:nsid w:val="40E712B6"/>
    <w:multiLevelType w:val="hybridMultilevel"/>
    <w:tmpl w:val="0F56B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1A63238"/>
    <w:multiLevelType w:val="hybridMultilevel"/>
    <w:tmpl w:val="DCAA23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21312BF"/>
    <w:multiLevelType w:val="hybridMultilevel"/>
    <w:tmpl w:val="2F288C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33A1F5F"/>
    <w:multiLevelType w:val="hybridMultilevel"/>
    <w:tmpl w:val="69B6E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D8503DE"/>
    <w:multiLevelType w:val="hybridMultilevel"/>
    <w:tmpl w:val="2A7AD7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FE77E6B"/>
    <w:multiLevelType w:val="hybridMultilevel"/>
    <w:tmpl w:val="5598411A"/>
    <w:lvl w:ilvl="0" w:tplc="D7A2DB20">
      <w:numFmt w:val="bullet"/>
      <w:lvlText w:val=""/>
      <w:lvlJc w:val="left"/>
      <w:pPr>
        <w:ind w:left="360" w:hanging="360"/>
      </w:pPr>
      <w:rPr>
        <w:rFonts w:ascii="Wingdings" w:eastAsia="MS Mincho" w:hAnsi="Wingding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18504CE"/>
    <w:multiLevelType w:val="hybridMultilevel"/>
    <w:tmpl w:val="0A92ED04"/>
    <w:lvl w:ilvl="0" w:tplc="24A415C2">
      <w:start w:val="1"/>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45546E"/>
    <w:multiLevelType w:val="hybridMultilevel"/>
    <w:tmpl w:val="698ED1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nsid w:val="660236F0"/>
    <w:multiLevelType w:val="hybridMultilevel"/>
    <w:tmpl w:val="DCAA23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797555E1"/>
    <w:multiLevelType w:val="hybridMultilevel"/>
    <w:tmpl w:val="DDF49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6"/>
  </w:num>
  <w:num w:numId="4">
    <w:abstractNumId w:val="3"/>
  </w:num>
  <w:num w:numId="5">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7">
    <w:abstractNumId w:val="11"/>
  </w:num>
  <w:num w:numId="8">
    <w:abstractNumId w:val="14"/>
  </w:num>
  <w:num w:numId="9">
    <w:abstractNumId w:val="9"/>
  </w:num>
  <w:num w:numId="10">
    <w:abstractNumId w:val="13"/>
  </w:num>
  <w:num w:numId="11">
    <w:abstractNumId w:val="2"/>
  </w:num>
  <w:num w:numId="12">
    <w:abstractNumId w:val="16"/>
  </w:num>
  <w:num w:numId="13">
    <w:abstractNumId w:val="4"/>
  </w:num>
  <w:num w:numId="14">
    <w:abstractNumId w:val="20"/>
  </w:num>
  <w:num w:numId="15">
    <w:abstractNumId w:val="19"/>
  </w:num>
  <w:num w:numId="16">
    <w:abstractNumId w:val="12"/>
  </w:num>
  <w:num w:numId="17">
    <w:abstractNumId w:val="15"/>
  </w:num>
  <w:num w:numId="18">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0">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1">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0"/>
  </w:num>
  <w:num w:numId="40">
    <w:abstractNumId w:val="8"/>
  </w:num>
  <w:num w:numId="41">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hillman">
    <w15:presenceInfo w15:providerId="Windows Live" w15:userId="ed3baf5758403b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A3"/>
    <w:rsid w:val="00002031"/>
    <w:rsid w:val="00003BD9"/>
    <w:rsid w:val="00004734"/>
    <w:rsid w:val="00006B22"/>
    <w:rsid w:val="0001276A"/>
    <w:rsid w:val="00013C01"/>
    <w:rsid w:val="000165A0"/>
    <w:rsid w:val="000246AE"/>
    <w:rsid w:val="00025C67"/>
    <w:rsid w:val="00031B70"/>
    <w:rsid w:val="00036A2E"/>
    <w:rsid w:val="00043B9D"/>
    <w:rsid w:val="00044772"/>
    <w:rsid w:val="0004579E"/>
    <w:rsid w:val="00045AC2"/>
    <w:rsid w:val="0004764E"/>
    <w:rsid w:val="0005559E"/>
    <w:rsid w:val="000604D6"/>
    <w:rsid w:val="00061AA9"/>
    <w:rsid w:val="00063287"/>
    <w:rsid w:val="00065831"/>
    <w:rsid w:val="000734D8"/>
    <w:rsid w:val="00077775"/>
    <w:rsid w:val="000823FD"/>
    <w:rsid w:val="00090471"/>
    <w:rsid w:val="00096AA7"/>
    <w:rsid w:val="00096ED1"/>
    <w:rsid w:val="000A3AED"/>
    <w:rsid w:val="000A5371"/>
    <w:rsid w:val="000A6898"/>
    <w:rsid w:val="000B3532"/>
    <w:rsid w:val="000B3A75"/>
    <w:rsid w:val="000B60E2"/>
    <w:rsid w:val="000C00C2"/>
    <w:rsid w:val="000C690F"/>
    <w:rsid w:val="000D1295"/>
    <w:rsid w:val="000D391B"/>
    <w:rsid w:val="000D3D6D"/>
    <w:rsid w:val="000D4FC7"/>
    <w:rsid w:val="000D69C0"/>
    <w:rsid w:val="000E28FD"/>
    <w:rsid w:val="000E4CDF"/>
    <w:rsid w:val="000E59CA"/>
    <w:rsid w:val="000E5D80"/>
    <w:rsid w:val="000E5FDB"/>
    <w:rsid w:val="000E6196"/>
    <w:rsid w:val="000F32DD"/>
    <w:rsid w:val="000F4869"/>
    <w:rsid w:val="000F4ABA"/>
    <w:rsid w:val="000F5A8C"/>
    <w:rsid w:val="000F5B42"/>
    <w:rsid w:val="000F6E6F"/>
    <w:rsid w:val="001022E1"/>
    <w:rsid w:val="0010601F"/>
    <w:rsid w:val="0010788A"/>
    <w:rsid w:val="00107A31"/>
    <w:rsid w:val="00107C5F"/>
    <w:rsid w:val="00110EA5"/>
    <w:rsid w:val="001118CF"/>
    <w:rsid w:val="00112740"/>
    <w:rsid w:val="00112F56"/>
    <w:rsid w:val="00114CFD"/>
    <w:rsid w:val="00124A98"/>
    <w:rsid w:val="00125318"/>
    <w:rsid w:val="001305A2"/>
    <w:rsid w:val="00133238"/>
    <w:rsid w:val="00133A1B"/>
    <w:rsid w:val="0014197B"/>
    <w:rsid w:val="001447CD"/>
    <w:rsid w:val="001452AE"/>
    <w:rsid w:val="001516B1"/>
    <w:rsid w:val="00154EBB"/>
    <w:rsid w:val="00156316"/>
    <w:rsid w:val="00161181"/>
    <w:rsid w:val="00162D14"/>
    <w:rsid w:val="00165389"/>
    <w:rsid w:val="00171E95"/>
    <w:rsid w:val="0017482F"/>
    <w:rsid w:val="0017517C"/>
    <w:rsid w:val="0017693F"/>
    <w:rsid w:val="00177FA5"/>
    <w:rsid w:val="0018110E"/>
    <w:rsid w:val="00181684"/>
    <w:rsid w:val="001843C6"/>
    <w:rsid w:val="001850E0"/>
    <w:rsid w:val="00192D92"/>
    <w:rsid w:val="00197854"/>
    <w:rsid w:val="001A2158"/>
    <w:rsid w:val="001A45AE"/>
    <w:rsid w:val="001A525F"/>
    <w:rsid w:val="001A6275"/>
    <w:rsid w:val="001B0010"/>
    <w:rsid w:val="001B09F9"/>
    <w:rsid w:val="001B5C90"/>
    <w:rsid w:val="001B6448"/>
    <w:rsid w:val="001B6E0E"/>
    <w:rsid w:val="001B74CD"/>
    <w:rsid w:val="001C0F33"/>
    <w:rsid w:val="001C32CD"/>
    <w:rsid w:val="001C67AC"/>
    <w:rsid w:val="001D2984"/>
    <w:rsid w:val="001E07CF"/>
    <w:rsid w:val="001E34EF"/>
    <w:rsid w:val="001E59F1"/>
    <w:rsid w:val="001F2CEE"/>
    <w:rsid w:val="001F31AB"/>
    <w:rsid w:val="001F49EB"/>
    <w:rsid w:val="001F6CBA"/>
    <w:rsid w:val="00201D4E"/>
    <w:rsid w:val="00205198"/>
    <w:rsid w:val="00206EBB"/>
    <w:rsid w:val="002076C9"/>
    <w:rsid w:val="00215965"/>
    <w:rsid w:val="00220B8A"/>
    <w:rsid w:val="002227D1"/>
    <w:rsid w:val="00223B39"/>
    <w:rsid w:val="002257F3"/>
    <w:rsid w:val="002268AA"/>
    <w:rsid w:val="002279A9"/>
    <w:rsid w:val="00233456"/>
    <w:rsid w:val="002339A5"/>
    <w:rsid w:val="0023466A"/>
    <w:rsid w:val="00236985"/>
    <w:rsid w:val="00240615"/>
    <w:rsid w:val="00244BAC"/>
    <w:rsid w:val="002454D3"/>
    <w:rsid w:val="00245959"/>
    <w:rsid w:val="00246FBD"/>
    <w:rsid w:val="00257688"/>
    <w:rsid w:val="00257848"/>
    <w:rsid w:val="0025789B"/>
    <w:rsid w:val="0027084A"/>
    <w:rsid w:val="00277646"/>
    <w:rsid w:val="00286434"/>
    <w:rsid w:val="00286C59"/>
    <w:rsid w:val="0028792A"/>
    <w:rsid w:val="002916DF"/>
    <w:rsid w:val="00291957"/>
    <w:rsid w:val="002942D1"/>
    <w:rsid w:val="0029501A"/>
    <w:rsid w:val="00295DD3"/>
    <w:rsid w:val="00296591"/>
    <w:rsid w:val="002A3721"/>
    <w:rsid w:val="002A49A7"/>
    <w:rsid w:val="002A7918"/>
    <w:rsid w:val="002B1638"/>
    <w:rsid w:val="002B3624"/>
    <w:rsid w:val="002C580A"/>
    <w:rsid w:val="002C5AA5"/>
    <w:rsid w:val="002C6914"/>
    <w:rsid w:val="002D0952"/>
    <w:rsid w:val="002D5BF9"/>
    <w:rsid w:val="002E40B3"/>
    <w:rsid w:val="002E4C9A"/>
    <w:rsid w:val="002E4D46"/>
    <w:rsid w:val="002F0F43"/>
    <w:rsid w:val="002F11F8"/>
    <w:rsid w:val="002F1A6A"/>
    <w:rsid w:val="002F2661"/>
    <w:rsid w:val="002F2823"/>
    <w:rsid w:val="002F392B"/>
    <w:rsid w:val="002F3F56"/>
    <w:rsid w:val="002F44B5"/>
    <w:rsid w:val="00302224"/>
    <w:rsid w:val="00302349"/>
    <w:rsid w:val="00311AC0"/>
    <w:rsid w:val="003125C4"/>
    <w:rsid w:val="003176FC"/>
    <w:rsid w:val="00323735"/>
    <w:rsid w:val="00324BBB"/>
    <w:rsid w:val="003257FC"/>
    <w:rsid w:val="0032583B"/>
    <w:rsid w:val="00327883"/>
    <w:rsid w:val="0033050B"/>
    <w:rsid w:val="00331F55"/>
    <w:rsid w:val="00335504"/>
    <w:rsid w:val="00340C18"/>
    <w:rsid w:val="00343E9A"/>
    <w:rsid w:val="003442FD"/>
    <w:rsid w:val="00347824"/>
    <w:rsid w:val="00350567"/>
    <w:rsid w:val="0035115E"/>
    <w:rsid w:val="003521E8"/>
    <w:rsid w:val="00353238"/>
    <w:rsid w:val="0035342C"/>
    <w:rsid w:val="003545D2"/>
    <w:rsid w:val="00364BD1"/>
    <w:rsid w:val="00370CE3"/>
    <w:rsid w:val="003728F3"/>
    <w:rsid w:val="0037496E"/>
    <w:rsid w:val="0037666F"/>
    <w:rsid w:val="00383221"/>
    <w:rsid w:val="003846B2"/>
    <w:rsid w:val="00386150"/>
    <w:rsid w:val="003874CE"/>
    <w:rsid w:val="00390900"/>
    <w:rsid w:val="0039148A"/>
    <w:rsid w:val="003915CC"/>
    <w:rsid w:val="003917B8"/>
    <w:rsid w:val="00392B43"/>
    <w:rsid w:val="003A1000"/>
    <w:rsid w:val="003A2AF0"/>
    <w:rsid w:val="003A4205"/>
    <w:rsid w:val="003A7F6C"/>
    <w:rsid w:val="003B0439"/>
    <w:rsid w:val="003B120F"/>
    <w:rsid w:val="003B4D60"/>
    <w:rsid w:val="003B7E39"/>
    <w:rsid w:val="003C58DC"/>
    <w:rsid w:val="003C6F82"/>
    <w:rsid w:val="003D1E62"/>
    <w:rsid w:val="003D26F9"/>
    <w:rsid w:val="003D636C"/>
    <w:rsid w:val="003E0B99"/>
    <w:rsid w:val="003E1144"/>
    <w:rsid w:val="003E2486"/>
    <w:rsid w:val="003E3208"/>
    <w:rsid w:val="003F0B04"/>
    <w:rsid w:val="003F463C"/>
    <w:rsid w:val="003F62FF"/>
    <w:rsid w:val="0040134E"/>
    <w:rsid w:val="0040193E"/>
    <w:rsid w:val="004024B1"/>
    <w:rsid w:val="00405553"/>
    <w:rsid w:val="004073E3"/>
    <w:rsid w:val="00412685"/>
    <w:rsid w:val="00426848"/>
    <w:rsid w:val="004270A3"/>
    <w:rsid w:val="00430139"/>
    <w:rsid w:val="004334C7"/>
    <w:rsid w:val="004351A8"/>
    <w:rsid w:val="00440A2D"/>
    <w:rsid w:val="00441C3F"/>
    <w:rsid w:val="00444D6E"/>
    <w:rsid w:val="004553EF"/>
    <w:rsid w:val="004564A7"/>
    <w:rsid w:val="00460C53"/>
    <w:rsid w:val="004617BF"/>
    <w:rsid w:val="00463412"/>
    <w:rsid w:val="00463658"/>
    <w:rsid w:val="004637A0"/>
    <w:rsid w:val="004722CC"/>
    <w:rsid w:val="00487CFD"/>
    <w:rsid w:val="00492E0B"/>
    <w:rsid w:val="004936E4"/>
    <w:rsid w:val="00494E60"/>
    <w:rsid w:val="00497487"/>
    <w:rsid w:val="004A6189"/>
    <w:rsid w:val="004A6A76"/>
    <w:rsid w:val="004A7390"/>
    <w:rsid w:val="004B1DA1"/>
    <w:rsid w:val="004B6C22"/>
    <w:rsid w:val="004B7B76"/>
    <w:rsid w:val="004B7D4D"/>
    <w:rsid w:val="004C1459"/>
    <w:rsid w:val="004C239D"/>
    <w:rsid w:val="004C2DCA"/>
    <w:rsid w:val="004C61D2"/>
    <w:rsid w:val="004C6634"/>
    <w:rsid w:val="004C71EC"/>
    <w:rsid w:val="004D2331"/>
    <w:rsid w:val="004D3211"/>
    <w:rsid w:val="004D5F11"/>
    <w:rsid w:val="004D76FB"/>
    <w:rsid w:val="004E708C"/>
    <w:rsid w:val="004F0C4A"/>
    <w:rsid w:val="004F0CF6"/>
    <w:rsid w:val="004F0F38"/>
    <w:rsid w:val="004F27DD"/>
    <w:rsid w:val="004F2D98"/>
    <w:rsid w:val="004F47D6"/>
    <w:rsid w:val="004F7D3A"/>
    <w:rsid w:val="00500F75"/>
    <w:rsid w:val="005012D5"/>
    <w:rsid w:val="00501921"/>
    <w:rsid w:val="005055FF"/>
    <w:rsid w:val="00511C2A"/>
    <w:rsid w:val="00530354"/>
    <w:rsid w:val="00530D9F"/>
    <w:rsid w:val="005330A8"/>
    <w:rsid w:val="0053625B"/>
    <w:rsid w:val="00536473"/>
    <w:rsid w:val="0053795E"/>
    <w:rsid w:val="005434C6"/>
    <w:rsid w:val="00543B39"/>
    <w:rsid w:val="0054500C"/>
    <w:rsid w:val="00545F7C"/>
    <w:rsid w:val="00546154"/>
    <w:rsid w:val="00550096"/>
    <w:rsid w:val="00555280"/>
    <w:rsid w:val="00557FF9"/>
    <w:rsid w:val="00561129"/>
    <w:rsid w:val="00562327"/>
    <w:rsid w:val="00562F04"/>
    <w:rsid w:val="005670DC"/>
    <w:rsid w:val="005702A8"/>
    <w:rsid w:val="005711D5"/>
    <w:rsid w:val="005715A9"/>
    <w:rsid w:val="005719CC"/>
    <w:rsid w:val="00576378"/>
    <w:rsid w:val="00577130"/>
    <w:rsid w:val="00577945"/>
    <w:rsid w:val="00577E38"/>
    <w:rsid w:val="00580B00"/>
    <w:rsid w:val="005848AD"/>
    <w:rsid w:val="0058502F"/>
    <w:rsid w:val="00585322"/>
    <w:rsid w:val="005857C6"/>
    <w:rsid w:val="00586B33"/>
    <w:rsid w:val="00590835"/>
    <w:rsid w:val="00591F57"/>
    <w:rsid w:val="00592F6E"/>
    <w:rsid w:val="00593AD1"/>
    <w:rsid w:val="00597373"/>
    <w:rsid w:val="005A66B0"/>
    <w:rsid w:val="005A67E8"/>
    <w:rsid w:val="005A68B6"/>
    <w:rsid w:val="005B6C88"/>
    <w:rsid w:val="005C2A2D"/>
    <w:rsid w:val="005C5570"/>
    <w:rsid w:val="005C718B"/>
    <w:rsid w:val="005C71C8"/>
    <w:rsid w:val="005C79A4"/>
    <w:rsid w:val="005D0578"/>
    <w:rsid w:val="005D0CDE"/>
    <w:rsid w:val="005D5442"/>
    <w:rsid w:val="005E1A41"/>
    <w:rsid w:val="005E7BBE"/>
    <w:rsid w:val="005F2E16"/>
    <w:rsid w:val="005F30E0"/>
    <w:rsid w:val="00600A5A"/>
    <w:rsid w:val="00603F32"/>
    <w:rsid w:val="00605862"/>
    <w:rsid w:val="00605AD4"/>
    <w:rsid w:val="00607097"/>
    <w:rsid w:val="00611EC9"/>
    <w:rsid w:val="006136D7"/>
    <w:rsid w:val="0061653C"/>
    <w:rsid w:val="006204B6"/>
    <w:rsid w:val="0062591A"/>
    <w:rsid w:val="00625A6E"/>
    <w:rsid w:val="00632398"/>
    <w:rsid w:val="00636B6C"/>
    <w:rsid w:val="0063797E"/>
    <w:rsid w:val="00640FC3"/>
    <w:rsid w:val="00642020"/>
    <w:rsid w:val="00642700"/>
    <w:rsid w:val="006458C4"/>
    <w:rsid w:val="00646CC0"/>
    <w:rsid w:val="00651475"/>
    <w:rsid w:val="006514DC"/>
    <w:rsid w:val="00651B04"/>
    <w:rsid w:val="0065337B"/>
    <w:rsid w:val="0065419D"/>
    <w:rsid w:val="006541DF"/>
    <w:rsid w:val="006604D8"/>
    <w:rsid w:val="00663454"/>
    <w:rsid w:val="0066352C"/>
    <w:rsid w:val="00664A5B"/>
    <w:rsid w:val="00665BDF"/>
    <w:rsid w:val="0066735C"/>
    <w:rsid w:val="00672A54"/>
    <w:rsid w:val="00674613"/>
    <w:rsid w:val="006763D2"/>
    <w:rsid w:val="0067702D"/>
    <w:rsid w:val="00680885"/>
    <w:rsid w:val="00680C08"/>
    <w:rsid w:val="006848C6"/>
    <w:rsid w:val="006915F8"/>
    <w:rsid w:val="006916A0"/>
    <w:rsid w:val="00692A02"/>
    <w:rsid w:val="006931B1"/>
    <w:rsid w:val="006A15C0"/>
    <w:rsid w:val="006A3F0A"/>
    <w:rsid w:val="006A5993"/>
    <w:rsid w:val="006A6E13"/>
    <w:rsid w:val="006B2F37"/>
    <w:rsid w:val="006B34B9"/>
    <w:rsid w:val="006C2E58"/>
    <w:rsid w:val="006C3E2A"/>
    <w:rsid w:val="006C642F"/>
    <w:rsid w:val="006D03E5"/>
    <w:rsid w:val="006D2AA4"/>
    <w:rsid w:val="006D5D3E"/>
    <w:rsid w:val="006E08B3"/>
    <w:rsid w:val="006F17AC"/>
    <w:rsid w:val="006F25B8"/>
    <w:rsid w:val="006F5523"/>
    <w:rsid w:val="006F572E"/>
    <w:rsid w:val="006F65DC"/>
    <w:rsid w:val="007046D6"/>
    <w:rsid w:val="00704F9C"/>
    <w:rsid w:val="00705DB0"/>
    <w:rsid w:val="00710832"/>
    <w:rsid w:val="0071419C"/>
    <w:rsid w:val="00721D65"/>
    <w:rsid w:val="00722B57"/>
    <w:rsid w:val="00727A66"/>
    <w:rsid w:val="00730F8A"/>
    <w:rsid w:val="00731D2F"/>
    <w:rsid w:val="00735A8C"/>
    <w:rsid w:val="0074253D"/>
    <w:rsid w:val="0074429B"/>
    <w:rsid w:val="007615BC"/>
    <w:rsid w:val="00762F05"/>
    <w:rsid w:val="007652FF"/>
    <w:rsid w:val="00770CAC"/>
    <w:rsid w:val="00770EF1"/>
    <w:rsid w:val="00772A5D"/>
    <w:rsid w:val="00773EF7"/>
    <w:rsid w:val="00774E1D"/>
    <w:rsid w:val="007765D8"/>
    <w:rsid w:val="0077675A"/>
    <w:rsid w:val="00777403"/>
    <w:rsid w:val="00780355"/>
    <w:rsid w:val="007816FD"/>
    <w:rsid w:val="007819FD"/>
    <w:rsid w:val="00785717"/>
    <w:rsid w:val="00785721"/>
    <w:rsid w:val="0079155B"/>
    <w:rsid w:val="0079222E"/>
    <w:rsid w:val="00793A59"/>
    <w:rsid w:val="007A0934"/>
    <w:rsid w:val="007B6132"/>
    <w:rsid w:val="007B6E9F"/>
    <w:rsid w:val="007C1216"/>
    <w:rsid w:val="007C1AF7"/>
    <w:rsid w:val="007C6B9B"/>
    <w:rsid w:val="007C76BE"/>
    <w:rsid w:val="007D40DF"/>
    <w:rsid w:val="007F05FE"/>
    <w:rsid w:val="007F7D42"/>
    <w:rsid w:val="00804713"/>
    <w:rsid w:val="00805855"/>
    <w:rsid w:val="00805D27"/>
    <w:rsid w:val="00806DCB"/>
    <w:rsid w:val="00811736"/>
    <w:rsid w:val="00811AA3"/>
    <w:rsid w:val="0081576D"/>
    <w:rsid w:val="00816ED9"/>
    <w:rsid w:val="0082062D"/>
    <w:rsid w:val="00821776"/>
    <w:rsid w:val="00824292"/>
    <w:rsid w:val="008321F5"/>
    <w:rsid w:val="00832369"/>
    <w:rsid w:val="00834660"/>
    <w:rsid w:val="0083688E"/>
    <w:rsid w:val="00836BC2"/>
    <w:rsid w:val="00841321"/>
    <w:rsid w:val="00847308"/>
    <w:rsid w:val="0085156D"/>
    <w:rsid w:val="0085222C"/>
    <w:rsid w:val="00852CE9"/>
    <w:rsid w:val="00854DC3"/>
    <w:rsid w:val="0085641B"/>
    <w:rsid w:val="00856BDA"/>
    <w:rsid w:val="00857136"/>
    <w:rsid w:val="00860C8A"/>
    <w:rsid w:val="00862A24"/>
    <w:rsid w:val="00875A6B"/>
    <w:rsid w:val="00882169"/>
    <w:rsid w:val="008824FB"/>
    <w:rsid w:val="00885B11"/>
    <w:rsid w:val="00886D15"/>
    <w:rsid w:val="00887CA4"/>
    <w:rsid w:val="00887DD8"/>
    <w:rsid w:val="0089140B"/>
    <w:rsid w:val="008914EA"/>
    <w:rsid w:val="00891BA9"/>
    <w:rsid w:val="00896018"/>
    <w:rsid w:val="008960DD"/>
    <w:rsid w:val="0089635C"/>
    <w:rsid w:val="0089792C"/>
    <w:rsid w:val="008A24EC"/>
    <w:rsid w:val="008A2B9D"/>
    <w:rsid w:val="008A3D9F"/>
    <w:rsid w:val="008A5E0B"/>
    <w:rsid w:val="008A6D59"/>
    <w:rsid w:val="008A6EEE"/>
    <w:rsid w:val="008B2A76"/>
    <w:rsid w:val="008B4B03"/>
    <w:rsid w:val="008B596F"/>
    <w:rsid w:val="008C159F"/>
    <w:rsid w:val="008C1623"/>
    <w:rsid w:val="008C1850"/>
    <w:rsid w:val="008C51A9"/>
    <w:rsid w:val="008C5DB2"/>
    <w:rsid w:val="008D2239"/>
    <w:rsid w:val="008D278D"/>
    <w:rsid w:val="008E4F2D"/>
    <w:rsid w:val="008E7846"/>
    <w:rsid w:val="008F02E5"/>
    <w:rsid w:val="008F1CCC"/>
    <w:rsid w:val="008F2967"/>
    <w:rsid w:val="008F6176"/>
    <w:rsid w:val="008F6943"/>
    <w:rsid w:val="00902A21"/>
    <w:rsid w:val="0091547C"/>
    <w:rsid w:val="00920330"/>
    <w:rsid w:val="009219D7"/>
    <w:rsid w:val="00922D53"/>
    <w:rsid w:val="0092383B"/>
    <w:rsid w:val="009239D4"/>
    <w:rsid w:val="00923B70"/>
    <w:rsid w:val="00924482"/>
    <w:rsid w:val="00930237"/>
    <w:rsid w:val="00930D79"/>
    <w:rsid w:val="00937C17"/>
    <w:rsid w:val="00940A89"/>
    <w:rsid w:val="00941AEA"/>
    <w:rsid w:val="00946EA5"/>
    <w:rsid w:val="00947116"/>
    <w:rsid w:val="00951B86"/>
    <w:rsid w:val="00956B9C"/>
    <w:rsid w:val="00957A3C"/>
    <w:rsid w:val="00961E2F"/>
    <w:rsid w:val="00963C08"/>
    <w:rsid w:val="009752A5"/>
    <w:rsid w:val="0098585A"/>
    <w:rsid w:val="00987298"/>
    <w:rsid w:val="009A104F"/>
    <w:rsid w:val="009A2450"/>
    <w:rsid w:val="009A4CED"/>
    <w:rsid w:val="009A690D"/>
    <w:rsid w:val="009A773F"/>
    <w:rsid w:val="009A77E8"/>
    <w:rsid w:val="009B1120"/>
    <w:rsid w:val="009B1D12"/>
    <w:rsid w:val="009B416B"/>
    <w:rsid w:val="009B6DCF"/>
    <w:rsid w:val="009C4BD5"/>
    <w:rsid w:val="009C7C1F"/>
    <w:rsid w:val="009D2061"/>
    <w:rsid w:val="009D4EBA"/>
    <w:rsid w:val="009D5B6F"/>
    <w:rsid w:val="009D7B77"/>
    <w:rsid w:val="009E0BB0"/>
    <w:rsid w:val="009E1C92"/>
    <w:rsid w:val="009E3FBB"/>
    <w:rsid w:val="009E5E97"/>
    <w:rsid w:val="009E6DBB"/>
    <w:rsid w:val="009F0655"/>
    <w:rsid w:val="009F3A7D"/>
    <w:rsid w:val="009F5703"/>
    <w:rsid w:val="009F7353"/>
    <w:rsid w:val="00A04F85"/>
    <w:rsid w:val="00A05FA4"/>
    <w:rsid w:val="00A102E4"/>
    <w:rsid w:val="00A12C42"/>
    <w:rsid w:val="00A14DF7"/>
    <w:rsid w:val="00A16824"/>
    <w:rsid w:val="00A200C4"/>
    <w:rsid w:val="00A21077"/>
    <w:rsid w:val="00A30AF2"/>
    <w:rsid w:val="00A311E0"/>
    <w:rsid w:val="00A313C0"/>
    <w:rsid w:val="00A3246D"/>
    <w:rsid w:val="00A36FA7"/>
    <w:rsid w:val="00A44DDB"/>
    <w:rsid w:val="00A475B7"/>
    <w:rsid w:val="00A47AF7"/>
    <w:rsid w:val="00A47C3E"/>
    <w:rsid w:val="00A50226"/>
    <w:rsid w:val="00A537E1"/>
    <w:rsid w:val="00A60BAD"/>
    <w:rsid w:val="00A63455"/>
    <w:rsid w:val="00A67B08"/>
    <w:rsid w:val="00A71B7F"/>
    <w:rsid w:val="00A80B5B"/>
    <w:rsid w:val="00A80C2A"/>
    <w:rsid w:val="00A84E36"/>
    <w:rsid w:val="00A851BE"/>
    <w:rsid w:val="00A93112"/>
    <w:rsid w:val="00A964D1"/>
    <w:rsid w:val="00AA0815"/>
    <w:rsid w:val="00AA0ED0"/>
    <w:rsid w:val="00AB0EB0"/>
    <w:rsid w:val="00AB2A32"/>
    <w:rsid w:val="00AB2F1B"/>
    <w:rsid w:val="00AB4D4A"/>
    <w:rsid w:val="00AC2B40"/>
    <w:rsid w:val="00AC2BB2"/>
    <w:rsid w:val="00AC2C3C"/>
    <w:rsid w:val="00AC512D"/>
    <w:rsid w:val="00AD0083"/>
    <w:rsid w:val="00AD3935"/>
    <w:rsid w:val="00AD45CA"/>
    <w:rsid w:val="00AD4CB8"/>
    <w:rsid w:val="00AD712A"/>
    <w:rsid w:val="00AE2EF0"/>
    <w:rsid w:val="00AE2FFF"/>
    <w:rsid w:val="00AE5322"/>
    <w:rsid w:val="00AE5728"/>
    <w:rsid w:val="00AE5BBA"/>
    <w:rsid w:val="00AE65EB"/>
    <w:rsid w:val="00AE67A7"/>
    <w:rsid w:val="00AE7842"/>
    <w:rsid w:val="00AE7AFD"/>
    <w:rsid w:val="00AF0BB6"/>
    <w:rsid w:val="00AF1D94"/>
    <w:rsid w:val="00AF2FDA"/>
    <w:rsid w:val="00AF60C5"/>
    <w:rsid w:val="00AF6250"/>
    <w:rsid w:val="00B009C6"/>
    <w:rsid w:val="00B01548"/>
    <w:rsid w:val="00B11911"/>
    <w:rsid w:val="00B13EBD"/>
    <w:rsid w:val="00B20F12"/>
    <w:rsid w:val="00B21753"/>
    <w:rsid w:val="00B21D29"/>
    <w:rsid w:val="00B22CE7"/>
    <w:rsid w:val="00B2335A"/>
    <w:rsid w:val="00B238D2"/>
    <w:rsid w:val="00B25034"/>
    <w:rsid w:val="00B33588"/>
    <w:rsid w:val="00B33863"/>
    <w:rsid w:val="00B36049"/>
    <w:rsid w:val="00B36FB9"/>
    <w:rsid w:val="00B37D17"/>
    <w:rsid w:val="00B4175E"/>
    <w:rsid w:val="00B452CE"/>
    <w:rsid w:val="00B54C25"/>
    <w:rsid w:val="00B5715A"/>
    <w:rsid w:val="00B70315"/>
    <w:rsid w:val="00B7145F"/>
    <w:rsid w:val="00B76B91"/>
    <w:rsid w:val="00B77CD0"/>
    <w:rsid w:val="00B77EB1"/>
    <w:rsid w:val="00B811C6"/>
    <w:rsid w:val="00B855B0"/>
    <w:rsid w:val="00B8723D"/>
    <w:rsid w:val="00B91D3B"/>
    <w:rsid w:val="00B92472"/>
    <w:rsid w:val="00B927D2"/>
    <w:rsid w:val="00B92E08"/>
    <w:rsid w:val="00B9463E"/>
    <w:rsid w:val="00B94A84"/>
    <w:rsid w:val="00BA1DFD"/>
    <w:rsid w:val="00BB3AA8"/>
    <w:rsid w:val="00BC622A"/>
    <w:rsid w:val="00BD2AF3"/>
    <w:rsid w:val="00BD495D"/>
    <w:rsid w:val="00BD78CD"/>
    <w:rsid w:val="00BE0A78"/>
    <w:rsid w:val="00BE1531"/>
    <w:rsid w:val="00BE21BF"/>
    <w:rsid w:val="00BE4CA9"/>
    <w:rsid w:val="00BE7824"/>
    <w:rsid w:val="00BE79F0"/>
    <w:rsid w:val="00BF046D"/>
    <w:rsid w:val="00BF1190"/>
    <w:rsid w:val="00BF5D04"/>
    <w:rsid w:val="00BF612B"/>
    <w:rsid w:val="00BF6B09"/>
    <w:rsid w:val="00BF7D2A"/>
    <w:rsid w:val="00C009AA"/>
    <w:rsid w:val="00C01252"/>
    <w:rsid w:val="00C06787"/>
    <w:rsid w:val="00C077C8"/>
    <w:rsid w:val="00C1087E"/>
    <w:rsid w:val="00C1164D"/>
    <w:rsid w:val="00C165DD"/>
    <w:rsid w:val="00C16861"/>
    <w:rsid w:val="00C20F78"/>
    <w:rsid w:val="00C22286"/>
    <w:rsid w:val="00C23AB5"/>
    <w:rsid w:val="00C271BF"/>
    <w:rsid w:val="00C346AB"/>
    <w:rsid w:val="00C34943"/>
    <w:rsid w:val="00C34CD3"/>
    <w:rsid w:val="00C34D77"/>
    <w:rsid w:val="00C404A6"/>
    <w:rsid w:val="00C40A36"/>
    <w:rsid w:val="00C44419"/>
    <w:rsid w:val="00C45E7B"/>
    <w:rsid w:val="00C471B1"/>
    <w:rsid w:val="00C47D82"/>
    <w:rsid w:val="00C54994"/>
    <w:rsid w:val="00C573DD"/>
    <w:rsid w:val="00C6316B"/>
    <w:rsid w:val="00C634A9"/>
    <w:rsid w:val="00C64586"/>
    <w:rsid w:val="00C70D53"/>
    <w:rsid w:val="00C72884"/>
    <w:rsid w:val="00C73D0B"/>
    <w:rsid w:val="00C7422F"/>
    <w:rsid w:val="00C772FF"/>
    <w:rsid w:val="00C77A5C"/>
    <w:rsid w:val="00C80137"/>
    <w:rsid w:val="00C801AF"/>
    <w:rsid w:val="00C80256"/>
    <w:rsid w:val="00C830F9"/>
    <w:rsid w:val="00C87A53"/>
    <w:rsid w:val="00C94CD4"/>
    <w:rsid w:val="00C950B3"/>
    <w:rsid w:val="00C9747E"/>
    <w:rsid w:val="00CA030A"/>
    <w:rsid w:val="00CA52EA"/>
    <w:rsid w:val="00CB1977"/>
    <w:rsid w:val="00CB1D39"/>
    <w:rsid w:val="00CB6BC0"/>
    <w:rsid w:val="00CB6E38"/>
    <w:rsid w:val="00CC0BE3"/>
    <w:rsid w:val="00CC1B7C"/>
    <w:rsid w:val="00CC6DB0"/>
    <w:rsid w:val="00CC727F"/>
    <w:rsid w:val="00CD25FF"/>
    <w:rsid w:val="00CD5B41"/>
    <w:rsid w:val="00CD7C7F"/>
    <w:rsid w:val="00CE3357"/>
    <w:rsid w:val="00CE7859"/>
    <w:rsid w:val="00CF15C3"/>
    <w:rsid w:val="00CF2B6F"/>
    <w:rsid w:val="00CF2E2E"/>
    <w:rsid w:val="00CF2F3E"/>
    <w:rsid w:val="00CF58B6"/>
    <w:rsid w:val="00CF6295"/>
    <w:rsid w:val="00D0062D"/>
    <w:rsid w:val="00D017ED"/>
    <w:rsid w:val="00D040D3"/>
    <w:rsid w:val="00D04C65"/>
    <w:rsid w:val="00D071B4"/>
    <w:rsid w:val="00D11147"/>
    <w:rsid w:val="00D1173C"/>
    <w:rsid w:val="00D15DF4"/>
    <w:rsid w:val="00D201D2"/>
    <w:rsid w:val="00D224FE"/>
    <w:rsid w:val="00D23139"/>
    <w:rsid w:val="00D274F3"/>
    <w:rsid w:val="00D34B4B"/>
    <w:rsid w:val="00D425BB"/>
    <w:rsid w:val="00D512A6"/>
    <w:rsid w:val="00D52CC1"/>
    <w:rsid w:val="00D55DCF"/>
    <w:rsid w:val="00D56190"/>
    <w:rsid w:val="00D60D57"/>
    <w:rsid w:val="00D6493E"/>
    <w:rsid w:val="00D67430"/>
    <w:rsid w:val="00D7195D"/>
    <w:rsid w:val="00D7301E"/>
    <w:rsid w:val="00D76973"/>
    <w:rsid w:val="00D8159C"/>
    <w:rsid w:val="00D8296A"/>
    <w:rsid w:val="00D83AE1"/>
    <w:rsid w:val="00D855D4"/>
    <w:rsid w:val="00D902C9"/>
    <w:rsid w:val="00D928B0"/>
    <w:rsid w:val="00D93466"/>
    <w:rsid w:val="00D95014"/>
    <w:rsid w:val="00D95FAB"/>
    <w:rsid w:val="00DA0837"/>
    <w:rsid w:val="00DA1124"/>
    <w:rsid w:val="00DA6256"/>
    <w:rsid w:val="00DB5BFF"/>
    <w:rsid w:val="00DB6124"/>
    <w:rsid w:val="00DB750B"/>
    <w:rsid w:val="00DB75B7"/>
    <w:rsid w:val="00DC29B2"/>
    <w:rsid w:val="00DC6E02"/>
    <w:rsid w:val="00DC7BC7"/>
    <w:rsid w:val="00DD28CD"/>
    <w:rsid w:val="00DD663B"/>
    <w:rsid w:val="00DE02AE"/>
    <w:rsid w:val="00DE4927"/>
    <w:rsid w:val="00DF1D7F"/>
    <w:rsid w:val="00DF4BE4"/>
    <w:rsid w:val="00E00538"/>
    <w:rsid w:val="00E00AB7"/>
    <w:rsid w:val="00E01283"/>
    <w:rsid w:val="00E02FB4"/>
    <w:rsid w:val="00E03955"/>
    <w:rsid w:val="00E114F7"/>
    <w:rsid w:val="00E12152"/>
    <w:rsid w:val="00E13ECB"/>
    <w:rsid w:val="00E13FC7"/>
    <w:rsid w:val="00E20571"/>
    <w:rsid w:val="00E20656"/>
    <w:rsid w:val="00E235F7"/>
    <w:rsid w:val="00E23659"/>
    <w:rsid w:val="00E239D4"/>
    <w:rsid w:val="00E26130"/>
    <w:rsid w:val="00E40B22"/>
    <w:rsid w:val="00E42C19"/>
    <w:rsid w:val="00E44ED1"/>
    <w:rsid w:val="00E45619"/>
    <w:rsid w:val="00E4588F"/>
    <w:rsid w:val="00E46DA3"/>
    <w:rsid w:val="00E51BB1"/>
    <w:rsid w:val="00E5284A"/>
    <w:rsid w:val="00E5432E"/>
    <w:rsid w:val="00E5618D"/>
    <w:rsid w:val="00E6022D"/>
    <w:rsid w:val="00E614C6"/>
    <w:rsid w:val="00E61A63"/>
    <w:rsid w:val="00E624A5"/>
    <w:rsid w:val="00E62D9B"/>
    <w:rsid w:val="00E64BA4"/>
    <w:rsid w:val="00E7344E"/>
    <w:rsid w:val="00E82665"/>
    <w:rsid w:val="00E928FE"/>
    <w:rsid w:val="00EA122B"/>
    <w:rsid w:val="00EA5D66"/>
    <w:rsid w:val="00EB0798"/>
    <w:rsid w:val="00EB40AD"/>
    <w:rsid w:val="00EB586E"/>
    <w:rsid w:val="00EB5D9F"/>
    <w:rsid w:val="00EB5FC8"/>
    <w:rsid w:val="00EC1629"/>
    <w:rsid w:val="00EC463D"/>
    <w:rsid w:val="00EC7A85"/>
    <w:rsid w:val="00ED2922"/>
    <w:rsid w:val="00ED2D24"/>
    <w:rsid w:val="00ED3CAD"/>
    <w:rsid w:val="00ED5A41"/>
    <w:rsid w:val="00ED5F7D"/>
    <w:rsid w:val="00ED7A0A"/>
    <w:rsid w:val="00ED7A31"/>
    <w:rsid w:val="00EE1DE8"/>
    <w:rsid w:val="00EE27C2"/>
    <w:rsid w:val="00EE2D11"/>
    <w:rsid w:val="00EE4856"/>
    <w:rsid w:val="00EF4BAD"/>
    <w:rsid w:val="00EF59DC"/>
    <w:rsid w:val="00F033EC"/>
    <w:rsid w:val="00F04F68"/>
    <w:rsid w:val="00F059EA"/>
    <w:rsid w:val="00F12670"/>
    <w:rsid w:val="00F12B6C"/>
    <w:rsid w:val="00F12DFF"/>
    <w:rsid w:val="00F14B27"/>
    <w:rsid w:val="00F27611"/>
    <w:rsid w:val="00F3148D"/>
    <w:rsid w:val="00F31CB0"/>
    <w:rsid w:val="00F325C5"/>
    <w:rsid w:val="00F32C31"/>
    <w:rsid w:val="00F32FE0"/>
    <w:rsid w:val="00F35298"/>
    <w:rsid w:val="00F432EE"/>
    <w:rsid w:val="00F45171"/>
    <w:rsid w:val="00F46276"/>
    <w:rsid w:val="00F47333"/>
    <w:rsid w:val="00F47E37"/>
    <w:rsid w:val="00F50634"/>
    <w:rsid w:val="00F51816"/>
    <w:rsid w:val="00F53C07"/>
    <w:rsid w:val="00F54B65"/>
    <w:rsid w:val="00F6122D"/>
    <w:rsid w:val="00F640B6"/>
    <w:rsid w:val="00F66DF2"/>
    <w:rsid w:val="00F765D1"/>
    <w:rsid w:val="00F80E40"/>
    <w:rsid w:val="00F848D9"/>
    <w:rsid w:val="00F862F8"/>
    <w:rsid w:val="00F97119"/>
    <w:rsid w:val="00F97701"/>
    <w:rsid w:val="00FA5B82"/>
    <w:rsid w:val="00FA639E"/>
    <w:rsid w:val="00FB650C"/>
    <w:rsid w:val="00FB6588"/>
    <w:rsid w:val="00FC1FCA"/>
    <w:rsid w:val="00FC25E4"/>
    <w:rsid w:val="00FC4EF7"/>
    <w:rsid w:val="00FD0824"/>
    <w:rsid w:val="00FD085B"/>
    <w:rsid w:val="00FD119B"/>
    <w:rsid w:val="00FD1EDC"/>
    <w:rsid w:val="00FD5DB7"/>
    <w:rsid w:val="00FE1DEE"/>
    <w:rsid w:val="00FE24DB"/>
    <w:rsid w:val="00FE4C74"/>
    <w:rsid w:val="00FF1193"/>
    <w:rsid w:val="00FF2096"/>
    <w:rsid w:val="00FF2126"/>
    <w:rsid w:val="00FF3646"/>
    <w:rsid w:val="00FF5755"/>
    <w:rsid w:val="00FF69BE"/>
    <w:rsid w:val="00FF78A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F0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A030A"/>
    <w:pPr>
      <w:spacing w:before="120" w:after="120" w:line="240" w:lineRule="atLeast"/>
    </w:pPr>
    <w:rPr>
      <w:rFonts w:ascii="Cambria" w:eastAsia="Cambria" w:hAnsi="Cambria" w:cs="Times New Roman"/>
    </w:rPr>
  </w:style>
  <w:style w:type="paragraph" w:styleId="Heading1">
    <w:name w:val="heading 1"/>
    <w:next w:val="Normal"/>
    <w:link w:val="Heading1Char"/>
    <w:uiPriority w:val="9"/>
    <w:qFormat/>
    <w:rsid w:val="00B927D2"/>
    <w:pPr>
      <w:spacing w:before="120" w:after="360"/>
      <w:outlineLvl w:val="0"/>
    </w:pPr>
    <w:rPr>
      <w:rFonts w:asciiTheme="majorHAnsi" w:eastAsia="Times New Roman" w:hAnsiTheme="majorHAnsi" w:cstheme="majorHAnsi"/>
      <w:b/>
      <w:bCs/>
      <w:sz w:val="32"/>
      <w:szCs w:val="64"/>
    </w:rPr>
  </w:style>
  <w:style w:type="paragraph" w:styleId="Heading2">
    <w:name w:val="heading 2"/>
    <w:basedOn w:val="Normal"/>
    <w:next w:val="Normal"/>
    <w:link w:val="Heading2Char"/>
    <w:uiPriority w:val="9"/>
    <w:qFormat/>
    <w:rsid w:val="00B927D2"/>
    <w:pPr>
      <w:keepNext/>
      <w:keepLines/>
      <w:spacing w:before="480" w:line="240" w:lineRule="auto"/>
      <w:outlineLvl w:val="1"/>
    </w:pPr>
    <w:rPr>
      <w:rFonts w:ascii="Arial" w:eastAsia="Times New Roman" w:hAnsi="Arial"/>
      <w:b/>
      <w:bCs/>
      <w:sz w:val="32"/>
      <w:szCs w:val="26"/>
    </w:rPr>
  </w:style>
  <w:style w:type="paragraph" w:styleId="Heading3">
    <w:name w:val="heading 3"/>
    <w:basedOn w:val="Heading2"/>
    <w:next w:val="Normal"/>
    <w:link w:val="Heading3Char"/>
    <w:uiPriority w:val="9"/>
    <w:qFormat/>
    <w:rsid w:val="00B927D2"/>
    <w:pPr>
      <w:spacing w:before="240" w:after="0"/>
      <w:outlineLvl w:val="2"/>
    </w:pPr>
    <w:rPr>
      <w:bCs w:val="0"/>
      <w:sz w:val="26"/>
      <w:szCs w:val="21"/>
    </w:rPr>
  </w:style>
  <w:style w:type="paragraph" w:styleId="Heading4">
    <w:name w:val="heading 4"/>
    <w:basedOn w:val="Heading3"/>
    <w:next w:val="Normal"/>
    <w:link w:val="Heading4Char"/>
    <w:uiPriority w:val="9"/>
    <w:qFormat/>
    <w:rsid w:val="00B927D2"/>
    <w:pPr>
      <w:outlineLvl w:val="3"/>
    </w:pPr>
    <w:rPr>
      <w:rFonts w:asciiTheme="minorHAnsi" w:hAnsiTheme="minorHAnsi"/>
      <w:bCs/>
      <w:sz w:val="22"/>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7D2"/>
    <w:rPr>
      <w:rFonts w:asciiTheme="majorHAnsi" w:eastAsia="Times New Roman" w:hAnsiTheme="majorHAnsi" w:cstheme="majorHAnsi"/>
      <w:b/>
      <w:bCs/>
      <w:sz w:val="32"/>
      <w:szCs w:val="64"/>
    </w:rPr>
  </w:style>
  <w:style w:type="character" w:customStyle="1" w:styleId="Heading2Char">
    <w:name w:val="Heading 2 Char"/>
    <w:basedOn w:val="DefaultParagraphFont"/>
    <w:link w:val="Heading2"/>
    <w:uiPriority w:val="9"/>
    <w:rsid w:val="00B927D2"/>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B927D2"/>
    <w:rPr>
      <w:rFonts w:ascii="Arial" w:eastAsia="Times New Roman" w:hAnsi="Arial" w:cs="Times New Roman"/>
      <w:b/>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uiPriority w:val="9"/>
    <w:rsid w:val="00B927D2"/>
    <w:rPr>
      <w:rFonts w:eastAsia="Times New Roman"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5789B"/>
    <w:pPr>
      <w:spacing w:after="60" w:line="240" w:lineRule="auto"/>
    </w:p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2F392B"/>
    <w:pPr>
      <w:keepNext/>
      <w:spacing w:after="180" w:line="240" w:lineRule="auto"/>
    </w:pPr>
    <w:rPr>
      <w:rFonts w:cstheme="minorBidi"/>
      <w:b/>
    </w:rPr>
  </w:style>
  <w:style w:type="character" w:customStyle="1" w:styleId="TabletextChar">
    <w:name w:val="Table text Char"/>
    <w:basedOn w:val="DefaultParagraphFont"/>
    <w:link w:val="Tabletext"/>
    <w:rsid w:val="0025789B"/>
    <w:rPr>
      <w:rFonts w:ascii="Cambria" w:eastAsia="Cambria" w:hAnsi="Cambria" w:cs="Times New Roman"/>
    </w:rPr>
  </w:style>
  <w:style w:type="paragraph" w:customStyle="1" w:styleId="Standard1">
    <w:name w:val="Standard1"/>
    <w:basedOn w:val="Normal"/>
    <w:link w:val="StandardChar"/>
    <w:qFormat/>
    <w:rsid w:val="002E4D46"/>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1"/>
    <w:rsid w:val="002E4D46"/>
    <w:rPr>
      <w:rFonts w:ascii="Cambria" w:eastAsia="Times New Roman" w:hAnsi="Cambria" w:cs="Times New Roman"/>
      <w:snapToGrid w:val="0"/>
      <w:kern w:val="16"/>
      <w:sz w:val="23"/>
      <w:szCs w:val="24"/>
    </w:rPr>
  </w:style>
  <w:style w:type="paragraph" w:styleId="ListParagraph">
    <w:name w:val="List Paragraph"/>
    <w:basedOn w:val="Normal"/>
    <w:uiPriority w:val="34"/>
    <w:qFormat/>
    <w:rsid w:val="006F65DC"/>
    <w:pPr>
      <w:adjustRightInd w:val="0"/>
      <w:snapToGrid w:val="0"/>
      <w:spacing w:before="180" w:after="180"/>
      <w:ind w:left="720"/>
      <w:contextualSpacing/>
    </w:pPr>
    <w:rPr>
      <w:rFonts w:eastAsia="MS Mincho"/>
      <w:szCs w:val="20"/>
      <w:lang w:eastAsia="ja-JP"/>
    </w:rPr>
  </w:style>
  <w:style w:type="table" w:customStyle="1" w:styleId="TableGridLight1">
    <w:name w:val="Table Grid Light1"/>
    <w:basedOn w:val="TableNormal"/>
    <w:uiPriority w:val="40"/>
    <w:rsid w:val="00EA5D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
    <w:name w:val="Headings"/>
    <w:uiPriority w:val="99"/>
    <w:rsid w:val="003D26F9"/>
    <w:pPr>
      <w:numPr>
        <w:numId w:val="31"/>
      </w:numPr>
    </w:pPr>
  </w:style>
  <w:style w:type="paragraph" w:styleId="NormalWeb">
    <w:name w:val="Normal (Web)"/>
    <w:basedOn w:val="Normal"/>
    <w:uiPriority w:val="99"/>
    <w:semiHidden/>
    <w:unhideWhenUsed/>
    <w:rsid w:val="0028792A"/>
    <w:rPr>
      <w:rFonts w:ascii="Times New Roman" w:hAnsi="Times New Roman"/>
      <w:sz w:val="24"/>
      <w:szCs w:val="24"/>
    </w:rPr>
  </w:style>
  <w:style w:type="character" w:styleId="SubtleReference">
    <w:name w:val="Subtle Reference"/>
    <w:uiPriority w:val="31"/>
    <w:qFormat/>
    <w:rsid w:val="00FD5DB7"/>
    <w:rPr>
      <w:smallCaps/>
      <w:color w:val="C0504D"/>
      <w:u w:val="single"/>
    </w:rPr>
  </w:style>
  <w:style w:type="paragraph" w:styleId="Quote">
    <w:name w:val="Quote"/>
    <w:basedOn w:val="Normal"/>
    <w:next w:val="Normal"/>
    <w:link w:val="QuoteChar"/>
    <w:uiPriority w:val="29"/>
    <w:qFormat/>
    <w:rsid w:val="00AF2FDA"/>
    <w:pPr>
      <w:spacing w:before="0"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AF2FDA"/>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A030A"/>
    <w:pPr>
      <w:spacing w:before="120" w:after="120" w:line="240" w:lineRule="atLeast"/>
    </w:pPr>
    <w:rPr>
      <w:rFonts w:ascii="Cambria" w:eastAsia="Cambria" w:hAnsi="Cambria" w:cs="Times New Roman"/>
    </w:rPr>
  </w:style>
  <w:style w:type="paragraph" w:styleId="Heading1">
    <w:name w:val="heading 1"/>
    <w:next w:val="Normal"/>
    <w:link w:val="Heading1Char"/>
    <w:uiPriority w:val="9"/>
    <w:qFormat/>
    <w:rsid w:val="00B927D2"/>
    <w:pPr>
      <w:spacing w:before="120" w:after="360"/>
      <w:outlineLvl w:val="0"/>
    </w:pPr>
    <w:rPr>
      <w:rFonts w:asciiTheme="majorHAnsi" w:eastAsia="Times New Roman" w:hAnsiTheme="majorHAnsi" w:cstheme="majorHAnsi"/>
      <w:b/>
      <w:bCs/>
      <w:sz w:val="32"/>
      <w:szCs w:val="64"/>
    </w:rPr>
  </w:style>
  <w:style w:type="paragraph" w:styleId="Heading2">
    <w:name w:val="heading 2"/>
    <w:basedOn w:val="Normal"/>
    <w:next w:val="Normal"/>
    <w:link w:val="Heading2Char"/>
    <w:uiPriority w:val="9"/>
    <w:qFormat/>
    <w:rsid w:val="00B927D2"/>
    <w:pPr>
      <w:keepNext/>
      <w:keepLines/>
      <w:spacing w:before="480" w:line="240" w:lineRule="auto"/>
      <w:outlineLvl w:val="1"/>
    </w:pPr>
    <w:rPr>
      <w:rFonts w:ascii="Arial" w:eastAsia="Times New Roman" w:hAnsi="Arial"/>
      <w:b/>
      <w:bCs/>
      <w:sz w:val="32"/>
      <w:szCs w:val="26"/>
    </w:rPr>
  </w:style>
  <w:style w:type="paragraph" w:styleId="Heading3">
    <w:name w:val="heading 3"/>
    <w:basedOn w:val="Heading2"/>
    <w:next w:val="Normal"/>
    <w:link w:val="Heading3Char"/>
    <w:uiPriority w:val="9"/>
    <w:qFormat/>
    <w:rsid w:val="00B927D2"/>
    <w:pPr>
      <w:spacing w:before="240" w:after="0"/>
      <w:outlineLvl w:val="2"/>
    </w:pPr>
    <w:rPr>
      <w:bCs w:val="0"/>
      <w:sz w:val="26"/>
      <w:szCs w:val="21"/>
    </w:rPr>
  </w:style>
  <w:style w:type="paragraph" w:styleId="Heading4">
    <w:name w:val="heading 4"/>
    <w:basedOn w:val="Heading3"/>
    <w:next w:val="Normal"/>
    <w:link w:val="Heading4Char"/>
    <w:uiPriority w:val="9"/>
    <w:qFormat/>
    <w:rsid w:val="00B927D2"/>
    <w:pPr>
      <w:outlineLvl w:val="3"/>
    </w:pPr>
    <w:rPr>
      <w:rFonts w:asciiTheme="minorHAnsi" w:hAnsiTheme="minorHAnsi"/>
      <w:bCs/>
      <w:sz w:val="22"/>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7D2"/>
    <w:rPr>
      <w:rFonts w:asciiTheme="majorHAnsi" w:eastAsia="Times New Roman" w:hAnsiTheme="majorHAnsi" w:cstheme="majorHAnsi"/>
      <w:b/>
      <w:bCs/>
      <w:sz w:val="32"/>
      <w:szCs w:val="64"/>
    </w:rPr>
  </w:style>
  <w:style w:type="character" w:customStyle="1" w:styleId="Heading2Char">
    <w:name w:val="Heading 2 Char"/>
    <w:basedOn w:val="DefaultParagraphFont"/>
    <w:link w:val="Heading2"/>
    <w:uiPriority w:val="9"/>
    <w:rsid w:val="00B927D2"/>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B927D2"/>
    <w:rPr>
      <w:rFonts w:ascii="Arial" w:eastAsia="Times New Roman" w:hAnsi="Arial" w:cs="Times New Roman"/>
      <w:b/>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uiPriority w:val="9"/>
    <w:rsid w:val="00B927D2"/>
    <w:rPr>
      <w:rFonts w:eastAsia="Times New Roman"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5789B"/>
    <w:pPr>
      <w:spacing w:after="60" w:line="240" w:lineRule="auto"/>
    </w:p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2F392B"/>
    <w:pPr>
      <w:keepNext/>
      <w:spacing w:after="180" w:line="240" w:lineRule="auto"/>
    </w:pPr>
    <w:rPr>
      <w:rFonts w:cstheme="minorBidi"/>
      <w:b/>
    </w:rPr>
  </w:style>
  <w:style w:type="character" w:customStyle="1" w:styleId="TabletextChar">
    <w:name w:val="Table text Char"/>
    <w:basedOn w:val="DefaultParagraphFont"/>
    <w:link w:val="Tabletext"/>
    <w:rsid w:val="0025789B"/>
    <w:rPr>
      <w:rFonts w:ascii="Cambria" w:eastAsia="Cambria" w:hAnsi="Cambria" w:cs="Times New Roman"/>
    </w:rPr>
  </w:style>
  <w:style w:type="paragraph" w:customStyle="1" w:styleId="Standard1">
    <w:name w:val="Standard1"/>
    <w:basedOn w:val="Normal"/>
    <w:link w:val="StandardChar"/>
    <w:qFormat/>
    <w:rsid w:val="002E4D46"/>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1"/>
    <w:rsid w:val="002E4D46"/>
    <w:rPr>
      <w:rFonts w:ascii="Cambria" w:eastAsia="Times New Roman" w:hAnsi="Cambria" w:cs="Times New Roman"/>
      <w:snapToGrid w:val="0"/>
      <w:kern w:val="16"/>
      <w:sz w:val="23"/>
      <w:szCs w:val="24"/>
    </w:rPr>
  </w:style>
  <w:style w:type="paragraph" w:styleId="ListParagraph">
    <w:name w:val="List Paragraph"/>
    <w:basedOn w:val="Normal"/>
    <w:uiPriority w:val="34"/>
    <w:qFormat/>
    <w:rsid w:val="006F65DC"/>
    <w:pPr>
      <w:adjustRightInd w:val="0"/>
      <w:snapToGrid w:val="0"/>
      <w:spacing w:before="180" w:after="180"/>
      <w:ind w:left="720"/>
      <w:contextualSpacing/>
    </w:pPr>
    <w:rPr>
      <w:rFonts w:eastAsia="MS Mincho"/>
      <w:szCs w:val="20"/>
      <w:lang w:eastAsia="ja-JP"/>
    </w:rPr>
  </w:style>
  <w:style w:type="table" w:customStyle="1" w:styleId="TableGridLight1">
    <w:name w:val="Table Grid Light1"/>
    <w:basedOn w:val="TableNormal"/>
    <w:uiPriority w:val="40"/>
    <w:rsid w:val="00EA5D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
    <w:name w:val="Headings"/>
    <w:uiPriority w:val="99"/>
    <w:rsid w:val="003D26F9"/>
    <w:pPr>
      <w:numPr>
        <w:numId w:val="31"/>
      </w:numPr>
    </w:pPr>
  </w:style>
  <w:style w:type="paragraph" w:styleId="NormalWeb">
    <w:name w:val="Normal (Web)"/>
    <w:basedOn w:val="Normal"/>
    <w:uiPriority w:val="99"/>
    <w:semiHidden/>
    <w:unhideWhenUsed/>
    <w:rsid w:val="0028792A"/>
    <w:rPr>
      <w:rFonts w:ascii="Times New Roman" w:hAnsi="Times New Roman"/>
      <w:sz w:val="24"/>
      <w:szCs w:val="24"/>
    </w:rPr>
  </w:style>
  <w:style w:type="character" w:styleId="SubtleReference">
    <w:name w:val="Subtle Reference"/>
    <w:uiPriority w:val="31"/>
    <w:qFormat/>
    <w:rsid w:val="00FD5DB7"/>
    <w:rPr>
      <w:smallCaps/>
      <w:color w:val="C0504D"/>
      <w:u w:val="single"/>
    </w:rPr>
  </w:style>
  <w:style w:type="paragraph" w:styleId="Quote">
    <w:name w:val="Quote"/>
    <w:basedOn w:val="Normal"/>
    <w:next w:val="Normal"/>
    <w:link w:val="QuoteChar"/>
    <w:uiPriority w:val="29"/>
    <w:qFormat/>
    <w:rsid w:val="00AF2FDA"/>
    <w:pPr>
      <w:spacing w:before="0"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AF2FD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027">
      <w:bodyDiv w:val="1"/>
      <w:marLeft w:val="0"/>
      <w:marRight w:val="0"/>
      <w:marTop w:val="0"/>
      <w:marBottom w:val="0"/>
      <w:divBdr>
        <w:top w:val="none" w:sz="0" w:space="0" w:color="auto"/>
        <w:left w:val="none" w:sz="0" w:space="0" w:color="auto"/>
        <w:bottom w:val="none" w:sz="0" w:space="0" w:color="auto"/>
        <w:right w:val="none" w:sz="0" w:space="0" w:color="auto"/>
      </w:divBdr>
    </w:div>
    <w:div w:id="120806439">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
    <w:div w:id="384186652">
      <w:bodyDiv w:val="1"/>
      <w:marLeft w:val="0"/>
      <w:marRight w:val="0"/>
      <w:marTop w:val="0"/>
      <w:marBottom w:val="0"/>
      <w:divBdr>
        <w:top w:val="none" w:sz="0" w:space="0" w:color="auto"/>
        <w:left w:val="none" w:sz="0" w:space="0" w:color="auto"/>
        <w:bottom w:val="none" w:sz="0" w:space="0" w:color="auto"/>
        <w:right w:val="none" w:sz="0" w:space="0" w:color="auto"/>
      </w:divBdr>
    </w:div>
    <w:div w:id="386994689">
      <w:bodyDiv w:val="1"/>
      <w:marLeft w:val="0"/>
      <w:marRight w:val="0"/>
      <w:marTop w:val="0"/>
      <w:marBottom w:val="0"/>
      <w:divBdr>
        <w:top w:val="none" w:sz="0" w:space="0" w:color="auto"/>
        <w:left w:val="none" w:sz="0" w:space="0" w:color="auto"/>
        <w:bottom w:val="none" w:sz="0" w:space="0" w:color="auto"/>
        <w:right w:val="none" w:sz="0" w:space="0" w:color="auto"/>
      </w:divBdr>
    </w:div>
    <w:div w:id="467819972">
      <w:bodyDiv w:val="1"/>
      <w:marLeft w:val="0"/>
      <w:marRight w:val="0"/>
      <w:marTop w:val="0"/>
      <w:marBottom w:val="0"/>
      <w:divBdr>
        <w:top w:val="none" w:sz="0" w:space="0" w:color="auto"/>
        <w:left w:val="none" w:sz="0" w:space="0" w:color="auto"/>
        <w:bottom w:val="none" w:sz="0" w:space="0" w:color="auto"/>
        <w:right w:val="none" w:sz="0" w:space="0" w:color="auto"/>
      </w:divBdr>
    </w:div>
    <w:div w:id="484736277">
      <w:bodyDiv w:val="1"/>
      <w:marLeft w:val="0"/>
      <w:marRight w:val="0"/>
      <w:marTop w:val="0"/>
      <w:marBottom w:val="0"/>
      <w:divBdr>
        <w:top w:val="none" w:sz="0" w:space="0" w:color="auto"/>
        <w:left w:val="none" w:sz="0" w:space="0" w:color="auto"/>
        <w:bottom w:val="none" w:sz="0" w:space="0" w:color="auto"/>
        <w:right w:val="none" w:sz="0" w:space="0" w:color="auto"/>
      </w:divBdr>
    </w:div>
    <w:div w:id="500857389">
      <w:bodyDiv w:val="1"/>
      <w:marLeft w:val="0"/>
      <w:marRight w:val="0"/>
      <w:marTop w:val="0"/>
      <w:marBottom w:val="0"/>
      <w:divBdr>
        <w:top w:val="none" w:sz="0" w:space="0" w:color="auto"/>
        <w:left w:val="none" w:sz="0" w:space="0" w:color="auto"/>
        <w:bottom w:val="none" w:sz="0" w:space="0" w:color="auto"/>
        <w:right w:val="none" w:sz="0" w:space="0" w:color="auto"/>
      </w:divBdr>
    </w:div>
    <w:div w:id="572466912">
      <w:bodyDiv w:val="1"/>
      <w:marLeft w:val="0"/>
      <w:marRight w:val="0"/>
      <w:marTop w:val="0"/>
      <w:marBottom w:val="0"/>
      <w:divBdr>
        <w:top w:val="none" w:sz="0" w:space="0" w:color="auto"/>
        <w:left w:val="none" w:sz="0" w:space="0" w:color="auto"/>
        <w:bottom w:val="none" w:sz="0" w:space="0" w:color="auto"/>
        <w:right w:val="none" w:sz="0" w:space="0" w:color="auto"/>
      </w:divBdr>
    </w:div>
    <w:div w:id="583757807">
      <w:bodyDiv w:val="1"/>
      <w:marLeft w:val="0"/>
      <w:marRight w:val="0"/>
      <w:marTop w:val="0"/>
      <w:marBottom w:val="0"/>
      <w:divBdr>
        <w:top w:val="none" w:sz="0" w:space="0" w:color="auto"/>
        <w:left w:val="none" w:sz="0" w:space="0" w:color="auto"/>
        <w:bottom w:val="none" w:sz="0" w:space="0" w:color="auto"/>
        <w:right w:val="none" w:sz="0" w:space="0" w:color="auto"/>
      </w:divBdr>
      <w:divsChild>
        <w:div w:id="654645320">
          <w:marLeft w:val="0"/>
          <w:marRight w:val="0"/>
          <w:marTop w:val="0"/>
          <w:marBottom w:val="0"/>
          <w:divBdr>
            <w:top w:val="none" w:sz="0" w:space="0" w:color="auto"/>
            <w:left w:val="none" w:sz="0" w:space="0" w:color="auto"/>
            <w:bottom w:val="none" w:sz="0" w:space="0" w:color="auto"/>
            <w:right w:val="none" w:sz="0" w:space="0" w:color="auto"/>
          </w:divBdr>
          <w:divsChild>
            <w:div w:id="1073041228">
              <w:marLeft w:val="0"/>
              <w:marRight w:val="0"/>
              <w:marTop w:val="0"/>
              <w:marBottom w:val="0"/>
              <w:divBdr>
                <w:top w:val="none" w:sz="0" w:space="0" w:color="auto"/>
                <w:left w:val="none" w:sz="0" w:space="0" w:color="auto"/>
                <w:bottom w:val="none" w:sz="0" w:space="0" w:color="auto"/>
                <w:right w:val="none" w:sz="0" w:space="0" w:color="auto"/>
              </w:divBdr>
              <w:divsChild>
                <w:div w:id="646399563">
                  <w:marLeft w:val="0"/>
                  <w:marRight w:val="0"/>
                  <w:marTop w:val="0"/>
                  <w:marBottom w:val="0"/>
                  <w:divBdr>
                    <w:top w:val="none" w:sz="0" w:space="0" w:color="auto"/>
                    <w:left w:val="none" w:sz="0" w:space="0" w:color="auto"/>
                    <w:bottom w:val="none" w:sz="0" w:space="0" w:color="auto"/>
                    <w:right w:val="none" w:sz="0" w:space="0" w:color="auto"/>
                  </w:divBdr>
                  <w:divsChild>
                    <w:div w:id="5817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35957">
      <w:bodyDiv w:val="1"/>
      <w:marLeft w:val="0"/>
      <w:marRight w:val="0"/>
      <w:marTop w:val="0"/>
      <w:marBottom w:val="0"/>
      <w:divBdr>
        <w:top w:val="none" w:sz="0" w:space="0" w:color="auto"/>
        <w:left w:val="none" w:sz="0" w:space="0" w:color="auto"/>
        <w:bottom w:val="none" w:sz="0" w:space="0" w:color="auto"/>
        <w:right w:val="none" w:sz="0" w:space="0" w:color="auto"/>
      </w:divBdr>
    </w:div>
    <w:div w:id="701397096">
      <w:bodyDiv w:val="1"/>
      <w:marLeft w:val="0"/>
      <w:marRight w:val="0"/>
      <w:marTop w:val="0"/>
      <w:marBottom w:val="0"/>
      <w:divBdr>
        <w:top w:val="none" w:sz="0" w:space="0" w:color="auto"/>
        <w:left w:val="none" w:sz="0" w:space="0" w:color="auto"/>
        <w:bottom w:val="none" w:sz="0" w:space="0" w:color="auto"/>
        <w:right w:val="none" w:sz="0" w:space="0" w:color="auto"/>
      </w:divBdr>
    </w:div>
    <w:div w:id="766459479">
      <w:bodyDiv w:val="1"/>
      <w:marLeft w:val="0"/>
      <w:marRight w:val="0"/>
      <w:marTop w:val="0"/>
      <w:marBottom w:val="0"/>
      <w:divBdr>
        <w:top w:val="none" w:sz="0" w:space="0" w:color="auto"/>
        <w:left w:val="none" w:sz="0" w:space="0" w:color="auto"/>
        <w:bottom w:val="none" w:sz="0" w:space="0" w:color="auto"/>
        <w:right w:val="none" w:sz="0" w:space="0" w:color="auto"/>
      </w:divBdr>
    </w:div>
    <w:div w:id="861165425">
      <w:bodyDiv w:val="1"/>
      <w:marLeft w:val="0"/>
      <w:marRight w:val="0"/>
      <w:marTop w:val="0"/>
      <w:marBottom w:val="0"/>
      <w:divBdr>
        <w:top w:val="none" w:sz="0" w:space="0" w:color="auto"/>
        <w:left w:val="none" w:sz="0" w:space="0" w:color="auto"/>
        <w:bottom w:val="none" w:sz="0" w:space="0" w:color="auto"/>
        <w:right w:val="none" w:sz="0" w:space="0" w:color="auto"/>
      </w:divBdr>
    </w:div>
    <w:div w:id="971206729">
      <w:bodyDiv w:val="1"/>
      <w:marLeft w:val="0"/>
      <w:marRight w:val="0"/>
      <w:marTop w:val="0"/>
      <w:marBottom w:val="0"/>
      <w:divBdr>
        <w:top w:val="none" w:sz="0" w:space="0" w:color="auto"/>
        <w:left w:val="none" w:sz="0" w:space="0" w:color="auto"/>
        <w:bottom w:val="none" w:sz="0" w:space="0" w:color="auto"/>
        <w:right w:val="none" w:sz="0" w:space="0" w:color="auto"/>
      </w:divBdr>
    </w:div>
    <w:div w:id="988828376">
      <w:bodyDiv w:val="1"/>
      <w:marLeft w:val="0"/>
      <w:marRight w:val="0"/>
      <w:marTop w:val="0"/>
      <w:marBottom w:val="0"/>
      <w:divBdr>
        <w:top w:val="none" w:sz="0" w:space="0" w:color="auto"/>
        <w:left w:val="none" w:sz="0" w:space="0" w:color="auto"/>
        <w:bottom w:val="none" w:sz="0" w:space="0" w:color="auto"/>
        <w:right w:val="none" w:sz="0" w:space="0" w:color="auto"/>
      </w:divBdr>
    </w:div>
    <w:div w:id="1057632494">
      <w:bodyDiv w:val="1"/>
      <w:marLeft w:val="0"/>
      <w:marRight w:val="0"/>
      <w:marTop w:val="0"/>
      <w:marBottom w:val="0"/>
      <w:divBdr>
        <w:top w:val="none" w:sz="0" w:space="0" w:color="auto"/>
        <w:left w:val="none" w:sz="0" w:space="0" w:color="auto"/>
        <w:bottom w:val="none" w:sz="0" w:space="0" w:color="auto"/>
        <w:right w:val="none" w:sz="0" w:space="0" w:color="auto"/>
      </w:divBdr>
    </w:div>
    <w:div w:id="1060976525">
      <w:bodyDiv w:val="1"/>
      <w:marLeft w:val="0"/>
      <w:marRight w:val="0"/>
      <w:marTop w:val="0"/>
      <w:marBottom w:val="0"/>
      <w:divBdr>
        <w:top w:val="none" w:sz="0" w:space="0" w:color="auto"/>
        <w:left w:val="none" w:sz="0" w:space="0" w:color="auto"/>
        <w:bottom w:val="none" w:sz="0" w:space="0" w:color="auto"/>
        <w:right w:val="none" w:sz="0" w:space="0" w:color="auto"/>
      </w:divBdr>
      <w:divsChild>
        <w:div w:id="24408954">
          <w:marLeft w:val="0"/>
          <w:marRight w:val="0"/>
          <w:marTop w:val="0"/>
          <w:marBottom w:val="0"/>
          <w:divBdr>
            <w:top w:val="none" w:sz="0" w:space="0" w:color="auto"/>
            <w:left w:val="none" w:sz="0" w:space="0" w:color="auto"/>
            <w:bottom w:val="none" w:sz="0" w:space="0" w:color="auto"/>
            <w:right w:val="none" w:sz="0" w:space="0" w:color="auto"/>
          </w:divBdr>
          <w:divsChild>
            <w:div w:id="1443065477">
              <w:marLeft w:val="0"/>
              <w:marRight w:val="0"/>
              <w:marTop w:val="0"/>
              <w:marBottom w:val="0"/>
              <w:divBdr>
                <w:top w:val="none" w:sz="0" w:space="0" w:color="auto"/>
                <w:left w:val="none" w:sz="0" w:space="0" w:color="auto"/>
                <w:bottom w:val="none" w:sz="0" w:space="0" w:color="auto"/>
                <w:right w:val="none" w:sz="0" w:space="0" w:color="auto"/>
              </w:divBdr>
              <w:divsChild>
                <w:div w:id="8967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22312">
      <w:bodyDiv w:val="1"/>
      <w:marLeft w:val="0"/>
      <w:marRight w:val="0"/>
      <w:marTop w:val="0"/>
      <w:marBottom w:val="0"/>
      <w:divBdr>
        <w:top w:val="none" w:sz="0" w:space="0" w:color="auto"/>
        <w:left w:val="none" w:sz="0" w:space="0" w:color="auto"/>
        <w:bottom w:val="none" w:sz="0" w:space="0" w:color="auto"/>
        <w:right w:val="none" w:sz="0" w:space="0" w:color="auto"/>
      </w:divBdr>
      <w:divsChild>
        <w:div w:id="254443144">
          <w:marLeft w:val="0"/>
          <w:marRight w:val="0"/>
          <w:marTop w:val="0"/>
          <w:marBottom w:val="0"/>
          <w:divBdr>
            <w:top w:val="none" w:sz="0" w:space="0" w:color="auto"/>
            <w:left w:val="none" w:sz="0" w:space="0" w:color="auto"/>
            <w:bottom w:val="none" w:sz="0" w:space="0" w:color="auto"/>
            <w:right w:val="none" w:sz="0" w:space="0" w:color="auto"/>
          </w:divBdr>
          <w:divsChild>
            <w:div w:id="1923290788">
              <w:marLeft w:val="0"/>
              <w:marRight w:val="0"/>
              <w:marTop w:val="0"/>
              <w:marBottom w:val="0"/>
              <w:divBdr>
                <w:top w:val="none" w:sz="0" w:space="0" w:color="auto"/>
                <w:left w:val="none" w:sz="0" w:space="0" w:color="auto"/>
                <w:bottom w:val="none" w:sz="0" w:space="0" w:color="auto"/>
                <w:right w:val="none" w:sz="0" w:space="0" w:color="auto"/>
              </w:divBdr>
              <w:divsChild>
                <w:div w:id="1795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62629">
      <w:bodyDiv w:val="1"/>
      <w:marLeft w:val="0"/>
      <w:marRight w:val="0"/>
      <w:marTop w:val="0"/>
      <w:marBottom w:val="0"/>
      <w:divBdr>
        <w:top w:val="none" w:sz="0" w:space="0" w:color="auto"/>
        <w:left w:val="none" w:sz="0" w:space="0" w:color="auto"/>
        <w:bottom w:val="none" w:sz="0" w:space="0" w:color="auto"/>
        <w:right w:val="none" w:sz="0" w:space="0" w:color="auto"/>
      </w:divBdr>
      <w:divsChild>
        <w:div w:id="1344240831">
          <w:marLeft w:val="0"/>
          <w:marRight w:val="0"/>
          <w:marTop w:val="0"/>
          <w:marBottom w:val="0"/>
          <w:divBdr>
            <w:top w:val="none" w:sz="0" w:space="0" w:color="auto"/>
            <w:left w:val="none" w:sz="0" w:space="0" w:color="auto"/>
            <w:bottom w:val="none" w:sz="0" w:space="0" w:color="auto"/>
            <w:right w:val="none" w:sz="0" w:space="0" w:color="auto"/>
          </w:divBdr>
          <w:divsChild>
            <w:div w:id="603616576">
              <w:marLeft w:val="0"/>
              <w:marRight w:val="0"/>
              <w:marTop w:val="0"/>
              <w:marBottom w:val="0"/>
              <w:divBdr>
                <w:top w:val="none" w:sz="0" w:space="0" w:color="auto"/>
                <w:left w:val="none" w:sz="0" w:space="0" w:color="auto"/>
                <w:bottom w:val="none" w:sz="0" w:space="0" w:color="auto"/>
                <w:right w:val="none" w:sz="0" w:space="0" w:color="auto"/>
              </w:divBdr>
              <w:divsChild>
                <w:div w:id="1878543256">
                  <w:marLeft w:val="0"/>
                  <w:marRight w:val="0"/>
                  <w:marTop w:val="0"/>
                  <w:marBottom w:val="0"/>
                  <w:divBdr>
                    <w:top w:val="none" w:sz="0" w:space="0" w:color="auto"/>
                    <w:left w:val="none" w:sz="0" w:space="0" w:color="auto"/>
                    <w:bottom w:val="none" w:sz="0" w:space="0" w:color="auto"/>
                    <w:right w:val="none" w:sz="0" w:space="0" w:color="auto"/>
                  </w:divBdr>
                  <w:divsChild>
                    <w:div w:id="14944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0283">
      <w:bodyDiv w:val="1"/>
      <w:marLeft w:val="0"/>
      <w:marRight w:val="0"/>
      <w:marTop w:val="0"/>
      <w:marBottom w:val="0"/>
      <w:divBdr>
        <w:top w:val="none" w:sz="0" w:space="0" w:color="auto"/>
        <w:left w:val="none" w:sz="0" w:space="0" w:color="auto"/>
        <w:bottom w:val="none" w:sz="0" w:space="0" w:color="auto"/>
        <w:right w:val="none" w:sz="0" w:space="0" w:color="auto"/>
      </w:divBdr>
    </w:div>
    <w:div w:id="1378554442">
      <w:bodyDiv w:val="1"/>
      <w:marLeft w:val="0"/>
      <w:marRight w:val="0"/>
      <w:marTop w:val="0"/>
      <w:marBottom w:val="0"/>
      <w:divBdr>
        <w:top w:val="none" w:sz="0" w:space="0" w:color="auto"/>
        <w:left w:val="none" w:sz="0" w:space="0" w:color="auto"/>
        <w:bottom w:val="none" w:sz="0" w:space="0" w:color="auto"/>
        <w:right w:val="none" w:sz="0" w:space="0" w:color="auto"/>
      </w:divBdr>
    </w:div>
    <w:div w:id="1391734861">
      <w:bodyDiv w:val="1"/>
      <w:marLeft w:val="0"/>
      <w:marRight w:val="0"/>
      <w:marTop w:val="0"/>
      <w:marBottom w:val="0"/>
      <w:divBdr>
        <w:top w:val="none" w:sz="0" w:space="0" w:color="auto"/>
        <w:left w:val="none" w:sz="0" w:space="0" w:color="auto"/>
        <w:bottom w:val="none" w:sz="0" w:space="0" w:color="auto"/>
        <w:right w:val="none" w:sz="0" w:space="0" w:color="auto"/>
      </w:divBdr>
    </w:div>
    <w:div w:id="1415593948">
      <w:bodyDiv w:val="1"/>
      <w:marLeft w:val="0"/>
      <w:marRight w:val="0"/>
      <w:marTop w:val="0"/>
      <w:marBottom w:val="0"/>
      <w:divBdr>
        <w:top w:val="none" w:sz="0" w:space="0" w:color="auto"/>
        <w:left w:val="none" w:sz="0" w:space="0" w:color="auto"/>
        <w:bottom w:val="none" w:sz="0" w:space="0" w:color="auto"/>
        <w:right w:val="none" w:sz="0" w:space="0" w:color="auto"/>
      </w:divBdr>
    </w:div>
    <w:div w:id="1418477905">
      <w:bodyDiv w:val="1"/>
      <w:marLeft w:val="0"/>
      <w:marRight w:val="0"/>
      <w:marTop w:val="0"/>
      <w:marBottom w:val="0"/>
      <w:divBdr>
        <w:top w:val="none" w:sz="0" w:space="0" w:color="auto"/>
        <w:left w:val="none" w:sz="0" w:space="0" w:color="auto"/>
        <w:bottom w:val="none" w:sz="0" w:space="0" w:color="auto"/>
        <w:right w:val="none" w:sz="0" w:space="0" w:color="auto"/>
      </w:divBdr>
      <w:divsChild>
        <w:div w:id="308634076">
          <w:marLeft w:val="0"/>
          <w:marRight w:val="0"/>
          <w:marTop w:val="0"/>
          <w:marBottom w:val="0"/>
          <w:divBdr>
            <w:top w:val="none" w:sz="0" w:space="0" w:color="auto"/>
            <w:left w:val="none" w:sz="0" w:space="0" w:color="auto"/>
            <w:bottom w:val="none" w:sz="0" w:space="0" w:color="auto"/>
            <w:right w:val="none" w:sz="0" w:space="0" w:color="auto"/>
          </w:divBdr>
          <w:divsChild>
            <w:div w:id="1961060733">
              <w:marLeft w:val="0"/>
              <w:marRight w:val="0"/>
              <w:marTop w:val="0"/>
              <w:marBottom w:val="0"/>
              <w:divBdr>
                <w:top w:val="none" w:sz="0" w:space="0" w:color="auto"/>
                <w:left w:val="none" w:sz="0" w:space="0" w:color="auto"/>
                <w:bottom w:val="none" w:sz="0" w:space="0" w:color="auto"/>
                <w:right w:val="none" w:sz="0" w:space="0" w:color="auto"/>
              </w:divBdr>
              <w:divsChild>
                <w:div w:id="53241983">
                  <w:marLeft w:val="0"/>
                  <w:marRight w:val="0"/>
                  <w:marTop w:val="0"/>
                  <w:marBottom w:val="0"/>
                  <w:divBdr>
                    <w:top w:val="none" w:sz="0" w:space="0" w:color="auto"/>
                    <w:left w:val="none" w:sz="0" w:space="0" w:color="auto"/>
                    <w:bottom w:val="none" w:sz="0" w:space="0" w:color="auto"/>
                    <w:right w:val="none" w:sz="0" w:space="0" w:color="auto"/>
                  </w:divBdr>
                  <w:divsChild>
                    <w:div w:id="8281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38959">
      <w:bodyDiv w:val="1"/>
      <w:marLeft w:val="0"/>
      <w:marRight w:val="0"/>
      <w:marTop w:val="0"/>
      <w:marBottom w:val="0"/>
      <w:divBdr>
        <w:top w:val="none" w:sz="0" w:space="0" w:color="auto"/>
        <w:left w:val="none" w:sz="0" w:space="0" w:color="auto"/>
        <w:bottom w:val="none" w:sz="0" w:space="0" w:color="auto"/>
        <w:right w:val="none" w:sz="0" w:space="0" w:color="auto"/>
      </w:divBdr>
    </w:div>
    <w:div w:id="1489898899">
      <w:bodyDiv w:val="1"/>
      <w:marLeft w:val="0"/>
      <w:marRight w:val="0"/>
      <w:marTop w:val="0"/>
      <w:marBottom w:val="0"/>
      <w:divBdr>
        <w:top w:val="none" w:sz="0" w:space="0" w:color="auto"/>
        <w:left w:val="none" w:sz="0" w:space="0" w:color="auto"/>
        <w:bottom w:val="none" w:sz="0" w:space="0" w:color="auto"/>
        <w:right w:val="none" w:sz="0" w:space="0" w:color="auto"/>
      </w:divBdr>
    </w:div>
    <w:div w:id="1555312086">
      <w:bodyDiv w:val="1"/>
      <w:marLeft w:val="0"/>
      <w:marRight w:val="0"/>
      <w:marTop w:val="0"/>
      <w:marBottom w:val="0"/>
      <w:divBdr>
        <w:top w:val="none" w:sz="0" w:space="0" w:color="auto"/>
        <w:left w:val="none" w:sz="0" w:space="0" w:color="auto"/>
        <w:bottom w:val="none" w:sz="0" w:space="0" w:color="auto"/>
        <w:right w:val="none" w:sz="0" w:space="0" w:color="auto"/>
      </w:divBdr>
    </w:div>
    <w:div w:id="1580410353">
      <w:bodyDiv w:val="1"/>
      <w:marLeft w:val="0"/>
      <w:marRight w:val="0"/>
      <w:marTop w:val="0"/>
      <w:marBottom w:val="0"/>
      <w:divBdr>
        <w:top w:val="none" w:sz="0" w:space="0" w:color="auto"/>
        <w:left w:val="none" w:sz="0" w:space="0" w:color="auto"/>
        <w:bottom w:val="none" w:sz="0" w:space="0" w:color="auto"/>
        <w:right w:val="none" w:sz="0" w:space="0" w:color="auto"/>
      </w:divBdr>
    </w:div>
    <w:div w:id="1599220068">
      <w:bodyDiv w:val="1"/>
      <w:marLeft w:val="0"/>
      <w:marRight w:val="0"/>
      <w:marTop w:val="0"/>
      <w:marBottom w:val="0"/>
      <w:divBdr>
        <w:top w:val="none" w:sz="0" w:space="0" w:color="auto"/>
        <w:left w:val="none" w:sz="0" w:space="0" w:color="auto"/>
        <w:bottom w:val="none" w:sz="0" w:space="0" w:color="auto"/>
        <w:right w:val="none" w:sz="0" w:space="0" w:color="auto"/>
      </w:divBdr>
    </w:div>
    <w:div w:id="1626888986">
      <w:bodyDiv w:val="1"/>
      <w:marLeft w:val="0"/>
      <w:marRight w:val="0"/>
      <w:marTop w:val="0"/>
      <w:marBottom w:val="0"/>
      <w:divBdr>
        <w:top w:val="none" w:sz="0" w:space="0" w:color="auto"/>
        <w:left w:val="none" w:sz="0" w:space="0" w:color="auto"/>
        <w:bottom w:val="none" w:sz="0" w:space="0" w:color="auto"/>
        <w:right w:val="none" w:sz="0" w:space="0" w:color="auto"/>
      </w:divBdr>
    </w:div>
    <w:div w:id="1724215123">
      <w:bodyDiv w:val="1"/>
      <w:marLeft w:val="0"/>
      <w:marRight w:val="0"/>
      <w:marTop w:val="0"/>
      <w:marBottom w:val="0"/>
      <w:divBdr>
        <w:top w:val="none" w:sz="0" w:space="0" w:color="auto"/>
        <w:left w:val="none" w:sz="0" w:space="0" w:color="auto"/>
        <w:bottom w:val="none" w:sz="0" w:space="0" w:color="auto"/>
        <w:right w:val="none" w:sz="0" w:space="0" w:color="auto"/>
      </w:divBdr>
      <w:divsChild>
        <w:div w:id="590427469">
          <w:marLeft w:val="0"/>
          <w:marRight w:val="0"/>
          <w:marTop w:val="0"/>
          <w:marBottom w:val="0"/>
          <w:divBdr>
            <w:top w:val="none" w:sz="0" w:space="0" w:color="auto"/>
            <w:left w:val="none" w:sz="0" w:space="0" w:color="auto"/>
            <w:bottom w:val="none" w:sz="0" w:space="0" w:color="auto"/>
            <w:right w:val="none" w:sz="0" w:space="0" w:color="auto"/>
          </w:divBdr>
          <w:divsChild>
            <w:div w:id="524638378">
              <w:marLeft w:val="0"/>
              <w:marRight w:val="0"/>
              <w:marTop w:val="0"/>
              <w:marBottom w:val="0"/>
              <w:divBdr>
                <w:top w:val="none" w:sz="0" w:space="0" w:color="auto"/>
                <w:left w:val="none" w:sz="0" w:space="0" w:color="auto"/>
                <w:bottom w:val="none" w:sz="0" w:space="0" w:color="auto"/>
                <w:right w:val="none" w:sz="0" w:space="0" w:color="auto"/>
              </w:divBdr>
              <w:divsChild>
                <w:div w:id="11305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4499">
      <w:bodyDiv w:val="1"/>
      <w:marLeft w:val="0"/>
      <w:marRight w:val="0"/>
      <w:marTop w:val="0"/>
      <w:marBottom w:val="0"/>
      <w:divBdr>
        <w:top w:val="none" w:sz="0" w:space="0" w:color="auto"/>
        <w:left w:val="none" w:sz="0" w:space="0" w:color="auto"/>
        <w:bottom w:val="none" w:sz="0" w:space="0" w:color="auto"/>
        <w:right w:val="none" w:sz="0" w:space="0" w:color="auto"/>
      </w:divBdr>
    </w:div>
    <w:div w:id="1750729837">
      <w:bodyDiv w:val="1"/>
      <w:marLeft w:val="0"/>
      <w:marRight w:val="0"/>
      <w:marTop w:val="0"/>
      <w:marBottom w:val="0"/>
      <w:divBdr>
        <w:top w:val="none" w:sz="0" w:space="0" w:color="auto"/>
        <w:left w:val="none" w:sz="0" w:space="0" w:color="auto"/>
        <w:bottom w:val="none" w:sz="0" w:space="0" w:color="auto"/>
        <w:right w:val="none" w:sz="0" w:space="0" w:color="auto"/>
      </w:divBdr>
    </w:div>
    <w:div w:id="1950383678">
      <w:bodyDiv w:val="1"/>
      <w:marLeft w:val="0"/>
      <w:marRight w:val="0"/>
      <w:marTop w:val="0"/>
      <w:marBottom w:val="0"/>
      <w:divBdr>
        <w:top w:val="none" w:sz="0" w:space="0" w:color="auto"/>
        <w:left w:val="none" w:sz="0" w:space="0" w:color="auto"/>
        <w:bottom w:val="none" w:sz="0" w:space="0" w:color="auto"/>
        <w:right w:val="none" w:sz="0" w:space="0" w:color="auto"/>
      </w:divBdr>
    </w:div>
    <w:div w:id="200862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yperlink" Target="mailto:info@tga.gov.au" TargetMode="Externa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oter" Target="footer2.xml"/><Relationship Id="rId33" Type="http://schemas.openxmlformats.org/officeDocument/2006/relationships/fontTable" Target="fontTable.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4.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tga.copyright@tga.gov.au" TargetMode="External"/><Relationship Id="rId19" Type="http://schemas.openxmlformats.org/officeDocument/2006/relationships/image" Target="media/image6.emf"/><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C22C-2876-41D0-B04E-1486CA91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39</Pages>
  <Words>13816</Words>
  <Characters>76267</Characters>
  <Application>Microsoft Office Word</Application>
  <DocSecurity>0</DocSecurity>
  <Lines>1733</Lines>
  <Paragraphs>811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Australian Public Assessment Report for Levonorgestrel</vt:lpstr>
      <vt:lpstr>Australian public assessment for...</vt:lpstr>
    </vt:vector>
  </TitlesOfParts>
  <Company>Department of Health </Company>
  <LinksUpToDate>false</LinksUpToDate>
  <CharactersWithSpaces>89272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Levonorgestrel</dc:title>
  <dc:subject>prescription medicine</dc:subject>
  <dc:creator>Therapeutic Goods Administration</dc:creator>
  <cp:keywords>auspar</cp:keywords>
  <cp:lastModifiedBy>Therapeutic Goods Administration (TGA) </cp:lastModifiedBy>
  <cp:revision>11</cp:revision>
  <cp:lastPrinted>2017-10-26T23:04:00Z</cp:lastPrinted>
  <dcterms:created xsi:type="dcterms:W3CDTF">2017-11-09T01:26:00Z</dcterms:created>
  <dcterms:modified xsi:type="dcterms:W3CDTF">2017-11-21T04:14:00Z</dcterms:modified>
  <cp:category/>
</cp:coreProperties>
</file>