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DB6" w:rsidRPr="0075437E" w:rsidRDefault="00F90617" w:rsidP="00BC2379">
      <w:pPr>
        <w:pStyle w:val="BrandNamePI"/>
      </w:pPr>
      <w:bookmarkStart w:id="0" w:name="_GoBack"/>
      <w:bookmarkEnd w:id="0"/>
      <w:r w:rsidRPr="0075437E">
        <w:t>TRAJENTA</w:t>
      </w:r>
      <w:r w:rsidR="00014579" w:rsidRPr="0075437E">
        <w:rPr>
          <w:vertAlign w:val="superscript"/>
        </w:rPr>
        <w:sym w:font="Symbol" w:char="F0D2"/>
      </w:r>
    </w:p>
    <w:p w:rsidR="00014579" w:rsidRPr="0075437E" w:rsidRDefault="00014579" w:rsidP="001A7050">
      <w:pPr>
        <w:pStyle w:val="ActiveIngredientPI"/>
      </w:pPr>
      <w:r w:rsidRPr="0075437E">
        <w:t>(</w:t>
      </w:r>
      <w:r w:rsidR="00AF25E7" w:rsidRPr="0075437E">
        <w:t>Linagliptin</w:t>
      </w:r>
      <w:r w:rsidRPr="0075437E">
        <w:t>)</w:t>
      </w:r>
    </w:p>
    <w:p w:rsidR="00014579" w:rsidRPr="0075437E" w:rsidRDefault="00014579" w:rsidP="001A7050">
      <w:pPr>
        <w:pStyle w:val="PIHeading1"/>
      </w:pPr>
      <w:r w:rsidRPr="0075437E">
        <w:t xml:space="preserve">NAME OF THE </w:t>
      </w:r>
      <w:r w:rsidR="00222F3E" w:rsidRPr="0075437E">
        <w:t>MEDICINE</w:t>
      </w:r>
    </w:p>
    <w:p w:rsidR="00852D4F" w:rsidRPr="0075437E" w:rsidRDefault="00852D4F" w:rsidP="00100CC7">
      <w:pPr>
        <w:pStyle w:val="PIheading4"/>
        <w:rPr>
          <w:rStyle w:val="TextPIChar"/>
        </w:rPr>
      </w:pPr>
      <w:r w:rsidRPr="0075437E">
        <w:t>Active ingredient:</w:t>
      </w:r>
      <w:r w:rsidRPr="0075437E">
        <w:tab/>
      </w:r>
      <w:r w:rsidR="00AF25E7" w:rsidRPr="0075437E">
        <w:rPr>
          <w:rStyle w:val="TextPIChar"/>
          <w:i w:val="0"/>
        </w:rPr>
        <w:t>Linagliptin</w:t>
      </w:r>
    </w:p>
    <w:p w:rsidR="00014579" w:rsidRPr="0075437E" w:rsidRDefault="00014579" w:rsidP="00100CC7">
      <w:pPr>
        <w:pStyle w:val="PIheading4"/>
        <w:rPr>
          <w:rStyle w:val="TextPIChar"/>
          <w:i w:val="0"/>
        </w:rPr>
      </w:pPr>
      <w:r w:rsidRPr="0075437E">
        <w:t xml:space="preserve">Chemical name: </w:t>
      </w:r>
      <w:r w:rsidRPr="0075437E">
        <w:tab/>
      </w:r>
      <w:r w:rsidR="0015296D">
        <w:tab/>
      </w:r>
      <w:r w:rsidR="00AF25E7" w:rsidRPr="0075437E">
        <w:rPr>
          <w:rStyle w:val="TextPIChar"/>
          <w:i w:val="0"/>
        </w:rPr>
        <w:t>1H-Purine-2,6-dione, 8-[(3R)-3-amino-1-piperidinyl]-7-(2-butyn-1-yl)-3,7-</w:t>
      </w:r>
      <w:r w:rsidR="0015296D">
        <w:rPr>
          <w:rStyle w:val="TextPIChar"/>
          <w:i w:val="0"/>
        </w:rPr>
        <w:tab/>
      </w:r>
      <w:r w:rsidR="0015296D">
        <w:rPr>
          <w:rStyle w:val="TextPIChar"/>
          <w:i w:val="0"/>
        </w:rPr>
        <w:tab/>
      </w:r>
      <w:r w:rsidR="0015296D">
        <w:rPr>
          <w:rStyle w:val="TextPIChar"/>
          <w:i w:val="0"/>
        </w:rPr>
        <w:tab/>
      </w:r>
      <w:r w:rsidR="0015296D">
        <w:rPr>
          <w:rStyle w:val="TextPIChar"/>
          <w:i w:val="0"/>
        </w:rPr>
        <w:tab/>
      </w:r>
      <w:r w:rsidR="0015296D">
        <w:rPr>
          <w:rStyle w:val="TextPIChar"/>
          <w:i w:val="0"/>
        </w:rPr>
        <w:tab/>
      </w:r>
      <w:r w:rsidR="00AF25E7" w:rsidRPr="0075437E">
        <w:rPr>
          <w:rStyle w:val="TextPIChar"/>
          <w:i w:val="0"/>
        </w:rPr>
        <w:t>dihydro-3-methyl-1-[(4-methyl-2-quinazolinyl)methyl]-</w:t>
      </w:r>
    </w:p>
    <w:p w:rsidR="00047718" w:rsidRPr="00CD7819" w:rsidRDefault="00014579" w:rsidP="00100CC7">
      <w:pPr>
        <w:pStyle w:val="PIheading4"/>
        <w:rPr>
          <w:rStyle w:val="TextPIChar"/>
          <w:i w:val="0"/>
          <w:lang w:val="pt-PT"/>
        </w:rPr>
      </w:pPr>
      <w:r w:rsidRPr="00CD7819">
        <w:rPr>
          <w:lang w:val="pt-PT"/>
        </w:rPr>
        <w:t xml:space="preserve">Molecular formula: </w:t>
      </w:r>
      <w:r w:rsidRPr="00CD7819">
        <w:rPr>
          <w:lang w:val="pt-PT"/>
        </w:rPr>
        <w:tab/>
      </w:r>
      <w:r w:rsidR="00222F3E" w:rsidRPr="00CD7819">
        <w:rPr>
          <w:rStyle w:val="TextPIChar"/>
          <w:i w:val="0"/>
          <w:lang w:val="pt-PT"/>
        </w:rPr>
        <w:t>C</w:t>
      </w:r>
      <w:r w:rsidR="00222F3E" w:rsidRPr="00CD7819">
        <w:rPr>
          <w:rStyle w:val="TextPIChar"/>
          <w:i w:val="0"/>
          <w:vertAlign w:val="subscript"/>
          <w:lang w:val="pt-PT"/>
        </w:rPr>
        <w:t>2</w:t>
      </w:r>
      <w:r w:rsidR="00AF25E7" w:rsidRPr="00CD7819">
        <w:rPr>
          <w:rStyle w:val="TextPIChar"/>
          <w:i w:val="0"/>
          <w:vertAlign w:val="subscript"/>
          <w:lang w:val="pt-PT"/>
        </w:rPr>
        <w:t>5</w:t>
      </w:r>
      <w:r w:rsidR="00222F3E" w:rsidRPr="00CD7819">
        <w:rPr>
          <w:rStyle w:val="TextPIChar"/>
          <w:i w:val="0"/>
          <w:lang w:val="pt-PT"/>
        </w:rPr>
        <w:t>H</w:t>
      </w:r>
      <w:r w:rsidR="00222F3E" w:rsidRPr="00CD7819">
        <w:rPr>
          <w:rStyle w:val="TextPIChar"/>
          <w:i w:val="0"/>
          <w:vertAlign w:val="subscript"/>
          <w:lang w:val="pt-PT"/>
        </w:rPr>
        <w:t>2</w:t>
      </w:r>
      <w:r w:rsidR="00AF25E7" w:rsidRPr="00CD7819">
        <w:rPr>
          <w:rStyle w:val="TextPIChar"/>
          <w:i w:val="0"/>
          <w:vertAlign w:val="subscript"/>
          <w:lang w:val="pt-PT"/>
        </w:rPr>
        <w:t>8</w:t>
      </w:r>
      <w:r w:rsidR="00222F3E" w:rsidRPr="00CD7819">
        <w:rPr>
          <w:rStyle w:val="TextPIChar"/>
          <w:i w:val="0"/>
          <w:lang w:val="pt-PT"/>
        </w:rPr>
        <w:t>N</w:t>
      </w:r>
      <w:r w:rsidR="00AF25E7" w:rsidRPr="00CD7819">
        <w:rPr>
          <w:rStyle w:val="TextPIChar"/>
          <w:i w:val="0"/>
          <w:vertAlign w:val="subscript"/>
          <w:lang w:val="pt-PT"/>
        </w:rPr>
        <w:t>8</w:t>
      </w:r>
      <w:r w:rsidR="00222F3E" w:rsidRPr="00CD7819">
        <w:rPr>
          <w:rStyle w:val="TextPIChar"/>
          <w:i w:val="0"/>
          <w:lang w:val="pt-PT"/>
        </w:rPr>
        <w:t>O</w:t>
      </w:r>
      <w:r w:rsidR="00AF25E7" w:rsidRPr="00CD7819">
        <w:rPr>
          <w:rStyle w:val="TextPIChar"/>
          <w:i w:val="0"/>
          <w:vertAlign w:val="subscript"/>
          <w:lang w:val="pt-PT"/>
        </w:rPr>
        <w:t>2</w:t>
      </w:r>
    </w:p>
    <w:p w:rsidR="00014579" w:rsidRPr="00CD7819" w:rsidRDefault="00014579" w:rsidP="00100CC7">
      <w:pPr>
        <w:pStyle w:val="PIheading4"/>
        <w:rPr>
          <w:rStyle w:val="TextPIChar"/>
          <w:i w:val="0"/>
          <w:lang w:val="pt-PT"/>
        </w:rPr>
      </w:pPr>
      <w:smartTag w:uri="urn:schemas-microsoft-com:office:smarttags" w:element="stockticker">
        <w:r w:rsidRPr="00CD7819">
          <w:rPr>
            <w:lang w:val="pt-PT"/>
          </w:rPr>
          <w:t>CAS</w:t>
        </w:r>
      </w:smartTag>
      <w:r w:rsidRPr="00CD7819">
        <w:rPr>
          <w:lang w:val="pt-PT"/>
        </w:rPr>
        <w:t xml:space="preserve"> number:</w:t>
      </w:r>
      <w:r w:rsidR="00584EC3" w:rsidRPr="00CD7819">
        <w:rPr>
          <w:lang w:val="pt-PT"/>
        </w:rPr>
        <w:t xml:space="preserve"> </w:t>
      </w:r>
      <w:r w:rsidRPr="00CD7819">
        <w:rPr>
          <w:lang w:val="pt-PT"/>
        </w:rPr>
        <w:tab/>
      </w:r>
      <w:r w:rsidR="0015296D" w:rsidRPr="00CD7819">
        <w:rPr>
          <w:lang w:val="pt-PT"/>
        </w:rPr>
        <w:tab/>
      </w:r>
      <w:r w:rsidR="00894EF2" w:rsidRPr="00CD7819">
        <w:rPr>
          <w:rStyle w:val="TextPIChar"/>
          <w:i w:val="0"/>
          <w:lang w:val="pt-PT"/>
        </w:rPr>
        <w:t>668270-12-0</w:t>
      </w:r>
    </w:p>
    <w:p w:rsidR="00047718" w:rsidRPr="0075437E" w:rsidRDefault="00014579" w:rsidP="00100CC7">
      <w:pPr>
        <w:pStyle w:val="PIheading4"/>
        <w:rPr>
          <w:rStyle w:val="TextPIChar"/>
          <w:i w:val="0"/>
        </w:rPr>
      </w:pPr>
      <w:r w:rsidRPr="0075437E">
        <w:t xml:space="preserve">Molecular weight: </w:t>
      </w:r>
      <w:r w:rsidRPr="0075437E">
        <w:tab/>
      </w:r>
      <w:r w:rsidR="00894EF2" w:rsidRPr="0075437E">
        <w:rPr>
          <w:rStyle w:val="TextPIChar"/>
          <w:i w:val="0"/>
        </w:rPr>
        <w:t>472.54</w:t>
      </w:r>
    </w:p>
    <w:p w:rsidR="00222F3E" w:rsidRPr="0075437E" w:rsidRDefault="00047718" w:rsidP="00100CC7">
      <w:pPr>
        <w:pStyle w:val="PIheading4"/>
      </w:pPr>
      <w:r w:rsidRPr="0075437E">
        <w:t>S</w:t>
      </w:r>
      <w:r w:rsidR="00014579" w:rsidRPr="0075437E">
        <w:t xml:space="preserve">tructural formula: </w:t>
      </w:r>
    </w:p>
    <w:p w:rsidR="00852D4F" w:rsidRPr="0075437E" w:rsidRDefault="00D51496" w:rsidP="00100CC7">
      <w:pPr>
        <w:pStyle w:val="TextPI"/>
      </w:pPr>
      <w:r>
        <w:rPr>
          <w:noProof/>
          <w:lang w:val="en-AU" w:eastAsia="en-AU"/>
        </w:rPr>
        <w:drawing>
          <wp:inline distT="0" distB="0" distL="0" distR="0">
            <wp:extent cx="3496310" cy="1323340"/>
            <wp:effectExtent l="19050" t="0" r="8890" b="0"/>
            <wp:docPr id="1" name="Picture 1" descr="structural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496310" cy="1323340"/>
                    </a:xfrm>
                    <a:prstGeom prst="rect">
                      <a:avLst/>
                    </a:prstGeom>
                    <a:noFill/>
                    <a:ln w="9525">
                      <a:noFill/>
                      <a:miter lim="800000"/>
                      <a:headEnd/>
                      <a:tailEnd/>
                    </a:ln>
                  </pic:spPr>
                </pic:pic>
              </a:graphicData>
            </a:graphic>
          </wp:inline>
        </w:drawing>
      </w:r>
    </w:p>
    <w:p w:rsidR="00014579" w:rsidRPr="0075437E" w:rsidRDefault="00014579" w:rsidP="001A7050">
      <w:pPr>
        <w:pStyle w:val="PIHeading1"/>
      </w:pPr>
      <w:r w:rsidRPr="0075437E">
        <w:t>DESCRIPTION</w:t>
      </w:r>
    </w:p>
    <w:p w:rsidR="00860B5F" w:rsidRPr="00CD7819" w:rsidRDefault="00894EF2" w:rsidP="00860B5F">
      <w:pPr>
        <w:pStyle w:val="TextPI"/>
        <w:rPr>
          <w:lang w:val="fr-FR"/>
        </w:rPr>
      </w:pPr>
      <w:r w:rsidRPr="0075437E">
        <w:t>Linagliptin</w:t>
      </w:r>
      <w:r w:rsidR="00852D4F" w:rsidRPr="0075437E">
        <w:t xml:space="preserve"> is a </w:t>
      </w:r>
      <w:r w:rsidRPr="0075437E">
        <w:t>white to yellowish</w:t>
      </w:r>
      <w:r w:rsidR="003C12F2" w:rsidRPr="0075437E">
        <w:t>, not or only slightly hygroscopic</w:t>
      </w:r>
      <w:r w:rsidRPr="0075437E">
        <w:t xml:space="preserve"> solid substance</w:t>
      </w:r>
      <w:r w:rsidR="00701856" w:rsidRPr="0075437E">
        <w:t>. It is v</w:t>
      </w:r>
      <w:r w:rsidR="007E668D">
        <w:t xml:space="preserve">ery slightly soluble in water. </w:t>
      </w:r>
      <w:r w:rsidR="00701856" w:rsidRPr="0075437E">
        <w:t>Linagliptin is</w:t>
      </w:r>
      <w:r w:rsidRPr="0075437E">
        <w:t xml:space="preserve"> soluble in methanol, sparingly soluble in ethanol</w:t>
      </w:r>
      <w:r w:rsidR="00701856" w:rsidRPr="0075437E">
        <w:t>,</w:t>
      </w:r>
      <w:r w:rsidRPr="0075437E">
        <w:t xml:space="preserve"> very slightly soluble in isopropanol and </w:t>
      </w:r>
      <w:r w:rsidR="00701856" w:rsidRPr="0075437E">
        <w:t xml:space="preserve">very slightly soluble in </w:t>
      </w:r>
      <w:r w:rsidRPr="0075437E">
        <w:t>acetone.</w:t>
      </w:r>
      <w:r w:rsidR="00860B5F" w:rsidRPr="0075437E">
        <w:t xml:space="preserve"> </w:t>
      </w:r>
      <w:r w:rsidR="00860B5F" w:rsidRPr="00CD7819">
        <w:rPr>
          <w:lang w:val="fr-FR"/>
        </w:rPr>
        <w:t>Dissociation Constants: pKa</w:t>
      </w:r>
      <w:r w:rsidR="00860B5F" w:rsidRPr="00CD7819">
        <w:rPr>
          <w:vertAlign w:val="subscript"/>
          <w:lang w:val="fr-FR"/>
        </w:rPr>
        <w:t>1</w:t>
      </w:r>
      <w:r w:rsidR="00A3582E" w:rsidRPr="00CD7819">
        <w:rPr>
          <w:lang w:val="fr-FR"/>
        </w:rPr>
        <w:t> </w:t>
      </w:r>
      <w:r w:rsidR="00860B5F" w:rsidRPr="00CD7819">
        <w:rPr>
          <w:lang w:val="fr-FR"/>
        </w:rPr>
        <w:t>=</w:t>
      </w:r>
      <w:r w:rsidR="00A3582E" w:rsidRPr="00CD7819">
        <w:rPr>
          <w:lang w:val="fr-FR"/>
        </w:rPr>
        <w:t> </w:t>
      </w:r>
      <w:r w:rsidR="00860B5F" w:rsidRPr="00CD7819">
        <w:rPr>
          <w:lang w:val="fr-FR"/>
        </w:rPr>
        <w:t>8.6; pKa</w:t>
      </w:r>
      <w:r w:rsidR="00860B5F" w:rsidRPr="00CD7819">
        <w:rPr>
          <w:vertAlign w:val="subscript"/>
          <w:lang w:val="fr-FR"/>
        </w:rPr>
        <w:t>2</w:t>
      </w:r>
      <w:r w:rsidR="00860B5F" w:rsidRPr="00CD7819">
        <w:rPr>
          <w:lang w:val="fr-FR"/>
        </w:rPr>
        <w:t xml:space="preserve"> = 1.9. Partition Co-efficient: Log P = 1.7 (free base); Log D (pH 7.4) = 0.4.</w:t>
      </w:r>
    </w:p>
    <w:p w:rsidR="00DC1FB9" w:rsidRPr="0075437E" w:rsidRDefault="00F90617" w:rsidP="00100CC7">
      <w:pPr>
        <w:pStyle w:val="TextPI"/>
      </w:pPr>
      <w:r w:rsidRPr="0075437E">
        <w:t>TRAJENTA</w:t>
      </w:r>
      <w:r w:rsidR="00852D4F" w:rsidRPr="0075437E">
        <w:t xml:space="preserve"> </w:t>
      </w:r>
      <w:r w:rsidR="00DC1FB9" w:rsidRPr="0075437E">
        <w:t xml:space="preserve">are film-coated </w:t>
      </w:r>
      <w:r w:rsidR="00642B6E" w:rsidRPr="0075437E">
        <w:t>tablets for oral administration</w:t>
      </w:r>
      <w:r w:rsidR="00DC1FB9" w:rsidRPr="0075437E">
        <w:t xml:space="preserve"> containing </w:t>
      </w:r>
      <w:r w:rsidR="00894EF2" w:rsidRPr="0075437E">
        <w:t>5</w:t>
      </w:r>
      <w:r w:rsidR="00DC1FB9" w:rsidRPr="0075437E">
        <w:t xml:space="preserve"> mg </w:t>
      </w:r>
      <w:r w:rsidR="00894EF2" w:rsidRPr="0075437E">
        <w:t>linagliptin</w:t>
      </w:r>
      <w:r w:rsidR="005045C6">
        <w:t>.</w:t>
      </w:r>
    </w:p>
    <w:p w:rsidR="00852D4F" w:rsidRPr="0075437E" w:rsidRDefault="00DC1FB9" w:rsidP="00100CC7">
      <w:pPr>
        <w:pStyle w:val="TextPI"/>
      </w:pPr>
      <w:r w:rsidRPr="0075437E">
        <w:t xml:space="preserve">Excipients: Each </w:t>
      </w:r>
      <w:r w:rsidR="00F90617" w:rsidRPr="0075437E">
        <w:t>TRAJENTA</w:t>
      </w:r>
      <w:r w:rsidRPr="0075437E">
        <w:t xml:space="preserve"> tablet also contains </w:t>
      </w:r>
      <w:r w:rsidR="00D4688B" w:rsidRPr="0075437E">
        <w:t>starch -</w:t>
      </w:r>
      <w:r w:rsidR="00894EF2" w:rsidRPr="0075437E">
        <w:t xml:space="preserve"> </w:t>
      </w:r>
      <w:proofErr w:type="spellStart"/>
      <w:r w:rsidR="00894EF2" w:rsidRPr="0075437E">
        <w:t>pregelatinised</w:t>
      </w:r>
      <w:proofErr w:type="spellEnd"/>
      <w:r w:rsidR="00894EF2" w:rsidRPr="0075437E">
        <w:t xml:space="preserve"> maize,</w:t>
      </w:r>
      <w:r w:rsidR="00D4688B" w:rsidRPr="0075437E">
        <w:t xml:space="preserve"> starch -</w:t>
      </w:r>
      <w:r w:rsidR="00894EF2" w:rsidRPr="0075437E">
        <w:t xml:space="preserve"> maize, </w:t>
      </w:r>
      <w:proofErr w:type="spellStart"/>
      <w:r w:rsidR="00D4688B" w:rsidRPr="0075437E">
        <w:t>mannitol</w:t>
      </w:r>
      <w:proofErr w:type="spellEnd"/>
      <w:r w:rsidR="00D4688B" w:rsidRPr="0075437E">
        <w:t xml:space="preserve">, </w:t>
      </w:r>
      <w:proofErr w:type="spellStart"/>
      <w:r w:rsidR="00894EF2" w:rsidRPr="0075437E">
        <w:t>copovidone</w:t>
      </w:r>
      <w:proofErr w:type="spellEnd"/>
      <w:r w:rsidR="00894EF2" w:rsidRPr="0075437E">
        <w:t xml:space="preserve">, magnesium </w:t>
      </w:r>
      <w:proofErr w:type="spellStart"/>
      <w:r w:rsidR="00894EF2" w:rsidRPr="0075437E">
        <w:t>stearate</w:t>
      </w:r>
      <w:proofErr w:type="spellEnd"/>
      <w:r w:rsidRPr="0075437E">
        <w:t xml:space="preserve"> and the </w:t>
      </w:r>
      <w:proofErr w:type="spellStart"/>
      <w:r w:rsidRPr="0075437E">
        <w:t>colouring</w:t>
      </w:r>
      <w:proofErr w:type="spellEnd"/>
      <w:r w:rsidRPr="0075437E">
        <w:t xml:space="preserve"> agent </w:t>
      </w:r>
      <w:proofErr w:type="spellStart"/>
      <w:r w:rsidRPr="0075437E">
        <w:t>Opadry</w:t>
      </w:r>
      <w:proofErr w:type="spellEnd"/>
      <w:r w:rsidRPr="0075437E">
        <w:t xml:space="preserve"> Pink 02</w:t>
      </w:r>
      <w:r w:rsidR="00894EF2" w:rsidRPr="0075437E">
        <w:t>F34337</w:t>
      </w:r>
      <w:r w:rsidR="00852D4F" w:rsidRPr="0075437E">
        <w:t>.</w:t>
      </w:r>
    </w:p>
    <w:p w:rsidR="001D1C54" w:rsidRPr="0075437E" w:rsidRDefault="00014579" w:rsidP="00642B6E">
      <w:pPr>
        <w:pStyle w:val="PIHeading1"/>
        <w:keepNext w:val="0"/>
      </w:pPr>
      <w:r w:rsidRPr="0075437E">
        <w:t>PHARMACOLOGY</w:t>
      </w:r>
    </w:p>
    <w:p w:rsidR="00D33059" w:rsidRPr="0075437E" w:rsidRDefault="00D33059" w:rsidP="00100CC7">
      <w:pPr>
        <w:pStyle w:val="TextPI"/>
      </w:pPr>
      <w:r w:rsidRPr="0075437E">
        <w:t>Pharmacotherapeutic group:</w:t>
      </w:r>
      <w:r w:rsidR="007E668D">
        <w:t xml:space="preserve"> </w:t>
      </w:r>
      <w:r w:rsidRPr="0075437E">
        <w:t>DPP-4 inhibitor, ATC code: A10BH05</w:t>
      </w:r>
    </w:p>
    <w:p w:rsidR="00014579" w:rsidRPr="0075437E" w:rsidRDefault="00014579" w:rsidP="00642B6E">
      <w:pPr>
        <w:pStyle w:val="PIheading2"/>
        <w:keepNext w:val="0"/>
      </w:pPr>
      <w:r w:rsidRPr="0075437E">
        <w:t>Pharmacodynamics</w:t>
      </w:r>
    </w:p>
    <w:p w:rsidR="00A34EB3" w:rsidRDefault="00A34EB3" w:rsidP="00A34EB3">
      <w:pPr>
        <w:pStyle w:val="TextPI"/>
      </w:pPr>
      <w:r w:rsidRPr="00884C58">
        <w:t>Linagliptin is an inhibitor of the enzyme DPP-4 (Dipeptidyl peptida</w:t>
      </w:r>
      <w:r>
        <w:t>se 4</w:t>
      </w:r>
      <w:r w:rsidRPr="00884C58">
        <w:t>)</w:t>
      </w:r>
      <w:r>
        <w:t>,</w:t>
      </w:r>
      <w:r w:rsidRPr="00884C58">
        <w:t xml:space="preserve"> an</w:t>
      </w:r>
      <w:r>
        <w:t xml:space="preserve"> </w:t>
      </w:r>
      <w:r w:rsidRPr="00884C58">
        <w:t>enzyme which is involved in the inactivation of the incretin hormones GLP-1 and GIP</w:t>
      </w:r>
      <w:r>
        <w:t xml:space="preserve"> </w:t>
      </w:r>
      <w:r w:rsidRPr="00884C58">
        <w:t>(glucagon-like peptide-1, glucose-depende</w:t>
      </w:r>
      <w:r w:rsidR="007E668D">
        <w:t>nt insulinotropic polypeptide).</w:t>
      </w:r>
      <w:r>
        <w:t xml:space="preserve"> </w:t>
      </w:r>
      <w:r w:rsidRPr="00884C58">
        <w:t>These hormones are</w:t>
      </w:r>
      <w:r>
        <w:t xml:space="preserve"> </w:t>
      </w:r>
      <w:r w:rsidRPr="00884C58">
        <w:t>rapidly degraded by the enzyme DPP-4. Both incretin hormones are involved in the</w:t>
      </w:r>
      <w:r>
        <w:t xml:space="preserve"> </w:t>
      </w:r>
      <w:r w:rsidRPr="00884C58">
        <w:t>physiological reg</w:t>
      </w:r>
      <w:r w:rsidR="007E668D">
        <w:t>ulation of glucose homeostasis.</w:t>
      </w:r>
      <w:r>
        <w:t xml:space="preserve"> </w:t>
      </w:r>
      <w:r w:rsidRPr="00884C58">
        <w:t>Incretins are secreted at a low basal level</w:t>
      </w:r>
      <w:r>
        <w:t xml:space="preserve"> </w:t>
      </w:r>
      <w:r w:rsidRPr="00884C58">
        <w:t>throughout the day and levels rise immediately after meal intake. GLP-1 and GIP increase</w:t>
      </w:r>
      <w:r>
        <w:t xml:space="preserve"> </w:t>
      </w:r>
      <w:r w:rsidRPr="00884C58">
        <w:t>insulin biosynthesis and secretion from pancreatic beta cells in the presence of normal and</w:t>
      </w:r>
      <w:r>
        <w:t xml:space="preserve"> </w:t>
      </w:r>
      <w:r w:rsidRPr="00884C58">
        <w:t>elevated blood glucose levels. Furthermore GLP-1 also reduces glucagon secretion from</w:t>
      </w:r>
      <w:r>
        <w:t xml:space="preserve"> </w:t>
      </w:r>
      <w:r w:rsidRPr="00884C58">
        <w:t>pancreatic alpha cells, resulting in a reduction in hepatic glucose output. Linagliptin</w:t>
      </w:r>
      <w:r>
        <w:t xml:space="preserve"> binding </w:t>
      </w:r>
      <w:r w:rsidRPr="00884C58">
        <w:t xml:space="preserve">to DPP-4 </w:t>
      </w:r>
      <w:r>
        <w:t>is</w:t>
      </w:r>
      <w:r w:rsidRPr="00884C58">
        <w:t xml:space="preserve"> reversible </w:t>
      </w:r>
      <w:r>
        <w:t xml:space="preserve">but long lasting </w:t>
      </w:r>
      <w:r w:rsidRPr="00884C58">
        <w:t>and thus leads to a</w:t>
      </w:r>
      <w:r>
        <w:t xml:space="preserve"> </w:t>
      </w:r>
      <w:r w:rsidRPr="00884C58">
        <w:t>sustained increase and a prolonga</w:t>
      </w:r>
      <w:r w:rsidR="007E668D">
        <w:t>tion of active incretin levels.</w:t>
      </w:r>
      <w:r>
        <w:t xml:space="preserve"> </w:t>
      </w:r>
      <w:r>
        <w:rPr>
          <w:i/>
        </w:rPr>
        <w:t>I</w:t>
      </w:r>
      <w:r w:rsidRPr="001A2EAD">
        <w:rPr>
          <w:i/>
        </w:rPr>
        <w:t>n vitro</w:t>
      </w:r>
      <w:r>
        <w:t>, l</w:t>
      </w:r>
      <w:r w:rsidRPr="00884C58">
        <w:t xml:space="preserve">inagliptin </w:t>
      </w:r>
      <w:r>
        <w:t xml:space="preserve">inhibits </w:t>
      </w:r>
      <w:r w:rsidRPr="00884C58">
        <w:t xml:space="preserve">DPP-4 </w:t>
      </w:r>
      <w:r>
        <w:t xml:space="preserve">with nanomolar potency </w:t>
      </w:r>
      <w:r w:rsidRPr="00884C58">
        <w:t>and</w:t>
      </w:r>
      <w:r>
        <w:t xml:space="preserve"> </w:t>
      </w:r>
      <w:r w:rsidRPr="00884C58">
        <w:t>exhibits a &gt;10000 fold selectivity versus DPP-8 or DPP-9 activity.</w:t>
      </w:r>
    </w:p>
    <w:p w:rsidR="00014579" w:rsidRPr="0075437E" w:rsidRDefault="00014579" w:rsidP="00642B6E">
      <w:pPr>
        <w:pStyle w:val="PIheading2"/>
        <w:keepNext w:val="0"/>
      </w:pPr>
      <w:r w:rsidRPr="0075437E">
        <w:t>Pharmacokinetics</w:t>
      </w:r>
    </w:p>
    <w:p w:rsidR="00705921" w:rsidRPr="0075437E" w:rsidRDefault="00705921" w:rsidP="00100CC7">
      <w:pPr>
        <w:pStyle w:val="TextPI"/>
      </w:pPr>
      <w:r w:rsidRPr="0075437E">
        <w:t xml:space="preserve">The pharmacokinetics of linagliptin has been extensively characterised in healthy subjects and patients with type 2 diabetes. After oral administration of a 5 </w:t>
      </w:r>
      <w:r w:rsidR="00972572" w:rsidRPr="0075437E">
        <w:t>mg dose to healthy volunteer</w:t>
      </w:r>
      <w:r w:rsidRPr="0075437E">
        <w:t xml:space="preserve"> patients, </w:t>
      </w:r>
      <w:r w:rsidRPr="0075437E">
        <w:lastRenderedPageBreak/>
        <w:t>linagliptin was rapidly absorbed, with peak plasma concentrations (median T</w:t>
      </w:r>
      <w:r w:rsidRPr="0075437E">
        <w:rPr>
          <w:vertAlign w:val="subscript"/>
        </w:rPr>
        <w:t>max</w:t>
      </w:r>
      <w:r w:rsidRPr="0075437E">
        <w:t>) occurring 1.5</w:t>
      </w:r>
      <w:r w:rsidR="007E668D">
        <w:t> </w:t>
      </w:r>
      <w:r w:rsidRPr="0075437E">
        <w:t>hours post-dose.</w:t>
      </w:r>
    </w:p>
    <w:p w:rsidR="00705921" w:rsidRPr="0075437E" w:rsidRDefault="00705921" w:rsidP="00100CC7">
      <w:pPr>
        <w:pStyle w:val="TextPI"/>
      </w:pPr>
      <w:r w:rsidRPr="0075437E">
        <w:t xml:space="preserve">Plasma concentrations of linagliptin decline in a </w:t>
      </w:r>
      <w:proofErr w:type="spellStart"/>
      <w:r w:rsidRPr="0075437E">
        <w:t>triphasic</w:t>
      </w:r>
      <w:proofErr w:type="spellEnd"/>
      <w:r w:rsidRPr="0075437E">
        <w:t xml:space="preserve"> manner with a long terminal half-life (terminal half-life for linagliptin more than 100 hours), that is mostly related to the </w:t>
      </w:r>
      <w:proofErr w:type="spellStart"/>
      <w:r w:rsidRPr="0075437E">
        <w:t>saturable</w:t>
      </w:r>
      <w:proofErr w:type="spellEnd"/>
      <w:r w:rsidRPr="0075437E">
        <w:t>, tight binding of linagliptin to DPP-4 and does not contribute t</w:t>
      </w:r>
      <w:r w:rsidR="007E668D">
        <w:t>o the accumulation of the drug.</w:t>
      </w:r>
      <w:r w:rsidR="00EB36DB" w:rsidRPr="0075437E">
        <w:t xml:space="preserve"> </w:t>
      </w:r>
      <w:r w:rsidRPr="0075437E">
        <w:t>The effective half-life for accumulation of linagliptin, as determined from oral administration of multiple doses of 5 mg linagliptin, is a</w:t>
      </w:r>
      <w:r w:rsidR="00EB36DB" w:rsidRPr="0075437E">
        <w:t>pproximately 12 hours</w:t>
      </w:r>
      <w:r w:rsidRPr="0075437E">
        <w:t xml:space="preserve">. After once-daily dosing, steady-state plasma concentrations of 5 mg linagliptin are reached by the third dose. </w:t>
      </w:r>
      <w:r w:rsidR="00964CF2" w:rsidRPr="0075437E">
        <w:t>Plasma area under the curve</w:t>
      </w:r>
      <w:r w:rsidRPr="0075437E">
        <w:t xml:space="preserve"> </w:t>
      </w:r>
      <w:r w:rsidR="00964CF2" w:rsidRPr="0075437E">
        <w:t>(</w:t>
      </w:r>
      <w:r w:rsidRPr="0075437E">
        <w:t>AUC</w:t>
      </w:r>
      <w:r w:rsidR="00964CF2" w:rsidRPr="0075437E">
        <w:t>)</w:t>
      </w:r>
      <w:r w:rsidRPr="0075437E">
        <w:t xml:space="preserve"> of linagliptin increased approximately 33% following 5 mg doses at steady-state c</w:t>
      </w:r>
      <w:r w:rsidR="00EB36DB" w:rsidRPr="0075437E">
        <w:t>ompared to the first dose</w:t>
      </w:r>
      <w:r w:rsidRPr="0075437E">
        <w:t>.</w:t>
      </w:r>
      <w:r w:rsidR="00EB36DB" w:rsidRPr="0075437E">
        <w:t xml:space="preserve"> </w:t>
      </w:r>
      <w:r w:rsidRPr="0075437E">
        <w:t xml:space="preserve">The intra-subject and inter-subject coefficients of variation for linagliptin AUC were small (12.6% </w:t>
      </w:r>
      <w:r w:rsidR="00EB36DB" w:rsidRPr="0075437E">
        <w:t>and 28.5%, respectively)</w:t>
      </w:r>
      <w:r w:rsidR="007E668D">
        <w:t>.</w:t>
      </w:r>
      <w:r w:rsidR="00EB36DB" w:rsidRPr="0075437E">
        <w:t xml:space="preserve"> </w:t>
      </w:r>
      <w:r w:rsidRPr="0075437E">
        <w:t>Plasma AUC of linagliptin increased in a less</w:t>
      </w:r>
      <w:r w:rsidR="007E668D">
        <w:t xml:space="preserve"> than dose-proportional manner.</w:t>
      </w:r>
      <w:r w:rsidR="00EB36DB" w:rsidRPr="0075437E">
        <w:t xml:space="preserve"> </w:t>
      </w:r>
      <w:r w:rsidRPr="0075437E">
        <w:t>The pharmacokinetics of linagliptin was generally similar in healthy subjects and in patients with type 2 diabetes.</w:t>
      </w:r>
    </w:p>
    <w:p w:rsidR="00014579" w:rsidRPr="0075437E" w:rsidRDefault="00FB1374" w:rsidP="005E0305">
      <w:pPr>
        <w:pStyle w:val="PIHeading3"/>
        <w:outlineLvl w:val="2"/>
      </w:pPr>
      <w:r w:rsidRPr="0075437E">
        <w:t>Absorption</w:t>
      </w:r>
    </w:p>
    <w:p w:rsidR="001A6F71" w:rsidRPr="0075437E" w:rsidRDefault="001A6F71" w:rsidP="00100CC7">
      <w:pPr>
        <w:pStyle w:val="TextPI"/>
      </w:pPr>
      <w:r w:rsidRPr="0075437E">
        <w:t>The absolute bioavailability of linagliptin is approximately 30%.</w:t>
      </w:r>
      <w:r w:rsidR="007E668D">
        <w:t xml:space="preserve"> </w:t>
      </w:r>
      <w:r w:rsidRPr="0075437E">
        <w:t>Because co-administration of a high-fat meal with linagliptin had no clinically relevant effect on the pharmacokinetics, linagliptin may be admi</w:t>
      </w:r>
      <w:r w:rsidR="005045C6">
        <w:t>nistered with or without food.</w:t>
      </w:r>
    </w:p>
    <w:p w:rsidR="001A6F71" w:rsidRPr="0075437E" w:rsidRDefault="001A6F71" w:rsidP="00100CC7">
      <w:pPr>
        <w:pStyle w:val="TextPI"/>
      </w:pPr>
      <w:r w:rsidRPr="0075437E">
        <w:rPr>
          <w:i/>
        </w:rPr>
        <w:t>In vitro</w:t>
      </w:r>
      <w:r w:rsidRPr="0075437E">
        <w:t xml:space="preserve"> studies indicated that linagliptin is a substrate of P-glycoprotein and of CYP3A4.</w:t>
      </w:r>
      <w:r w:rsidR="007E668D">
        <w:t xml:space="preserve"> </w:t>
      </w:r>
      <w:r w:rsidRPr="0075437E">
        <w:t>Ritonavir, a potent inhibitor of P-glycoprotein and CYP3A4, led to a two-fold increase in exposure (AUC) and multiple co-administration of linagliptin with rifampicin, a potent inducer of P-glycoprotein and CYP3A, resulted in an a</w:t>
      </w:r>
      <w:r w:rsidR="00972572" w:rsidRPr="0075437E">
        <w:t>pproximate</w:t>
      </w:r>
      <w:r w:rsidRPr="0075437E">
        <w:t xml:space="preserve"> 40% decreased linagliptin steady-state AUC, presumably by increasing/decreasing the bioavailability of linagliptin by inhibition/induction of P-glycoprotein.</w:t>
      </w:r>
    </w:p>
    <w:p w:rsidR="00014579" w:rsidRPr="0075437E" w:rsidRDefault="00FB1374" w:rsidP="005E0305">
      <w:pPr>
        <w:pStyle w:val="PIHeading3"/>
        <w:outlineLvl w:val="2"/>
      </w:pPr>
      <w:r w:rsidRPr="0075437E">
        <w:t>Distribution</w:t>
      </w:r>
    </w:p>
    <w:p w:rsidR="00A34EB3" w:rsidRDefault="00A34EB3" w:rsidP="00A34EB3">
      <w:pPr>
        <w:pStyle w:val="TextPI"/>
      </w:pPr>
      <w:r w:rsidRPr="007B4B08">
        <w:t xml:space="preserve">As a result of tissue binding, the mean apparent volume of distribution at steady state following a single 5 mg intravenous dose of linagliptin to healthy subjects is approximately 1110 </w:t>
      </w:r>
      <w:proofErr w:type="spellStart"/>
      <w:r w:rsidRPr="007B4B08">
        <w:t>litres</w:t>
      </w:r>
      <w:proofErr w:type="spellEnd"/>
      <w:r w:rsidRPr="007B4B08">
        <w:t xml:space="preserve">, indicating that </w:t>
      </w:r>
      <w:proofErr w:type="spellStart"/>
      <w:r w:rsidRPr="007B4B08">
        <w:t>linagliptin</w:t>
      </w:r>
      <w:proofErr w:type="spellEnd"/>
      <w:r w:rsidRPr="007B4B08">
        <w:t xml:space="preserve"> extensive</w:t>
      </w:r>
      <w:r>
        <w:t>ly distributes to the tissues.</w:t>
      </w:r>
      <w:r w:rsidR="007E668D">
        <w:t xml:space="preserve"> </w:t>
      </w:r>
      <w:r w:rsidRPr="00F809C5">
        <w:t xml:space="preserve">Plasma protein binding of linagliptin is concentration-dependent, decreasing from about 99% at 1 nmol/L to 75-89% at </w:t>
      </w:r>
      <w:r w:rsidRPr="00F809C5">
        <w:rPr>
          <w:rFonts w:cs="Arial"/>
        </w:rPr>
        <w:t xml:space="preserve">≥ </w:t>
      </w:r>
      <w:r w:rsidRPr="00F809C5">
        <w:t>30 nmol/L, reflecting saturation of binding to DPP-4 with increasing c</w:t>
      </w:r>
      <w:r w:rsidR="005045C6">
        <w:t>oncentration of linagliptin.</w:t>
      </w:r>
      <w:r w:rsidR="007E668D">
        <w:t xml:space="preserve"> </w:t>
      </w:r>
      <w:r w:rsidRPr="00F809C5">
        <w:t>At the peak plasma concentration in humans at 5</w:t>
      </w:r>
      <w:r w:rsidR="00F44C4D">
        <w:t xml:space="preserve"> </w:t>
      </w:r>
      <w:r w:rsidRPr="00F809C5">
        <w:t>mg/day, approximately 10% of linagliptin is unbound.</w:t>
      </w:r>
    </w:p>
    <w:p w:rsidR="00014579" w:rsidRPr="0075437E" w:rsidRDefault="00FB1374" w:rsidP="005E0305">
      <w:pPr>
        <w:pStyle w:val="PIHeading3"/>
        <w:outlineLvl w:val="2"/>
      </w:pPr>
      <w:r w:rsidRPr="0075437E">
        <w:t>Metabolism</w:t>
      </w:r>
    </w:p>
    <w:p w:rsidR="00D15CB4" w:rsidRPr="0075437E" w:rsidRDefault="00A34EB3" w:rsidP="00100CC7">
      <w:pPr>
        <w:pStyle w:val="TextPI"/>
      </w:pPr>
      <w:r w:rsidRPr="00D15CB4">
        <w:t xml:space="preserve">Following </w:t>
      </w:r>
      <w:r>
        <w:t xml:space="preserve">a </w:t>
      </w:r>
      <w:r w:rsidRPr="00D15CB4">
        <w:t>[</w:t>
      </w:r>
      <w:r w:rsidRPr="00D15CB4">
        <w:rPr>
          <w:vertAlign w:val="superscript"/>
        </w:rPr>
        <w:t>14</w:t>
      </w:r>
      <w:r w:rsidRPr="00D15CB4">
        <w:t>C]</w:t>
      </w:r>
      <w:r>
        <w:t>-</w:t>
      </w:r>
      <w:r w:rsidRPr="00D15CB4">
        <w:t xml:space="preserve">linagliptin </w:t>
      </w:r>
      <w:r>
        <w:t xml:space="preserve">oral </w:t>
      </w:r>
      <w:r w:rsidRPr="00D15CB4">
        <w:t>10</w:t>
      </w:r>
      <w:r>
        <w:t xml:space="preserve"> </w:t>
      </w:r>
      <w:r w:rsidRPr="00D15CB4">
        <w:t>mg dose, approximately 5% of the radioactivity was excreted in urine.</w:t>
      </w:r>
      <w:r w:rsidR="007E668D">
        <w:t xml:space="preserve"> </w:t>
      </w:r>
      <w:r w:rsidRPr="00D15CB4">
        <w:t>Metabolism plays a subordinate role in the elimination of linagliptin.</w:t>
      </w:r>
      <w:r w:rsidR="007E668D">
        <w:t xml:space="preserve"> </w:t>
      </w:r>
      <w:r>
        <w:t>One main metabolite with a</w:t>
      </w:r>
      <w:r w:rsidRPr="00D15CB4">
        <w:t xml:space="preserve"> relative ex</w:t>
      </w:r>
      <w:r>
        <w:t>posure of 13.3</w:t>
      </w:r>
      <w:r w:rsidRPr="00D15CB4">
        <w:t>% of linagliptin at steady state was detected</w:t>
      </w:r>
      <w:r w:rsidR="00484E7E">
        <w:t xml:space="preserve"> </w:t>
      </w:r>
      <w:r>
        <w:t>and</w:t>
      </w:r>
      <w:r w:rsidRPr="00D15CB4">
        <w:t xml:space="preserve"> was found to be pharmacologically inactive and thus does not contribute to the plasma DPP-4 inhibito</w:t>
      </w:r>
      <w:r>
        <w:t>ry activity of linagliptin.</w:t>
      </w:r>
    </w:p>
    <w:p w:rsidR="00014579" w:rsidRPr="0075437E" w:rsidRDefault="00FB1374" w:rsidP="00161728">
      <w:pPr>
        <w:pStyle w:val="PIHeading3"/>
        <w:outlineLvl w:val="2"/>
      </w:pPr>
      <w:r w:rsidRPr="0075437E">
        <w:t>Elimination</w:t>
      </w:r>
    </w:p>
    <w:p w:rsidR="00526143" w:rsidRPr="0075437E" w:rsidRDefault="00526143" w:rsidP="00100CC7">
      <w:pPr>
        <w:pStyle w:val="TextPI"/>
      </w:pPr>
      <w:r w:rsidRPr="0075437E">
        <w:t xml:space="preserve">Following </w:t>
      </w:r>
      <w:r w:rsidR="00CD25E8" w:rsidRPr="0075437E">
        <w:t>a</w:t>
      </w:r>
      <w:r w:rsidRPr="0075437E">
        <w:t>dministration of an oral [</w:t>
      </w:r>
      <w:r w:rsidRPr="0075437E">
        <w:rPr>
          <w:vertAlign w:val="superscript"/>
        </w:rPr>
        <w:t>14</w:t>
      </w:r>
      <w:r w:rsidR="005A24C8" w:rsidRPr="0075437E">
        <w:t>C]-</w:t>
      </w:r>
      <w:r w:rsidRPr="0075437E">
        <w:t xml:space="preserve">linagliptin dose to healthy subjects, approximately 85% of the administered radioactivity was eliminated in </w:t>
      </w:r>
      <w:proofErr w:type="spellStart"/>
      <w:r w:rsidRPr="0075437E">
        <w:t>faeces</w:t>
      </w:r>
      <w:proofErr w:type="spellEnd"/>
      <w:r w:rsidRPr="0075437E">
        <w:t xml:space="preserve"> (80%) or urine (5%) within 4 days of dosing.</w:t>
      </w:r>
      <w:r w:rsidR="007E668D">
        <w:t xml:space="preserve"> </w:t>
      </w:r>
      <w:r w:rsidRPr="0075437E">
        <w:t>Renal clearance at steady sta</w:t>
      </w:r>
      <w:r w:rsidR="005045C6">
        <w:t>te was approximately 70 mL/min.</w:t>
      </w:r>
    </w:p>
    <w:p w:rsidR="00014579" w:rsidRPr="0075437E" w:rsidRDefault="00014579" w:rsidP="006D52DE">
      <w:pPr>
        <w:pStyle w:val="PIHeading3"/>
        <w:keepNext/>
        <w:keepLines/>
        <w:outlineLvl w:val="2"/>
      </w:pPr>
      <w:r w:rsidRPr="0075437E">
        <w:t>Pharmacokin</w:t>
      </w:r>
      <w:r w:rsidR="00FB1374" w:rsidRPr="0075437E">
        <w:t>etics in special patient groups</w:t>
      </w:r>
      <w:r w:rsidR="00154203" w:rsidRPr="0075437E">
        <w:t>:</w:t>
      </w:r>
    </w:p>
    <w:p w:rsidR="009F3A8A" w:rsidRPr="0075437E" w:rsidRDefault="0032365A" w:rsidP="006D52DE">
      <w:pPr>
        <w:pStyle w:val="PIheading4"/>
        <w:keepNext/>
        <w:keepLines/>
        <w:rPr>
          <w:rStyle w:val="TextPIChar"/>
          <w:i w:val="0"/>
        </w:rPr>
      </w:pPr>
      <w:r w:rsidRPr="0075437E">
        <w:t>Pharmacokinetics in c</w:t>
      </w:r>
      <w:r w:rsidR="00014579" w:rsidRPr="0075437E">
        <w:t>hildren</w:t>
      </w:r>
      <w:r w:rsidR="00014579" w:rsidRPr="0075437E">
        <w:rPr>
          <w:rStyle w:val="TextPIChar"/>
          <w:i w:val="0"/>
        </w:rPr>
        <w:t>:</w:t>
      </w:r>
      <w:r w:rsidR="007E668D">
        <w:rPr>
          <w:rStyle w:val="TextPIChar"/>
          <w:i w:val="0"/>
        </w:rPr>
        <w:t xml:space="preserve"> </w:t>
      </w:r>
      <w:r w:rsidR="009F3A8A" w:rsidRPr="0075437E">
        <w:rPr>
          <w:rStyle w:val="TextPIChar"/>
          <w:i w:val="0"/>
        </w:rPr>
        <w:t xml:space="preserve">Studies </w:t>
      </w:r>
      <w:proofErr w:type="spellStart"/>
      <w:r w:rsidR="009F3A8A" w:rsidRPr="0075437E">
        <w:rPr>
          <w:rStyle w:val="TextPIChar"/>
          <w:i w:val="0"/>
        </w:rPr>
        <w:t>characterising</w:t>
      </w:r>
      <w:proofErr w:type="spellEnd"/>
      <w:r w:rsidR="009F3A8A" w:rsidRPr="0075437E">
        <w:rPr>
          <w:rStyle w:val="TextPIChar"/>
          <w:i w:val="0"/>
        </w:rPr>
        <w:t xml:space="preserve"> the pharmacokinetics of linagliptin in paediatric patients have not been performed.</w:t>
      </w:r>
    </w:p>
    <w:p w:rsidR="009F3A8A" w:rsidRPr="0075437E" w:rsidRDefault="00854620" w:rsidP="00100CC7">
      <w:pPr>
        <w:pStyle w:val="PIheading4"/>
        <w:rPr>
          <w:rStyle w:val="TextPIChar"/>
          <w:i w:val="0"/>
        </w:rPr>
      </w:pPr>
      <w:r w:rsidRPr="0075437E">
        <w:t>Pharmacokinetics in the e</w:t>
      </w:r>
      <w:r w:rsidR="00047718" w:rsidRPr="0075437E">
        <w:t>lderly</w:t>
      </w:r>
      <w:r w:rsidR="00047718" w:rsidRPr="0075437E">
        <w:rPr>
          <w:rStyle w:val="TextPIChar"/>
          <w:i w:val="0"/>
        </w:rPr>
        <w:t>:</w:t>
      </w:r>
      <w:r w:rsidR="007E668D">
        <w:rPr>
          <w:rStyle w:val="TextPIChar"/>
          <w:i w:val="0"/>
        </w:rPr>
        <w:t xml:space="preserve"> </w:t>
      </w:r>
      <w:r w:rsidR="009F3A8A" w:rsidRPr="0075437E">
        <w:rPr>
          <w:rStyle w:val="TextPIChar"/>
          <w:i w:val="0"/>
        </w:rPr>
        <w:t>No dosage adjustment is required based on age, as age did not have a clinically relevant impact on the pharmacokinetics of linagliptin based on a population pharmacokinetic analysis of Phase I and Phase II data.</w:t>
      </w:r>
      <w:r w:rsidR="007E668D">
        <w:rPr>
          <w:rStyle w:val="TextPIChar"/>
          <w:i w:val="0"/>
        </w:rPr>
        <w:t xml:space="preserve"> </w:t>
      </w:r>
      <w:r w:rsidR="009F3A8A" w:rsidRPr="0075437E">
        <w:rPr>
          <w:rStyle w:val="TextPIChar"/>
          <w:i w:val="0"/>
        </w:rPr>
        <w:t>Elderly subjects (65 to 78 years) had comparable plasma concentrations of linaglipti</w:t>
      </w:r>
      <w:r w:rsidR="00484E7E">
        <w:rPr>
          <w:rStyle w:val="TextPIChar"/>
          <w:i w:val="0"/>
        </w:rPr>
        <w:t>n compared to younger subjects.</w:t>
      </w:r>
    </w:p>
    <w:p w:rsidR="00A96439" w:rsidRPr="0075437E" w:rsidRDefault="00A96439" w:rsidP="00100CC7">
      <w:pPr>
        <w:pStyle w:val="PIheading4"/>
        <w:rPr>
          <w:rStyle w:val="TextPIChar"/>
          <w:i w:val="0"/>
        </w:rPr>
      </w:pPr>
      <w:r w:rsidRPr="0075437E">
        <w:t>Body Mass Index (BMI)</w:t>
      </w:r>
      <w:r w:rsidRPr="0075437E">
        <w:rPr>
          <w:rStyle w:val="TextPIChar"/>
          <w:i w:val="0"/>
        </w:rPr>
        <w:t>:</w:t>
      </w:r>
      <w:r w:rsidR="007E668D">
        <w:rPr>
          <w:rStyle w:val="TextPIChar"/>
          <w:i w:val="0"/>
        </w:rPr>
        <w:t xml:space="preserve"> </w:t>
      </w:r>
      <w:r w:rsidRPr="0075437E">
        <w:rPr>
          <w:rStyle w:val="TextPIChar"/>
          <w:i w:val="0"/>
        </w:rPr>
        <w:t>No dosage adjustment is necessary based on BMI.</w:t>
      </w:r>
      <w:r w:rsidR="007E668D">
        <w:rPr>
          <w:rStyle w:val="TextPIChar"/>
          <w:i w:val="0"/>
        </w:rPr>
        <w:t xml:space="preserve"> </w:t>
      </w:r>
      <w:r w:rsidRPr="0075437E">
        <w:rPr>
          <w:rStyle w:val="TextPIChar"/>
          <w:i w:val="0"/>
        </w:rPr>
        <w:t>Body mass index had no clinically relevant effect on the pharmacokinetics of linagliptin based on a population pharmacokinetic analysi</w:t>
      </w:r>
      <w:r w:rsidR="00484E7E">
        <w:rPr>
          <w:rStyle w:val="TextPIChar"/>
          <w:i w:val="0"/>
        </w:rPr>
        <w:t>s of Phase I and Phase II data.</w:t>
      </w:r>
    </w:p>
    <w:p w:rsidR="00ED5B01" w:rsidRPr="0075437E" w:rsidRDefault="009F3A8A" w:rsidP="00100CC7">
      <w:pPr>
        <w:pStyle w:val="PIheading4"/>
        <w:rPr>
          <w:rStyle w:val="TextPIChar"/>
          <w:i w:val="0"/>
        </w:rPr>
      </w:pPr>
      <w:r w:rsidRPr="0075437E">
        <w:lastRenderedPageBreak/>
        <w:t>Gender</w:t>
      </w:r>
      <w:r w:rsidR="00ED5B01" w:rsidRPr="0075437E">
        <w:rPr>
          <w:rStyle w:val="TextPIChar"/>
          <w:i w:val="0"/>
        </w:rPr>
        <w:t>:</w:t>
      </w:r>
      <w:r w:rsidR="007E668D">
        <w:rPr>
          <w:rStyle w:val="TextPIChar"/>
          <w:i w:val="0"/>
        </w:rPr>
        <w:t xml:space="preserve"> </w:t>
      </w:r>
      <w:r w:rsidRPr="0075437E">
        <w:rPr>
          <w:rStyle w:val="TextPIChar"/>
          <w:i w:val="0"/>
        </w:rPr>
        <w:t>No dosage adjustment is necessary based on gender.</w:t>
      </w:r>
      <w:r w:rsidR="007E668D">
        <w:rPr>
          <w:rStyle w:val="TextPIChar"/>
          <w:i w:val="0"/>
        </w:rPr>
        <w:t xml:space="preserve"> </w:t>
      </w:r>
      <w:r w:rsidRPr="0075437E">
        <w:rPr>
          <w:rStyle w:val="TextPIChar"/>
          <w:i w:val="0"/>
        </w:rPr>
        <w:t>Gender had no clinically relevant effect on the pharmacokinetics of linagliptin based on a population pharmacokinetic analysi</w:t>
      </w:r>
      <w:r w:rsidR="00484E7E">
        <w:rPr>
          <w:rStyle w:val="TextPIChar"/>
          <w:i w:val="0"/>
        </w:rPr>
        <w:t>s of Phase I and Phase II data.</w:t>
      </w:r>
    </w:p>
    <w:p w:rsidR="00CD25E8" w:rsidRPr="0075437E" w:rsidRDefault="00CD25E8" w:rsidP="00100CC7">
      <w:pPr>
        <w:pStyle w:val="PIheading4"/>
        <w:rPr>
          <w:rStyle w:val="TextPIChar"/>
          <w:i w:val="0"/>
        </w:rPr>
      </w:pPr>
      <w:r w:rsidRPr="0075437E">
        <w:t>Race</w:t>
      </w:r>
      <w:r w:rsidRPr="0075437E">
        <w:rPr>
          <w:rStyle w:val="TextPIChar"/>
          <w:i w:val="0"/>
        </w:rPr>
        <w:t>:</w:t>
      </w:r>
      <w:r w:rsidR="007E668D">
        <w:rPr>
          <w:rStyle w:val="TextPIChar"/>
          <w:i w:val="0"/>
        </w:rPr>
        <w:t xml:space="preserve"> </w:t>
      </w:r>
      <w:r w:rsidRPr="0075437E">
        <w:rPr>
          <w:rStyle w:val="TextPIChar"/>
          <w:i w:val="0"/>
        </w:rPr>
        <w:t>No dosage adjustment is necessary based on race.</w:t>
      </w:r>
      <w:r w:rsidR="007E668D">
        <w:rPr>
          <w:rStyle w:val="TextPIChar"/>
          <w:i w:val="0"/>
        </w:rPr>
        <w:t xml:space="preserve"> </w:t>
      </w:r>
      <w:r w:rsidRPr="0075437E">
        <w:rPr>
          <w:rStyle w:val="TextPIChar"/>
          <w:i w:val="0"/>
        </w:rPr>
        <w:t>Race had no obvious effect on the plasma concentrations of linagliptin based on a composite analysis of available pharmacokinetic data, including patients of Caucasian, Hispanic, African-American, and Asian origin.</w:t>
      </w:r>
      <w:r w:rsidR="007E668D">
        <w:rPr>
          <w:rStyle w:val="TextPIChar"/>
          <w:i w:val="0"/>
        </w:rPr>
        <w:t xml:space="preserve"> </w:t>
      </w:r>
      <w:r w:rsidRPr="0075437E">
        <w:rPr>
          <w:rStyle w:val="TextPIChar"/>
          <w:i w:val="0"/>
        </w:rPr>
        <w:t xml:space="preserve">In addition the pharmacokinetic characteristics of linagliptin were found to be similar in dedicated phase I studies in Japanese, Chinese and Caucasian healthy </w:t>
      </w:r>
      <w:r w:rsidRPr="00A806B8">
        <w:rPr>
          <w:rStyle w:val="TextPIChar"/>
          <w:i w:val="0"/>
        </w:rPr>
        <w:t>volunteers</w:t>
      </w:r>
      <w:r w:rsidR="00E6612D" w:rsidRPr="00A806B8">
        <w:rPr>
          <w:rStyle w:val="TextPIChar"/>
          <w:i w:val="0"/>
        </w:rPr>
        <w:t xml:space="preserve"> and </w:t>
      </w:r>
      <w:r w:rsidR="000D7463" w:rsidRPr="00A806B8">
        <w:rPr>
          <w:rStyle w:val="TextPIChar"/>
          <w:i w:val="0"/>
        </w:rPr>
        <w:t>African American type 2 diabetes patients</w:t>
      </w:r>
      <w:r w:rsidRPr="00A806B8">
        <w:rPr>
          <w:rStyle w:val="TextPIChar"/>
          <w:i w:val="0"/>
        </w:rPr>
        <w:t>.</w:t>
      </w:r>
    </w:p>
    <w:p w:rsidR="00526143" w:rsidRPr="0075437E" w:rsidRDefault="00854620" w:rsidP="00100CC7">
      <w:pPr>
        <w:pStyle w:val="PIheading4"/>
        <w:rPr>
          <w:rStyle w:val="TextPIChar"/>
          <w:i w:val="0"/>
        </w:rPr>
      </w:pPr>
      <w:r w:rsidRPr="0075437E">
        <w:t>Pha</w:t>
      </w:r>
      <w:r w:rsidR="00EA13E9">
        <w:t xml:space="preserve">rmacokinetics in patients with </w:t>
      </w:r>
      <w:r w:rsidRPr="0075437E">
        <w:t>r</w:t>
      </w:r>
      <w:r w:rsidR="002322BC" w:rsidRPr="0075437E">
        <w:t>enal impairment</w:t>
      </w:r>
      <w:r w:rsidR="00EA13E9">
        <w:t>:</w:t>
      </w:r>
      <w:r w:rsidR="007E668D">
        <w:rPr>
          <w:rStyle w:val="TextPIChar"/>
          <w:i w:val="0"/>
        </w:rPr>
        <w:t xml:space="preserve"> </w:t>
      </w:r>
      <w:r w:rsidR="00526143" w:rsidRPr="0075437E">
        <w:rPr>
          <w:rStyle w:val="TextPIChar"/>
          <w:i w:val="0"/>
        </w:rPr>
        <w:t>A multiple-dose, open-label study was conducted to evaluate the pharmacokinetics of linagliptin (5 mg dose) in patients with varying degrees of chronic renal insufficiency compared to normal healthy control subjects.</w:t>
      </w:r>
      <w:r w:rsidR="007E668D">
        <w:rPr>
          <w:rStyle w:val="TextPIChar"/>
          <w:i w:val="0"/>
        </w:rPr>
        <w:t xml:space="preserve"> </w:t>
      </w:r>
      <w:r w:rsidR="00526143" w:rsidRPr="0075437E">
        <w:rPr>
          <w:rStyle w:val="TextPIChar"/>
          <w:i w:val="0"/>
        </w:rPr>
        <w:t xml:space="preserve">The study included patients with renal insufficiency classified on the basis of creatinine clearance as mild (50 to &lt; 80 mL/min), moderate (30 to &lt; 50 mL/min), and severe (&lt; 30 mL/min), as well as patients with </w:t>
      </w:r>
      <w:r w:rsidR="005A24C8" w:rsidRPr="0075437E">
        <w:rPr>
          <w:rStyle w:val="TextPIChar"/>
          <w:i w:val="0"/>
        </w:rPr>
        <w:t>end stage renal disease (</w:t>
      </w:r>
      <w:r w:rsidR="00526143" w:rsidRPr="0075437E">
        <w:rPr>
          <w:rStyle w:val="TextPIChar"/>
          <w:i w:val="0"/>
        </w:rPr>
        <w:t>ESRD</w:t>
      </w:r>
      <w:r w:rsidR="005A24C8" w:rsidRPr="0075437E">
        <w:rPr>
          <w:rStyle w:val="TextPIChar"/>
          <w:i w:val="0"/>
        </w:rPr>
        <w:t>)</w:t>
      </w:r>
      <w:r w:rsidR="00526143" w:rsidRPr="0075437E">
        <w:rPr>
          <w:rStyle w:val="TextPIChar"/>
          <w:i w:val="0"/>
        </w:rPr>
        <w:t xml:space="preserve"> on h</w:t>
      </w:r>
      <w:r w:rsidR="005A24C8" w:rsidRPr="0075437E">
        <w:rPr>
          <w:rStyle w:val="TextPIChar"/>
          <w:i w:val="0"/>
        </w:rPr>
        <w:t>a</w:t>
      </w:r>
      <w:r w:rsidR="00526143" w:rsidRPr="0075437E">
        <w:rPr>
          <w:rStyle w:val="TextPIChar"/>
          <w:i w:val="0"/>
        </w:rPr>
        <w:t>emodialysis.</w:t>
      </w:r>
      <w:r w:rsidR="007E668D">
        <w:rPr>
          <w:rStyle w:val="TextPIChar"/>
          <w:i w:val="0"/>
        </w:rPr>
        <w:t xml:space="preserve"> </w:t>
      </w:r>
      <w:r w:rsidR="00526143" w:rsidRPr="0075437E">
        <w:rPr>
          <w:rStyle w:val="TextPIChar"/>
          <w:i w:val="0"/>
        </w:rPr>
        <w:t>In addition, patients with type 2 diabetes</w:t>
      </w:r>
      <w:r w:rsidR="003C12F2" w:rsidRPr="0075437E">
        <w:rPr>
          <w:rStyle w:val="TextPIChar"/>
          <w:i w:val="0"/>
        </w:rPr>
        <w:t xml:space="preserve"> mellitus</w:t>
      </w:r>
      <w:r w:rsidR="00526143" w:rsidRPr="0075437E">
        <w:rPr>
          <w:rStyle w:val="TextPIChar"/>
          <w:i w:val="0"/>
        </w:rPr>
        <w:t xml:space="preserve"> and severe renal impairment (&lt; 30 mL/min) were compared to patients with </w:t>
      </w:r>
      <w:r w:rsidR="003C12F2" w:rsidRPr="0075437E">
        <w:rPr>
          <w:rStyle w:val="TextPIChar"/>
          <w:i w:val="0"/>
        </w:rPr>
        <w:t xml:space="preserve">type 2 diabetes mellitus and </w:t>
      </w:r>
      <w:r w:rsidR="00526143" w:rsidRPr="0075437E">
        <w:rPr>
          <w:rStyle w:val="TextPIChar"/>
          <w:i w:val="0"/>
        </w:rPr>
        <w:t>normal renal function.</w:t>
      </w:r>
      <w:r w:rsidR="007E668D">
        <w:rPr>
          <w:rStyle w:val="TextPIChar"/>
          <w:i w:val="0"/>
        </w:rPr>
        <w:t xml:space="preserve"> </w:t>
      </w:r>
      <w:r w:rsidR="00526143" w:rsidRPr="0075437E">
        <w:rPr>
          <w:rStyle w:val="TextPIChar"/>
          <w:i w:val="0"/>
        </w:rPr>
        <w:t xml:space="preserve">Creatinine clearance was measured by 24-hour urinary creatinine clearance measurements or estimated from serum creatinine based on the Cockcroft-Gault formula: CrCl = [140 - age (years)] x weight (kg) {x 0.85 for female </w:t>
      </w:r>
      <w:r w:rsidR="00526143" w:rsidRPr="00484E7E">
        <w:rPr>
          <w:rStyle w:val="TextPIChar"/>
          <w:i w:val="0"/>
        </w:rPr>
        <w:t xml:space="preserve">patients} </w:t>
      </w:r>
      <w:r w:rsidR="009A0272" w:rsidRPr="00484E7E">
        <w:rPr>
          <w:rStyle w:val="TextPIChar"/>
          <w:i w:val="0"/>
        </w:rPr>
        <w:t xml:space="preserve">/ </w:t>
      </w:r>
      <w:r w:rsidR="00526143" w:rsidRPr="00484E7E">
        <w:rPr>
          <w:rStyle w:val="TextPIChar"/>
          <w:i w:val="0"/>
        </w:rPr>
        <w:t>[</w:t>
      </w:r>
      <w:r w:rsidR="00526143" w:rsidRPr="0075437E">
        <w:rPr>
          <w:rStyle w:val="TextPIChar"/>
          <w:i w:val="0"/>
        </w:rPr>
        <w:t>72 x serum creatinine (mg/dL)].</w:t>
      </w:r>
      <w:r w:rsidR="007E668D">
        <w:rPr>
          <w:rStyle w:val="TextPIChar"/>
          <w:i w:val="0"/>
        </w:rPr>
        <w:t xml:space="preserve"> </w:t>
      </w:r>
      <w:r w:rsidR="00526143" w:rsidRPr="0075437E">
        <w:rPr>
          <w:rStyle w:val="TextPIChar"/>
          <w:i w:val="0"/>
        </w:rPr>
        <w:t>Under steady-state conditions, linagliptin exposure in patients with mild renal impairment was comparable to healthy subjects.</w:t>
      </w:r>
      <w:r w:rsidR="007E668D">
        <w:rPr>
          <w:rStyle w:val="TextPIChar"/>
          <w:i w:val="0"/>
        </w:rPr>
        <w:t xml:space="preserve"> </w:t>
      </w:r>
      <w:r w:rsidR="00526143" w:rsidRPr="0075437E">
        <w:rPr>
          <w:rStyle w:val="TextPIChar"/>
          <w:i w:val="0"/>
        </w:rPr>
        <w:t>In moderate renal impairment, a moderate increase in exposure of about 1.7 fold was observed compared with control.</w:t>
      </w:r>
      <w:r w:rsidR="007E668D">
        <w:rPr>
          <w:rStyle w:val="TextPIChar"/>
          <w:i w:val="0"/>
        </w:rPr>
        <w:t xml:space="preserve"> </w:t>
      </w:r>
      <w:r w:rsidR="00526143" w:rsidRPr="0075437E">
        <w:rPr>
          <w:rStyle w:val="TextPIChar"/>
          <w:i w:val="0"/>
        </w:rPr>
        <w:t xml:space="preserve">Exposure in </w:t>
      </w:r>
      <w:r w:rsidR="003C12F2" w:rsidRPr="0075437E">
        <w:rPr>
          <w:rStyle w:val="TextPIChar"/>
          <w:i w:val="0"/>
        </w:rPr>
        <w:t>patients with type 2 diabetes mellitus and</w:t>
      </w:r>
      <w:r w:rsidR="00526143" w:rsidRPr="0075437E">
        <w:rPr>
          <w:rStyle w:val="TextPIChar"/>
          <w:i w:val="0"/>
        </w:rPr>
        <w:t xml:space="preserve"> severe </w:t>
      </w:r>
      <w:r w:rsidR="00CD25E8" w:rsidRPr="0075437E">
        <w:rPr>
          <w:rStyle w:val="TextPIChar"/>
          <w:i w:val="0"/>
        </w:rPr>
        <w:t>renal insufficiency</w:t>
      </w:r>
      <w:r w:rsidR="00526143" w:rsidRPr="0075437E">
        <w:rPr>
          <w:rStyle w:val="TextPIChar"/>
          <w:i w:val="0"/>
        </w:rPr>
        <w:t xml:space="preserve"> was increased by about 1.4 fold compared to </w:t>
      </w:r>
      <w:r w:rsidR="003C12F2" w:rsidRPr="0075437E">
        <w:rPr>
          <w:rStyle w:val="TextPIChar"/>
          <w:i w:val="0"/>
        </w:rPr>
        <w:t>patients with type 2 diabetes mellitus and</w:t>
      </w:r>
      <w:r w:rsidR="00526143" w:rsidRPr="0075437E">
        <w:rPr>
          <w:rStyle w:val="TextPIChar"/>
          <w:i w:val="0"/>
        </w:rPr>
        <w:t xml:space="preserve"> normal renal function.</w:t>
      </w:r>
      <w:r w:rsidR="007E668D">
        <w:rPr>
          <w:rStyle w:val="TextPIChar"/>
          <w:i w:val="0"/>
        </w:rPr>
        <w:t xml:space="preserve"> </w:t>
      </w:r>
      <w:r w:rsidR="00526143" w:rsidRPr="0075437E">
        <w:rPr>
          <w:rStyle w:val="TextPIChar"/>
          <w:i w:val="0"/>
        </w:rPr>
        <w:t>Steady-state predictions for AUC of linagliptin in patients with ESRD indicated comparable exposure to that of patients with moderate or severe renal impairment.</w:t>
      </w:r>
      <w:r w:rsidR="007E668D">
        <w:rPr>
          <w:rStyle w:val="TextPIChar"/>
          <w:i w:val="0"/>
        </w:rPr>
        <w:t xml:space="preserve"> </w:t>
      </w:r>
      <w:r w:rsidR="00526143" w:rsidRPr="0075437E">
        <w:rPr>
          <w:rStyle w:val="TextPIChar"/>
          <w:i w:val="0"/>
        </w:rPr>
        <w:t>In addition, linagliptin is not expected to be eliminated to a therapeutically significant degree by h</w:t>
      </w:r>
      <w:r w:rsidR="00964CF2" w:rsidRPr="0075437E">
        <w:rPr>
          <w:rStyle w:val="TextPIChar"/>
          <w:i w:val="0"/>
        </w:rPr>
        <w:t>a</w:t>
      </w:r>
      <w:r w:rsidR="00526143" w:rsidRPr="0075437E">
        <w:rPr>
          <w:rStyle w:val="TextPIChar"/>
          <w:i w:val="0"/>
        </w:rPr>
        <w:t>emodialysis or peritoneal dialysis.</w:t>
      </w:r>
      <w:r w:rsidR="007E668D">
        <w:rPr>
          <w:rStyle w:val="TextPIChar"/>
          <w:i w:val="0"/>
        </w:rPr>
        <w:t xml:space="preserve"> </w:t>
      </w:r>
      <w:r w:rsidR="00526143" w:rsidRPr="0075437E">
        <w:rPr>
          <w:rStyle w:val="TextPIChar"/>
          <w:i w:val="0"/>
        </w:rPr>
        <w:t>Therefore, no dosage adjustment of linagliptin is necessary in patients with any degree of renal insufficiency.</w:t>
      </w:r>
      <w:r w:rsidR="007E668D">
        <w:rPr>
          <w:rStyle w:val="TextPIChar"/>
          <w:i w:val="0"/>
        </w:rPr>
        <w:t xml:space="preserve"> </w:t>
      </w:r>
      <w:r w:rsidR="00526143" w:rsidRPr="0075437E">
        <w:rPr>
          <w:rStyle w:val="TextPIChar"/>
          <w:i w:val="0"/>
        </w:rPr>
        <w:t xml:space="preserve">In addition, mild renal insufficiency had no effect on linagliptin pharmacokinetics in patients with type 2 diabetes </w:t>
      </w:r>
      <w:r w:rsidR="003C12F2" w:rsidRPr="0075437E">
        <w:rPr>
          <w:rStyle w:val="TextPIChar"/>
          <w:i w:val="0"/>
        </w:rPr>
        <w:t xml:space="preserve">mellitus </w:t>
      </w:r>
      <w:r w:rsidR="00526143" w:rsidRPr="0075437E">
        <w:rPr>
          <w:rStyle w:val="TextPIChar"/>
          <w:i w:val="0"/>
        </w:rPr>
        <w:t>as assessed by popula</w:t>
      </w:r>
      <w:r w:rsidR="00484E7E">
        <w:rPr>
          <w:rStyle w:val="TextPIChar"/>
          <w:i w:val="0"/>
        </w:rPr>
        <w:t>tion pharmacokinetic analyses.</w:t>
      </w:r>
    </w:p>
    <w:p w:rsidR="00014579" w:rsidRPr="0075437E" w:rsidRDefault="00854620" w:rsidP="00100CC7">
      <w:pPr>
        <w:pStyle w:val="PIheading4"/>
        <w:rPr>
          <w:rStyle w:val="TextPIChar"/>
          <w:i w:val="0"/>
        </w:rPr>
      </w:pPr>
      <w:r w:rsidRPr="0075437E">
        <w:t xml:space="preserve">Pharmacokinetics in </w:t>
      </w:r>
      <w:r w:rsidR="00EA13E9">
        <w:t xml:space="preserve">patients with </w:t>
      </w:r>
      <w:r w:rsidRPr="0075437E">
        <w:t>h</w:t>
      </w:r>
      <w:r w:rsidR="00EC7323" w:rsidRPr="0075437E">
        <w:t xml:space="preserve">epatic </w:t>
      </w:r>
      <w:r w:rsidR="00EA13E9" w:rsidRPr="0075437E">
        <w:t>impairment</w:t>
      </w:r>
      <w:r w:rsidR="00EA13E9">
        <w:t>:</w:t>
      </w:r>
      <w:r w:rsidR="007E668D">
        <w:rPr>
          <w:rStyle w:val="TextPIChar"/>
          <w:i w:val="0"/>
        </w:rPr>
        <w:t xml:space="preserve"> </w:t>
      </w:r>
      <w:r w:rsidR="00964CF2" w:rsidRPr="0075437E">
        <w:rPr>
          <w:rStyle w:val="TextPIChar"/>
          <w:i w:val="0"/>
        </w:rPr>
        <w:t>In patients with mild</w:t>
      </w:r>
      <w:r w:rsidR="005045C6">
        <w:rPr>
          <w:rStyle w:val="TextPIChar"/>
          <w:i w:val="0"/>
        </w:rPr>
        <w:t>,</w:t>
      </w:r>
      <w:r w:rsidR="00964CF2" w:rsidRPr="0075437E">
        <w:rPr>
          <w:rStyle w:val="TextPIChar"/>
          <w:i w:val="0"/>
        </w:rPr>
        <w:t xml:space="preserve"> moderate and severe hepatic insufficiency (according to the Child-Pugh classification), mean AUC and C</w:t>
      </w:r>
      <w:r w:rsidR="00964CF2" w:rsidRPr="0075437E">
        <w:rPr>
          <w:rStyle w:val="TextPIChar"/>
          <w:i w:val="0"/>
          <w:vertAlign w:val="subscript"/>
        </w:rPr>
        <w:t>max</w:t>
      </w:r>
      <w:r w:rsidR="00964CF2" w:rsidRPr="0075437E">
        <w:rPr>
          <w:rStyle w:val="TextPIChar"/>
          <w:i w:val="0"/>
        </w:rPr>
        <w:t xml:space="preserve"> of linagliptin were similar to healthy matched controls following administration of multiple 5 mg doses of linagliptin.</w:t>
      </w:r>
      <w:r w:rsidR="007E668D">
        <w:rPr>
          <w:rStyle w:val="TextPIChar"/>
          <w:i w:val="0"/>
        </w:rPr>
        <w:t xml:space="preserve"> </w:t>
      </w:r>
      <w:r w:rsidR="00964CF2" w:rsidRPr="0075437E">
        <w:rPr>
          <w:rStyle w:val="TextPIChar"/>
          <w:i w:val="0"/>
        </w:rPr>
        <w:t>No dosage adjustment for linagliptin is necessary for patients with mild, moderate o</w:t>
      </w:r>
      <w:r w:rsidR="00484E7E">
        <w:rPr>
          <w:rStyle w:val="TextPIChar"/>
          <w:i w:val="0"/>
        </w:rPr>
        <w:t>r severe hepatic insufficiency.</w:t>
      </w:r>
    </w:p>
    <w:p w:rsidR="00014579" w:rsidRPr="0075437E" w:rsidRDefault="00014579" w:rsidP="002D537F">
      <w:pPr>
        <w:pStyle w:val="PIHeading1"/>
        <w:keepLines/>
        <w:rPr>
          <w:lang w:val="en-GB"/>
        </w:rPr>
      </w:pPr>
      <w:r w:rsidRPr="0075437E">
        <w:rPr>
          <w:lang w:val="en-GB"/>
        </w:rPr>
        <w:t>CLINICAL TRIALS</w:t>
      </w:r>
    </w:p>
    <w:p w:rsidR="00E76CFC" w:rsidRPr="0075437E" w:rsidRDefault="00C85532" w:rsidP="002D537F">
      <w:pPr>
        <w:pStyle w:val="TextPI"/>
      </w:pPr>
      <w:r w:rsidRPr="00C43987">
        <w:t>Eight phase III randomised controlled trials involving 5,239 patients with type 2 diabetes, of which 3,319 were treated with linagliptin were conducted to evaluate efficacy and safety. These studies had 929 patients of 65 years and over who were on linagliptin. There were also 1,238 patients with mild renal impairment, and 143 patients with moderate renal impairment on linagliptin. Linagliptin once daily produced clinically significant improvements in glycaemic control, with no clinically relevant change in body weight. Reductions in HbA1c were seen across different subgroups including gender, age, race, renal impairment and body mass index (BMI), with a higher baseline HbA1c being associated with a greater reduction in HbA1c.</w:t>
      </w:r>
    </w:p>
    <w:p w:rsidR="00B13048" w:rsidRPr="00B13048" w:rsidRDefault="00B13048" w:rsidP="00B13048">
      <w:pPr>
        <w:pStyle w:val="PIheading2"/>
      </w:pPr>
      <w:r w:rsidRPr="00B13048">
        <w:t>Linagliptin monotherapy for patients ineligible for metformin</w:t>
      </w:r>
    </w:p>
    <w:p w:rsidR="000C2E57" w:rsidRPr="000C2E57" w:rsidRDefault="00B13048" w:rsidP="000C2E57">
      <w:pPr>
        <w:pStyle w:val="PIheading2"/>
        <w:jc w:val="both"/>
      </w:pPr>
      <w:r w:rsidRPr="00B13048">
        <w:rPr>
          <w:b w:val="0"/>
        </w:rPr>
        <w:t xml:space="preserve">The efficacy and safety of linagliptin monotherapy was evaluated in patients for whom metformin therapy is inappropriate, due to intolerability or contraindication, in a double blind placebo controlled study of 18 weeks duration, followed by a 34 week safety extension period (placebo patients switched to glimepiride). Linagliptin </w:t>
      </w:r>
      <w:r w:rsidR="00CC691D">
        <w:rPr>
          <w:b w:val="0"/>
        </w:rPr>
        <w:t xml:space="preserve">(n=147), when </w:t>
      </w:r>
      <w:r w:rsidR="00CC691D" w:rsidRPr="00B13048">
        <w:rPr>
          <w:b w:val="0"/>
        </w:rPr>
        <w:t>compared to placebo</w:t>
      </w:r>
      <w:r w:rsidR="00CC691D">
        <w:rPr>
          <w:b w:val="0"/>
        </w:rPr>
        <w:t xml:space="preserve"> (n=73), </w:t>
      </w:r>
      <w:r w:rsidRPr="00B13048">
        <w:rPr>
          <w:b w:val="0"/>
        </w:rPr>
        <w:t>provided significant improvements in HbA1c, (-0.60% change</w:t>
      </w:r>
      <w:r w:rsidR="00CC691D">
        <w:rPr>
          <w:b w:val="0"/>
        </w:rPr>
        <w:t>;</w:t>
      </w:r>
      <w:r w:rsidRPr="00B13048">
        <w:rPr>
          <w:b w:val="0"/>
        </w:rPr>
        <w:t xml:space="preserve"> </w:t>
      </w:r>
      <w:r w:rsidR="009F062C">
        <w:rPr>
          <w:b w:val="0"/>
        </w:rPr>
        <w:t xml:space="preserve">95% confidence interval </w:t>
      </w:r>
      <w:r w:rsidR="00CC691D">
        <w:rPr>
          <w:b w:val="0"/>
        </w:rPr>
        <w:t>(</w:t>
      </w:r>
      <w:r w:rsidR="009F062C">
        <w:rPr>
          <w:b w:val="0"/>
        </w:rPr>
        <w:t>-0.88, -0.32</w:t>
      </w:r>
      <w:r w:rsidR="00CC691D">
        <w:rPr>
          <w:b w:val="0"/>
        </w:rPr>
        <w:t>)</w:t>
      </w:r>
      <w:r w:rsidR="009F062C">
        <w:rPr>
          <w:b w:val="0"/>
        </w:rPr>
        <w:t>; p&lt;0.0001</w:t>
      </w:r>
      <w:r w:rsidRPr="00B13048">
        <w:rPr>
          <w:b w:val="0"/>
        </w:rPr>
        <w:t xml:space="preserve">), from a mean baseline HbA1c of 8.09%. The mean HbA1c change from baseline remained constant for linagliptin from week 18 to week 52. Linagliptin also showed significant improvements in fasting plasma glucose (FPG), and </w:t>
      </w:r>
      <w:bookmarkStart w:id="1" w:name="OLE_LINK2"/>
      <w:r w:rsidRPr="00B13048">
        <w:rPr>
          <w:b w:val="0"/>
        </w:rPr>
        <w:t>a greater portion of patients</w:t>
      </w:r>
      <w:bookmarkEnd w:id="1"/>
      <w:r w:rsidRPr="00B13048">
        <w:rPr>
          <w:b w:val="0"/>
        </w:rPr>
        <w:t xml:space="preserve"> achieved a target HbA1c of &lt; 7.0%, compared to placebo. The observed incidence of hypoglycaemia in patients treated with linagliptin was similar to placebo and was lower than seen with glimepiride during the safety extension. Body weight did not differ significantly between the groups during the placebo controlled 18 weeks, and patients treated with glimepiride had an increase in body weight during the safety extension.</w:t>
      </w:r>
    </w:p>
    <w:p w:rsidR="003D23CC" w:rsidRPr="0075437E" w:rsidRDefault="003D23CC" w:rsidP="00E76CFC">
      <w:pPr>
        <w:pStyle w:val="PIheading2"/>
      </w:pPr>
      <w:r w:rsidRPr="0075437E">
        <w:t>Linagliptin</w:t>
      </w:r>
      <w:r w:rsidR="00161728">
        <w:t xml:space="preserve"> as add on to metformin therapy</w:t>
      </w:r>
    </w:p>
    <w:p w:rsidR="003D23CC" w:rsidRDefault="003D23CC" w:rsidP="00100CC7">
      <w:pPr>
        <w:pStyle w:val="TextPI"/>
      </w:pPr>
      <w:r w:rsidRPr="0075437E">
        <w:t>The efficacy and safety of linagliptin in combination with metformin was eval</w:t>
      </w:r>
      <w:r w:rsidR="00CC6F05" w:rsidRPr="0075437E">
        <w:t>uated in a double blind placebo-</w:t>
      </w:r>
      <w:r w:rsidRPr="0075437E">
        <w:t>controlled study of 24 weeks duration.</w:t>
      </w:r>
      <w:r w:rsidR="007E668D">
        <w:t xml:space="preserve"> </w:t>
      </w:r>
      <w:r w:rsidRPr="0075437E">
        <w:t>Linagliptin provided si</w:t>
      </w:r>
      <w:r w:rsidR="007C1600" w:rsidRPr="0075437E">
        <w:t>gnificant improvements in HbA1c</w:t>
      </w:r>
      <w:r w:rsidRPr="0075437E">
        <w:t xml:space="preserve"> (</w:t>
      </w:r>
      <w:r w:rsidR="00154203" w:rsidRPr="0075437E">
        <w:t>-</w:t>
      </w:r>
      <w:r w:rsidRPr="0075437E">
        <w:t>0.6</w:t>
      </w:r>
      <w:r w:rsidR="007C1600" w:rsidRPr="0075437E">
        <w:t>4% change compared to placebo)</w:t>
      </w:r>
      <w:r w:rsidRPr="0075437E">
        <w:t xml:space="preserve"> </w:t>
      </w:r>
      <w:r w:rsidR="007C1600" w:rsidRPr="0075437E">
        <w:t>from a mean baseline HbA1c of 8</w:t>
      </w:r>
      <w:r w:rsidRPr="0075437E">
        <w:t>%.</w:t>
      </w:r>
      <w:r w:rsidR="007E668D">
        <w:t xml:space="preserve"> </w:t>
      </w:r>
      <w:r w:rsidRPr="0075437E">
        <w:t>Linagliptin also showed significant improvements in fasting plasma glucose (FPG), 2-hour post-prandial glucose (PPG) and a greater portion of patients achieved a target HbA1c of &lt; 7.0%, compared to placebo.</w:t>
      </w:r>
      <w:r w:rsidR="007E668D">
        <w:t xml:space="preserve"> </w:t>
      </w:r>
      <w:r w:rsidRPr="0075437E">
        <w:t>The observed incidence of hypoglycaemia in patients treated with linagliptin was similar to placebo.</w:t>
      </w:r>
      <w:r w:rsidR="007E668D">
        <w:t xml:space="preserve"> </w:t>
      </w:r>
      <w:r w:rsidRPr="0075437E">
        <w:t>Body weight did not differ significantly between the groups</w:t>
      </w:r>
      <w:r w:rsidR="007C1600" w:rsidRPr="0075437E">
        <w:t>.</w:t>
      </w:r>
    </w:p>
    <w:p w:rsidR="008201A5" w:rsidRPr="0075437E" w:rsidRDefault="008201A5" w:rsidP="008201A5">
      <w:pPr>
        <w:pStyle w:val="TextPI"/>
      </w:pPr>
      <w:r w:rsidRPr="008201A5">
        <w:t xml:space="preserve">The efficacy and safety of linagliptin 2.5 mg twice daily versus 5 mg once daily in combination with metformin in patients with insufficient glycemic control on metformin monotherapy was evaluated in a double blind placebo controlled study of 12 weeks duration. Linagliptin (2.5 mg twice daily and 5 mg once daily) added to metformin provided significant improvements in glycemic parameters compared with placebo. Linagliptin 5 mg once daily and 2.5 mg twice daily provided comparable  significant HbA1c reductions of -0.80% (95% CI -1.02,-0.58; p&lt;0.0001) (from baseline 7.98%), and -0.74% </w:t>
      </w:r>
      <w:r w:rsidR="00A034F5">
        <w:t>(95% CI</w:t>
      </w:r>
      <w:r w:rsidRPr="008201A5">
        <w:t>-0.97, -0.52; p&lt;0.0001) (from baseline 7.96%) compared to placebo.</w:t>
      </w:r>
    </w:p>
    <w:p w:rsidR="002B5A5D" w:rsidRPr="00FE2755" w:rsidRDefault="002B5A5D" w:rsidP="002B5A5D">
      <w:pPr>
        <w:pStyle w:val="TextPI"/>
      </w:pPr>
      <w:r w:rsidRPr="00A034F5">
        <w:t xml:space="preserve">The efficacy and safety of linagliptin in combination with metformin was evaluated in a 24-week placebo-controlled factorial study of initial therapy. Linagliptin 2.5 mg twice daily in combination with metformin (500 mg or 1000 mg twice daily) provided significant improvements in glycemic parameters compared with either monotherapy (mean baseline HbA1c 8.65%). The mean treatment difference in HbA1c between </w:t>
      </w:r>
      <w:proofErr w:type="spellStart"/>
      <w:r w:rsidRPr="00A034F5">
        <w:t>linagliptin+metformin</w:t>
      </w:r>
      <w:proofErr w:type="spellEnd"/>
      <w:r w:rsidRPr="00A034F5">
        <w:t xml:space="preserve"> combination therapy versus metformin monotherapy from baseline to Week 24 (LOCF) was -0.51% (95% CI -0.73, -0.30; p&lt;0.0001) for </w:t>
      </w:r>
      <w:proofErr w:type="spellStart"/>
      <w:r w:rsidRPr="00A034F5">
        <w:t>linagliptin</w:t>
      </w:r>
      <w:proofErr w:type="spellEnd"/>
      <w:r w:rsidRPr="00A034F5">
        <w:t xml:space="preserve"> 2.5 </w:t>
      </w:r>
      <w:proofErr w:type="spellStart"/>
      <w:r w:rsidRPr="00A034F5">
        <w:t>mg+metformin</w:t>
      </w:r>
      <w:proofErr w:type="spellEnd"/>
      <w:r w:rsidRPr="00A034F5">
        <w:t xml:space="preserve"> 1000 mg twice daily compared to metformin 1000 mg twice daily, -0.58% (95% CI -0.79, -0.36; p&lt;0.0001) for </w:t>
      </w:r>
      <w:proofErr w:type="spellStart"/>
      <w:r w:rsidRPr="00A034F5">
        <w:t>linagliptin</w:t>
      </w:r>
      <w:proofErr w:type="spellEnd"/>
      <w:r w:rsidRPr="00A034F5">
        <w:t xml:space="preserve"> 2.5 </w:t>
      </w:r>
      <w:proofErr w:type="spellStart"/>
      <w:r w:rsidRPr="00A034F5">
        <w:t>mg+metformin</w:t>
      </w:r>
      <w:proofErr w:type="spellEnd"/>
      <w:r w:rsidRPr="00A034F5">
        <w:t xml:space="preserve"> 500 mg twice daily compared to metformin 500 mg twice daily. The placebo-corrected mean HbA1c change from baseline for linagliptin 2.5/metformin 1000 mg twice daily </w:t>
      </w:r>
      <w:r w:rsidR="0091036C">
        <w:t>was</w:t>
      </w:r>
      <w:r w:rsidR="0091036C" w:rsidRPr="00A034F5">
        <w:t xml:space="preserve"> </w:t>
      </w:r>
      <w:r w:rsidR="0091036C">
        <w:t>-</w:t>
      </w:r>
      <w:r w:rsidRPr="00A034F5">
        <w:t>1.71%</w:t>
      </w:r>
      <w:r w:rsidR="007E668D" w:rsidRPr="00A034F5">
        <w:t xml:space="preserve"> </w:t>
      </w:r>
      <w:r w:rsidRPr="00A034F5">
        <w:t xml:space="preserve">which led to HbA1c control (&lt;7.0%) in 53.6% of patients (compared to 30.7% on monotherapy with metformin 1000 mg twice daily). Mean reductions from baseline in HbA1c were generally greater for patients with higher baseline HbA1c values. </w:t>
      </w:r>
    </w:p>
    <w:p w:rsidR="003D23CC" w:rsidRPr="0075437E" w:rsidRDefault="003D23CC" w:rsidP="00E76CFC">
      <w:pPr>
        <w:pStyle w:val="PIheading2"/>
      </w:pPr>
      <w:r w:rsidRPr="0075437E">
        <w:t xml:space="preserve">Linagliptin as </w:t>
      </w:r>
      <w:r w:rsidR="0036099D">
        <w:t>add on to sul</w:t>
      </w:r>
      <w:r w:rsidR="00540273">
        <w:t>f</w:t>
      </w:r>
      <w:r w:rsidR="0036099D">
        <w:t>onylurea therapy</w:t>
      </w:r>
    </w:p>
    <w:p w:rsidR="00C64842" w:rsidRDefault="003D23CC" w:rsidP="00100CC7">
      <w:pPr>
        <w:pStyle w:val="TextPI"/>
      </w:pPr>
      <w:r w:rsidRPr="0075437E">
        <w:t>The efficacy and safety of linagliptin in combination with sulphonylurea was eval</w:t>
      </w:r>
      <w:r w:rsidR="00CC6F05" w:rsidRPr="0075437E">
        <w:t>uated in a double blind placebo-</w:t>
      </w:r>
      <w:r w:rsidRPr="0075437E">
        <w:t>controlled study of 18 weeks duration.</w:t>
      </w:r>
      <w:r w:rsidR="007E668D">
        <w:t xml:space="preserve"> </w:t>
      </w:r>
      <w:r w:rsidRPr="0075437E">
        <w:t>Linagliptin provided significant improvement</w:t>
      </w:r>
      <w:r w:rsidR="007C1600" w:rsidRPr="0075437E">
        <w:t>s in HbA1c</w:t>
      </w:r>
      <w:r w:rsidRPr="0075437E">
        <w:t xml:space="preserve"> (</w:t>
      </w:r>
      <w:r w:rsidR="00154203" w:rsidRPr="0075437E">
        <w:t>-</w:t>
      </w:r>
      <w:r w:rsidR="00050EE3" w:rsidRPr="0075437E">
        <w:t>0.47</w:t>
      </w:r>
      <w:r w:rsidRPr="0075437E">
        <w:t>% change compared to placebo) from a mean baseline HbA1c of 8.6%.</w:t>
      </w:r>
      <w:r w:rsidR="007E668D">
        <w:t xml:space="preserve"> </w:t>
      </w:r>
      <w:r w:rsidRPr="0075437E">
        <w:t>Linagliptin also showed significant improvements in patients achieving a target HbA1c of &lt; 7.0%. Body weight did not differ sig</w:t>
      </w:r>
      <w:r w:rsidR="0036099D">
        <w:t>nificantly between the groups.</w:t>
      </w:r>
    </w:p>
    <w:p w:rsidR="005E6C17" w:rsidRPr="005E6C17" w:rsidRDefault="005E6C17" w:rsidP="005E6C17">
      <w:pPr>
        <w:pStyle w:val="PIheading2"/>
      </w:pPr>
      <w:r w:rsidRPr="005E6C17">
        <w:t>Linagliptin as add on to insulin therapy</w:t>
      </w:r>
    </w:p>
    <w:p w:rsidR="005E6C17" w:rsidRPr="005E6C17" w:rsidRDefault="005E6C17" w:rsidP="00C64842">
      <w:pPr>
        <w:pStyle w:val="PIheading2"/>
        <w:keepNext w:val="0"/>
        <w:jc w:val="both"/>
        <w:rPr>
          <w:b w:val="0"/>
        </w:rPr>
      </w:pPr>
      <w:r w:rsidRPr="005E6C17">
        <w:rPr>
          <w:b w:val="0"/>
        </w:rPr>
        <w:t>The efficacy and safety of the addit</w:t>
      </w:r>
      <w:r w:rsidR="00264EDF">
        <w:rPr>
          <w:b w:val="0"/>
        </w:rPr>
        <w:t>i</w:t>
      </w:r>
      <w:r w:rsidRPr="005E6C17">
        <w:rPr>
          <w:b w:val="0"/>
        </w:rPr>
        <w:t xml:space="preserve">on of linagliptin 5 mg to insulin alone or in combination with metformin  has been evaluated in a double blind placebo controlled study over 24 weeks duration. The mean treatment difference in HbA1c between linagliptin </w:t>
      </w:r>
      <w:r w:rsidR="00AC6C77">
        <w:rPr>
          <w:b w:val="0"/>
        </w:rPr>
        <w:t xml:space="preserve">(n=617) </w:t>
      </w:r>
      <w:r w:rsidRPr="005E6C17">
        <w:rPr>
          <w:b w:val="0"/>
        </w:rPr>
        <w:t>versus placebo</w:t>
      </w:r>
      <w:r w:rsidR="00AC6C77">
        <w:rPr>
          <w:b w:val="0"/>
        </w:rPr>
        <w:t xml:space="preserve"> (n=618)</w:t>
      </w:r>
      <w:r w:rsidRPr="005E6C17">
        <w:rPr>
          <w:b w:val="0"/>
        </w:rPr>
        <w:t xml:space="preserve"> from baseline to Week 24 (LOCF) was -0.65% (95% CI -0.74, -0.55; p&lt;0.0001) from a mean baseline HbA1c of 8.3%. Mean reductions from baseline in HbA1c were generally greater for patients with higher baseline HbA1c values. The mean HbA1c change from baseline was sustained for linagliptin from week 12 to week 24. Linagliptin also showed significant improvements in fasting plasma glucose (FPG)</w:t>
      </w:r>
      <w:r w:rsidR="0004718E">
        <w:rPr>
          <w:b w:val="0"/>
        </w:rPr>
        <w:t xml:space="preserve"> of </w:t>
      </w:r>
      <w:r w:rsidR="00706836">
        <w:rPr>
          <w:b w:val="0"/>
        </w:rPr>
        <w:t>-0.62</w:t>
      </w:r>
      <w:r w:rsidR="00C10370">
        <w:rPr>
          <w:b w:val="0"/>
        </w:rPr>
        <w:t> </w:t>
      </w:r>
      <w:r w:rsidR="00706836">
        <w:rPr>
          <w:b w:val="0"/>
        </w:rPr>
        <w:t xml:space="preserve">mmol/L </w:t>
      </w:r>
      <w:r w:rsidR="0004718E">
        <w:rPr>
          <w:b w:val="0"/>
        </w:rPr>
        <w:t>(95% CI</w:t>
      </w:r>
      <w:r w:rsidR="004D4156">
        <w:rPr>
          <w:b w:val="0"/>
        </w:rPr>
        <w:t>-0.90</w:t>
      </w:r>
      <w:r w:rsidR="0004718E">
        <w:rPr>
          <w:b w:val="0"/>
        </w:rPr>
        <w:t xml:space="preserve">, </w:t>
      </w:r>
      <w:r w:rsidR="004D4156">
        <w:rPr>
          <w:b w:val="0"/>
        </w:rPr>
        <w:t>-0.35</w:t>
      </w:r>
      <w:r w:rsidR="0004718E">
        <w:rPr>
          <w:b w:val="0"/>
        </w:rPr>
        <w:t>; p</w:t>
      </w:r>
      <w:r w:rsidR="004D4156">
        <w:rPr>
          <w:b w:val="0"/>
        </w:rPr>
        <w:t>&lt;</w:t>
      </w:r>
      <w:r w:rsidR="0004718E">
        <w:rPr>
          <w:b w:val="0"/>
        </w:rPr>
        <w:t>0.0001) compared to placebo</w:t>
      </w:r>
      <w:r w:rsidRPr="005E6C17">
        <w:rPr>
          <w:b w:val="0"/>
        </w:rPr>
        <w:t>, and a greater portion of patients achieved a target HbA1c of &lt;</w:t>
      </w:r>
      <w:r w:rsidR="004D4156">
        <w:rPr>
          <w:b w:val="0"/>
        </w:rPr>
        <w:t> </w:t>
      </w:r>
      <w:r w:rsidRPr="005E6C17">
        <w:rPr>
          <w:b w:val="0"/>
        </w:rPr>
        <w:t xml:space="preserve">7.0%, compared to placebo. This was achieved with a stable insulin dose. After 24 weeks of treatment, the mean daily insulin dose at baseline was 42 units in patients treated with linagliptin and 40 units in placebo-treated patients. The mean change from baseline to Week 24 in daily dose of insulin was 1.3 IU in the placebo group and 0.6 IU in the linagliptin group. Body weight did not differ significantly between the groups. Effects on plasma lipids were neutral. The incidence of hypoglycaemia was similar across treatment </w:t>
      </w:r>
      <w:r w:rsidRPr="003505B3">
        <w:rPr>
          <w:b w:val="0"/>
        </w:rPr>
        <w:t>groups (</w:t>
      </w:r>
      <w:r w:rsidR="00A57A00">
        <w:rPr>
          <w:b w:val="0"/>
        </w:rPr>
        <w:t>25.5</w:t>
      </w:r>
      <w:r w:rsidRPr="003505B3">
        <w:rPr>
          <w:b w:val="0"/>
        </w:rPr>
        <w:t xml:space="preserve">% linagliptin; </w:t>
      </w:r>
      <w:r w:rsidR="00A57A00">
        <w:rPr>
          <w:b w:val="0"/>
        </w:rPr>
        <w:t>26.3</w:t>
      </w:r>
      <w:r w:rsidRPr="003505B3">
        <w:rPr>
          <w:b w:val="0"/>
        </w:rPr>
        <w:t>% placebo).</w:t>
      </w:r>
    </w:p>
    <w:p w:rsidR="003D23CC" w:rsidRPr="0075437E" w:rsidRDefault="003D23CC" w:rsidP="00E76CFC">
      <w:pPr>
        <w:pStyle w:val="PIheading2"/>
      </w:pPr>
      <w:r w:rsidRPr="0075437E">
        <w:t>Linagliptin as add on to a combination of metf</w:t>
      </w:r>
      <w:r w:rsidR="0036099D">
        <w:t xml:space="preserve">ormin and </w:t>
      </w:r>
      <w:r w:rsidR="00540273">
        <w:t>sulfonylurea</w:t>
      </w:r>
      <w:r w:rsidR="0036099D">
        <w:t xml:space="preserve"> therapy</w:t>
      </w:r>
    </w:p>
    <w:p w:rsidR="003D23CC" w:rsidRPr="0075437E" w:rsidRDefault="003D23CC" w:rsidP="00100CC7">
      <w:pPr>
        <w:pStyle w:val="TextPI"/>
      </w:pPr>
      <w:r w:rsidRPr="0075437E">
        <w:t>A placebo controlled study of 24 weeks in duration was conducted to evaluate the efficacy and safety</w:t>
      </w:r>
      <w:r w:rsidR="00050EE3" w:rsidRPr="0075437E">
        <w:t xml:space="preserve"> of linagliptin 5 mg to placebo</w:t>
      </w:r>
      <w:r w:rsidRPr="0075437E">
        <w:t xml:space="preserve"> in patients not sufficiently treated with a combination with metformin and a </w:t>
      </w:r>
      <w:r w:rsidR="00540273">
        <w:t>sulfonylurea</w:t>
      </w:r>
      <w:r w:rsidRPr="0075437E">
        <w:t>.</w:t>
      </w:r>
      <w:r w:rsidR="007E668D">
        <w:t xml:space="preserve"> </w:t>
      </w:r>
      <w:r w:rsidRPr="0075437E">
        <w:t>Linagliptin provided significa</w:t>
      </w:r>
      <w:r w:rsidR="00050EE3" w:rsidRPr="0075437E">
        <w:t>nt improvements in HbA1c (</w:t>
      </w:r>
      <w:r w:rsidR="00154203" w:rsidRPr="0075437E">
        <w:t>-</w:t>
      </w:r>
      <w:r w:rsidR="00050EE3" w:rsidRPr="0075437E">
        <w:t>0.62</w:t>
      </w:r>
      <w:r w:rsidRPr="0075437E">
        <w:t>% change compared to placebo) from a mean baseline HbA1c of 8.14%.</w:t>
      </w:r>
      <w:r w:rsidR="007E668D">
        <w:t xml:space="preserve"> </w:t>
      </w:r>
      <w:r w:rsidRPr="0075437E">
        <w:t>Linagliptin also showed significant improvements in patients achieving a target HbA1c of &lt; 7.0%, and also for fasting plasma glucose (FPG), and 2-hour post-prandial glucose (PPG), compared to placebo.</w:t>
      </w:r>
      <w:r w:rsidR="007E668D">
        <w:t xml:space="preserve"> </w:t>
      </w:r>
      <w:r w:rsidRPr="0075437E">
        <w:t>Body weight did not differ sig</w:t>
      </w:r>
      <w:r w:rsidR="00050EE3" w:rsidRPr="0075437E">
        <w:t>nificant</w:t>
      </w:r>
      <w:r w:rsidR="0036099D">
        <w:t>ly between the groups.</w:t>
      </w:r>
    </w:p>
    <w:p w:rsidR="003D23CC" w:rsidRPr="007A702F" w:rsidRDefault="003D23CC" w:rsidP="00E76CFC">
      <w:pPr>
        <w:pStyle w:val="PIheading2"/>
      </w:pPr>
      <w:r w:rsidRPr="007A702F">
        <w:t xml:space="preserve">Linagliptin </w:t>
      </w:r>
      <w:r w:rsidR="00FF7D6A" w:rsidRPr="007A702F">
        <w:t>24</w:t>
      </w:r>
      <w:r w:rsidRPr="007A702F">
        <w:t xml:space="preserve"> month data, as add onto metformin in comparison with </w:t>
      </w:r>
      <w:r w:rsidR="00E75C38" w:rsidRPr="007A702F">
        <w:t>glimepiride</w:t>
      </w:r>
    </w:p>
    <w:p w:rsidR="003D23CC" w:rsidRDefault="003D23CC" w:rsidP="00100CC7">
      <w:pPr>
        <w:pStyle w:val="TextPI"/>
      </w:pPr>
      <w:r w:rsidRPr="007A702F">
        <w:t>In a study comparing the efficacy and safety of the addit</w:t>
      </w:r>
      <w:r w:rsidR="00050EE3" w:rsidRPr="007A702F">
        <w:t>i</w:t>
      </w:r>
      <w:r w:rsidRPr="007A702F">
        <w:t xml:space="preserve">on of linagliptin 5 mg or glimepiride (a </w:t>
      </w:r>
      <w:r w:rsidR="00540273">
        <w:t>sulfonylurea</w:t>
      </w:r>
      <w:r w:rsidRPr="007A702F">
        <w:t xml:space="preserve"> agent) in patients with inadequate glycaemic control on metformin monotherapy, </w:t>
      </w:r>
      <w:r w:rsidR="00E95334" w:rsidRPr="007A702F">
        <w:t xml:space="preserve">both </w:t>
      </w:r>
      <w:r w:rsidRPr="007A702F">
        <w:t xml:space="preserve">linagliptin </w:t>
      </w:r>
      <w:r w:rsidR="00E95334" w:rsidRPr="007A702F">
        <w:t>and</w:t>
      </w:r>
      <w:r w:rsidRPr="007A702F">
        <w:t xml:space="preserve"> glimepiride reduc</w:t>
      </w:r>
      <w:r w:rsidR="00E95334" w:rsidRPr="007A702F">
        <w:t>ed</w:t>
      </w:r>
      <w:r w:rsidRPr="007A702F">
        <w:t xml:space="preserve"> HbA1c</w:t>
      </w:r>
      <w:r w:rsidR="00E95334" w:rsidRPr="007A702F">
        <w:t xml:space="preserve"> from baseline (-0.4% for linagliptin, -0.6% for glimepiride) from </w:t>
      </w:r>
      <w:r w:rsidR="00C6592C" w:rsidRPr="007A702F">
        <w:t xml:space="preserve">a </w:t>
      </w:r>
      <w:r w:rsidR="00E95334" w:rsidRPr="007A702F">
        <w:t xml:space="preserve">baseline mean of 7.7% after </w:t>
      </w:r>
      <w:r w:rsidR="00FF7D6A" w:rsidRPr="007A702F">
        <w:t>104</w:t>
      </w:r>
      <w:r w:rsidR="00E95334" w:rsidRPr="007A702F">
        <w:t xml:space="preserve"> weeks of treatment</w:t>
      </w:r>
      <w:r w:rsidRPr="007A702F">
        <w:t>.</w:t>
      </w:r>
      <w:r w:rsidR="007E668D">
        <w:t xml:space="preserve"> </w:t>
      </w:r>
      <w:r w:rsidRPr="007A702F">
        <w:t>In this study, the proinsulin to insulin ratio, a marker of efficiency of insulin synthesis and release, showed a statistically significant improvement with linagliptin compared with glimepiride treatment.</w:t>
      </w:r>
      <w:r w:rsidR="007E668D">
        <w:t xml:space="preserve"> </w:t>
      </w:r>
      <w:r w:rsidRPr="007A702F">
        <w:t>The incidence of hypoglycaemi</w:t>
      </w:r>
      <w:r w:rsidR="00050EE3" w:rsidRPr="007A702F">
        <w:t>a in the linagliptin group (</w:t>
      </w:r>
      <w:r w:rsidR="00FF7D6A" w:rsidRPr="007A702F">
        <w:t>7.5</w:t>
      </w:r>
      <w:r w:rsidRPr="007A702F">
        <w:t>%) was significantly lower than that in the glime</w:t>
      </w:r>
      <w:r w:rsidR="00050EE3" w:rsidRPr="007A702F">
        <w:t>piride group (</w:t>
      </w:r>
      <w:r w:rsidR="00FF7D6A" w:rsidRPr="007A702F">
        <w:t>36.1</w:t>
      </w:r>
      <w:r w:rsidRPr="007A702F">
        <w:t>%).</w:t>
      </w:r>
      <w:r w:rsidR="007E668D">
        <w:t xml:space="preserve"> </w:t>
      </w:r>
      <w:r w:rsidRPr="007A702F">
        <w:t>Patients treated with linagliptin exhibited a significant mean decrease from baseline in body weight compared to a significant weight gain in patients administered g</w:t>
      </w:r>
      <w:r w:rsidR="00050EE3" w:rsidRPr="007A702F">
        <w:t>limepiride (</w:t>
      </w:r>
      <w:r w:rsidR="00154203" w:rsidRPr="007A702F">
        <w:t>-</w:t>
      </w:r>
      <w:r w:rsidR="00FF7D6A" w:rsidRPr="007A702F">
        <w:t>1.39</w:t>
      </w:r>
      <w:r w:rsidR="00050EE3" w:rsidRPr="007A702F">
        <w:t xml:space="preserve"> versus +</w:t>
      </w:r>
      <w:r w:rsidR="00FF7D6A" w:rsidRPr="007A702F">
        <w:t xml:space="preserve">1.29 </w:t>
      </w:r>
      <w:r w:rsidR="00050EE3" w:rsidRPr="007A702F">
        <w:t>kg).</w:t>
      </w:r>
    </w:p>
    <w:p w:rsidR="001674DC" w:rsidRPr="001674DC" w:rsidRDefault="001674DC" w:rsidP="001674DC">
      <w:pPr>
        <w:pStyle w:val="PIheading2"/>
      </w:pPr>
      <w:r w:rsidRPr="001674DC">
        <w:t>Linagliptin as add on therapy in patients with severe renal impairment, 12 week placebo controlled data (stable background) and 40 week placebo controlled extension (adjustable background)</w:t>
      </w:r>
    </w:p>
    <w:p w:rsidR="001674DC" w:rsidRPr="001674DC" w:rsidRDefault="001674DC" w:rsidP="001674DC">
      <w:pPr>
        <w:pStyle w:val="TextPI"/>
      </w:pPr>
      <w:r w:rsidRPr="001674DC">
        <w:t xml:space="preserve">The efficacy and safety of linagliptin was also evaluated in type 2 diabetes patients with severe renal impairment in a double blind study versus placebo for 12 weeks duration, during which background glycaemic therapies were kept stable. Patients were on a variety on background therapies including insulin, </w:t>
      </w:r>
      <w:r w:rsidR="00540273">
        <w:t>sulfonylurea</w:t>
      </w:r>
      <w:r w:rsidRPr="001674DC">
        <w:t xml:space="preserve">, </w:t>
      </w:r>
      <w:proofErr w:type="spellStart"/>
      <w:r w:rsidRPr="001674DC">
        <w:t>glinides</w:t>
      </w:r>
      <w:proofErr w:type="spellEnd"/>
      <w:r w:rsidRPr="001674DC">
        <w:t xml:space="preserve"> and</w:t>
      </w:r>
      <w:r w:rsidR="007E668D">
        <w:t xml:space="preserve"> </w:t>
      </w:r>
      <w:proofErr w:type="spellStart"/>
      <w:r w:rsidRPr="001674DC">
        <w:t>pioglitazone</w:t>
      </w:r>
      <w:proofErr w:type="spellEnd"/>
      <w:r w:rsidRPr="001674DC">
        <w:t>.</w:t>
      </w:r>
      <w:r w:rsidR="007E668D">
        <w:t xml:space="preserve"> </w:t>
      </w:r>
      <w:r w:rsidRPr="001674DC">
        <w:t xml:space="preserve">There was a follow up 40 week period during which dose adjustments in </w:t>
      </w:r>
      <w:proofErr w:type="spellStart"/>
      <w:r w:rsidRPr="001674DC">
        <w:t>antidiabetes</w:t>
      </w:r>
      <w:proofErr w:type="spellEnd"/>
      <w:r w:rsidRPr="001674DC">
        <w:t xml:space="preserve"> background therapies were allowed.</w:t>
      </w:r>
    </w:p>
    <w:p w:rsidR="001674DC" w:rsidRPr="001674DC" w:rsidRDefault="001674DC" w:rsidP="001674DC">
      <w:pPr>
        <w:pStyle w:val="TextPI"/>
      </w:pPr>
      <w:r w:rsidRPr="001674DC">
        <w:t>Linagliptin</w:t>
      </w:r>
      <w:r w:rsidR="00010D9C">
        <w:t xml:space="preserve"> (n=52) when compared to placebo (n=52),</w:t>
      </w:r>
      <w:r w:rsidRPr="001674DC">
        <w:t xml:space="preserve"> provided significa</w:t>
      </w:r>
      <w:r w:rsidR="00C10370">
        <w:t>nt improvements in HbA1c (-0.59</w:t>
      </w:r>
      <w:r w:rsidRPr="001674DC">
        <w:t xml:space="preserve">% change </w:t>
      </w:r>
      <w:r w:rsidR="00010D9C">
        <w:t xml:space="preserve">95% CI </w:t>
      </w:r>
      <w:r w:rsidR="00FE2D05">
        <w:t>-0.88. -0.29; p=0.0001</w:t>
      </w:r>
      <w:r w:rsidRPr="001674DC">
        <w:t>), from a mean baseline HbA1c of 8.2%.</w:t>
      </w:r>
      <w:r w:rsidR="007E668D">
        <w:t xml:space="preserve"> </w:t>
      </w:r>
      <w:r w:rsidRPr="001674DC">
        <w:t>Linagliptin also showed significant improvements in fasting plasma glucose (FPG), and a greater portion of patients achieved a target HbA1c of &lt; 7.0%, compared to placebo. The observed difference in HbA1c over placebo was -0.72% after 52 weeks.</w:t>
      </w:r>
    </w:p>
    <w:p w:rsidR="001674DC" w:rsidRDefault="001674DC" w:rsidP="001674DC">
      <w:pPr>
        <w:pStyle w:val="TextPI"/>
      </w:pPr>
      <w:r w:rsidRPr="001674DC">
        <w:t xml:space="preserve">Body weight did not differ significantly between the groups. The observed incidence of hypoglycaemia in patients treated with </w:t>
      </w:r>
      <w:proofErr w:type="spellStart"/>
      <w:r w:rsidRPr="001674DC">
        <w:t>linagliptin</w:t>
      </w:r>
      <w:proofErr w:type="spellEnd"/>
      <w:r w:rsidRPr="001674DC">
        <w:t xml:space="preserve"> was higher </w:t>
      </w:r>
      <w:proofErr w:type="spellStart"/>
      <w:r w:rsidRPr="001674DC">
        <w:t>then</w:t>
      </w:r>
      <w:proofErr w:type="spellEnd"/>
      <w:r w:rsidRPr="001674DC">
        <w:t xml:space="preserve"> placebo, due to an increase in asymptomatic hypoglycaemic events. This can be attributed to the </w:t>
      </w:r>
      <w:proofErr w:type="spellStart"/>
      <w:r w:rsidRPr="001674DC">
        <w:t>antidiabetes</w:t>
      </w:r>
      <w:proofErr w:type="spellEnd"/>
      <w:r w:rsidRPr="001674DC">
        <w:t xml:space="preserve"> background therapies (insulin and </w:t>
      </w:r>
      <w:r w:rsidR="00540273">
        <w:t>sulfonylurea</w:t>
      </w:r>
      <w:r w:rsidRPr="001674DC">
        <w:t xml:space="preserve"> or </w:t>
      </w:r>
      <w:proofErr w:type="spellStart"/>
      <w:r w:rsidRPr="001674DC">
        <w:t>glinides</w:t>
      </w:r>
      <w:proofErr w:type="spellEnd"/>
      <w:r w:rsidRPr="001674DC">
        <w:t>). There was no difference between groups in severe hypoglycaemic events.</w:t>
      </w:r>
    </w:p>
    <w:p w:rsidR="0004718E" w:rsidRPr="0014767F" w:rsidRDefault="0004718E" w:rsidP="0004718E">
      <w:pPr>
        <w:pStyle w:val="PIheading2"/>
        <w:rPr>
          <w:rFonts w:eastAsia="MS Mincho"/>
        </w:rPr>
      </w:pPr>
      <w:r w:rsidRPr="0014767F">
        <w:rPr>
          <w:rFonts w:eastAsia="MS Mincho"/>
        </w:rPr>
        <w:t>Linagliptin as add on therapy in elderly patients (age ≥ 70 years) with type 2 diabetes</w:t>
      </w:r>
    </w:p>
    <w:p w:rsidR="0004718E" w:rsidRPr="001674DC" w:rsidRDefault="0004718E" w:rsidP="0004718E">
      <w:pPr>
        <w:pStyle w:val="TextPI"/>
      </w:pPr>
      <w:r w:rsidRPr="0004718E">
        <w:t>The efficacy and safety of linagliptin in elderly (age ≥ 70</w:t>
      </w:r>
      <w:r w:rsidR="00FE2D05">
        <w:t xml:space="preserve"> </w:t>
      </w:r>
      <w:r w:rsidRPr="0004718E">
        <w:t xml:space="preserve">years) type 2 diabetes patients has been evaluated in a double blind study versus placebo for 24 weeks duration. Patients received metformin and/or </w:t>
      </w:r>
      <w:r w:rsidR="00540273">
        <w:t>sulfonylurea</w:t>
      </w:r>
      <w:r w:rsidRPr="0004718E">
        <w:t xml:space="preserve"> and/or insulin as background therapy. </w:t>
      </w:r>
      <w:r w:rsidR="00C70B74" w:rsidRPr="002D537F">
        <w:t>Doses of background antidiabetic medications were kept stable during the first 12 week, after which adjustments were permitted.</w:t>
      </w:r>
      <w:r w:rsidR="0020655F">
        <w:t xml:space="preserve"> </w:t>
      </w:r>
      <w:r w:rsidRPr="0004718E">
        <w:t xml:space="preserve">Linagliptin </w:t>
      </w:r>
      <w:r w:rsidR="00FE2D05">
        <w:t xml:space="preserve">(n=126) </w:t>
      </w:r>
      <w:r w:rsidRPr="0004718E">
        <w:t>provided significant improvements in HbA1c of -0.64% (95% CI -0.81, -0.48; p&lt;0.0001) compared to placebo</w:t>
      </w:r>
      <w:r w:rsidR="00FE2D05">
        <w:t xml:space="preserve"> (n=118)</w:t>
      </w:r>
      <w:r w:rsidRPr="0004718E">
        <w:t xml:space="preserve"> after 24 weeks, from a mean baseline HbA1c of 7.8%. </w:t>
      </w:r>
      <w:r w:rsidR="00E1378E">
        <w:t xml:space="preserve">Overall, HbA1c levels below 7% were achieved at 24 weeks by 39% of linagliptin subjects compared with 8% of those taking placebo (adjusted odds ratio, 8.319 (p&lt;0.0001). A reduction in HbA1c from baseline of at least 0.5% was achieved by 54% of linagliptin versus 13% of placebo subjects. This differential response was maintained in subjects with higher baseline HbA1c levels. </w:t>
      </w:r>
      <w:r w:rsidRPr="0004718E">
        <w:t xml:space="preserve">Linagliptin also showed significant improvements in fasting plasma glucose (FPG) of </w:t>
      </w:r>
      <w:r w:rsidR="0020655F">
        <w:t>-1.1</w:t>
      </w:r>
      <w:r w:rsidR="00C10370">
        <w:t> </w:t>
      </w:r>
      <w:r w:rsidR="0020655F">
        <w:t xml:space="preserve">mmol/L </w:t>
      </w:r>
      <w:r w:rsidRPr="0004718E">
        <w:t xml:space="preserve">(95% CI </w:t>
      </w:r>
      <w:r w:rsidR="00C70B74" w:rsidRPr="002D537F">
        <w:t>-</w:t>
      </w:r>
      <w:r w:rsidR="002D537F" w:rsidRPr="002D537F">
        <w:t>1.7</w:t>
      </w:r>
      <w:r w:rsidR="00C70B74" w:rsidRPr="002D537F">
        <w:t>, -</w:t>
      </w:r>
      <w:r w:rsidR="002D537F" w:rsidRPr="002D537F">
        <w:t>0.6</w:t>
      </w:r>
      <w:r w:rsidRPr="0004718E">
        <w:t>; p</w:t>
      </w:r>
      <w:r w:rsidRPr="002D537F">
        <w:t xml:space="preserve">&lt;0.0001) compared to placebo. Body weight did not differ significantly between the groups. </w:t>
      </w:r>
      <w:r w:rsidR="00C70B74" w:rsidRPr="002D537F">
        <w:t xml:space="preserve">Hypoglycaemia rates were also comparable on a background of insulin with or without metformin (13 of 35 patients, 37.1% treated with linagliptin and 6 of 15 patients, 40.0% treated with placebo). However, on a background of </w:t>
      </w:r>
      <w:r w:rsidR="00540273">
        <w:t>sulfonylurea</w:t>
      </w:r>
      <w:r w:rsidR="00C70B74" w:rsidRPr="002D537F">
        <w:t xml:space="preserve"> with or without metformin, hypoglycaemia was reported in a higher proportion of patients treated with linagliptin (24 of 82 patients, 29.3%) compared to placebo (7 of 42 patients, 16.7%).</w:t>
      </w:r>
      <w:r w:rsidR="0020655F">
        <w:t xml:space="preserve"> </w:t>
      </w:r>
      <w:r w:rsidRPr="0004718E">
        <w:t>There was no difference between groups in severe hypoglycaemic events.</w:t>
      </w:r>
    </w:p>
    <w:p w:rsidR="003D23CC" w:rsidRPr="0075437E" w:rsidRDefault="0036099D" w:rsidP="0015296D">
      <w:pPr>
        <w:pStyle w:val="PIheading2"/>
        <w:keepLines/>
      </w:pPr>
      <w:r>
        <w:t>Cardiovascular risk</w:t>
      </w:r>
    </w:p>
    <w:p w:rsidR="003D23CC" w:rsidRPr="002D537F" w:rsidRDefault="003D23CC" w:rsidP="007F44AE">
      <w:pPr>
        <w:pStyle w:val="TextPI"/>
      </w:pPr>
      <w:r w:rsidRPr="002D537F">
        <w:t xml:space="preserve">In a prospective, meta-analysis of independently adjudicated cardiovascular events from </w:t>
      </w:r>
      <w:r w:rsidR="007F44AE" w:rsidRPr="002D537F">
        <w:t xml:space="preserve">17 </w:t>
      </w:r>
      <w:r w:rsidRPr="002D537F">
        <w:t xml:space="preserve">phase III clinical studies involving </w:t>
      </w:r>
      <w:r w:rsidR="007F44AE" w:rsidRPr="002D537F">
        <w:t>9462</w:t>
      </w:r>
      <w:r w:rsidRPr="002D537F">
        <w:t xml:space="preserve"> patients with type 2 diabetes, linagliptin treatment was not associated with an increase in cardiovascular risk.</w:t>
      </w:r>
      <w:r w:rsidR="007E668D" w:rsidRPr="002D537F">
        <w:t xml:space="preserve"> </w:t>
      </w:r>
      <w:r w:rsidRPr="002D537F">
        <w:t>The pri</w:t>
      </w:r>
      <w:r w:rsidR="00B65968" w:rsidRPr="002D537F">
        <w:t>mary endpoint, the composite of</w:t>
      </w:r>
      <w:r w:rsidRPr="002D537F">
        <w:t xml:space="preserve">: the occurrence or time to first occurrence of </w:t>
      </w:r>
      <w:r w:rsidR="00B65968" w:rsidRPr="002D537F">
        <w:t>cardiovascular</w:t>
      </w:r>
      <w:r w:rsidRPr="002D537F">
        <w:t xml:space="preserve"> death, non-fatal myocardial infarction, non-fatal stroke or </w:t>
      </w:r>
      <w:proofErr w:type="spellStart"/>
      <w:r w:rsidRPr="002D537F">
        <w:t>hospitali</w:t>
      </w:r>
      <w:r w:rsidR="00B65968" w:rsidRPr="002D537F">
        <w:t>s</w:t>
      </w:r>
      <w:r w:rsidRPr="002D537F">
        <w:t>ation</w:t>
      </w:r>
      <w:proofErr w:type="spellEnd"/>
      <w:r w:rsidRPr="002D537F">
        <w:t xml:space="preserve"> for unstable angina, was </w:t>
      </w:r>
      <w:r w:rsidR="007F44AE" w:rsidRPr="002D537F">
        <w:t>non-</w:t>
      </w:r>
      <w:r w:rsidRPr="002D537F">
        <w:t xml:space="preserve">significantly lower for linagliptin versus combined active and placebo comparators [Hazard ratio </w:t>
      </w:r>
      <w:r w:rsidR="007F44AE" w:rsidRPr="002D537F">
        <w:t>0.78</w:t>
      </w:r>
      <w:r w:rsidRPr="002D537F">
        <w:t xml:space="preserve"> (95% c</w:t>
      </w:r>
      <w:r w:rsidR="00050EE3" w:rsidRPr="002D537F">
        <w:t xml:space="preserve">onfidence interval </w:t>
      </w:r>
      <w:r w:rsidR="007F44AE" w:rsidRPr="002D537F">
        <w:t>0.55;1.12</w:t>
      </w:r>
      <w:r w:rsidR="00050EE3" w:rsidRPr="002D537F">
        <w:t>)].</w:t>
      </w:r>
      <w:r w:rsidR="00EB2A06" w:rsidRPr="002D537F">
        <w:t xml:space="preserve"> </w:t>
      </w:r>
      <w:r w:rsidR="007F44AE" w:rsidRPr="002D537F">
        <w:t>In total there were 60 primary events on linagliptin and 62 on comparators.</w:t>
      </w:r>
    </w:p>
    <w:p w:rsidR="007F44AE" w:rsidRPr="0075437E" w:rsidRDefault="007F44AE" w:rsidP="007F44AE">
      <w:pPr>
        <w:pStyle w:val="TextPI"/>
      </w:pPr>
      <w:r w:rsidRPr="002D537F">
        <w:t>Cardiovascular events were observed to occur at a similar rate between linagliptin and placebo [Hazard ratio 1.09 (95% confidence interval 0.68;1.75)]. In placebo controlled studies, in total there were 43 (1.03%) primary events on linagliptin and 29 (1.35%) on placebo.</w:t>
      </w:r>
    </w:p>
    <w:p w:rsidR="00014579" w:rsidRPr="0075437E" w:rsidRDefault="00014579" w:rsidP="001A7050">
      <w:pPr>
        <w:pStyle w:val="PIHeading1"/>
      </w:pPr>
      <w:r w:rsidRPr="0075437E">
        <w:t>INDICATIONS</w:t>
      </w:r>
    </w:p>
    <w:p w:rsidR="005713BF" w:rsidRDefault="00F90617" w:rsidP="00100CC7">
      <w:pPr>
        <w:pStyle w:val="TextPI"/>
      </w:pPr>
      <w:r w:rsidRPr="0075437E">
        <w:t>TRAJENTA</w:t>
      </w:r>
      <w:r w:rsidR="00663F90" w:rsidRPr="0075437E">
        <w:t xml:space="preserve"> is indicated in adult patients with type 2 diabetes mellitus to improve glycaemic control in conjunction with diet and exercise,</w:t>
      </w:r>
    </w:p>
    <w:p w:rsidR="005713BF" w:rsidRDefault="000A4480" w:rsidP="00100CC7">
      <w:pPr>
        <w:pStyle w:val="TextPI"/>
      </w:pPr>
      <w:r w:rsidRPr="000A4480">
        <w:t xml:space="preserve">as monotherapy </w:t>
      </w:r>
      <w:r w:rsidR="005713BF">
        <w:t xml:space="preserve">when metformin and sulfonylureas are not tolerated, or are contraindicated, </w:t>
      </w:r>
      <w:r w:rsidRPr="000A4480">
        <w:t>or</w:t>
      </w:r>
    </w:p>
    <w:p w:rsidR="00663F90" w:rsidRDefault="00663F90" w:rsidP="00100CC7">
      <w:pPr>
        <w:pStyle w:val="TextPI"/>
      </w:pPr>
      <w:r w:rsidRPr="0075437E">
        <w:t xml:space="preserve">as add on to metformin, </w:t>
      </w:r>
      <w:r w:rsidR="00540273">
        <w:t>sulfonylurea</w:t>
      </w:r>
      <w:r w:rsidRPr="0075437E">
        <w:t>s</w:t>
      </w:r>
      <w:r w:rsidR="005713BF">
        <w:t xml:space="preserve"> </w:t>
      </w:r>
      <w:r w:rsidRPr="0075437E">
        <w:t xml:space="preserve">or metformin plus </w:t>
      </w:r>
      <w:r w:rsidR="00540273">
        <w:t>sulfonylurea</w:t>
      </w:r>
      <w:r w:rsidRPr="0075437E">
        <w:t>s</w:t>
      </w:r>
      <w:r w:rsidR="005713BF">
        <w:t xml:space="preserve">, or to </w:t>
      </w:r>
      <w:r w:rsidR="005713BF" w:rsidRPr="009B0926">
        <w:t>insulin (with or without metformin)</w:t>
      </w:r>
    </w:p>
    <w:p w:rsidR="00014579" w:rsidRPr="0075437E" w:rsidRDefault="00014579" w:rsidP="001A7050">
      <w:pPr>
        <w:pStyle w:val="PIHeading1"/>
      </w:pPr>
      <w:r w:rsidRPr="0075437E">
        <w:t>CONTRAINDICATIONS</w:t>
      </w:r>
    </w:p>
    <w:p w:rsidR="000D3560" w:rsidRPr="0075437E" w:rsidRDefault="00CE21A6" w:rsidP="00100CC7">
      <w:pPr>
        <w:pStyle w:val="TextPI"/>
      </w:pPr>
      <w:r w:rsidRPr="0075437E">
        <w:t>H</w:t>
      </w:r>
      <w:r w:rsidR="000D3560" w:rsidRPr="0075437E">
        <w:t xml:space="preserve">ypersensitivity to </w:t>
      </w:r>
      <w:r w:rsidRPr="0075437E">
        <w:t>the active ingredient or to any</w:t>
      </w:r>
      <w:r w:rsidR="000D3560" w:rsidRPr="0075437E">
        <w:t xml:space="preserve"> of the excipients.</w:t>
      </w:r>
    </w:p>
    <w:p w:rsidR="00014579" w:rsidRPr="0075437E" w:rsidRDefault="00014579" w:rsidP="0013326C">
      <w:pPr>
        <w:pStyle w:val="PIHeading1"/>
        <w:keepLines/>
      </w:pPr>
      <w:r w:rsidRPr="0075437E">
        <w:t>PRECAUTIONS</w:t>
      </w:r>
    </w:p>
    <w:p w:rsidR="00CE21A6" w:rsidRPr="0075437E" w:rsidRDefault="00161728" w:rsidP="0013326C">
      <w:pPr>
        <w:pStyle w:val="PIHeading3"/>
        <w:keepNext/>
        <w:keepLines/>
        <w:outlineLvl w:val="1"/>
      </w:pPr>
      <w:r>
        <w:t>General</w:t>
      </w:r>
    </w:p>
    <w:p w:rsidR="00CE21A6" w:rsidRDefault="00F90617" w:rsidP="00100CC7">
      <w:pPr>
        <w:pStyle w:val="TextPI"/>
      </w:pPr>
      <w:r w:rsidRPr="0075437E">
        <w:t>TRAJENTA</w:t>
      </w:r>
      <w:r w:rsidR="00CE21A6" w:rsidRPr="0075437E">
        <w:t xml:space="preserve"> should not be used in patients with type 1 diabetes or for the trea</w:t>
      </w:r>
      <w:r w:rsidR="0036099D">
        <w:t>tment of diabetic ketoacidosis.</w:t>
      </w:r>
    </w:p>
    <w:p w:rsidR="008B0DF9" w:rsidRPr="005C1A5A" w:rsidRDefault="008B0DF9" w:rsidP="008B0DF9">
      <w:pPr>
        <w:pStyle w:val="PIHeading3"/>
      </w:pPr>
      <w:r w:rsidRPr="005C1A5A">
        <w:t>Pancreatitis</w:t>
      </w:r>
    </w:p>
    <w:p w:rsidR="008B0DF9" w:rsidRPr="008B0DF9" w:rsidRDefault="008B0DF9" w:rsidP="008B0DF9">
      <w:pPr>
        <w:pStyle w:val="TextPI"/>
      </w:pPr>
      <w:r w:rsidRPr="008B0DF9">
        <w:t xml:space="preserve">There have been post-marketing reports of acute pancreatitis in patients taking linagliptin. If pancreatitis is suspected, </w:t>
      </w:r>
      <w:r w:rsidR="004D7A51">
        <w:rPr>
          <w:szCs w:val="24"/>
        </w:rPr>
        <w:t>TRAJENTA</w:t>
      </w:r>
      <w:r w:rsidRPr="008B0DF9">
        <w:rPr>
          <w:szCs w:val="24"/>
        </w:rPr>
        <w:t xml:space="preserve"> </w:t>
      </w:r>
      <w:r w:rsidRPr="008B0DF9">
        <w:t>should be discontinued.</w:t>
      </w:r>
    </w:p>
    <w:p w:rsidR="00CE21A6" w:rsidRPr="0075437E" w:rsidRDefault="0036099D" w:rsidP="00E82740">
      <w:pPr>
        <w:pStyle w:val="PIHeading3"/>
        <w:outlineLvl w:val="1"/>
      </w:pPr>
      <w:r>
        <w:t>Hypoglycaemia</w:t>
      </w:r>
    </w:p>
    <w:p w:rsidR="0067738C" w:rsidRPr="0075437E" w:rsidRDefault="00CE21A6" w:rsidP="00100CC7">
      <w:pPr>
        <w:pStyle w:val="TextPI"/>
      </w:pPr>
      <w:r w:rsidRPr="0075437E">
        <w:t>Linagliptin alone showed a comparable incidence of hypoglycaemia to placebo.</w:t>
      </w:r>
    </w:p>
    <w:p w:rsidR="009602B8" w:rsidRPr="0075437E" w:rsidRDefault="00CE21A6" w:rsidP="00100CC7">
      <w:pPr>
        <w:pStyle w:val="TextPI"/>
      </w:pPr>
      <w:r w:rsidRPr="0075437E">
        <w:t>In clinical trials of linagliptin as part of combination therapy with agents not known to cause hypoglycaemia (metformin)</w:t>
      </w:r>
      <w:r w:rsidR="00A2729C" w:rsidRPr="0075437E">
        <w:t>,</w:t>
      </w:r>
      <w:r w:rsidRPr="0075437E">
        <w:t xml:space="preserve"> rates of hypoglycaemia reported with linagliptin were similar to ra</w:t>
      </w:r>
      <w:r w:rsidR="0036099D">
        <w:t>tes in patients taking placebo.</w:t>
      </w:r>
    </w:p>
    <w:p w:rsidR="00CE21A6" w:rsidRPr="0075437E" w:rsidRDefault="00540273" w:rsidP="00100CC7">
      <w:pPr>
        <w:pStyle w:val="TextPI"/>
      </w:pPr>
      <w:r>
        <w:t>Sulfonylurea</w:t>
      </w:r>
      <w:r w:rsidR="00CE21A6" w:rsidRPr="0075437E">
        <w:t xml:space="preserve">s </w:t>
      </w:r>
      <w:r w:rsidR="00242030">
        <w:t xml:space="preserve">and insulin </w:t>
      </w:r>
      <w:r w:rsidR="00CE21A6" w:rsidRPr="0075437E">
        <w:t>are known to cause hypoglycaemia.</w:t>
      </w:r>
      <w:r w:rsidR="007E668D">
        <w:t xml:space="preserve"> </w:t>
      </w:r>
      <w:r w:rsidR="00CE21A6" w:rsidRPr="0075437E">
        <w:t xml:space="preserve">Therefore, caution is advised when linagliptin is used in combination with a </w:t>
      </w:r>
      <w:r>
        <w:t>sulfonylurea</w:t>
      </w:r>
      <w:r w:rsidR="00242030">
        <w:t xml:space="preserve"> and/or insulin</w:t>
      </w:r>
      <w:r w:rsidR="00CE21A6" w:rsidRPr="0075437E">
        <w:t>.</w:t>
      </w:r>
      <w:r w:rsidR="007E668D">
        <w:t xml:space="preserve"> </w:t>
      </w:r>
      <w:r w:rsidR="00CE21A6" w:rsidRPr="0075437E">
        <w:t xml:space="preserve">A dose reduction of the </w:t>
      </w:r>
      <w:r>
        <w:t>sulfonylurea</w:t>
      </w:r>
      <w:r w:rsidR="0036099D">
        <w:t xml:space="preserve"> </w:t>
      </w:r>
      <w:r w:rsidR="00242030">
        <w:t xml:space="preserve">or insulin </w:t>
      </w:r>
      <w:r w:rsidR="0036099D">
        <w:t>may be considered.</w:t>
      </w:r>
    </w:p>
    <w:p w:rsidR="00014579" w:rsidRPr="0075437E" w:rsidRDefault="00014579" w:rsidP="009E20B5">
      <w:pPr>
        <w:pStyle w:val="PIheading2"/>
      </w:pPr>
      <w:r w:rsidRPr="0075437E">
        <w:t>Effects on ab</w:t>
      </w:r>
      <w:r w:rsidR="00016C95" w:rsidRPr="0075437E">
        <w:t>ility to drive and use machines</w:t>
      </w:r>
    </w:p>
    <w:p w:rsidR="00784C3B" w:rsidRPr="0075437E" w:rsidRDefault="00C77997" w:rsidP="00100CC7">
      <w:pPr>
        <w:pStyle w:val="TextPI"/>
      </w:pPr>
      <w:r w:rsidRPr="0075437E">
        <w:t xml:space="preserve">No studies on the effect on the ability to drive and use machines have </w:t>
      </w:r>
      <w:r w:rsidR="007205AC" w:rsidRPr="0075437E">
        <w:t>been performed</w:t>
      </w:r>
      <w:r w:rsidR="007205AC" w:rsidRPr="002D537F">
        <w:t xml:space="preserve">. </w:t>
      </w:r>
      <w:r w:rsidR="00784C3B" w:rsidRPr="002D537F">
        <w:t>If patients experience dizziness, they should avoid potentially hazardous tasks such as driving or operating machinery.</w:t>
      </w:r>
    </w:p>
    <w:p w:rsidR="00014579" w:rsidRPr="0075437E" w:rsidRDefault="00016C95" w:rsidP="006850D3">
      <w:pPr>
        <w:pStyle w:val="PIheading2"/>
        <w:keepLines/>
      </w:pPr>
      <w:r w:rsidRPr="0075437E">
        <w:t xml:space="preserve">Effects on </w:t>
      </w:r>
      <w:r w:rsidR="00664D2E" w:rsidRPr="0075437E">
        <w:t>F</w:t>
      </w:r>
      <w:r w:rsidRPr="0075437E">
        <w:t>ertility</w:t>
      </w:r>
    </w:p>
    <w:p w:rsidR="006E59C2" w:rsidRPr="0075437E" w:rsidRDefault="00992B1C" w:rsidP="00100CC7">
      <w:pPr>
        <w:pStyle w:val="TextPI"/>
      </w:pPr>
      <w:r w:rsidRPr="00784C3B">
        <w:t xml:space="preserve">No studies on the effect on human fertility have been </w:t>
      </w:r>
      <w:r>
        <w:t xml:space="preserve">conducted for </w:t>
      </w:r>
      <w:r w:rsidR="00792CC2" w:rsidRPr="006A7B33">
        <w:t>TRAJENTA</w:t>
      </w:r>
      <w:r w:rsidRPr="006A7B33">
        <w:t>.</w:t>
      </w:r>
      <w:r w:rsidR="007E668D">
        <w:t xml:space="preserve"> </w:t>
      </w:r>
      <w:r w:rsidRPr="00784C3B">
        <w:t xml:space="preserve">No adverse </w:t>
      </w:r>
      <w:r>
        <w:t xml:space="preserve">effects on fertility </w:t>
      </w:r>
      <w:r w:rsidRPr="00784C3B">
        <w:t xml:space="preserve">were observed in </w:t>
      </w:r>
      <w:r>
        <w:t xml:space="preserve">male and female rats given linagliptin orally </w:t>
      </w:r>
      <w:r w:rsidRPr="00784C3B">
        <w:t>up to the highest dose of 240 mg/kg/day (</w:t>
      </w:r>
      <w:r>
        <w:t xml:space="preserve">yielding </w:t>
      </w:r>
      <w:r w:rsidRPr="00784C3B">
        <w:t xml:space="preserve">approximately </w:t>
      </w:r>
      <w:r>
        <w:t>1000 </w:t>
      </w:r>
      <w:r w:rsidRPr="00784C3B">
        <w:t xml:space="preserve">times </w:t>
      </w:r>
      <w:r>
        <w:t>the plasma AUC obtained in patients at the maximum recommended human dose [MRHD] of 5 mg/day</w:t>
      </w:r>
      <w:r w:rsidR="005713BF">
        <w:t xml:space="preserve"> </w:t>
      </w:r>
      <w:r>
        <w:t>prior to and throughout mating.</w:t>
      </w:r>
    </w:p>
    <w:p w:rsidR="00992B1C" w:rsidRPr="00F20F0F" w:rsidRDefault="00992B1C" w:rsidP="00992B1C">
      <w:pPr>
        <w:pStyle w:val="PIheading2"/>
      </w:pPr>
      <w:r w:rsidRPr="00F20F0F">
        <w:t>Use in Pregnancy (</w:t>
      </w:r>
      <w:r w:rsidRPr="000D2AF6">
        <w:t>Category B</w:t>
      </w:r>
      <w:r>
        <w:t>3</w:t>
      </w:r>
      <w:r w:rsidRPr="000F4AC8">
        <w:t>)</w:t>
      </w:r>
    </w:p>
    <w:p w:rsidR="00992B1C" w:rsidRPr="00F223DE" w:rsidRDefault="00992B1C" w:rsidP="00992B1C">
      <w:pPr>
        <w:pStyle w:val="TextPI"/>
      </w:pPr>
      <w:r w:rsidRPr="00F223DE">
        <w:t>There are limited data from the use of linagliptin in pregnant women.</w:t>
      </w:r>
      <w:r w:rsidR="007E668D">
        <w:t xml:space="preserve"> </w:t>
      </w:r>
      <w:r>
        <w:t xml:space="preserve">Linagliptin was </w:t>
      </w:r>
      <w:r w:rsidRPr="00F223DE">
        <w:t>shown to cross the placenta in rats and rabbits.</w:t>
      </w:r>
    </w:p>
    <w:p w:rsidR="00992B1C" w:rsidRPr="00A3582E" w:rsidRDefault="00992B1C" w:rsidP="00A3582E">
      <w:pPr>
        <w:pStyle w:val="TextPI"/>
      </w:pPr>
      <w:r w:rsidRPr="00A3582E">
        <w:t xml:space="preserve">In animal embryofetal development studies, linagliptin was shown to be not teratogenic in rats at oral doses up to 240 mg/kg/day (approximately 1000 times the exposure in patients at the MRHD, based on plasma AUC) and up to 150 mg/kg/day in the rabbit (approximately 2000 times human exposure). However, postimplantation loss was increased in both species at these upper dose levels (together with maternotoxicity), and there was an increase in runts and a slight increase in the incidence of fetal visceral variations in the rabbit. No adverse effects on embryofetal development were observed at up to 30 mg/kg/day in the rat (50 times human exposure) and up to 25 mg/kg/day in the rabbit (78 times human exposure). However, as animal studies are not always predictive of human response, as a precautionary measure, it is preferable to avoid the use of </w:t>
      </w:r>
      <w:r w:rsidR="00792CC2" w:rsidRPr="00A3582E">
        <w:t>TRAJENTA</w:t>
      </w:r>
      <w:r w:rsidRPr="00A3582E">
        <w:t xml:space="preserve"> during pregnancy.</w:t>
      </w:r>
    </w:p>
    <w:p w:rsidR="00014579" w:rsidRPr="0075437E" w:rsidRDefault="00014579" w:rsidP="00992B1C">
      <w:pPr>
        <w:pStyle w:val="PIheading2"/>
        <w:jc w:val="both"/>
      </w:pPr>
      <w:r w:rsidRPr="0075437E">
        <w:t>Use in Lactation</w:t>
      </w:r>
    </w:p>
    <w:p w:rsidR="00992B1C" w:rsidRPr="00F223DE" w:rsidRDefault="00992B1C" w:rsidP="00992B1C">
      <w:pPr>
        <w:pStyle w:val="TextPI"/>
        <w:rPr>
          <w:szCs w:val="24"/>
          <w:lang w:val="en-AU" w:eastAsia="en-AU"/>
        </w:rPr>
      </w:pPr>
      <w:r>
        <w:rPr>
          <w:szCs w:val="24"/>
          <w:lang w:val="en-AU" w:eastAsia="en-AU"/>
        </w:rPr>
        <w:t>Linagliptin and its metabolites were shown to be readily excreted in the milk of lactating rats.</w:t>
      </w:r>
      <w:r w:rsidRPr="00F223DE">
        <w:rPr>
          <w:szCs w:val="24"/>
          <w:lang w:val="en-AU" w:eastAsia="en-AU"/>
        </w:rPr>
        <w:t xml:space="preserve"> A risk to the newborns / infants cannot be excluded.</w:t>
      </w:r>
      <w:r w:rsidR="007E668D">
        <w:rPr>
          <w:szCs w:val="24"/>
          <w:lang w:val="en-AU" w:eastAsia="en-AU"/>
        </w:rPr>
        <w:t xml:space="preserve"> </w:t>
      </w:r>
      <w:r w:rsidR="00792CC2" w:rsidRPr="0075437E">
        <w:t>TRAJENTA</w:t>
      </w:r>
      <w:r w:rsidRPr="00F223DE">
        <w:rPr>
          <w:szCs w:val="24"/>
          <w:lang w:val="en-AU" w:eastAsia="en-AU"/>
        </w:rPr>
        <w:t xml:space="preserve"> should not be used during breast-feeding.</w:t>
      </w:r>
    </w:p>
    <w:p w:rsidR="00016C95" w:rsidRPr="0075437E" w:rsidRDefault="00016C95" w:rsidP="009E20B5">
      <w:pPr>
        <w:pStyle w:val="PIheading2"/>
      </w:pPr>
      <w:r w:rsidRPr="0075437E">
        <w:t>Paediatric use</w:t>
      </w:r>
    </w:p>
    <w:p w:rsidR="00A81F4D" w:rsidRPr="0075437E" w:rsidRDefault="00F90617" w:rsidP="00100CC7">
      <w:pPr>
        <w:pStyle w:val="TextPI"/>
      </w:pPr>
      <w:r w:rsidRPr="0075437E">
        <w:t>TRAJENTA</w:t>
      </w:r>
      <w:r w:rsidR="00784C3B" w:rsidRPr="0075437E">
        <w:t xml:space="preserve"> is not recommended for use in children below 18 years due to lack of data on its safety and efficacy.</w:t>
      </w:r>
    </w:p>
    <w:p w:rsidR="00016C95" w:rsidRPr="0075437E" w:rsidRDefault="00016C95" w:rsidP="00097EE3">
      <w:pPr>
        <w:pStyle w:val="PIheading2"/>
        <w:keepLines/>
      </w:pPr>
      <w:r w:rsidRPr="0075437E">
        <w:t>Carcinogenicity</w:t>
      </w:r>
    </w:p>
    <w:p w:rsidR="00992B1C" w:rsidRDefault="00992B1C" w:rsidP="00992B1C">
      <w:pPr>
        <w:pStyle w:val="TextPI"/>
        <w:rPr>
          <w:szCs w:val="24"/>
          <w:lang w:val="en-AU" w:eastAsia="en-AU"/>
        </w:rPr>
      </w:pPr>
      <w:r>
        <w:rPr>
          <w:szCs w:val="24"/>
          <w:lang w:val="en-AU" w:eastAsia="en-AU"/>
        </w:rPr>
        <w:t>No evidence of carcinogenicity was observed with linagliptin in 2-year studies in mice and rats given oral doses up to 80 mg/kg/day and 60 mg/kg/day, respectively.</w:t>
      </w:r>
    </w:p>
    <w:p w:rsidR="00992B1C" w:rsidRPr="00F223DE" w:rsidRDefault="00992B1C" w:rsidP="00992B1C">
      <w:pPr>
        <w:pStyle w:val="TextPI"/>
        <w:rPr>
          <w:szCs w:val="24"/>
          <w:lang w:val="en-AU" w:eastAsia="en-AU"/>
        </w:rPr>
      </w:pPr>
      <w:r>
        <w:rPr>
          <w:szCs w:val="24"/>
          <w:lang w:val="en-AU" w:eastAsia="en-AU"/>
        </w:rPr>
        <w:t>These doses correspond to approximately 300- and 400-times the human exposure (plasma AUC) at the MRHD of 5 mg/day.</w:t>
      </w:r>
    </w:p>
    <w:p w:rsidR="00016C95" w:rsidRPr="0075437E" w:rsidRDefault="00016C95" w:rsidP="000B1157">
      <w:pPr>
        <w:pStyle w:val="PIheading2"/>
      </w:pPr>
      <w:r w:rsidRPr="0075437E">
        <w:t>Genotoxicity</w:t>
      </w:r>
    </w:p>
    <w:p w:rsidR="00992B1C" w:rsidRDefault="00992B1C" w:rsidP="00992B1C">
      <w:pPr>
        <w:pStyle w:val="TextPI"/>
      </w:pPr>
      <w:r w:rsidRPr="00CB5E43">
        <w:t xml:space="preserve">Linagliptin was not mutagenic or clastogenic with or without metabolic activation in the Ames bacterial mutagenicity assay, a chromosomal aberration test in human lymphocytes, and </w:t>
      </w:r>
      <w:r>
        <w:t xml:space="preserve">an </w:t>
      </w:r>
      <w:r w:rsidRPr="00553229">
        <w:rPr>
          <w:i/>
        </w:rPr>
        <w:t>in vivo</w:t>
      </w:r>
      <w:r>
        <w:t xml:space="preserve"> micronucleus assay in the rat. </w:t>
      </w:r>
    </w:p>
    <w:p w:rsidR="00014579" w:rsidRPr="0075437E" w:rsidRDefault="00014579" w:rsidP="00D62E23">
      <w:pPr>
        <w:pStyle w:val="PIHeading1"/>
      </w:pPr>
      <w:r w:rsidRPr="0075437E">
        <w:t xml:space="preserve">Interactions with Other </w:t>
      </w:r>
      <w:r w:rsidR="00016C95" w:rsidRPr="00D62E23">
        <w:t>M</w:t>
      </w:r>
      <w:r w:rsidR="000A1804" w:rsidRPr="00D62E23">
        <w:t>edicines</w:t>
      </w:r>
    </w:p>
    <w:p w:rsidR="00D3289E" w:rsidRPr="0075437E" w:rsidRDefault="000E7EC9" w:rsidP="00E82740">
      <w:pPr>
        <w:pStyle w:val="PIHeading3"/>
        <w:outlineLvl w:val="2"/>
      </w:pPr>
      <w:r w:rsidRPr="0075437E">
        <w:rPr>
          <w:i/>
        </w:rPr>
        <w:t xml:space="preserve">In </w:t>
      </w:r>
      <w:r w:rsidR="00D3289E" w:rsidRPr="0075437E">
        <w:rPr>
          <w:i/>
        </w:rPr>
        <w:t>vitro</w:t>
      </w:r>
      <w:r w:rsidR="00D3289E" w:rsidRPr="0075437E">
        <w:t xml:space="preserve"> assessment of drug interactions</w:t>
      </w:r>
    </w:p>
    <w:p w:rsidR="009602B8" w:rsidRPr="0075437E" w:rsidRDefault="00D3289E" w:rsidP="00100CC7">
      <w:pPr>
        <w:pStyle w:val="TextPI"/>
      </w:pPr>
      <w:r w:rsidRPr="0075437E">
        <w:t>Linagliptin is a weak competitive and a weak to moderate mechanism-based inhibitor of CYP isozyme CYP3A4, but does not inhibit other CYP isozymes.</w:t>
      </w:r>
      <w:r w:rsidR="007E668D">
        <w:t xml:space="preserve"> </w:t>
      </w:r>
      <w:r w:rsidRPr="0075437E">
        <w:t xml:space="preserve">It is </w:t>
      </w:r>
      <w:r w:rsidR="004A6F49">
        <w:t>not an inducer of CYP isozymes.</w:t>
      </w:r>
    </w:p>
    <w:p w:rsidR="00D3289E" w:rsidRPr="0075437E" w:rsidRDefault="00992B1C" w:rsidP="00100CC7">
      <w:pPr>
        <w:pStyle w:val="TextPI"/>
        <w:rPr>
          <w:szCs w:val="24"/>
          <w:lang w:val="en-AU" w:eastAsia="en-AU"/>
        </w:rPr>
      </w:pPr>
      <w:r w:rsidRPr="00D3289E">
        <w:t>Linagliptin inhibits P-glycoprotein mediated transport of digoxin with low potency.</w:t>
      </w:r>
      <w:r w:rsidR="007E668D">
        <w:t xml:space="preserve"> </w:t>
      </w:r>
      <w:r w:rsidRPr="00D3289E">
        <w:t xml:space="preserve">Based on </w:t>
      </w:r>
      <w:r>
        <w:t>this</w:t>
      </w:r>
      <w:r w:rsidRPr="00D3289E">
        <w:t xml:space="preserve"> result and </w:t>
      </w:r>
      <w:r>
        <w:rPr>
          <w:i/>
        </w:rPr>
        <w:t xml:space="preserve">in </w:t>
      </w:r>
      <w:r w:rsidRPr="00525499">
        <w:rPr>
          <w:i/>
        </w:rPr>
        <w:t>vivo</w:t>
      </w:r>
      <w:r w:rsidRPr="00D3289E">
        <w:t xml:space="preserve"> drug interaction studies, linagliptin is considered unlikely to cause interactions with other P-glycoprotein substrates. </w:t>
      </w:r>
      <w:r>
        <w:rPr>
          <w:szCs w:val="24"/>
          <w:lang w:val="en-AU" w:eastAsia="en-AU"/>
        </w:rPr>
        <w:t>However, as linagliptin is a P-glycoprotein substrate, inhibitors/inducers of this transporter may affect linagliptin plasma kinetics.</w:t>
      </w:r>
    </w:p>
    <w:p w:rsidR="00D3289E" w:rsidRPr="0075437E" w:rsidRDefault="000E7EC9" w:rsidP="006D52DE">
      <w:pPr>
        <w:pStyle w:val="PIHeading3"/>
        <w:keepNext/>
        <w:keepLines/>
        <w:outlineLvl w:val="2"/>
      </w:pPr>
      <w:r w:rsidRPr="0075437E">
        <w:rPr>
          <w:i/>
        </w:rPr>
        <w:t xml:space="preserve">In </w:t>
      </w:r>
      <w:r w:rsidR="00D3289E" w:rsidRPr="0075437E">
        <w:rPr>
          <w:i/>
        </w:rPr>
        <w:t>vivo</w:t>
      </w:r>
      <w:r w:rsidR="00D3289E" w:rsidRPr="0075437E">
        <w:t xml:space="preserve"> assessment of drug interactions</w:t>
      </w:r>
    </w:p>
    <w:p w:rsidR="00932FB1" w:rsidRPr="0075437E" w:rsidRDefault="00D3289E" w:rsidP="006D52DE">
      <w:pPr>
        <w:pStyle w:val="TextPI"/>
        <w:keepNext/>
        <w:keepLines/>
      </w:pPr>
      <w:r w:rsidRPr="0075437E">
        <w:t>Clinical data described below suggest that the risk for clinically meaningful interactions by</w:t>
      </w:r>
      <w:r w:rsidR="00972572" w:rsidRPr="0075437E">
        <w:t xml:space="preserve"> </w:t>
      </w:r>
      <w:r w:rsidRPr="0075437E">
        <w:t>co</w:t>
      </w:r>
      <w:r w:rsidR="00A35804" w:rsidRPr="0075437E">
        <w:noBreakHyphen/>
      </w:r>
      <w:r w:rsidRPr="0075437E">
        <w:t>administered medicinal products is low.</w:t>
      </w:r>
      <w:r w:rsidR="007E668D">
        <w:t xml:space="preserve"> </w:t>
      </w:r>
      <w:r w:rsidRPr="0075437E">
        <w:t>No clinically significant interactions requiring dose adjustment were observed.</w:t>
      </w:r>
      <w:r w:rsidR="007E668D">
        <w:t xml:space="preserve"> </w:t>
      </w:r>
      <w:r w:rsidR="00932FB1" w:rsidRPr="0075437E">
        <w:t xml:space="preserve">Linagliptin had no clinically relevant effect on the pharmacokinetics of metformin, glibenclamide, simvastatin, pioglitazone, warfarin, digoxin or oral contraceptives providing </w:t>
      </w:r>
      <w:r w:rsidR="00932FB1" w:rsidRPr="0075437E">
        <w:rPr>
          <w:i/>
        </w:rPr>
        <w:t xml:space="preserve">in vivo </w:t>
      </w:r>
      <w:r w:rsidR="00932FB1" w:rsidRPr="0075437E">
        <w:t>evidence of a low propensity for causing drug interactions with substrates of CYP3A4, CYP2C9, CYP2C8, P-glycoprotein, and organic cationic transporter (OCT</w:t>
      </w:r>
      <w:r w:rsidR="007964F8" w:rsidRPr="0075437E">
        <w:t>)</w:t>
      </w:r>
      <w:r w:rsidR="009602B8" w:rsidRPr="0075437E">
        <w:t>.</w:t>
      </w:r>
    </w:p>
    <w:p w:rsidR="00D3289E" w:rsidRPr="0075437E" w:rsidRDefault="00D3289E" w:rsidP="00100CC7">
      <w:pPr>
        <w:pStyle w:val="PIheading4"/>
        <w:rPr>
          <w:rStyle w:val="TextPIChar"/>
          <w:i w:val="0"/>
        </w:rPr>
      </w:pPr>
      <w:r w:rsidRPr="0075437E">
        <w:t xml:space="preserve">Metformin: </w:t>
      </w:r>
      <w:r w:rsidRPr="0075437E">
        <w:rPr>
          <w:rStyle w:val="TextPIChar"/>
          <w:i w:val="0"/>
        </w:rPr>
        <w:t>Co-administration of multiple three-times-daily doses of 850 mg metformin</w:t>
      </w:r>
      <w:r w:rsidR="007964F8" w:rsidRPr="0075437E">
        <w:rPr>
          <w:rStyle w:val="TextPIChar"/>
          <w:i w:val="0"/>
        </w:rPr>
        <w:t xml:space="preserve"> </w:t>
      </w:r>
      <w:r w:rsidRPr="0075437E">
        <w:rPr>
          <w:rStyle w:val="TextPIChar"/>
          <w:i w:val="0"/>
        </w:rPr>
        <w:t>with a supratherapeutic dose of 10 mg linagliptin once daily did not clinical meaningfully alter the pharmacokinetics of linagl</w:t>
      </w:r>
      <w:r w:rsidR="007964F8" w:rsidRPr="0075437E">
        <w:rPr>
          <w:rStyle w:val="TextPIChar"/>
          <w:i w:val="0"/>
        </w:rPr>
        <w:t>iptin</w:t>
      </w:r>
      <w:r w:rsidR="009602B8" w:rsidRPr="0075437E">
        <w:rPr>
          <w:rStyle w:val="TextPIChar"/>
          <w:i w:val="0"/>
        </w:rPr>
        <w:t xml:space="preserve"> or metformin</w:t>
      </w:r>
      <w:r w:rsidR="007964F8" w:rsidRPr="0075437E">
        <w:rPr>
          <w:rStyle w:val="TextPIChar"/>
          <w:i w:val="0"/>
        </w:rPr>
        <w:t xml:space="preserve"> in healthy volunteers.</w:t>
      </w:r>
      <w:r w:rsidR="007E668D">
        <w:rPr>
          <w:rStyle w:val="TextPIChar"/>
          <w:i w:val="0"/>
        </w:rPr>
        <w:t xml:space="preserve"> </w:t>
      </w:r>
      <w:r w:rsidR="007964F8" w:rsidRPr="0075437E">
        <w:rPr>
          <w:rStyle w:val="TextPIChar"/>
          <w:i w:val="0"/>
        </w:rPr>
        <w:t>Therefore, linagliptin is not an inhibitor of OCT-mediated transport.</w:t>
      </w:r>
    </w:p>
    <w:p w:rsidR="00D3289E" w:rsidRPr="0075437E" w:rsidRDefault="00540273" w:rsidP="00100CC7">
      <w:pPr>
        <w:pStyle w:val="PIheading4"/>
        <w:rPr>
          <w:rStyle w:val="TextPIChar"/>
          <w:i w:val="0"/>
        </w:rPr>
      </w:pPr>
      <w:r>
        <w:t>Sulfonylurea</w:t>
      </w:r>
      <w:r w:rsidR="00D3289E" w:rsidRPr="0075437E">
        <w:t xml:space="preserve">s: </w:t>
      </w:r>
      <w:r w:rsidR="00D3289E" w:rsidRPr="0075437E">
        <w:rPr>
          <w:rStyle w:val="TextPIChar"/>
          <w:i w:val="0"/>
        </w:rPr>
        <w:t xml:space="preserve">The steady-state pharmacokinetics of 5 mg </w:t>
      </w:r>
      <w:r w:rsidR="00A35804" w:rsidRPr="0075437E">
        <w:rPr>
          <w:rStyle w:val="TextPIChar"/>
          <w:i w:val="0"/>
        </w:rPr>
        <w:t xml:space="preserve">linagliptin were not changed by </w:t>
      </w:r>
      <w:r w:rsidR="009602B8" w:rsidRPr="0075437E">
        <w:rPr>
          <w:rStyle w:val="TextPIChar"/>
          <w:i w:val="0"/>
        </w:rPr>
        <w:t>co</w:t>
      </w:r>
      <w:r w:rsidR="00A35804" w:rsidRPr="0075437E">
        <w:rPr>
          <w:rStyle w:val="TextPIChar"/>
          <w:i w:val="0"/>
        </w:rPr>
        <w:noBreakHyphen/>
      </w:r>
      <w:r w:rsidR="009602B8" w:rsidRPr="0075437E">
        <w:rPr>
          <w:rStyle w:val="TextPIChar"/>
          <w:i w:val="0"/>
        </w:rPr>
        <w:t>administration</w:t>
      </w:r>
      <w:r w:rsidR="00D3289E" w:rsidRPr="0075437E">
        <w:rPr>
          <w:rStyle w:val="TextPIChar"/>
          <w:i w:val="0"/>
        </w:rPr>
        <w:t xml:space="preserve"> administration of a single 1.75 mg dos</w:t>
      </w:r>
      <w:r w:rsidR="007964F8" w:rsidRPr="0075437E">
        <w:rPr>
          <w:rStyle w:val="TextPIChar"/>
          <w:i w:val="0"/>
        </w:rPr>
        <w:t>e glibenclamide (glyburide) and multiple oral doses of 5 mg linagliptin</w:t>
      </w:r>
      <w:r w:rsidR="00650739" w:rsidRPr="0075437E">
        <w:rPr>
          <w:rStyle w:val="TextPIChar"/>
          <w:i w:val="0"/>
        </w:rPr>
        <w:t>.</w:t>
      </w:r>
      <w:r w:rsidR="007E668D">
        <w:rPr>
          <w:rStyle w:val="TextPIChar"/>
          <w:i w:val="0"/>
        </w:rPr>
        <w:t xml:space="preserve"> </w:t>
      </w:r>
      <w:r w:rsidR="00650739" w:rsidRPr="0075437E">
        <w:rPr>
          <w:rStyle w:val="TextPIChar"/>
          <w:i w:val="0"/>
        </w:rPr>
        <w:t xml:space="preserve">However, there was a </w:t>
      </w:r>
      <w:r w:rsidR="007964F8" w:rsidRPr="0075437E">
        <w:rPr>
          <w:rStyle w:val="TextPIChar"/>
          <w:i w:val="0"/>
        </w:rPr>
        <w:t xml:space="preserve">clinically not relevant reduction of 14% of both AUC and Cmax of glibenclamide. Because </w:t>
      </w:r>
      <w:proofErr w:type="spellStart"/>
      <w:r w:rsidR="007964F8" w:rsidRPr="0075437E">
        <w:rPr>
          <w:rStyle w:val="TextPIChar"/>
          <w:i w:val="0"/>
        </w:rPr>
        <w:t>glibenclamide</w:t>
      </w:r>
      <w:proofErr w:type="spellEnd"/>
      <w:r w:rsidR="007964F8" w:rsidRPr="0075437E">
        <w:rPr>
          <w:rStyle w:val="TextPIChar"/>
          <w:i w:val="0"/>
        </w:rPr>
        <w:t xml:space="preserve"> is primarily </w:t>
      </w:r>
      <w:proofErr w:type="spellStart"/>
      <w:r w:rsidR="007964F8" w:rsidRPr="0075437E">
        <w:rPr>
          <w:rStyle w:val="TextPIChar"/>
          <w:i w:val="0"/>
        </w:rPr>
        <w:t>metabolised</w:t>
      </w:r>
      <w:proofErr w:type="spellEnd"/>
      <w:r w:rsidR="007964F8" w:rsidRPr="0075437E">
        <w:rPr>
          <w:rStyle w:val="TextPIChar"/>
          <w:i w:val="0"/>
        </w:rPr>
        <w:t xml:space="preserve"> by CYP2C9, these data also support the conclusion that linagliptin is not a CYP2C9 inhibitor.</w:t>
      </w:r>
      <w:r w:rsidR="007E668D">
        <w:rPr>
          <w:rStyle w:val="TextPIChar"/>
          <w:i w:val="0"/>
        </w:rPr>
        <w:t xml:space="preserve"> </w:t>
      </w:r>
      <w:r w:rsidR="007964F8" w:rsidRPr="0075437E">
        <w:rPr>
          <w:rStyle w:val="TextPIChar"/>
          <w:i w:val="0"/>
        </w:rPr>
        <w:t xml:space="preserve">Clinically meaningful interactions would not be expected </w:t>
      </w:r>
      <w:r w:rsidR="009602B8" w:rsidRPr="0075437E">
        <w:rPr>
          <w:rStyle w:val="TextPIChar"/>
          <w:i w:val="0"/>
        </w:rPr>
        <w:t xml:space="preserve">with other </w:t>
      </w:r>
      <w:r>
        <w:rPr>
          <w:rStyle w:val="TextPIChar"/>
          <w:i w:val="0"/>
        </w:rPr>
        <w:t>sulfonylurea</w:t>
      </w:r>
      <w:r w:rsidR="009602B8" w:rsidRPr="0075437E">
        <w:rPr>
          <w:rStyle w:val="TextPIChar"/>
          <w:i w:val="0"/>
        </w:rPr>
        <w:t>s (e.g.</w:t>
      </w:r>
      <w:r w:rsidR="007964F8" w:rsidRPr="0075437E">
        <w:rPr>
          <w:rStyle w:val="TextPIChar"/>
          <w:i w:val="0"/>
        </w:rPr>
        <w:t xml:space="preserve"> </w:t>
      </w:r>
      <w:proofErr w:type="spellStart"/>
      <w:r w:rsidR="007964F8" w:rsidRPr="0075437E">
        <w:rPr>
          <w:rStyle w:val="TextPIChar"/>
          <w:i w:val="0"/>
        </w:rPr>
        <w:t>glipizide</w:t>
      </w:r>
      <w:proofErr w:type="spellEnd"/>
      <w:r w:rsidR="007964F8" w:rsidRPr="0075437E">
        <w:rPr>
          <w:rStyle w:val="TextPIChar"/>
          <w:i w:val="0"/>
        </w:rPr>
        <w:t xml:space="preserve">, </w:t>
      </w:r>
      <w:proofErr w:type="spellStart"/>
      <w:r w:rsidR="007964F8" w:rsidRPr="0075437E">
        <w:rPr>
          <w:rStyle w:val="TextPIChar"/>
          <w:i w:val="0"/>
        </w:rPr>
        <w:t>tolbutamide</w:t>
      </w:r>
      <w:proofErr w:type="spellEnd"/>
      <w:r w:rsidR="007964F8" w:rsidRPr="0075437E">
        <w:rPr>
          <w:rStyle w:val="TextPIChar"/>
          <w:i w:val="0"/>
        </w:rPr>
        <w:t xml:space="preserve"> and </w:t>
      </w:r>
      <w:proofErr w:type="spellStart"/>
      <w:r w:rsidR="007964F8" w:rsidRPr="0075437E">
        <w:rPr>
          <w:rStyle w:val="TextPIChar"/>
          <w:i w:val="0"/>
        </w:rPr>
        <w:t>glimepiride</w:t>
      </w:r>
      <w:proofErr w:type="spellEnd"/>
      <w:r w:rsidR="007964F8" w:rsidRPr="0075437E">
        <w:rPr>
          <w:rStyle w:val="TextPIChar"/>
          <w:i w:val="0"/>
        </w:rPr>
        <w:t xml:space="preserve">) which, like glibenclamide, are </w:t>
      </w:r>
      <w:r w:rsidR="00D62E23">
        <w:rPr>
          <w:rStyle w:val="TextPIChar"/>
          <w:i w:val="0"/>
        </w:rPr>
        <w:t>primarily eliminated by CYP2C9.</w:t>
      </w:r>
    </w:p>
    <w:p w:rsidR="009214C1" w:rsidRPr="0075437E" w:rsidRDefault="009214C1" w:rsidP="00100CC7">
      <w:pPr>
        <w:pStyle w:val="PIheading4"/>
        <w:rPr>
          <w:rStyle w:val="TextPIChar"/>
          <w:i w:val="0"/>
        </w:rPr>
      </w:pPr>
      <w:r w:rsidRPr="0075437E">
        <w:t>Ritonavir:</w:t>
      </w:r>
      <w:r w:rsidRPr="0075437E">
        <w:rPr>
          <w:rStyle w:val="TextPIChar"/>
          <w:i w:val="0"/>
        </w:rPr>
        <w:t xml:space="preserve"> A study was conducted to assess the effect of ritonavir, a potent inhibitor of P</w:t>
      </w:r>
      <w:r w:rsidR="00A35804" w:rsidRPr="0075437E">
        <w:rPr>
          <w:rStyle w:val="TextPIChar"/>
          <w:i w:val="0"/>
        </w:rPr>
        <w:noBreakHyphen/>
      </w:r>
      <w:r w:rsidRPr="0075437E">
        <w:rPr>
          <w:rStyle w:val="TextPIChar"/>
          <w:i w:val="0"/>
        </w:rPr>
        <w:t>glycoprotein and CYP3A4, on the pharmacokinetics of linagliptin.</w:t>
      </w:r>
      <w:r w:rsidR="007E668D">
        <w:rPr>
          <w:rStyle w:val="TextPIChar"/>
          <w:i w:val="0"/>
        </w:rPr>
        <w:t xml:space="preserve"> </w:t>
      </w:r>
      <w:r w:rsidRPr="0075437E">
        <w:rPr>
          <w:rStyle w:val="TextPIChar"/>
          <w:i w:val="0"/>
        </w:rPr>
        <w:t>Co-administration of a single 5</w:t>
      </w:r>
      <w:r w:rsidR="00A35804" w:rsidRPr="0075437E">
        <w:rPr>
          <w:rStyle w:val="TextPIChar"/>
          <w:i w:val="0"/>
        </w:rPr>
        <w:t> </w:t>
      </w:r>
      <w:r w:rsidRPr="0075437E">
        <w:rPr>
          <w:rStyle w:val="TextPIChar"/>
          <w:i w:val="0"/>
        </w:rPr>
        <w:t>mg oral dose of linagliptin and multiple 200 mg oral doses of ritonavir increased the AUC and Cmax of linagliptin approximately two</w:t>
      </w:r>
      <w:r w:rsidR="000723B2" w:rsidRPr="0075437E">
        <w:rPr>
          <w:rStyle w:val="TextPIChar"/>
          <w:i w:val="0"/>
        </w:rPr>
        <w:t>-</w:t>
      </w:r>
      <w:r w:rsidRPr="0075437E">
        <w:rPr>
          <w:rStyle w:val="TextPIChar"/>
          <w:i w:val="0"/>
        </w:rPr>
        <w:t>fold and three</w:t>
      </w:r>
      <w:r w:rsidR="000723B2" w:rsidRPr="0075437E">
        <w:rPr>
          <w:rStyle w:val="TextPIChar"/>
          <w:i w:val="0"/>
        </w:rPr>
        <w:t>-</w:t>
      </w:r>
      <w:r w:rsidRPr="0075437E">
        <w:rPr>
          <w:rStyle w:val="TextPIChar"/>
          <w:i w:val="0"/>
        </w:rPr>
        <w:t>fold, respectively.</w:t>
      </w:r>
      <w:r w:rsidR="007E668D">
        <w:rPr>
          <w:rStyle w:val="TextPIChar"/>
          <w:i w:val="0"/>
        </w:rPr>
        <w:t xml:space="preserve"> </w:t>
      </w:r>
      <w:r w:rsidRPr="0075437E">
        <w:rPr>
          <w:rStyle w:val="TextPIChar"/>
          <w:i w:val="0"/>
        </w:rPr>
        <w:t xml:space="preserve">Simulations of steady-state plasma concentrations of linagliptin with and without ritonavir indicated that the increase in exposure will </w:t>
      </w:r>
      <w:r w:rsidR="000723B2" w:rsidRPr="0075437E">
        <w:rPr>
          <w:rStyle w:val="TextPIChar"/>
          <w:i w:val="0"/>
        </w:rPr>
        <w:t>not be</w:t>
      </w:r>
      <w:r w:rsidRPr="0075437E">
        <w:rPr>
          <w:rStyle w:val="TextPIChar"/>
          <w:i w:val="0"/>
        </w:rPr>
        <w:t xml:space="preserve"> associated with an increased accumulation.</w:t>
      </w:r>
      <w:r w:rsidR="007E668D">
        <w:rPr>
          <w:rStyle w:val="TextPIChar"/>
          <w:i w:val="0"/>
        </w:rPr>
        <w:t xml:space="preserve"> </w:t>
      </w:r>
      <w:r w:rsidRPr="0075437E">
        <w:rPr>
          <w:rStyle w:val="TextPIChar"/>
          <w:i w:val="0"/>
        </w:rPr>
        <w:t>These changes in linagliptin pharmacokinetics were not considered to be clinically relevant.</w:t>
      </w:r>
      <w:r w:rsidR="007E668D">
        <w:rPr>
          <w:rStyle w:val="TextPIChar"/>
          <w:i w:val="0"/>
        </w:rPr>
        <w:t xml:space="preserve"> </w:t>
      </w:r>
      <w:r w:rsidRPr="0075437E">
        <w:rPr>
          <w:rStyle w:val="TextPIChar"/>
          <w:i w:val="0"/>
        </w:rPr>
        <w:t>Therefore, clinically relevant interactions would not be exp</w:t>
      </w:r>
      <w:r w:rsidR="000723B2" w:rsidRPr="0075437E">
        <w:rPr>
          <w:rStyle w:val="TextPIChar"/>
          <w:i w:val="0"/>
        </w:rPr>
        <w:t xml:space="preserve">ected with other P-glycoprotein or </w:t>
      </w:r>
      <w:r w:rsidRPr="0075437E">
        <w:rPr>
          <w:rStyle w:val="TextPIChar"/>
          <w:i w:val="0"/>
        </w:rPr>
        <w:t>CYP3A4 inhibitors and do</w:t>
      </w:r>
      <w:r w:rsidR="000723B2" w:rsidRPr="0075437E">
        <w:rPr>
          <w:rStyle w:val="TextPIChar"/>
          <w:i w:val="0"/>
        </w:rPr>
        <w:t>se adjustment is not required.</w:t>
      </w:r>
    </w:p>
    <w:p w:rsidR="009214C1" w:rsidRPr="0075437E" w:rsidRDefault="009214C1" w:rsidP="00100CC7">
      <w:pPr>
        <w:pStyle w:val="PIheading4"/>
        <w:rPr>
          <w:rStyle w:val="TextPIChar"/>
          <w:i w:val="0"/>
        </w:rPr>
      </w:pPr>
      <w:r w:rsidRPr="0075437E">
        <w:t>Rifampicin:</w:t>
      </w:r>
      <w:r w:rsidRPr="0075437E">
        <w:rPr>
          <w:rStyle w:val="TextPIChar"/>
          <w:i w:val="0"/>
        </w:rPr>
        <w:t xml:space="preserve"> A study was conducted to assess the effect of rifampicin, a potent inductor of</w:t>
      </w:r>
      <w:r w:rsidR="00A35804" w:rsidRPr="0075437E">
        <w:rPr>
          <w:rStyle w:val="TextPIChar"/>
          <w:i w:val="0"/>
        </w:rPr>
        <w:t xml:space="preserve"> </w:t>
      </w:r>
      <w:r w:rsidRPr="0075437E">
        <w:rPr>
          <w:rStyle w:val="TextPIChar"/>
          <w:i w:val="0"/>
        </w:rPr>
        <w:t>P</w:t>
      </w:r>
      <w:r w:rsidR="00A35804" w:rsidRPr="0075437E">
        <w:rPr>
          <w:rStyle w:val="TextPIChar"/>
          <w:i w:val="0"/>
        </w:rPr>
        <w:noBreakHyphen/>
      </w:r>
      <w:r w:rsidRPr="0075437E">
        <w:rPr>
          <w:rStyle w:val="TextPIChar"/>
          <w:i w:val="0"/>
        </w:rPr>
        <w:t>glycoprotein and CYP3A4, on the pharmacokinetics of 5 mg linagliptin.</w:t>
      </w:r>
      <w:r w:rsidR="007E668D">
        <w:rPr>
          <w:rStyle w:val="TextPIChar"/>
          <w:i w:val="0"/>
        </w:rPr>
        <w:t xml:space="preserve"> </w:t>
      </w:r>
      <w:r w:rsidRPr="0075437E">
        <w:rPr>
          <w:rStyle w:val="TextPIChar"/>
          <w:i w:val="0"/>
        </w:rPr>
        <w:t>Multiple</w:t>
      </w:r>
      <w:r w:rsidR="00A35804" w:rsidRPr="0075437E">
        <w:rPr>
          <w:rStyle w:val="TextPIChar"/>
          <w:i w:val="0"/>
        </w:rPr>
        <w:t xml:space="preserve"> </w:t>
      </w:r>
      <w:r w:rsidRPr="0075437E">
        <w:rPr>
          <w:rStyle w:val="TextPIChar"/>
          <w:i w:val="0"/>
        </w:rPr>
        <w:t>co</w:t>
      </w:r>
      <w:r w:rsidR="00A35804" w:rsidRPr="0075437E">
        <w:rPr>
          <w:rStyle w:val="TextPIChar"/>
          <w:i w:val="0"/>
        </w:rPr>
        <w:noBreakHyphen/>
      </w:r>
      <w:r w:rsidRPr="0075437E">
        <w:rPr>
          <w:rStyle w:val="TextPIChar"/>
          <w:i w:val="0"/>
        </w:rPr>
        <w:t>administration of linagliptin with rifampicin, resulted in a 39.6% and 43.8% decreased linagliptin steady-state AUC and Cmax and about 30% decreased DPP-4 inhibition at trough.</w:t>
      </w:r>
      <w:r w:rsidR="007E668D">
        <w:rPr>
          <w:rStyle w:val="TextPIChar"/>
          <w:i w:val="0"/>
        </w:rPr>
        <w:t xml:space="preserve"> </w:t>
      </w:r>
      <w:r w:rsidRPr="0075437E">
        <w:rPr>
          <w:rStyle w:val="TextPIChar"/>
          <w:i w:val="0"/>
        </w:rPr>
        <w:t xml:space="preserve">Thus linagliptin in combination with strong </w:t>
      </w:r>
      <w:r w:rsidR="00976ACC" w:rsidRPr="0075437E">
        <w:rPr>
          <w:rStyle w:val="TextPIChar"/>
          <w:i w:val="0"/>
        </w:rPr>
        <w:t xml:space="preserve">P-glycoprotein </w:t>
      </w:r>
      <w:r w:rsidRPr="0075437E">
        <w:rPr>
          <w:rStyle w:val="TextPIChar"/>
          <w:i w:val="0"/>
        </w:rPr>
        <w:t>inducers is expected to be clinically efficacious, although full efficacy might not be achieved.</w:t>
      </w:r>
    </w:p>
    <w:p w:rsidR="009553F1" w:rsidRPr="0075437E" w:rsidRDefault="009553F1" w:rsidP="00100CC7">
      <w:pPr>
        <w:pStyle w:val="PIheading4"/>
        <w:rPr>
          <w:rStyle w:val="TextPIChar"/>
          <w:i w:val="0"/>
        </w:rPr>
      </w:pPr>
      <w:r w:rsidRPr="0075437E">
        <w:t>Digoxin:</w:t>
      </w:r>
      <w:r w:rsidRPr="0075437E">
        <w:rPr>
          <w:rStyle w:val="TextPIChar"/>
          <w:i w:val="0"/>
        </w:rPr>
        <w:t xml:space="preserve"> Co-administration of multiple of 5 mg linagliptin with multiple doses of 0.25 mg digoxin had no effect on the pharmacokinetics of digoxin in healthy volunteers.</w:t>
      </w:r>
      <w:r w:rsidR="007E668D">
        <w:rPr>
          <w:rStyle w:val="TextPIChar"/>
          <w:i w:val="0"/>
        </w:rPr>
        <w:t xml:space="preserve"> </w:t>
      </w:r>
      <w:r w:rsidRPr="0075437E">
        <w:rPr>
          <w:rStyle w:val="TextPIChar"/>
          <w:i w:val="0"/>
        </w:rPr>
        <w:t>Therefore, linagliptin is not an inhibitor of P-glycoprote</w:t>
      </w:r>
      <w:r w:rsidR="00976ACC" w:rsidRPr="0075437E">
        <w:rPr>
          <w:rStyle w:val="TextPIChar"/>
          <w:i w:val="0"/>
        </w:rPr>
        <w:t xml:space="preserve">in-mediated transport </w:t>
      </w:r>
      <w:r w:rsidR="00976ACC" w:rsidRPr="0075437E">
        <w:rPr>
          <w:rStyle w:val="TextPIChar"/>
        </w:rPr>
        <w:t>in vivo</w:t>
      </w:r>
      <w:r w:rsidR="00976ACC" w:rsidRPr="0075437E">
        <w:rPr>
          <w:rStyle w:val="TextPIChar"/>
          <w:i w:val="0"/>
        </w:rPr>
        <w:t>.</w:t>
      </w:r>
    </w:p>
    <w:p w:rsidR="009553F1" w:rsidRPr="0075437E" w:rsidRDefault="009553F1" w:rsidP="00100CC7">
      <w:pPr>
        <w:pStyle w:val="PIheading4"/>
        <w:rPr>
          <w:rStyle w:val="TextPIChar"/>
          <w:i w:val="0"/>
        </w:rPr>
      </w:pPr>
      <w:r w:rsidRPr="0075437E">
        <w:t>Warfarin:</w:t>
      </w:r>
      <w:r w:rsidRPr="0075437E">
        <w:rPr>
          <w:rStyle w:val="TextPIChar"/>
          <w:i w:val="0"/>
        </w:rPr>
        <w:t xml:space="preserve"> Multiple daily doses of 5 mg linagliptin did not alter the pharmacokinetics of S(-) or R(+) warfarin, a CYP2C9 substrate, showing that linagliptin </w:t>
      </w:r>
      <w:r w:rsidR="00000D1C" w:rsidRPr="0075437E">
        <w:rPr>
          <w:rStyle w:val="TextPIChar"/>
          <w:i w:val="0"/>
        </w:rPr>
        <w:t>is not an inhibitor of CYP2C9.</w:t>
      </w:r>
    </w:p>
    <w:p w:rsidR="009553F1" w:rsidRPr="0075437E" w:rsidRDefault="009553F1" w:rsidP="00100CC7">
      <w:pPr>
        <w:pStyle w:val="PIheading4"/>
        <w:rPr>
          <w:rStyle w:val="TextPIChar"/>
          <w:i w:val="0"/>
        </w:rPr>
      </w:pPr>
      <w:r w:rsidRPr="0075437E">
        <w:t>Simvastatin:</w:t>
      </w:r>
      <w:r w:rsidRPr="0075437E">
        <w:rPr>
          <w:rStyle w:val="TextPIChar"/>
          <w:i w:val="0"/>
        </w:rPr>
        <w:t xml:space="preserve"> Multiple daily doses of </w:t>
      </w:r>
      <w:r w:rsidR="00646BA2" w:rsidRPr="0075437E">
        <w:rPr>
          <w:rStyle w:val="TextPIChar"/>
          <w:i w:val="0"/>
        </w:rPr>
        <w:t xml:space="preserve">10 mg </w:t>
      </w:r>
      <w:r w:rsidRPr="0075437E">
        <w:rPr>
          <w:rStyle w:val="TextPIChar"/>
          <w:i w:val="0"/>
        </w:rPr>
        <w:t>linagliptin (supratherapeutic) had a minimal effect on the steady state pharmacokinetics of simvastatin, a sensitive CYP3A4 substrate, in healthy volunteers.</w:t>
      </w:r>
      <w:r w:rsidR="007E668D">
        <w:rPr>
          <w:rStyle w:val="TextPIChar"/>
          <w:i w:val="0"/>
        </w:rPr>
        <w:t xml:space="preserve"> </w:t>
      </w:r>
      <w:r w:rsidRPr="0075437E">
        <w:rPr>
          <w:rStyle w:val="TextPIChar"/>
          <w:i w:val="0"/>
        </w:rPr>
        <w:t>Following administration of 10 mg linagliptin concomitantly with 40 mg of simvastatin daily for 6</w:t>
      </w:r>
      <w:r w:rsidR="00A35804" w:rsidRPr="0075437E">
        <w:rPr>
          <w:rStyle w:val="TextPIChar"/>
          <w:i w:val="0"/>
        </w:rPr>
        <w:t> </w:t>
      </w:r>
      <w:r w:rsidRPr="0075437E">
        <w:rPr>
          <w:rStyle w:val="TextPIChar"/>
          <w:i w:val="0"/>
        </w:rPr>
        <w:t>days, the plasma AUC of simvastatin was increased by 34%, and the plasma Cmax by 10%.</w:t>
      </w:r>
      <w:r w:rsidR="007E668D">
        <w:rPr>
          <w:rStyle w:val="TextPIChar"/>
          <w:i w:val="0"/>
        </w:rPr>
        <w:t xml:space="preserve"> </w:t>
      </w:r>
      <w:r w:rsidRPr="0075437E">
        <w:rPr>
          <w:rStyle w:val="TextPIChar"/>
          <w:i w:val="0"/>
        </w:rPr>
        <w:t xml:space="preserve">Therefore, linagliptin is considered to be a weak inhibitor of CYP3A4-mediated metabolism, and dosage adjustment of concomitantly administered substances </w:t>
      </w:r>
      <w:proofErr w:type="spellStart"/>
      <w:r w:rsidRPr="0075437E">
        <w:rPr>
          <w:rStyle w:val="TextPIChar"/>
          <w:i w:val="0"/>
        </w:rPr>
        <w:t>metabolised</w:t>
      </w:r>
      <w:proofErr w:type="spellEnd"/>
      <w:r w:rsidRPr="0075437E">
        <w:rPr>
          <w:rStyle w:val="TextPIChar"/>
          <w:i w:val="0"/>
        </w:rPr>
        <w:t xml:space="preserve"> by CYP3A4</w:t>
      </w:r>
      <w:r w:rsidR="00000D1C" w:rsidRPr="0075437E">
        <w:rPr>
          <w:rStyle w:val="TextPIChar"/>
          <w:i w:val="0"/>
        </w:rPr>
        <w:t xml:space="preserve"> is considered unnecessary.</w:t>
      </w:r>
    </w:p>
    <w:p w:rsidR="009553F1" w:rsidRPr="0075437E" w:rsidRDefault="009553F1" w:rsidP="00182368">
      <w:pPr>
        <w:pStyle w:val="PIheading4"/>
        <w:rPr>
          <w:rStyle w:val="TextPIChar"/>
          <w:i w:val="0"/>
        </w:rPr>
      </w:pPr>
      <w:r w:rsidRPr="0075437E">
        <w:t>Oral Contraceptives:</w:t>
      </w:r>
      <w:r w:rsidRPr="0075437E">
        <w:rPr>
          <w:rStyle w:val="TextPIChar"/>
          <w:i w:val="0"/>
        </w:rPr>
        <w:t xml:space="preserve"> Co-administration with 5 mg linagliptin did not alter the steady-state pharmacokinetics of </w:t>
      </w:r>
      <w:proofErr w:type="spellStart"/>
      <w:r w:rsidRPr="0075437E">
        <w:rPr>
          <w:rStyle w:val="TextPIChar"/>
          <w:i w:val="0"/>
        </w:rPr>
        <w:t>levon</w:t>
      </w:r>
      <w:r w:rsidR="00C055FF" w:rsidRPr="0075437E">
        <w:rPr>
          <w:rStyle w:val="TextPIChar"/>
          <w:i w:val="0"/>
        </w:rPr>
        <w:t>orgestrel</w:t>
      </w:r>
      <w:proofErr w:type="spellEnd"/>
      <w:r w:rsidR="00C055FF" w:rsidRPr="0075437E">
        <w:rPr>
          <w:rStyle w:val="TextPIChar"/>
          <w:i w:val="0"/>
        </w:rPr>
        <w:t xml:space="preserve"> or </w:t>
      </w:r>
      <w:proofErr w:type="spellStart"/>
      <w:r w:rsidR="00C055FF" w:rsidRPr="0075437E">
        <w:rPr>
          <w:rStyle w:val="TextPIChar"/>
          <w:i w:val="0"/>
        </w:rPr>
        <w:t>ethinylestradiol</w:t>
      </w:r>
      <w:proofErr w:type="spellEnd"/>
      <w:r w:rsidR="00C055FF" w:rsidRPr="0075437E">
        <w:rPr>
          <w:rStyle w:val="TextPIChar"/>
          <w:i w:val="0"/>
        </w:rPr>
        <w:t>.</w:t>
      </w:r>
    </w:p>
    <w:p w:rsidR="00014579" w:rsidRPr="0075437E" w:rsidRDefault="00014579" w:rsidP="00097EE3">
      <w:pPr>
        <w:pStyle w:val="PIHeading1"/>
        <w:keepLines/>
      </w:pPr>
      <w:r w:rsidRPr="0075437E">
        <w:t xml:space="preserve">ADVERSE </w:t>
      </w:r>
      <w:r w:rsidR="00F24B22" w:rsidRPr="0075437E">
        <w:t>EFFECTS</w:t>
      </w:r>
    </w:p>
    <w:p w:rsidR="00014579" w:rsidRPr="0075437E" w:rsidRDefault="00F24B22" w:rsidP="00097EE3">
      <w:pPr>
        <w:pStyle w:val="PIheading2"/>
        <w:keepLines/>
      </w:pPr>
      <w:bookmarkStart w:id="2" w:name="_Toc425574037"/>
      <w:r w:rsidRPr="0075437E">
        <w:t xml:space="preserve">Adverse </w:t>
      </w:r>
      <w:r w:rsidR="00906F6A" w:rsidRPr="0075437E">
        <w:t xml:space="preserve">Events </w:t>
      </w:r>
      <w:r w:rsidRPr="0075437E">
        <w:t xml:space="preserve">in </w:t>
      </w:r>
      <w:r w:rsidR="00FF180F" w:rsidRPr="0075437E">
        <w:t>Clinical Trials</w:t>
      </w:r>
      <w:r w:rsidR="00014579" w:rsidRPr="0075437E">
        <w:t xml:space="preserve"> </w:t>
      </w:r>
    </w:p>
    <w:p w:rsidR="00295626" w:rsidRPr="003B08A6" w:rsidRDefault="006C37A1" w:rsidP="00100CC7">
      <w:pPr>
        <w:pStyle w:val="TextPI"/>
      </w:pPr>
      <w:r w:rsidRPr="003B08A6">
        <w:t xml:space="preserve">The safety of </w:t>
      </w:r>
      <w:r w:rsidR="00F90617" w:rsidRPr="003B08A6">
        <w:t>TRAJENTA</w:t>
      </w:r>
      <w:r w:rsidR="00295626" w:rsidRPr="003B08A6">
        <w:t xml:space="preserve"> has been evaluated overall in </w:t>
      </w:r>
      <w:r w:rsidR="00301ACB">
        <w:t>6,602</w:t>
      </w:r>
      <w:r w:rsidR="00295626" w:rsidRPr="003B08A6">
        <w:t xml:space="preserve"> patients with </w:t>
      </w:r>
      <w:r w:rsidRPr="003B08A6">
        <w:t>type 2 diabet</w:t>
      </w:r>
      <w:r w:rsidR="00B348D0" w:rsidRPr="003B08A6">
        <w:t>e</w:t>
      </w:r>
      <w:r w:rsidRPr="003B08A6">
        <w:t>s</w:t>
      </w:r>
      <w:r w:rsidR="00295626" w:rsidRPr="003B08A6">
        <w:t xml:space="preserve"> </w:t>
      </w:r>
      <w:r w:rsidR="00904607" w:rsidRPr="003B08A6">
        <w:t xml:space="preserve">mellitus </w:t>
      </w:r>
      <w:r w:rsidR="00295626" w:rsidRPr="003B08A6">
        <w:t xml:space="preserve">of which </w:t>
      </w:r>
      <w:r w:rsidR="00301ACB">
        <w:t>5,955</w:t>
      </w:r>
      <w:r w:rsidR="00295626" w:rsidRPr="003B08A6">
        <w:t xml:space="preserve"> patients re</w:t>
      </w:r>
      <w:r w:rsidR="00D62E23">
        <w:t>ceived the target dose of 5 mg.</w:t>
      </w:r>
    </w:p>
    <w:p w:rsidR="00295626" w:rsidRPr="0075437E" w:rsidRDefault="00904607" w:rsidP="00100CC7">
      <w:pPr>
        <w:pStyle w:val="TextPI"/>
      </w:pPr>
      <w:r w:rsidRPr="003B08A6">
        <w:t>In placebo-</w:t>
      </w:r>
      <w:r w:rsidR="00295626" w:rsidRPr="003B08A6">
        <w:t xml:space="preserve">controlled studies, </w:t>
      </w:r>
      <w:r w:rsidR="00301ACB">
        <w:t>6,666</w:t>
      </w:r>
      <w:r w:rsidR="00295626" w:rsidRPr="003B08A6">
        <w:t xml:space="preserve"> patients were included and </w:t>
      </w:r>
      <w:r w:rsidR="00301ACB">
        <w:t>4,302</w:t>
      </w:r>
      <w:r w:rsidR="00295626" w:rsidRPr="003B08A6">
        <w:t xml:space="preserve"> patients were treated with the therapeutic dose of 5 mg linagliptin.</w:t>
      </w:r>
      <w:r w:rsidR="007E668D">
        <w:t xml:space="preserve"> </w:t>
      </w:r>
      <w:r w:rsidR="00301ACB">
        <w:t>3,964</w:t>
      </w:r>
      <w:r w:rsidR="00295626" w:rsidRPr="003B08A6">
        <w:t xml:space="preserve"> patients were exposed to linagliptin 5 mg once daily for </w:t>
      </w:r>
      <w:r w:rsidR="00B348D0" w:rsidRPr="003B08A6">
        <w:rPr>
          <w:rFonts w:ascii="Times New Roman" w:hAnsi="Times New Roman"/>
        </w:rPr>
        <w:t>≥</w:t>
      </w:r>
      <w:r w:rsidR="00295626" w:rsidRPr="003B08A6">
        <w:t xml:space="preserve"> 12 weeks.</w:t>
      </w:r>
    </w:p>
    <w:p w:rsidR="00295626" w:rsidRPr="0075437E" w:rsidRDefault="00295626" w:rsidP="00100CC7">
      <w:pPr>
        <w:pStyle w:val="TextPI"/>
      </w:pPr>
      <w:r w:rsidRPr="00EA4980">
        <w:t xml:space="preserve">In the pooled analysis of the placebo-controlled trials, the overall incidence of </w:t>
      </w:r>
      <w:r w:rsidR="00B348D0" w:rsidRPr="00EA4980">
        <w:t>adverse events</w:t>
      </w:r>
      <w:r w:rsidRPr="00EA4980">
        <w:t xml:space="preserve"> in patients treated with placebo was similar to linagliptin 5 mg (</w:t>
      </w:r>
      <w:r w:rsidR="00301ACB">
        <w:t>63.1</w:t>
      </w:r>
      <w:r w:rsidRPr="00EA4980">
        <w:t xml:space="preserve">% versus </w:t>
      </w:r>
      <w:r w:rsidR="00301ACB">
        <w:t>60.3</w:t>
      </w:r>
      <w:r w:rsidRPr="00EA4980">
        <w:t>%).</w:t>
      </w:r>
      <w:r w:rsidR="007E668D">
        <w:t xml:space="preserve"> </w:t>
      </w:r>
      <w:r w:rsidRPr="00EA4980">
        <w:t xml:space="preserve">Discontinuation of therapy due to </w:t>
      </w:r>
      <w:r w:rsidR="00B348D0" w:rsidRPr="00EA4980">
        <w:t>adverse event</w:t>
      </w:r>
      <w:r w:rsidRPr="00EA4980">
        <w:t>s was higher in patients who received placebo as co</w:t>
      </w:r>
      <w:r w:rsidR="00B348D0" w:rsidRPr="00EA4980">
        <w:t>mpared to linagliptin 5 mg (</w:t>
      </w:r>
      <w:r w:rsidR="00301ACB">
        <w:t>4.4</w:t>
      </w:r>
      <w:r w:rsidRPr="00EA4980">
        <w:t xml:space="preserve">% versus </w:t>
      </w:r>
      <w:r w:rsidR="00301ACB">
        <w:t>3.3</w:t>
      </w:r>
      <w:r w:rsidRPr="00EA4980">
        <w:t>%).</w:t>
      </w:r>
    </w:p>
    <w:p w:rsidR="00EB56B4" w:rsidRPr="0075437E" w:rsidRDefault="00295626" w:rsidP="00182368">
      <w:pPr>
        <w:pStyle w:val="TextPI"/>
      </w:pPr>
      <w:r w:rsidRPr="0075437E">
        <w:t xml:space="preserve">Due to the impact of the background therapy on adverse events (e.g. on </w:t>
      </w:r>
      <w:proofErr w:type="spellStart"/>
      <w:r w:rsidRPr="0075437E">
        <w:t>hypoglycaemias</w:t>
      </w:r>
      <w:proofErr w:type="spellEnd"/>
      <w:r w:rsidRPr="0075437E">
        <w:t xml:space="preserve">), adverse events were analysed and displayed based on the respective treatment regimens </w:t>
      </w:r>
      <w:r w:rsidRPr="00811B4E">
        <w:t>(monotherapy,</w:t>
      </w:r>
      <w:r w:rsidRPr="0075437E">
        <w:t xml:space="preserve"> add on to metformin, add on to </w:t>
      </w:r>
      <w:r w:rsidR="00540273">
        <w:t>sulfonylurea</w:t>
      </w:r>
      <w:r w:rsidRPr="0075437E">
        <w:t>, and add on to me</w:t>
      </w:r>
      <w:r w:rsidR="005915DD" w:rsidRPr="0075437E">
        <w:t>t</w:t>
      </w:r>
      <w:r w:rsidRPr="0075437E">
        <w:t xml:space="preserve">formin plus </w:t>
      </w:r>
      <w:r w:rsidR="00540273">
        <w:t>sulfonylurea</w:t>
      </w:r>
      <w:r w:rsidR="00301ACB">
        <w:t>, and add on to insulin</w:t>
      </w:r>
      <w:r w:rsidR="00811B4E">
        <w:t>)</w:t>
      </w:r>
      <w:r w:rsidR="00D62E23">
        <w:t>.</w:t>
      </w:r>
    </w:p>
    <w:p w:rsidR="00A368C1" w:rsidRPr="0075437E" w:rsidRDefault="00EA4980" w:rsidP="00386731">
      <w:pPr>
        <w:pStyle w:val="TextPI"/>
        <w:spacing w:before="0"/>
      </w:pPr>
      <w:r w:rsidRPr="00CA0DE5">
        <w:t xml:space="preserve">TRAJENTA 5 mg once daily was studied as monotherapy in two placebo-controlled trials of 18- and 24 weeks duration. </w:t>
      </w:r>
      <w:r w:rsidR="00817CE4">
        <w:t>Six</w:t>
      </w:r>
      <w:r w:rsidR="00817CE4" w:rsidRPr="00CA0DE5">
        <w:t xml:space="preserve"> </w:t>
      </w:r>
      <w:r w:rsidR="00614735" w:rsidRPr="00CA0DE5">
        <w:t>placebo-</w:t>
      </w:r>
      <w:r w:rsidR="007378EF" w:rsidRPr="00CA0DE5">
        <w:t xml:space="preserve">controlled studies investigated </w:t>
      </w:r>
      <w:r w:rsidR="00614735" w:rsidRPr="00CA0DE5">
        <w:t xml:space="preserve">linagliptin in </w:t>
      </w:r>
      <w:r w:rsidR="007378EF" w:rsidRPr="00CA0DE5">
        <w:t xml:space="preserve">combination with </w:t>
      </w:r>
      <w:r w:rsidR="00614735" w:rsidRPr="00CA0DE5">
        <w:t>other anti-glyc</w:t>
      </w:r>
      <w:r w:rsidR="007534BC" w:rsidRPr="00CA0DE5">
        <w:t>a</w:t>
      </w:r>
      <w:r w:rsidR="00614735" w:rsidRPr="00CA0DE5">
        <w:t>emic agents</w:t>
      </w:r>
      <w:r w:rsidR="007378EF" w:rsidRPr="00CA0DE5">
        <w:t>:</w:t>
      </w:r>
      <w:r w:rsidR="007E668D">
        <w:t xml:space="preserve"> </w:t>
      </w:r>
      <w:r w:rsidR="007378EF" w:rsidRPr="00CA0DE5">
        <w:t>two with metformin (12- and 24-weeks treatment duratio</w:t>
      </w:r>
      <w:r w:rsidR="00614735" w:rsidRPr="00CA0DE5">
        <w:t>n); one with a sulfonylurea (18-</w:t>
      </w:r>
      <w:r w:rsidR="007378EF" w:rsidRPr="00CA0DE5">
        <w:t>weeks treatment duration);</w:t>
      </w:r>
      <w:r w:rsidR="00EE2B9F" w:rsidRPr="00CA0DE5">
        <w:t xml:space="preserve"> </w:t>
      </w:r>
      <w:r w:rsidR="007378EF" w:rsidRPr="00CA0DE5">
        <w:t xml:space="preserve">one with metformin and sulfonylurea (24-week </w:t>
      </w:r>
      <w:r w:rsidR="007378EF" w:rsidRPr="00BF7C5E">
        <w:t>treatment duration);</w:t>
      </w:r>
      <w:r w:rsidR="00E81300" w:rsidRPr="00BF7C5E">
        <w:t xml:space="preserve"> </w:t>
      </w:r>
      <w:r w:rsidR="00817CE4">
        <w:t>and one with insulin (primary endpoint at 24 weeks)</w:t>
      </w:r>
      <w:r w:rsidR="007378EF" w:rsidRPr="00BF7C5E">
        <w:t>.</w:t>
      </w:r>
      <w:r w:rsidR="007E668D">
        <w:t xml:space="preserve"> </w:t>
      </w:r>
      <w:r w:rsidR="007378EF" w:rsidRPr="00BF7C5E">
        <w:t>In placebo-controlled</w:t>
      </w:r>
      <w:r w:rsidR="007378EF" w:rsidRPr="00CA0DE5">
        <w:t xml:space="preserve"> clinical studies, adverse reactions that occurred in </w:t>
      </w:r>
      <w:r w:rsidR="007378EF" w:rsidRPr="00CA0DE5">
        <w:sym w:font="Symbol" w:char="F0B3"/>
      </w:r>
      <w:r w:rsidR="004E0F4D" w:rsidRPr="00CA0DE5">
        <w:t xml:space="preserve"> </w:t>
      </w:r>
      <w:r w:rsidR="007378EF" w:rsidRPr="00CA0DE5">
        <w:t>5% of patients receiving TRAJENTA (n =</w:t>
      </w:r>
      <w:r w:rsidR="00CA0DE5">
        <w:t xml:space="preserve"> </w:t>
      </w:r>
      <w:r w:rsidR="00CA0DE5" w:rsidRPr="00CA0DE5">
        <w:t>2566</w:t>
      </w:r>
      <w:r w:rsidR="007378EF" w:rsidRPr="00CA0DE5">
        <w:t>) and more commonly than in patients given placebo (n =</w:t>
      </w:r>
      <w:r w:rsidR="00CA0DE5">
        <w:t xml:space="preserve"> </w:t>
      </w:r>
      <w:r w:rsidR="00CA0DE5" w:rsidRPr="00CA0DE5">
        <w:t>1183</w:t>
      </w:r>
      <w:r w:rsidR="007378EF" w:rsidRPr="00CA0DE5">
        <w:t xml:space="preserve">) </w:t>
      </w:r>
      <w:r w:rsidR="00EE2B9F" w:rsidRPr="00CA0DE5">
        <w:t xml:space="preserve">included </w:t>
      </w:r>
      <w:proofErr w:type="spellStart"/>
      <w:r w:rsidR="007378EF" w:rsidRPr="00CA0DE5">
        <w:t>nasopharyngitis</w:t>
      </w:r>
      <w:proofErr w:type="spellEnd"/>
      <w:r w:rsidR="007378EF" w:rsidRPr="00CA0DE5">
        <w:t xml:space="preserve"> (5.8% </w:t>
      </w:r>
      <w:proofErr w:type="spellStart"/>
      <w:r w:rsidR="007378EF" w:rsidRPr="00CA0DE5">
        <w:t>vs</w:t>
      </w:r>
      <w:proofErr w:type="spellEnd"/>
      <w:r w:rsidR="007378EF" w:rsidRPr="00CA0DE5">
        <w:t xml:space="preserve"> 5.5%).</w:t>
      </w:r>
    </w:p>
    <w:p w:rsidR="007378EF" w:rsidRPr="0075437E" w:rsidRDefault="007378EF" w:rsidP="00100CC7">
      <w:pPr>
        <w:pStyle w:val="TextPI"/>
      </w:pPr>
      <w:r w:rsidRPr="0075437E">
        <w:t xml:space="preserve">Adverse reactions reported in </w:t>
      </w:r>
      <w:r w:rsidRPr="007F527A">
        <w:t>≥</w:t>
      </w:r>
      <w:r w:rsidR="00A368C1">
        <w:t xml:space="preserve"> </w:t>
      </w:r>
      <w:r w:rsidRPr="007F527A">
        <w:t xml:space="preserve">2% of patients treated with </w:t>
      </w:r>
      <w:r w:rsidRPr="0075437E">
        <w:t xml:space="preserve">TRAJENTA 5 mg daily </w:t>
      </w:r>
      <w:r w:rsidR="005F0BEF" w:rsidRPr="007F527A">
        <w:t>as monotherapy</w:t>
      </w:r>
      <w:r w:rsidR="005F0BEF" w:rsidRPr="0075437E">
        <w:t xml:space="preserve"> </w:t>
      </w:r>
      <w:r w:rsidRPr="0075437E">
        <w:t xml:space="preserve">or in combination with </w:t>
      </w:r>
      <w:r w:rsidR="00870E2A">
        <w:t>sulfonylurea</w:t>
      </w:r>
      <w:r w:rsidR="005F0BEF">
        <w:t xml:space="preserve"> </w:t>
      </w:r>
      <w:r w:rsidRPr="0075437E">
        <w:t>or metformin and at least 2-fold more commonly than in patients treated with placebo are shown in Table 1.</w:t>
      </w:r>
    </w:p>
    <w:p w:rsidR="00B348D0" w:rsidRDefault="00B348D0" w:rsidP="00BF7C5E">
      <w:pPr>
        <w:pStyle w:val="TextPItable"/>
        <w:keepNext/>
        <w:keepLines/>
        <w:rPr>
          <w:b/>
        </w:rPr>
      </w:pPr>
      <w:r w:rsidRPr="0075437E">
        <w:rPr>
          <w:b/>
        </w:rPr>
        <w:t xml:space="preserve">Table 1 </w:t>
      </w:r>
      <w:r w:rsidRPr="0075437E">
        <w:rPr>
          <w:b/>
        </w:rPr>
        <w:tab/>
        <w:t xml:space="preserve">Adverse </w:t>
      </w:r>
      <w:r w:rsidR="00505DC9" w:rsidRPr="0075437E">
        <w:rPr>
          <w:b/>
        </w:rPr>
        <w:t>R</w:t>
      </w:r>
      <w:r w:rsidRPr="0075437E">
        <w:rPr>
          <w:b/>
        </w:rPr>
        <w:t xml:space="preserve">eactions </w:t>
      </w:r>
      <w:r w:rsidR="00505DC9" w:rsidRPr="0075437E">
        <w:rPr>
          <w:b/>
        </w:rPr>
        <w:t>R</w:t>
      </w:r>
      <w:r w:rsidRPr="0075437E">
        <w:rPr>
          <w:b/>
        </w:rPr>
        <w:t xml:space="preserve">eported in </w:t>
      </w:r>
      <w:r w:rsidR="00505DC9" w:rsidRPr="0075437E">
        <w:rPr>
          <w:rFonts w:ascii="Times New Roman" w:hAnsi="Times New Roman"/>
          <w:b/>
        </w:rPr>
        <w:t>≥</w:t>
      </w:r>
      <w:r w:rsidR="00505DC9" w:rsidRPr="0075437E">
        <w:rPr>
          <w:b/>
        </w:rPr>
        <w:t xml:space="preserve"> 2% of P</w:t>
      </w:r>
      <w:r w:rsidRPr="0075437E">
        <w:rPr>
          <w:b/>
        </w:rPr>
        <w:t xml:space="preserve">atients </w:t>
      </w:r>
      <w:r w:rsidR="00505DC9" w:rsidRPr="0075437E">
        <w:rPr>
          <w:b/>
        </w:rPr>
        <w:t>Treated with</w:t>
      </w:r>
      <w:r w:rsidRPr="0075437E">
        <w:rPr>
          <w:b/>
        </w:rPr>
        <w:t xml:space="preserve"> </w:t>
      </w:r>
      <w:r w:rsidR="00F90617" w:rsidRPr="0075437E">
        <w:rPr>
          <w:b/>
        </w:rPr>
        <w:t>TRAJENTA</w:t>
      </w:r>
      <w:r w:rsidR="00A93C32" w:rsidRPr="0075437E">
        <w:rPr>
          <w:b/>
        </w:rPr>
        <w:t xml:space="preserve"> </w:t>
      </w:r>
      <w:r w:rsidR="00505DC9" w:rsidRPr="0075437E">
        <w:rPr>
          <w:b/>
        </w:rPr>
        <w:t xml:space="preserve">and </w:t>
      </w:r>
      <w:r w:rsidR="00BF7C5E">
        <w:rPr>
          <w:b/>
        </w:rPr>
        <w:tab/>
      </w:r>
      <w:r w:rsidR="00505DC9" w:rsidRPr="0075437E">
        <w:rPr>
          <w:b/>
        </w:rPr>
        <w:t xml:space="preserve">at Least 2-Fold Greater than with Placebo in Placebo-Controlled Clinical </w:t>
      </w:r>
      <w:r w:rsidR="00BF7C5E">
        <w:rPr>
          <w:b/>
        </w:rPr>
        <w:tab/>
      </w:r>
      <w:r w:rsidR="00505DC9" w:rsidRPr="0075437E">
        <w:rPr>
          <w:b/>
        </w:rPr>
        <w:t xml:space="preserve">Studies of TRAJENTA </w:t>
      </w:r>
      <w:r w:rsidR="00711827" w:rsidRPr="00711827">
        <w:rPr>
          <w:b/>
        </w:rPr>
        <w:t xml:space="preserve">Monotherapy or </w:t>
      </w:r>
      <w:r w:rsidR="00505DC9" w:rsidRPr="00711827">
        <w:rPr>
          <w:b/>
        </w:rPr>
        <w:t>Combination Therapy</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13"/>
        <w:gridCol w:w="12"/>
        <w:gridCol w:w="708"/>
        <w:gridCol w:w="709"/>
        <w:gridCol w:w="27"/>
        <w:gridCol w:w="826"/>
        <w:gridCol w:w="840"/>
        <w:gridCol w:w="10"/>
        <w:gridCol w:w="851"/>
        <w:gridCol w:w="850"/>
        <w:gridCol w:w="752"/>
        <w:gridCol w:w="752"/>
        <w:gridCol w:w="851"/>
        <w:gridCol w:w="905"/>
      </w:tblGrid>
      <w:tr w:rsidR="0091439E" w:rsidRPr="004722B1" w:rsidTr="008C001B">
        <w:trPr>
          <w:trHeight w:val="635"/>
        </w:trPr>
        <w:tc>
          <w:tcPr>
            <w:tcW w:w="2125" w:type="dxa"/>
            <w:gridSpan w:val="2"/>
          </w:tcPr>
          <w:p w:rsidR="00AD72B2" w:rsidRPr="00CC4535" w:rsidRDefault="00AD72B2" w:rsidP="00BF7C5E">
            <w:pPr>
              <w:pStyle w:val="TextPI"/>
              <w:keepNext/>
              <w:keepLines/>
              <w:jc w:val="center"/>
              <w:rPr>
                <w:rFonts w:ascii="Arial Narrow" w:hAnsi="Arial Narrow"/>
              </w:rPr>
            </w:pPr>
          </w:p>
        </w:tc>
        <w:tc>
          <w:tcPr>
            <w:tcW w:w="1417" w:type="dxa"/>
            <w:gridSpan w:val="2"/>
            <w:vAlign w:val="center"/>
          </w:tcPr>
          <w:p w:rsidR="00AD72B2" w:rsidRPr="00CC4535" w:rsidRDefault="00AD72B2" w:rsidP="008C001B">
            <w:pPr>
              <w:pStyle w:val="TextPI"/>
              <w:keepNext/>
              <w:keepLines/>
              <w:jc w:val="center"/>
              <w:rPr>
                <w:rFonts w:ascii="Arial Narrow" w:hAnsi="Arial Narrow"/>
                <w:bCs/>
                <w:lang w:val="pt-BR"/>
              </w:rPr>
            </w:pPr>
            <w:r w:rsidRPr="00CC4535">
              <w:rPr>
                <w:rFonts w:ascii="Arial Narrow" w:hAnsi="Arial Narrow"/>
                <w:bCs/>
                <w:lang w:val="pt-BR"/>
              </w:rPr>
              <w:t xml:space="preserve">Linagliptin + Metformin </w:t>
            </w:r>
            <w:r w:rsidRPr="00CC4535">
              <w:rPr>
                <w:rFonts w:ascii="Arial Narrow" w:hAnsi="Arial Narrow"/>
                <w:bCs/>
                <w:vertAlign w:val="superscript"/>
                <w:lang w:val="pt-BR"/>
              </w:rPr>
              <w:t>#</w:t>
            </w:r>
            <w:r w:rsidRPr="00CC4535">
              <w:rPr>
                <w:rFonts w:ascii="Arial Narrow" w:hAnsi="Arial Narrow"/>
                <w:bCs/>
                <w:lang w:val="pt-BR"/>
              </w:rPr>
              <w:br/>
              <w:t>n (%)</w:t>
            </w:r>
          </w:p>
        </w:tc>
        <w:tc>
          <w:tcPr>
            <w:tcW w:w="1703" w:type="dxa"/>
            <w:gridSpan w:val="4"/>
            <w:vAlign w:val="center"/>
          </w:tcPr>
          <w:p w:rsidR="00AD72B2" w:rsidRPr="00CC4535" w:rsidRDefault="00AD72B2" w:rsidP="008C001B">
            <w:pPr>
              <w:pStyle w:val="TextPI"/>
              <w:keepNext/>
              <w:keepLines/>
              <w:jc w:val="center"/>
              <w:rPr>
                <w:rFonts w:ascii="Arial Narrow" w:hAnsi="Arial Narrow"/>
                <w:bCs/>
                <w:lang w:val="pt-BR"/>
              </w:rPr>
            </w:pPr>
            <w:r w:rsidRPr="00CC4535">
              <w:rPr>
                <w:rFonts w:ascii="Arial Narrow" w:hAnsi="Arial Narrow"/>
                <w:bCs/>
                <w:lang w:val="pt-BR"/>
              </w:rPr>
              <w:t>Linagliptin + Sulfonylurea</w:t>
            </w:r>
            <w:r w:rsidRPr="00CC4535">
              <w:rPr>
                <w:rFonts w:ascii="Arial Narrow" w:hAnsi="Arial Narrow"/>
                <w:bCs/>
                <w:lang w:val="pt-BR"/>
              </w:rPr>
              <w:br/>
            </w:r>
            <w:r w:rsidRPr="00CC4535">
              <w:rPr>
                <w:rFonts w:ascii="Arial Narrow" w:hAnsi="Arial Narrow"/>
                <w:bCs/>
              </w:rPr>
              <w:t>n (%)</w:t>
            </w:r>
          </w:p>
        </w:tc>
        <w:tc>
          <w:tcPr>
            <w:tcW w:w="1701" w:type="dxa"/>
            <w:gridSpan w:val="2"/>
            <w:vAlign w:val="center"/>
          </w:tcPr>
          <w:p w:rsidR="00AD72B2" w:rsidRPr="00CC4535" w:rsidRDefault="00AD72B2" w:rsidP="008C001B">
            <w:pPr>
              <w:pStyle w:val="TextPI"/>
              <w:keepNext/>
              <w:keepLines/>
              <w:jc w:val="center"/>
              <w:rPr>
                <w:rFonts w:ascii="Arial Narrow" w:hAnsi="Arial Narrow"/>
                <w:bCs/>
              </w:rPr>
            </w:pPr>
            <w:r w:rsidRPr="00CC4535">
              <w:rPr>
                <w:rFonts w:ascii="Arial Narrow" w:hAnsi="Arial Narrow"/>
                <w:bCs/>
              </w:rPr>
              <w:t>Linagliptin</w:t>
            </w:r>
            <w:r>
              <w:rPr>
                <w:rFonts w:ascii="Arial Narrow" w:hAnsi="Arial Narrow"/>
                <w:bCs/>
              </w:rPr>
              <w:t xml:space="preserve"> </w:t>
            </w:r>
            <w:r w:rsidRPr="00CC4535">
              <w:rPr>
                <w:rFonts w:ascii="Arial Narrow" w:hAnsi="Arial Narrow"/>
                <w:bCs/>
              </w:rPr>
              <w:t xml:space="preserve">+ Metformin </w:t>
            </w:r>
            <w:r w:rsidRPr="00CC4535">
              <w:rPr>
                <w:rFonts w:ascii="Arial Narrow" w:hAnsi="Arial Narrow"/>
                <w:bCs/>
              </w:rPr>
              <w:br/>
              <w:t xml:space="preserve">+ </w:t>
            </w:r>
            <w:r w:rsidRPr="00CC4535">
              <w:rPr>
                <w:rFonts w:ascii="Arial Narrow" w:hAnsi="Arial Narrow"/>
                <w:bCs/>
                <w:lang w:val="pt-BR"/>
              </w:rPr>
              <w:t>Sulfonylurea</w:t>
            </w:r>
            <w:r w:rsidRPr="00CC4535">
              <w:rPr>
                <w:rFonts w:ascii="Arial Narrow" w:hAnsi="Arial Narrow"/>
                <w:bCs/>
              </w:rPr>
              <w:br/>
              <w:t>n (%)</w:t>
            </w:r>
          </w:p>
        </w:tc>
        <w:tc>
          <w:tcPr>
            <w:tcW w:w="1504" w:type="dxa"/>
            <w:gridSpan w:val="2"/>
            <w:vAlign w:val="center"/>
          </w:tcPr>
          <w:p w:rsidR="0091439E" w:rsidRDefault="00AD72B2" w:rsidP="008C001B">
            <w:pPr>
              <w:jc w:val="center"/>
              <w:rPr>
                <w:rFonts w:ascii="Arial Narrow" w:hAnsi="Arial Narrow"/>
                <w:bCs/>
              </w:rPr>
            </w:pPr>
            <w:r w:rsidRPr="00CC4535">
              <w:rPr>
                <w:rFonts w:ascii="Arial Narrow" w:hAnsi="Arial Narrow"/>
                <w:bCs/>
              </w:rPr>
              <w:t>Linagliptin</w:t>
            </w:r>
            <w:r>
              <w:rPr>
                <w:rFonts w:ascii="Arial Narrow" w:hAnsi="Arial Narrow"/>
                <w:bCs/>
              </w:rPr>
              <w:t xml:space="preserve"> </w:t>
            </w:r>
            <w:r w:rsidRPr="00CC4535">
              <w:rPr>
                <w:rFonts w:ascii="Arial Narrow" w:hAnsi="Arial Narrow"/>
                <w:bCs/>
              </w:rPr>
              <w:t>+</w:t>
            </w:r>
          </w:p>
          <w:p w:rsidR="00AD72B2" w:rsidRPr="004722B1" w:rsidRDefault="000D3254" w:rsidP="008C001B">
            <w:pPr>
              <w:jc w:val="center"/>
              <w:rPr>
                <w:rFonts w:ascii="Arial Narrow" w:hAnsi="Arial Narrow"/>
                <w:bCs/>
                <w:sz w:val="20"/>
              </w:rPr>
            </w:pPr>
            <w:r>
              <w:rPr>
                <w:rFonts w:ascii="Arial Narrow" w:hAnsi="Arial Narrow"/>
                <w:bCs/>
              </w:rPr>
              <w:t>Insulin</w:t>
            </w:r>
            <w:r w:rsidR="00AD72B2" w:rsidRPr="00CC4535">
              <w:rPr>
                <w:rFonts w:ascii="Arial Narrow" w:hAnsi="Arial Narrow"/>
                <w:bCs/>
              </w:rPr>
              <w:br/>
              <w:t>n (%)</w:t>
            </w:r>
          </w:p>
        </w:tc>
        <w:tc>
          <w:tcPr>
            <w:tcW w:w="1756" w:type="dxa"/>
            <w:gridSpan w:val="2"/>
            <w:vAlign w:val="center"/>
          </w:tcPr>
          <w:p w:rsidR="000D3254" w:rsidRDefault="00AD72B2" w:rsidP="008C001B">
            <w:pPr>
              <w:jc w:val="center"/>
              <w:rPr>
                <w:rFonts w:ascii="Arial Narrow" w:hAnsi="Arial Narrow"/>
                <w:bCs/>
              </w:rPr>
            </w:pPr>
            <w:r w:rsidRPr="00CC4535">
              <w:rPr>
                <w:rFonts w:ascii="Arial Narrow" w:hAnsi="Arial Narrow"/>
                <w:bCs/>
              </w:rPr>
              <w:t>Linagliptin</w:t>
            </w:r>
          </w:p>
          <w:p w:rsidR="00AD72B2" w:rsidRPr="004722B1" w:rsidRDefault="000D3254" w:rsidP="008C001B">
            <w:pPr>
              <w:jc w:val="center"/>
              <w:rPr>
                <w:rFonts w:ascii="Arial Narrow" w:hAnsi="Arial Narrow"/>
                <w:bCs/>
                <w:sz w:val="20"/>
              </w:rPr>
            </w:pPr>
            <w:r>
              <w:rPr>
                <w:rFonts w:ascii="Arial Narrow" w:hAnsi="Arial Narrow"/>
                <w:bCs/>
              </w:rPr>
              <w:t>(Monotherapy)</w:t>
            </w:r>
            <w:r w:rsidR="000D746A">
              <w:rPr>
                <w:rFonts w:ascii="Arial Narrow" w:hAnsi="Arial Narrow"/>
                <w:bCs/>
              </w:rPr>
              <w:t>*</w:t>
            </w:r>
            <w:r w:rsidR="00AD72B2" w:rsidRPr="00CC4535">
              <w:rPr>
                <w:rFonts w:ascii="Arial Narrow" w:hAnsi="Arial Narrow"/>
                <w:bCs/>
              </w:rPr>
              <w:br/>
              <w:t>n (%)</w:t>
            </w:r>
          </w:p>
        </w:tc>
      </w:tr>
      <w:tr w:rsidR="0091439E" w:rsidRPr="0075437E" w:rsidTr="008C001B">
        <w:trPr>
          <w:cantSplit/>
          <w:trHeight w:val="1209"/>
        </w:trPr>
        <w:tc>
          <w:tcPr>
            <w:tcW w:w="2125" w:type="dxa"/>
            <w:gridSpan w:val="2"/>
            <w:tcBorders>
              <w:bottom w:val="single" w:sz="4" w:space="0" w:color="auto"/>
            </w:tcBorders>
          </w:tcPr>
          <w:p w:rsidR="00AD72B2" w:rsidRPr="00CC4535" w:rsidRDefault="00AD72B2" w:rsidP="00BF7C5E">
            <w:pPr>
              <w:keepNext/>
              <w:keepLines/>
              <w:spacing w:before="120" w:after="120"/>
              <w:rPr>
                <w:rFonts w:ascii="Arial Narrow" w:hAnsi="Arial Narrow" w:cs="Arial"/>
                <w:b/>
                <w:bCs/>
                <w:sz w:val="22"/>
                <w:szCs w:val="22"/>
              </w:rPr>
            </w:pPr>
            <w:r>
              <w:rPr>
                <w:rFonts w:ascii="Arial Narrow" w:hAnsi="Arial Narrow" w:cs="Arial"/>
                <w:b/>
                <w:bCs/>
                <w:sz w:val="22"/>
                <w:szCs w:val="22"/>
              </w:rPr>
              <w:t xml:space="preserve"> </w:t>
            </w:r>
            <w:r w:rsidRPr="00CC4535">
              <w:rPr>
                <w:rFonts w:ascii="Arial Narrow" w:hAnsi="Arial Narrow" w:cs="Arial"/>
                <w:b/>
                <w:bCs/>
                <w:sz w:val="22"/>
                <w:szCs w:val="22"/>
              </w:rPr>
              <w:t>SOC</w:t>
            </w:r>
            <w:r w:rsidRPr="00CC4535">
              <w:rPr>
                <w:rFonts w:ascii="Arial Narrow" w:hAnsi="Arial Narrow" w:cs="Arial"/>
                <w:b/>
                <w:bCs/>
                <w:sz w:val="22"/>
                <w:szCs w:val="22"/>
              </w:rPr>
              <w:br/>
            </w:r>
            <w:r w:rsidRPr="00CC4535">
              <w:rPr>
                <w:rFonts w:ascii="Arial Narrow" w:hAnsi="Arial Narrow" w:cs="Arial"/>
                <w:bCs/>
                <w:sz w:val="22"/>
                <w:szCs w:val="22"/>
              </w:rPr>
              <w:t>Adverse reaction</w:t>
            </w:r>
          </w:p>
        </w:tc>
        <w:tc>
          <w:tcPr>
            <w:tcW w:w="708" w:type="dxa"/>
            <w:tcBorders>
              <w:bottom w:val="single" w:sz="4" w:space="0" w:color="auto"/>
            </w:tcBorders>
            <w:textDirection w:val="btLr"/>
            <w:vAlign w:val="center"/>
          </w:tcPr>
          <w:p w:rsidR="00AD72B2" w:rsidRPr="00CC4535" w:rsidRDefault="00AD72B2" w:rsidP="008C001B">
            <w:pPr>
              <w:keepNext/>
              <w:keepLines/>
              <w:spacing w:before="60" w:after="60"/>
              <w:ind w:left="113" w:right="113"/>
              <w:jc w:val="center"/>
              <w:rPr>
                <w:rFonts w:ascii="Arial Narrow" w:hAnsi="Arial Narrow" w:cs="Arial"/>
                <w:b/>
                <w:bCs/>
                <w:sz w:val="22"/>
                <w:szCs w:val="22"/>
              </w:rPr>
            </w:pPr>
            <w:r w:rsidRPr="00CC4535">
              <w:rPr>
                <w:rFonts w:ascii="Arial Narrow" w:hAnsi="Arial Narrow" w:cs="Arial"/>
                <w:b/>
                <w:bCs/>
                <w:sz w:val="22"/>
                <w:szCs w:val="22"/>
              </w:rPr>
              <w:t>TRAJENTA</w:t>
            </w:r>
            <w:r w:rsidRPr="00CC4535">
              <w:rPr>
                <w:rFonts w:ascii="Arial Narrow" w:hAnsi="Arial Narrow" w:cs="Arial"/>
                <w:b/>
                <w:bCs/>
                <w:sz w:val="22"/>
                <w:szCs w:val="22"/>
              </w:rPr>
              <w:br/>
              <w:t>n = 590</w:t>
            </w:r>
          </w:p>
        </w:tc>
        <w:tc>
          <w:tcPr>
            <w:tcW w:w="709" w:type="dxa"/>
            <w:tcBorders>
              <w:bottom w:val="single" w:sz="4" w:space="0" w:color="auto"/>
            </w:tcBorders>
            <w:textDirection w:val="btLr"/>
            <w:vAlign w:val="center"/>
          </w:tcPr>
          <w:p w:rsidR="00AD72B2" w:rsidRPr="00CC4535" w:rsidRDefault="00AD72B2" w:rsidP="008C001B">
            <w:pPr>
              <w:keepNext/>
              <w:keepLines/>
              <w:spacing w:before="60" w:after="60"/>
              <w:ind w:left="113" w:right="113"/>
              <w:jc w:val="center"/>
              <w:rPr>
                <w:rFonts w:ascii="Arial Narrow" w:hAnsi="Arial Narrow" w:cs="Arial"/>
                <w:b/>
                <w:bCs/>
                <w:sz w:val="22"/>
                <w:szCs w:val="22"/>
                <w:lang w:val="pt-BR"/>
              </w:rPr>
            </w:pPr>
            <w:r w:rsidRPr="00CC4535">
              <w:rPr>
                <w:rFonts w:ascii="Arial Narrow" w:hAnsi="Arial Narrow" w:cs="Arial"/>
                <w:b/>
                <w:bCs/>
                <w:sz w:val="22"/>
                <w:szCs w:val="22"/>
                <w:lang w:val="pt-BR"/>
              </w:rPr>
              <w:t>Placebo</w:t>
            </w:r>
            <w:r w:rsidRPr="00CC4535">
              <w:rPr>
                <w:rFonts w:ascii="Arial Narrow" w:hAnsi="Arial Narrow" w:cs="Arial"/>
                <w:b/>
                <w:bCs/>
                <w:sz w:val="22"/>
                <w:szCs w:val="22"/>
                <w:lang w:val="pt-BR"/>
              </w:rPr>
              <w:br/>
              <w:t>n = 248</w:t>
            </w:r>
          </w:p>
        </w:tc>
        <w:tc>
          <w:tcPr>
            <w:tcW w:w="853" w:type="dxa"/>
            <w:gridSpan w:val="2"/>
            <w:tcBorders>
              <w:bottom w:val="single" w:sz="4" w:space="0" w:color="auto"/>
            </w:tcBorders>
            <w:textDirection w:val="btLr"/>
            <w:vAlign w:val="center"/>
          </w:tcPr>
          <w:p w:rsidR="00AD72B2" w:rsidRPr="00CC4535" w:rsidRDefault="00AD72B2" w:rsidP="008C001B">
            <w:pPr>
              <w:keepNext/>
              <w:keepLines/>
              <w:spacing w:before="60" w:after="60"/>
              <w:ind w:left="113" w:right="113"/>
              <w:jc w:val="center"/>
              <w:rPr>
                <w:rFonts w:ascii="Arial Narrow" w:hAnsi="Arial Narrow" w:cs="Arial"/>
                <w:b/>
                <w:bCs/>
                <w:sz w:val="22"/>
                <w:szCs w:val="22"/>
                <w:lang w:val="pt-BR"/>
              </w:rPr>
            </w:pPr>
            <w:r w:rsidRPr="00CC4535">
              <w:rPr>
                <w:rFonts w:ascii="Arial Narrow" w:hAnsi="Arial Narrow" w:cs="Arial"/>
                <w:b/>
                <w:bCs/>
                <w:sz w:val="22"/>
                <w:szCs w:val="22"/>
              </w:rPr>
              <w:t>TRAJENTA</w:t>
            </w:r>
            <w:r w:rsidRPr="00CC4535">
              <w:rPr>
                <w:rFonts w:ascii="Arial Narrow" w:hAnsi="Arial Narrow" w:cs="Arial"/>
                <w:b/>
                <w:bCs/>
                <w:sz w:val="22"/>
                <w:szCs w:val="22"/>
              </w:rPr>
              <w:br/>
            </w:r>
            <w:r w:rsidRPr="00CC4535">
              <w:rPr>
                <w:rFonts w:ascii="Arial Narrow" w:hAnsi="Arial Narrow" w:cs="Arial"/>
                <w:b/>
                <w:bCs/>
                <w:sz w:val="22"/>
                <w:szCs w:val="22"/>
                <w:lang w:val="pt-BR"/>
              </w:rPr>
              <w:t>n = 161</w:t>
            </w:r>
          </w:p>
        </w:tc>
        <w:tc>
          <w:tcPr>
            <w:tcW w:w="850" w:type="dxa"/>
            <w:gridSpan w:val="2"/>
            <w:tcBorders>
              <w:bottom w:val="single" w:sz="4" w:space="0" w:color="auto"/>
            </w:tcBorders>
            <w:textDirection w:val="btLr"/>
            <w:vAlign w:val="center"/>
          </w:tcPr>
          <w:p w:rsidR="00AD72B2" w:rsidRPr="00CC4535" w:rsidRDefault="00AD72B2" w:rsidP="008C001B">
            <w:pPr>
              <w:keepNext/>
              <w:keepLines/>
              <w:spacing w:before="60" w:after="60"/>
              <w:ind w:left="113" w:right="113"/>
              <w:jc w:val="center"/>
              <w:rPr>
                <w:rFonts w:ascii="Arial Narrow" w:hAnsi="Arial Narrow" w:cs="Arial"/>
                <w:b/>
                <w:bCs/>
                <w:sz w:val="22"/>
                <w:szCs w:val="22"/>
                <w:lang w:val="pt-BR"/>
              </w:rPr>
            </w:pPr>
            <w:r w:rsidRPr="00CC4535">
              <w:rPr>
                <w:rFonts w:ascii="Arial Narrow" w:hAnsi="Arial Narrow" w:cs="Arial"/>
                <w:b/>
                <w:bCs/>
                <w:sz w:val="22"/>
                <w:szCs w:val="22"/>
                <w:lang w:val="pt-BR"/>
              </w:rPr>
              <w:t>Placebo</w:t>
            </w:r>
            <w:r w:rsidRPr="00CC4535">
              <w:rPr>
                <w:rFonts w:ascii="Arial Narrow" w:hAnsi="Arial Narrow" w:cs="Arial"/>
                <w:b/>
                <w:bCs/>
                <w:sz w:val="22"/>
                <w:szCs w:val="22"/>
                <w:lang w:val="pt-BR"/>
              </w:rPr>
              <w:br/>
            </w:r>
            <w:r w:rsidRPr="00CC4535">
              <w:rPr>
                <w:rFonts w:ascii="Arial Narrow" w:hAnsi="Arial Narrow" w:cs="Arial"/>
                <w:b/>
                <w:bCs/>
                <w:sz w:val="22"/>
                <w:szCs w:val="22"/>
              </w:rPr>
              <w:t>n = 84</w:t>
            </w:r>
          </w:p>
        </w:tc>
        <w:tc>
          <w:tcPr>
            <w:tcW w:w="851" w:type="dxa"/>
            <w:tcBorders>
              <w:bottom w:val="single" w:sz="4" w:space="0" w:color="auto"/>
            </w:tcBorders>
            <w:textDirection w:val="btLr"/>
            <w:vAlign w:val="center"/>
          </w:tcPr>
          <w:p w:rsidR="00AD72B2" w:rsidRPr="00547900" w:rsidRDefault="00AD72B2" w:rsidP="008C001B">
            <w:pPr>
              <w:keepNext/>
              <w:keepLines/>
              <w:spacing w:before="60" w:after="60"/>
              <w:ind w:left="113" w:right="113"/>
              <w:jc w:val="center"/>
              <w:rPr>
                <w:rFonts w:ascii="Arial Narrow" w:hAnsi="Arial Narrow" w:cs="Arial"/>
                <w:b/>
                <w:bCs/>
                <w:sz w:val="22"/>
                <w:szCs w:val="22"/>
              </w:rPr>
            </w:pPr>
            <w:r w:rsidRPr="00CC4535">
              <w:rPr>
                <w:rFonts w:ascii="Arial Narrow" w:hAnsi="Arial Narrow" w:cs="Arial"/>
                <w:b/>
                <w:bCs/>
                <w:sz w:val="22"/>
                <w:szCs w:val="22"/>
              </w:rPr>
              <w:t xml:space="preserve">TRAJENTA </w:t>
            </w:r>
            <w:r>
              <w:rPr>
                <w:rFonts w:ascii="Arial Narrow" w:hAnsi="Arial Narrow" w:cs="Arial"/>
                <w:b/>
                <w:bCs/>
                <w:sz w:val="22"/>
                <w:szCs w:val="22"/>
              </w:rPr>
              <w:br/>
            </w:r>
            <w:r w:rsidRPr="00CC4535">
              <w:rPr>
                <w:rFonts w:ascii="Arial Narrow" w:hAnsi="Arial Narrow" w:cs="Arial"/>
                <w:b/>
                <w:bCs/>
                <w:sz w:val="22"/>
                <w:szCs w:val="22"/>
              </w:rPr>
              <w:t>n = 791</w:t>
            </w:r>
          </w:p>
        </w:tc>
        <w:tc>
          <w:tcPr>
            <w:tcW w:w="850" w:type="dxa"/>
            <w:tcBorders>
              <w:bottom w:val="single" w:sz="4" w:space="0" w:color="auto"/>
            </w:tcBorders>
            <w:textDirection w:val="btLr"/>
            <w:vAlign w:val="center"/>
          </w:tcPr>
          <w:p w:rsidR="00AD72B2" w:rsidRPr="00CC4535" w:rsidRDefault="00AD72B2" w:rsidP="008C001B">
            <w:pPr>
              <w:keepNext/>
              <w:keepLines/>
              <w:spacing w:before="60" w:after="60"/>
              <w:ind w:left="113" w:right="113"/>
              <w:jc w:val="center"/>
              <w:rPr>
                <w:rFonts w:ascii="Arial Narrow" w:hAnsi="Arial Narrow" w:cs="Arial"/>
                <w:b/>
                <w:bCs/>
                <w:sz w:val="22"/>
                <w:szCs w:val="22"/>
              </w:rPr>
            </w:pPr>
            <w:r w:rsidRPr="00CC4535">
              <w:rPr>
                <w:rFonts w:ascii="Arial Narrow" w:hAnsi="Arial Narrow" w:cs="Arial"/>
                <w:b/>
                <w:bCs/>
                <w:sz w:val="22"/>
                <w:szCs w:val="22"/>
              </w:rPr>
              <w:t>Placebo</w:t>
            </w:r>
            <w:r w:rsidRPr="00CC4535">
              <w:rPr>
                <w:rFonts w:ascii="Arial Narrow" w:hAnsi="Arial Narrow" w:cs="Arial"/>
                <w:b/>
                <w:bCs/>
                <w:sz w:val="22"/>
                <w:szCs w:val="22"/>
              </w:rPr>
              <w:br/>
              <w:t>n = 263</w:t>
            </w:r>
          </w:p>
        </w:tc>
        <w:tc>
          <w:tcPr>
            <w:tcW w:w="752" w:type="dxa"/>
            <w:textDirection w:val="btLr"/>
            <w:vAlign w:val="center"/>
          </w:tcPr>
          <w:p w:rsidR="00AD72B2" w:rsidRPr="0075437E" w:rsidRDefault="00AD72B2" w:rsidP="00817CE4">
            <w:pPr>
              <w:jc w:val="center"/>
              <w:rPr>
                <w:b/>
                <w:bCs/>
                <w:sz w:val="16"/>
                <w:szCs w:val="16"/>
                <w:lang w:val="pt-BR"/>
              </w:rPr>
            </w:pPr>
            <w:r w:rsidRPr="00CC4535">
              <w:rPr>
                <w:rFonts w:ascii="Arial Narrow" w:hAnsi="Arial Narrow" w:cs="Arial"/>
                <w:b/>
                <w:bCs/>
                <w:sz w:val="22"/>
                <w:szCs w:val="22"/>
              </w:rPr>
              <w:t xml:space="preserve">TRAJENTA </w:t>
            </w:r>
            <w:r>
              <w:rPr>
                <w:rFonts w:ascii="Arial Narrow" w:hAnsi="Arial Narrow" w:cs="Arial"/>
                <w:b/>
                <w:bCs/>
                <w:sz w:val="22"/>
                <w:szCs w:val="22"/>
              </w:rPr>
              <w:br/>
            </w:r>
            <w:r w:rsidRPr="00CC4535">
              <w:rPr>
                <w:rFonts w:ascii="Arial Narrow" w:hAnsi="Arial Narrow" w:cs="Arial"/>
                <w:b/>
                <w:bCs/>
                <w:sz w:val="22"/>
                <w:szCs w:val="22"/>
              </w:rPr>
              <w:t xml:space="preserve">n = </w:t>
            </w:r>
            <w:r w:rsidR="00817CE4">
              <w:rPr>
                <w:rFonts w:ascii="Arial Narrow" w:hAnsi="Arial Narrow" w:cs="Arial"/>
                <w:b/>
                <w:bCs/>
                <w:sz w:val="22"/>
                <w:szCs w:val="22"/>
              </w:rPr>
              <w:t>631</w:t>
            </w:r>
          </w:p>
        </w:tc>
        <w:tc>
          <w:tcPr>
            <w:tcW w:w="752" w:type="dxa"/>
            <w:textDirection w:val="btLr"/>
            <w:vAlign w:val="center"/>
          </w:tcPr>
          <w:p w:rsidR="00AD72B2" w:rsidRPr="0075437E" w:rsidRDefault="00AD72B2" w:rsidP="00817CE4">
            <w:pPr>
              <w:jc w:val="center"/>
              <w:rPr>
                <w:b/>
                <w:bCs/>
                <w:sz w:val="16"/>
                <w:szCs w:val="16"/>
                <w:lang w:val="pt-BR"/>
              </w:rPr>
            </w:pPr>
            <w:r w:rsidRPr="00CC4535">
              <w:rPr>
                <w:rFonts w:ascii="Arial Narrow" w:hAnsi="Arial Narrow" w:cs="Arial"/>
                <w:b/>
                <w:bCs/>
                <w:sz w:val="22"/>
                <w:szCs w:val="22"/>
              </w:rPr>
              <w:t>Placebo</w:t>
            </w:r>
            <w:r w:rsidRPr="00CC4535">
              <w:rPr>
                <w:rFonts w:ascii="Arial Narrow" w:hAnsi="Arial Narrow" w:cs="Arial"/>
                <w:b/>
                <w:bCs/>
                <w:sz w:val="22"/>
                <w:szCs w:val="22"/>
              </w:rPr>
              <w:br/>
              <w:t xml:space="preserve">n = </w:t>
            </w:r>
            <w:r w:rsidR="00817CE4">
              <w:rPr>
                <w:rFonts w:ascii="Arial Narrow" w:hAnsi="Arial Narrow" w:cs="Arial"/>
                <w:b/>
                <w:bCs/>
                <w:sz w:val="22"/>
                <w:szCs w:val="22"/>
              </w:rPr>
              <w:t>630</w:t>
            </w:r>
          </w:p>
        </w:tc>
        <w:tc>
          <w:tcPr>
            <w:tcW w:w="851" w:type="dxa"/>
            <w:textDirection w:val="btLr"/>
            <w:vAlign w:val="center"/>
          </w:tcPr>
          <w:p w:rsidR="00AD72B2" w:rsidRPr="0075437E" w:rsidRDefault="00AD72B2" w:rsidP="008C001B">
            <w:pPr>
              <w:jc w:val="center"/>
              <w:rPr>
                <w:b/>
                <w:bCs/>
                <w:sz w:val="16"/>
                <w:szCs w:val="16"/>
                <w:lang w:val="pt-BR"/>
              </w:rPr>
            </w:pPr>
            <w:r w:rsidRPr="00CC4535">
              <w:rPr>
                <w:rFonts w:ascii="Arial Narrow" w:hAnsi="Arial Narrow" w:cs="Arial"/>
                <w:b/>
                <w:bCs/>
                <w:sz w:val="22"/>
                <w:szCs w:val="22"/>
              </w:rPr>
              <w:t xml:space="preserve">TRAJENTA </w:t>
            </w:r>
            <w:r>
              <w:rPr>
                <w:rFonts w:ascii="Arial Narrow" w:hAnsi="Arial Narrow" w:cs="Arial"/>
                <w:b/>
                <w:bCs/>
                <w:sz w:val="22"/>
                <w:szCs w:val="22"/>
              </w:rPr>
              <w:br/>
            </w:r>
            <w:r w:rsidRPr="00CC4535">
              <w:rPr>
                <w:rFonts w:ascii="Arial Narrow" w:hAnsi="Arial Narrow" w:cs="Arial"/>
                <w:b/>
                <w:bCs/>
                <w:sz w:val="22"/>
                <w:szCs w:val="22"/>
              </w:rPr>
              <w:t>n = 7</w:t>
            </w:r>
            <w:r w:rsidR="000D746A">
              <w:rPr>
                <w:rFonts w:ascii="Arial Narrow" w:hAnsi="Arial Narrow" w:cs="Arial"/>
                <w:b/>
                <w:bCs/>
                <w:sz w:val="22"/>
                <w:szCs w:val="22"/>
              </w:rPr>
              <w:t>65</w:t>
            </w:r>
          </w:p>
        </w:tc>
        <w:tc>
          <w:tcPr>
            <w:tcW w:w="905" w:type="dxa"/>
            <w:textDirection w:val="btLr"/>
            <w:vAlign w:val="center"/>
          </w:tcPr>
          <w:p w:rsidR="00AD72B2" w:rsidRPr="0075437E" w:rsidRDefault="000D746A" w:rsidP="008C001B">
            <w:pPr>
              <w:jc w:val="center"/>
              <w:rPr>
                <w:b/>
                <w:bCs/>
                <w:sz w:val="16"/>
                <w:szCs w:val="16"/>
                <w:lang w:val="pt-BR"/>
              </w:rPr>
            </w:pPr>
            <w:r>
              <w:rPr>
                <w:rFonts w:ascii="Arial Narrow" w:hAnsi="Arial Narrow" w:cs="Arial"/>
                <w:b/>
                <w:bCs/>
                <w:sz w:val="22"/>
                <w:szCs w:val="22"/>
              </w:rPr>
              <w:t>Placebo</w:t>
            </w:r>
            <w:r>
              <w:rPr>
                <w:rFonts w:ascii="Arial Narrow" w:hAnsi="Arial Narrow" w:cs="Arial"/>
                <w:b/>
                <w:bCs/>
                <w:sz w:val="22"/>
                <w:szCs w:val="22"/>
              </w:rPr>
              <w:br/>
              <w:t>n = 458</w:t>
            </w:r>
          </w:p>
        </w:tc>
      </w:tr>
      <w:tr w:rsidR="000D746A" w:rsidRPr="0075437E" w:rsidTr="006476A0">
        <w:trPr>
          <w:cantSplit/>
          <w:trHeight w:val="481"/>
        </w:trPr>
        <w:tc>
          <w:tcPr>
            <w:tcW w:w="10206" w:type="dxa"/>
            <w:gridSpan w:val="14"/>
            <w:shd w:val="pct15" w:color="auto" w:fill="auto"/>
          </w:tcPr>
          <w:p w:rsidR="000D746A" w:rsidRPr="000D746A" w:rsidRDefault="000D746A" w:rsidP="000D746A">
            <w:pPr>
              <w:keepNext/>
              <w:keepLines/>
              <w:spacing w:before="120" w:after="120"/>
              <w:ind w:right="113"/>
              <w:rPr>
                <w:rFonts w:ascii="Arial Narrow" w:hAnsi="Arial Narrow" w:cs="Arial"/>
                <w:b/>
                <w:bCs/>
                <w:sz w:val="22"/>
                <w:szCs w:val="22"/>
                <w:lang w:val="pt-BR"/>
              </w:rPr>
            </w:pPr>
            <w:r w:rsidRPr="00CC4535">
              <w:rPr>
                <w:rFonts w:ascii="Arial Narrow" w:hAnsi="Arial Narrow"/>
                <w:b/>
                <w:sz w:val="22"/>
                <w:szCs w:val="22"/>
              </w:rPr>
              <w:t>Infections &amp; infestations</w:t>
            </w:r>
          </w:p>
        </w:tc>
      </w:tr>
      <w:tr w:rsidR="000D3254" w:rsidRPr="0075437E" w:rsidTr="00DE01F1">
        <w:trPr>
          <w:trHeight w:val="205"/>
        </w:trPr>
        <w:tc>
          <w:tcPr>
            <w:tcW w:w="2125" w:type="dxa"/>
            <w:gridSpan w:val="2"/>
            <w:tcBorders>
              <w:bottom w:val="single" w:sz="4" w:space="0" w:color="auto"/>
            </w:tcBorders>
          </w:tcPr>
          <w:p w:rsidR="000D3254" w:rsidRPr="00CC4535" w:rsidRDefault="000D3254" w:rsidP="00BF7C5E">
            <w:pPr>
              <w:keepNext/>
              <w:keepLines/>
              <w:spacing w:before="120" w:after="120"/>
              <w:rPr>
                <w:rFonts w:ascii="Arial Narrow" w:hAnsi="Arial Narrow" w:cs="Arial"/>
                <w:b/>
                <w:bCs/>
                <w:sz w:val="22"/>
                <w:szCs w:val="22"/>
              </w:rPr>
            </w:pPr>
            <w:r w:rsidRPr="00CC4535">
              <w:rPr>
                <w:rFonts w:ascii="Arial Narrow" w:hAnsi="Arial Narrow" w:cs="Arial"/>
                <w:sz w:val="22"/>
                <w:szCs w:val="22"/>
              </w:rPr>
              <w:t>Nasopharyngitis</w:t>
            </w:r>
          </w:p>
        </w:tc>
        <w:tc>
          <w:tcPr>
            <w:tcW w:w="708" w:type="dxa"/>
            <w:tcBorders>
              <w:bottom w:val="single" w:sz="4" w:space="0" w:color="auto"/>
            </w:tcBorders>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736" w:type="dxa"/>
            <w:gridSpan w:val="2"/>
            <w:tcBorders>
              <w:bottom w:val="single" w:sz="4" w:space="0" w:color="auto"/>
            </w:tcBorders>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826" w:type="dxa"/>
            <w:tcBorders>
              <w:bottom w:val="single" w:sz="4" w:space="0" w:color="auto"/>
            </w:tcBorders>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7 (4.3)</w:t>
            </w:r>
          </w:p>
        </w:tc>
        <w:tc>
          <w:tcPr>
            <w:tcW w:w="850" w:type="dxa"/>
            <w:gridSpan w:val="2"/>
            <w:tcBorders>
              <w:bottom w:val="single" w:sz="4" w:space="0" w:color="auto"/>
            </w:tcBorders>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1 (1.2)</w:t>
            </w:r>
          </w:p>
        </w:tc>
        <w:tc>
          <w:tcPr>
            <w:tcW w:w="851" w:type="dxa"/>
            <w:tcBorders>
              <w:bottom w:val="single" w:sz="4" w:space="0" w:color="auto"/>
            </w:tcBorders>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850" w:type="dxa"/>
            <w:tcBorders>
              <w:bottom w:val="single" w:sz="4" w:space="0" w:color="auto"/>
            </w:tcBorders>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752"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c>
          <w:tcPr>
            <w:tcW w:w="752"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c>
          <w:tcPr>
            <w:tcW w:w="851"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c>
          <w:tcPr>
            <w:tcW w:w="905"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r>
      <w:tr w:rsidR="000D746A" w:rsidRPr="0075437E" w:rsidTr="006476A0">
        <w:trPr>
          <w:trHeight w:val="205"/>
        </w:trPr>
        <w:tc>
          <w:tcPr>
            <w:tcW w:w="10206" w:type="dxa"/>
            <w:gridSpan w:val="14"/>
            <w:shd w:val="pct15" w:color="auto" w:fill="auto"/>
          </w:tcPr>
          <w:p w:rsidR="000D746A" w:rsidRPr="000D746A" w:rsidRDefault="000D746A" w:rsidP="00DE01F1">
            <w:pPr>
              <w:keepNext/>
              <w:keepLines/>
              <w:spacing w:before="120" w:after="120"/>
              <w:ind w:right="113"/>
              <w:rPr>
                <w:rFonts w:ascii="Arial Narrow" w:hAnsi="Arial Narrow"/>
                <w:b/>
                <w:sz w:val="22"/>
                <w:szCs w:val="22"/>
              </w:rPr>
            </w:pPr>
            <w:r w:rsidRPr="00CC4535">
              <w:rPr>
                <w:rFonts w:ascii="Arial Narrow" w:hAnsi="Arial Narrow"/>
                <w:b/>
                <w:sz w:val="22"/>
                <w:szCs w:val="22"/>
              </w:rPr>
              <w:t>Metabolism &amp; nutrition disorders</w:t>
            </w:r>
          </w:p>
        </w:tc>
      </w:tr>
      <w:tr w:rsidR="000D3254" w:rsidRPr="0075437E" w:rsidTr="00DE01F1">
        <w:trPr>
          <w:trHeight w:val="205"/>
        </w:trPr>
        <w:tc>
          <w:tcPr>
            <w:tcW w:w="2113" w:type="dxa"/>
          </w:tcPr>
          <w:p w:rsidR="000D3254" w:rsidRPr="00CC4535" w:rsidRDefault="000D3254" w:rsidP="00BF7C5E">
            <w:pPr>
              <w:keepNext/>
              <w:keepLines/>
              <w:spacing w:before="120" w:after="120"/>
              <w:rPr>
                <w:rFonts w:ascii="Arial Narrow" w:hAnsi="Arial Narrow" w:cs="Arial"/>
                <w:b/>
                <w:bCs/>
                <w:sz w:val="22"/>
                <w:szCs w:val="22"/>
              </w:rPr>
            </w:pPr>
            <w:r w:rsidRPr="00CC4535">
              <w:rPr>
                <w:rFonts w:ascii="Arial Narrow" w:hAnsi="Arial Narrow" w:cs="Arial"/>
                <w:sz w:val="22"/>
                <w:szCs w:val="22"/>
              </w:rPr>
              <w:t>Hyperlipidaemia</w:t>
            </w:r>
          </w:p>
        </w:tc>
        <w:tc>
          <w:tcPr>
            <w:tcW w:w="720" w:type="dxa"/>
            <w:gridSpan w:val="2"/>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736" w:type="dxa"/>
            <w:gridSpan w:val="2"/>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826" w:type="dxa"/>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840" w:type="dxa"/>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861" w:type="dxa"/>
            <w:gridSpan w:val="2"/>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850" w:type="dxa"/>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752"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c>
          <w:tcPr>
            <w:tcW w:w="752"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c>
          <w:tcPr>
            <w:tcW w:w="851"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c>
          <w:tcPr>
            <w:tcW w:w="905"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r>
      <w:tr w:rsidR="000D3254" w:rsidRPr="0075437E" w:rsidTr="00DE01F1">
        <w:trPr>
          <w:trHeight w:val="205"/>
        </w:trPr>
        <w:tc>
          <w:tcPr>
            <w:tcW w:w="2113" w:type="dxa"/>
            <w:tcBorders>
              <w:bottom w:val="single" w:sz="4" w:space="0" w:color="auto"/>
            </w:tcBorders>
          </w:tcPr>
          <w:p w:rsidR="000D3254" w:rsidRPr="00CC4535" w:rsidRDefault="000D3254" w:rsidP="00BF7C5E">
            <w:pPr>
              <w:keepNext/>
              <w:keepLines/>
              <w:spacing w:before="120" w:after="120"/>
              <w:rPr>
                <w:rFonts w:ascii="Arial Narrow" w:hAnsi="Arial Narrow" w:cs="Arial"/>
                <w:sz w:val="22"/>
                <w:szCs w:val="22"/>
              </w:rPr>
            </w:pPr>
            <w:r w:rsidRPr="00CC4535">
              <w:rPr>
                <w:rFonts w:ascii="Arial Narrow" w:hAnsi="Arial Narrow" w:cs="Arial"/>
                <w:sz w:val="22"/>
                <w:szCs w:val="22"/>
              </w:rPr>
              <w:t>Hypertriglyceridaemia</w:t>
            </w:r>
            <w:r w:rsidRPr="00CC4535">
              <w:rPr>
                <w:rFonts w:ascii="Arial Narrow" w:eastAsia="MS Mincho" w:hAnsi="Arial Narrow" w:cs="Arial"/>
                <w:sz w:val="22"/>
                <w:szCs w:val="22"/>
                <w:vertAlign w:val="superscript"/>
                <w:lang w:eastAsia="ja-JP"/>
              </w:rPr>
              <w:t>†</w:t>
            </w:r>
          </w:p>
        </w:tc>
        <w:tc>
          <w:tcPr>
            <w:tcW w:w="720" w:type="dxa"/>
            <w:gridSpan w:val="2"/>
            <w:tcBorders>
              <w:bottom w:val="single" w:sz="4" w:space="0" w:color="auto"/>
            </w:tcBorders>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736" w:type="dxa"/>
            <w:gridSpan w:val="2"/>
            <w:tcBorders>
              <w:bottom w:val="single" w:sz="4" w:space="0" w:color="auto"/>
            </w:tcBorders>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826" w:type="dxa"/>
            <w:tcBorders>
              <w:bottom w:val="single" w:sz="4" w:space="0" w:color="auto"/>
            </w:tcBorders>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4 (2.4)</w:t>
            </w:r>
          </w:p>
        </w:tc>
        <w:tc>
          <w:tcPr>
            <w:tcW w:w="840" w:type="dxa"/>
            <w:tcBorders>
              <w:bottom w:val="single" w:sz="4" w:space="0" w:color="auto"/>
            </w:tcBorders>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0 (0.0)</w:t>
            </w:r>
          </w:p>
        </w:tc>
        <w:tc>
          <w:tcPr>
            <w:tcW w:w="861" w:type="dxa"/>
            <w:gridSpan w:val="2"/>
            <w:tcBorders>
              <w:bottom w:val="single" w:sz="4" w:space="0" w:color="auto"/>
            </w:tcBorders>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850" w:type="dxa"/>
            <w:tcBorders>
              <w:bottom w:val="single" w:sz="4" w:space="0" w:color="auto"/>
            </w:tcBorders>
          </w:tcPr>
          <w:p w:rsidR="000D3254" w:rsidRPr="00CC4535" w:rsidRDefault="000D3254" w:rsidP="00BF7C5E">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752"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c>
          <w:tcPr>
            <w:tcW w:w="752"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c>
          <w:tcPr>
            <w:tcW w:w="851"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c>
          <w:tcPr>
            <w:tcW w:w="905"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r>
      <w:tr w:rsidR="00DE01F1" w:rsidRPr="0075437E" w:rsidTr="006476A0">
        <w:trPr>
          <w:trHeight w:val="205"/>
        </w:trPr>
        <w:tc>
          <w:tcPr>
            <w:tcW w:w="10206" w:type="dxa"/>
            <w:gridSpan w:val="14"/>
            <w:shd w:val="pct15" w:color="auto" w:fill="auto"/>
          </w:tcPr>
          <w:p w:rsidR="00DE01F1" w:rsidRPr="0075437E" w:rsidRDefault="00DE01F1" w:rsidP="009257C0">
            <w:pPr>
              <w:keepNext/>
              <w:spacing w:before="120" w:after="120"/>
              <w:rPr>
                <w:sz w:val="16"/>
                <w:szCs w:val="16"/>
              </w:rPr>
            </w:pPr>
            <w:r w:rsidRPr="00CC4535">
              <w:rPr>
                <w:rFonts w:ascii="Arial Narrow" w:hAnsi="Arial Narrow"/>
                <w:b/>
                <w:sz w:val="22"/>
                <w:szCs w:val="22"/>
              </w:rPr>
              <w:t>Respiratory, thoracic &amp; mediastinal disorders</w:t>
            </w:r>
          </w:p>
        </w:tc>
      </w:tr>
      <w:tr w:rsidR="000D3254" w:rsidRPr="0075437E" w:rsidTr="00DE01F1">
        <w:trPr>
          <w:trHeight w:val="205"/>
        </w:trPr>
        <w:tc>
          <w:tcPr>
            <w:tcW w:w="2125" w:type="dxa"/>
            <w:gridSpan w:val="2"/>
            <w:tcBorders>
              <w:bottom w:val="single" w:sz="4" w:space="0" w:color="auto"/>
            </w:tcBorders>
          </w:tcPr>
          <w:p w:rsidR="000D3254" w:rsidRPr="00CC4535" w:rsidRDefault="000D3254" w:rsidP="00B4690F">
            <w:pPr>
              <w:keepNext/>
              <w:keepLines/>
              <w:spacing w:before="120" w:after="120"/>
              <w:rPr>
                <w:rFonts w:ascii="Arial Narrow" w:hAnsi="Arial Narrow" w:cs="Arial"/>
                <w:sz w:val="22"/>
                <w:szCs w:val="22"/>
              </w:rPr>
            </w:pPr>
            <w:r w:rsidRPr="00CC4535">
              <w:rPr>
                <w:rFonts w:ascii="Arial Narrow" w:hAnsi="Arial Narrow" w:cs="Arial"/>
                <w:sz w:val="22"/>
                <w:szCs w:val="22"/>
              </w:rPr>
              <w:t xml:space="preserve">Cough </w:t>
            </w:r>
          </w:p>
        </w:tc>
        <w:tc>
          <w:tcPr>
            <w:tcW w:w="708" w:type="dxa"/>
            <w:tcBorders>
              <w:bottom w:val="single" w:sz="4" w:space="0" w:color="auto"/>
            </w:tcBorders>
          </w:tcPr>
          <w:p w:rsidR="000D3254" w:rsidRPr="00CC4535" w:rsidRDefault="000D3254" w:rsidP="00B4690F">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736" w:type="dxa"/>
            <w:gridSpan w:val="2"/>
            <w:tcBorders>
              <w:bottom w:val="single" w:sz="4" w:space="0" w:color="auto"/>
            </w:tcBorders>
          </w:tcPr>
          <w:p w:rsidR="000D3254" w:rsidRPr="00CC4535" w:rsidRDefault="000D3254" w:rsidP="00B4690F">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826" w:type="dxa"/>
            <w:tcBorders>
              <w:bottom w:val="single" w:sz="4" w:space="0" w:color="auto"/>
            </w:tcBorders>
          </w:tcPr>
          <w:p w:rsidR="000D3254" w:rsidRPr="00CC4535" w:rsidRDefault="000D3254" w:rsidP="00B4690F">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850" w:type="dxa"/>
            <w:gridSpan w:val="2"/>
            <w:tcBorders>
              <w:bottom w:val="single" w:sz="4" w:space="0" w:color="auto"/>
            </w:tcBorders>
          </w:tcPr>
          <w:p w:rsidR="000D3254" w:rsidRPr="00CC4535" w:rsidRDefault="000D3254" w:rsidP="00B4690F">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851" w:type="dxa"/>
            <w:tcBorders>
              <w:bottom w:val="single" w:sz="4" w:space="0" w:color="auto"/>
            </w:tcBorders>
          </w:tcPr>
          <w:p w:rsidR="000D3254" w:rsidRPr="00CC4535" w:rsidRDefault="000D3254" w:rsidP="00B4690F">
            <w:pPr>
              <w:keepNext/>
              <w:keepLines/>
              <w:spacing w:before="120" w:after="120"/>
              <w:jc w:val="center"/>
              <w:rPr>
                <w:rFonts w:ascii="Arial Narrow" w:hAnsi="Arial Narrow" w:cs="Arial"/>
                <w:sz w:val="22"/>
                <w:szCs w:val="22"/>
              </w:rPr>
            </w:pPr>
            <w:r w:rsidRPr="00CC4535">
              <w:rPr>
                <w:rFonts w:ascii="Arial Narrow" w:hAnsi="Arial Narrow" w:cs="Arial"/>
                <w:sz w:val="22"/>
                <w:szCs w:val="22"/>
              </w:rPr>
              <w:t>19 (2.4)</w:t>
            </w:r>
          </w:p>
        </w:tc>
        <w:tc>
          <w:tcPr>
            <w:tcW w:w="850" w:type="dxa"/>
            <w:tcBorders>
              <w:bottom w:val="single" w:sz="4" w:space="0" w:color="auto"/>
            </w:tcBorders>
          </w:tcPr>
          <w:p w:rsidR="000D3254" w:rsidRPr="00CC4535" w:rsidRDefault="000D3254" w:rsidP="00B4690F">
            <w:pPr>
              <w:keepNext/>
              <w:keepLines/>
              <w:spacing w:before="120" w:after="120"/>
              <w:jc w:val="center"/>
              <w:rPr>
                <w:rFonts w:ascii="Arial Narrow" w:hAnsi="Arial Narrow" w:cs="Arial"/>
                <w:sz w:val="22"/>
                <w:szCs w:val="22"/>
              </w:rPr>
            </w:pPr>
            <w:r w:rsidRPr="00CC4535">
              <w:rPr>
                <w:rFonts w:ascii="Arial Narrow" w:hAnsi="Arial Narrow" w:cs="Arial"/>
                <w:sz w:val="22"/>
                <w:szCs w:val="22"/>
              </w:rPr>
              <w:t>3 (1.1)</w:t>
            </w:r>
          </w:p>
        </w:tc>
        <w:tc>
          <w:tcPr>
            <w:tcW w:w="752"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c>
          <w:tcPr>
            <w:tcW w:w="752"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c>
          <w:tcPr>
            <w:tcW w:w="851"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c>
          <w:tcPr>
            <w:tcW w:w="905"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r>
      <w:tr w:rsidR="00DE01F1" w:rsidRPr="0075437E" w:rsidTr="006476A0">
        <w:trPr>
          <w:trHeight w:val="258"/>
        </w:trPr>
        <w:tc>
          <w:tcPr>
            <w:tcW w:w="10206" w:type="dxa"/>
            <w:gridSpan w:val="14"/>
            <w:shd w:val="pct15" w:color="auto" w:fill="auto"/>
          </w:tcPr>
          <w:p w:rsidR="00DE01F1" w:rsidRPr="0075437E" w:rsidRDefault="00DE01F1" w:rsidP="00DE01F1">
            <w:pPr>
              <w:spacing w:before="120" w:after="120"/>
              <w:rPr>
                <w:sz w:val="16"/>
                <w:szCs w:val="16"/>
              </w:rPr>
            </w:pPr>
            <w:r w:rsidRPr="00CC4535">
              <w:rPr>
                <w:rFonts w:ascii="Arial Narrow" w:hAnsi="Arial Narrow"/>
                <w:b/>
                <w:sz w:val="22"/>
                <w:szCs w:val="22"/>
              </w:rPr>
              <w:t>Investigations</w:t>
            </w:r>
          </w:p>
        </w:tc>
      </w:tr>
      <w:tr w:rsidR="000D3254" w:rsidRPr="0075437E" w:rsidTr="00DE01F1">
        <w:trPr>
          <w:trHeight w:val="222"/>
        </w:trPr>
        <w:tc>
          <w:tcPr>
            <w:tcW w:w="2125" w:type="dxa"/>
            <w:gridSpan w:val="2"/>
          </w:tcPr>
          <w:p w:rsidR="000D3254" w:rsidRPr="00CC4535" w:rsidRDefault="000D3254" w:rsidP="00B4690F">
            <w:pPr>
              <w:keepNext/>
              <w:keepLines/>
              <w:spacing w:before="120" w:after="120"/>
              <w:rPr>
                <w:rFonts w:ascii="Arial Narrow" w:hAnsi="Arial Narrow" w:cs="Arial"/>
                <w:sz w:val="22"/>
                <w:szCs w:val="22"/>
              </w:rPr>
            </w:pPr>
            <w:r w:rsidRPr="00CC4535">
              <w:rPr>
                <w:rFonts w:ascii="Arial Narrow" w:hAnsi="Arial Narrow" w:cs="Arial"/>
                <w:sz w:val="22"/>
                <w:szCs w:val="22"/>
              </w:rPr>
              <w:t>Weight increased</w:t>
            </w:r>
          </w:p>
        </w:tc>
        <w:tc>
          <w:tcPr>
            <w:tcW w:w="708" w:type="dxa"/>
          </w:tcPr>
          <w:p w:rsidR="000D3254" w:rsidRPr="00CC4535" w:rsidRDefault="000D3254" w:rsidP="00B4690F">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736" w:type="dxa"/>
            <w:gridSpan w:val="2"/>
          </w:tcPr>
          <w:p w:rsidR="000D3254" w:rsidRPr="00CC4535" w:rsidRDefault="000D3254" w:rsidP="00B4690F">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826" w:type="dxa"/>
          </w:tcPr>
          <w:p w:rsidR="000D3254" w:rsidRPr="00CC4535" w:rsidRDefault="000D3254" w:rsidP="00B4690F">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850" w:type="dxa"/>
            <w:gridSpan w:val="2"/>
          </w:tcPr>
          <w:p w:rsidR="000D3254" w:rsidRPr="00CC4535" w:rsidRDefault="000D3254" w:rsidP="00B4690F">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851" w:type="dxa"/>
          </w:tcPr>
          <w:p w:rsidR="000D3254" w:rsidRPr="00CC4535" w:rsidRDefault="000D3254" w:rsidP="00B4690F">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850" w:type="dxa"/>
          </w:tcPr>
          <w:p w:rsidR="000D3254" w:rsidRPr="00CC4535" w:rsidRDefault="000D3254" w:rsidP="00B4690F">
            <w:pPr>
              <w:keepNext/>
              <w:keepLines/>
              <w:spacing w:before="120" w:after="120"/>
              <w:jc w:val="center"/>
              <w:rPr>
                <w:rFonts w:ascii="Arial Narrow" w:hAnsi="Arial Narrow" w:cs="Arial"/>
                <w:sz w:val="22"/>
                <w:szCs w:val="22"/>
              </w:rPr>
            </w:pPr>
            <w:r w:rsidRPr="00CC4535">
              <w:rPr>
                <w:rFonts w:ascii="Arial Narrow" w:hAnsi="Arial Narrow" w:cs="Arial"/>
                <w:sz w:val="22"/>
                <w:szCs w:val="22"/>
              </w:rPr>
              <w:t>--</w:t>
            </w:r>
          </w:p>
        </w:tc>
        <w:tc>
          <w:tcPr>
            <w:tcW w:w="752"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c>
          <w:tcPr>
            <w:tcW w:w="752"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c>
          <w:tcPr>
            <w:tcW w:w="851"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c>
          <w:tcPr>
            <w:tcW w:w="905" w:type="dxa"/>
            <w:vAlign w:val="center"/>
          </w:tcPr>
          <w:p w:rsidR="000D3254" w:rsidRPr="0075437E" w:rsidRDefault="000D3254" w:rsidP="00DE01F1">
            <w:pPr>
              <w:jc w:val="center"/>
              <w:rPr>
                <w:sz w:val="16"/>
                <w:szCs w:val="16"/>
              </w:rPr>
            </w:pPr>
            <w:r w:rsidRPr="00CC4535">
              <w:rPr>
                <w:rFonts w:ascii="Arial Narrow" w:hAnsi="Arial Narrow" w:cs="Arial"/>
                <w:sz w:val="22"/>
                <w:szCs w:val="22"/>
              </w:rPr>
              <w:t>--</w:t>
            </w:r>
          </w:p>
        </w:tc>
      </w:tr>
    </w:tbl>
    <w:p w:rsidR="00275D82" w:rsidRPr="0075437E" w:rsidRDefault="000D746A" w:rsidP="00547900">
      <w:pPr>
        <w:autoSpaceDE w:val="0"/>
        <w:autoSpaceDN w:val="0"/>
        <w:adjustRightInd w:val="0"/>
        <w:spacing w:before="120"/>
        <w:rPr>
          <w:rFonts w:ascii="Arial" w:eastAsia="MS Mincho" w:hAnsi="Arial" w:cs="Arial"/>
          <w:sz w:val="18"/>
          <w:szCs w:val="18"/>
          <w:lang w:eastAsia="ja-JP"/>
        </w:rPr>
      </w:pPr>
      <w:r>
        <w:rPr>
          <w:rFonts w:ascii="Arial" w:eastAsia="MS Mincho" w:hAnsi="Arial" w:cs="Arial"/>
          <w:sz w:val="18"/>
          <w:szCs w:val="18"/>
          <w:lang w:eastAsia="ja-JP"/>
        </w:rPr>
        <w:t>*</w:t>
      </w:r>
      <w:r w:rsidRPr="000D746A">
        <w:rPr>
          <w:rFonts w:ascii="Arial" w:eastAsia="MS Mincho" w:hAnsi="Arial" w:cs="Arial"/>
          <w:sz w:val="18"/>
          <w:szCs w:val="18"/>
          <w:lang w:eastAsia="ja-JP"/>
        </w:rPr>
        <w:t xml:space="preserve"> </w:t>
      </w:r>
      <w:r>
        <w:rPr>
          <w:rFonts w:ascii="Arial" w:eastAsia="MS Mincho" w:hAnsi="Arial" w:cs="Arial"/>
          <w:sz w:val="18"/>
          <w:szCs w:val="18"/>
          <w:lang w:eastAsia="ja-JP"/>
        </w:rPr>
        <w:t>Pooled data from 7</w:t>
      </w:r>
      <w:r w:rsidRPr="0075437E">
        <w:rPr>
          <w:rFonts w:ascii="Arial" w:eastAsia="MS Mincho" w:hAnsi="Arial" w:cs="Arial"/>
          <w:sz w:val="18"/>
          <w:szCs w:val="18"/>
          <w:lang w:eastAsia="ja-JP"/>
        </w:rPr>
        <w:t xml:space="preserve"> studies</w:t>
      </w:r>
      <w:r>
        <w:rPr>
          <w:rFonts w:ascii="Arial" w:eastAsia="MS Mincho" w:hAnsi="Arial" w:cs="Arial"/>
          <w:sz w:val="18"/>
          <w:szCs w:val="18"/>
          <w:lang w:eastAsia="ja-JP"/>
        </w:rPr>
        <w:br/>
      </w:r>
      <w:r w:rsidR="00275D82" w:rsidRPr="0075437E">
        <w:rPr>
          <w:rFonts w:ascii="Arial" w:eastAsia="MS Mincho" w:hAnsi="Arial" w:cs="Arial"/>
          <w:sz w:val="18"/>
          <w:szCs w:val="18"/>
          <w:lang w:eastAsia="ja-JP"/>
        </w:rPr>
        <w:t># Pooled data from 2 studies</w:t>
      </w:r>
    </w:p>
    <w:p w:rsidR="00275D82" w:rsidRPr="0075437E" w:rsidRDefault="00275D82" w:rsidP="00547900">
      <w:pPr>
        <w:rPr>
          <w:rFonts w:ascii="Arial" w:hAnsi="Arial" w:cs="Arial"/>
          <w:sz w:val="18"/>
          <w:szCs w:val="18"/>
        </w:rPr>
      </w:pPr>
      <w:r w:rsidRPr="0075437E">
        <w:rPr>
          <w:rFonts w:ascii="Arial" w:eastAsia="MS Mincho" w:hAnsi="Arial" w:cs="Arial"/>
          <w:sz w:val="18"/>
          <w:szCs w:val="18"/>
          <w:vertAlign w:val="superscript"/>
          <w:lang w:eastAsia="ja-JP"/>
        </w:rPr>
        <w:t>†</w:t>
      </w:r>
      <w:r w:rsidRPr="0075437E">
        <w:rPr>
          <w:rFonts w:ascii="Arial" w:eastAsia="MS Mincho" w:hAnsi="Arial" w:cs="Arial"/>
          <w:sz w:val="18"/>
          <w:szCs w:val="18"/>
          <w:lang w:eastAsia="ja-JP"/>
        </w:rPr>
        <w:t xml:space="preserve"> Includes reports of hypertriglyceridemia (n = 2; 1.2%) and blood triglycerides increased (n = 2; 1.2%)</w:t>
      </w:r>
    </w:p>
    <w:p w:rsidR="007378EF" w:rsidRPr="0075437E" w:rsidRDefault="007378EF" w:rsidP="004722B1">
      <w:pPr>
        <w:pStyle w:val="TextPI"/>
      </w:pPr>
      <w:r w:rsidRPr="0075437E">
        <w:t xml:space="preserve">Following 52 weeks treatment in a controlled study comparing linagliptin with </w:t>
      </w:r>
      <w:r w:rsidR="00A650DB" w:rsidRPr="0075437E">
        <w:t>glime</w:t>
      </w:r>
      <w:r w:rsidRPr="0075437E">
        <w:t xml:space="preserve">piride in which all patients were also receiving metformin, adverse reactions reported in ≥ 5% patients treated with linagliptin (n = 776) and more frequently than in patients treated with a sulfonylurea (n = 775) were </w:t>
      </w:r>
      <w:proofErr w:type="spellStart"/>
      <w:r w:rsidRPr="0075437E">
        <w:t>arthralgia</w:t>
      </w:r>
      <w:proofErr w:type="spellEnd"/>
      <w:r w:rsidRPr="0075437E">
        <w:t xml:space="preserve"> (5.7% </w:t>
      </w:r>
      <w:proofErr w:type="spellStart"/>
      <w:r w:rsidRPr="0075437E">
        <w:t>vs</w:t>
      </w:r>
      <w:proofErr w:type="spellEnd"/>
      <w:r w:rsidRPr="0075437E">
        <w:t xml:space="preserve"> 3.5%), back pain (6.4% </w:t>
      </w:r>
      <w:proofErr w:type="spellStart"/>
      <w:r w:rsidRPr="0075437E">
        <w:t>vs</w:t>
      </w:r>
      <w:proofErr w:type="spellEnd"/>
      <w:r w:rsidRPr="0075437E">
        <w:t xml:space="preserve"> 5.2%</w:t>
      </w:r>
      <w:r w:rsidR="00D62E23">
        <w:t xml:space="preserve">), and headache (5.7% </w:t>
      </w:r>
      <w:proofErr w:type="spellStart"/>
      <w:r w:rsidR="00D62E23">
        <w:t>vs</w:t>
      </w:r>
      <w:proofErr w:type="spellEnd"/>
      <w:r w:rsidR="00D62E23">
        <w:t xml:space="preserve"> 4.2%).</w:t>
      </w:r>
    </w:p>
    <w:p w:rsidR="00F3606B" w:rsidRDefault="007378EF" w:rsidP="00F3606B">
      <w:pPr>
        <w:pStyle w:val="TextPI"/>
      </w:pPr>
      <w:r w:rsidRPr="0075437E">
        <w:t>Other adverse reactions reported in clinical studies with treatment of TRAJENTA</w:t>
      </w:r>
      <w:r w:rsidR="00A650DB" w:rsidRPr="0075437E">
        <w:t xml:space="preserve"> </w:t>
      </w:r>
      <w:r w:rsidR="00230D3A" w:rsidRPr="0075437E">
        <w:t>we</w:t>
      </w:r>
      <w:r w:rsidR="003C6DC1" w:rsidRPr="0075437E">
        <w:t>re</w:t>
      </w:r>
      <w:r w:rsidRPr="0075437E">
        <w:t xml:space="preserve"> hypersensitivity (e.g., </w:t>
      </w:r>
      <w:proofErr w:type="spellStart"/>
      <w:r w:rsidRPr="0075437E">
        <w:t>urticaria</w:t>
      </w:r>
      <w:proofErr w:type="spellEnd"/>
      <w:r w:rsidRPr="0075437E">
        <w:t xml:space="preserve">, </w:t>
      </w:r>
      <w:proofErr w:type="spellStart"/>
      <w:r w:rsidRPr="0075437E">
        <w:t>angioedema</w:t>
      </w:r>
      <w:proofErr w:type="spellEnd"/>
      <w:r w:rsidRPr="0075437E">
        <w:t xml:space="preserve">, </w:t>
      </w:r>
      <w:proofErr w:type="spellStart"/>
      <w:r w:rsidR="00297F58" w:rsidRPr="0075437E">
        <w:t>localised</w:t>
      </w:r>
      <w:proofErr w:type="spellEnd"/>
      <w:r w:rsidR="00297F58" w:rsidRPr="0075437E">
        <w:t xml:space="preserve"> skin exfoliation</w:t>
      </w:r>
      <w:r w:rsidR="00452552" w:rsidRPr="0075437E">
        <w:t xml:space="preserve">, </w:t>
      </w:r>
      <w:r w:rsidRPr="0075437E">
        <w:t>or bronchial hyperreactivity)</w:t>
      </w:r>
      <w:r w:rsidR="00297F58" w:rsidRPr="0075437E">
        <w:t xml:space="preserve"> and myalgia</w:t>
      </w:r>
      <w:r w:rsidRPr="0075437E">
        <w:t>.</w:t>
      </w:r>
      <w:r w:rsidR="007E668D">
        <w:t xml:space="preserve"> </w:t>
      </w:r>
      <w:r w:rsidR="003C6390">
        <w:t xml:space="preserve">Urinary tract infections have also been reported at a higher rate in patients treated with TRAJENTA in combination with sulfonylurea compared to patients treated with placebo (3.1% </w:t>
      </w:r>
      <w:proofErr w:type="spellStart"/>
      <w:r w:rsidR="003C6390">
        <w:t>vs</w:t>
      </w:r>
      <w:proofErr w:type="spellEnd"/>
      <w:r w:rsidR="003C6390">
        <w:t xml:space="preserve"> 0.0%).</w:t>
      </w:r>
    </w:p>
    <w:p w:rsidR="007378EF" w:rsidRPr="0075437E" w:rsidRDefault="007378EF" w:rsidP="004722B1">
      <w:pPr>
        <w:pStyle w:val="TextPI"/>
      </w:pPr>
      <w:r w:rsidRPr="0075437E">
        <w:t>In the clinical trial program, pancreatitis was reported in 8 of 4687 patients (4311 patient years of exposure) while being treated with TRAJENTA compared with 0 of 1183 patients (433 patient years of exposure) treated with placebo. Three additional cases of pancreatitis were reported following the last administered dose of linagliptin.</w:t>
      </w:r>
    </w:p>
    <w:p w:rsidR="00547900" w:rsidRDefault="00B73E57" w:rsidP="000D36A6">
      <w:pPr>
        <w:pStyle w:val="PIheading4"/>
        <w:keepNext/>
      </w:pPr>
      <w:r w:rsidRPr="00B601F7">
        <w:t>Hypoglyc</w:t>
      </w:r>
      <w:r w:rsidRPr="00B601F7">
        <w:rPr>
          <w:rStyle w:val="TextPIChar"/>
          <w:i w:val="0"/>
        </w:rPr>
        <w:t>a</w:t>
      </w:r>
      <w:r w:rsidRPr="00B601F7">
        <w:t>emia</w:t>
      </w:r>
    </w:p>
    <w:p w:rsidR="00B166D6" w:rsidRDefault="007378EF" w:rsidP="003958DA">
      <w:pPr>
        <w:pStyle w:val="TextPI"/>
      </w:pPr>
      <w:r w:rsidRPr="0075437E">
        <w:t>In the placebo-controlled studies, 195 (7.6%) of the total 2566 patients treated with TRAJENTA 5</w:t>
      </w:r>
      <w:r w:rsidR="0020251F">
        <w:t> </w:t>
      </w:r>
      <w:r w:rsidRPr="0075437E">
        <w:t xml:space="preserve">mg reported </w:t>
      </w:r>
      <w:r w:rsidRPr="00547900">
        <w:t>hypoglyc</w:t>
      </w:r>
      <w:r w:rsidR="00E843EB" w:rsidRPr="00547900">
        <w:t>a</w:t>
      </w:r>
      <w:r w:rsidRPr="00547900">
        <w:t>emia compared to 49 patients (4.1%) of 1183 placebo treated patients.</w:t>
      </w:r>
      <w:r w:rsidR="007E668D">
        <w:t xml:space="preserve"> </w:t>
      </w:r>
      <w:r w:rsidRPr="00547900">
        <w:t>The incidence of hypoglyc</w:t>
      </w:r>
      <w:r w:rsidR="00906B2A" w:rsidRPr="00547900">
        <w:t>a</w:t>
      </w:r>
      <w:r w:rsidRPr="00547900">
        <w:t xml:space="preserve">emia was similar to placebo when linagliptin was administered </w:t>
      </w:r>
      <w:r w:rsidR="00D304D0" w:rsidRPr="00547900">
        <w:t xml:space="preserve">as monotherapy or </w:t>
      </w:r>
      <w:r w:rsidR="00906B2A" w:rsidRPr="00547900">
        <w:t>in combination with metformin</w:t>
      </w:r>
      <w:r w:rsidR="00DA12BC" w:rsidRPr="00547900">
        <w:t xml:space="preserve"> </w:t>
      </w:r>
      <w:r w:rsidR="00D304D0" w:rsidRPr="00547900">
        <w:t>or with pioglitazone.</w:t>
      </w:r>
      <w:r w:rsidR="007E668D">
        <w:t xml:space="preserve"> </w:t>
      </w:r>
      <w:r w:rsidRPr="00547900">
        <w:t>When linagliptin was administered in combination with metformin and a sulfonylurea, 181 of 791 (22.9%) of patients</w:t>
      </w:r>
      <w:r w:rsidRPr="0075437E">
        <w:t xml:space="preserve"> reported hypoglyc</w:t>
      </w:r>
      <w:r w:rsidR="006E26BA" w:rsidRPr="0075437E">
        <w:t>a</w:t>
      </w:r>
      <w:r w:rsidRPr="0075437E">
        <w:t>emia compared with 39 of 263 (14.8%) of patients administered placebo in combination with metformin and a sulfonylurea.</w:t>
      </w:r>
    </w:p>
    <w:p w:rsidR="00817CE4" w:rsidDel="00161728" w:rsidRDefault="00817CE4" w:rsidP="00817CE4">
      <w:pPr>
        <w:pStyle w:val="TextPI"/>
      </w:pPr>
      <w:r w:rsidRPr="00817CE4" w:rsidDel="00161728">
        <w:t>In the 24-week study of patients receiving TRAJENTA as add-on therapy to insulin, no significant difference in the incidence of hypoglycemia was noted between the TRAJENTA (25.5%) and insulin</w:t>
      </w:r>
      <w:r w:rsidR="00F57DA5">
        <w:t xml:space="preserve"> only</w:t>
      </w:r>
      <w:r w:rsidRPr="00817CE4" w:rsidDel="00161728">
        <w:t xml:space="preserve"> (26.3%) treated groups.</w:t>
      </w:r>
    </w:p>
    <w:p w:rsidR="00950CD6" w:rsidRDefault="00950CD6" w:rsidP="00950CD6">
      <w:pPr>
        <w:pStyle w:val="TextPI"/>
        <w:keepNext/>
        <w:keepLines/>
        <w:rPr>
          <w:i/>
        </w:rPr>
      </w:pPr>
      <w:r w:rsidRPr="0075437E">
        <w:rPr>
          <w:i/>
        </w:rPr>
        <w:t>Laboratory Tests</w:t>
      </w:r>
    </w:p>
    <w:p w:rsidR="00950CD6" w:rsidRPr="0075437E" w:rsidRDefault="00950CD6" w:rsidP="00950CD6">
      <w:pPr>
        <w:pStyle w:val="TextPI"/>
        <w:keepNext/>
        <w:keepLines/>
      </w:pPr>
      <w:r w:rsidRPr="0075437E">
        <w:t xml:space="preserve">Changes in laboratory findings were similar in patients treated with TRAJENTA 5 mg compared to patients treated with placebo. Changes in laboratory values that occurred more frequently in the TRAJENTA group and </w:t>
      </w:r>
      <w:r w:rsidRPr="0075437E">
        <w:sym w:font="Symbol" w:char="F0B3"/>
      </w:r>
      <w:r w:rsidRPr="0075437E">
        <w:t>1% more than in the placebo group were increases in uric acid (1.3% in the placebo group, 2.7% in the TRAJENTA group).</w:t>
      </w:r>
    </w:p>
    <w:p w:rsidR="000C4C67" w:rsidRPr="00242030" w:rsidRDefault="000C4C67" w:rsidP="00C10370">
      <w:pPr>
        <w:pStyle w:val="PIheading2"/>
      </w:pPr>
      <w:r w:rsidRPr="00242030">
        <w:t>Post Marketing Experience</w:t>
      </w:r>
    </w:p>
    <w:p w:rsidR="00A7020B" w:rsidRPr="00242030" w:rsidRDefault="000C4C67" w:rsidP="003958DA">
      <w:pPr>
        <w:pStyle w:val="TextPI"/>
      </w:pPr>
      <w:r w:rsidRPr="00242030">
        <w:t>From post-marketing experience, the following side effects have been reported</w:t>
      </w:r>
      <w:r w:rsidR="00A7020B" w:rsidRPr="00242030">
        <w:t xml:space="preserve"> and are listed below by system organ class and frequency according to the following categories:</w:t>
      </w:r>
    </w:p>
    <w:p w:rsidR="00817CE4" w:rsidRPr="00242030" w:rsidRDefault="000C4C67" w:rsidP="003958DA">
      <w:pPr>
        <w:pStyle w:val="TextPI"/>
        <w:rPr>
          <w:rFonts w:cs="Arial"/>
          <w:szCs w:val="24"/>
        </w:rPr>
      </w:pPr>
      <w:r w:rsidRPr="00242030">
        <w:t xml:space="preserve">Common </w:t>
      </w:r>
      <w:r w:rsidRPr="00242030">
        <w:rPr>
          <w:rFonts w:cs="Arial"/>
          <w:szCs w:val="24"/>
        </w:rPr>
        <w:t>≥1% and &lt;10%, Uncommon ≥0.1% and &lt;1%, Rare ≥0.01% and &lt;0.1%</w:t>
      </w:r>
    </w:p>
    <w:p w:rsidR="00A7020B" w:rsidRPr="00242030" w:rsidRDefault="00A7020B" w:rsidP="003958DA">
      <w:pPr>
        <w:pStyle w:val="TextPI"/>
      </w:pPr>
      <w:r w:rsidRPr="00242030">
        <w:t>Immune system disorders</w:t>
      </w:r>
      <w:r w:rsidR="00957BD8" w:rsidRPr="00242030">
        <w:tab/>
      </w:r>
      <w:r w:rsidR="00957BD8" w:rsidRPr="00242030">
        <w:tab/>
      </w:r>
      <w:r w:rsidR="00957BD8" w:rsidRPr="00242030">
        <w:tab/>
      </w:r>
      <w:r w:rsidR="00957BD8" w:rsidRPr="00242030">
        <w:tab/>
      </w:r>
      <w:r w:rsidRPr="00242030">
        <w:t>Rare: angioedema, urticaria</w:t>
      </w:r>
    </w:p>
    <w:p w:rsidR="00957BD8" w:rsidRPr="00A7020B" w:rsidRDefault="00957BD8" w:rsidP="003958DA">
      <w:pPr>
        <w:pStyle w:val="TextPI"/>
      </w:pPr>
      <w:r w:rsidRPr="00242030">
        <w:t>Skin and subcutaneous tissue disorders</w:t>
      </w:r>
      <w:r w:rsidRPr="00242030">
        <w:tab/>
      </w:r>
      <w:r w:rsidRPr="00242030">
        <w:tab/>
        <w:t>Uncommon: rash</w:t>
      </w:r>
    </w:p>
    <w:bookmarkEnd w:id="2"/>
    <w:p w:rsidR="00014579" w:rsidRPr="0075437E" w:rsidRDefault="00014579" w:rsidP="000A1804">
      <w:pPr>
        <w:pStyle w:val="PIHeading1"/>
      </w:pPr>
      <w:r w:rsidRPr="0075437E">
        <w:t>DOSAGE AND ADMINISTRATION</w:t>
      </w:r>
    </w:p>
    <w:p w:rsidR="00A860B1" w:rsidRPr="0075437E" w:rsidRDefault="00C92B7B" w:rsidP="00100CC7">
      <w:pPr>
        <w:pStyle w:val="PIheading4"/>
        <w:rPr>
          <w:rStyle w:val="TextPIChar"/>
          <w:i w:val="0"/>
        </w:rPr>
      </w:pPr>
      <w:r w:rsidRPr="0075437E">
        <w:t>Adult</w:t>
      </w:r>
      <w:r w:rsidR="0097780A" w:rsidRPr="0075437E">
        <w:t>s</w:t>
      </w:r>
      <w:r w:rsidRPr="0075437E">
        <w:rPr>
          <w:rStyle w:val="TextPIChar"/>
          <w:i w:val="0"/>
        </w:rPr>
        <w:t>:</w:t>
      </w:r>
      <w:r w:rsidR="007E668D">
        <w:rPr>
          <w:rStyle w:val="TextPIChar"/>
          <w:i w:val="0"/>
        </w:rPr>
        <w:t xml:space="preserve"> </w:t>
      </w:r>
      <w:r w:rsidRPr="0075437E">
        <w:rPr>
          <w:rStyle w:val="TextPIChar"/>
          <w:i w:val="0"/>
        </w:rPr>
        <w:t xml:space="preserve">The </w:t>
      </w:r>
      <w:r w:rsidR="00FC0909" w:rsidRPr="0075437E">
        <w:rPr>
          <w:rStyle w:val="TextPIChar"/>
          <w:i w:val="0"/>
        </w:rPr>
        <w:t>recommended dose is 5 mg once daily.</w:t>
      </w:r>
    </w:p>
    <w:p w:rsidR="00A860B1" w:rsidRPr="0075437E" w:rsidRDefault="00F90617" w:rsidP="00100CC7">
      <w:pPr>
        <w:pStyle w:val="PIheading4"/>
        <w:rPr>
          <w:rStyle w:val="TextPIChar"/>
          <w:i w:val="0"/>
        </w:rPr>
      </w:pPr>
      <w:r w:rsidRPr="0075437E">
        <w:rPr>
          <w:rStyle w:val="TextPIChar"/>
          <w:i w:val="0"/>
        </w:rPr>
        <w:t>TRAJENTA</w:t>
      </w:r>
      <w:r w:rsidR="00FC0909" w:rsidRPr="0075437E">
        <w:rPr>
          <w:rStyle w:val="TextPIChar"/>
          <w:i w:val="0"/>
        </w:rPr>
        <w:t xml:space="preserve"> </w:t>
      </w:r>
      <w:r w:rsidR="00C92B7B" w:rsidRPr="0075437E">
        <w:rPr>
          <w:rStyle w:val="TextPIChar"/>
          <w:i w:val="0"/>
        </w:rPr>
        <w:t xml:space="preserve">can be </w:t>
      </w:r>
      <w:r w:rsidR="00A860B1" w:rsidRPr="0075437E">
        <w:rPr>
          <w:rStyle w:val="TextPIChar"/>
          <w:i w:val="0"/>
        </w:rPr>
        <w:t xml:space="preserve">taken with or without </w:t>
      </w:r>
      <w:r w:rsidR="009602B8" w:rsidRPr="0075437E">
        <w:rPr>
          <w:rStyle w:val="TextPIChar"/>
          <w:i w:val="0"/>
        </w:rPr>
        <w:t xml:space="preserve">a meal </w:t>
      </w:r>
      <w:r w:rsidR="00A860B1" w:rsidRPr="0075437E">
        <w:rPr>
          <w:rStyle w:val="TextPIChar"/>
          <w:i w:val="0"/>
        </w:rPr>
        <w:t>at any time of the day.</w:t>
      </w:r>
    </w:p>
    <w:p w:rsidR="00C92B7B" w:rsidRPr="0075437E" w:rsidRDefault="00A860B1" w:rsidP="00100CC7">
      <w:pPr>
        <w:pStyle w:val="PIheading4"/>
        <w:rPr>
          <w:rStyle w:val="TextPIChar"/>
          <w:i w:val="0"/>
        </w:rPr>
      </w:pPr>
      <w:r w:rsidRPr="0075437E">
        <w:rPr>
          <w:rStyle w:val="TextPIChar"/>
          <w:i w:val="0"/>
        </w:rPr>
        <w:t>If a dose is missed, it should be taken as soon as the patient remembers.</w:t>
      </w:r>
      <w:r w:rsidR="007E668D">
        <w:rPr>
          <w:rStyle w:val="TextPIChar"/>
          <w:i w:val="0"/>
        </w:rPr>
        <w:t xml:space="preserve"> </w:t>
      </w:r>
      <w:r w:rsidRPr="0075437E">
        <w:rPr>
          <w:rStyle w:val="TextPIChar"/>
          <w:i w:val="0"/>
        </w:rPr>
        <w:t>A double dose should not be taken on the same day.</w:t>
      </w:r>
    </w:p>
    <w:p w:rsidR="00FC0909" w:rsidRPr="0075437E" w:rsidRDefault="0097780A" w:rsidP="00100CC7">
      <w:pPr>
        <w:pStyle w:val="PIheading4"/>
        <w:rPr>
          <w:rStyle w:val="TextPIChar"/>
          <w:i w:val="0"/>
        </w:rPr>
      </w:pPr>
      <w:r w:rsidRPr="0075437E">
        <w:t>The e</w:t>
      </w:r>
      <w:r w:rsidR="00FC0909" w:rsidRPr="0075437E">
        <w:t>lderly</w:t>
      </w:r>
      <w:r w:rsidR="00FC0909" w:rsidRPr="0075437E">
        <w:rPr>
          <w:rStyle w:val="TextPIChar"/>
          <w:i w:val="0"/>
        </w:rPr>
        <w:t>:</w:t>
      </w:r>
      <w:r w:rsidR="007E668D">
        <w:rPr>
          <w:rStyle w:val="TextPIChar"/>
          <w:i w:val="0"/>
        </w:rPr>
        <w:t xml:space="preserve"> </w:t>
      </w:r>
      <w:r w:rsidR="00FC0909" w:rsidRPr="0075437E">
        <w:rPr>
          <w:rStyle w:val="TextPIChar"/>
          <w:i w:val="0"/>
        </w:rPr>
        <w:t>No dose adjustment is necessary.</w:t>
      </w:r>
    </w:p>
    <w:p w:rsidR="00C92B7B" w:rsidRPr="0075437E" w:rsidRDefault="00014579" w:rsidP="00100CC7">
      <w:pPr>
        <w:pStyle w:val="PIheading4"/>
        <w:rPr>
          <w:rStyle w:val="TextPIChar"/>
          <w:i w:val="0"/>
        </w:rPr>
      </w:pPr>
      <w:r w:rsidRPr="0075437E">
        <w:t>Children</w:t>
      </w:r>
      <w:r w:rsidRPr="0075437E">
        <w:rPr>
          <w:rStyle w:val="TextPIChar"/>
          <w:i w:val="0"/>
        </w:rPr>
        <w:t>:</w:t>
      </w:r>
      <w:r w:rsidR="007E668D">
        <w:rPr>
          <w:rStyle w:val="TextPIChar"/>
          <w:i w:val="0"/>
        </w:rPr>
        <w:t xml:space="preserve"> </w:t>
      </w:r>
      <w:r w:rsidR="00F90617" w:rsidRPr="0075437E">
        <w:rPr>
          <w:rStyle w:val="TextPIChar"/>
          <w:i w:val="0"/>
        </w:rPr>
        <w:t>TRAJENTA</w:t>
      </w:r>
      <w:r w:rsidR="00FC0909" w:rsidRPr="0075437E">
        <w:rPr>
          <w:rStyle w:val="TextPIChar"/>
          <w:i w:val="0"/>
        </w:rPr>
        <w:t xml:space="preserve"> is not recommended for use in children below 18 years due to lack of data on safety and efficacy</w:t>
      </w:r>
      <w:r w:rsidR="00C92B7B" w:rsidRPr="0075437E">
        <w:rPr>
          <w:rStyle w:val="TextPIChar"/>
          <w:i w:val="0"/>
        </w:rPr>
        <w:t>.</w:t>
      </w:r>
    </w:p>
    <w:p w:rsidR="00717687" w:rsidRPr="00182368" w:rsidRDefault="00C92B7B" w:rsidP="000C0280">
      <w:pPr>
        <w:autoSpaceDE w:val="0"/>
        <w:autoSpaceDN w:val="0"/>
        <w:adjustRightInd w:val="0"/>
        <w:jc w:val="both"/>
        <w:rPr>
          <w:rStyle w:val="TextPIChar"/>
        </w:rPr>
      </w:pPr>
      <w:r w:rsidRPr="0075437E">
        <w:rPr>
          <w:rFonts w:ascii="Arial" w:hAnsi="Arial"/>
          <w:i/>
          <w:sz w:val="22"/>
          <w:szCs w:val="22"/>
        </w:rPr>
        <w:t>Patients with renal impairment</w:t>
      </w:r>
      <w:r w:rsidRPr="0075437E">
        <w:t>:</w:t>
      </w:r>
      <w:r w:rsidR="007E668D">
        <w:rPr>
          <w:rStyle w:val="TextPIChar"/>
          <w:i/>
        </w:rPr>
        <w:t xml:space="preserve"> </w:t>
      </w:r>
      <w:r w:rsidRPr="0075437E">
        <w:rPr>
          <w:rStyle w:val="TextPIChar"/>
        </w:rPr>
        <w:t xml:space="preserve">No dosage adjustment is </w:t>
      </w:r>
      <w:r w:rsidR="00FC0909" w:rsidRPr="0075437E">
        <w:rPr>
          <w:rStyle w:val="TextPIChar"/>
        </w:rPr>
        <w:t>required for</w:t>
      </w:r>
      <w:r w:rsidRPr="0075437E">
        <w:rPr>
          <w:rStyle w:val="TextPIChar"/>
        </w:rPr>
        <w:t xml:space="preserve"> patients with </w:t>
      </w:r>
      <w:r w:rsidR="00FC0909" w:rsidRPr="0075437E">
        <w:rPr>
          <w:rStyle w:val="TextPIChar"/>
        </w:rPr>
        <w:t>renal impairment.</w:t>
      </w:r>
    </w:p>
    <w:p w:rsidR="00FC0909" w:rsidRPr="0075437E" w:rsidRDefault="00FC0909" w:rsidP="00182368">
      <w:pPr>
        <w:pStyle w:val="TextPI"/>
        <w:rPr>
          <w:rStyle w:val="TextPIChar"/>
        </w:rPr>
      </w:pPr>
      <w:r w:rsidRPr="0075437E">
        <w:rPr>
          <w:i/>
        </w:rPr>
        <w:t>Patients with hepatic impairment</w:t>
      </w:r>
      <w:r w:rsidRPr="0075437E">
        <w:t>:</w:t>
      </w:r>
      <w:r w:rsidR="007E668D">
        <w:rPr>
          <w:rStyle w:val="TextPIChar"/>
          <w:i/>
        </w:rPr>
        <w:t xml:space="preserve"> </w:t>
      </w:r>
      <w:r w:rsidRPr="0075437E">
        <w:rPr>
          <w:rStyle w:val="TextPIChar"/>
        </w:rPr>
        <w:t>No dosage adjustment is required for patients with hepatic impairment.</w:t>
      </w:r>
    </w:p>
    <w:p w:rsidR="00014579" w:rsidRPr="0075437E" w:rsidRDefault="00014579" w:rsidP="000C0280">
      <w:pPr>
        <w:pStyle w:val="PIHeading1"/>
      </w:pPr>
      <w:r w:rsidRPr="0075437E">
        <w:t>OVERDOSAGE</w:t>
      </w:r>
    </w:p>
    <w:p w:rsidR="00D30CB5" w:rsidRPr="0075437E" w:rsidRDefault="0097780A" w:rsidP="00100CC7">
      <w:pPr>
        <w:pStyle w:val="TextPI"/>
      </w:pPr>
      <w:r w:rsidRPr="0075437E">
        <w:t>For information on the management of overdose</w:t>
      </w:r>
      <w:r w:rsidR="007C18E3" w:rsidRPr="0075437E">
        <w:t xml:space="preserve">, </w:t>
      </w:r>
      <w:r w:rsidRPr="0075437E">
        <w:t>contact</w:t>
      </w:r>
      <w:r w:rsidR="007C18E3" w:rsidRPr="0075437E">
        <w:t xml:space="preserve"> the Poisons In</w:t>
      </w:r>
      <w:r w:rsidR="00A35804" w:rsidRPr="0075437E">
        <w:t xml:space="preserve">formation Centre </w:t>
      </w:r>
      <w:r w:rsidRPr="0075437E">
        <w:t>on</w:t>
      </w:r>
      <w:r w:rsidR="00A35804" w:rsidRPr="0075437E">
        <w:t xml:space="preserve"> 13 11 </w:t>
      </w:r>
      <w:r w:rsidR="007C18E3" w:rsidRPr="0075437E">
        <w:t>26</w:t>
      </w:r>
      <w:r w:rsidRPr="0075437E">
        <w:t xml:space="preserve"> (Australia)</w:t>
      </w:r>
      <w:r w:rsidR="009A6108">
        <w:t>.</w:t>
      </w:r>
    </w:p>
    <w:p w:rsidR="00D30CB5" w:rsidRPr="0075437E" w:rsidRDefault="00D30CB5" w:rsidP="00D30CB5">
      <w:pPr>
        <w:pStyle w:val="PIheading2"/>
      </w:pPr>
      <w:r w:rsidRPr="0075437E">
        <w:t>Symptoms</w:t>
      </w:r>
    </w:p>
    <w:p w:rsidR="00E235D5" w:rsidRPr="0075437E" w:rsidRDefault="00E235D5" w:rsidP="00100CC7">
      <w:pPr>
        <w:pStyle w:val="TextPI"/>
      </w:pPr>
      <w:r w:rsidRPr="0075437E">
        <w:t>During controlled clinical trials in healthy subjects, single doses of up to 600 mg linagliptin (equivalent to 120 times the recommended dose) were well tolerated.</w:t>
      </w:r>
      <w:r w:rsidR="007E668D">
        <w:t xml:space="preserve"> </w:t>
      </w:r>
      <w:r w:rsidRPr="0075437E">
        <w:t>There is no experience with doses above 600 mg in humans.</w:t>
      </w:r>
    </w:p>
    <w:p w:rsidR="00D30CB5" w:rsidRPr="0075437E" w:rsidRDefault="0097780A" w:rsidP="00D30CB5">
      <w:pPr>
        <w:pStyle w:val="PIheading2"/>
      </w:pPr>
      <w:r w:rsidRPr="0075437E">
        <w:t>Treatment</w:t>
      </w:r>
    </w:p>
    <w:p w:rsidR="00706B94" w:rsidRPr="0075437E" w:rsidRDefault="00706B94" w:rsidP="00100CC7">
      <w:pPr>
        <w:pStyle w:val="TextPI"/>
      </w:pPr>
      <w:r w:rsidRPr="0075437E">
        <w:t>In the event of an overdose, it is reasonable to employ the usual supportive measures, e.g. remove unabsorbed material from the gastrointestinal tract, employ clinical monitoring and institute clinical measures as required.</w:t>
      </w:r>
    </w:p>
    <w:p w:rsidR="00014579" w:rsidRPr="0075437E" w:rsidRDefault="00014579" w:rsidP="000A1804">
      <w:pPr>
        <w:pStyle w:val="PIHeading1"/>
      </w:pPr>
      <w:r w:rsidRPr="0075437E">
        <w:t>PRESENTATION</w:t>
      </w:r>
      <w:r w:rsidR="00071BF6" w:rsidRPr="0075437E">
        <w:t xml:space="preserve"> AND STORAGE CONDITIONS</w:t>
      </w:r>
    </w:p>
    <w:p w:rsidR="00B13B89" w:rsidRPr="0075437E" w:rsidRDefault="00F90617" w:rsidP="00100CC7">
      <w:pPr>
        <w:pStyle w:val="TextPI"/>
      </w:pPr>
      <w:r w:rsidRPr="0075437E">
        <w:t>TRAJENTA</w:t>
      </w:r>
      <w:r w:rsidR="00B13B89" w:rsidRPr="0075437E">
        <w:t xml:space="preserve"> tablets are </w:t>
      </w:r>
      <w:r w:rsidR="00706B94" w:rsidRPr="0075437E">
        <w:t xml:space="preserve">round, light red, biconvex, bevel-edged film-coated tablets, one side </w:t>
      </w:r>
      <w:r w:rsidR="00B13B89" w:rsidRPr="0075437E">
        <w:t>debossed with the Boehringer Ingelheim company logo and on the other side</w:t>
      </w:r>
      <w:r w:rsidR="00706B94" w:rsidRPr="0075437E">
        <w:t xml:space="preserve"> debossed with ‘D5</w:t>
      </w:r>
      <w:r w:rsidR="00B13B89" w:rsidRPr="0075437E">
        <w:t>’.</w:t>
      </w:r>
      <w:r w:rsidR="007E668D">
        <w:t xml:space="preserve"> </w:t>
      </w:r>
      <w:r w:rsidR="00B13B89" w:rsidRPr="0075437E">
        <w:t>Each table</w:t>
      </w:r>
      <w:r w:rsidR="00840E5D" w:rsidRPr="0075437E">
        <w:t>t</w:t>
      </w:r>
      <w:r w:rsidR="00B13B89" w:rsidRPr="0075437E">
        <w:t xml:space="preserve"> contains </w:t>
      </w:r>
      <w:r w:rsidR="00706B94" w:rsidRPr="0075437E">
        <w:t>5 mg linaglipti</w:t>
      </w:r>
      <w:r w:rsidR="00D62E23">
        <w:t>n.</w:t>
      </w:r>
    </w:p>
    <w:p w:rsidR="006A1051" w:rsidRPr="0075437E" w:rsidRDefault="00F90617" w:rsidP="00100CC7">
      <w:pPr>
        <w:pStyle w:val="TextPI"/>
      </w:pPr>
      <w:r w:rsidRPr="0075437E">
        <w:t>TRAJENTA</w:t>
      </w:r>
      <w:r w:rsidR="00B13B89" w:rsidRPr="0075437E">
        <w:t xml:space="preserve"> is available in blister packs containing </w:t>
      </w:r>
      <w:r w:rsidR="006A1051" w:rsidRPr="0075437E">
        <w:t>10</w:t>
      </w:r>
      <w:r w:rsidR="00656F0B" w:rsidRPr="0075437E">
        <w:t xml:space="preserve"> (sample) and</w:t>
      </w:r>
      <w:r w:rsidR="006A1051" w:rsidRPr="0075437E">
        <w:t xml:space="preserve"> 30</w:t>
      </w:r>
      <w:r w:rsidR="00656F0B" w:rsidRPr="0075437E">
        <w:t xml:space="preserve"> </w:t>
      </w:r>
      <w:r w:rsidR="006A1051" w:rsidRPr="0075437E">
        <w:t>tablets.</w:t>
      </w:r>
    </w:p>
    <w:p w:rsidR="007C18E3" w:rsidRPr="0075437E" w:rsidRDefault="007C18E3" w:rsidP="00100CC7">
      <w:pPr>
        <w:pStyle w:val="TextPI"/>
      </w:pPr>
      <w:r w:rsidRPr="0075437E">
        <w:t>Store below 30</w:t>
      </w:r>
      <w:r w:rsidRPr="0075437E">
        <w:sym w:font="Symbol" w:char="F0B0"/>
      </w:r>
      <w:r w:rsidRPr="0075437E">
        <w:t>C</w:t>
      </w:r>
      <w:r w:rsidR="009A6108">
        <w:t>.</w:t>
      </w:r>
    </w:p>
    <w:p w:rsidR="000A1804" w:rsidRPr="0075437E" w:rsidRDefault="000A1804" w:rsidP="000A1804">
      <w:pPr>
        <w:pStyle w:val="PIHeading1"/>
      </w:pPr>
      <w:r w:rsidRPr="0075437E">
        <w:t>NAME AND ADDRESS OF THE SPONSOR</w:t>
      </w:r>
    </w:p>
    <w:p w:rsidR="000A1804" w:rsidRPr="0075437E" w:rsidRDefault="000A1804" w:rsidP="00100CC7">
      <w:pPr>
        <w:pStyle w:val="TextPI"/>
      </w:pPr>
      <w:r w:rsidRPr="0075437E">
        <w:t>Boehringer Ingelheim Pty Limited</w:t>
      </w:r>
    </w:p>
    <w:p w:rsidR="000A1804" w:rsidRPr="0075437E" w:rsidRDefault="000A1804" w:rsidP="00100CC7">
      <w:pPr>
        <w:pStyle w:val="TextPI"/>
      </w:pPr>
      <w:r w:rsidRPr="0075437E">
        <w:t>ABN 52 000 452 308</w:t>
      </w:r>
    </w:p>
    <w:p w:rsidR="000A1804" w:rsidRPr="0075437E" w:rsidRDefault="000A1804" w:rsidP="00100CC7">
      <w:pPr>
        <w:pStyle w:val="TextPI"/>
      </w:pPr>
      <w:smartTag w:uri="urn:schemas-microsoft-com:office:smarttags" w:element="country-region">
        <w:r w:rsidRPr="0075437E">
          <w:t>78 Waterloo Road</w:t>
        </w:r>
      </w:smartTag>
    </w:p>
    <w:p w:rsidR="000A1804" w:rsidRPr="0075437E" w:rsidRDefault="000A1804" w:rsidP="00100CC7">
      <w:pPr>
        <w:pStyle w:val="TextPI"/>
      </w:pPr>
      <w:r w:rsidRPr="0075437E">
        <w:t>North Ryde</w:t>
      </w:r>
      <w:r w:rsidR="00924782" w:rsidRPr="0075437E">
        <w:t xml:space="preserve"> </w:t>
      </w:r>
      <w:r w:rsidRPr="0075437E">
        <w:t>NSW 2113</w:t>
      </w:r>
    </w:p>
    <w:p w:rsidR="000A1804" w:rsidRPr="0075437E" w:rsidRDefault="000A1804" w:rsidP="000A1804">
      <w:pPr>
        <w:pStyle w:val="PIHeading1"/>
      </w:pPr>
      <w:r w:rsidRPr="0075437E">
        <w:t>POISON SCHEDULE OF THE MEDICINE</w:t>
      </w:r>
    </w:p>
    <w:p w:rsidR="00182368" w:rsidRPr="0075437E" w:rsidRDefault="000A1804" w:rsidP="00100CC7">
      <w:pPr>
        <w:pStyle w:val="TextPI"/>
      </w:pPr>
      <w:r w:rsidRPr="0075437E">
        <w:t>S4 – Prescription Only Medicine</w:t>
      </w:r>
    </w:p>
    <w:p w:rsidR="00B5452C" w:rsidRDefault="00542D9C" w:rsidP="009C4E02">
      <w:pPr>
        <w:pStyle w:val="PIHeading1"/>
        <w:tabs>
          <w:tab w:val="clear" w:pos="1418"/>
        </w:tabs>
        <w:ind w:left="0" w:firstLine="0"/>
        <w:jc w:val="left"/>
      </w:pPr>
      <w:r w:rsidRPr="00EB2727">
        <w:t xml:space="preserve">Date of first inclusion in the </w:t>
      </w:r>
      <w:r w:rsidR="001F43E7" w:rsidRPr="00EB2727">
        <w:t>Australia</w:t>
      </w:r>
      <w:r w:rsidR="00E44D7A">
        <w:t xml:space="preserve">n Register of Therapeutic Goods </w:t>
      </w:r>
      <w:r w:rsidR="00983CA9">
        <w:t>(ARTG):</w:t>
      </w:r>
    </w:p>
    <w:p w:rsidR="00014579" w:rsidRDefault="00EB2727" w:rsidP="00B5452C">
      <w:pPr>
        <w:pStyle w:val="PIHeading1"/>
        <w:keepNext w:val="0"/>
        <w:tabs>
          <w:tab w:val="clear" w:pos="1418"/>
        </w:tabs>
        <w:ind w:left="0" w:firstLine="0"/>
        <w:jc w:val="left"/>
      </w:pPr>
      <w:r w:rsidRPr="009C4E02">
        <w:rPr>
          <w:b w:val="0"/>
        </w:rPr>
        <w:t>1 November 2011</w:t>
      </w:r>
    </w:p>
    <w:p w:rsidR="00B5452C" w:rsidRDefault="002B5A5D" w:rsidP="0017596B">
      <w:pPr>
        <w:pStyle w:val="PIHeading1"/>
        <w:tabs>
          <w:tab w:val="clear" w:pos="1418"/>
        </w:tabs>
        <w:ind w:left="0" w:firstLine="0"/>
        <w:jc w:val="left"/>
      </w:pPr>
      <w:r>
        <w:t>Date of most recent amendment:</w:t>
      </w:r>
    </w:p>
    <w:p w:rsidR="002B5A5D" w:rsidRPr="00E44D7A" w:rsidRDefault="009C4E02" w:rsidP="00B5452C">
      <w:pPr>
        <w:pStyle w:val="PIHeading1"/>
        <w:keepNext w:val="0"/>
        <w:tabs>
          <w:tab w:val="clear" w:pos="1418"/>
        </w:tabs>
        <w:ind w:left="0" w:firstLine="0"/>
        <w:jc w:val="left"/>
      </w:pPr>
      <w:r w:rsidRPr="009C4E02">
        <w:rPr>
          <w:b w:val="0"/>
        </w:rPr>
        <w:t>9 May 2013</w:t>
      </w:r>
    </w:p>
    <w:sectPr w:rsidR="002B5A5D" w:rsidRPr="00E44D7A" w:rsidSect="007154C0">
      <w:headerReference w:type="default" r:id="rId9"/>
      <w:footerReference w:type="default" r:id="rId10"/>
      <w:footerReference w:type="first" r:id="rId11"/>
      <w:pgSz w:w="11907" w:h="16840" w:code="9"/>
      <w:pgMar w:top="993" w:right="1021" w:bottom="993" w:left="1247" w:header="425" w:footer="585" w:gutter="0"/>
      <w:pgNumType w:start="1" w:chapStyle="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EE4" w:rsidRDefault="00AD5EE4" w:rsidP="0072268C">
      <w:r>
        <w:separator/>
      </w:r>
    </w:p>
  </w:endnote>
  <w:endnote w:type="continuationSeparator" w:id="0">
    <w:p w:rsidR="00AD5EE4" w:rsidRDefault="00AD5EE4" w:rsidP="007226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ISansCond">
    <w:charset w:val="00"/>
    <w:family w:val="auto"/>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4" w:rsidRPr="005B744D" w:rsidRDefault="00AD5EE4" w:rsidP="00C845F0">
    <w:pPr>
      <w:pStyle w:val="Footer"/>
      <w:pBdr>
        <w:top w:val="single" w:sz="4" w:space="1" w:color="auto"/>
      </w:pBdr>
      <w:tabs>
        <w:tab w:val="clear" w:pos="9026"/>
        <w:tab w:val="right" w:pos="9639"/>
      </w:tabs>
      <w:spacing w:before="120"/>
      <w:rPr>
        <w:rFonts w:ascii="Arial" w:hAnsi="Arial" w:cs="Arial"/>
        <w:sz w:val="20"/>
      </w:rPr>
    </w:pPr>
    <w:r>
      <w:rPr>
        <w:rFonts w:ascii="Arial" w:hAnsi="Arial" w:cs="Arial"/>
        <w:sz w:val="20"/>
      </w:rPr>
      <w:t>PI0137-02</w:t>
    </w:r>
    <w:r>
      <w:rPr>
        <w:rFonts w:ascii="Arial" w:hAnsi="Arial" w:cs="Arial"/>
        <w:sz w:val="20"/>
      </w:rPr>
      <w:tab/>
    </w:r>
    <w:r>
      <w:tab/>
    </w:r>
    <w:r w:rsidRPr="00FD53E5">
      <w:rPr>
        <w:rFonts w:ascii="Arial" w:hAnsi="Arial" w:cs="Arial"/>
        <w:sz w:val="20"/>
      </w:rPr>
      <w:t>Page</w:t>
    </w:r>
    <w:r>
      <w:rPr>
        <w:rFonts w:ascii="Arial" w:hAnsi="Arial" w:cs="Arial"/>
        <w:sz w:val="20"/>
      </w:rPr>
      <w:t xml:space="preserve"> </w:t>
    </w:r>
    <w:r w:rsidR="009E7ED2" w:rsidRPr="00FD53E5">
      <w:rPr>
        <w:rFonts w:ascii="Arial" w:hAnsi="Arial" w:cs="Arial"/>
        <w:sz w:val="20"/>
      </w:rPr>
      <w:fldChar w:fldCharType="begin"/>
    </w:r>
    <w:r w:rsidRPr="00FD53E5">
      <w:rPr>
        <w:rFonts w:ascii="Arial" w:hAnsi="Arial" w:cs="Arial"/>
        <w:sz w:val="20"/>
      </w:rPr>
      <w:instrText xml:space="preserve"> PAGE </w:instrText>
    </w:r>
    <w:r w:rsidR="009E7ED2" w:rsidRPr="00FD53E5">
      <w:rPr>
        <w:rFonts w:ascii="Arial" w:hAnsi="Arial" w:cs="Arial"/>
        <w:sz w:val="20"/>
      </w:rPr>
      <w:fldChar w:fldCharType="separate"/>
    </w:r>
    <w:r w:rsidR="006D3744">
      <w:rPr>
        <w:rFonts w:ascii="Arial" w:hAnsi="Arial" w:cs="Arial"/>
        <w:noProof/>
        <w:sz w:val="20"/>
      </w:rPr>
      <w:t>12</w:t>
    </w:r>
    <w:r w:rsidR="009E7ED2" w:rsidRPr="00FD53E5">
      <w:rPr>
        <w:rFonts w:ascii="Arial" w:hAnsi="Arial" w:cs="Arial"/>
        <w:sz w:val="20"/>
      </w:rPr>
      <w:fldChar w:fldCharType="end"/>
    </w:r>
    <w:r w:rsidRPr="00FD53E5">
      <w:rPr>
        <w:rFonts w:ascii="Arial" w:hAnsi="Arial" w:cs="Arial"/>
        <w:sz w:val="20"/>
      </w:rPr>
      <w:t xml:space="preserve"> of </w:t>
    </w:r>
    <w:r>
      <w:rPr>
        <w:rFonts w:ascii="Arial" w:hAnsi="Arial" w:cs="Arial"/>
        <w:sz w:val="20"/>
      </w:rPr>
      <w:t>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EE4" w:rsidRPr="00097EE3" w:rsidRDefault="00AD5EE4" w:rsidP="00097EE3">
    <w:pPr>
      <w:pStyle w:val="Footer"/>
      <w:tabs>
        <w:tab w:val="clear" w:pos="9026"/>
        <w:tab w:val="right" w:pos="9639"/>
      </w:tabs>
    </w:pPr>
    <w:r>
      <w:rPr>
        <w:rFonts w:ascii="Arial" w:hAnsi="Arial" w:cs="Arial"/>
        <w:sz w:val="20"/>
      </w:rPr>
      <w:t>PI0137-01-c00-1-Mar11-NCER-TRAJENTA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EE4" w:rsidRDefault="00AD5EE4" w:rsidP="0072268C">
      <w:r>
        <w:separator/>
      </w:r>
    </w:p>
  </w:footnote>
  <w:footnote w:type="continuationSeparator" w:id="0">
    <w:p w:rsidR="00AD5EE4" w:rsidRDefault="00AD5EE4" w:rsidP="007226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jc w:val="center"/>
      <w:shd w:val="clear" w:color="auto" w:fill="E4F2E0"/>
      <w:tblLook w:val="04A0"/>
    </w:tblPr>
    <w:tblGrid>
      <w:gridCol w:w="8720"/>
    </w:tblGrid>
    <w:tr w:rsidR="00AD5EE4" w:rsidTr="00AD5EE4">
      <w:trPr>
        <w:jc w:val="center"/>
      </w:trPr>
      <w:tc>
        <w:tcPr>
          <w:tcW w:w="8720" w:type="dxa"/>
          <w:shd w:val="clear" w:color="auto" w:fill="E4F2E0"/>
        </w:tcPr>
        <w:p w:rsidR="00AD5EE4" w:rsidRPr="00D361CA" w:rsidRDefault="00AD5EE4" w:rsidP="00AD5EE4">
          <w:pPr>
            <w:spacing w:before="40" w:after="40"/>
            <w:rPr>
              <w:b/>
              <w:sz w:val="20"/>
            </w:rPr>
          </w:pPr>
          <w:r w:rsidRPr="00D361CA">
            <w:rPr>
              <w:b/>
              <w:sz w:val="20"/>
            </w:rPr>
            <w:t xml:space="preserve">Attachment 1: Product information for </w:t>
          </w:r>
          <w:proofErr w:type="spellStart"/>
          <w:r w:rsidRPr="004955B7">
            <w:rPr>
              <w:b/>
              <w:sz w:val="20"/>
            </w:rPr>
            <w:t>AusPAR</w:t>
          </w:r>
          <w:proofErr w:type="spellEnd"/>
          <w:r w:rsidRPr="004955B7">
            <w:rPr>
              <w:b/>
              <w:sz w:val="20"/>
            </w:rPr>
            <w:t xml:space="preserve"> </w:t>
          </w:r>
          <w:proofErr w:type="spellStart"/>
          <w:r w:rsidRPr="004955B7">
            <w:rPr>
              <w:b/>
              <w:sz w:val="20"/>
            </w:rPr>
            <w:t>Trajenta</w:t>
          </w:r>
          <w:proofErr w:type="spellEnd"/>
          <w:r w:rsidRPr="004955B7">
            <w:rPr>
              <w:b/>
              <w:sz w:val="20"/>
            </w:rPr>
            <w:t xml:space="preserve"> </w:t>
          </w:r>
          <w:proofErr w:type="spellStart"/>
          <w:r w:rsidRPr="004955B7">
            <w:rPr>
              <w:b/>
              <w:sz w:val="20"/>
            </w:rPr>
            <w:t>Linagliptin</w:t>
          </w:r>
          <w:proofErr w:type="spellEnd"/>
          <w:r w:rsidRPr="004955B7">
            <w:rPr>
              <w:b/>
              <w:sz w:val="20"/>
            </w:rPr>
            <w:t xml:space="preserve"> </w:t>
          </w:r>
          <w:proofErr w:type="spellStart"/>
          <w:r w:rsidRPr="004955B7">
            <w:rPr>
              <w:b/>
              <w:sz w:val="20"/>
            </w:rPr>
            <w:t>Boehringer</w:t>
          </w:r>
          <w:proofErr w:type="spellEnd"/>
          <w:r w:rsidRPr="004955B7">
            <w:rPr>
              <w:b/>
              <w:sz w:val="20"/>
            </w:rPr>
            <w:t xml:space="preserve"> </w:t>
          </w:r>
          <w:proofErr w:type="spellStart"/>
          <w:r w:rsidRPr="004955B7">
            <w:rPr>
              <w:b/>
              <w:sz w:val="20"/>
            </w:rPr>
            <w:t>Ingelheim</w:t>
          </w:r>
          <w:proofErr w:type="spellEnd"/>
          <w:r w:rsidRPr="004955B7">
            <w:rPr>
              <w:b/>
              <w:sz w:val="20"/>
            </w:rPr>
            <w:t xml:space="preserve"> Pty Ltd PM-2012-01168-3-5 Final 26 September 2013</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tc>
    </w:tr>
  </w:tbl>
  <w:p w:rsidR="00AD5EE4" w:rsidRDefault="00AD5E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5C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0401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2576E8D"/>
    <w:multiLevelType w:val="singleLevel"/>
    <w:tmpl w:val="0809000F"/>
    <w:lvl w:ilvl="0">
      <w:start w:val="1"/>
      <w:numFmt w:val="decimal"/>
      <w:lvlText w:val="%1."/>
      <w:lvlJc w:val="left"/>
      <w:pPr>
        <w:tabs>
          <w:tab w:val="num" w:pos="360"/>
        </w:tabs>
        <w:ind w:left="360" w:hanging="360"/>
      </w:pPr>
    </w:lvl>
  </w:abstractNum>
  <w:abstractNum w:abstractNumId="3">
    <w:nsid w:val="041D07E6"/>
    <w:multiLevelType w:val="hybridMultilevel"/>
    <w:tmpl w:val="5B44A290"/>
    <w:lvl w:ilvl="0" w:tplc="A6EADC32">
      <w:start w:val="2"/>
      <w:numFmt w:val="bullet"/>
      <w:lvlText w:val="—"/>
      <w:lvlJc w:val="left"/>
      <w:pPr>
        <w:tabs>
          <w:tab w:val="num" w:pos="720"/>
        </w:tabs>
        <w:ind w:left="720" w:hanging="360"/>
      </w:pPr>
      <w:rPr>
        <w:rFonts w:ascii="BISansCond" w:eastAsia="Times New Roman" w:hAnsi="BISansCond"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98859E4"/>
    <w:multiLevelType w:val="singleLevel"/>
    <w:tmpl w:val="4DE4A550"/>
    <w:lvl w:ilvl="0">
      <w:numFmt w:val="bullet"/>
      <w:lvlText w:val="-"/>
      <w:lvlJc w:val="left"/>
      <w:pPr>
        <w:tabs>
          <w:tab w:val="num" w:pos="384"/>
        </w:tabs>
        <w:ind w:left="384" w:hanging="384"/>
      </w:pPr>
      <w:rPr>
        <w:rFonts w:hint="default"/>
      </w:rPr>
    </w:lvl>
  </w:abstractNum>
  <w:abstractNum w:abstractNumId="5">
    <w:nsid w:val="125276C2"/>
    <w:multiLevelType w:val="hybridMultilevel"/>
    <w:tmpl w:val="A14ED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066889"/>
    <w:multiLevelType w:val="hybridMultilevel"/>
    <w:tmpl w:val="1CBCC704"/>
    <w:lvl w:ilvl="0" w:tplc="1ACEC3B2">
      <w:start w:val="1"/>
      <w:numFmt w:val="bullet"/>
      <w:pStyle w:val="TextPI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20B87544"/>
    <w:multiLevelType w:val="hybridMultilevel"/>
    <w:tmpl w:val="39A0FC38"/>
    <w:lvl w:ilvl="0" w:tplc="1252229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8F1E85"/>
    <w:multiLevelType w:val="hybridMultilevel"/>
    <w:tmpl w:val="DF626DFC"/>
    <w:lvl w:ilvl="0" w:tplc="998AC91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A163EF2"/>
    <w:multiLevelType w:val="hybridMultilevel"/>
    <w:tmpl w:val="5A0272B0"/>
    <w:lvl w:ilvl="0" w:tplc="A2728DDE">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2B552332"/>
    <w:multiLevelType w:val="hybridMultilevel"/>
    <w:tmpl w:val="CE320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E8554B4"/>
    <w:multiLevelType w:val="singleLevel"/>
    <w:tmpl w:val="08090011"/>
    <w:lvl w:ilvl="0">
      <w:start w:val="2"/>
      <w:numFmt w:val="decimal"/>
      <w:lvlText w:val="%1)"/>
      <w:lvlJc w:val="left"/>
      <w:pPr>
        <w:tabs>
          <w:tab w:val="num" w:pos="360"/>
        </w:tabs>
        <w:ind w:left="360" w:hanging="360"/>
      </w:pPr>
      <w:rPr>
        <w:rFonts w:hint="default"/>
      </w:rPr>
    </w:lvl>
  </w:abstractNum>
  <w:abstractNum w:abstractNumId="12">
    <w:nsid w:val="36A34F7D"/>
    <w:multiLevelType w:val="singleLevel"/>
    <w:tmpl w:val="4DE4A550"/>
    <w:lvl w:ilvl="0">
      <w:numFmt w:val="bullet"/>
      <w:lvlText w:val="-"/>
      <w:lvlJc w:val="left"/>
      <w:pPr>
        <w:tabs>
          <w:tab w:val="num" w:pos="384"/>
        </w:tabs>
        <w:ind w:left="384" w:hanging="384"/>
      </w:pPr>
      <w:rPr>
        <w:rFonts w:hint="default"/>
      </w:rPr>
    </w:lvl>
  </w:abstractNum>
  <w:abstractNum w:abstractNumId="13">
    <w:nsid w:val="3CD9003A"/>
    <w:multiLevelType w:val="singleLevel"/>
    <w:tmpl w:val="0809000F"/>
    <w:lvl w:ilvl="0">
      <w:start w:val="1"/>
      <w:numFmt w:val="decimal"/>
      <w:lvlText w:val="%1."/>
      <w:lvlJc w:val="left"/>
      <w:pPr>
        <w:tabs>
          <w:tab w:val="num" w:pos="360"/>
        </w:tabs>
        <w:ind w:left="360" w:hanging="360"/>
      </w:pPr>
    </w:lvl>
  </w:abstractNum>
  <w:abstractNum w:abstractNumId="14">
    <w:nsid w:val="3F340098"/>
    <w:multiLevelType w:val="hybridMultilevel"/>
    <w:tmpl w:val="3A08B214"/>
    <w:lvl w:ilvl="0" w:tplc="BC301210">
      <w:numFmt w:val="bullet"/>
      <w:lvlText w:val="-"/>
      <w:lvlJc w:val="left"/>
      <w:pPr>
        <w:ind w:left="921" w:hanging="360"/>
      </w:pPr>
      <w:rPr>
        <w:rFonts w:ascii="Arial" w:eastAsia="Times New Roman" w:hAnsi="Arial" w:cs="Arial" w:hint="default"/>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5">
    <w:nsid w:val="41464F61"/>
    <w:multiLevelType w:val="singleLevel"/>
    <w:tmpl w:val="EDC05F18"/>
    <w:lvl w:ilvl="0">
      <w:start w:val="1"/>
      <w:numFmt w:val="decimal"/>
      <w:lvlText w:val="(%1)"/>
      <w:lvlJc w:val="left"/>
      <w:pPr>
        <w:tabs>
          <w:tab w:val="num" w:pos="360"/>
        </w:tabs>
        <w:ind w:left="360" w:hanging="360"/>
      </w:pPr>
      <w:rPr>
        <w:rFonts w:hint="default"/>
      </w:rPr>
    </w:lvl>
  </w:abstractNum>
  <w:abstractNum w:abstractNumId="16">
    <w:nsid w:val="438C14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43EF6A73"/>
    <w:multiLevelType w:val="singleLevel"/>
    <w:tmpl w:val="0809000F"/>
    <w:lvl w:ilvl="0">
      <w:start w:val="1"/>
      <w:numFmt w:val="decimal"/>
      <w:lvlText w:val="%1."/>
      <w:lvlJc w:val="left"/>
      <w:pPr>
        <w:tabs>
          <w:tab w:val="num" w:pos="360"/>
        </w:tabs>
        <w:ind w:left="360" w:hanging="360"/>
      </w:pPr>
    </w:lvl>
  </w:abstractNum>
  <w:abstractNum w:abstractNumId="18">
    <w:nsid w:val="46086326"/>
    <w:multiLevelType w:val="singleLevel"/>
    <w:tmpl w:val="4DE4A550"/>
    <w:lvl w:ilvl="0">
      <w:numFmt w:val="bullet"/>
      <w:lvlText w:val="-"/>
      <w:lvlJc w:val="left"/>
      <w:pPr>
        <w:tabs>
          <w:tab w:val="num" w:pos="384"/>
        </w:tabs>
        <w:ind w:left="384" w:hanging="384"/>
      </w:pPr>
      <w:rPr>
        <w:rFonts w:hint="default"/>
      </w:rPr>
    </w:lvl>
  </w:abstractNum>
  <w:abstractNum w:abstractNumId="19">
    <w:nsid w:val="4DDA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61D90A86"/>
    <w:multiLevelType w:val="hybridMultilevel"/>
    <w:tmpl w:val="E56E7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3AF091B"/>
    <w:multiLevelType w:val="hybridMultilevel"/>
    <w:tmpl w:val="03182E74"/>
    <w:lvl w:ilvl="0" w:tplc="A6EADC32">
      <w:start w:val="2"/>
      <w:numFmt w:val="bullet"/>
      <w:lvlText w:val="—"/>
      <w:lvlJc w:val="left"/>
      <w:pPr>
        <w:ind w:left="644" w:hanging="360"/>
      </w:pPr>
      <w:rPr>
        <w:rFonts w:ascii="BISansCond" w:eastAsia="Times New Roman" w:hAnsi="BISansCond"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nsid w:val="63FE441D"/>
    <w:multiLevelType w:val="singleLevel"/>
    <w:tmpl w:val="4DE4A550"/>
    <w:lvl w:ilvl="0">
      <w:numFmt w:val="bullet"/>
      <w:lvlText w:val="-"/>
      <w:lvlJc w:val="left"/>
      <w:pPr>
        <w:tabs>
          <w:tab w:val="num" w:pos="384"/>
        </w:tabs>
        <w:ind w:left="384" w:hanging="384"/>
      </w:pPr>
      <w:rPr>
        <w:rFonts w:hint="default"/>
      </w:rPr>
    </w:lvl>
  </w:abstractNum>
  <w:abstractNum w:abstractNumId="23">
    <w:nsid w:val="68723C12"/>
    <w:multiLevelType w:val="singleLevel"/>
    <w:tmpl w:val="0809000F"/>
    <w:lvl w:ilvl="0">
      <w:start w:val="1"/>
      <w:numFmt w:val="decimal"/>
      <w:lvlText w:val="%1."/>
      <w:lvlJc w:val="left"/>
      <w:pPr>
        <w:tabs>
          <w:tab w:val="num" w:pos="360"/>
        </w:tabs>
        <w:ind w:left="360" w:hanging="360"/>
      </w:pPr>
    </w:lvl>
  </w:abstractNum>
  <w:abstractNum w:abstractNumId="24">
    <w:nsid w:val="692D3C9A"/>
    <w:multiLevelType w:val="singleLevel"/>
    <w:tmpl w:val="0809000F"/>
    <w:lvl w:ilvl="0">
      <w:start w:val="1"/>
      <w:numFmt w:val="decimal"/>
      <w:lvlText w:val="%1."/>
      <w:lvlJc w:val="left"/>
      <w:pPr>
        <w:tabs>
          <w:tab w:val="num" w:pos="360"/>
        </w:tabs>
        <w:ind w:left="360" w:hanging="360"/>
      </w:pPr>
    </w:lvl>
  </w:abstractNum>
  <w:abstractNum w:abstractNumId="25">
    <w:nsid w:val="728531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75E1065E"/>
    <w:multiLevelType w:val="hybridMultilevel"/>
    <w:tmpl w:val="FCF61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822019B"/>
    <w:multiLevelType w:val="hybridMultilevel"/>
    <w:tmpl w:val="6C6CD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A6EADC32">
      <w:start w:val="2"/>
      <w:numFmt w:val="bullet"/>
      <w:lvlText w:val="—"/>
      <w:lvlJc w:val="left"/>
      <w:pPr>
        <w:ind w:left="2880" w:hanging="360"/>
      </w:pPr>
      <w:rPr>
        <w:rFonts w:ascii="BISansCond" w:eastAsia="Times New Roman" w:hAnsi="BISansCond"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C6874A9"/>
    <w:multiLevelType w:val="singleLevel"/>
    <w:tmpl w:val="0809000F"/>
    <w:lvl w:ilvl="0">
      <w:start w:val="1"/>
      <w:numFmt w:val="decimal"/>
      <w:lvlText w:val="%1."/>
      <w:lvlJc w:val="left"/>
      <w:pPr>
        <w:tabs>
          <w:tab w:val="num" w:pos="360"/>
        </w:tabs>
        <w:ind w:left="360" w:hanging="360"/>
      </w:pPr>
    </w:lvl>
  </w:abstractNum>
  <w:abstractNum w:abstractNumId="29">
    <w:nsid w:val="7E3D2CCD"/>
    <w:multiLevelType w:val="singleLevel"/>
    <w:tmpl w:val="0809000F"/>
    <w:lvl w:ilvl="0">
      <w:start w:val="1"/>
      <w:numFmt w:val="decimal"/>
      <w:lvlText w:val="%1."/>
      <w:lvlJc w:val="left"/>
      <w:pPr>
        <w:tabs>
          <w:tab w:val="num" w:pos="360"/>
        </w:tabs>
        <w:ind w:left="360" w:hanging="360"/>
      </w:pPr>
    </w:lvl>
  </w:abstractNum>
  <w:abstractNum w:abstractNumId="30">
    <w:nsid w:val="7E880E75"/>
    <w:multiLevelType w:val="hybridMultilevel"/>
    <w:tmpl w:val="8508F3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6"/>
  </w:num>
  <w:num w:numId="4">
    <w:abstractNumId w:val="23"/>
  </w:num>
  <w:num w:numId="5">
    <w:abstractNumId w:val="17"/>
  </w:num>
  <w:num w:numId="6">
    <w:abstractNumId w:val="0"/>
  </w:num>
  <w:num w:numId="7">
    <w:abstractNumId w:val="28"/>
  </w:num>
  <w:num w:numId="8">
    <w:abstractNumId w:val="13"/>
  </w:num>
  <w:num w:numId="9">
    <w:abstractNumId w:val="12"/>
  </w:num>
  <w:num w:numId="10">
    <w:abstractNumId w:val="18"/>
  </w:num>
  <w:num w:numId="11">
    <w:abstractNumId w:val="22"/>
  </w:num>
  <w:num w:numId="12">
    <w:abstractNumId w:val="19"/>
  </w:num>
  <w:num w:numId="13">
    <w:abstractNumId w:val="25"/>
  </w:num>
  <w:num w:numId="14">
    <w:abstractNumId w:val="2"/>
  </w:num>
  <w:num w:numId="15">
    <w:abstractNumId w:val="4"/>
  </w:num>
  <w:num w:numId="16">
    <w:abstractNumId w:val="29"/>
  </w:num>
  <w:num w:numId="17">
    <w:abstractNumId w:val="24"/>
  </w:num>
  <w:num w:numId="18">
    <w:abstractNumId w:val="15"/>
  </w:num>
  <w:num w:numId="19">
    <w:abstractNumId w:val="6"/>
  </w:num>
  <w:num w:numId="20">
    <w:abstractNumId w:val="20"/>
  </w:num>
  <w:num w:numId="21">
    <w:abstractNumId w:val="3"/>
  </w:num>
  <w:num w:numId="22">
    <w:abstractNumId w:val="9"/>
  </w:num>
  <w:num w:numId="23">
    <w:abstractNumId w:val="26"/>
  </w:num>
  <w:num w:numId="24">
    <w:abstractNumId w:val="27"/>
  </w:num>
  <w:num w:numId="25">
    <w:abstractNumId w:val="10"/>
  </w:num>
  <w:num w:numId="26">
    <w:abstractNumId w:val="8"/>
  </w:num>
  <w:num w:numId="27">
    <w:abstractNumId w:val="30"/>
  </w:num>
  <w:num w:numId="28">
    <w:abstractNumId w:val="21"/>
  </w:num>
  <w:num w:numId="29">
    <w:abstractNumId w:val="14"/>
  </w:num>
  <w:num w:numId="30">
    <w:abstractNumId w:val="5"/>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activeWritingStyle w:appName="MSWord" w:lang="en-US" w:vendorID="8" w:dllVersion="513" w:checkStyle="1"/>
  <w:activeWritingStyle w:appName="MSWord" w:lang="en-GB" w:vendorID="8" w:dllVersion="513" w:checkStyle="1"/>
  <w:proofState w:spelling="clean"/>
  <w:stylePaneFormatFilter w:val="3F08"/>
  <w:defaultTabStop w:val="561"/>
  <w:doNotHyphenateCaps/>
  <w:drawingGridHorizontalSpacing w:val="120"/>
  <w:displayHorizontalDrawingGridEvery w:val="0"/>
  <w:displayVerticalDrawingGridEvery w:val="0"/>
  <w:doNotShadeFormData/>
  <w:noPunctuationKerning/>
  <w:characterSpacingControl w:val="doNotCompress"/>
  <w:hdrShapeDefaults>
    <o:shapedefaults v:ext="edit" spidmax="46081">
      <o:colormenu v:ext="edit" fillcolor="#00b0f0"/>
    </o:shapedefaults>
  </w:hdrShapeDefaults>
  <w:footnotePr>
    <w:footnote w:id="-1"/>
    <w:footnote w:id="0"/>
  </w:footnotePr>
  <w:endnotePr>
    <w:endnote w:id="-1"/>
    <w:endnote w:id="0"/>
  </w:endnotePr>
  <w:compat/>
  <w:rsids>
    <w:rsidRoot w:val="000041B9"/>
    <w:rsid w:val="00000881"/>
    <w:rsid w:val="00000D1C"/>
    <w:rsid w:val="000041B9"/>
    <w:rsid w:val="000071A4"/>
    <w:rsid w:val="00010D9C"/>
    <w:rsid w:val="00012479"/>
    <w:rsid w:val="00014579"/>
    <w:rsid w:val="00016C95"/>
    <w:rsid w:val="000210E3"/>
    <w:rsid w:val="00026AB3"/>
    <w:rsid w:val="00030F0E"/>
    <w:rsid w:val="00032DE3"/>
    <w:rsid w:val="00034203"/>
    <w:rsid w:val="000357A0"/>
    <w:rsid w:val="00045627"/>
    <w:rsid w:val="0004718E"/>
    <w:rsid w:val="00047718"/>
    <w:rsid w:val="00047761"/>
    <w:rsid w:val="00050EE3"/>
    <w:rsid w:val="00051EA9"/>
    <w:rsid w:val="000522D0"/>
    <w:rsid w:val="00053C26"/>
    <w:rsid w:val="000558BE"/>
    <w:rsid w:val="00062D25"/>
    <w:rsid w:val="00064B47"/>
    <w:rsid w:val="00071BF6"/>
    <w:rsid w:val="000723B2"/>
    <w:rsid w:val="00084F7C"/>
    <w:rsid w:val="000920CE"/>
    <w:rsid w:val="00096678"/>
    <w:rsid w:val="00097EE3"/>
    <w:rsid w:val="000A1804"/>
    <w:rsid w:val="000A25CF"/>
    <w:rsid w:val="000A2DD8"/>
    <w:rsid w:val="000A4480"/>
    <w:rsid w:val="000B1157"/>
    <w:rsid w:val="000B1D97"/>
    <w:rsid w:val="000B3268"/>
    <w:rsid w:val="000B37B3"/>
    <w:rsid w:val="000C0280"/>
    <w:rsid w:val="000C0937"/>
    <w:rsid w:val="000C1DA3"/>
    <w:rsid w:val="000C20E1"/>
    <w:rsid w:val="000C2E57"/>
    <w:rsid w:val="000C3895"/>
    <w:rsid w:val="000C465B"/>
    <w:rsid w:val="000C4B7E"/>
    <w:rsid w:val="000C4C67"/>
    <w:rsid w:val="000C4DC4"/>
    <w:rsid w:val="000C75D2"/>
    <w:rsid w:val="000D015D"/>
    <w:rsid w:val="000D2AF6"/>
    <w:rsid w:val="000D3254"/>
    <w:rsid w:val="000D3560"/>
    <w:rsid w:val="000D36A6"/>
    <w:rsid w:val="000D40CA"/>
    <w:rsid w:val="000D7463"/>
    <w:rsid w:val="000D746A"/>
    <w:rsid w:val="000D7D18"/>
    <w:rsid w:val="000E4B5A"/>
    <w:rsid w:val="000E4CF9"/>
    <w:rsid w:val="000E7EC9"/>
    <w:rsid w:val="000F3220"/>
    <w:rsid w:val="000F4AC8"/>
    <w:rsid w:val="000F63A6"/>
    <w:rsid w:val="00100CC7"/>
    <w:rsid w:val="001148EC"/>
    <w:rsid w:val="001236C9"/>
    <w:rsid w:val="0012762A"/>
    <w:rsid w:val="001309C1"/>
    <w:rsid w:val="00130AF8"/>
    <w:rsid w:val="0013326C"/>
    <w:rsid w:val="00133DCC"/>
    <w:rsid w:val="00140AB8"/>
    <w:rsid w:val="00141F00"/>
    <w:rsid w:val="00147358"/>
    <w:rsid w:val="00152260"/>
    <w:rsid w:val="0015296D"/>
    <w:rsid w:val="00154203"/>
    <w:rsid w:val="00161728"/>
    <w:rsid w:val="001674DC"/>
    <w:rsid w:val="00170971"/>
    <w:rsid w:val="00170D2F"/>
    <w:rsid w:val="00171B81"/>
    <w:rsid w:val="0017596B"/>
    <w:rsid w:val="001770B3"/>
    <w:rsid w:val="00182368"/>
    <w:rsid w:val="00197886"/>
    <w:rsid w:val="001A2EAD"/>
    <w:rsid w:val="001A3CB0"/>
    <w:rsid w:val="001A6F71"/>
    <w:rsid w:val="001A7050"/>
    <w:rsid w:val="001B14D3"/>
    <w:rsid w:val="001B26D7"/>
    <w:rsid w:val="001B3F62"/>
    <w:rsid w:val="001C2CAB"/>
    <w:rsid w:val="001D1C54"/>
    <w:rsid w:val="001D3F89"/>
    <w:rsid w:val="001D55DB"/>
    <w:rsid w:val="001F1623"/>
    <w:rsid w:val="001F404F"/>
    <w:rsid w:val="001F43E7"/>
    <w:rsid w:val="001F7754"/>
    <w:rsid w:val="00201068"/>
    <w:rsid w:val="0020251F"/>
    <w:rsid w:val="0020655F"/>
    <w:rsid w:val="00214DD4"/>
    <w:rsid w:val="00215306"/>
    <w:rsid w:val="00222F3E"/>
    <w:rsid w:val="00223BCB"/>
    <w:rsid w:val="00225EC7"/>
    <w:rsid w:val="00230D09"/>
    <w:rsid w:val="00230D3A"/>
    <w:rsid w:val="002322BC"/>
    <w:rsid w:val="00237FC4"/>
    <w:rsid w:val="00242030"/>
    <w:rsid w:val="00250CB9"/>
    <w:rsid w:val="00252650"/>
    <w:rsid w:val="00255703"/>
    <w:rsid w:val="00257FBE"/>
    <w:rsid w:val="00261848"/>
    <w:rsid w:val="00264EDF"/>
    <w:rsid w:val="00267697"/>
    <w:rsid w:val="00272887"/>
    <w:rsid w:val="002752B2"/>
    <w:rsid w:val="00275D82"/>
    <w:rsid w:val="0028383F"/>
    <w:rsid w:val="0028498B"/>
    <w:rsid w:val="00292D90"/>
    <w:rsid w:val="00295626"/>
    <w:rsid w:val="00297F58"/>
    <w:rsid w:val="002A55F0"/>
    <w:rsid w:val="002A6312"/>
    <w:rsid w:val="002B15DA"/>
    <w:rsid w:val="002B163B"/>
    <w:rsid w:val="002B3A33"/>
    <w:rsid w:val="002B5A5D"/>
    <w:rsid w:val="002C0FCD"/>
    <w:rsid w:val="002C10AA"/>
    <w:rsid w:val="002D11BC"/>
    <w:rsid w:val="002D41EE"/>
    <w:rsid w:val="002D537F"/>
    <w:rsid w:val="002E3EA6"/>
    <w:rsid w:val="002F13AD"/>
    <w:rsid w:val="002F1CFF"/>
    <w:rsid w:val="002F5194"/>
    <w:rsid w:val="00301ACB"/>
    <w:rsid w:val="00307FBE"/>
    <w:rsid w:val="00311E3D"/>
    <w:rsid w:val="00312607"/>
    <w:rsid w:val="00316713"/>
    <w:rsid w:val="00316E52"/>
    <w:rsid w:val="0032065B"/>
    <w:rsid w:val="00321351"/>
    <w:rsid w:val="003217FF"/>
    <w:rsid w:val="0032365A"/>
    <w:rsid w:val="00326231"/>
    <w:rsid w:val="00331357"/>
    <w:rsid w:val="00336DF7"/>
    <w:rsid w:val="00342A23"/>
    <w:rsid w:val="00346ED5"/>
    <w:rsid w:val="003505B3"/>
    <w:rsid w:val="00351FA1"/>
    <w:rsid w:val="0035207D"/>
    <w:rsid w:val="003573F3"/>
    <w:rsid w:val="0036099D"/>
    <w:rsid w:val="00361908"/>
    <w:rsid w:val="00363E05"/>
    <w:rsid w:val="00376A4F"/>
    <w:rsid w:val="00377BC6"/>
    <w:rsid w:val="003800DA"/>
    <w:rsid w:val="003812D9"/>
    <w:rsid w:val="00381DC1"/>
    <w:rsid w:val="003825C2"/>
    <w:rsid w:val="0038670B"/>
    <w:rsid w:val="00386731"/>
    <w:rsid w:val="003911CD"/>
    <w:rsid w:val="003935DD"/>
    <w:rsid w:val="0039557E"/>
    <w:rsid w:val="003956A3"/>
    <w:rsid w:val="003958DA"/>
    <w:rsid w:val="00397D2C"/>
    <w:rsid w:val="00397D49"/>
    <w:rsid w:val="00397DB0"/>
    <w:rsid w:val="003A2167"/>
    <w:rsid w:val="003A22DD"/>
    <w:rsid w:val="003A5B14"/>
    <w:rsid w:val="003A7A75"/>
    <w:rsid w:val="003B08A6"/>
    <w:rsid w:val="003B1395"/>
    <w:rsid w:val="003B373C"/>
    <w:rsid w:val="003B5E5A"/>
    <w:rsid w:val="003C12F2"/>
    <w:rsid w:val="003C6390"/>
    <w:rsid w:val="003C6DC1"/>
    <w:rsid w:val="003D0979"/>
    <w:rsid w:val="003D1241"/>
    <w:rsid w:val="003D23CC"/>
    <w:rsid w:val="003D501E"/>
    <w:rsid w:val="003F0437"/>
    <w:rsid w:val="003F707A"/>
    <w:rsid w:val="003F7916"/>
    <w:rsid w:val="004069FF"/>
    <w:rsid w:val="004077C2"/>
    <w:rsid w:val="004174B4"/>
    <w:rsid w:val="004225F3"/>
    <w:rsid w:val="004230C0"/>
    <w:rsid w:val="00426E70"/>
    <w:rsid w:val="00427DDF"/>
    <w:rsid w:val="00432A28"/>
    <w:rsid w:val="0043430D"/>
    <w:rsid w:val="00437B18"/>
    <w:rsid w:val="0044109B"/>
    <w:rsid w:val="00446525"/>
    <w:rsid w:val="00452552"/>
    <w:rsid w:val="00453D72"/>
    <w:rsid w:val="004555AC"/>
    <w:rsid w:val="00461FD0"/>
    <w:rsid w:val="004641AD"/>
    <w:rsid w:val="00465D09"/>
    <w:rsid w:val="004722B1"/>
    <w:rsid w:val="00484E7E"/>
    <w:rsid w:val="004871BC"/>
    <w:rsid w:val="004922B8"/>
    <w:rsid w:val="00495562"/>
    <w:rsid w:val="004A545C"/>
    <w:rsid w:val="004A5AF1"/>
    <w:rsid w:val="004A6F49"/>
    <w:rsid w:val="004A7458"/>
    <w:rsid w:val="004A785C"/>
    <w:rsid w:val="004C23DA"/>
    <w:rsid w:val="004C307F"/>
    <w:rsid w:val="004C3942"/>
    <w:rsid w:val="004C528F"/>
    <w:rsid w:val="004C5B49"/>
    <w:rsid w:val="004C7FDA"/>
    <w:rsid w:val="004D05BB"/>
    <w:rsid w:val="004D1CBE"/>
    <w:rsid w:val="004D4156"/>
    <w:rsid w:val="004D7A51"/>
    <w:rsid w:val="004E0F4D"/>
    <w:rsid w:val="004F1DC5"/>
    <w:rsid w:val="004F34F0"/>
    <w:rsid w:val="004F454E"/>
    <w:rsid w:val="00501458"/>
    <w:rsid w:val="005045C6"/>
    <w:rsid w:val="00505DC9"/>
    <w:rsid w:val="00506F42"/>
    <w:rsid w:val="0052106E"/>
    <w:rsid w:val="00522936"/>
    <w:rsid w:val="00525499"/>
    <w:rsid w:val="00526143"/>
    <w:rsid w:val="005266B9"/>
    <w:rsid w:val="00535125"/>
    <w:rsid w:val="00540273"/>
    <w:rsid w:val="00542D9C"/>
    <w:rsid w:val="00542F24"/>
    <w:rsid w:val="00547900"/>
    <w:rsid w:val="00553229"/>
    <w:rsid w:val="005602F5"/>
    <w:rsid w:val="00564F6D"/>
    <w:rsid w:val="005713BF"/>
    <w:rsid w:val="00572FEA"/>
    <w:rsid w:val="005734B6"/>
    <w:rsid w:val="00576284"/>
    <w:rsid w:val="00577478"/>
    <w:rsid w:val="005806C4"/>
    <w:rsid w:val="00584EC3"/>
    <w:rsid w:val="005915DD"/>
    <w:rsid w:val="005A0A9D"/>
    <w:rsid w:val="005A238B"/>
    <w:rsid w:val="005A24C8"/>
    <w:rsid w:val="005A3A57"/>
    <w:rsid w:val="005A459C"/>
    <w:rsid w:val="005A639D"/>
    <w:rsid w:val="005B744D"/>
    <w:rsid w:val="005C2B35"/>
    <w:rsid w:val="005C45EE"/>
    <w:rsid w:val="005C6E5A"/>
    <w:rsid w:val="005C78E0"/>
    <w:rsid w:val="005D2747"/>
    <w:rsid w:val="005D7DE3"/>
    <w:rsid w:val="005E0305"/>
    <w:rsid w:val="005E4B27"/>
    <w:rsid w:val="005E6C17"/>
    <w:rsid w:val="005F0BC2"/>
    <w:rsid w:val="005F0BEF"/>
    <w:rsid w:val="005F3FB4"/>
    <w:rsid w:val="00600655"/>
    <w:rsid w:val="00605BA6"/>
    <w:rsid w:val="006121D6"/>
    <w:rsid w:val="0061374F"/>
    <w:rsid w:val="00614735"/>
    <w:rsid w:val="00616925"/>
    <w:rsid w:val="00617F65"/>
    <w:rsid w:val="00622900"/>
    <w:rsid w:val="00624C77"/>
    <w:rsid w:val="00630BB3"/>
    <w:rsid w:val="0063177F"/>
    <w:rsid w:val="00642B6E"/>
    <w:rsid w:val="00642ECE"/>
    <w:rsid w:val="006463EA"/>
    <w:rsid w:val="00646BA2"/>
    <w:rsid w:val="006476A0"/>
    <w:rsid w:val="00650739"/>
    <w:rsid w:val="006528EF"/>
    <w:rsid w:val="00656F0B"/>
    <w:rsid w:val="006610FB"/>
    <w:rsid w:val="006618E6"/>
    <w:rsid w:val="00663F90"/>
    <w:rsid w:val="00664D2E"/>
    <w:rsid w:val="00675359"/>
    <w:rsid w:val="006754BB"/>
    <w:rsid w:val="00676FA5"/>
    <w:rsid w:val="0067738C"/>
    <w:rsid w:val="006850D3"/>
    <w:rsid w:val="0068602B"/>
    <w:rsid w:val="006862E8"/>
    <w:rsid w:val="006934A5"/>
    <w:rsid w:val="006A1051"/>
    <w:rsid w:val="006A6C2B"/>
    <w:rsid w:val="006A7426"/>
    <w:rsid w:val="006A7B33"/>
    <w:rsid w:val="006A7D87"/>
    <w:rsid w:val="006B4823"/>
    <w:rsid w:val="006B703F"/>
    <w:rsid w:val="006B7631"/>
    <w:rsid w:val="006C2BF5"/>
    <w:rsid w:val="006C37A1"/>
    <w:rsid w:val="006D023A"/>
    <w:rsid w:val="006D0DA0"/>
    <w:rsid w:val="006D3744"/>
    <w:rsid w:val="006D52DE"/>
    <w:rsid w:val="006E26BA"/>
    <w:rsid w:val="006E35FD"/>
    <w:rsid w:val="006E59C2"/>
    <w:rsid w:val="006E6290"/>
    <w:rsid w:val="006E6E8F"/>
    <w:rsid w:val="006F1D2F"/>
    <w:rsid w:val="006F2864"/>
    <w:rsid w:val="00701856"/>
    <w:rsid w:val="00702C0B"/>
    <w:rsid w:val="00705921"/>
    <w:rsid w:val="00706836"/>
    <w:rsid w:val="00706B94"/>
    <w:rsid w:val="00711827"/>
    <w:rsid w:val="00712128"/>
    <w:rsid w:val="007154C0"/>
    <w:rsid w:val="00717687"/>
    <w:rsid w:val="007205AC"/>
    <w:rsid w:val="0072268C"/>
    <w:rsid w:val="0073128D"/>
    <w:rsid w:val="0073434A"/>
    <w:rsid w:val="0073487A"/>
    <w:rsid w:val="007358D6"/>
    <w:rsid w:val="007378EF"/>
    <w:rsid w:val="00740D31"/>
    <w:rsid w:val="007410A7"/>
    <w:rsid w:val="007417C1"/>
    <w:rsid w:val="00743FC3"/>
    <w:rsid w:val="007534BC"/>
    <w:rsid w:val="0075437E"/>
    <w:rsid w:val="00755549"/>
    <w:rsid w:val="00755903"/>
    <w:rsid w:val="00756032"/>
    <w:rsid w:val="00762DB6"/>
    <w:rsid w:val="00770387"/>
    <w:rsid w:val="007712E7"/>
    <w:rsid w:val="0077389F"/>
    <w:rsid w:val="00776D5E"/>
    <w:rsid w:val="0077701A"/>
    <w:rsid w:val="00784C3B"/>
    <w:rsid w:val="00786EE9"/>
    <w:rsid w:val="00792CC2"/>
    <w:rsid w:val="00794FD9"/>
    <w:rsid w:val="0079635C"/>
    <w:rsid w:val="007964F8"/>
    <w:rsid w:val="00796E42"/>
    <w:rsid w:val="00797070"/>
    <w:rsid w:val="00797329"/>
    <w:rsid w:val="007A702F"/>
    <w:rsid w:val="007B243D"/>
    <w:rsid w:val="007B4B08"/>
    <w:rsid w:val="007B5A41"/>
    <w:rsid w:val="007C061E"/>
    <w:rsid w:val="007C0B93"/>
    <w:rsid w:val="007C0F56"/>
    <w:rsid w:val="007C1600"/>
    <w:rsid w:val="007C18E3"/>
    <w:rsid w:val="007C6627"/>
    <w:rsid w:val="007C6F64"/>
    <w:rsid w:val="007C7304"/>
    <w:rsid w:val="007E0DDD"/>
    <w:rsid w:val="007E1A8C"/>
    <w:rsid w:val="007E668D"/>
    <w:rsid w:val="007F0971"/>
    <w:rsid w:val="007F44AE"/>
    <w:rsid w:val="007F527A"/>
    <w:rsid w:val="007F6922"/>
    <w:rsid w:val="00800B51"/>
    <w:rsid w:val="00800C47"/>
    <w:rsid w:val="00801E76"/>
    <w:rsid w:val="0080390A"/>
    <w:rsid w:val="00804C2A"/>
    <w:rsid w:val="00811B4E"/>
    <w:rsid w:val="00817CE4"/>
    <w:rsid w:val="008201A5"/>
    <w:rsid w:val="0082540F"/>
    <w:rsid w:val="00835E1F"/>
    <w:rsid w:val="00836D40"/>
    <w:rsid w:val="008376BF"/>
    <w:rsid w:val="00837E77"/>
    <w:rsid w:val="00840E5D"/>
    <w:rsid w:val="00841095"/>
    <w:rsid w:val="008423FE"/>
    <w:rsid w:val="00842AD5"/>
    <w:rsid w:val="00842B50"/>
    <w:rsid w:val="00843F24"/>
    <w:rsid w:val="00851B1C"/>
    <w:rsid w:val="00852D4F"/>
    <w:rsid w:val="00854620"/>
    <w:rsid w:val="00854A02"/>
    <w:rsid w:val="0085605A"/>
    <w:rsid w:val="00860076"/>
    <w:rsid w:val="00860B5F"/>
    <w:rsid w:val="00861B5E"/>
    <w:rsid w:val="00864954"/>
    <w:rsid w:val="00865511"/>
    <w:rsid w:val="00867EB7"/>
    <w:rsid w:val="00870B14"/>
    <w:rsid w:val="00870E2A"/>
    <w:rsid w:val="00872859"/>
    <w:rsid w:val="0087459F"/>
    <w:rsid w:val="00876AFB"/>
    <w:rsid w:val="008813BC"/>
    <w:rsid w:val="008846DA"/>
    <w:rsid w:val="00884C58"/>
    <w:rsid w:val="00885C19"/>
    <w:rsid w:val="00891786"/>
    <w:rsid w:val="00894EF2"/>
    <w:rsid w:val="00895547"/>
    <w:rsid w:val="008A379D"/>
    <w:rsid w:val="008A43A2"/>
    <w:rsid w:val="008A534D"/>
    <w:rsid w:val="008B0DF9"/>
    <w:rsid w:val="008B4598"/>
    <w:rsid w:val="008B6CE3"/>
    <w:rsid w:val="008C001B"/>
    <w:rsid w:val="008C3B8F"/>
    <w:rsid w:val="008C49ED"/>
    <w:rsid w:val="008C659F"/>
    <w:rsid w:val="008D0627"/>
    <w:rsid w:val="008D3662"/>
    <w:rsid w:val="008E67F9"/>
    <w:rsid w:val="008F1693"/>
    <w:rsid w:val="008F635F"/>
    <w:rsid w:val="008F7A5C"/>
    <w:rsid w:val="00904607"/>
    <w:rsid w:val="00905AB1"/>
    <w:rsid w:val="00906B2A"/>
    <w:rsid w:val="00906F6A"/>
    <w:rsid w:val="0091036C"/>
    <w:rsid w:val="009107A8"/>
    <w:rsid w:val="0091439E"/>
    <w:rsid w:val="009170F7"/>
    <w:rsid w:val="009214C1"/>
    <w:rsid w:val="00921539"/>
    <w:rsid w:val="00924782"/>
    <w:rsid w:val="009257C0"/>
    <w:rsid w:val="00926960"/>
    <w:rsid w:val="00932FB1"/>
    <w:rsid w:val="0093379A"/>
    <w:rsid w:val="0093721C"/>
    <w:rsid w:val="009459C9"/>
    <w:rsid w:val="009464F7"/>
    <w:rsid w:val="00950006"/>
    <w:rsid w:val="00950CD6"/>
    <w:rsid w:val="009553F1"/>
    <w:rsid w:val="00957BD8"/>
    <w:rsid w:val="009602B8"/>
    <w:rsid w:val="00964CF2"/>
    <w:rsid w:val="00971E2D"/>
    <w:rsid w:val="00971F59"/>
    <w:rsid w:val="00972572"/>
    <w:rsid w:val="00972E99"/>
    <w:rsid w:val="00975A9D"/>
    <w:rsid w:val="00976ACC"/>
    <w:rsid w:val="0097780A"/>
    <w:rsid w:val="0098152F"/>
    <w:rsid w:val="00983CA9"/>
    <w:rsid w:val="00992B1C"/>
    <w:rsid w:val="009952BA"/>
    <w:rsid w:val="00997E45"/>
    <w:rsid w:val="009A0272"/>
    <w:rsid w:val="009A6108"/>
    <w:rsid w:val="009B0926"/>
    <w:rsid w:val="009B17F5"/>
    <w:rsid w:val="009B36A0"/>
    <w:rsid w:val="009B5D2F"/>
    <w:rsid w:val="009B7C36"/>
    <w:rsid w:val="009C2FB5"/>
    <w:rsid w:val="009C4521"/>
    <w:rsid w:val="009C4C77"/>
    <w:rsid w:val="009C4E02"/>
    <w:rsid w:val="009C7871"/>
    <w:rsid w:val="009D0A08"/>
    <w:rsid w:val="009D1EE3"/>
    <w:rsid w:val="009D4AE9"/>
    <w:rsid w:val="009D4C72"/>
    <w:rsid w:val="009E193D"/>
    <w:rsid w:val="009E19AA"/>
    <w:rsid w:val="009E20B5"/>
    <w:rsid w:val="009E428B"/>
    <w:rsid w:val="009E7ED2"/>
    <w:rsid w:val="009F062C"/>
    <w:rsid w:val="009F3A8A"/>
    <w:rsid w:val="00A034F5"/>
    <w:rsid w:val="00A06663"/>
    <w:rsid w:val="00A113D0"/>
    <w:rsid w:val="00A15387"/>
    <w:rsid w:val="00A15BB0"/>
    <w:rsid w:val="00A1749F"/>
    <w:rsid w:val="00A216A5"/>
    <w:rsid w:val="00A22297"/>
    <w:rsid w:val="00A2729C"/>
    <w:rsid w:val="00A34EB3"/>
    <w:rsid w:val="00A35804"/>
    <w:rsid w:val="00A3582E"/>
    <w:rsid w:val="00A35E54"/>
    <w:rsid w:val="00A364CE"/>
    <w:rsid w:val="00A366BF"/>
    <w:rsid w:val="00A368C1"/>
    <w:rsid w:val="00A43161"/>
    <w:rsid w:val="00A45642"/>
    <w:rsid w:val="00A5182A"/>
    <w:rsid w:val="00A56E80"/>
    <w:rsid w:val="00A57A00"/>
    <w:rsid w:val="00A650DB"/>
    <w:rsid w:val="00A663E1"/>
    <w:rsid w:val="00A67E11"/>
    <w:rsid w:val="00A7020B"/>
    <w:rsid w:val="00A703EC"/>
    <w:rsid w:val="00A739BF"/>
    <w:rsid w:val="00A73BC6"/>
    <w:rsid w:val="00A76567"/>
    <w:rsid w:val="00A77096"/>
    <w:rsid w:val="00A806B8"/>
    <w:rsid w:val="00A807A7"/>
    <w:rsid w:val="00A811CF"/>
    <w:rsid w:val="00A81F4D"/>
    <w:rsid w:val="00A860B1"/>
    <w:rsid w:val="00A93C32"/>
    <w:rsid w:val="00A946E4"/>
    <w:rsid w:val="00A96439"/>
    <w:rsid w:val="00AA1599"/>
    <w:rsid w:val="00AB183D"/>
    <w:rsid w:val="00AB19FA"/>
    <w:rsid w:val="00AB2E02"/>
    <w:rsid w:val="00AB5B90"/>
    <w:rsid w:val="00AC091D"/>
    <w:rsid w:val="00AC23B9"/>
    <w:rsid w:val="00AC56E7"/>
    <w:rsid w:val="00AC6C77"/>
    <w:rsid w:val="00AD07D7"/>
    <w:rsid w:val="00AD1221"/>
    <w:rsid w:val="00AD1F89"/>
    <w:rsid w:val="00AD2241"/>
    <w:rsid w:val="00AD5EE4"/>
    <w:rsid w:val="00AD689B"/>
    <w:rsid w:val="00AD72B2"/>
    <w:rsid w:val="00AE3606"/>
    <w:rsid w:val="00AE4580"/>
    <w:rsid w:val="00AF25E7"/>
    <w:rsid w:val="00AF4C79"/>
    <w:rsid w:val="00B13048"/>
    <w:rsid w:val="00B13B89"/>
    <w:rsid w:val="00B13D59"/>
    <w:rsid w:val="00B166D6"/>
    <w:rsid w:val="00B176AB"/>
    <w:rsid w:val="00B224AD"/>
    <w:rsid w:val="00B255DD"/>
    <w:rsid w:val="00B33946"/>
    <w:rsid w:val="00B3489C"/>
    <w:rsid w:val="00B348D0"/>
    <w:rsid w:val="00B36826"/>
    <w:rsid w:val="00B370EE"/>
    <w:rsid w:val="00B3726B"/>
    <w:rsid w:val="00B428B6"/>
    <w:rsid w:val="00B4690F"/>
    <w:rsid w:val="00B5452C"/>
    <w:rsid w:val="00B55A87"/>
    <w:rsid w:val="00B601F7"/>
    <w:rsid w:val="00B61ECB"/>
    <w:rsid w:val="00B620B0"/>
    <w:rsid w:val="00B65968"/>
    <w:rsid w:val="00B70079"/>
    <w:rsid w:val="00B73E57"/>
    <w:rsid w:val="00B74CEB"/>
    <w:rsid w:val="00B76D66"/>
    <w:rsid w:val="00B837BE"/>
    <w:rsid w:val="00B8380E"/>
    <w:rsid w:val="00B91FBD"/>
    <w:rsid w:val="00BA1781"/>
    <w:rsid w:val="00BA7BDD"/>
    <w:rsid w:val="00BB1B96"/>
    <w:rsid w:val="00BB3580"/>
    <w:rsid w:val="00BB5F7D"/>
    <w:rsid w:val="00BB68B9"/>
    <w:rsid w:val="00BC1029"/>
    <w:rsid w:val="00BC2379"/>
    <w:rsid w:val="00BC3101"/>
    <w:rsid w:val="00BD23DC"/>
    <w:rsid w:val="00BD24C6"/>
    <w:rsid w:val="00BD45E7"/>
    <w:rsid w:val="00BE48DB"/>
    <w:rsid w:val="00BE6714"/>
    <w:rsid w:val="00BF32A5"/>
    <w:rsid w:val="00BF7C5E"/>
    <w:rsid w:val="00C05568"/>
    <w:rsid w:val="00C055FF"/>
    <w:rsid w:val="00C10370"/>
    <w:rsid w:val="00C1313D"/>
    <w:rsid w:val="00C21623"/>
    <w:rsid w:val="00C33CA3"/>
    <w:rsid w:val="00C34E87"/>
    <w:rsid w:val="00C43987"/>
    <w:rsid w:val="00C455EE"/>
    <w:rsid w:val="00C5065F"/>
    <w:rsid w:val="00C627B5"/>
    <w:rsid w:val="00C64842"/>
    <w:rsid w:val="00C6592C"/>
    <w:rsid w:val="00C67BA4"/>
    <w:rsid w:val="00C70B74"/>
    <w:rsid w:val="00C77997"/>
    <w:rsid w:val="00C845F0"/>
    <w:rsid w:val="00C85532"/>
    <w:rsid w:val="00C85541"/>
    <w:rsid w:val="00C85DBF"/>
    <w:rsid w:val="00C92B7B"/>
    <w:rsid w:val="00C953D7"/>
    <w:rsid w:val="00CA0DE5"/>
    <w:rsid w:val="00CA211F"/>
    <w:rsid w:val="00CA7312"/>
    <w:rsid w:val="00CB33D1"/>
    <w:rsid w:val="00CB5E43"/>
    <w:rsid w:val="00CC4535"/>
    <w:rsid w:val="00CC691D"/>
    <w:rsid w:val="00CC6F05"/>
    <w:rsid w:val="00CD1043"/>
    <w:rsid w:val="00CD25E8"/>
    <w:rsid w:val="00CD26CD"/>
    <w:rsid w:val="00CD7819"/>
    <w:rsid w:val="00CE1F16"/>
    <w:rsid w:val="00CE21A6"/>
    <w:rsid w:val="00CE4313"/>
    <w:rsid w:val="00CE5846"/>
    <w:rsid w:val="00D05F6A"/>
    <w:rsid w:val="00D06AA8"/>
    <w:rsid w:val="00D07575"/>
    <w:rsid w:val="00D133B6"/>
    <w:rsid w:val="00D13B94"/>
    <w:rsid w:val="00D14EDA"/>
    <w:rsid w:val="00D15CB4"/>
    <w:rsid w:val="00D210EB"/>
    <w:rsid w:val="00D23BCD"/>
    <w:rsid w:val="00D26281"/>
    <w:rsid w:val="00D304D0"/>
    <w:rsid w:val="00D30CB5"/>
    <w:rsid w:val="00D3181F"/>
    <w:rsid w:val="00D3289E"/>
    <w:rsid w:val="00D33059"/>
    <w:rsid w:val="00D343C2"/>
    <w:rsid w:val="00D450A0"/>
    <w:rsid w:val="00D4657F"/>
    <w:rsid w:val="00D4688B"/>
    <w:rsid w:val="00D51496"/>
    <w:rsid w:val="00D53F39"/>
    <w:rsid w:val="00D5511C"/>
    <w:rsid w:val="00D62E23"/>
    <w:rsid w:val="00D64108"/>
    <w:rsid w:val="00D67B92"/>
    <w:rsid w:val="00D73FEF"/>
    <w:rsid w:val="00D80D14"/>
    <w:rsid w:val="00D948EE"/>
    <w:rsid w:val="00DA1177"/>
    <w:rsid w:val="00DA12BC"/>
    <w:rsid w:val="00DB18EC"/>
    <w:rsid w:val="00DB2C77"/>
    <w:rsid w:val="00DB4060"/>
    <w:rsid w:val="00DC1FB9"/>
    <w:rsid w:val="00DD03DB"/>
    <w:rsid w:val="00DD2D92"/>
    <w:rsid w:val="00DD548F"/>
    <w:rsid w:val="00DE01F1"/>
    <w:rsid w:val="00DE15DA"/>
    <w:rsid w:val="00DF4410"/>
    <w:rsid w:val="00DF68A8"/>
    <w:rsid w:val="00E102C0"/>
    <w:rsid w:val="00E12FE9"/>
    <w:rsid w:val="00E1378E"/>
    <w:rsid w:val="00E235D5"/>
    <w:rsid w:val="00E2389F"/>
    <w:rsid w:val="00E25E8B"/>
    <w:rsid w:val="00E26413"/>
    <w:rsid w:val="00E26DB1"/>
    <w:rsid w:val="00E27789"/>
    <w:rsid w:val="00E30898"/>
    <w:rsid w:val="00E41BEE"/>
    <w:rsid w:val="00E43A55"/>
    <w:rsid w:val="00E43EF6"/>
    <w:rsid w:val="00E44D7A"/>
    <w:rsid w:val="00E456AC"/>
    <w:rsid w:val="00E47EE4"/>
    <w:rsid w:val="00E51409"/>
    <w:rsid w:val="00E5140F"/>
    <w:rsid w:val="00E603F2"/>
    <w:rsid w:val="00E633BD"/>
    <w:rsid w:val="00E6612D"/>
    <w:rsid w:val="00E67835"/>
    <w:rsid w:val="00E71BCB"/>
    <w:rsid w:val="00E74732"/>
    <w:rsid w:val="00E74E53"/>
    <w:rsid w:val="00E75C38"/>
    <w:rsid w:val="00E7690A"/>
    <w:rsid w:val="00E76CFC"/>
    <w:rsid w:val="00E80746"/>
    <w:rsid w:val="00E81300"/>
    <w:rsid w:val="00E81C19"/>
    <w:rsid w:val="00E821DF"/>
    <w:rsid w:val="00E82740"/>
    <w:rsid w:val="00E83DF5"/>
    <w:rsid w:val="00E843EB"/>
    <w:rsid w:val="00E8510B"/>
    <w:rsid w:val="00E93B48"/>
    <w:rsid w:val="00E95334"/>
    <w:rsid w:val="00EA13E9"/>
    <w:rsid w:val="00EA4980"/>
    <w:rsid w:val="00EA5A71"/>
    <w:rsid w:val="00EB2727"/>
    <w:rsid w:val="00EB2A06"/>
    <w:rsid w:val="00EB2B9F"/>
    <w:rsid w:val="00EB36DB"/>
    <w:rsid w:val="00EB56B4"/>
    <w:rsid w:val="00EB71EA"/>
    <w:rsid w:val="00EC417D"/>
    <w:rsid w:val="00EC53AF"/>
    <w:rsid w:val="00EC7323"/>
    <w:rsid w:val="00EC7AA5"/>
    <w:rsid w:val="00ED2789"/>
    <w:rsid w:val="00ED5B01"/>
    <w:rsid w:val="00ED6D3A"/>
    <w:rsid w:val="00EE2B9F"/>
    <w:rsid w:val="00EF330A"/>
    <w:rsid w:val="00EF3BE5"/>
    <w:rsid w:val="00EF6683"/>
    <w:rsid w:val="00F01A82"/>
    <w:rsid w:val="00F02C74"/>
    <w:rsid w:val="00F03C85"/>
    <w:rsid w:val="00F05DE5"/>
    <w:rsid w:val="00F1300F"/>
    <w:rsid w:val="00F2030F"/>
    <w:rsid w:val="00F20F0F"/>
    <w:rsid w:val="00F223DE"/>
    <w:rsid w:val="00F22F0A"/>
    <w:rsid w:val="00F24B22"/>
    <w:rsid w:val="00F276ED"/>
    <w:rsid w:val="00F3107C"/>
    <w:rsid w:val="00F3561D"/>
    <w:rsid w:val="00F3606B"/>
    <w:rsid w:val="00F44588"/>
    <w:rsid w:val="00F44C4D"/>
    <w:rsid w:val="00F479C2"/>
    <w:rsid w:val="00F501B8"/>
    <w:rsid w:val="00F523A2"/>
    <w:rsid w:val="00F53EFB"/>
    <w:rsid w:val="00F57DA5"/>
    <w:rsid w:val="00F61838"/>
    <w:rsid w:val="00F64FF8"/>
    <w:rsid w:val="00F71015"/>
    <w:rsid w:val="00F71771"/>
    <w:rsid w:val="00F721CE"/>
    <w:rsid w:val="00F77455"/>
    <w:rsid w:val="00F809C5"/>
    <w:rsid w:val="00F848AE"/>
    <w:rsid w:val="00F851D4"/>
    <w:rsid w:val="00F90617"/>
    <w:rsid w:val="00FA024B"/>
    <w:rsid w:val="00FA19A5"/>
    <w:rsid w:val="00FA27AB"/>
    <w:rsid w:val="00FA475E"/>
    <w:rsid w:val="00FB1374"/>
    <w:rsid w:val="00FB19D4"/>
    <w:rsid w:val="00FB2F6D"/>
    <w:rsid w:val="00FC0909"/>
    <w:rsid w:val="00FC09FE"/>
    <w:rsid w:val="00FC1B4B"/>
    <w:rsid w:val="00FC21D9"/>
    <w:rsid w:val="00FD1616"/>
    <w:rsid w:val="00FD5200"/>
    <w:rsid w:val="00FD53E5"/>
    <w:rsid w:val="00FD5500"/>
    <w:rsid w:val="00FD6F3D"/>
    <w:rsid w:val="00FE1FD0"/>
    <w:rsid w:val="00FE2755"/>
    <w:rsid w:val="00FE2D05"/>
    <w:rsid w:val="00FE59E5"/>
    <w:rsid w:val="00FE78D3"/>
    <w:rsid w:val="00FF0025"/>
    <w:rsid w:val="00FF180F"/>
    <w:rsid w:val="00FF20C6"/>
    <w:rsid w:val="00FF3A9E"/>
    <w:rsid w:val="00FF7D6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hapeDefaults>
    <o:shapedefaults v:ext="edit" spidmax="46081">
      <o:colormenu v:ext="edit" fillcolor="#00b0f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01A"/>
    <w:rPr>
      <w:sz w:val="24"/>
      <w:lang w:val="en-US" w:eastAsia="en-US"/>
    </w:rPr>
  </w:style>
  <w:style w:type="paragraph" w:styleId="Heading1">
    <w:name w:val="heading 1"/>
    <w:basedOn w:val="Normal"/>
    <w:next w:val="Normal"/>
    <w:qFormat/>
    <w:rsid w:val="00C85532"/>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C85532"/>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C85532"/>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C85532"/>
    <w:pPr>
      <w:keepNext/>
      <w:keepLines/>
      <w:spacing w:before="240"/>
      <w:outlineLvl w:val="3"/>
    </w:pPr>
    <w:rPr>
      <w:rFonts w:ascii="Arial" w:hAnsi="Arial"/>
      <w:b/>
      <w:sz w:val="22"/>
    </w:rPr>
  </w:style>
  <w:style w:type="paragraph" w:styleId="Heading5">
    <w:name w:val="heading 5"/>
    <w:basedOn w:val="Heading4"/>
    <w:next w:val="Normal"/>
    <w:qFormat/>
    <w:rsid w:val="00C85532"/>
    <w:pPr>
      <w:outlineLvl w:val="4"/>
    </w:pPr>
    <w:rPr>
      <w:b w:val="0"/>
    </w:rPr>
  </w:style>
  <w:style w:type="paragraph" w:styleId="Heading6">
    <w:name w:val="heading 6"/>
    <w:basedOn w:val="Normal"/>
    <w:next w:val="Normal"/>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C85532"/>
    <w:pPr>
      <w:ind w:left="720"/>
      <w:outlineLvl w:val="7"/>
    </w:pPr>
    <w:rPr>
      <w:i/>
      <w:sz w:val="20"/>
    </w:rPr>
  </w:style>
  <w:style w:type="paragraph" w:styleId="Heading9">
    <w:name w:val="heading 9"/>
    <w:basedOn w:val="Normal"/>
    <w:next w:val="Normal"/>
    <w:qFormat/>
    <w:rsid w:val="00C85532"/>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uiPriority w:val="99"/>
    <w:semiHidden/>
    <w:rsid w:val="00C85532"/>
    <w:rPr>
      <w:sz w:val="16"/>
    </w:rPr>
  </w:style>
  <w:style w:type="paragraph" w:styleId="CommentText">
    <w:name w:val="annotation text"/>
    <w:basedOn w:val="Normal"/>
    <w:link w:val="CommentTextChar"/>
    <w:semiHidden/>
    <w:rsid w:val="00C85532"/>
    <w:rPr>
      <w:sz w:val="20"/>
    </w:rPr>
  </w:style>
  <w:style w:type="paragraph" w:styleId="TOC8">
    <w:name w:val="toc 8"/>
    <w:basedOn w:val="Normal"/>
    <w:next w:val="Normal"/>
    <w:semiHidden/>
    <w:rsid w:val="00C85532"/>
    <w:pPr>
      <w:tabs>
        <w:tab w:val="left" w:leader="dot" w:pos="8280"/>
        <w:tab w:val="right" w:pos="8640"/>
      </w:tabs>
      <w:ind w:left="5040" w:right="720"/>
    </w:pPr>
  </w:style>
  <w:style w:type="paragraph" w:styleId="TOC7">
    <w:name w:val="toc 7"/>
    <w:basedOn w:val="Normal"/>
    <w:semiHidden/>
    <w:rsid w:val="00C85532"/>
    <w:pPr>
      <w:tabs>
        <w:tab w:val="right" w:leader="dot" w:pos="9072"/>
      </w:tabs>
      <w:spacing w:after="72"/>
      <w:ind w:left="1701" w:hanging="1701"/>
    </w:pPr>
  </w:style>
  <w:style w:type="paragraph" w:styleId="TOC6">
    <w:name w:val="toc 6"/>
    <w:basedOn w:val="Normal"/>
    <w:semiHidden/>
    <w:rsid w:val="00C85532"/>
    <w:pPr>
      <w:tabs>
        <w:tab w:val="right" w:leader="dot" w:pos="9072"/>
      </w:tabs>
      <w:spacing w:after="72"/>
      <w:ind w:left="1701" w:hanging="1701"/>
    </w:pPr>
  </w:style>
  <w:style w:type="paragraph" w:styleId="TOC5">
    <w:name w:val="toc 5"/>
    <w:basedOn w:val="Normal"/>
    <w:next w:val="Normal"/>
    <w:semiHidden/>
    <w:rsid w:val="00C85532"/>
    <w:pPr>
      <w:tabs>
        <w:tab w:val="left" w:leader="dot" w:pos="8280"/>
        <w:tab w:val="right" w:pos="8640"/>
      </w:tabs>
      <w:ind w:left="2880" w:right="720"/>
    </w:pPr>
  </w:style>
  <w:style w:type="paragraph" w:styleId="TOC4">
    <w:name w:val="toc 4"/>
    <w:basedOn w:val="Normal"/>
    <w:next w:val="Normal"/>
    <w:semiHidden/>
    <w:rsid w:val="00C85532"/>
    <w:pPr>
      <w:tabs>
        <w:tab w:val="left" w:leader="dot" w:pos="8280"/>
        <w:tab w:val="right" w:pos="8640"/>
      </w:tabs>
      <w:ind w:left="2160" w:right="720"/>
    </w:pPr>
  </w:style>
  <w:style w:type="paragraph" w:styleId="TOC3">
    <w:name w:val="toc 3"/>
    <w:basedOn w:val="TOC2"/>
    <w:semiHidden/>
    <w:rsid w:val="00C85532"/>
    <w:pPr>
      <w:ind w:left="2127" w:hanging="993"/>
    </w:pPr>
  </w:style>
  <w:style w:type="paragraph" w:styleId="TOC2">
    <w:name w:val="toc 2"/>
    <w:basedOn w:val="TOC1"/>
    <w:semiHidden/>
    <w:rsid w:val="00C85532"/>
    <w:pPr>
      <w:ind w:left="1134" w:hanging="709"/>
    </w:pPr>
  </w:style>
  <w:style w:type="paragraph" w:styleId="TOC1">
    <w:name w:val="toc 1"/>
    <w:basedOn w:val="Normal"/>
    <w:semiHidden/>
    <w:rsid w:val="00C85532"/>
    <w:pPr>
      <w:tabs>
        <w:tab w:val="right" w:leader="dot" w:pos="9073"/>
      </w:tabs>
      <w:spacing w:after="72"/>
      <w:ind w:left="426" w:hanging="426"/>
    </w:pPr>
  </w:style>
  <w:style w:type="paragraph" w:styleId="Index7">
    <w:name w:val="index 7"/>
    <w:basedOn w:val="Normal"/>
    <w:next w:val="Normal"/>
    <w:semiHidden/>
    <w:rsid w:val="00C85532"/>
    <w:pPr>
      <w:ind w:left="2160"/>
    </w:pPr>
  </w:style>
  <w:style w:type="paragraph" w:styleId="Index6">
    <w:name w:val="index 6"/>
    <w:basedOn w:val="Normal"/>
    <w:next w:val="Normal"/>
    <w:semiHidden/>
    <w:rsid w:val="00C85532"/>
    <w:pPr>
      <w:ind w:left="1800"/>
    </w:pPr>
  </w:style>
  <w:style w:type="paragraph" w:styleId="Index5">
    <w:name w:val="index 5"/>
    <w:basedOn w:val="Normal"/>
    <w:next w:val="Normal"/>
    <w:semiHidden/>
    <w:rsid w:val="00C85532"/>
    <w:pPr>
      <w:ind w:left="1440"/>
    </w:pPr>
  </w:style>
  <w:style w:type="paragraph" w:styleId="Index4">
    <w:name w:val="index 4"/>
    <w:basedOn w:val="Normal"/>
    <w:next w:val="Normal"/>
    <w:semiHidden/>
    <w:rsid w:val="00C85532"/>
    <w:pPr>
      <w:ind w:left="1080"/>
    </w:pPr>
  </w:style>
  <w:style w:type="paragraph" w:styleId="Index3">
    <w:name w:val="index 3"/>
    <w:basedOn w:val="Normal"/>
    <w:next w:val="Normal"/>
    <w:semiHidden/>
    <w:rsid w:val="00C85532"/>
    <w:pPr>
      <w:ind w:left="720"/>
    </w:pPr>
  </w:style>
  <w:style w:type="paragraph" w:styleId="Index2">
    <w:name w:val="index 2"/>
    <w:basedOn w:val="Normal"/>
    <w:next w:val="Normal"/>
    <w:semiHidden/>
    <w:rsid w:val="00C85532"/>
    <w:pPr>
      <w:ind w:left="360"/>
    </w:pPr>
  </w:style>
  <w:style w:type="paragraph" w:styleId="Index1">
    <w:name w:val="index 1"/>
    <w:basedOn w:val="Normal"/>
    <w:next w:val="Normal"/>
    <w:semiHidden/>
    <w:rsid w:val="00C85532"/>
  </w:style>
  <w:style w:type="paragraph" w:styleId="IndexHeading">
    <w:name w:val="index heading"/>
    <w:basedOn w:val="Normal"/>
    <w:next w:val="Index1"/>
    <w:semiHidden/>
    <w:rsid w:val="00C85532"/>
  </w:style>
  <w:style w:type="character" w:styleId="FootnoteReference">
    <w:name w:val="footnote reference"/>
    <w:basedOn w:val="DefaultParagraphFont"/>
    <w:semiHidden/>
    <w:rsid w:val="00C85532"/>
    <w:rPr>
      <w:position w:val="6"/>
      <w:sz w:val="16"/>
    </w:rPr>
  </w:style>
  <w:style w:type="paragraph" w:styleId="FootnoteText">
    <w:name w:val="footnote text"/>
    <w:basedOn w:val="Normal"/>
    <w:semiHidden/>
    <w:rsid w:val="00C85532"/>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D62E23"/>
    <w:pPr>
      <w:keepLines w:val="0"/>
      <w:tabs>
        <w:tab w:val="left" w:pos="1418"/>
      </w:tabs>
      <w:spacing w:before="240" w:after="240"/>
      <w:ind w:left="1418" w:right="0" w:hanging="1418"/>
      <w:jc w:val="both"/>
    </w:pPr>
    <w:rPr>
      <w:caps/>
      <w:sz w:val="22"/>
      <w:szCs w:val="22"/>
    </w:rPr>
  </w:style>
  <w:style w:type="paragraph" w:customStyle="1" w:styleId="PIheading2">
    <w:name w:val="PI heading 2"/>
    <w:basedOn w:val="Heading2"/>
    <w:rsid w:val="00292D90"/>
    <w:pPr>
      <w:keepLines w:val="0"/>
      <w:tabs>
        <w:tab w:val="left" w:pos="1418"/>
      </w:tabs>
      <w:spacing w:before="120" w:after="240"/>
      <w:ind w:left="0" w:right="0" w:firstLine="0"/>
    </w:pPr>
    <w:rPr>
      <w:sz w:val="22"/>
      <w:szCs w:val="22"/>
    </w:rPr>
  </w:style>
  <w:style w:type="paragraph" w:customStyle="1" w:styleId="PIHeading3">
    <w:name w:val="PI Heading 3"/>
    <w:basedOn w:val="Normal"/>
    <w:rsid w:val="00292D90"/>
    <w:pPr>
      <w:tabs>
        <w:tab w:val="left" w:pos="1418"/>
      </w:tabs>
      <w:spacing w:before="120" w:after="60"/>
      <w:jc w:val="both"/>
    </w:pPr>
    <w:rPr>
      <w:rFonts w:ascii="Arial" w:hAnsi="Arial"/>
      <w:sz w:val="22"/>
      <w:szCs w:val="22"/>
      <w:u w:val="single"/>
    </w:rPr>
  </w:style>
  <w:style w:type="paragraph" w:styleId="EndnoteText">
    <w:name w:val="endnote text"/>
    <w:basedOn w:val="Normal"/>
    <w:semiHidden/>
    <w:rsid w:val="00C85532"/>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9"/>
      </w:numPr>
      <w:tabs>
        <w:tab w:val="clear" w:pos="720"/>
        <w:tab w:val="num" w:pos="360"/>
      </w:tabs>
      <w:spacing w:before="0" w:after="0"/>
      <w:ind w:left="0" w:firstLine="0"/>
    </w:pPr>
  </w:style>
  <w:style w:type="paragraph" w:customStyle="1" w:styleId="TextPItable">
    <w:name w:val="Text PI table"/>
    <w:basedOn w:val="Normal"/>
    <w:rsid w:val="00292D90"/>
    <w:pPr>
      <w:tabs>
        <w:tab w:val="left" w:pos="1418"/>
      </w:tabs>
      <w:jc w:val="both"/>
    </w:pPr>
    <w:rPr>
      <w:rFonts w:ascii="Arial" w:hAnsi="Arial"/>
      <w:sz w:val="22"/>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styleId="Header">
    <w:name w:val="header"/>
    <w:basedOn w:val="Normal"/>
    <w:link w:val="HeaderChar"/>
    <w:uiPriority w:val="99"/>
    <w:unhideWhenUsed/>
    <w:rsid w:val="00A67E11"/>
    <w:pPr>
      <w:tabs>
        <w:tab w:val="center" w:pos="4513"/>
        <w:tab w:val="right" w:pos="9026"/>
      </w:tabs>
    </w:pPr>
  </w:style>
  <w:style w:type="character" w:customStyle="1" w:styleId="HeaderChar">
    <w:name w:val="Header Char"/>
    <w:basedOn w:val="DefaultParagraphFont"/>
    <w:link w:val="Header"/>
    <w:uiPriority w:val="99"/>
    <w:rsid w:val="00A67E11"/>
    <w:rPr>
      <w:sz w:val="24"/>
      <w:lang w:val="en-US" w:eastAsia="en-US"/>
    </w:rPr>
  </w:style>
  <w:style w:type="paragraph" w:styleId="Footer">
    <w:name w:val="footer"/>
    <w:basedOn w:val="Normal"/>
    <w:link w:val="FooterChar"/>
    <w:uiPriority w:val="99"/>
    <w:unhideWhenUsed/>
    <w:rsid w:val="00A67E11"/>
    <w:pPr>
      <w:tabs>
        <w:tab w:val="center" w:pos="4513"/>
        <w:tab w:val="right" w:pos="9026"/>
      </w:tabs>
    </w:pPr>
  </w:style>
  <w:style w:type="character" w:customStyle="1" w:styleId="FooterChar">
    <w:name w:val="Footer Char"/>
    <w:basedOn w:val="DefaultParagraphFont"/>
    <w:link w:val="Footer"/>
    <w:uiPriority w:val="99"/>
    <w:rsid w:val="00A67E11"/>
    <w:rPr>
      <w:sz w:val="24"/>
      <w:lang w:val="en-US" w:eastAsia="en-US"/>
    </w:rPr>
  </w:style>
  <w:style w:type="character" w:styleId="PageNumber">
    <w:name w:val="page number"/>
    <w:basedOn w:val="DefaultParagraphFont"/>
    <w:rsid w:val="00071BF6"/>
  </w:style>
  <w:style w:type="paragraph" w:customStyle="1" w:styleId="Char1CharChar1">
    <w:name w:val="Char1 Char Char1"/>
    <w:basedOn w:val="Normal"/>
    <w:semiHidden/>
    <w:rsid w:val="00852D4F"/>
    <w:pPr>
      <w:spacing w:after="160" w:line="240" w:lineRule="exact"/>
    </w:pPr>
    <w:rPr>
      <w:rFonts w:ascii="Verdana" w:hAnsi="Verdana" w:cs="Verdana"/>
      <w:sz w:val="20"/>
    </w:rPr>
  </w:style>
  <w:style w:type="paragraph" w:customStyle="1" w:styleId="PIheading4">
    <w:name w:val="PI heading 4"/>
    <w:basedOn w:val="TextPI"/>
    <w:qFormat/>
    <w:rsid w:val="00584EC3"/>
    <w:rPr>
      <w:i/>
    </w:rPr>
  </w:style>
  <w:style w:type="paragraph" w:customStyle="1" w:styleId="CharChar">
    <w:name w:val="Char Char"/>
    <w:basedOn w:val="Normal"/>
    <w:semiHidden/>
    <w:rsid w:val="00C92B7B"/>
    <w:pPr>
      <w:spacing w:after="160" w:line="240" w:lineRule="exact"/>
    </w:pPr>
    <w:rPr>
      <w:rFonts w:ascii="Verdana" w:hAnsi="Verdana" w:cs="Verdana"/>
      <w:sz w:val="20"/>
    </w:rPr>
  </w:style>
  <w:style w:type="paragraph" w:styleId="BodyText">
    <w:name w:val="Body Text"/>
    <w:basedOn w:val="Normal"/>
    <w:link w:val="BodyTextChar"/>
    <w:rsid w:val="00870B14"/>
    <w:rPr>
      <w:sz w:val="16"/>
    </w:rPr>
  </w:style>
  <w:style w:type="character" w:customStyle="1" w:styleId="BodyTextChar">
    <w:name w:val="Body Text Char"/>
    <w:basedOn w:val="DefaultParagraphFont"/>
    <w:link w:val="BodyText"/>
    <w:rsid w:val="00870B14"/>
    <w:rPr>
      <w:sz w:val="16"/>
      <w:lang w:val="en-US" w:eastAsia="en-US"/>
    </w:rPr>
  </w:style>
  <w:style w:type="paragraph" w:customStyle="1" w:styleId="Body">
    <w:name w:val="Body"/>
    <w:basedOn w:val="Normal"/>
    <w:link w:val="BodyChar"/>
    <w:rsid w:val="00F851D4"/>
    <w:pPr>
      <w:ind w:firstLine="288"/>
      <w:jc w:val="both"/>
    </w:pPr>
    <w:rPr>
      <w:rFonts w:ascii="Arial" w:hAnsi="Arial"/>
      <w:szCs w:val="24"/>
    </w:rPr>
  </w:style>
  <w:style w:type="character" w:customStyle="1" w:styleId="BodyChar">
    <w:name w:val="Body Char"/>
    <w:basedOn w:val="DefaultParagraphFont"/>
    <w:link w:val="Body"/>
    <w:rsid w:val="00F851D4"/>
    <w:rPr>
      <w:rFonts w:ascii="Arial" w:hAnsi="Arial"/>
      <w:sz w:val="24"/>
      <w:szCs w:val="24"/>
      <w:lang w:val="en-US" w:eastAsia="en-US"/>
    </w:rPr>
  </w:style>
  <w:style w:type="paragraph" w:customStyle="1" w:styleId="CS-FootnoteText">
    <w:name w:val="CS-Footnote Text"/>
    <w:basedOn w:val="Normal"/>
    <w:link w:val="CS-FootnoteTextChar"/>
    <w:rsid w:val="00F851D4"/>
    <w:pPr>
      <w:keepLines/>
      <w:ind w:left="720" w:hanging="720"/>
    </w:pPr>
    <w:rPr>
      <w:rFonts w:eastAsia="MS Mincho"/>
      <w:sz w:val="18"/>
      <w:szCs w:val="24"/>
      <w:lang w:val="en-GB"/>
    </w:rPr>
  </w:style>
  <w:style w:type="character" w:customStyle="1" w:styleId="CS-FootnoteTextChar">
    <w:name w:val="CS-Footnote Text Char"/>
    <w:basedOn w:val="DefaultParagraphFont"/>
    <w:link w:val="CS-FootnoteText"/>
    <w:rsid w:val="00F851D4"/>
    <w:rPr>
      <w:rFonts w:eastAsia="MS Mincho"/>
      <w:sz w:val="18"/>
      <w:szCs w:val="24"/>
      <w:lang w:val="en-GB" w:eastAsia="en-US"/>
    </w:rPr>
  </w:style>
  <w:style w:type="table" w:styleId="TableGrid">
    <w:name w:val="Table Grid"/>
    <w:basedOn w:val="TableNormal"/>
    <w:uiPriority w:val="59"/>
    <w:rsid w:val="003573F3"/>
    <w:rPr>
      <w:rFonts w:ascii="CG Times (W1)" w:hAnsi="CG Times (W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7378EF"/>
    <w:rPr>
      <w:lang w:val="en-US" w:eastAsia="en-US"/>
    </w:rPr>
  </w:style>
  <w:style w:type="paragraph" w:customStyle="1" w:styleId="Default">
    <w:name w:val="Default"/>
    <w:rsid w:val="00860B5F"/>
    <w:pPr>
      <w:autoSpaceDE w:val="0"/>
      <w:autoSpaceDN w:val="0"/>
      <w:adjustRightInd w:val="0"/>
    </w:pPr>
    <w:rPr>
      <w:color w:val="000000"/>
      <w:sz w:val="24"/>
      <w:szCs w:val="24"/>
    </w:rPr>
  </w:style>
  <w:style w:type="paragraph" w:styleId="Revision">
    <w:name w:val="Revision"/>
    <w:hidden/>
    <w:uiPriority w:val="99"/>
    <w:semiHidden/>
    <w:rsid w:val="00A3582E"/>
    <w:rPr>
      <w:sz w:val="24"/>
      <w:lang w:val="en-US" w:eastAsia="en-US"/>
    </w:rPr>
  </w:style>
  <w:style w:type="paragraph" w:styleId="CommentSubject">
    <w:name w:val="annotation subject"/>
    <w:basedOn w:val="CommentText"/>
    <w:next w:val="CommentText"/>
    <w:link w:val="CommentSubjectChar"/>
    <w:uiPriority w:val="99"/>
    <w:semiHidden/>
    <w:unhideWhenUsed/>
    <w:rsid w:val="005B744D"/>
    <w:rPr>
      <w:b/>
      <w:bCs/>
    </w:rPr>
  </w:style>
  <w:style w:type="character" w:customStyle="1" w:styleId="CommentSubjectChar">
    <w:name w:val="Comment Subject Char"/>
    <w:basedOn w:val="CommentTextChar"/>
    <w:link w:val="CommentSubject"/>
    <w:uiPriority w:val="99"/>
    <w:semiHidden/>
    <w:rsid w:val="005B744D"/>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01A"/>
    <w:rPr>
      <w:sz w:val="24"/>
      <w:lang w:val="en-US" w:eastAsia="en-US"/>
    </w:rPr>
  </w:style>
  <w:style w:type="paragraph" w:styleId="Heading1">
    <w:name w:val="heading 1"/>
    <w:basedOn w:val="Normal"/>
    <w:next w:val="Normal"/>
    <w:qFormat/>
    <w:rsid w:val="00C85532"/>
    <w:pPr>
      <w:keepNext/>
      <w:keepLines/>
      <w:spacing w:before="720"/>
      <w:ind w:left="907" w:right="567" w:hanging="907"/>
      <w:outlineLvl w:val="0"/>
    </w:pPr>
    <w:rPr>
      <w:rFonts w:ascii="Arial" w:hAnsi="Arial"/>
      <w:b/>
      <w:sz w:val="32"/>
    </w:rPr>
  </w:style>
  <w:style w:type="paragraph" w:styleId="Heading2">
    <w:name w:val="heading 2"/>
    <w:basedOn w:val="Normal"/>
    <w:next w:val="Normal"/>
    <w:qFormat/>
    <w:rsid w:val="00C85532"/>
    <w:pPr>
      <w:keepNext/>
      <w:keepLines/>
      <w:spacing w:before="480"/>
      <w:ind w:left="907" w:right="567" w:hanging="907"/>
      <w:outlineLvl w:val="1"/>
    </w:pPr>
    <w:rPr>
      <w:rFonts w:ascii="Arial" w:hAnsi="Arial"/>
      <w:b/>
      <w:sz w:val="28"/>
    </w:rPr>
  </w:style>
  <w:style w:type="paragraph" w:styleId="Heading3">
    <w:name w:val="heading 3"/>
    <w:basedOn w:val="Normal"/>
    <w:next w:val="Normal"/>
    <w:link w:val="Heading3Char"/>
    <w:qFormat/>
    <w:rsid w:val="00C85532"/>
    <w:pPr>
      <w:keepNext/>
      <w:keepLines/>
      <w:spacing w:before="240"/>
      <w:ind w:left="907" w:right="567" w:hanging="907"/>
      <w:outlineLvl w:val="2"/>
    </w:pPr>
    <w:rPr>
      <w:rFonts w:ascii="Arial" w:hAnsi="Arial"/>
      <w:b/>
    </w:rPr>
  </w:style>
  <w:style w:type="paragraph" w:styleId="Heading4">
    <w:name w:val="heading 4"/>
    <w:basedOn w:val="Normal"/>
    <w:next w:val="Normal"/>
    <w:link w:val="Heading4Char"/>
    <w:qFormat/>
    <w:rsid w:val="00C85532"/>
    <w:pPr>
      <w:keepNext/>
      <w:keepLines/>
      <w:spacing w:before="240"/>
      <w:outlineLvl w:val="3"/>
    </w:pPr>
    <w:rPr>
      <w:rFonts w:ascii="Arial" w:hAnsi="Arial"/>
      <w:b/>
      <w:sz w:val="22"/>
    </w:rPr>
  </w:style>
  <w:style w:type="paragraph" w:styleId="Heading5">
    <w:name w:val="heading 5"/>
    <w:basedOn w:val="Heading4"/>
    <w:next w:val="Normal"/>
    <w:qFormat/>
    <w:rsid w:val="00C85532"/>
    <w:pPr>
      <w:outlineLvl w:val="4"/>
    </w:pPr>
    <w:rPr>
      <w:b w:val="0"/>
    </w:rPr>
  </w:style>
  <w:style w:type="paragraph" w:styleId="Heading6">
    <w:name w:val="heading 6"/>
    <w:basedOn w:val="Normal"/>
    <w:next w:val="Normal"/>
    <w:qFormat/>
    <w:rsid w:val="00835E1F"/>
    <w:pPr>
      <w:keepNext/>
      <w:keepLines/>
      <w:spacing w:before="240" w:after="120"/>
      <w:ind w:left="1701" w:hanging="1701"/>
      <w:outlineLvl w:val="5"/>
    </w:pPr>
    <w:rPr>
      <w:rFonts w:ascii="Arial" w:hAnsi="Arial"/>
      <w:b/>
    </w:rPr>
  </w:style>
  <w:style w:type="paragraph" w:styleId="Heading7">
    <w:name w:val="heading 7"/>
    <w:basedOn w:val="Normal"/>
    <w:next w:val="Normal"/>
    <w:qFormat/>
    <w:rsid w:val="00835E1F"/>
    <w:pPr>
      <w:keepNext/>
      <w:keepLines/>
      <w:spacing w:before="240" w:after="120"/>
      <w:ind w:left="1701" w:hanging="1701"/>
      <w:outlineLvl w:val="6"/>
    </w:pPr>
    <w:rPr>
      <w:rFonts w:ascii="Arial" w:hAnsi="Arial"/>
      <w:b/>
    </w:rPr>
  </w:style>
  <w:style w:type="paragraph" w:styleId="Heading8">
    <w:name w:val="heading 8"/>
    <w:basedOn w:val="Normal"/>
    <w:qFormat/>
    <w:rsid w:val="00C85532"/>
    <w:pPr>
      <w:ind w:left="720"/>
      <w:outlineLvl w:val="7"/>
    </w:pPr>
    <w:rPr>
      <w:i/>
      <w:sz w:val="20"/>
    </w:rPr>
  </w:style>
  <w:style w:type="paragraph" w:styleId="Heading9">
    <w:name w:val="heading 9"/>
    <w:basedOn w:val="Normal"/>
    <w:next w:val="Normal"/>
    <w:qFormat/>
    <w:rsid w:val="00C85532"/>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1FD0"/>
    <w:rPr>
      <w:rFonts w:ascii="Arial" w:hAnsi="Arial"/>
      <w:b/>
      <w:sz w:val="24"/>
      <w:lang w:val="en-US" w:eastAsia="en-US" w:bidi="ar-SA"/>
    </w:rPr>
  </w:style>
  <w:style w:type="character" w:customStyle="1" w:styleId="Heading4Char">
    <w:name w:val="Heading 4 Char"/>
    <w:basedOn w:val="DefaultParagraphFont"/>
    <w:link w:val="Heading4"/>
    <w:rsid w:val="00DF4410"/>
    <w:rPr>
      <w:rFonts w:ascii="Arial" w:hAnsi="Arial"/>
      <w:b/>
      <w:sz w:val="22"/>
      <w:lang w:val="en-US" w:eastAsia="en-US" w:bidi="ar-SA"/>
    </w:rPr>
  </w:style>
  <w:style w:type="character" w:styleId="CommentReference">
    <w:name w:val="annotation reference"/>
    <w:basedOn w:val="DefaultParagraphFont"/>
    <w:uiPriority w:val="99"/>
    <w:semiHidden/>
    <w:rsid w:val="00C85532"/>
    <w:rPr>
      <w:sz w:val="16"/>
    </w:rPr>
  </w:style>
  <w:style w:type="paragraph" w:styleId="CommentText">
    <w:name w:val="annotation text"/>
    <w:basedOn w:val="Normal"/>
    <w:link w:val="CommentTextChar"/>
    <w:semiHidden/>
    <w:rsid w:val="00C85532"/>
    <w:rPr>
      <w:sz w:val="20"/>
    </w:rPr>
  </w:style>
  <w:style w:type="paragraph" w:styleId="TOC8">
    <w:name w:val="toc 8"/>
    <w:basedOn w:val="Normal"/>
    <w:next w:val="Normal"/>
    <w:semiHidden/>
    <w:rsid w:val="00C85532"/>
    <w:pPr>
      <w:tabs>
        <w:tab w:val="left" w:leader="dot" w:pos="8280"/>
        <w:tab w:val="right" w:pos="8640"/>
      </w:tabs>
      <w:ind w:left="5040" w:right="720"/>
    </w:pPr>
  </w:style>
  <w:style w:type="paragraph" w:styleId="TOC7">
    <w:name w:val="toc 7"/>
    <w:basedOn w:val="Normal"/>
    <w:semiHidden/>
    <w:rsid w:val="00C85532"/>
    <w:pPr>
      <w:tabs>
        <w:tab w:val="right" w:leader="dot" w:pos="9072"/>
      </w:tabs>
      <w:spacing w:after="72"/>
      <w:ind w:left="1701" w:hanging="1701"/>
    </w:pPr>
  </w:style>
  <w:style w:type="paragraph" w:styleId="TOC6">
    <w:name w:val="toc 6"/>
    <w:basedOn w:val="Normal"/>
    <w:semiHidden/>
    <w:rsid w:val="00C85532"/>
    <w:pPr>
      <w:tabs>
        <w:tab w:val="right" w:leader="dot" w:pos="9072"/>
      </w:tabs>
      <w:spacing w:after="72"/>
      <w:ind w:left="1701" w:hanging="1701"/>
    </w:pPr>
  </w:style>
  <w:style w:type="paragraph" w:styleId="TOC5">
    <w:name w:val="toc 5"/>
    <w:basedOn w:val="Normal"/>
    <w:next w:val="Normal"/>
    <w:semiHidden/>
    <w:rsid w:val="00C85532"/>
    <w:pPr>
      <w:tabs>
        <w:tab w:val="left" w:leader="dot" w:pos="8280"/>
        <w:tab w:val="right" w:pos="8640"/>
      </w:tabs>
      <w:ind w:left="2880" w:right="720"/>
    </w:pPr>
  </w:style>
  <w:style w:type="paragraph" w:styleId="TOC4">
    <w:name w:val="toc 4"/>
    <w:basedOn w:val="Normal"/>
    <w:next w:val="Normal"/>
    <w:semiHidden/>
    <w:rsid w:val="00C85532"/>
    <w:pPr>
      <w:tabs>
        <w:tab w:val="left" w:leader="dot" w:pos="8280"/>
        <w:tab w:val="right" w:pos="8640"/>
      </w:tabs>
      <w:ind w:left="2160" w:right="720"/>
    </w:pPr>
  </w:style>
  <w:style w:type="paragraph" w:styleId="TOC3">
    <w:name w:val="toc 3"/>
    <w:basedOn w:val="TOC2"/>
    <w:semiHidden/>
    <w:rsid w:val="00C85532"/>
    <w:pPr>
      <w:ind w:left="2127" w:hanging="993"/>
    </w:pPr>
  </w:style>
  <w:style w:type="paragraph" w:styleId="TOC2">
    <w:name w:val="toc 2"/>
    <w:basedOn w:val="TOC1"/>
    <w:semiHidden/>
    <w:rsid w:val="00C85532"/>
    <w:pPr>
      <w:ind w:left="1134" w:hanging="709"/>
    </w:pPr>
  </w:style>
  <w:style w:type="paragraph" w:styleId="TOC1">
    <w:name w:val="toc 1"/>
    <w:basedOn w:val="Normal"/>
    <w:semiHidden/>
    <w:rsid w:val="00C85532"/>
    <w:pPr>
      <w:tabs>
        <w:tab w:val="right" w:leader="dot" w:pos="9073"/>
      </w:tabs>
      <w:spacing w:after="72"/>
      <w:ind w:left="426" w:hanging="426"/>
    </w:pPr>
  </w:style>
  <w:style w:type="paragraph" w:styleId="Index7">
    <w:name w:val="index 7"/>
    <w:basedOn w:val="Normal"/>
    <w:next w:val="Normal"/>
    <w:semiHidden/>
    <w:rsid w:val="00C85532"/>
    <w:pPr>
      <w:ind w:left="2160"/>
    </w:pPr>
  </w:style>
  <w:style w:type="paragraph" w:styleId="Index6">
    <w:name w:val="index 6"/>
    <w:basedOn w:val="Normal"/>
    <w:next w:val="Normal"/>
    <w:semiHidden/>
    <w:rsid w:val="00C85532"/>
    <w:pPr>
      <w:ind w:left="1800"/>
    </w:pPr>
  </w:style>
  <w:style w:type="paragraph" w:styleId="Index5">
    <w:name w:val="index 5"/>
    <w:basedOn w:val="Normal"/>
    <w:next w:val="Normal"/>
    <w:semiHidden/>
    <w:rsid w:val="00C85532"/>
    <w:pPr>
      <w:ind w:left="1440"/>
    </w:pPr>
  </w:style>
  <w:style w:type="paragraph" w:styleId="Index4">
    <w:name w:val="index 4"/>
    <w:basedOn w:val="Normal"/>
    <w:next w:val="Normal"/>
    <w:semiHidden/>
    <w:rsid w:val="00C85532"/>
    <w:pPr>
      <w:ind w:left="1080"/>
    </w:pPr>
  </w:style>
  <w:style w:type="paragraph" w:styleId="Index3">
    <w:name w:val="index 3"/>
    <w:basedOn w:val="Normal"/>
    <w:next w:val="Normal"/>
    <w:semiHidden/>
    <w:rsid w:val="00C85532"/>
    <w:pPr>
      <w:ind w:left="720"/>
    </w:pPr>
  </w:style>
  <w:style w:type="paragraph" w:styleId="Index2">
    <w:name w:val="index 2"/>
    <w:basedOn w:val="Normal"/>
    <w:next w:val="Normal"/>
    <w:semiHidden/>
    <w:rsid w:val="00C85532"/>
    <w:pPr>
      <w:ind w:left="360"/>
    </w:pPr>
  </w:style>
  <w:style w:type="paragraph" w:styleId="Index1">
    <w:name w:val="index 1"/>
    <w:basedOn w:val="Normal"/>
    <w:next w:val="Normal"/>
    <w:semiHidden/>
    <w:rsid w:val="00C85532"/>
  </w:style>
  <w:style w:type="paragraph" w:styleId="IndexHeading">
    <w:name w:val="index heading"/>
    <w:basedOn w:val="Normal"/>
    <w:next w:val="Index1"/>
    <w:semiHidden/>
    <w:rsid w:val="00C85532"/>
  </w:style>
  <w:style w:type="character" w:styleId="FootnoteReference">
    <w:name w:val="footnote reference"/>
    <w:basedOn w:val="DefaultParagraphFont"/>
    <w:semiHidden/>
    <w:rsid w:val="00C85532"/>
    <w:rPr>
      <w:position w:val="6"/>
      <w:sz w:val="16"/>
    </w:rPr>
  </w:style>
  <w:style w:type="paragraph" w:styleId="FootnoteText">
    <w:name w:val="footnote text"/>
    <w:basedOn w:val="Normal"/>
    <w:semiHidden/>
    <w:rsid w:val="00C85532"/>
    <w:rPr>
      <w:sz w:val="20"/>
    </w:rPr>
  </w:style>
  <w:style w:type="paragraph" w:customStyle="1" w:styleId="ActiveIngredientPI">
    <w:name w:val="Active Ingredient PI"/>
    <w:basedOn w:val="Normal"/>
    <w:rsid w:val="00292D90"/>
    <w:pPr>
      <w:shd w:val="pct10" w:color="auto" w:fill="auto"/>
      <w:spacing w:after="60"/>
      <w:jc w:val="center"/>
    </w:pPr>
    <w:rPr>
      <w:rFonts w:ascii="Arial" w:hAnsi="Arial"/>
      <w:b/>
    </w:rPr>
  </w:style>
  <w:style w:type="paragraph" w:customStyle="1" w:styleId="PIHeading1">
    <w:name w:val="PI Heading 1"/>
    <w:basedOn w:val="Heading1"/>
    <w:rsid w:val="00D62E23"/>
    <w:pPr>
      <w:keepLines w:val="0"/>
      <w:tabs>
        <w:tab w:val="left" w:pos="1418"/>
      </w:tabs>
      <w:spacing w:before="240" w:after="240"/>
      <w:ind w:left="1418" w:right="0" w:hanging="1418"/>
      <w:jc w:val="both"/>
    </w:pPr>
    <w:rPr>
      <w:caps/>
      <w:sz w:val="22"/>
      <w:szCs w:val="22"/>
    </w:rPr>
  </w:style>
  <w:style w:type="paragraph" w:customStyle="1" w:styleId="PIheading2">
    <w:name w:val="PI heading 2"/>
    <w:basedOn w:val="Heading2"/>
    <w:rsid w:val="00292D90"/>
    <w:pPr>
      <w:keepLines w:val="0"/>
      <w:tabs>
        <w:tab w:val="left" w:pos="1418"/>
      </w:tabs>
      <w:spacing w:before="120" w:after="240"/>
      <w:ind w:left="0" w:right="0" w:firstLine="0"/>
    </w:pPr>
    <w:rPr>
      <w:sz w:val="22"/>
      <w:szCs w:val="22"/>
    </w:rPr>
  </w:style>
  <w:style w:type="paragraph" w:customStyle="1" w:styleId="PIHeading3">
    <w:name w:val="PI Heading 3"/>
    <w:basedOn w:val="Normal"/>
    <w:rsid w:val="00292D90"/>
    <w:pPr>
      <w:tabs>
        <w:tab w:val="left" w:pos="1418"/>
      </w:tabs>
      <w:spacing w:before="120" w:after="60"/>
      <w:jc w:val="both"/>
    </w:pPr>
    <w:rPr>
      <w:rFonts w:ascii="Arial" w:hAnsi="Arial"/>
      <w:sz w:val="22"/>
      <w:szCs w:val="22"/>
      <w:u w:val="single"/>
    </w:rPr>
  </w:style>
  <w:style w:type="paragraph" w:styleId="EndnoteText">
    <w:name w:val="endnote text"/>
    <w:basedOn w:val="Normal"/>
    <w:semiHidden/>
    <w:rsid w:val="00C85532"/>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paragraph" w:customStyle="1" w:styleId="BrandNamePI">
    <w:name w:val="Brand Name PI"/>
    <w:basedOn w:val="ActiveIngredientPI"/>
    <w:rsid w:val="00DB18EC"/>
    <w:rPr>
      <w:sz w:val="28"/>
      <w:szCs w:val="28"/>
    </w:rPr>
  </w:style>
  <w:style w:type="paragraph" w:customStyle="1" w:styleId="PItextbolditalic">
    <w:name w:val="PI text bold  italic"/>
    <w:basedOn w:val="Normal"/>
    <w:rsid w:val="00292D90"/>
    <w:pPr>
      <w:tabs>
        <w:tab w:val="left" w:pos="1418"/>
      </w:tabs>
      <w:spacing w:before="120" w:after="120"/>
      <w:jc w:val="both"/>
    </w:pPr>
    <w:rPr>
      <w:rFonts w:ascii="Arial" w:hAnsi="Arial"/>
      <w:b/>
      <w:i/>
      <w:sz w:val="22"/>
      <w:szCs w:val="22"/>
    </w:rPr>
  </w:style>
  <w:style w:type="paragraph" w:customStyle="1" w:styleId="TextPI">
    <w:name w:val="Text PI"/>
    <w:basedOn w:val="Normal"/>
    <w:link w:val="TextPIChar"/>
    <w:rsid w:val="00292D90"/>
    <w:pPr>
      <w:spacing w:before="120" w:after="120" w:line="240" w:lineRule="atLeast"/>
      <w:jc w:val="both"/>
    </w:pPr>
    <w:rPr>
      <w:rFonts w:ascii="Arial" w:hAnsi="Arial"/>
      <w:sz w:val="22"/>
      <w:szCs w:val="22"/>
    </w:rPr>
  </w:style>
  <w:style w:type="character" w:customStyle="1" w:styleId="TextPIChar">
    <w:name w:val="Text PI Char"/>
    <w:basedOn w:val="DefaultParagraphFont"/>
    <w:link w:val="TextPI"/>
    <w:rsid w:val="000A1804"/>
    <w:rPr>
      <w:rFonts w:ascii="Arial" w:hAnsi="Arial"/>
      <w:sz w:val="22"/>
      <w:szCs w:val="22"/>
      <w:lang w:val="en-US" w:eastAsia="en-US" w:bidi="ar-SA"/>
    </w:rPr>
  </w:style>
  <w:style w:type="paragraph" w:customStyle="1" w:styleId="TextPIBullet">
    <w:name w:val="Text PI Bullet"/>
    <w:basedOn w:val="TextPI"/>
    <w:rsid w:val="00292D90"/>
    <w:pPr>
      <w:numPr>
        <w:numId w:val="19"/>
      </w:numPr>
      <w:tabs>
        <w:tab w:val="clear" w:pos="720"/>
        <w:tab w:val="num" w:pos="360"/>
      </w:tabs>
      <w:spacing w:before="0" w:after="0"/>
      <w:ind w:left="0" w:firstLine="0"/>
    </w:pPr>
  </w:style>
  <w:style w:type="paragraph" w:customStyle="1" w:styleId="TextPItable">
    <w:name w:val="Text PI table"/>
    <w:basedOn w:val="Normal"/>
    <w:rsid w:val="00292D90"/>
    <w:pPr>
      <w:tabs>
        <w:tab w:val="left" w:pos="1418"/>
      </w:tabs>
      <w:jc w:val="both"/>
    </w:pPr>
    <w:rPr>
      <w:rFonts w:ascii="Arial" w:hAnsi="Arial"/>
      <w:sz w:val="22"/>
      <w:szCs w:val="22"/>
    </w:rPr>
  </w:style>
  <w:style w:type="paragraph" w:customStyle="1" w:styleId="TextPIunderline">
    <w:name w:val="Text PI underline"/>
    <w:basedOn w:val="Normal"/>
    <w:rsid w:val="00292D90"/>
    <w:pPr>
      <w:tabs>
        <w:tab w:val="left" w:pos="1418"/>
      </w:tabs>
      <w:jc w:val="both"/>
    </w:pPr>
    <w:rPr>
      <w:rFonts w:ascii="Arial" w:hAnsi="Arial"/>
      <w:iCs/>
      <w:sz w:val="22"/>
      <w:szCs w:val="22"/>
      <w:u w:val="single"/>
    </w:rPr>
  </w:style>
  <w:style w:type="paragraph" w:styleId="Header">
    <w:name w:val="header"/>
    <w:basedOn w:val="Normal"/>
    <w:link w:val="HeaderChar"/>
    <w:uiPriority w:val="99"/>
    <w:unhideWhenUsed/>
    <w:rsid w:val="00A67E11"/>
    <w:pPr>
      <w:tabs>
        <w:tab w:val="center" w:pos="4513"/>
        <w:tab w:val="right" w:pos="9026"/>
      </w:tabs>
    </w:pPr>
  </w:style>
  <w:style w:type="character" w:customStyle="1" w:styleId="HeaderChar">
    <w:name w:val="Header Char"/>
    <w:basedOn w:val="DefaultParagraphFont"/>
    <w:link w:val="Header"/>
    <w:uiPriority w:val="99"/>
    <w:rsid w:val="00A67E11"/>
    <w:rPr>
      <w:sz w:val="24"/>
      <w:lang w:val="en-US" w:eastAsia="en-US"/>
    </w:rPr>
  </w:style>
  <w:style w:type="paragraph" w:styleId="Footer">
    <w:name w:val="footer"/>
    <w:basedOn w:val="Normal"/>
    <w:link w:val="FooterChar"/>
    <w:uiPriority w:val="99"/>
    <w:unhideWhenUsed/>
    <w:rsid w:val="00A67E11"/>
    <w:pPr>
      <w:tabs>
        <w:tab w:val="center" w:pos="4513"/>
        <w:tab w:val="right" w:pos="9026"/>
      </w:tabs>
    </w:pPr>
  </w:style>
  <w:style w:type="character" w:customStyle="1" w:styleId="FooterChar">
    <w:name w:val="Footer Char"/>
    <w:basedOn w:val="DefaultParagraphFont"/>
    <w:link w:val="Footer"/>
    <w:uiPriority w:val="99"/>
    <w:rsid w:val="00A67E11"/>
    <w:rPr>
      <w:sz w:val="24"/>
      <w:lang w:val="en-US" w:eastAsia="en-US"/>
    </w:rPr>
  </w:style>
  <w:style w:type="character" w:styleId="PageNumber">
    <w:name w:val="page number"/>
    <w:basedOn w:val="DefaultParagraphFont"/>
    <w:rsid w:val="00071BF6"/>
  </w:style>
  <w:style w:type="paragraph" w:customStyle="1" w:styleId="Char1CharChar1">
    <w:name w:val="Char1 Char Char1"/>
    <w:basedOn w:val="Normal"/>
    <w:semiHidden/>
    <w:rsid w:val="00852D4F"/>
    <w:pPr>
      <w:spacing w:after="160" w:line="240" w:lineRule="exact"/>
    </w:pPr>
    <w:rPr>
      <w:rFonts w:ascii="Verdana" w:hAnsi="Verdana" w:cs="Verdana"/>
      <w:sz w:val="20"/>
    </w:rPr>
  </w:style>
  <w:style w:type="paragraph" w:customStyle="1" w:styleId="PIheading4">
    <w:name w:val="PI heading 4"/>
    <w:basedOn w:val="TextPI"/>
    <w:qFormat/>
    <w:rsid w:val="00584EC3"/>
    <w:rPr>
      <w:i/>
    </w:rPr>
  </w:style>
  <w:style w:type="paragraph" w:customStyle="1" w:styleId="CharChar">
    <w:name w:val="Char Char"/>
    <w:basedOn w:val="Normal"/>
    <w:semiHidden/>
    <w:rsid w:val="00C92B7B"/>
    <w:pPr>
      <w:spacing w:after="160" w:line="240" w:lineRule="exact"/>
    </w:pPr>
    <w:rPr>
      <w:rFonts w:ascii="Verdana" w:hAnsi="Verdana" w:cs="Verdana"/>
      <w:sz w:val="20"/>
    </w:rPr>
  </w:style>
  <w:style w:type="paragraph" w:styleId="BodyText">
    <w:name w:val="Body Text"/>
    <w:basedOn w:val="Normal"/>
    <w:link w:val="BodyTextChar"/>
    <w:rsid w:val="00870B14"/>
    <w:rPr>
      <w:sz w:val="16"/>
    </w:rPr>
  </w:style>
  <w:style w:type="character" w:customStyle="1" w:styleId="BodyTextChar">
    <w:name w:val="Body Text Char"/>
    <w:basedOn w:val="DefaultParagraphFont"/>
    <w:link w:val="BodyText"/>
    <w:rsid w:val="00870B14"/>
    <w:rPr>
      <w:sz w:val="16"/>
      <w:lang w:val="en-US" w:eastAsia="en-US"/>
    </w:rPr>
  </w:style>
  <w:style w:type="paragraph" w:customStyle="1" w:styleId="Body">
    <w:name w:val="Body"/>
    <w:basedOn w:val="Normal"/>
    <w:link w:val="BodyChar"/>
    <w:rsid w:val="00F851D4"/>
    <w:pPr>
      <w:ind w:firstLine="288"/>
      <w:jc w:val="both"/>
    </w:pPr>
    <w:rPr>
      <w:rFonts w:ascii="Arial" w:hAnsi="Arial"/>
      <w:szCs w:val="24"/>
    </w:rPr>
  </w:style>
  <w:style w:type="character" w:customStyle="1" w:styleId="BodyChar">
    <w:name w:val="Body Char"/>
    <w:basedOn w:val="DefaultParagraphFont"/>
    <w:link w:val="Body"/>
    <w:rsid w:val="00F851D4"/>
    <w:rPr>
      <w:rFonts w:ascii="Arial" w:hAnsi="Arial"/>
      <w:sz w:val="24"/>
      <w:szCs w:val="24"/>
      <w:lang w:val="en-US" w:eastAsia="en-US"/>
    </w:rPr>
  </w:style>
  <w:style w:type="paragraph" w:customStyle="1" w:styleId="CS-FootnoteText">
    <w:name w:val="CS-Footnote Text"/>
    <w:basedOn w:val="Normal"/>
    <w:link w:val="CS-FootnoteTextChar"/>
    <w:rsid w:val="00F851D4"/>
    <w:pPr>
      <w:keepLines/>
      <w:ind w:left="720" w:hanging="720"/>
    </w:pPr>
    <w:rPr>
      <w:rFonts w:eastAsia="MS Mincho"/>
      <w:sz w:val="18"/>
      <w:szCs w:val="24"/>
      <w:lang w:val="en-GB"/>
    </w:rPr>
  </w:style>
  <w:style w:type="character" w:customStyle="1" w:styleId="CS-FootnoteTextChar">
    <w:name w:val="CS-Footnote Text Char"/>
    <w:basedOn w:val="DefaultParagraphFont"/>
    <w:link w:val="CS-FootnoteText"/>
    <w:rsid w:val="00F851D4"/>
    <w:rPr>
      <w:rFonts w:eastAsia="MS Mincho"/>
      <w:sz w:val="18"/>
      <w:szCs w:val="24"/>
      <w:lang w:val="en-GB" w:eastAsia="en-US"/>
    </w:rPr>
  </w:style>
  <w:style w:type="table" w:styleId="TableGrid">
    <w:name w:val="Table Grid"/>
    <w:basedOn w:val="TableNormal"/>
    <w:rsid w:val="003573F3"/>
    <w:rPr>
      <w:rFonts w:ascii="CG Times (W1)" w:hAnsi="CG Times (W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7378EF"/>
    <w:rPr>
      <w:lang w:val="en-US" w:eastAsia="en-US"/>
    </w:rPr>
  </w:style>
  <w:style w:type="paragraph" w:customStyle="1" w:styleId="Default">
    <w:name w:val="Default"/>
    <w:rsid w:val="00860B5F"/>
    <w:pPr>
      <w:autoSpaceDE w:val="0"/>
      <w:autoSpaceDN w:val="0"/>
      <w:adjustRightInd w:val="0"/>
    </w:pPr>
    <w:rPr>
      <w:color w:val="000000"/>
      <w:sz w:val="24"/>
      <w:szCs w:val="24"/>
    </w:rPr>
  </w:style>
  <w:style w:type="paragraph" w:styleId="Revision">
    <w:name w:val="Revision"/>
    <w:hidden/>
    <w:uiPriority w:val="99"/>
    <w:semiHidden/>
    <w:rsid w:val="00A3582E"/>
    <w:rPr>
      <w:sz w:val="24"/>
      <w:lang w:val="en-US" w:eastAsia="en-US"/>
    </w:rPr>
  </w:style>
  <w:style w:type="paragraph" w:styleId="CommentSubject">
    <w:name w:val="annotation subject"/>
    <w:basedOn w:val="CommentText"/>
    <w:next w:val="CommentText"/>
    <w:link w:val="CommentSubjectChar"/>
    <w:uiPriority w:val="99"/>
    <w:semiHidden/>
    <w:unhideWhenUsed/>
    <w:rsid w:val="005B744D"/>
    <w:rPr>
      <w:b/>
      <w:bCs/>
    </w:rPr>
  </w:style>
  <w:style w:type="character" w:customStyle="1" w:styleId="CommentSubjectChar">
    <w:name w:val="Comment Subject Char"/>
    <w:basedOn w:val="CommentTextChar"/>
    <w:link w:val="CommentSubject"/>
    <w:uiPriority w:val="99"/>
    <w:semiHidden/>
    <w:rsid w:val="005B744D"/>
    <w:rPr>
      <w:b/>
      <w:bCs/>
      <w:lang w:val="en-US" w:eastAsia="en-US"/>
    </w:rPr>
  </w:style>
</w:styles>
</file>

<file path=word/webSettings.xml><?xml version="1.0" encoding="utf-8"?>
<w:webSettings xmlns:r="http://schemas.openxmlformats.org/officeDocument/2006/relationships" xmlns:w="http://schemas.openxmlformats.org/wordprocessingml/2006/main">
  <w:divs>
    <w:div w:id="20980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BD689-DF05-43A6-B573-84A3AD5FA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5588</Words>
  <Characters>32249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Attachment 1. Product Information for Trajenta</vt:lpstr>
    </vt:vector>
  </TitlesOfParts>
  <Company>Boehringer Ingelheim Pty Ltd</Company>
  <LinksUpToDate>false</LinksUpToDate>
  <CharactersWithSpaces>37762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Trajenta</dc:title>
  <dc:subject>prescription medicine regulation</dc:subject>
  <dc:creator>Boehringer Ingelheim Pty Ltd</dc:creator>
  <cp:keywords>product information, prescription, medicine, regulation, linagliptin, trajenta, boehringer, ingelheim</cp:keywords>
  <cp:lastModifiedBy>Searson, Lisa</cp:lastModifiedBy>
  <cp:revision>4</cp:revision>
  <cp:lastPrinted>2013-05-29T06:28:00Z</cp:lastPrinted>
  <dcterms:created xsi:type="dcterms:W3CDTF">2013-09-16T02:28:00Z</dcterms:created>
  <dcterms:modified xsi:type="dcterms:W3CDTF">2013-10-22T05:39:00Z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