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635832" w:rsidP="00D10D71">
            <w:pPr>
              <w:rPr>
                <w:rFonts w:ascii="Arial" w:hAnsi="Arial" w:cs="Arial"/>
                <w:b/>
                <w:color w:val="002C47"/>
                <w:sz w:val="36"/>
                <w:szCs w:val="36"/>
              </w:rPr>
            </w:pPr>
            <w:r>
              <w:rPr>
                <w:rFonts w:ascii="Arial" w:hAnsi="Arial" w:cs="Arial"/>
                <w:b/>
                <w:color w:val="002C47"/>
                <w:sz w:val="36"/>
                <w:szCs w:val="36"/>
              </w:rPr>
              <w:t>February</w:t>
            </w:r>
            <w:r w:rsidR="00D10D71">
              <w:rPr>
                <w:rFonts w:ascii="Arial" w:hAnsi="Arial" w:cs="Arial"/>
                <w:b/>
                <w:color w:val="002C47"/>
                <w:sz w:val="36"/>
                <w:szCs w:val="36"/>
              </w:rPr>
              <w:t xml:space="preserv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D10D71" w:rsidRDefault="0032583B" w:rsidP="00D10D71">
            <w:pPr>
              <w:pStyle w:val="Title"/>
              <w:rPr>
                <w:rFonts w:asciiTheme="majorHAnsi" w:hAnsiTheme="majorHAnsi" w:cstheme="majorHAnsi"/>
                <w:color w:val="FFFFFF" w:themeColor="background1"/>
              </w:rPr>
            </w:pPr>
            <w:r w:rsidRPr="00D10D71">
              <w:rPr>
                <w:rFonts w:asciiTheme="majorHAnsi" w:hAnsiTheme="majorHAnsi" w:cstheme="majorHAnsi"/>
                <w:color w:val="FFFFFF" w:themeColor="background1"/>
              </w:rPr>
              <w:t xml:space="preserve">Australian Public Assessment Report for </w:t>
            </w:r>
            <w:proofErr w:type="spellStart"/>
            <w:r w:rsidR="00D10D71" w:rsidRPr="00D10D71">
              <w:rPr>
                <w:rFonts w:asciiTheme="majorHAnsi" w:hAnsiTheme="majorHAnsi" w:cstheme="majorHAnsi"/>
                <w:color w:val="FFFFFF" w:themeColor="background1"/>
              </w:rPr>
              <w:t>Lipegfilgrastim</w:t>
            </w:r>
            <w:proofErr w:type="spellEnd"/>
            <w:r w:rsidR="00D10D71" w:rsidRPr="00D10D71">
              <w:rPr>
                <w:rFonts w:asciiTheme="majorHAnsi" w:hAnsiTheme="majorHAnsi" w:cstheme="majorHAnsi"/>
                <w:color w:val="FFFFFF" w:themeColor="background1"/>
              </w:rPr>
              <w:t xml:space="preserve"> (</w:t>
            </w:r>
            <w:proofErr w:type="spellStart"/>
            <w:proofErr w:type="gramStart"/>
            <w:r w:rsidR="00D10D71" w:rsidRPr="00D10D71">
              <w:rPr>
                <w:rFonts w:asciiTheme="majorHAnsi" w:hAnsiTheme="majorHAnsi" w:cstheme="majorHAnsi"/>
                <w:color w:val="FFFFFF" w:themeColor="background1"/>
              </w:rPr>
              <w:t>rbe</w:t>
            </w:r>
            <w:proofErr w:type="spellEnd"/>
            <w:proofErr w:type="gramEnd"/>
            <w:r w:rsidR="00D10D71" w:rsidRPr="00D10D71">
              <w:rPr>
                <w:rFonts w:asciiTheme="majorHAnsi" w:hAnsiTheme="majorHAnsi" w:cstheme="majorHAnsi"/>
                <w:color w:val="FFFFFF" w:themeColor="background1"/>
              </w:rPr>
              <w:t>)</w:t>
            </w:r>
          </w:p>
        </w:tc>
      </w:tr>
      <w:tr w:rsidR="0032583B" w:rsidRPr="00B64760" w:rsidTr="0032583B">
        <w:tc>
          <w:tcPr>
            <w:tcW w:w="9079" w:type="dxa"/>
          </w:tcPr>
          <w:p w:rsidR="0032583B" w:rsidRPr="00D10D71" w:rsidRDefault="0032583B" w:rsidP="00B77E77">
            <w:pPr>
              <w:pStyle w:val="Subtitle"/>
              <w:rPr>
                <w:rFonts w:asciiTheme="majorHAnsi" w:hAnsiTheme="majorHAnsi" w:cstheme="majorHAnsi"/>
                <w:color w:val="FFFFFF" w:themeColor="background1"/>
              </w:rPr>
            </w:pPr>
            <w:r w:rsidRPr="00D10D71">
              <w:rPr>
                <w:rFonts w:asciiTheme="majorHAnsi" w:hAnsiTheme="majorHAnsi" w:cstheme="majorHAnsi"/>
                <w:color w:val="FFFFFF" w:themeColor="background1"/>
              </w:rPr>
              <w:t>Proprietary Product Name:</w:t>
            </w:r>
            <w:r w:rsidR="009801DD">
              <w:rPr>
                <w:rFonts w:asciiTheme="majorHAnsi" w:hAnsiTheme="majorHAnsi" w:cstheme="majorHAnsi"/>
                <w:color w:val="FFFFFF" w:themeColor="background1"/>
              </w:rPr>
              <w:t xml:space="preserve"> </w:t>
            </w:r>
            <w:proofErr w:type="spellStart"/>
            <w:r w:rsidR="00D10D71" w:rsidRPr="00D10D71">
              <w:rPr>
                <w:rFonts w:asciiTheme="majorHAnsi" w:hAnsiTheme="majorHAnsi" w:cstheme="majorHAnsi"/>
                <w:color w:val="FFFFFF" w:themeColor="background1"/>
              </w:rPr>
              <w:t>Lonq</w:t>
            </w:r>
            <w:r w:rsidR="00B77E77">
              <w:rPr>
                <w:rFonts w:asciiTheme="majorHAnsi" w:hAnsiTheme="majorHAnsi" w:cstheme="majorHAnsi"/>
                <w:color w:val="FFFFFF" w:themeColor="background1"/>
              </w:rPr>
              <w:t>ue</w:t>
            </w:r>
            <w:r w:rsidR="00D10D71" w:rsidRPr="00D10D71">
              <w:rPr>
                <w:rFonts w:asciiTheme="majorHAnsi" w:hAnsiTheme="majorHAnsi" w:cstheme="majorHAnsi"/>
                <w:color w:val="FFFFFF" w:themeColor="background1"/>
              </w:rPr>
              <w:t>x</w:t>
            </w:r>
            <w:proofErr w:type="spellEnd"/>
          </w:p>
        </w:tc>
      </w:tr>
      <w:tr w:rsidR="0032583B" w:rsidRPr="00B64760" w:rsidTr="0032583B">
        <w:trPr>
          <w:trHeight w:val="486"/>
        </w:trPr>
        <w:tc>
          <w:tcPr>
            <w:tcW w:w="9079" w:type="dxa"/>
          </w:tcPr>
          <w:p w:rsidR="0032583B" w:rsidRPr="00D10D71" w:rsidRDefault="0032583B" w:rsidP="000D1A06">
            <w:pPr>
              <w:pStyle w:val="Subtitle"/>
              <w:rPr>
                <w:rFonts w:asciiTheme="majorHAnsi" w:hAnsiTheme="majorHAnsi" w:cstheme="majorHAnsi"/>
                <w:color w:val="FFFFFF" w:themeColor="background1"/>
              </w:rPr>
            </w:pPr>
            <w:r w:rsidRPr="00D10D71">
              <w:rPr>
                <w:rFonts w:asciiTheme="majorHAnsi" w:hAnsiTheme="majorHAnsi" w:cstheme="majorHAnsi"/>
                <w:color w:val="FFFFFF" w:themeColor="background1"/>
              </w:rPr>
              <w:t>Sponsor:</w:t>
            </w:r>
            <w:r w:rsidR="009801DD">
              <w:rPr>
                <w:rFonts w:asciiTheme="majorHAnsi" w:hAnsiTheme="majorHAnsi" w:cstheme="majorHAnsi"/>
                <w:color w:val="FFFFFF" w:themeColor="background1"/>
              </w:rPr>
              <w:t xml:space="preserve"> </w:t>
            </w:r>
            <w:proofErr w:type="spellStart"/>
            <w:r w:rsidR="00D10D71" w:rsidRPr="00D10D71">
              <w:rPr>
                <w:rFonts w:asciiTheme="majorHAnsi" w:hAnsiTheme="majorHAnsi" w:cstheme="majorHAnsi"/>
                <w:color w:val="FFFFFF" w:themeColor="background1"/>
              </w:rPr>
              <w:t>Teva</w:t>
            </w:r>
            <w:proofErr w:type="spellEnd"/>
            <w:r w:rsidR="00D10D71" w:rsidRPr="00D10D71">
              <w:rPr>
                <w:rFonts w:asciiTheme="majorHAnsi" w:hAnsiTheme="majorHAnsi" w:cstheme="majorHAnsi"/>
                <w:color w:val="FFFFFF" w:themeColor="background1"/>
              </w:rPr>
              <w:t xml:space="preserve"> Pharma Australia Pty Ltd</w:t>
            </w:r>
          </w:p>
        </w:tc>
      </w:tr>
    </w:tbl>
    <w:p w:rsidR="008E7846" w:rsidRPr="0085156D" w:rsidRDefault="008E7846" w:rsidP="0085156D">
      <w:r w:rsidRPr="0085156D">
        <w:br w:type="page"/>
      </w:r>
    </w:p>
    <w:p w:rsidR="008E7846" w:rsidRPr="001F6CBA" w:rsidRDefault="008E7846" w:rsidP="006E3D5C">
      <w:pPr>
        <w:pStyle w:val="NonTOCHeading2"/>
      </w:pPr>
      <w:r w:rsidRPr="001F6CBA">
        <w:lastRenderedPageBreak/>
        <w:t xml:space="preserve">About the </w:t>
      </w:r>
      <w:r w:rsidRPr="006E3D5C">
        <w:t>Therapeutic</w:t>
      </w:r>
      <w:r w:rsidRPr="001F6CBA">
        <w:t xml:space="preserve"> Goods </w:t>
      </w:r>
      <w:r w:rsidRPr="006E3D5C">
        <w:t>Administration</w:t>
      </w:r>
      <w:r w:rsidRPr="001F6CBA">
        <w:t xml:space="preserve"> (TGA)</w:t>
      </w:r>
    </w:p>
    <w:p w:rsidR="008E7846" w:rsidRDefault="008E7846" w:rsidP="00AA55A3">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AA55A3">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AA55A3">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A55A3">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AA55A3">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rsidR="008E7846" w:rsidRDefault="008E7846" w:rsidP="006E3D5C">
      <w:pPr>
        <w:pStyle w:val="NonTOCHeading2"/>
      </w:pPr>
      <w:r>
        <w:t xml:space="preserve">About </w:t>
      </w:r>
      <w:proofErr w:type="spellStart"/>
      <w:r>
        <w:t>AusPARs</w:t>
      </w:r>
      <w:proofErr w:type="spellEnd"/>
    </w:p>
    <w:p w:rsidR="008E7846" w:rsidRDefault="008E7846" w:rsidP="00AA55A3">
      <w:pPr>
        <w:pStyle w:val="ListBullet"/>
        <w:numPr>
          <w:ilvl w:val="0"/>
          <w:numId w:val="1"/>
        </w:numPr>
        <w:ind w:left="357" w:hanging="357"/>
      </w:pPr>
      <w:r>
        <w:t>An Australian Public Assessment Re</w:t>
      </w:r>
      <w:r w:rsidR="00133A1B">
        <w:t>port</w:t>
      </w:r>
      <w:r>
        <w:t xml:space="preserve"> (</w:t>
      </w:r>
      <w:proofErr w:type="spellStart"/>
      <w:r>
        <w:t>AusPAR</w:t>
      </w:r>
      <w:proofErr w:type="spellEnd"/>
      <w:r>
        <w:t>) provides information about the evaluation of a prescription medicine and the considerations that led the TGA to approve or not approve a pr</w:t>
      </w:r>
      <w:r w:rsidR="00441C3F">
        <w:t>escription medicine submission.</w:t>
      </w:r>
    </w:p>
    <w:p w:rsidR="008E7846" w:rsidRDefault="008E7846" w:rsidP="00AA55A3">
      <w:pPr>
        <w:pStyle w:val="ListBullet"/>
        <w:numPr>
          <w:ilvl w:val="0"/>
          <w:numId w:val="1"/>
        </w:numPr>
        <w:ind w:left="357" w:hanging="357"/>
      </w:pPr>
      <w:proofErr w:type="spellStart"/>
      <w:r>
        <w:t>AusPARs</w:t>
      </w:r>
      <w:proofErr w:type="spellEnd"/>
      <w:r>
        <w:t xml:space="preserve"> are prepared and published by the TGA.</w:t>
      </w:r>
    </w:p>
    <w:p w:rsidR="008E7846" w:rsidRDefault="008E7846" w:rsidP="00AA55A3">
      <w:pPr>
        <w:pStyle w:val="ListBullet"/>
        <w:numPr>
          <w:ilvl w:val="0"/>
          <w:numId w:val="1"/>
        </w:numPr>
        <w:ind w:left="357" w:hanging="357"/>
      </w:pPr>
      <w:r>
        <w:t xml:space="preserve">An </w:t>
      </w:r>
      <w:proofErr w:type="spellStart"/>
      <w:r>
        <w:t>AusPAR</w:t>
      </w:r>
      <w:proofErr w:type="spellEnd"/>
      <w:r>
        <w:t xml:space="preserve"> is prepared for submissions that relate to new chemical entities, generic medicines, major variations and extensions of indications.</w:t>
      </w:r>
    </w:p>
    <w:p w:rsidR="008E7846" w:rsidRDefault="008E7846" w:rsidP="00AA55A3">
      <w:pPr>
        <w:pStyle w:val="ListBullet"/>
        <w:numPr>
          <w:ilvl w:val="0"/>
          <w:numId w:val="1"/>
        </w:numPr>
        <w:ind w:left="357" w:hanging="357"/>
      </w:pPr>
      <w:r>
        <w:t xml:space="preserve">An </w:t>
      </w:r>
      <w:proofErr w:type="spellStart"/>
      <w:r>
        <w:t>AusPAR</w:t>
      </w:r>
      <w:proofErr w:type="spellEnd"/>
      <w:r>
        <w:t xml:space="preserve"> is a static document</w:t>
      </w:r>
      <w:r w:rsidR="00133A1B">
        <w:t>;</w:t>
      </w:r>
      <w:r>
        <w:t xml:space="preserve"> it provide</w:t>
      </w:r>
      <w:r w:rsidR="00133A1B">
        <w:t>s</w:t>
      </w:r>
      <w:r>
        <w:t xml:space="preserve"> information that relates to a submission at a particular point in time.</w:t>
      </w:r>
    </w:p>
    <w:p w:rsidR="00B452CE" w:rsidRDefault="008E7846" w:rsidP="00AA55A3">
      <w:pPr>
        <w:pStyle w:val="ListBullet"/>
        <w:numPr>
          <w:ilvl w:val="0"/>
          <w:numId w:val="1"/>
        </w:numPr>
        <w:ind w:left="357" w:hanging="357"/>
      </w:pPr>
      <w:r>
        <w:t xml:space="preserve">A new </w:t>
      </w:r>
      <w:proofErr w:type="spellStart"/>
      <w:r>
        <w:t>AusPAR</w:t>
      </w:r>
      <w:proofErr w:type="spellEnd"/>
      <w:r>
        <w:t xml:space="preserve">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56A57">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9972EC"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bookmarkStart w:id="2" w:name="_GoBack"/>
          <w:bookmarkEnd w:id="2"/>
          <w:r w:rsidR="009972EC" w:rsidRPr="00267B6D">
            <w:rPr>
              <w:rStyle w:val="Hyperlink"/>
              <w:noProof/>
            </w:rPr>
            <w:fldChar w:fldCharType="begin"/>
          </w:r>
          <w:r w:rsidR="009972EC" w:rsidRPr="00267B6D">
            <w:rPr>
              <w:rStyle w:val="Hyperlink"/>
              <w:noProof/>
            </w:rPr>
            <w:instrText xml:space="preserve"> </w:instrText>
          </w:r>
          <w:r w:rsidR="009972EC">
            <w:rPr>
              <w:noProof/>
            </w:rPr>
            <w:instrText>HYPERLINK \l "_Toc445210942"</w:instrText>
          </w:r>
          <w:r w:rsidR="009972EC" w:rsidRPr="00267B6D">
            <w:rPr>
              <w:rStyle w:val="Hyperlink"/>
              <w:noProof/>
            </w:rPr>
            <w:instrText xml:space="preserve"> </w:instrText>
          </w:r>
          <w:r w:rsidR="009972EC" w:rsidRPr="00267B6D">
            <w:rPr>
              <w:rStyle w:val="Hyperlink"/>
              <w:noProof/>
            </w:rPr>
          </w:r>
          <w:r w:rsidR="009972EC" w:rsidRPr="00267B6D">
            <w:rPr>
              <w:rStyle w:val="Hyperlink"/>
              <w:noProof/>
            </w:rPr>
            <w:fldChar w:fldCharType="separate"/>
          </w:r>
          <w:r w:rsidR="009972EC" w:rsidRPr="00267B6D">
            <w:rPr>
              <w:rStyle w:val="Hyperlink"/>
              <w:noProof/>
            </w:rPr>
            <w:t>Common abbreviations</w:t>
          </w:r>
          <w:r w:rsidR="009972EC">
            <w:rPr>
              <w:noProof/>
              <w:webHidden/>
            </w:rPr>
            <w:tab/>
          </w:r>
          <w:r w:rsidR="009972EC">
            <w:rPr>
              <w:noProof/>
              <w:webHidden/>
            </w:rPr>
            <w:fldChar w:fldCharType="begin"/>
          </w:r>
          <w:r w:rsidR="009972EC">
            <w:rPr>
              <w:noProof/>
              <w:webHidden/>
            </w:rPr>
            <w:instrText xml:space="preserve"> PAGEREF _Toc445210942 \h </w:instrText>
          </w:r>
          <w:r w:rsidR="009972EC">
            <w:rPr>
              <w:noProof/>
              <w:webHidden/>
            </w:rPr>
          </w:r>
          <w:r w:rsidR="009972EC">
            <w:rPr>
              <w:noProof/>
              <w:webHidden/>
            </w:rPr>
            <w:fldChar w:fldCharType="separate"/>
          </w:r>
          <w:r w:rsidR="009972EC">
            <w:rPr>
              <w:noProof/>
              <w:webHidden/>
            </w:rPr>
            <w:t>5</w:t>
          </w:r>
          <w:r w:rsidR="009972EC">
            <w:rPr>
              <w:noProof/>
              <w:webHidden/>
            </w:rPr>
            <w:fldChar w:fldCharType="end"/>
          </w:r>
          <w:r w:rsidR="009972EC" w:rsidRPr="00267B6D">
            <w:rPr>
              <w:rStyle w:val="Hyperlink"/>
              <w:noProof/>
            </w:rPr>
            <w:fldChar w:fldCharType="end"/>
          </w:r>
        </w:p>
        <w:p w:rsidR="009972EC" w:rsidRDefault="009972EC">
          <w:pPr>
            <w:pStyle w:val="TOC2"/>
            <w:rPr>
              <w:rFonts w:asciiTheme="minorHAnsi" w:eastAsiaTheme="minorEastAsia" w:hAnsiTheme="minorHAnsi" w:cstheme="minorBidi"/>
              <w:b w:val="0"/>
              <w:noProof/>
              <w:sz w:val="22"/>
              <w:lang w:eastAsia="en-AU"/>
            </w:rPr>
          </w:pPr>
          <w:hyperlink w:anchor="_Toc445210943" w:history="1">
            <w:r w:rsidRPr="00267B6D">
              <w:rPr>
                <w:rStyle w:val="Hyperlink"/>
                <w:noProof/>
              </w:rPr>
              <w:t>I. Introduction to product submission</w:t>
            </w:r>
            <w:r>
              <w:rPr>
                <w:noProof/>
                <w:webHidden/>
              </w:rPr>
              <w:tab/>
            </w:r>
            <w:r>
              <w:rPr>
                <w:noProof/>
                <w:webHidden/>
              </w:rPr>
              <w:fldChar w:fldCharType="begin"/>
            </w:r>
            <w:r>
              <w:rPr>
                <w:noProof/>
                <w:webHidden/>
              </w:rPr>
              <w:instrText xml:space="preserve"> PAGEREF _Toc445210943 \h </w:instrText>
            </w:r>
            <w:r>
              <w:rPr>
                <w:noProof/>
                <w:webHidden/>
              </w:rPr>
            </w:r>
            <w:r>
              <w:rPr>
                <w:noProof/>
                <w:webHidden/>
              </w:rPr>
              <w:fldChar w:fldCharType="separate"/>
            </w:r>
            <w:r>
              <w:rPr>
                <w:noProof/>
                <w:webHidden/>
              </w:rPr>
              <w:t>9</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44" w:history="1">
            <w:r w:rsidRPr="00267B6D">
              <w:rPr>
                <w:rStyle w:val="Hyperlink"/>
                <w:noProof/>
                <w:lang w:eastAsia="en-AU"/>
              </w:rPr>
              <w:t>Submission details</w:t>
            </w:r>
            <w:r>
              <w:rPr>
                <w:noProof/>
                <w:webHidden/>
              </w:rPr>
              <w:tab/>
            </w:r>
            <w:r>
              <w:rPr>
                <w:noProof/>
                <w:webHidden/>
              </w:rPr>
              <w:fldChar w:fldCharType="begin"/>
            </w:r>
            <w:r>
              <w:rPr>
                <w:noProof/>
                <w:webHidden/>
              </w:rPr>
              <w:instrText xml:space="preserve"> PAGEREF _Toc445210944 \h </w:instrText>
            </w:r>
            <w:r>
              <w:rPr>
                <w:noProof/>
                <w:webHidden/>
              </w:rPr>
            </w:r>
            <w:r>
              <w:rPr>
                <w:noProof/>
                <w:webHidden/>
              </w:rPr>
              <w:fldChar w:fldCharType="separate"/>
            </w:r>
            <w:r>
              <w:rPr>
                <w:noProof/>
                <w:webHidden/>
              </w:rPr>
              <w:t>9</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45" w:history="1">
            <w:r w:rsidRPr="00267B6D">
              <w:rPr>
                <w:rStyle w:val="Hyperlink"/>
                <w:noProof/>
              </w:rPr>
              <w:t>Product background</w:t>
            </w:r>
            <w:r>
              <w:rPr>
                <w:noProof/>
                <w:webHidden/>
              </w:rPr>
              <w:tab/>
            </w:r>
            <w:r>
              <w:rPr>
                <w:noProof/>
                <w:webHidden/>
              </w:rPr>
              <w:fldChar w:fldCharType="begin"/>
            </w:r>
            <w:r>
              <w:rPr>
                <w:noProof/>
                <w:webHidden/>
              </w:rPr>
              <w:instrText xml:space="preserve"> PAGEREF _Toc445210945 \h </w:instrText>
            </w:r>
            <w:r>
              <w:rPr>
                <w:noProof/>
                <w:webHidden/>
              </w:rPr>
            </w:r>
            <w:r>
              <w:rPr>
                <w:noProof/>
                <w:webHidden/>
              </w:rPr>
              <w:fldChar w:fldCharType="separate"/>
            </w:r>
            <w:r>
              <w:rPr>
                <w:noProof/>
                <w:webHidden/>
              </w:rPr>
              <w:t>9</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46" w:history="1">
            <w:r w:rsidRPr="00267B6D">
              <w:rPr>
                <w:rStyle w:val="Hyperlink"/>
                <w:noProof/>
              </w:rPr>
              <w:t>Regulatory status</w:t>
            </w:r>
            <w:r>
              <w:rPr>
                <w:noProof/>
                <w:webHidden/>
              </w:rPr>
              <w:tab/>
            </w:r>
            <w:r>
              <w:rPr>
                <w:noProof/>
                <w:webHidden/>
              </w:rPr>
              <w:fldChar w:fldCharType="begin"/>
            </w:r>
            <w:r>
              <w:rPr>
                <w:noProof/>
                <w:webHidden/>
              </w:rPr>
              <w:instrText xml:space="preserve"> PAGEREF _Toc445210946 \h </w:instrText>
            </w:r>
            <w:r>
              <w:rPr>
                <w:noProof/>
                <w:webHidden/>
              </w:rPr>
            </w:r>
            <w:r>
              <w:rPr>
                <w:noProof/>
                <w:webHidden/>
              </w:rPr>
              <w:fldChar w:fldCharType="separate"/>
            </w:r>
            <w:r>
              <w:rPr>
                <w:noProof/>
                <w:webHidden/>
              </w:rPr>
              <w:t>10</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47" w:history="1">
            <w:r w:rsidRPr="00267B6D">
              <w:rPr>
                <w:rStyle w:val="Hyperlink"/>
                <w:noProof/>
              </w:rPr>
              <w:t>Product Information</w:t>
            </w:r>
            <w:r>
              <w:rPr>
                <w:noProof/>
                <w:webHidden/>
              </w:rPr>
              <w:tab/>
            </w:r>
            <w:r>
              <w:rPr>
                <w:noProof/>
                <w:webHidden/>
              </w:rPr>
              <w:fldChar w:fldCharType="begin"/>
            </w:r>
            <w:r>
              <w:rPr>
                <w:noProof/>
                <w:webHidden/>
              </w:rPr>
              <w:instrText xml:space="preserve"> PAGEREF _Toc445210947 \h </w:instrText>
            </w:r>
            <w:r>
              <w:rPr>
                <w:noProof/>
                <w:webHidden/>
              </w:rPr>
            </w:r>
            <w:r>
              <w:rPr>
                <w:noProof/>
                <w:webHidden/>
              </w:rPr>
              <w:fldChar w:fldCharType="separate"/>
            </w:r>
            <w:r>
              <w:rPr>
                <w:noProof/>
                <w:webHidden/>
              </w:rPr>
              <w:t>11</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48" w:history="1">
            <w:r w:rsidRPr="00267B6D">
              <w:rPr>
                <w:rStyle w:val="Hyperlink"/>
                <w:noProof/>
              </w:rPr>
              <w:t>II. Quality findings</w:t>
            </w:r>
            <w:r>
              <w:rPr>
                <w:noProof/>
                <w:webHidden/>
              </w:rPr>
              <w:tab/>
            </w:r>
            <w:r>
              <w:rPr>
                <w:noProof/>
                <w:webHidden/>
              </w:rPr>
              <w:fldChar w:fldCharType="begin"/>
            </w:r>
            <w:r>
              <w:rPr>
                <w:noProof/>
                <w:webHidden/>
              </w:rPr>
              <w:instrText xml:space="preserve"> PAGEREF _Toc445210948 \h </w:instrText>
            </w:r>
            <w:r>
              <w:rPr>
                <w:noProof/>
                <w:webHidden/>
              </w:rPr>
            </w:r>
            <w:r>
              <w:rPr>
                <w:noProof/>
                <w:webHidden/>
              </w:rPr>
              <w:fldChar w:fldCharType="separate"/>
            </w:r>
            <w:r>
              <w:rPr>
                <w:noProof/>
                <w:webHidden/>
              </w:rPr>
              <w:t>12</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49" w:history="1">
            <w:r w:rsidRPr="00267B6D">
              <w:rPr>
                <w:rStyle w:val="Hyperlink"/>
                <w:noProof/>
              </w:rPr>
              <w:t>Drug substance (active ingredient)</w:t>
            </w:r>
            <w:r>
              <w:rPr>
                <w:noProof/>
                <w:webHidden/>
              </w:rPr>
              <w:tab/>
            </w:r>
            <w:r>
              <w:rPr>
                <w:noProof/>
                <w:webHidden/>
              </w:rPr>
              <w:fldChar w:fldCharType="begin"/>
            </w:r>
            <w:r>
              <w:rPr>
                <w:noProof/>
                <w:webHidden/>
              </w:rPr>
              <w:instrText xml:space="preserve"> PAGEREF _Toc445210949 \h </w:instrText>
            </w:r>
            <w:r>
              <w:rPr>
                <w:noProof/>
                <w:webHidden/>
              </w:rPr>
            </w:r>
            <w:r>
              <w:rPr>
                <w:noProof/>
                <w:webHidden/>
              </w:rPr>
              <w:fldChar w:fldCharType="separate"/>
            </w:r>
            <w:r>
              <w:rPr>
                <w:noProof/>
                <w:webHidden/>
              </w:rPr>
              <w:t>12</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0" w:history="1">
            <w:r w:rsidRPr="00267B6D">
              <w:rPr>
                <w:rStyle w:val="Hyperlink"/>
                <w:noProof/>
              </w:rPr>
              <w:t>Drug product</w:t>
            </w:r>
            <w:r>
              <w:rPr>
                <w:noProof/>
                <w:webHidden/>
              </w:rPr>
              <w:tab/>
            </w:r>
            <w:r>
              <w:rPr>
                <w:noProof/>
                <w:webHidden/>
              </w:rPr>
              <w:fldChar w:fldCharType="begin"/>
            </w:r>
            <w:r>
              <w:rPr>
                <w:noProof/>
                <w:webHidden/>
              </w:rPr>
              <w:instrText xml:space="preserve"> PAGEREF _Toc445210950 \h </w:instrText>
            </w:r>
            <w:r>
              <w:rPr>
                <w:noProof/>
                <w:webHidden/>
              </w:rPr>
            </w:r>
            <w:r>
              <w:rPr>
                <w:noProof/>
                <w:webHidden/>
              </w:rPr>
              <w:fldChar w:fldCharType="separate"/>
            </w:r>
            <w:r>
              <w:rPr>
                <w:noProof/>
                <w:webHidden/>
              </w:rPr>
              <w:t>13</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1" w:history="1">
            <w:r w:rsidRPr="00267B6D">
              <w:rPr>
                <w:rStyle w:val="Hyperlink"/>
                <w:noProof/>
              </w:rPr>
              <w:t>Biopharmaceutics</w:t>
            </w:r>
            <w:r>
              <w:rPr>
                <w:noProof/>
                <w:webHidden/>
              </w:rPr>
              <w:tab/>
            </w:r>
            <w:r>
              <w:rPr>
                <w:noProof/>
                <w:webHidden/>
              </w:rPr>
              <w:fldChar w:fldCharType="begin"/>
            </w:r>
            <w:r>
              <w:rPr>
                <w:noProof/>
                <w:webHidden/>
              </w:rPr>
              <w:instrText xml:space="preserve"> PAGEREF _Toc445210951 \h </w:instrText>
            </w:r>
            <w:r>
              <w:rPr>
                <w:noProof/>
                <w:webHidden/>
              </w:rPr>
            </w:r>
            <w:r>
              <w:rPr>
                <w:noProof/>
                <w:webHidden/>
              </w:rPr>
              <w:fldChar w:fldCharType="separate"/>
            </w:r>
            <w:r>
              <w:rPr>
                <w:noProof/>
                <w:webHidden/>
              </w:rPr>
              <w:t>14</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2" w:history="1">
            <w:r w:rsidRPr="00267B6D">
              <w:rPr>
                <w:rStyle w:val="Hyperlink"/>
                <w:noProof/>
              </w:rPr>
              <w:t>Quality summary and conclusions</w:t>
            </w:r>
            <w:r>
              <w:rPr>
                <w:noProof/>
                <w:webHidden/>
              </w:rPr>
              <w:tab/>
            </w:r>
            <w:r>
              <w:rPr>
                <w:noProof/>
                <w:webHidden/>
              </w:rPr>
              <w:fldChar w:fldCharType="begin"/>
            </w:r>
            <w:r>
              <w:rPr>
                <w:noProof/>
                <w:webHidden/>
              </w:rPr>
              <w:instrText xml:space="preserve"> PAGEREF _Toc445210952 \h </w:instrText>
            </w:r>
            <w:r>
              <w:rPr>
                <w:noProof/>
                <w:webHidden/>
              </w:rPr>
            </w:r>
            <w:r>
              <w:rPr>
                <w:noProof/>
                <w:webHidden/>
              </w:rPr>
              <w:fldChar w:fldCharType="separate"/>
            </w:r>
            <w:r>
              <w:rPr>
                <w:noProof/>
                <w:webHidden/>
              </w:rPr>
              <w:t>14</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53" w:history="1">
            <w:r w:rsidRPr="00267B6D">
              <w:rPr>
                <w:rStyle w:val="Hyperlink"/>
                <w:noProof/>
              </w:rPr>
              <w:t>III. Nonclinical findings</w:t>
            </w:r>
            <w:r>
              <w:rPr>
                <w:noProof/>
                <w:webHidden/>
              </w:rPr>
              <w:tab/>
            </w:r>
            <w:r>
              <w:rPr>
                <w:noProof/>
                <w:webHidden/>
              </w:rPr>
              <w:fldChar w:fldCharType="begin"/>
            </w:r>
            <w:r>
              <w:rPr>
                <w:noProof/>
                <w:webHidden/>
              </w:rPr>
              <w:instrText xml:space="preserve"> PAGEREF _Toc445210953 \h </w:instrText>
            </w:r>
            <w:r>
              <w:rPr>
                <w:noProof/>
                <w:webHidden/>
              </w:rPr>
            </w:r>
            <w:r>
              <w:rPr>
                <w:noProof/>
                <w:webHidden/>
              </w:rPr>
              <w:fldChar w:fldCharType="separate"/>
            </w:r>
            <w:r>
              <w:rPr>
                <w:noProof/>
                <w:webHidden/>
              </w:rPr>
              <w:t>15</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4" w:history="1">
            <w:r w:rsidRPr="00267B6D">
              <w:rPr>
                <w:rStyle w:val="Hyperlink"/>
                <w:noProof/>
              </w:rPr>
              <w:t>Introduction</w:t>
            </w:r>
            <w:r>
              <w:rPr>
                <w:noProof/>
                <w:webHidden/>
              </w:rPr>
              <w:tab/>
            </w:r>
            <w:r>
              <w:rPr>
                <w:noProof/>
                <w:webHidden/>
              </w:rPr>
              <w:fldChar w:fldCharType="begin"/>
            </w:r>
            <w:r>
              <w:rPr>
                <w:noProof/>
                <w:webHidden/>
              </w:rPr>
              <w:instrText xml:space="preserve"> PAGEREF _Toc445210954 \h </w:instrText>
            </w:r>
            <w:r>
              <w:rPr>
                <w:noProof/>
                <w:webHidden/>
              </w:rPr>
            </w:r>
            <w:r>
              <w:rPr>
                <w:noProof/>
                <w:webHidden/>
              </w:rPr>
              <w:fldChar w:fldCharType="separate"/>
            </w:r>
            <w:r>
              <w:rPr>
                <w:noProof/>
                <w:webHidden/>
              </w:rPr>
              <w:t>15</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5" w:history="1">
            <w:r w:rsidRPr="00267B6D">
              <w:rPr>
                <w:rStyle w:val="Hyperlink"/>
                <w:noProof/>
              </w:rPr>
              <w:t>Pharmacology</w:t>
            </w:r>
            <w:r>
              <w:rPr>
                <w:noProof/>
                <w:webHidden/>
              </w:rPr>
              <w:tab/>
            </w:r>
            <w:r>
              <w:rPr>
                <w:noProof/>
                <w:webHidden/>
              </w:rPr>
              <w:fldChar w:fldCharType="begin"/>
            </w:r>
            <w:r>
              <w:rPr>
                <w:noProof/>
                <w:webHidden/>
              </w:rPr>
              <w:instrText xml:space="preserve"> PAGEREF _Toc445210955 \h </w:instrText>
            </w:r>
            <w:r>
              <w:rPr>
                <w:noProof/>
                <w:webHidden/>
              </w:rPr>
            </w:r>
            <w:r>
              <w:rPr>
                <w:noProof/>
                <w:webHidden/>
              </w:rPr>
              <w:fldChar w:fldCharType="separate"/>
            </w:r>
            <w:r>
              <w:rPr>
                <w:noProof/>
                <w:webHidden/>
              </w:rPr>
              <w:t>15</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6" w:history="1">
            <w:r w:rsidRPr="00267B6D">
              <w:rPr>
                <w:rStyle w:val="Hyperlink"/>
                <w:noProof/>
              </w:rPr>
              <w:t>Pharmacokinetics</w:t>
            </w:r>
            <w:r>
              <w:rPr>
                <w:noProof/>
                <w:webHidden/>
              </w:rPr>
              <w:tab/>
            </w:r>
            <w:r>
              <w:rPr>
                <w:noProof/>
                <w:webHidden/>
              </w:rPr>
              <w:fldChar w:fldCharType="begin"/>
            </w:r>
            <w:r>
              <w:rPr>
                <w:noProof/>
                <w:webHidden/>
              </w:rPr>
              <w:instrText xml:space="preserve"> PAGEREF _Toc445210956 \h </w:instrText>
            </w:r>
            <w:r>
              <w:rPr>
                <w:noProof/>
                <w:webHidden/>
              </w:rPr>
            </w:r>
            <w:r>
              <w:rPr>
                <w:noProof/>
                <w:webHidden/>
              </w:rPr>
              <w:fldChar w:fldCharType="separate"/>
            </w:r>
            <w:r>
              <w:rPr>
                <w:noProof/>
                <w:webHidden/>
              </w:rPr>
              <w:t>16</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7" w:history="1">
            <w:r w:rsidRPr="00267B6D">
              <w:rPr>
                <w:rStyle w:val="Hyperlink"/>
                <w:noProof/>
                <w:kern w:val="2"/>
              </w:rPr>
              <w:t>Pharmacokinetic drug interactions</w:t>
            </w:r>
            <w:r>
              <w:rPr>
                <w:noProof/>
                <w:webHidden/>
              </w:rPr>
              <w:tab/>
            </w:r>
            <w:r>
              <w:rPr>
                <w:noProof/>
                <w:webHidden/>
              </w:rPr>
              <w:fldChar w:fldCharType="begin"/>
            </w:r>
            <w:r>
              <w:rPr>
                <w:noProof/>
                <w:webHidden/>
              </w:rPr>
              <w:instrText xml:space="preserve"> PAGEREF _Toc445210957 \h </w:instrText>
            </w:r>
            <w:r>
              <w:rPr>
                <w:noProof/>
                <w:webHidden/>
              </w:rPr>
            </w:r>
            <w:r>
              <w:rPr>
                <w:noProof/>
                <w:webHidden/>
              </w:rPr>
              <w:fldChar w:fldCharType="separate"/>
            </w:r>
            <w:r>
              <w:rPr>
                <w:noProof/>
                <w:webHidden/>
              </w:rPr>
              <w:t>17</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8" w:history="1">
            <w:r w:rsidRPr="00267B6D">
              <w:rPr>
                <w:rStyle w:val="Hyperlink"/>
                <w:noProof/>
              </w:rPr>
              <w:t>Toxicology</w:t>
            </w:r>
            <w:r>
              <w:rPr>
                <w:noProof/>
                <w:webHidden/>
              </w:rPr>
              <w:tab/>
            </w:r>
            <w:r>
              <w:rPr>
                <w:noProof/>
                <w:webHidden/>
              </w:rPr>
              <w:fldChar w:fldCharType="begin"/>
            </w:r>
            <w:r>
              <w:rPr>
                <w:noProof/>
                <w:webHidden/>
              </w:rPr>
              <w:instrText xml:space="preserve"> PAGEREF _Toc445210958 \h </w:instrText>
            </w:r>
            <w:r>
              <w:rPr>
                <w:noProof/>
                <w:webHidden/>
              </w:rPr>
            </w:r>
            <w:r>
              <w:rPr>
                <w:noProof/>
                <w:webHidden/>
              </w:rPr>
              <w:fldChar w:fldCharType="separate"/>
            </w:r>
            <w:r>
              <w:rPr>
                <w:noProof/>
                <w:webHidden/>
              </w:rPr>
              <w:t>17</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59" w:history="1">
            <w:r w:rsidRPr="00267B6D">
              <w:rPr>
                <w:rStyle w:val="Hyperlink"/>
                <w:noProof/>
              </w:rPr>
              <w:t>Nonclinical summary and conclusions</w:t>
            </w:r>
            <w:r>
              <w:rPr>
                <w:noProof/>
                <w:webHidden/>
              </w:rPr>
              <w:tab/>
            </w:r>
            <w:r>
              <w:rPr>
                <w:noProof/>
                <w:webHidden/>
              </w:rPr>
              <w:fldChar w:fldCharType="begin"/>
            </w:r>
            <w:r>
              <w:rPr>
                <w:noProof/>
                <w:webHidden/>
              </w:rPr>
              <w:instrText xml:space="preserve"> PAGEREF _Toc445210959 \h </w:instrText>
            </w:r>
            <w:r>
              <w:rPr>
                <w:noProof/>
                <w:webHidden/>
              </w:rPr>
            </w:r>
            <w:r>
              <w:rPr>
                <w:noProof/>
                <w:webHidden/>
              </w:rPr>
              <w:fldChar w:fldCharType="separate"/>
            </w:r>
            <w:r>
              <w:rPr>
                <w:noProof/>
                <w:webHidden/>
              </w:rPr>
              <w:t>21</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0" w:history="1">
            <w:r w:rsidRPr="00267B6D">
              <w:rPr>
                <w:rStyle w:val="Hyperlink"/>
                <w:noProof/>
                <w:snapToGrid w:val="0"/>
              </w:rPr>
              <w:t>Nonclinical conclusions and recommendation</w:t>
            </w:r>
            <w:r>
              <w:rPr>
                <w:noProof/>
                <w:webHidden/>
              </w:rPr>
              <w:tab/>
            </w:r>
            <w:r>
              <w:rPr>
                <w:noProof/>
                <w:webHidden/>
              </w:rPr>
              <w:fldChar w:fldCharType="begin"/>
            </w:r>
            <w:r>
              <w:rPr>
                <w:noProof/>
                <w:webHidden/>
              </w:rPr>
              <w:instrText xml:space="preserve"> PAGEREF _Toc445210960 \h </w:instrText>
            </w:r>
            <w:r>
              <w:rPr>
                <w:noProof/>
                <w:webHidden/>
              </w:rPr>
            </w:r>
            <w:r>
              <w:rPr>
                <w:noProof/>
                <w:webHidden/>
              </w:rPr>
              <w:fldChar w:fldCharType="separate"/>
            </w:r>
            <w:r>
              <w:rPr>
                <w:noProof/>
                <w:webHidden/>
              </w:rPr>
              <w:t>22</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61" w:history="1">
            <w:r w:rsidRPr="00267B6D">
              <w:rPr>
                <w:rStyle w:val="Hyperlink"/>
                <w:noProof/>
              </w:rPr>
              <w:t>IV. Clinical findings</w:t>
            </w:r>
            <w:r>
              <w:rPr>
                <w:noProof/>
                <w:webHidden/>
              </w:rPr>
              <w:tab/>
            </w:r>
            <w:r>
              <w:rPr>
                <w:noProof/>
                <w:webHidden/>
              </w:rPr>
              <w:fldChar w:fldCharType="begin"/>
            </w:r>
            <w:r>
              <w:rPr>
                <w:noProof/>
                <w:webHidden/>
              </w:rPr>
              <w:instrText xml:space="preserve"> PAGEREF _Toc445210961 \h </w:instrText>
            </w:r>
            <w:r>
              <w:rPr>
                <w:noProof/>
                <w:webHidden/>
              </w:rPr>
            </w:r>
            <w:r>
              <w:rPr>
                <w:noProof/>
                <w:webHidden/>
              </w:rPr>
              <w:fldChar w:fldCharType="separate"/>
            </w:r>
            <w:r>
              <w:rPr>
                <w:noProof/>
                <w:webHidden/>
              </w:rPr>
              <w:t>22</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2" w:history="1">
            <w:r w:rsidRPr="00267B6D">
              <w:rPr>
                <w:rStyle w:val="Hyperlink"/>
                <w:noProof/>
              </w:rPr>
              <w:t>Introduction</w:t>
            </w:r>
            <w:r>
              <w:rPr>
                <w:noProof/>
                <w:webHidden/>
              </w:rPr>
              <w:tab/>
            </w:r>
            <w:r>
              <w:rPr>
                <w:noProof/>
                <w:webHidden/>
              </w:rPr>
              <w:fldChar w:fldCharType="begin"/>
            </w:r>
            <w:r>
              <w:rPr>
                <w:noProof/>
                <w:webHidden/>
              </w:rPr>
              <w:instrText xml:space="preserve"> PAGEREF _Toc445210962 \h </w:instrText>
            </w:r>
            <w:r>
              <w:rPr>
                <w:noProof/>
                <w:webHidden/>
              </w:rPr>
            </w:r>
            <w:r>
              <w:rPr>
                <w:noProof/>
                <w:webHidden/>
              </w:rPr>
              <w:fldChar w:fldCharType="separate"/>
            </w:r>
            <w:r>
              <w:rPr>
                <w:noProof/>
                <w:webHidden/>
              </w:rPr>
              <w:t>22</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3" w:history="1">
            <w:r w:rsidRPr="00267B6D">
              <w:rPr>
                <w:rStyle w:val="Hyperlink"/>
                <w:noProof/>
              </w:rPr>
              <w:t>Pharmacokinetics</w:t>
            </w:r>
            <w:r>
              <w:rPr>
                <w:noProof/>
                <w:webHidden/>
              </w:rPr>
              <w:tab/>
            </w:r>
            <w:r>
              <w:rPr>
                <w:noProof/>
                <w:webHidden/>
              </w:rPr>
              <w:fldChar w:fldCharType="begin"/>
            </w:r>
            <w:r>
              <w:rPr>
                <w:noProof/>
                <w:webHidden/>
              </w:rPr>
              <w:instrText xml:space="preserve"> PAGEREF _Toc445210963 \h </w:instrText>
            </w:r>
            <w:r>
              <w:rPr>
                <w:noProof/>
                <w:webHidden/>
              </w:rPr>
            </w:r>
            <w:r>
              <w:rPr>
                <w:noProof/>
                <w:webHidden/>
              </w:rPr>
              <w:fldChar w:fldCharType="separate"/>
            </w:r>
            <w:r>
              <w:rPr>
                <w:noProof/>
                <w:webHidden/>
              </w:rPr>
              <w:t>24</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4" w:history="1">
            <w:r w:rsidRPr="00267B6D">
              <w:rPr>
                <w:rStyle w:val="Hyperlink"/>
                <w:noProof/>
              </w:rPr>
              <w:t>Pharmacodynamics</w:t>
            </w:r>
            <w:r>
              <w:rPr>
                <w:noProof/>
                <w:webHidden/>
              </w:rPr>
              <w:tab/>
            </w:r>
            <w:r>
              <w:rPr>
                <w:noProof/>
                <w:webHidden/>
              </w:rPr>
              <w:fldChar w:fldCharType="begin"/>
            </w:r>
            <w:r>
              <w:rPr>
                <w:noProof/>
                <w:webHidden/>
              </w:rPr>
              <w:instrText xml:space="preserve"> PAGEREF _Toc445210964 \h </w:instrText>
            </w:r>
            <w:r>
              <w:rPr>
                <w:noProof/>
                <w:webHidden/>
              </w:rPr>
            </w:r>
            <w:r>
              <w:rPr>
                <w:noProof/>
                <w:webHidden/>
              </w:rPr>
              <w:fldChar w:fldCharType="separate"/>
            </w:r>
            <w:r>
              <w:rPr>
                <w:noProof/>
                <w:webHidden/>
              </w:rPr>
              <w:t>26</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5" w:history="1">
            <w:r w:rsidRPr="00267B6D">
              <w:rPr>
                <w:rStyle w:val="Hyperlink"/>
                <w:noProof/>
              </w:rPr>
              <w:t>Dosage selection for the pivotal studies</w:t>
            </w:r>
            <w:r>
              <w:rPr>
                <w:noProof/>
                <w:webHidden/>
              </w:rPr>
              <w:tab/>
            </w:r>
            <w:r>
              <w:rPr>
                <w:noProof/>
                <w:webHidden/>
              </w:rPr>
              <w:fldChar w:fldCharType="begin"/>
            </w:r>
            <w:r>
              <w:rPr>
                <w:noProof/>
                <w:webHidden/>
              </w:rPr>
              <w:instrText xml:space="preserve"> PAGEREF _Toc445210965 \h </w:instrText>
            </w:r>
            <w:r>
              <w:rPr>
                <w:noProof/>
                <w:webHidden/>
              </w:rPr>
            </w:r>
            <w:r>
              <w:rPr>
                <w:noProof/>
                <w:webHidden/>
              </w:rPr>
              <w:fldChar w:fldCharType="separate"/>
            </w:r>
            <w:r>
              <w:rPr>
                <w:noProof/>
                <w:webHidden/>
              </w:rPr>
              <w:t>28</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6" w:history="1">
            <w:r w:rsidRPr="00267B6D">
              <w:rPr>
                <w:rStyle w:val="Hyperlink"/>
                <w:noProof/>
              </w:rPr>
              <w:t>Efficacy</w:t>
            </w:r>
            <w:r>
              <w:rPr>
                <w:noProof/>
                <w:webHidden/>
              </w:rPr>
              <w:tab/>
            </w:r>
            <w:r>
              <w:rPr>
                <w:noProof/>
                <w:webHidden/>
              </w:rPr>
              <w:fldChar w:fldCharType="begin"/>
            </w:r>
            <w:r>
              <w:rPr>
                <w:noProof/>
                <w:webHidden/>
              </w:rPr>
              <w:instrText xml:space="preserve"> PAGEREF _Toc445210966 \h </w:instrText>
            </w:r>
            <w:r>
              <w:rPr>
                <w:noProof/>
                <w:webHidden/>
              </w:rPr>
            </w:r>
            <w:r>
              <w:rPr>
                <w:noProof/>
                <w:webHidden/>
              </w:rPr>
              <w:fldChar w:fldCharType="separate"/>
            </w:r>
            <w:r>
              <w:rPr>
                <w:noProof/>
                <w:webHidden/>
              </w:rPr>
              <w:t>31</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7" w:history="1">
            <w:r w:rsidRPr="00267B6D">
              <w:rPr>
                <w:rStyle w:val="Hyperlink"/>
                <w:noProof/>
              </w:rPr>
              <w:t>Safety</w:t>
            </w:r>
            <w:r>
              <w:rPr>
                <w:noProof/>
                <w:webHidden/>
              </w:rPr>
              <w:tab/>
            </w:r>
            <w:r>
              <w:rPr>
                <w:noProof/>
                <w:webHidden/>
              </w:rPr>
              <w:fldChar w:fldCharType="begin"/>
            </w:r>
            <w:r>
              <w:rPr>
                <w:noProof/>
                <w:webHidden/>
              </w:rPr>
              <w:instrText xml:space="preserve"> PAGEREF _Toc445210967 \h </w:instrText>
            </w:r>
            <w:r>
              <w:rPr>
                <w:noProof/>
                <w:webHidden/>
              </w:rPr>
            </w:r>
            <w:r>
              <w:rPr>
                <w:noProof/>
                <w:webHidden/>
              </w:rPr>
              <w:fldChar w:fldCharType="separate"/>
            </w:r>
            <w:r>
              <w:rPr>
                <w:noProof/>
                <w:webHidden/>
              </w:rPr>
              <w:t>32</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8" w:history="1">
            <w:r w:rsidRPr="00267B6D">
              <w:rPr>
                <w:rStyle w:val="Hyperlink"/>
                <w:noProof/>
              </w:rPr>
              <w:t>First round benefit-risk assessment</w:t>
            </w:r>
            <w:r>
              <w:rPr>
                <w:noProof/>
                <w:webHidden/>
              </w:rPr>
              <w:tab/>
            </w:r>
            <w:r>
              <w:rPr>
                <w:noProof/>
                <w:webHidden/>
              </w:rPr>
              <w:fldChar w:fldCharType="begin"/>
            </w:r>
            <w:r>
              <w:rPr>
                <w:noProof/>
                <w:webHidden/>
              </w:rPr>
              <w:instrText xml:space="preserve"> PAGEREF _Toc445210968 \h </w:instrText>
            </w:r>
            <w:r>
              <w:rPr>
                <w:noProof/>
                <w:webHidden/>
              </w:rPr>
            </w:r>
            <w:r>
              <w:rPr>
                <w:noProof/>
                <w:webHidden/>
              </w:rPr>
              <w:fldChar w:fldCharType="separate"/>
            </w:r>
            <w:r>
              <w:rPr>
                <w:noProof/>
                <w:webHidden/>
              </w:rPr>
              <w:t>34</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69" w:history="1">
            <w:r w:rsidRPr="00267B6D">
              <w:rPr>
                <w:rStyle w:val="Hyperlink"/>
                <w:noProof/>
              </w:rPr>
              <w:t>First Round Recommendation Regarding Authorisation</w:t>
            </w:r>
            <w:r>
              <w:rPr>
                <w:noProof/>
                <w:webHidden/>
              </w:rPr>
              <w:tab/>
            </w:r>
            <w:r>
              <w:rPr>
                <w:noProof/>
                <w:webHidden/>
              </w:rPr>
              <w:fldChar w:fldCharType="begin"/>
            </w:r>
            <w:r>
              <w:rPr>
                <w:noProof/>
                <w:webHidden/>
              </w:rPr>
              <w:instrText xml:space="preserve"> PAGEREF _Toc445210969 \h </w:instrText>
            </w:r>
            <w:r>
              <w:rPr>
                <w:noProof/>
                <w:webHidden/>
              </w:rPr>
            </w:r>
            <w:r>
              <w:rPr>
                <w:noProof/>
                <w:webHidden/>
              </w:rPr>
              <w:fldChar w:fldCharType="separate"/>
            </w:r>
            <w:r>
              <w:rPr>
                <w:noProof/>
                <w:webHidden/>
              </w:rPr>
              <w:t>34</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0" w:history="1">
            <w:r w:rsidRPr="00267B6D">
              <w:rPr>
                <w:rStyle w:val="Hyperlink"/>
                <w:noProof/>
              </w:rPr>
              <w:t>Clinical Questions</w:t>
            </w:r>
            <w:r>
              <w:rPr>
                <w:noProof/>
                <w:webHidden/>
              </w:rPr>
              <w:tab/>
            </w:r>
            <w:r>
              <w:rPr>
                <w:noProof/>
                <w:webHidden/>
              </w:rPr>
              <w:fldChar w:fldCharType="begin"/>
            </w:r>
            <w:r>
              <w:rPr>
                <w:noProof/>
                <w:webHidden/>
              </w:rPr>
              <w:instrText xml:space="preserve"> PAGEREF _Toc445210970 \h </w:instrText>
            </w:r>
            <w:r>
              <w:rPr>
                <w:noProof/>
                <w:webHidden/>
              </w:rPr>
            </w:r>
            <w:r>
              <w:rPr>
                <w:noProof/>
                <w:webHidden/>
              </w:rPr>
              <w:fldChar w:fldCharType="separate"/>
            </w:r>
            <w:r>
              <w:rPr>
                <w:noProof/>
                <w:webHidden/>
              </w:rPr>
              <w:t>35</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1" w:history="1">
            <w:r w:rsidRPr="00267B6D">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_Toc445210971 \h </w:instrText>
            </w:r>
            <w:r>
              <w:rPr>
                <w:noProof/>
                <w:webHidden/>
              </w:rPr>
            </w:r>
            <w:r>
              <w:rPr>
                <w:noProof/>
                <w:webHidden/>
              </w:rPr>
              <w:fldChar w:fldCharType="separate"/>
            </w:r>
            <w:r>
              <w:rPr>
                <w:noProof/>
                <w:webHidden/>
              </w:rPr>
              <w:t>36</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2" w:history="1">
            <w:r w:rsidRPr="00267B6D">
              <w:rPr>
                <w:rStyle w:val="Hyperlink"/>
                <w:noProof/>
              </w:rPr>
              <w:t>Second round recommendation regarding authorisation</w:t>
            </w:r>
            <w:r>
              <w:rPr>
                <w:noProof/>
                <w:webHidden/>
              </w:rPr>
              <w:tab/>
            </w:r>
            <w:r>
              <w:rPr>
                <w:noProof/>
                <w:webHidden/>
              </w:rPr>
              <w:fldChar w:fldCharType="begin"/>
            </w:r>
            <w:r>
              <w:rPr>
                <w:noProof/>
                <w:webHidden/>
              </w:rPr>
              <w:instrText xml:space="preserve"> PAGEREF _Toc445210972 \h </w:instrText>
            </w:r>
            <w:r>
              <w:rPr>
                <w:noProof/>
                <w:webHidden/>
              </w:rPr>
            </w:r>
            <w:r>
              <w:rPr>
                <w:noProof/>
                <w:webHidden/>
              </w:rPr>
              <w:fldChar w:fldCharType="separate"/>
            </w:r>
            <w:r>
              <w:rPr>
                <w:noProof/>
                <w:webHidden/>
              </w:rPr>
              <w:t>36</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73" w:history="1">
            <w:r w:rsidRPr="00267B6D">
              <w:rPr>
                <w:rStyle w:val="Hyperlink"/>
                <w:noProof/>
              </w:rPr>
              <w:t>V. Pharmacovigilance findings</w:t>
            </w:r>
            <w:r>
              <w:rPr>
                <w:noProof/>
                <w:webHidden/>
              </w:rPr>
              <w:tab/>
            </w:r>
            <w:r>
              <w:rPr>
                <w:noProof/>
                <w:webHidden/>
              </w:rPr>
              <w:fldChar w:fldCharType="begin"/>
            </w:r>
            <w:r>
              <w:rPr>
                <w:noProof/>
                <w:webHidden/>
              </w:rPr>
              <w:instrText xml:space="preserve"> PAGEREF _Toc445210973 \h </w:instrText>
            </w:r>
            <w:r>
              <w:rPr>
                <w:noProof/>
                <w:webHidden/>
              </w:rPr>
            </w:r>
            <w:r>
              <w:rPr>
                <w:noProof/>
                <w:webHidden/>
              </w:rPr>
              <w:fldChar w:fldCharType="separate"/>
            </w:r>
            <w:r>
              <w:rPr>
                <w:noProof/>
                <w:webHidden/>
              </w:rPr>
              <w:t>36</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4" w:history="1">
            <w:r w:rsidRPr="00267B6D">
              <w:rPr>
                <w:rStyle w:val="Hyperlink"/>
                <w:noProof/>
                <w:lang w:eastAsia="en-AU"/>
              </w:rPr>
              <w:t>Risk management plan</w:t>
            </w:r>
            <w:r>
              <w:rPr>
                <w:noProof/>
                <w:webHidden/>
              </w:rPr>
              <w:tab/>
            </w:r>
            <w:r>
              <w:rPr>
                <w:noProof/>
                <w:webHidden/>
              </w:rPr>
              <w:fldChar w:fldCharType="begin"/>
            </w:r>
            <w:r>
              <w:rPr>
                <w:noProof/>
                <w:webHidden/>
              </w:rPr>
              <w:instrText xml:space="preserve"> PAGEREF _Toc445210974 \h </w:instrText>
            </w:r>
            <w:r>
              <w:rPr>
                <w:noProof/>
                <w:webHidden/>
              </w:rPr>
            </w:r>
            <w:r>
              <w:rPr>
                <w:noProof/>
                <w:webHidden/>
              </w:rPr>
              <w:fldChar w:fldCharType="separate"/>
            </w:r>
            <w:r>
              <w:rPr>
                <w:noProof/>
                <w:webHidden/>
              </w:rPr>
              <w:t>36</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75" w:history="1">
            <w:r w:rsidRPr="00267B6D">
              <w:rPr>
                <w:rStyle w:val="Hyperlink"/>
                <w:noProof/>
              </w:rPr>
              <w:t>VI. Overall conclusion and risk/benefit assessment</w:t>
            </w:r>
            <w:r>
              <w:rPr>
                <w:noProof/>
                <w:webHidden/>
              </w:rPr>
              <w:tab/>
            </w:r>
            <w:r>
              <w:rPr>
                <w:noProof/>
                <w:webHidden/>
              </w:rPr>
              <w:fldChar w:fldCharType="begin"/>
            </w:r>
            <w:r>
              <w:rPr>
                <w:noProof/>
                <w:webHidden/>
              </w:rPr>
              <w:instrText xml:space="preserve"> PAGEREF _Toc445210975 \h </w:instrText>
            </w:r>
            <w:r>
              <w:rPr>
                <w:noProof/>
                <w:webHidden/>
              </w:rPr>
            </w:r>
            <w:r>
              <w:rPr>
                <w:noProof/>
                <w:webHidden/>
              </w:rPr>
              <w:fldChar w:fldCharType="separate"/>
            </w:r>
            <w:r>
              <w:rPr>
                <w:noProof/>
                <w:webHidden/>
              </w:rPr>
              <w:t>47</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6" w:history="1">
            <w:r w:rsidRPr="00267B6D">
              <w:rPr>
                <w:rStyle w:val="Hyperlink"/>
                <w:noProof/>
              </w:rPr>
              <w:t>Quality</w:t>
            </w:r>
            <w:r>
              <w:rPr>
                <w:noProof/>
                <w:webHidden/>
              </w:rPr>
              <w:tab/>
            </w:r>
            <w:r>
              <w:rPr>
                <w:noProof/>
                <w:webHidden/>
              </w:rPr>
              <w:fldChar w:fldCharType="begin"/>
            </w:r>
            <w:r>
              <w:rPr>
                <w:noProof/>
                <w:webHidden/>
              </w:rPr>
              <w:instrText xml:space="preserve"> PAGEREF _Toc445210976 \h </w:instrText>
            </w:r>
            <w:r>
              <w:rPr>
                <w:noProof/>
                <w:webHidden/>
              </w:rPr>
            </w:r>
            <w:r>
              <w:rPr>
                <w:noProof/>
                <w:webHidden/>
              </w:rPr>
              <w:fldChar w:fldCharType="separate"/>
            </w:r>
            <w:r>
              <w:rPr>
                <w:noProof/>
                <w:webHidden/>
              </w:rPr>
              <w:t>47</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7" w:history="1">
            <w:r w:rsidRPr="00267B6D">
              <w:rPr>
                <w:rStyle w:val="Hyperlink"/>
                <w:noProof/>
              </w:rPr>
              <w:t>Nonclinical</w:t>
            </w:r>
            <w:r>
              <w:rPr>
                <w:noProof/>
                <w:webHidden/>
              </w:rPr>
              <w:tab/>
            </w:r>
            <w:r>
              <w:rPr>
                <w:noProof/>
                <w:webHidden/>
              </w:rPr>
              <w:fldChar w:fldCharType="begin"/>
            </w:r>
            <w:r>
              <w:rPr>
                <w:noProof/>
                <w:webHidden/>
              </w:rPr>
              <w:instrText xml:space="preserve"> PAGEREF _Toc445210977 \h </w:instrText>
            </w:r>
            <w:r>
              <w:rPr>
                <w:noProof/>
                <w:webHidden/>
              </w:rPr>
            </w:r>
            <w:r>
              <w:rPr>
                <w:noProof/>
                <w:webHidden/>
              </w:rPr>
              <w:fldChar w:fldCharType="separate"/>
            </w:r>
            <w:r>
              <w:rPr>
                <w:noProof/>
                <w:webHidden/>
              </w:rPr>
              <w:t>47</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8" w:history="1">
            <w:r w:rsidRPr="00267B6D">
              <w:rPr>
                <w:rStyle w:val="Hyperlink"/>
                <w:noProof/>
              </w:rPr>
              <w:t>Clinical</w:t>
            </w:r>
            <w:r>
              <w:rPr>
                <w:noProof/>
                <w:webHidden/>
              </w:rPr>
              <w:tab/>
            </w:r>
            <w:r>
              <w:rPr>
                <w:noProof/>
                <w:webHidden/>
              </w:rPr>
              <w:fldChar w:fldCharType="begin"/>
            </w:r>
            <w:r>
              <w:rPr>
                <w:noProof/>
                <w:webHidden/>
              </w:rPr>
              <w:instrText xml:space="preserve"> PAGEREF _Toc445210978 \h </w:instrText>
            </w:r>
            <w:r>
              <w:rPr>
                <w:noProof/>
                <w:webHidden/>
              </w:rPr>
            </w:r>
            <w:r>
              <w:rPr>
                <w:noProof/>
                <w:webHidden/>
              </w:rPr>
              <w:fldChar w:fldCharType="separate"/>
            </w:r>
            <w:r>
              <w:rPr>
                <w:noProof/>
                <w:webHidden/>
              </w:rPr>
              <w:t>47</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79" w:history="1">
            <w:r w:rsidRPr="00267B6D">
              <w:rPr>
                <w:rStyle w:val="Hyperlink"/>
                <w:noProof/>
                <w:lang w:eastAsia="en-AU"/>
              </w:rPr>
              <w:t>Risk management plan</w:t>
            </w:r>
            <w:r>
              <w:rPr>
                <w:noProof/>
                <w:webHidden/>
              </w:rPr>
              <w:tab/>
            </w:r>
            <w:r>
              <w:rPr>
                <w:noProof/>
                <w:webHidden/>
              </w:rPr>
              <w:fldChar w:fldCharType="begin"/>
            </w:r>
            <w:r>
              <w:rPr>
                <w:noProof/>
                <w:webHidden/>
              </w:rPr>
              <w:instrText xml:space="preserve"> PAGEREF _Toc445210979 \h </w:instrText>
            </w:r>
            <w:r>
              <w:rPr>
                <w:noProof/>
                <w:webHidden/>
              </w:rPr>
            </w:r>
            <w:r>
              <w:rPr>
                <w:noProof/>
                <w:webHidden/>
              </w:rPr>
              <w:fldChar w:fldCharType="separate"/>
            </w:r>
            <w:r>
              <w:rPr>
                <w:noProof/>
                <w:webHidden/>
              </w:rPr>
              <w:t>55</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80" w:history="1">
            <w:r w:rsidRPr="00267B6D">
              <w:rPr>
                <w:rStyle w:val="Hyperlink"/>
                <w:noProof/>
              </w:rPr>
              <w:t>Risk-benefit analysis</w:t>
            </w:r>
            <w:r>
              <w:rPr>
                <w:noProof/>
                <w:webHidden/>
              </w:rPr>
              <w:tab/>
            </w:r>
            <w:r>
              <w:rPr>
                <w:noProof/>
                <w:webHidden/>
              </w:rPr>
              <w:fldChar w:fldCharType="begin"/>
            </w:r>
            <w:r>
              <w:rPr>
                <w:noProof/>
                <w:webHidden/>
              </w:rPr>
              <w:instrText xml:space="preserve"> PAGEREF _Toc445210980 \h </w:instrText>
            </w:r>
            <w:r>
              <w:rPr>
                <w:noProof/>
                <w:webHidden/>
              </w:rPr>
            </w:r>
            <w:r>
              <w:rPr>
                <w:noProof/>
                <w:webHidden/>
              </w:rPr>
              <w:fldChar w:fldCharType="separate"/>
            </w:r>
            <w:r>
              <w:rPr>
                <w:noProof/>
                <w:webHidden/>
              </w:rPr>
              <w:t>55</w:t>
            </w:r>
            <w:r>
              <w:rPr>
                <w:noProof/>
                <w:webHidden/>
              </w:rPr>
              <w:fldChar w:fldCharType="end"/>
            </w:r>
          </w:hyperlink>
        </w:p>
        <w:p w:rsidR="009972EC" w:rsidRDefault="009972EC">
          <w:pPr>
            <w:pStyle w:val="TOC3"/>
            <w:rPr>
              <w:rFonts w:asciiTheme="minorHAnsi" w:eastAsiaTheme="minorEastAsia" w:hAnsiTheme="minorHAnsi" w:cstheme="minorBidi"/>
              <w:noProof/>
              <w:lang w:eastAsia="en-AU"/>
            </w:rPr>
          </w:pPr>
          <w:hyperlink w:anchor="_Toc445210981" w:history="1">
            <w:r w:rsidRPr="00267B6D">
              <w:rPr>
                <w:rStyle w:val="Hyperlink"/>
                <w:noProof/>
              </w:rPr>
              <w:t>Outcome</w:t>
            </w:r>
            <w:r>
              <w:rPr>
                <w:noProof/>
                <w:webHidden/>
              </w:rPr>
              <w:tab/>
            </w:r>
            <w:r>
              <w:rPr>
                <w:noProof/>
                <w:webHidden/>
              </w:rPr>
              <w:fldChar w:fldCharType="begin"/>
            </w:r>
            <w:r>
              <w:rPr>
                <w:noProof/>
                <w:webHidden/>
              </w:rPr>
              <w:instrText xml:space="preserve"> PAGEREF _Toc445210981 \h </w:instrText>
            </w:r>
            <w:r>
              <w:rPr>
                <w:noProof/>
                <w:webHidden/>
              </w:rPr>
            </w:r>
            <w:r>
              <w:rPr>
                <w:noProof/>
                <w:webHidden/>
              </w:rPr>
              <w:fldChar w:fldCharType="separate"/>
            </w:r>
            <w:r>
              <w:rPr>
                <w:noProof/>
                <w:webHidden/>
              </w:rPr>
              <w:t>59</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82" w:history="1">
            <w:r w:rsidRPr="00267B6D">
              <w:rPr>
                <w:rStyle w:val="Hyperlink"/>
                <w:noProof/>
              </w:rPr>
              <w:t>Attachment 1. Product Information</w:t>
            </w:r>
            <w:r>
              <w:rPr>
                <w:noProof/>
                <w:webHidden/>
              </w:rPr>
              <w:tab/>
            </w:r>
            <w:r>
              <w:rPr>
                <w:noProof/>
                <w:webHidden/>
              </w:rPr>
              <w:fldChar w:fldCharType="begin"/>
            </w:r>
            <w:r>
              <w:rPr>
                <w:noProof/>
                <w:webHidden/>
              </w:rPr>
              <w:instrText xml:space="preserve"> PAGEREF _Toc445210982 \h </w:instrText>
            </w:r>
            <w:r>
              <w:rPr>
                <w:noProof/>
                <w:webHidden/>
              </w:rPr>
            </w:r>
            <w:r>
              <w:rPr>
                <w:noProof/>
                <w:webHidden/>
              </w:rPr>
              <w:fldChar w:fldCharType="separate"/>
            </w:r>
            <w:r>
              <w:rPr>
                <w:noProof/>
                <w:webHidden/>
              </w:rPr>
              <w:t>59</w:t>
            </w:r>
            <w:r>
              <w:rPr>
                <w:noProof/>
                <w:webHidden/>
              </w:rPr>
              <w:fldChar w:fldCharType="end"/>
            </w:r>
          </w:hyperlink>
        </w:p>
        <w:p w:rsidR="009972EC" w:rsidRDefault="009972EC">
          <w:pPr>
            <w:pStyle w:val="TOC2"/>
            <w:rPr>
              <w:rFonts w:asciiTheme="minorHAnsi" w:eastAsiaTheme="minorEastAsia" w:hAnsiTheme="minorHAnsi" w:cstheme="minorBidi"/>
              <w:b w:val="0"/>
              <w:noProof/>
              <w:sz w:val="22"/>
              <w:lang w:eastAsia="en-AU"/>
            </w:rPr>
          </w:pPr>
          <w:hyperlink w:anchor="_Toc445210983" w:history="1">
            <w:r w:rsidRPr="00267B6D">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_Toc445210983 \h </w:instrText>
            </w:r>
            <w:r>
              <w:rPr>
                <w:noProof/>
                <w:webHidden/>
              </w:rPr>
            </w:r>
            <w:r>
              <w:rPr>
                <w:noProof/>
                <w:webHidden/>
              </w:rPr>
              <w:fldChar w:fldCharType="separate"/>
            </w:r>
            <w:r>
              <w:rPr>
                <w:noProof/>
                <w:webHidden/>
              </w:rPr>
              <w:t>59</w:t>
            </w:r>
            <w:r>
              <w:rPr>
                <w:noProof/>
                <w:webHidden/>
              </w:rPr>
              <w:fldChar w:fldCharType="end"/>
            </w:r>
          </w:hyperlink>
        </w:p>
        <w:p w:rsidR="003A7F6C" w:rsidRPr="00B811C6" w:rsidRDefault="00DB6124"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445210942"/>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951"/>
        <w:gridCol w:w="6769"/>
      </w:tblGrid>
      <w:tr w:rsidR="00FD119B" w:rsidRPr="00FD119B" w:rsidTr="006E3D5C">
        <w:trPr>
          <w:cnfStyle w:val="100000000000" w:firstRow="1" w:lastRow="0" w:firstColumn="0" w:lastColumn="0" w:oddVBand="0" w:evenVBand="0" w:oddHBand="0" w:evenHBand="0" w:firstRowFirstColumn="0" w:firstRowLastColumn="0" w:lastRowFirstColumn="0" w:lastRowLastColumn="0"/>
        </w:trPr>
        <w:tc>
          <w:tcPr>
            <w:tcW w:w="1951" w:type="dxa"/>
          </w:tcPr>
          <w:p w:rsidR="00FD119B" w:rsidRPr="00392541" w:rsidRDefault="00FD119B" w:rsidP="00392541">
            <w:pPr>
              <w:keepNext w:val="0"/>
              <w:spacing w:line="360" w:lineRule="auto"/>
              <w:ind w:left="0" w:right="0"/>
              <w:rPr>
                <w:rFonts w:asciiTheme="minorHAnsi" w:hAnsiTheme="minorHAnsi"/>
                <w:szCs w:val="22"/>
                <w:lang w:eastAsia="en-US"/>
              </w:rPr>
            </w:pPr>
            <w:r w:rsidRPr="00392541">
              <w:rPr>
                <w:rFonts w:asciiTheme="minorHAnsi" w:hAnsiTheme="minorHAnsi"/>
                <w:szCs w:val="22"/>
                <w:lang w:eastAsia="en-US"/>
              </w:rPr>
              <w:t>Abbreviation</w:t>
            </w:r>
          </w:p>
        </w:tc>
        <w:tc>
          <w:tcPr>
            <w:tcW w:w="6769" w:type="dxa"/>
          </w:tcPr>
          <w:p w:rsidR="00FD119B" w:rsidRPr="00392541" w:rsidRDefault="00FD119B" w:rsidP="00392541">
            <w:pPr>
              <w:keepNext w:val="0"/>
              <w:spacing w:line="360" w:lineRule="auto"/>
              <w:ind w:left="0" w:right="0"/>
              <w:rPr>
                <w:rFonts w:asciiTheme="minorHAnsi" w:hAnsiTheme="minorHAnsi"/>
                <w:szCs w:val="22"/>
                <w:lang w:eastAsia="en-US"/>
              </w:rPr>
            </w:pPr>
            <w:r w:rsidRPr="00392541">
              <w:rPr>
                <w:rFonts w:asciiTheme="minorHAnsi" w:hAnsiTheme="minorHAnsi"/>
                <w:szCs w:val="22"/>
                <w:lang w:eastAsia="en-US"/>
              </w:rPr>
              <w:t>Meaning</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sym w:font="Symbol" w:char="F067"/>
            </w:r>
            <w:r w:rsidRPr="00392541">
              <w:rPr>
                <w:rFonts w:asciiTheme="minorHAnsi" w:hAnsiTheme="minorHAnsi"/>
                <w:szCs w:val="22"/>
              </w:rPr>
              <w:t>-GT</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γ-</w:t>
            </w:r>
            <w:proofErr w:type="spellStart"/>
            <w:r w:rsidRPr="00392541">
              <w:rPr>
                <w:rFonts w:asciiTheme="minorHAnsi" w:eastAsiaTheme="minorHAnsi" w:hAnsiTheme="minorHAnsi"/>
                <w:szCs w:val="22"/>
              </w:rPr>
              <w:t>glutamyl</w:t>
            </w:r>
            <w:proofErr w:type="spellEnd"/>
            <w:r w:rsidRPr="00392541">
              <w:rPr>
                <w:rFonts w:asciiTheme="minorHAnsi" w:eastAsiaTheme="minorHAnsi" w:hAnsiTheme="minorHAnsi"/>
                <w:szCs w:val="22"/>
              </w:rPr>
              <w:t>-transferase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ADA</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Anti-drug-antibody</w:t>
            </w:r>
          </w:p>
        </w:tc>
      </w:tr>
      <w:tr w:rsidR="008C5E81" w:rsidRPr="00FD119B" w:rsidTr="006E3D5C">
        <w:tc>
          <w:tcPr>
            <w:tcW w:w="1951" w:type="dxa"/>
          </w:tcPr>
          <w:p w:rsidR="008C5E81" w:rsidRPr="00392541" w:rsidRDefault="008C5E81" w:rsidP="00392541">
            <w:pPr>
              <w:pStyle w:val="Standard1"/>
              <w:spacing w:after="40" w:line="360" w:lineRule="auto"/>
              <w:rPr>
                <w:rFonts w:asciiTheme="minorHAnsi" w:hAnsiTheme="minorHAnsi"/>
                <w:szCs w:val="22"/>
              </w:rPr>
            </w:pPr>
            <w:r>
              <w:rPr>
                <w:rFonts w:asciiTheme="minorHAnsi" w:hAnsiTheme="minorHAnsi"/>
                <w:szCs w:val="22"/>
              </w:rPr>
              <w:t>AE</w:t>
            </w:r>
          </w:p>
        </w:tc>
        <w:tc>
          <w:tcPr>
            <w:tcW w:w="6769" w:type="dxa"/>
          </w:tcPr>
          <w:p w:rsidR="008C5E81" w:rsidRPr="00392541" w:rsidRDefault="008C5E81" w:rsidP="00392541">
            <w:pPr>
              <w:pStyle w:val="Standard1"/>
              <w:spacing w:after="40" w:line="360" w:lineRule="auto"/>
              <w:rPr>
                <w:rFonts w:asciiTheme="minorHAnsi" w:eastAsiaTheme="minorHAnsi" w:hAnsiTheme="minorHAnsi"/>
                <w:szCs w:val="22"/>
              </w:rPr>
            </w:pPr>
            <w:r>
              <w:rPr>
                <w:rFonts w:asciiTheme="minorHAnsi" w:eastAsiaTheme="minorHAnsi" w:hAnsiTheme="minorHAnsi"/>
                <w:szCs w:val="22"/>
              </w:rPr>
              <w:t>Adverse Event</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ALAT</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Alanine aminotransferase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ALP</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cs="TimesNewRoman"/>
                <w:szCs w:val="22"/>
              </w:rPr>
              <w:t>Alkaline phosphatase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ALT</w:t>
            </w:r>
          </w:p>
        </w:tc>
        <w:tc>
          <w:tcPr>
            <w:tcW w:w="6769" w:type="dxa"/>
          </w:tcPr>
          <w:p w:rsidR="006E3D5C" w:rsidRPr="006E3D5C" w:rsidRDefault="006E3D5C" w:rsidP="006E3D5C">
            <w:pPr>
              <w:rPr>
                <w:lang w:val="en-US"/>
              </w:rPr>
            </w:pPr>
            <w:r>
              <w:rPr>
                <w:lang w:val="en-US"/>
              </w:rPr>
              <w:t>Alanine aminotransferase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ANC</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Absolute neutrophil count</w:t>
            </w:r>
          </w:p>
        </w:tc>
      </w:tr>
      <w:tr w:rsidR="008C5E81" w:rsidRPr="00FD119B" w:rsidTr="006E3D5C">
        <w:tc>
          <w:tcPr>
            <w:tcW w:w="1951" w:type="dxa"/>
          </w:tcPr>
          <w:p w:rsidR="008C5E81" w:rsidRPr="00392541" w:rsidRDefault="008C5E81" w:rsidP="00392541">
            <w:pPr>
              <w:pStyle w:val="Standard1"/>
              <w:spacing w:after="40" w:line="360" w:lineRule="auto"/>
              <w:rPr>
                <w:rFonts w:asciiTheme="minorHAnsi" w:hAnsiTheme="minorHAnsi"/>
                <w:szCs w:val="22"/>
              </w:rPr>
            </w:pPr>
            <w:r>
              <w:rPr>
                <w:rFonts w:asciiTheme="minorHAnsi" w:hAnsiTheme="minorHAnsi"/>
                <w:szCs w:val="22"/>
              </w:rPr>
              <w:t>ANOVA</w:t>
            </w:r>
          </w:p>
        </w:tc>
        <w:tc>
          <w:tcPr>
            <w:tcW w:w="6769" w:type="dxa"/>
          </w:tcPr>
          <w:p w:rsidR="008C5E81" w:rsidRPr="008C5E81" w:rsidRDefault="008C5E81" w:rsidP="008C5E81">
            <w:pPr>
              <w:rPr>
                <w:lang w:val="en-US"/>
              </w:rPr>
            </w:pPr>
            <w:r>
              <w:rPr>
                <w:lang w:val="en-US"/>
              </w:rPr>
              <w:t>Analysis of variance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aPPT</w:t>
            </w:r>
            <w:proofErr w:type="spellEnd"/>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Activated partial thromboplastin time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ASAT</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Aspartate aminotransferase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ATC</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Anatomical therapeutic chemical</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AUC</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Area under the curve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AUC</w:t>
            </w:r>
            <w:r w:rsidRPr="00392541">
              <w:rPr>
                <w:rFonts w:asciiTheme="minorHAnsi" w:hAnsiTheme="minorHAnsi"/>
                <w:szCs w:val="22"/>
                <w:vertAlign w:val="subscript"/>
              </w:rPr>
              <w:t>0-t</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Area under the curve</w:t>
            </w:r>
            <w:r w:rsidRPr="00392541">
              <w:rPr>
                <w:rFonts w:asciiTheme="minorHAnsi" w:eastAsiaTheme="minorHAnsi" w:hAnsiTheme="minorHAnsi"/>
                <w:szCs w:val="22"/>
              </w:rPr>
              <w:t xml:space="preserve"> from the time of dosing to the time of the last observation</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AUC</w:t>
            </w:r>
            <w:r w:rsidRPr="00392541">
              <w:rPr>
                <w:rFonts w:asciiTheme="minorHAnsi" w:hAnsiTheme="minorHAnsi"/>
                <w:szCs w:val="22"/>
                <w:vertAlign w:val="subscript"/>
              </w:rPr>
              <w:t>last</w:t>
            </w:r>
            <w:proofErr w:type="spellEnd"/>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Area under the curve</w:t>
            </w:r>
            <w:r w:rsidRPr="00392541">
              <w:rPr>
                <w:rFonts w:asciiTheme="minorHAnsi" w:eastAsiaTheme="minorHAnsi" w:hAnsiTheme="minorHAnsi"/>
                <w:szCs w:val="22"/>
              </w:rPr>
              <w:t xml:space="preserve"> from the time of dosing to the last measurable concentration</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AUC</w:t>
            </w:r>
            <w:r w:rsidRPr="00392541">
              <w:rPr>
                <w:rFonts w:asciiTheme="minorHAnsi" w:hAnsiTheme="minorHAnsi"/>
                <w:szCs w:val="22"/>
                <w:vertAlign w:val="subscript"/>
              </w:rPr>
              <w:t>0-</w:t>
            </w:r>
            <w:r w:rsidRPr="00392541">
              <w:rPr>
                <w:rFonts w:asciiTheme="minorHAnsi" w:hAnsiTheme="minorHAnsi"/>
                <w:szCs w:val="22"/>
                <w:vertAlign w:val="subscript"/>
              </w:rPr>
              <w:sym w:font="Symbol" w:char="F0A5"/>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Area under the curve</w:t>
            </w:r>
            <w:r w:rsidRPr="00392541">
              <w:rPr>
                <w:rFonts w:asciiTheme="minorHAnsi" w:eastAsiaTheme="minorHAnsi" w:hAnsiTheme="minorHAnsi"/>
                <w:szCs w:val="22"/>
              </w:rPr>
              <w:t xml:space="preserve"> from the time of dosing extrapolated to infinity, based on the last observed concentration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BW</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Body weight</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CHMP</w:t>
            </w:r>
          </w:p>
        </w:tc>
        <w:tc>
          <w:tcPr>
            <w:tcW w:w="6769" w:type="dxa"/>
          </w:tcPr>
          <w:p w:rsidR="006E3D5C" w:rsidRPr="006E3D5C" w:rsidRDefault="006E3D5C" w:rsidP="006E3D5C">
            <w:pPr>
              <w:rPr>
                <w:lang w:val="en-US"/>
              </w:rPr>
            </w:pPr>
            <w:r>
              <w:rPr>
                <w:lang w:val="en-US"/>
              </w:rPr>
              <w:t>Committee of Human Medicinal Products</w:t>
            </w:r>
          </w:p>
        </w:tc>
      </w:tr>
      <w:tr w:rsidR="006E3D5C" w:rsidRPr="00FD119B" w:rsidTr="006E3D5C">
        <w:tc>
          <w:tcPr>
            <w:tcW w:w="1951" w:type="dxa"/>
          </w:tcPr>
          <w:p w:rsidR="006E3D5C" w:rsidRDefault="006E3D5C" w:rsidP="00392541">
            <w:pPr>
              <w:pStyle w:val="Standard1"/>
              <w:spacing w:after="40" w:line="360" w:lineRule="auto"/>
              <w:rPr>
                <w:rFonts w:asciiTheme="minorHAnsi" w:hAnsiTheme="minorHAnsi"/>
                <w:szCs w:val="22"/>
              </w:rPr>
            </w:pPr>
            <w:r>
              <w:rPr>
                <w:rFonts w:asciiTheme="minorHAnsi" w:hAnsiTheme="minorHAnsi"/>
                <w:szCs w:val="22"/>
              </w:rPr>
              <w:t>CI</w:t>
            </w:r>
          </w:p>
        </w:tc>
        <w:tc>
          <w:tcPr>
            <w:tcW w:w="6769" w:type="dxa"/>
          </w:tcPr>
          <w:p w:rsidR="006E3D5C" w:rsidRDefault="006E3D5C" w:rsidP="006E3D5C">
            <w:pPr>
              <w:rPr>
                <w:lang w:val="en-US"/>
              </w:rPr>
            </w:pPr>
            <w:r>
              <w:rPr>
                <w:lang w:val="en-US"/>
              </w:rPr>
              <w:t>Confidence interval</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CK</w:t>
            </w:r>
          </w:p>
        </w:tc>
        <w:tc>
          <w:tcPr>
            <w:tcW w:w="6769" w:type="dxa"/>
          </w:tcPr>
          <w:p w:rsidR="00CE1F05" w:rsidRPr="00392541" w:rsidRDefault="00CE1F05"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Creatine</w:t>
            </w:r>
            <w:proofErr w:type="spellEnd"/>
            <w:r w:rsidRPr="00392541">
              <w:rPr>
                <w:rFonts w:asciiTheme="minorHAnsi" w:hAnsiTheme="minorHAnsi"/>
                <w:szCs w:val="22"/>
              </w:rPr>
              <w:t xml:space="preserve"> kinase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CL</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Total body clearance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C</w:t>
            </w:r>
            <w:r w:rsidRPr="00392541">
              <w:rPr>
                <w:rFonts w:asciiTheme="minorHAnsi" w:hAnsiTheme="minorHAnsi"/>
                <w:szCs w:val="22"/>
                <w:vertAlign w:val="subscript"/>
              </w:rPr>
              <w:t>max</w:t>
            </w:r>
            <w:proofErr w:type="spellEnd"/>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Highest observed plasma concentration</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CML</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 xml:space="preserve">Chronic myelogenous </w:t>
            </w:r>
            <w:proofErr w:type="spellStart"/>
            <w:r w:rsidRPr="00392541">
              <w:rPr>
                <w:rFonts w:asciiTheme="minorHAnsi" w:eastAsiaTheme="minorHAnsi" w:hAnsiTheme="minorHAnsi"/>
                <w:szCs w:val="22"/>
              </w:rPr>
              <w:t>leukemia</w:t>
            </w:r>
            <w:proofErr w:type="spellEnd"/>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CPA</w:t>
            </w:r>
            <w:r w:rsidR="006E3D5C">
              <w:rPr>
                <w:rFonts w:asciiTheme="minorHAnsi" w:hAnsiTheme="minorHAnsi"/>
                <w:szCs w:val="22"/>
              </w:rPr>
              <w:t>/CTX</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Cyclophosphamide</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CYP450</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Cytochrome P450</w:t>
            </w:r>
          </w:p>
        </w:tc>
      </w:tr>
      <w:tr w:rsidR="00CE1F05" w:rsidRPr="00FD119B" w:rsidTr="006E3D5C">
        <w:tc>
          <w:tcPr>
            <w:tcW w:w="1951"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hAnsiTheme="minorHAnsi"/>
                <w:szCs w:val="22"/>
              </w:rPr>
              <w:t>DNA</w:t>
            </w:r>
          </w:p>
        </w:tc>
        <w:tc>
          <w:tcPr>
            <w:tcW w:w="6769" w:type="dxa"/>
          </w:tcPr>
          <w:p w:rsidR="00CE1F05" w:rsidRPr="00392541" w:rsidRDefault="00CE1F05"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Deoxyribonucleic acid</w:t>
            </w:r>
          </w:p>
        </w:tc>
      </w:tr>
      <w:tr w:rsidR="006E3D5C" w:rsidRPr="00FD119B" w:rsidTr="006E3D5C">
        <w:tc>
          <w:tcPr>
            <w:tcW w:w="1951" w:type="dxa"/>
          </w:tcPr>
          <w:p w:rsidR="006E3D5C" w:rsidRPr="00392541" w:rsidRDefault="006E3D5C" w:rsidP="006E3D5C">
            <w:pPr>
              <w:pStyle w:val="Standard1"/>
              <w:spacing w:after="40" w:line="360" w:lineRule="auto"/>
              <w:rPr>
                <w:rFonts w:asciiTheme="minorHAnsi" w:hAnsiTheme="minorHAnsi"/>
                <w:szCs w:val="22"/>
              </w:rPr>
            </w:pPr>
            <w:r>
              <w:rPr>
                <w:rFonts w:asciiTheme="minorHAnsi" w:hAnsiTheme="minorHAnsi"/>
                <w:szCs w:val="22"/>
              </w:rPr>
              <w:lastRenderedPageBreak/>
              <w:t>DNS</w:t>
            </w:r>
          </w:p>
        </w:tc>
        <w:tc>
          <w:tcPr>
            <w:tcW w:w="6769" w:type="dxa"/>
          </w:tcPr>
          <w:p w:rsidR="006E3D5C" w:rsidRPr="00392541" w:rsidRDefault="006E3D5C" w:rsidP="006E3D5C">
            <w:pPr>
              <w:pStyle w:val="Standard1"/>
              <w:spacing w:after="40" w:line="360" w:lineRule="auto"/>
              <w:rPr>
                <w:rFonts w:asciiTheme="minorHAnsi" w:hAnsiTheme="minorHAnsi"/>
                <w:szCs w:val="22"/>
              </w:rPr>
            </w:pPr>
            <w:r>
              <w:rPr>
                <w:rFonts w:asciiTheme="minorHAnsi" w:hAnsiTheme="minorHAnsi"/>
                <w:szCs w:val="22"/>
              </w:rPr>
              <w:t>Duration of severe neutropenia</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DPF</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Dose proportion factor</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EC70</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Effective concentration of drug substances that lead to a 70% viability of the NFS</w:t>
            </w:r>
            <w:r w:rsidRPr="00392541">
              <w:rPr>
                <w:rFonts w:asciiTheme="minorHAnsi" w:hAnsiTheme="minorHAnsi"/>
                <w:szCs w:val="22"/>
              </w:rPr>
              <w:noBreakHyphen/>
              <w:t>60 cells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ECG</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Electrocardiography</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ECL</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Electro-</w:t>
            </w:r>
            <w:proofErr w:type="spellStart"/>
            <w:r w:rsidRPr="00392541">
              <w:rPr>
                <w:rFonts w:asciiTheme="minorHAnsi" w:hAnsiTheme="minorHAnsi"/>
                <w:szCs w:val="22"/>
              </w:rPr>
              <w:t>chemiluminescence</w:t>
            </w:r>
            <w:proofErr w:type="spellEnd"/>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EMA</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European Medicines Agency</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EORTC</w:t>
            </w:r>
          </w:p>
        </w:tc>
        <w:tc>
          <w:tcPr>
            <w:tcW w:w="6769" w:type="dxa"/>
          </w:tcPr>
          <w:p w:rsidR="006E3D5C" w:rsidRPr="006E3D5C" w:rsidRDefault="006E3D5C" w:rsidP="006E3D5C">
            <w:pPr>
              <w:rPr>
                <w:lang w:val="en-US"/>
              </w:rPr>
            </w:pPr>
            <w:r>
              <w:rPr>
                <w:lang w:val="en-US"/>
              </w:rPr>
              <w:t xml:space="preserve">European </w:t>
            </w:r>
            <w:proofErr w:type="spellStart"/>
            <w:r>
              <w:rPr>
                <w:lang w:val="en-US"/>
              </w:rPr>
              <w:t>Organisation</w:t>
            </w:r>
            <w:proofErr w:type="spellEnd"/>
            <w:r>
              <w:rPr>
                <w:lang w:val="en-US"/>
              </w:rPr>
              <w:t xml:space="preserve"> for Research and Treatment of Cancer</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FN</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Febrile neutropenia</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G-CSF</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Granulocyte colony stimulating factor</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GalNAc</w:t>
            </w:r>
            <w:proofErr w:type="spellEnd"/>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N-</w:t>
            </w:r>
            <w:proofErr w:type="spellStart"/>
            <w:r w:rsidRPr="00392541">
              <w:rPr>
                <w:rFonts w:asciiTheme="minorHAnsi" w:eastAsiaTheme="minorHAnsi" w:hAnsiTheme="minorHAnsi"/>
                <w:szCs w:val="22"/>
              </w:rPr>
              <w:t>Acetylgalactosamine</w:t>
            </w:r>
            <w:proofErr w:type="spellEnd"/>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GD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Gestation day</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GLDH</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G</w:t>
            </w:r>
            <w:r w:rsidRPr="00392541">
              <w:rPr>
                <w:rFonts w:asciiTheme="minorHAnsi" w:eastAsiaTheme="minorHAnsi" w:hAnsiTheme="minorHAnsi"/>
                <w:szCs w:val="22"/>
              </w:rPr>
              <w:t>lutamate-dehydrogenase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HCT</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 xml:space="preserve">Haematocrit </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HD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High dose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HGB</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Haemoglobin content</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IA</w:t>
            </w:r>
          </w:p>
        </w:tc>
        <w:tc>
          <w:tcPr>
            <w:tcW w:w="6769" w:type="dxa"/>
          </w:tcPr>
          <w:p w:rsidR="006E3D5C" w:rsidRPr="00392541" w:rsidRDefault="00216F4E" w:rsidP="00392541">
            <w:pPr>
              <w:pStyle w:val="Standard1"/>
              <w:spacing w:after="40" w:line="360" w:lineRule="auto"/>
              <w:rPr>
                <w:rFonts w:asciiTheme="minorHAnsi" w:hAnsiTheme="minorHAnsi"/>
                <w:szCs w:val="22"/>
              </w:rPr>
            </w:pPr>
            <w:r w:rsidRPr="00392541">
              <w:rPr>
                <w:rFonts w:asciiTheme="minorHAnsi" w:hAnsiTheme="minorHAnsi"/>
                <w:szCs w:val="22"/>
              </w:rPr>
              <w:t>Intra-arterial</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IgG</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Immunoglobulin G</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IgM</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Immunoglobulin M</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IM</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Intramuscular</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IP</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Intraperitoneal</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ISS</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 xml:space="preserve">Integrated Summary of Safety </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ITT</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Intent-to-Treat</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IV</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Intravenous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LC/MS/MS</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Liquid chromatography/tandem mass spectrometry</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Low dose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LDH</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Lactate dehydrogenase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LDS</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Loading-dye sample buffer</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LI</w:t>
            </w:r>
          </w:p>
        </w:tc>
        <w:tc>
          <w:tcPr>
            <w:tcW w:w="6769"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Lobularity</w:t>
            </w:r>
            <w:proofErr w:type="spellEnd"/>
            <w:r w:rsidRPr="00392541">
              <w:rPr>
                <w:rFonts w:asciiTheme="minorHAnsi" w:hAnsiTheme="minorHAnsi"/>
                <w:szCs w:val="22"/>
              </w:rPr>
              <w:t xml:space="preserve"> index</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LLOD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Lower limit of detection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lastRenderedPageBreak/>
              <w:t>LLOQ</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Lower limit of quantification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LOD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Limit of detection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LLOQ</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Limit of quantification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LPS</w:t>
            </w:r>
          </w:p>
        </w:tc>
        <w:tc>
          <w:tcPr>
            <w:tcW w:w="6769"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L</w:t>
            </w:r>
            <w:r w:rsidRPr="00392541">
              <w:rPr>
                <w:rFonts w:asciiTheme="minorHAnsi" w:eastAsiaTheme="minorHAnsi" w:hAnsiTheme="minorHAnsi"/>
                <w:szCs w:val="22"/>
              </w:rPr>
              <w:t>ipoplysaccharides</w:t>
            </w:r>
            <w:proofErr w:type="spellEnd"/>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LS</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Pr>
                <w:rFonts w:asciiTheme="minorHAnsi" w:eastAsiaTheme="minorHAnsi" w:hAnsiTheme="minorHAnsi"/>
                <w:szCs w:val="22"/>
              </w:rPr>
              <w:t>Least square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MCH</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Mean corpuscular haemoglobin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MCHC</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Mean corpuscular haemoglobin concentration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MCV</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Mean corpuscular volume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Medium dose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proofErr w:type="spellStart"/>
            <w:r>
              <w:rPr>
                <w:rFonts w:asciiTheme="minorHAnsi" w:hAnsiTheme="minorHAnsi"/>
                <w:szCs w:val="22"/>
              </w:rPr>
              <w:t>MedDRA</w:t>
            </w:r>
            <w:proofErr w:type="spellEnd"/>
          </w:p>
        </w:tc>
        <w:tc>
          <w:tcPr>
            <w:tcW w:w="6769" w:type="dxa"/>
          </w:tcPr>
          <w:p w:rsidR="006E3D5C" w:rsidRPr="006E3D5C" w:rsidRDefault="006E3D5C" w:rsidP="006E3D5C">
            <w:pPr>
              <w:rPr>
                <w:lang w:val="en-US"/>
              </w:rPr>
            </w:pPr>
            <w:r>
              <w:rPr>
                <w:lang w:val="en-US"/>
              </w:rPr>
              <w:t>Medical Dictionary for Regulatory Activities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MFI</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Median fluorescent intensity</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mPEG</w:t>
            </w:r>
            <w:proofErr w:type="spellEnd"/>
          </w:p>
        </w:tc>
        <w:tc>
          <w:tcPr>
            <w:tcW w:w="6769"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eastAsiaTheme="minorHAnsi" w:hAnsiTheme="minorHAnsi"/>
                <w:szCs w:val="22"/>
              </w:rPr>
              <w:t>Methoxypolyethylene</w:t>
            </w:r>
            <w:proofErr w:type="spellEnd"/>
            <w:r w:rsidRPr="00392541">
              <w:rPr>
                <w:rFonts w:asciiTheme="minorHAnsi" w:eastAsiaTheme="minorHAnsi" w:hAnsiTheme="minorHAnsi"/>
                <w:szCs w:val="22"/>
              </w:rPr>
              <w:t xml:space="preserve"> glycol </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MSR</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Minimal significant ratio</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NFS60</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Mouse myelogenous leukaemia cell line adapted to respond to recombinant G-CSF (</w:t>
            </w:r>
            <w:proofErr w:type="spellStart"/>
            <w:r w:rsidRPr="00392541">
              <w:rPr>
                <w:rFonts w:asciiTheme="minorHAnsi" w:hAnsiTheme="minorHAnsi"/>
                <w:szCs w:val="22"/>
              </w:rPr>
              <w:t>lipegfilgrastim</w:t>
            </w:r>
            <w:proofErr w:type="spellEnd"/>
            <w:r w:rsidRPr="00392541">
              <w:rPr>
                <w:rFonts w:asciiTheme="minorHAnsi" w:hAnsiTheme="minorHAnsi"/>
                <w:szCs w:val="22"/>
              </w:rPr>
              <w:t>/</w:t>
            </w:r>
            <w:proofErr w:type="spellStart"/>
            <w:r w:rsidRPr="00392541">
              <w:rPr>
                <w:rFonts w:asciiTheme="minorHAnsi" w:hAnsiTheme="minorHAnsi"/>
                <w:szCs w:val="22"/>
              </w:rPr>
              <w:t>Neulasta</w:t>
            </w:r>
            <w:proofErr w:type="spellEnd"/>
            <w:r w:rsidRPr="00392541">
              <w:rPr>
                <w:rFonts w:asciiTheme="minorHAnsi" w:hAnsiTheme="minorHAnsi"/>
                <w:szCs w:val="22"/>
              </w:rPr>
              <w:t>)</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NMP</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Normal monkey plasma</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NOAEL</w:t>
            </w:r>
          </w:p>
        </w:tc>
        <w:tc>
          <w:tcPr>
            <w:tcW w:w="6769" w:type="dxa"/>
          </w:tcPr>
          <w:p w:rsidR="006E3D5C" w:rsidRPr="006E3D5C" w:rsidRDefault="006E3D5C" w:rsidP="006E3D5C">
            <w:pPr>
              <w:rPr>
                <w:lang w:val="en-US"/>
              </w:rPr>
            </w:pPr>
            <w:r>
              <w:rPr>
                <w:lang w:val="en-US"/>
              </w:rPr>
              <w:t>No Observed Adverse Effect Level</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NRP</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Normal rat plasma</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NRS</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Naïve rat serum</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NZW</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New Zealand white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EastAsia" w:hAnsiTheme="minorHAnsi"/>
                <w:szCs w:val="22"/>
              </w:rPr>
            </w:pPr>
            <w:r w:rsidRPr="00392541">
              <w:rPr>
                <w:rFonts w:asciiTheme="minorHAnsi" w:eastAsiaTheme="minorEastAsia" w:hAnsiTheme="minorHAnsi"/>
                <w:szCs w:val="22"/>
              </w:rPr>
              <w:t>PBS</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EastAsia" w:hAnsiTheme="minorHAnsi"/>
                <w:szCs w:val="22"/>
              </w:rPr>
              <w:t>Phosphate buffered saline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PCT</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Number of platelets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PEG</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Polyethylene glycol</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PK</w:t>
            </w:r>
          </w:p>
        </w:tc>
        <w:tc>
          <w:tcPr>
            <w:tcW w:w="6769" w:type="dxa"/>
          </w:tcPr>
          <w:p w:rsidR="006E3D5C" w:rsidRPr="006E3D5C" w:rsidRDefault="006E3D5C" w:rsidP="006E3D5C">
            <w:pPr>
              <w:rPr>
                <w:lang w:val="en-US"/>
              </w:rPr>
            </w:pPr>
            <w:r>
              <w:rPr>
                <w:lang w:val="en-US"/>
              </w:rPr>
              <w:t>Pharmacokinetics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PNRS</w:t>
            </w:r>
          </w:p>
        </w:tc>
        <w:tc>
          <w:tcPr>
            <w:tcW w:w="6769"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P</w:t>
            </w:r>
            <w:r w:rsidRPr="00392541">
              <w:rPr>
                <w:rFonts w:asciiTheme="minorHAnsi" w:hAnsiTheme="minorHAnsi"/>
                <w:szCs w:val="22"/>
              </w:rPr>
              <w:t>ooled naïve rat serum</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PP</w:t>
            </w:r>
          </w:p>
        </w:tc>
        <w:tc>
          <w:tcPr>
            <w:tcW w:w="6769" w:type="dxa"/>
          </w:tcPr>
          <w:p w:rsidR="006E3D5C" w:rsidRPr="006E3D5C" w:rsidRDefault="006E3D5C" w:rsidP="006E3D5C">
            <w:pPr>
              <w:rPr>
                <w:lang w:val="en-US"/>
              </w:rPr>
            </w:pPr>
            <w:r>
              <w:rPr>
                <w:lang w:val="en-US"/>
              </w:rPr>
              <w:t>Per-Protocol</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PRbS</w:t>
            </w:r>
            <w:proofErr w:type="spellEnd"/>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Pregnant rabbit serum</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PV</w:t>
            </w:r>
          </w:p>
        </w:tc>
        <w:tc>
          <w:tcPr>
            <w:tcW w:w="6769"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hAnsiTheme="minorHAnsi"/>
                <w:szCs w:val="22"/>
              </w:rPr>
              <w:t>Paravenous</w:t>
            </w:r>
            <w:proofErr w:type="spellEnd"/>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QC</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Quality control</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lastRenderedPageBreak/>
              <w:t>RBC</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Red blood cells (erythrocytes)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r-</w:t>
            </w:r>
            <w:proofErr w:type="spellStart"/>
            <w:r>
              <w:rPr>
                <w:rFonts w:asciiTheme="minorHAnsi" w:hAnsiTheme="minorHAnsi"/>
                <w:szCs w:val="22"/>
              </w:rPr>
              <w:t>metHuG</w:t>
            </w:r>
            <w:proofErr w:type="spellEnd"/>
            <w:r>
              <w:rPr>
                <w:rFonts w:asciiTheme="minorHAnsi" w:hAnsiTheme="minorHAnsi"/>
                <w:szCs w:val="22"/>
              </w:rPr>
              <w:t>-CSF</w:t>
            </w:r>
          </w:p>
        </w:tc>
        <w:tc>
          <w:tcPr>
            <w:tcW w:w="6769" w:type="dxa"/>
          </w:tcPr>
          <w:p w:rsidR="006E3D5C" w:rsidRPr="006E3D5C" w:rsidRDefault="006E3D5C" w:rsidP="006E3D5C">
            <w:pPr>
              <w:rPr>
                <w:lang w:val="en-US"/>
              </w:rPr>
            </w:pPr>
            <w:r>
              <w:rPr>
                <w:lang w:val="en-US"/>
              </w:rPr>
              <w:t>Recombinant N-</w:t>
            </w:r>
            <w:proofErr w:type="spellStart"/>
            <w:r>
              <w:rPr>
                <w:lang w:val="en-US"/>
              </w:rPr>
              <w:t>methionyl</w:t>
            </w:r>
            <w:proofErr w:type="spellEnd"/>
            <w:r>
              <w:rPr>
                <w:lang w:val="en-US"/>
              </w:rPr>
              <w:t xml:space="preserve"> granulocyte-colony stimulating factor</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SC</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Subcutaneous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SD</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Standard deviation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SDS</w:t>
            </w:r>
            <w:r w:rsidRPr="00392541">
              <w:rPr>
                <w:rFonts w:asciiTheme="minorHAnsi" w:hAnsiTheme="minorHAnsi"/>
                <w:szCs w:val="22"/>
              </w:rPr>
              <w:noBreakHyphen/>
              <w:t>PAGE</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EastAsia" w:hAnsiTheme="minorHAnsi"/>
                <w:szCs w:val="22"/>
              </w:rPr>
              <w:t xml:space="preserve">Sodium </w:t>
            </w:r>
            <w:proofErr w:type="spellStart"/>
            <w:r w:rsidRPr="00392541">
              <w:rPr>
                <w:rFonts w:asciiTheme="minorHAnsi" w:eastAsiaTheme="minorEastAsia" w:hAnsiTheme="minorHAnsi"/>
                <w:szCs w:val="22"/>
              </w:rPr>
              <w:t>dodecylsulfate</w:t>
            </w:r>
            <w:proofErr w:type="spellEnd"/>
            <w:r w:rsidRPr="00392541">
              <w:rPr>
                <w:rFonts w:asciiTheme="minorHAnsi" w:eastAsiaTheme="minorEastAsia" w:hAnsiTheme="minorHAnsi"/>
                <w:szCs w:val="22"/>
              </w:rPr>
              <w:t>-polyacrylamide gel electrophoresis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Pr>
                <w:rFonts w:asciiTheme="minorHAnsi" w:hAnsiTheme="minorHAnsi"/>
                <w:szCs w:val="22"/>
              </w:rPr>
              <w:t>SAE</w:t>
            </w:r>
          </w:p>
        </w:tc>
        <w:tc>
          <w:tcPr>
            <w:tcW w:w="6769" w:type="dxa"/>
          </w:tcPr>
          <w:p w:rsidR="006E3D5C" w:rsidRPr="006E3D5C" w:rsidRDefault="006E3D5C" w:rsidP="006E3D5C">
            <w:pPr>
              <w:rPr>
                <w:lang w:val="en-US"/>
              </w:rPr>
            </w:pPr>
            <w:r>
              <w:rPr>
                <w:lang w:val="en-US"/>
              </w:rPr>
              <w:t>Serious Adverse Event</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SPR</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 xml:space="preserve">Surface </w:t>
            </w:r>
            <w:proofErr w:type="spellStart"/>
            <w:r w:rsidRPr="00392541">
              <w:rPr>
                <w:rFonts w:asciiTheme="minorHAnsi" w:eastAsiaTheme="minorHAnsi" w:hAnsiTheme="minorHAnsi"/>
                <w:szCs w:val="22"/>
              </w:rPr>
              <w:t>plasmon</w:t>
            </w:r>
            <w:proofErr w:type="spellEnd"/>
            <w:r w:rsidRPr="00392541">
              <w:rPr>
                <w:rFonts w:asciiTheme="minorHAnsi" w:eastAsiaTheme="minorHAnsi" w:hAnsiTheme="minorHAnsi"/>
                <w:szCs w:val="22"/>
              </w:rPr>
              <w:t xml:space="preserve"> resonance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T</w:t>
            </w:r>
            <w:r w:rsidRPr="00392541">
              <w:rPr>
                <w:rFonts w:asciiTheme="minorHAnsi" w:eastAsiaTheme="minorHAnsi" w:hAnsiTheme="minorHAnsi"/>
                <w:szCs w:val="22"/>
                <w:vertAlign w:val="subscript"/>
              </w:rPr>
              <w:t>1/2</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Terminal half-life-ln(2)/</w:t>
            </w:r>
            <w:r w:rsidRPr="00392541">
              <w:rPr>
                <w:rFonts w:asciiTheme="minorHAnsi" w:eastAsiaTheme="minorHAnsi" w:hAnsiTheme="minorHAnsi"/>
                <w:szCs w:val="22"/>
              </w:rPr>
              <w:sym w:font="Symbol" w:char="F06C"/>
            </w:r>
            <w:r w:rsidRPr="00392541">
              <w:rPr>
                <w:rFonts w:asciiTheme="minorHAnsi" w:eastAsiaTheme="minorHAnsi" w:hAnsiTheme="minorHAnsi"/>
                <w:szCs w:val="22"/>
                <w:vertAlign w:val="subscript"/>
              </w:rPr>
              <w:t>z</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t</w:t>
            </w:r>
            <w:r w:rsidRPr="00392541">
              <w:rPr>
                <w:rFonts w:asciiTheme="minorHAnsi" w:eastAsiaTheme="minorHAnsi" w:hAnsiTheme="minorHAnsi"/>
                <w:szCs w:val="22"/>
                <w:vertAlign w:val="subscript"/>
              </w:rPr>
              <w:t>1/2elim</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Plasma elimination half-life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proofErr w:type="spellStart"/>
            <w:r w:rsidRPr="00392541">
              <w:rPr>
                <w:rFonts w:asciiTheme="minorHAnsi" w:eastAsiaTheme="minorHAnsi" w:hAnsiTheme="minorHAnsi"/>
                <w:szCs w:val="22"/>
              </w:rPr>
              <w:t>t</w:t>
            </w:r>
            <w:r w:rsidRPr="00392541">
              <w:rPr>
                <w:rFonts w:asciiTheme="minorHAnsi" w:eastAsiaTheme="minorHAnsi" w:hAnsiTheme="minorHAnsi"/>
                <w:szCs w:val="22"/>
                <w:vertAlign w:val="subscript"/>
              </w:rPr>
              <w:t>max</w:t>
            </w:r>
            <w:proofErr w:type="spellEnd"/>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 xml:space="preserve">Time of </w:t>
            </w:r>
            <w:proofErr w:type="spellStart"/>
            <w:r w:rsidRPr="00392541">
              <w:rPr>
                <w:rFonts w:asciiTheme="minorHAnsi" w:eastAsiaTheme="minorHAnsi" w:hAnsiTheme="minorHAnsi"/>
                <w:szCs w:val="22"/>
              </w:rPr>
              <w:t>C</w:t>
            </w:r>
            <w:r w:rsidRPr="00392541">
              <w:rPr>
                <w:rFonts w:asciiTheme="minorHAnsi" w:eastAsiaTheme="minorHAnsi" w:hAnsiTheme="minorHAnsi"/>
                <w:szCs w:val="22"/>
                <w:vertAlign w:val="subscript"/>
              </w:rPr>
              <w:t>max</w:t>
            </w:r>
            <w:proofErr w:type="spellEnd"/>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Pr>
                <w:rFonts w:asciiTheme="minorHAnsi" w:eastAsiaTheme="minorHAnsi" w:hAnsiTheme="minorHAnsi"/>
                <w:szCs w:val="22"/>
              </w:rPr>
              <w:t>TEAE</w:t>
            </w:r>
          </w:p>
        </w:tc>
        <w:tc>
          <w:tcPr>
            <w:tcW w:w="6769" w:type="dxa"/>
          </w:tcPr>
          <w:p w:rsidR="006E3D5C" w:rsidRPr="006E3D5C" w:rsidRDefault="006E3D5C" w:rsidP="006E3D5C">
            <w:pPr>
              <w:rPr>
                <w:lang w:val="en-US"/>
              </w:rPr>
            </w:pPr>
            <w:r>
              <w:rPr>
                <w:lang w:val="en-US"/>
              </w:rPr>
              <w:t>Treatment Emergent Adverse Event</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TPT</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Thromboplastin time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ULOQ</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Upper limit of quantification</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proofErr w:type="spellStart"/>
            <w:r w:rsidRPr="00392541">
              <w:rPr>
                <w:rFonts w:asciiTheme="minorHAnsi" w:eastAsiaTheme="minorHAnsi" w:hAnsiTheme="minorHAnsi"/>
                <w:szCs w:val="22"/>
              </w:rPr>
              <w:t>V</w:t>
            </w:r>
            <w:r w:rsidRPr="00392541">
              <w:rPr>
                <w:rFonts w:asciiTheme="minorHAnsi" w:eastAsiaTheme="minorHAnsi" w:hAnsiTheme="minorHAnsi"/>
                <w:szCs w:val="22"/>
                <w:vertAlign w:val="subscript"/>
              </w:rPr>
              <w:t>ss</w:t>
            </w:r>
            <w:proofErr w:type="spellEnd"/>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Volume of distribution at steady state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proofErr w:type="spellStart"/>
            <w:r w:rsidRPr="00392541">
              <w:rPr>
                <w:rFonts w:asciiTheme="minorHAnsi" w:eastAsiaTheme="minorHAnsi" w:hAnsiTheme="minorHAnsi"/>
                <w:szCs w:val="22"/>
              </w:rPr>
              <w:t>V</w:t>
            </w:r>
            <w:r w:rsidRPr="00392541">
              <w:rPr>
                <w:rFonts w:asciiTheme="minorHAnsi" w:eastAsiaTheme="minorHAnsi" w:hAnsiTheme="minorHAnsi"/>
                <w:szCs w:val="22"/>
                <w:vertAlign w:val="subscript"/>
              </w:rPr>
              <w:t>z</w:t>
            </w:r>
            <w:proofErr w:type="spellEnd"/>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Volume of distribution based on the terminal phase</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WBC</w:t>
            </w:r>
          </w:p>
        </w:tc>
        <w:tc>
          <w:tcPr>
            <w:tcW w:w="6769"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White blood cell (leucocytes)</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eastAsiaTheme="minorHAnsi" w:hAnsiTheme="minorHAnsi"/>
                <w:szCs w:val="22"/>
              </w:rPr>
            </w:pPr>
            <w:r w:rsidRPr="00392541">
              <w:rPr>
                <w:rFonts w:asciiTheme="minorHAnsi" w:eastAsiaTheme="minorHAnsi" w:hAnsiTheme="minorHAnsi"/>
                <w:szCs w:val="22"/>
              </w:rPr>
              <w:t>XM21</w:t>
            </w:r>
          </w:p>
        </w:tc>
        <w:tc>
          <w:tcPr>
            <w:tcW w:w="6769"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eastAsiaTheme="minorHAnsi" w:hAnsiTheme="minorHAnsi"/>
                <w:szCs w:val="22"/>
              </w:rPr>
              <w:t xml:space="preserve">Recombinant human G-CSF, equivalent to </w:t>
            </w:r>
            <w:proofErr w:type="spellStart"/>
            <w:r w:rsidRPr="00392541">
              <w:rPr>
                <w:rFonts w:asciiTheme="minorHAnsi" w:eastAsiaTheme="minorHAnsi" w:hAnsiTheme="minorHAnsi"/>
                <w:szCs w:val="22"/>
              </w:rPr>
              <w:t>Filgrastim</w:t>
            </w:r>
            <w:proofErr w:type="spellEnd"/>
            <w:r w:rsidRPr="00392541">
              <w:rPr>
                <w:rFonts w:asciiTheme="minorHAnsi" w:eastAsiaTheme="minorHAnsi" w:hAnsiTheme="minorHAnsi"/>
                <w:szCs w:val="22"/>
              </w:rPr>
              <w:t xml:space="preserve">, precursor of </w:t>
            </w:r>
            <w:proofErr w:type="spellStart"/>
            <w:r w:rsidRPr="00392541">
              <w:rPr>
                <w:rFonts w:asciiTheme="minorHAnsi" w:hAnsiTheme="minorHAnsi"/>
                <w:szCs w:val="22"/>
              </w:rPr>
              <w:t>lipegfilgrastim</w:t>
            </w:r>
            <w:proofErr w:type="spellEnd"/>
            <w:r w:rsidRPr="00392541">
              <w:rPr>
                <w:rFonts w:asciiTheme="minorHAnsi" w:hAnsiTheme="minorHAnsi"/>
                <w:szCs w:val="22"/>
              </w:rPr>
              <w:t xml:space="preserve"> </w:t>
            </w:r>
          </w:p>
        </w:tc>
      </w:tr>
      <w:tr w:rsidR="006E3D5C" w:rsidRPr="00FD119B" w:rsidTr="006E3D5C">
        <w:tc>
          <w:tcPr>
            <w:tcW w:w="1951" w:type="dxa"/>
          </w:tcPr>
          <w:p w:rsidR="006E3D5C" w:rsidRPr="00392541" w:rsidRDefault="006E3D5C" w:rsidP="00392541">
            <w:pPr>
              <w:pStyle w:val="Standard1"/>
              <w:spacing w:after="40" w:line="360" w:lineRule="auto"/>
              <w:rPr>
                <w:rFonts w:asciiTheme="minorHAnsi" w:hAnsiTheme="minorHAnsi"/>
                <w:szCs w:val="22"/>
              </w:rPr>
            </w:pPr>
            <w:r w:rsidRPr="00392541">
              <w:rPr>
                <w:rFonts w:asciiTheme="minorHAnsi" w:hAnsiTheme="minorHAnsi"/>
                <w:szCs w:val="22"/>
              </w:rPr>
              <w:t>XM22</w:t>
            </w:r>
          </w:p>
        </w:tc>
        <w:tc>
          <w:tcPr>
            <w:tcW w:w="6769" w:type="dxa"/>
          </w:tcPr>
          <w:p w:rsidR="006E3D5C" w:rsidRPr="00392541" w:rsidRDefault="006E3D5C" w:rsidP="00392541">
            <w:pPr>
              <w:pStyle w:val="Standard1"/>
              <w:spacing w:after="40" w:line="360" w:lineRule="auto"/>
              <w:rPr>
                <w:rFonts w:asciiTheme="minorHAnsi" w:hAnsiTheme="minorHAnsi"/>
                <w:szCs w:val="22"/>
              </w:rPr>
            </w:pPr>
            <w:proofErr w:type="spellStart"/>
            <w:r w:rsidRPr="00392541">
              <w:rPr>
                <w:rFonts w:asciiTheme="minorHAnsi" w:eastAsiaTheme="minorHAnsi" w:hAnsiTheme="minorHAnsi"/>
                <w:szCs w:val="22"/>
              </w:rPr>
              <w:t>Glyco-pegylated</w:t>
            </w:r>
            <w:proofErr w:type="spellEnd"/>
            <w:r w:rsidRPr="00392541">
              <w:rPr>
                <w:rFonts w:asciiTheme="minorHAnsi" w:eastAsiaTheme="minorHAnsi" w:hAnsiTheme="minorHAnsi"/>
                <w:szCs w:val="22"/>
              </w:rPr>
              <w:t xml:space="preserve"> recombinant human G-CSF, glycoPEG-XM21; </w:t>
            </w:r>
            <w:proofErr w:type="spellStart"/>
            <w:r w:rsidRPr="00392541">
              <w:rPr>
                <w:rFonts w:asciiTheme="minorHAnsi" w:eastAsiaTheme="minorHAnsi" w:hAnsiTheme="minorHAnsi"/>
                <w:szCs w:val="22"/>
              </w:rPr>
              <w:t>L</w:t>
            </w:r>
            <w:r w:rsidRPr="00392541">
              <w:rPr>
                <w:rFonts w:asciiTheme="minorHAnsi" w:hAnsiTheme="minorHAnsi"/>
                <w:szCs w:val="22"/>
              </w:rPr>
              <w:t>ipegfilgrastim</w:t>
            </w:r>
            <w:proofErr w:type="spellEnd"/>
            <w:r w:rsidRPr="00392541">
              <w:rPr>
                <w:rFonts w:asciiTheme="minorHAnsi" w:hAnsiTheme="minorHAnsi"/>
                <w:szCs w:val="22"/>
              </w:rPr>
              <w:t xml:space="preserve"> </w:t>
            </w:r>
          </w:p>
        </w:tc>
      </w:tr>
    </w:tbl>
    <w:p w:rsidR="007C69F4" w:rsidRDefault="007C69F4" w:rsidP="007C69F4">
      <w:pPr>
        <w:pStyle w:val="Heading0inTOC"/>
      </w:pPr>
    </w:p>
    <w:p w:rsidR="006E3D5C" w:rsidRDefault="006E3D5C">
      <w:pPr>
        <w:spacing w:before="0" w:after="200" w:line="0" w:lineRule="auto"/>
        <w:rPr>
          <w:rFonts w:ascii="Arial" w:eastAsia="Times New Roman" w:hAnsi="Arial"/>
          <w:b/>
          <w:bCs/>
          <w:sz w:val="32"/>
          <w:szCs w:val="26"/>
        </w:rPr>
      </w:pPr>
      <w:r>
        <w:br w:type="page"/>
      </w:r>
    </w:p>
    <w:p w:rsidR="008E7846" w:rsidRDefault="00F53C07" w:rsidP="008E7846">
      <w:pPr>
        <w:pStyle w:val="Heading2"/>
      </w:pPr>
      <w:bookmarkStart w:id="9" w:name="_Toc445210943"/>
      <w:r>
        <w:lastRenderedPageBreak/>
        <w:t>I.</w:t>
      </w:r>
      <w:r w:rsidR="008E7846">
        <w:t xml:space="preserve"> Introduction to product submission</w:t>
      </w:r>
      <w:bookmarkEnd w:id="3"/>
      <w:bookmarkEnd w:id="0"/>
      <w:bookmarkEnd w:id="9"/>
    </w:p>
    <w:p w:rsidR="008E7846" w:rsidRDefault="008E7846" w:rsidP="008E7846">
      <w:pPr>
        <w:pStyle w:val="Heading3"/>
        <w:rPr>
          <w:lang w:eastAsia="en-AU"/>
        </w:rPr>
      </w:pPr>
      <w:bookmarkStart w:id="10" w:name="_Toc247691502"/>
      <w:bookmarkStart w:id="11" w:name="_Toc314842483"/>
      <w:bookmarkStart w:id="12" w:name="_Toc445210944"/>
      <w:r>
        <w:rPr>
          <w:lang w:eastAsia="en-AU"/>
        </w:rPr>
        <w:t>Submission details</w:t>
      </w:r>
      <w:bookmarkEnd w:id="10"/>
      <w:bookmarkEnd w:id="11"/>
      <w:bookmarkEnd w:id="12"/>
    </w:p>
    <w:tbl>
      <w:tblPr>
        <w:tblW w:w="9497" w:type="dxa"/>
        <w:tblInd w:w="108" w:type="dxa"/>
        <w:tblLook w:val="01E0" w:firstRow="1" w:lastRow="1" w:firstColumn="1" w:lastColumn="1" w:noHBand="0" w:noVBand="0"/>
      </w:tblPr>
      <w:tblGrid>
        <w:gridCol w:w="2907"/>
        <w:gridCol w:w="6590"/>
      </w:tblGrid>
      <w:tr w:rsidR="008E7846" w:rsidRPr="003D1E62" w:rsidTr="0089635C">
        <w:trPr>
          <w:trHeight w:hRule="exact" w:val="454"/>
        </w:trPr>
        <w:tc>
          <w:tcPr>
            <w:tcW w:w="2907" w:type="dxa"/>
          </w:tcPr>
          <w:p w:rsidR="008E7846" w:rsidRPr="003D1E62" w:rsidRDefault="001B5C90" w:rsidP="001B5C90">
            <w:pPr>
              <w:rPr>
                <w:i/>
              </w:rPr>
            </w:pPr>
            <w:r>
              <w:rPr>
                <w:i/>
              </w:rPr>
              <w:t>Type of s</w:t>
            </w:r>
            <w:r w:rsidR="008E7846" w:rsidRPr="003D1E62">
              <w:rPr>
                <w:i/>
              </w:rPr>
              <w:t>ubmission</w:t>
            </w:r>
            <w:r>
              <w:rPr>
                <w:i/>
              </w:rPr>
              <w:t>:</w:t>
            </w:r>
          </w:p>
        </w:tc>
        <w:tc>
          <w:tcPr>
            <w:tcW w:w="6590" w:type="dxa"/>
          </w:tcPr>
          <w:p w:rsidR="008E7846" w:rsidRPr="003D1E62" w:rsidRDefault="008E7846" w:rsidP="00D10D71">
            <w:r w:rsidRPr="003D1E62">
              <w:t xml:space="preserve">New </w:t>
            </w:r>
            <w:r w:rsidR="001B5C90">
              <w:t>c</w:t>
            </w:r>
            <w:r w:rsidRPr="003D1E62">
              <w:t xml:space="preserve">hemical </w:t>
            </w:r>
            <w:r w:rsidR="001B5C90">
              <w:t>e</w:t>
            </w:r>
            <w:r w:rsidRPr="003D1E62">
              <w:t xml:space="preserve">ntity </w:t>
            </w:r>
          </w:p>
        </w:tc>
      </w:tr>
      <w:tr w:rsidR="008E7846" w:rsidRPr="003D1E62" w:rsidTr="0089635C">
        <w:trPr>
          <w:trHeight w:hRule="exact" w:val="454"/>
        </w:trPr>
        <w:tc>
          <w:tcPr>
            <w:tcW w:w="2907" w:type="dxa"/>
          </w:tcPr>
          <w:p w:rsidR="008E7846" w:rsidRPr="003D1E62" w:rsidRDefault="008E7846" w:rsidP="003D1E62">
            <w:r w:rsidRPr="003D1E62">
              <w:rPr>
                <w:i/>
              </w:rPr>
              <w:t>Decision</w:t>
            </w:r>
            <w:r w:rsidRPr="003D1E62">
              <w:t>:</w:t>
            </w:r>
          </w:p>
        </w:tc>
        <w:tc>
          <w:tcPr>
            <w:tcW w:w="6590" w:type="dxa"/>
          </w:tcPr>
          <w:p w:rsidR="008E7846" w:rsidRPr="003D1E62" w:rsidRDefault="008E7846" w:rsidP="009647F9">
            <w:r w:rsidRPr="003D1E62">
              <w:t xml:space="preserve">Approved </w:t>
            </w:r>
          </w:p>
        </w:tc>
      </w:tr>
      <w:tr w:rsidR="008E7846" w:rsidRPr="003D1E62" w:rsidTr="0089635C">
        <w:trPr>
          <w:trHeight w:hRule="exact" w:val="454"/>
        </w:trPr>
        <w:tc>
          <w:tcPr>
            <w:tcW w:w="2907" w:type="dxa"/>
          </w:tcPr>
          <w:p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tcPr>
          <w:p w:rsidR="008E7846" w:rsidRPr="003D1E62" w:rsidRDefault="009647F9" w:rsidP="001B5C90">
            <w:r>
              <w:t>29 October 2015</w:t>
            </w:r>
          </w:p>
        </w:tc>
      </w:tr>
      <w:tr w:rsidR="00ED2922" w:rsidRPr="003D1E62" w:rsidTr="0089635C">
        <w:trPr>
          <w:trHeight w:hRule="exact" w:val="454"/>
        </w:trPr>
        <w:tc>
          <w:tcPr>
            <w:tcW w:w="2907" w:type="dxa"/>
          </w:tcPr>
          <w:p w:rsidR="00ED2922" w:rsidRPr="00441C3F" w:rsidRDefault="00ED2922" w:rsidP="001B5C90">
            <w:pPr>
              <w:rPr>
                <w:i/>
              </w:rPr>
            </w:pPr>
            <w:r w:rsidRPr="00441C3F">
              <w:rPr>
                <w:i/>
              </w:rPr>
              <w:t>Date of entry onto ARTG</w:t>
            </w:r>
          </w:p>
        </w:tc>
        <w:tc>
          <w:tcPr>
            <w:tcW w:w="6590" w:type="dxa"/>
          </w:tcPr>
          <w:p w:rsidR="00ED2922" w:rsidRPr="00441C3F" w:rsidRDefault="009647F9" w:rsidP="00EC463D">
            <w:pPr>
              <w:rPr>
                <w:i/>
              </w:rPr>
            </w:pPr>
            <w:r>
              <w:t>12 November 2015</w:t>
            </w:r>
          </w:p>
        </w:tc>
      </w:tr>
    </w:tbl>
    <w:p w:rsidR="008E7846" w:rsidRDefault="008E7846" w:rsidP="008E7846"/>
    <w:tbl>
      <w:tblPr>
        <w:tblW w:w="9214" w:type="dxa"/>
        <w:tblInd w:w="108" w:type="dxa"/>
        <w:tblLook w:val="01E0" w:firstRow="1" w:lastRow="1" w:firstColumn="1" w:lastColumn="1" w:noHBand="0" w:noVBand="0"/>
      </w:tblPr>
      <w:tblGrid>
        <w:gridCol w:w="2907"/>
        <w:gridCol w:w="6307"/>
      </w:tblGrid>
      <w:tr w:rsidR="008E7846" w:rsidRPr="00487162" w:rsidTr="00BF1190">
        <w:tc>
          <w:tcPr>
            <w:tcW w:w="2907" w:type="dxa"/>
          </w:tcPr>
          <w:p w:rsidR="008E7846" w:rsidRPr="00487162" w:rsidRDefault="001B5C90" w:rsidP="00E45619">
            <w:pPr>
              <w:rPr>
                <w:i/>
              </w:rPr>
            </w:pPr>
            <w:r>
              <w:rPr>
                <w:i/>
              </w:rPr>
              <w:t>Active ingredient(s):</w:t>
            </w:r>
          </w:p>
        </w:tc>
        <w:tc>
          <w:tcPr>
            <w:tcW w:w="6307" w:type="dxa"/>
          </w:tcPr>
          <w:p w:rsidR="008E7846" w:rsidRPr="00487162" w:rsidRDefault="00D10D71" w:rsidP="00E45619">
            <w:proofErr w:type="spellStart"/>
            <w:r>
              <w:rPr>
                <w:rFonts w:asciiTheme="minorHAnsi" w:hAnsiTheme="minorHAnsi"/>
              </w:rPr>
              <w:t>L</w:t>
            </w:r>
            <w:r w:rsidR="00660BC2">
              <w:rPr>
                <w:rFonts w:asciiTheme="minorHAnsi" w:hAnsiTheme="minorHAnsi"/>
              </w:rPr>
              <w:t>ipegfilgrastim</w:t>
            </w:r>
            <w:proofErr w:type="spellEnd"/>
            <w:r w:rsidR="00660BC2">
              <w:rPr>
                <w:rFonts w:asciiTheme="minorHAnsi" w:hAnsiTheme="minorHAnsi"/>
              </w:rPr>
              <w:t xml:space="preserve"> (</w:t>
            </w:r>
            <w:proofErr w:type="spellStart"/>
            <w:r w:rsidR="00660BC2">
              <w:rPr>
                <w:rFonts w:asciiTheme="minorHAnsi" w:hAnsiTheme="minorHAnsi"/>
              </w:rPr>
              <w:t>rbe</w:t>
            </w:r>
            <w:proofErr w:type="spellEnd"/>
            <w:r w:rsidR="00660BC2">
              <w:rPr>
                <w:rFonts w:asciiTheme="minorHAnsi" w:hAnsiTheme="minorHAnsi"/>
              </w:rPr>
              <w:t>)</w:t>
            </w:r>
          </w:p>
        </w:tc>
      </w:tr>
      <w:tr w:rsidR="008E7846" w:rsidRPr="00487162" w:rsidTr="00BF1190">
        <w:tc>
          <w:tcPr>
            <w:tcW w:w="2907" w:type="dxa"/>
          </w:tcPr>
          <w:p w:rsidR="008E7846" w:rsidRPr="00487162" w:rsidRDefault="008E7846" w:rsidP="001B5C90">
            <w:pPr>
              <w:rPr>
                <w:i/>
              </w:rPr>
            </w:pPr>
            <w:r w:rsidRPr="00487162">
              <w:rPr>
                <w:i/>
              </w:rPr>
              <w:t>Product</w:t>
            </w:r>
            <w:r w:rsidR="001B5C90">
              <w:rPr>
                <w:i/>
              </w:rPr>
              <w:t xml:space="preserve"> name(s):</w:t>
            </w:r>
          </w:p>
        </w:tc>
        <w:tc>
          <w:tcPr>
            <w:tcW w:w="6307" w:type="dxa"/>
          </w:tcPr>
          <w:p w:rsidR="008E7846" w:rsidRPr="00D10D71" w:rsidRDefault="00D10D71" w:rsidP="00B77E77">
            <w:proofErr w:type="spellStart"/>
            <w:r w:rsidRPr="00D10D71">
              <w:t>Lonqu</w:t>
            </w:r>
            <w:r w:rsidR="00B77E77">
              <w:t>e</w:t>
            </w:r>
            <w:r w:rsidRPr="00D10D71">
              <w:t>x</w:t>
            </w:r>
            <w:proofErr w:type="spellEnd"/>
          </w:p>
        </w:tc>
      </w:tr>
      <w:tr w:rsidR="008E7846" w:rsidRPr="00487162" w:rsidTr="00BF1190">
        <w:tc>
          <w:tcPr>
            <w:tcW w:w="2907" w:type="dxa"/>
          </w:tcPr>
          <w:p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rsidR="00D10D71" w:rsidRDefault="00660BC2" w:rsidP="00660BC2">
            <w:proofErr w:type="spellStart"/>
            <w:r w:rsidRPr="00660BC2">
              <w:t>Teva</w:t>
            </w:r>
            <w:proofErr w:type="spellEnd"/>
            <w:r w:rsidRPr="00660BC2">
              <w:t xml:space="preserve"> Pharma Australia Pty Ltd, 7 </w:t>
            </w:r>
            <w:proofErr w:type="spellStart"/>
            <w:r w:rsidRPr="00660BC2">
              <w:t>Clunies</w:t>
            </w:r>
            <w:proofErr w:type="spellEnd"/>
            <w:r w:rsidRPr="00660BC2">
              <w:t xml:space="preserve">-Ross Ct, </w:t>
            </w:r>
          </w:p>
          <w:p w:rsidR="008E7846" w:rsidRPr="00487162" w:rsidRDefault="00660BC2" w:rsidP="008C5E81">
            <w:r w:rsidRPr="00660BC2">
              <w:t>Eight Mile Plains, Queensland 4113</w:t>
            </w:r>
          </w:p>
        </w:tc>
      </w:tr>
      <w:tr w:rsidR="008E7846" w:rsidRPr="00487162" w:rsidTr="00BF1190">
        <w:tc>
          <w:tcPr>
            <w:tcW w:w="2907" w:type="dxa"/>
          </w:tcPr>
          <w:p w:rsidR="008E7846" w:rsidRPr="00487162" w:rsidRDefault="001B5C90" w:rsidP="00E45619">
            <w:pPr>
              <w:rPr>
                <w:i/>
              </w:rPr>
            </w:pPr>
            <w:r>
              <w:rPr>
                <w:i/>
              </w:rPr>
              <w:t>Dose form(s):</w:t>
            </w:r>
          </w:p>
        </w:tc>
        <w:tc>
          <w:tcPr>
            <w:tcW w:w="6307" w:type="dxa"/>
          </w:tcPr>
          <w:p w:rsidR="008E7846" w:rsidRPr="00487162" w:rsidRDefault="00D10D71" w:rsidP="00660BC2">
            <w:r>
              <w:rPr>
                <w:rFonts w:asciiTheme="minorHAnsi" w:hAnsiTheme="minorHAnsi"/>
              </w:rPr>
              <w:t>S</w:t>
            </w:r>
            <w:r w:rsidR="00660BC2">
              <w:rPr>
                <w:rFonts w:asciiTheme="minorHAnsi" w:hAnsiTheme="minorHAnsi"/>
              </w:rPr>
              <w:t xml:space="preserve">olution for injection, </w:t>
            </w:r>
          </w:p>
        </w:tc>
      </w:tr>
      <w:tr w:rsidR="008E7846" w:rsidRPr="00487162" w:rsidTr="00BF1190">
        <w:tc>
          <w:tcPr>
            <w:tcW w:w="2907" w:type="dxa"/>
          </w:tcPr>
          <w:p w:rsidR="008E7846" w:rsidRPr="00487162" w:rsidRDefault="008E7846" w:rsidP="00E45619">
            <w:pPr>
              <w:rPr>
                <w:i/>
              </w:rPr>
            </w:pPr>
            <w:r w:rsidRPr="00487162">
              <w:rPr>
                <w:i/>
              </w:rPr>
              <w:t xml:space="preserve">Strength(s): </w:t>
            </w:r>
          </w:p>
        </w:tc>
        <w:tc>
          <w:tcPr>
            <w:tcW w:w="6307" w:type="dxa"/>
          </w:tcPr>
          <w:p w:rsidR="008E7846" w:rsidRPr="00487162" w:rsidRDefault="00660BC2" w:rsidP="00660BC2">
            <w:r>
              <w:rPr>
                <w:rFonts w:asciiTheme="minorHAnsi" w:hAnsiTheme="minorHAnsi"/>
              </w:rPr>
              <w:t>6 mg/0.6 mL</w:t>
            </w:r>
            <w:r w:rsidRPr="00487162">
              <w:t xml:space="preserve"> </w:t>
            </w:r>
          </w:p>
        </w:tc>
      </w:tr>
      <w:tr w:rsidR="008E7846" w:rsidRPr="00487162" w:rsidTr="00392541">
        <w:trPr>
          <w:trHeight w:val="621"/>
        </w:trPr>
        <w:tc>
          <w:tcPr>
            <w:tcW w:w="2907" w:type="dxa"/>
          </w:tcPr>
          <w:p w:rsidR="008E7846" w:rsidRPr="00487162" w:rsidRDefault="008E7846" w:rsidP="00E45619">
            <w:pPr>
              <w:rPr>
                <w:i/>
              </w:rPr>
            </w:pPr>
            <w:r w:rsidRPr="00487162">
              <w:rPr>
                <w:i/>
              </w:rPr>
              <w:t>Container(s):</w:t>
            </w:r>
          </w:p>
        </w:tc>
        <w:tc>
          <w:tcPr>
            <w:tcW w:w="6307" w:type="dxa"/>
          </w:tcPr>
          <w:p w:rsidR="008E7846" w:rsidRPr="00487162" w:rsidRDefault="00D10D71" w:rsidP="00660BC2">
            <w:r>
              <w:rPr>
                <w:rFonts w:asciiTheme="minorHAnsi" w:hAnsiTheme="minorHAnsi"/>
              </w:rPr>
              <w:t>P</w:t>
            </w:r>
            <w:r w:rsidR="00660BC2">
              <w:rPr>
                <w:rFonts w:asciiTheme="minorHAnsi" w:hAnsiTheme="minorHAnsi"/>
              </w:rPr>
              <w:t>refilled syringe</w:t>
            </w:r>
            <w:r w:rsidR="00660BC2" w:rsidRPr="00487162">
              <w:t xml:space="preserve"> </w:t>
            </w:r>
          </w:p>
        </w:tc>
      </w:tr>
      <w:tr w:rsidR="008E7846" w:rsidRPr="00487162" w:rsidTr="00BF1190">
        <w:tc>
          <w:tcPr>
            <w:tcW w:w="2907" w:type="dxa"/>
          </w:tcPr>
          <w:p w:rsidR="008E7846" w:rsidRPr="00487162" w:rsidRDefault="008E7846" w:rsidP="00E45619">
            <w:pPr>
              <w:rPr>
                <w:i/>
              </w:rPr>
            </w:pPr>
            <w:r w:rsidRPr="00487162">
              <w:rPr>
                <w:i/>
              </w:rPr>
              <w:t>Pack size(s):</w:t>
            </w:r>
          </w:p>
        </w:tc>
        <w:tc>
          <w:tcPr>
            <w:tcW w:w="6307" w:type="dxa"/>
          </w:tcPr>
          <w:p w:rsidR="008E7846" w:rsidRPr="00392541" w:rsidRDefault="00191BC5" w:rsidP="00392541">
            <w:r w:rsidRPr="00392541">
              <w:t>On</w:t>
            </w:r>
            <w:r w:rsidR="00CE1F05" w:rsidRPr="00392541">
              <w:t xml:space="preserve"> pre-filled syringe with or without safety device (which prevents needle stick</w:t>
            </w:r>
            <w:r w:rsidRPr="00392541">
              <w:t xml:space="preserve"> injury and re-use). For syringes without safety device, a plunger rod (polypropylene) is attached. Each syringe is supplied in its own blister and carton</w:t>
            </w:r>
            <w:r w:rsidR="00392541" w:rsidRPr="00392541">
              <w:t>.</w:t>
            </w:r>
          </w:p>
        </w:tc>
      </w:tr>
      <w:tr w:rsidR="008E7846" w:rsidRPr="00487162" w:rsidTr="00BF1190">
        <w:tc>
          <w:tcPr>
            <w:tcW w:w="2907" w:type="dxa"/>
          </w:tcPr>
          <w:p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rsidR="008E7846" w:rsidRPr="00CE1F05" w:rsidRDefault="00CE1F05" w:rsidP="00CE1F05">
            <w:pPr>
              <w:rPr>
                <w:rFonts w:eastAsiaTheme="minorHAnsi"/>
                <w:i/>
              </w:rPr>
            </w:pPr>
            <w:r>
              <w:rPr>
                <w:i/>
              </w:rPr>
              <w:t>F</w:t>
            </w:r>
            <w:r w:rsidR="009647F9" w:rsidRPr="00CE1F05">
              <w:rPr>
                <w:i/>
              </w:rPr>
              <w:t xml:space="preserve">or reduction in the duration of neutropenia and the incidence of febrile neutropenia in adult patients treated with cytotoxic chemotherapy for malignancy (with the exception of chronic myeloid leukaemia and myelodysplastic syndromes). </w:t>
            </w:r>
          </w:p>
        </w:tc>
      </w:tr>
      <w:tr w:rsidR="008E7846" w:rsidRPr="00487162" w:rsidTr="00BF1190">
        <w:tc>
          <w:tcPr>
            <w:tcW w:w="2907" w:type="dxa"/>
          </w:tcPr>
          <w:p w:rsidR="008E7846" w:rsidRPr="00487162" w:rsidRDefault="008E7846" w:rsidP="00E45619">
            <w:pPr>
              <w:rPr>
                <w:i/>
              </w:rPr>
            </w:pPr>
            <w:r w:rsidRPr="00487162">
              <w:rPr>
                <w:i/>
              </w:rPr>
              <w:t>Route(s) of administration:</w:t>
            </w:r>
          </w:p>
        </w:tc>
        <w:tc>
          <w:tcPr>
            <w:tcW w:w="6307" w:type="dxa"/>
          </w:tcPr>
          <w:p w:rsidR="008E7846" w:rsidRPr="00487162" w:rsidRDefault="00CE1F05" w:rsidP="00E45619">
            <w:r>
              <w:rPr>
                <w:rFonts w:asciiTheme="minorHAnsi" w:hAnsiTheme="minorHAnsi" w:cs="Arial"/>
                <w:szCs w:val="24"/>
              </w:rPr>
              <w:t>Subcutaneous (SC) injection</w:t>
            </w:r>
          </w:p>
        </w:tc>
      </w:tr>
      <w:tr w:rsidR="008E7846" w:rsidRPr="00487162" w:rsidTr="00BF1190">
        <w:tc>
          <w:tcPr>
            <w:tcW w:w="2907" w:type="dxa"/>
          </w:tcPr>
          <w:p w:rsidR="008E7846" w:rsidRPr="00487162" w:rsidRDefault="008E7846" w:rsidP="00E45619">
            <w:pPr>
              <w:rPr>
                <w:i/>
              </w:rPr>
            </w:pPr>
            <w:r w:rsidRPr="00487162">
              <w:rPr>
                <w:i/>
              </w:rPr>
              <w:t>Dosage:</w:t>
            </w:r>
          </w:p>
        </w:tc>
        <w:tc>
          <w:tcPr>
            <w:tcW w:w="6307" w:type="dxa"/>
          </w:tcPr>
          <w:p w:rsidR="008E7846" w:rsidRPr="00191BC5" w:rsidRDefault="00191BC5" w:rsidP="00392541">
            <w:r w:rsidRPr="00191BC5">
              <w:t xml:space="preserve">One 6 mg dose of </w:t>
            </w:r>
            <w:proofErr w:type="spellStart"/>
            <w:r w:rsidRPr="00191BC5">
              <w:t>Lonquex</w:t>
            </w:r>
            <w:proofErr w:type="spellEnd"/>
            <w:r w:rsidRPr="00191BC5">
              <w:t xml:space="preserve"> (a single pre-filled syringe of </w:t>
            </w:r>
            <w:proofErr w:type="spellStart"/>
            <w:r w:rsidRPr="00191BC5">
              <w:t>Lonquex</w:t>
            </w:r>
            <w:proofErr w:type="spellEnd"/>
            <w:r w:rsidRPr="00191BC5">
              <w:t xml:space="preserve">) is recommended for each chemotherapy cycle, given approximately 24 hours after cytotoxic chemotherapy. The maximum amount of </w:t>
            </w:r>
            <w:proofErr w:type="spellStart"/>
            <w:r w:rsidRPr="00191BC5">
              <w:t>Lonquex</w:t>
            </w:r>
            <w:proofErr w:type="spellEnd"/>
            <w:r w:rsidRPr="00191BC5">
              <w:t xml:space="preserve"> that can be safely administered as a single dose has not been determined.</w:t>
            </w:r>
          </w:p>
        </w:tc>
      </w:tr>
      <w:tr w:rsidR="008E7846" w:rsidRPr="00487162" w:rsidTr="00BF1190">
        <w:tc>
          <w:tcPr>
            <w:tcW w:w="2907" w:type="dxa"/>
          </w:tcPr>
          <w:p w:rsidR="008E7846" w:rsidRPr="00487162" w:rsidRDefault="008E7846" w:rsidP="001B5C90">
            <w:pPr>
              <w:rPr>
                <w:i/>
              </w:rPr>
            </w:pPr>
            <w:r w:rsidRPr="00487162">
              <w:rPr>
                <w:i/>
              </w:rPr>
              <w:t xml:space="preserve">ARTG </w:t>
            </w:r>
            <w:r w:rsidR="001B5C90">
              <w:rPr>
                <w:i/>
              </w:rPr>
              <w:t>n</w:t>
            </w:r>
            <w:r w:rsidRPr="00487162">
              <w:rPr>
                <w:i/>
              </w:rPr>
              <w:t>umber (s)</w:t>
            </w:r>
            <w:r w:rsidR="001B5C90">
              <w:rPr>
                <w:i/>
              </w:rPr>
              <w:t>:</w:t>
            </w:r>
          </w:p>
        </w:tc>
        <w:tc>
          <w:tcPr>
            <w:tcW w:w="6307" w:type="dxa"/>
          </w:tcPr>
          <w:p w:rsidR="008E7846" w:rsidRPr="00487162" w:rsidRDefault="00CE1F05" w:rsidP="00D223A0">
            <w:r>
              <w:t>231016</w:t>
            </w:r>
          </w:p>
        </w:tc>
      </w:tr>
    </w:tbl>
    <w:p w:rsidR="008E7846" w:rsidRDefault="008E7846" w:rsidP="008E7846">
      <w:pPr>
        <w:pStyle w:val="Heading3"/>
      </w:pPr>
      <w:bookmarkStart w:id="13" w:name="_Toc247691503"/>
      <w:bookmarkStart w:id="14" w:name="_Toc314842484"/>
      <w:bookmarkStart w:id="15" w:name="_Toc445210945"/>
      <w:r>
        <w:t>Product background</w:t>
      </w:r>
      <w:bookmarkEnd w:id="13"/>
      <w:bookmarkEnd w:id="14"/>
      <w:bookmarkEnd w:id="15"/>
    </w:p>
    <w:p w:rsidR="00B56A57" w:rsidRDefault="00D223A0" w:rsidP="00D223A0">
      <w:r w:rsidRPr="00D223A0">
        <w:t xml:space="preserve">This </w:t>
      </w:r>
      <w:proofErr w:type="spellStart"/>
      <w:r w:rsidRPr="00D223A0">
        <w:t>AusPAR</w:t>
      </w:r>
      <w:proofErr w:type="spellEnd"/>
      <w:r w:rsidRPr="00D223A0">
        <w:t xml:space="preserve"> describes the application by the sponsor, </w:t>
      </w:r>
      <w:proofErr w:type="spellStart"/>
      <w:r w:rsidR="00191BC5" w:rsidRPr="00D223A0">
        <w:t>Teva</w:t>
      </w:r>
      <w:proofErr w:type="spellEnd"/>
      <w:r w:rsidR="00191BC5" w:rsidRPr="00D223A0">
        <w:t xml:space="preserve"> Pharma Australia Pty Ltd</w:t>
      </w:r>
      <w:r w:rsidRPr="00D223A0">
        <w:t>,</w:t>
      </w:r>
      <w:r w:rsidR="00191BC5" w:rsidRPr="00D223A0">
        <w:t xml:space="preserve"> to register a new chemical entity, </w:t>
      </w:r>
      <w:proofErr w:type="spellStart"/>
      <w:r w:rsidR="00191BC5" w:rsidRPr="00D223A0">
        <w:t>lipegfilgrastim</w:t>
      </w:r>
      <w:proofErr w:type="spellEnd"/>
      <w:r w:rsidR="00191BC5" w:rsidRPr="00D223A0">
        <w:t xml:space="preserve"> (</w:t>
      </w:r>
      <w:proofErr w:type="spellStart"/>
      <w:r w:rsidR="00191BC5" w:rsidRPr="00D223A0">
        <w:t>Lonquex</w:t>
      </w:r>
      <w:proofErr w:type="spellEnd"/>
      <w:r w:rsidR="00191BC5" w:rsidRPr="00D223A0">
        <w:t>®)</w:t>
      </w:r>
      <w:r w:rsidR="00B56A57">
        <w:t>.</w:t>
      </w:r>
    </w:p>
    <w:p w:rsidR="00D223A0" w:rsidRPr="00D223A0" w:rsidRDefault="00D223A0" w:rsidP="00D223A0">
      <w:proofErr w:type="spellStart"/>
      <w:r w:rsidRPr="00D223A0">
        <w:lastRenderedPageBreak/>
        <w:t>Lipegfilgrastim</w:t>
      </w:r>
      <w:proofErr w:type="spellEnd"/>
      <w:r w:rsidRPr="00D223A0">
        <w:t xml:space="preserve"> is a covalent conjugate of recombinant N-</w:t>
      </w:r>
      <w:proofErr w:type="spellStart"/>
      <w:r w:rsidRPr="00D223A0">
        <w:t>methionyl</w:t>
      </w:r>
      <w:proofErr w:type="spellEnd"/>
      <w:r w:rsidRPr="00D223A0">
        <w:t xml:space="preserve"> human granulocyte-colony stimulating factor (G-CSF) and a single polyethylene glycol (PEG) moiety</w:t>
      </w:r>
      <w:r>
        <w:t xml:space="preserve"> and </w:t>
      </w:r>
      <w:r w:rsidRPr="00D223A0">
        <w:t xml:space="preserve">belongs to the </w:t>
      </w:r>
      <w:proofErr w:type="spellStart"/>
      <w:r w:rsidRPr="00D223A0">
        <w:t>pharmacotherapeutic</w:t>
      </w:r>
      <w:proofErr w:type="spellEnd"/>
      <w:r w:rsidRPr="00D223A0">
        <w:t xml:space="preserve"> group </w:t>
      </w:r>
      <w:proofErr w:type="spellStart"/>
      <w:r w:rsidRPr="00D223A0">
        <w:t>Immunostimulants</w:t>
      </w:r>
      <w:proofErr w:type="spellEnd"/>
      <w:r w:rsidRPr="00D223A0">
        <w:t>, colony stimulating factors.</w:t>
      </w:r>
    </w:p>
    <w:p w:rsidR="00B56A57" w:rsidRDefault="00D223A0" w:rsidP="00D223A0">
      <w:r w:rsidRPr="00D223A0">
        <w:t>Human G-CSF is a glycoprotein that regulates the production and release of functional neutrophils from the bone marrow. Stimulating the G-CSF receptor can raise neutrophil count in some conditions and has been used in cancer to reduce neutropenia, a risk factor for infection and for increasing delay in the next chemotherapy cycle</w:t>
      </w:r>
      <w:r w:rsidR="00B56A57">
        <w:t>.</w:t>
      </w:r>
    </w:p>
    <w:p w:rsidR="00D223A0" w:rsidRDefault="00D223A0" w:rsidP="00D223A0">
      <w:r>
        <w:t xml:space="preserve">The sponsor has proposed the following indications for </w:t>
      </w:r>
      <w:proofErr w:type="spellStart"/>
      <w:r>
        <w:t>Lonquex</w:t>
      </w:r>
      <w:proofErr w:type="spellEnd"/>
      <w:r>
        <w:t>:</w:t>
      </w:r>
    </w:p>
    <w:p w:rsidR="00D223A0" w:rsidRPr="00D223A0" w:rsidRDefault="00D223A0" w:rsidP="00D223A0">
      <w:pPr>
        <w:ind w:left="720"/>
        <w:rPr>
          <w:rFonts w:asciiTheme="minorHAnsi" w:hAnsiTheme="minorHAnsi"/>
          <w:b/>
          <w:i/>
        </w:rPr>
      </w:pPr>
      <w:proofErr w:type="spellStart"/>
      <w:r w:rsidRPr="00D223A0">
        <w:rPr>
          <w:rFonts w:asciiTheme="minorHAnsi" w:hAnsiTheme="minorHAnsi"/>
          <w:i/>
        </w:rPr>
        <w:t>Lonquex</w:t>
      </w:r>
      <w:proofErr w:type="spellEnd"/>
      <w:r w:rsidRPr="00D223A0">
        <w:rPr>
          <w:rFonts w:asciiTheme="minorHAnsi" w:hAnsiTheme="minorHAnsi"/>
          <w:i/>
        </w:rPr>
        <w:t xml:space="preserve"> is indicated for the treatment of cancer patients following chemotherapy, to decrease the duration of severe neutropenia and so reduce the incidence of infection, as manifest by febrile neutropenia.</w:t>
      </w:r>
    </w:p>
    <w:p w:rsidR="00D223A0" w:rsidRDefault="00D223A0" w:rsidP="00D223A0">
      <w:r>
        <w:t>The following is the EU approved indications:</w:t>
      </w:r>
    </w:p>
    <w:p w:rsidR="00D223A0" w:rsidRPr="00D223A0" w:rsidRDefault="00D223A0" w:rsidP="00D223A0">
      <w:pPr>
        <w:ind w:left="720"/>
        <w:rPr>
          <w:rFonts w:asciiTheme="minorHAnsi" w:hAnsiTheme="minorHAnsi"/>
          <w:i/>
        </w:rPr>
      </w:pPr>
      <w:r w:rsidRPr="00D223A0">
        <w:rPr>
          <w:rFonts w:asciiTheme="minorHAnsi" w:hAnsiTheme="minorHAnsi"/>
          <w:i/>
        </w:rPr>
        <w:t>Reduction in the duration of neutropenia and the incidence of febrile neutropenia in adult patients treated with cytotoxic chemotherapy for malignancy (with the exception of chronic myeloid leukaemia and myelodysplastic syndromes).</w:t>
      </w:r>
    </w:p>
    <w:p w:rsidR="00D223A0" w:rsidRDefault="00D223A0" w:rsidP="00D223A0">
      <w:r>
        <w:t>The TGA Delegate proposed the following indications:</w:t>
      </w:r>
    </w:p>
    <w:p w:rsidR="00D223A0" w:rsidRPr="00D223A0" w:rsidRDefault="00D223A0" w:rsidP="00D223A0">
      <w:pPr>
        <w:ind w:left="720"/>
        <w:rPr>
          <w:i/>
        </w:rPr>
      </w:pPr>
      <w:r w:rsidRPr="00D223A0">
        <w:rPr>
          <w:rFonts w:asciiTheme="minorHAnsi" w:hAnsiTheme="minorHAnsi"/>
          <w:i/>
        </w:rPr>
        <w:t>The</w:t>
      </w:r>
      <w:r w:rsidRPr="00D223A0">
        <w:rPr>
          <w:i/>
        </w:rPr>
        <w:t xml:space="preserve"> </w:t>
      </w:r>
      <w:r w:rsidRPr="00D223A0">
        <w:rPr>
          <w:rFonts w:asciiTheme="minorHAnsi" w:hAnsiTheme="minorHAnsi"/>
          <w:i/>
        </w:rPr>
        <w:t>reduction in the duration of neutropenia and the incidence of febrile neutropenia in adult patients treated with cytotoxic chemotherapy for malignancy (with the exception of chronic myeloid leukaemia and myelodysplastic syndromes).</w:t>
      </w:r>
    </w:p>
    <w:p w:rsidR="00B56A57" w:rsidRDefault="00D223A0" w:rsidP="00705FDE">
      <w:r w:rsidRPr="00D223A0">
        <w:t>The recommended dose is 6 mg for each chemotherapy cycle (3 weeks per cycle)</w:t>
      </w:r>
      <w:r w:rsidR="00B56A57">
        <w:t>.</w:t>
      </w:r>
    </w:p>
    <w:p w:rsidR="007C69F4" w:rsidRPr="00D223A0" w:rsidRDefault="007C69F4" w:rsidP="00D223A0">
      <w:bookmarkStart w:id="16" w:name="_Toc314842485"/>
      <w:bookmarkStart w:id="17" w:name="_Toc247691504"/>
      <w:proofErr w:type="spellStart"/>
      <w:r w:rsidRPr="00D223A0">
        <w:t>Filgrastim</w:t>
      </w:r>
      <w:proofErr w:type="spellEnd"/>
      <w:r w:rsidRPr="00D223A0">
        <w:t xml:space="preserve"> binds to the G-CSF receptor, promoting the proliferation and differentiation of progenitor cells within the bone marrow and the release of mature neutrophils into the peripheral blood. </w:t>
      </w:r>
      <w:proofErr w:type="spellStart"/>
      <w:r w:rsidRPr="00D223A0">
        <w:t>Pegfilgrastim</w:t>
      </w:r>
      <w:proofErr w:type="spellEnd"/>
      <w:r w:rsidRPr="00D223A0">
        <w:t xml:space="preserve"> (</w:t>
      </w:r>
      <w:proofErr w:type="spellStart"/>
      <w:r w:rsidRPr="00D223A0">
        <w:t>Neulasta</w:t>
      </w:r>
      <w:proofErr w:type="spellEnd"/>
      <w:r w:rsidRPr="00D223A0">
        <w:t xml:space="preserve">) is </w:t>
      </w:r>
      <w:proofErr w:type="spellStart"/>
      <w:r w:rsidRPr="00D223A0">
        <w:t>filgrastim</w:t>
      </w:r>
      <w:proofErr w:type="spellEnd"/>
      <w:r w:rsidRPr="00D223A0">
        <w:t xml:space="preserve"> conjugated to polyethylene glycol (PEG) which increases its </w:t>
      </w:r>
      <w:proofErr w:type="spellStart"/>
      <w:r w:rsidRPr="00D223A0">
        <w:t>pharmacodynamic</w:t>
      </w:r>
      <w:proofErr w:type="spellEnd"/>
      <w:r w:rsidRPr="00D223A0">
        <w:t xml:space="preserve"> effect offering the option of a single injection per chemotherapy cycle.</w:t>
      </w:r>
    </w:p>
    <w:p w:rsidR="007C69F4" w:rsidRDefault="007C69F4" w:rsidP="007C69F4">
      <w:r w:rsidRPr="007C69F4">
        <w:t xml:space="preserve">Registration dates of </w:t>
      </w:r>
      <w:r w:rsidR="00D223A0">
        <w:t xml:space="preserve">other </w:t>
      </w:r>
      <w:r w:rsidRPr="007C69F4">
        <w:t xml:space="preserve">G-CSF stimulating factors on the </w:t>
      </w:r>
      <w:r w:rsidR="00D223A0">
        <w:t>Australian Register of therapeutic Goods (</w:t>
      </w:r>
      <w:r w:rsidRPr="007C69F4">
        <w:t>ARTG</w:t>
      </w:r>
      <w:r w:rsidR="00D223A0">
        <w:t>)</w:t>
      </w:r>
    </w:p>
    <w:p w:rsidR="00D223A0" w:rsidRDefault="00D223A0" w:rsidP="00D223A0">
      <w:pPr>
        <w:pStyle w:val="TableTitle"/>
      </w:pPr>
      <w:r>
        <w:t>Table 1: List of tradenames and ARTG inclusion dates</w:t>
      </w:r>
    </w:p>
    <w:tbl>
      <w:tblPr>
        <w:tblStyle w:val="TableTGAblue"/>
        <w:tblW w:w="0" w:type="auto"/>
        <w:tblInd w:w="108" w:type="dxa"/>
        <w:tblLook w:val="04A0" w:firstRow="1" w:lastRow="0" w:firstColumn="1" w:lastColumn="0" w:noHBand="0" w:noVBand="1"/>
      </w:tblPr>
      <w:tblGrid>
        <w:gridCol w:w="2227"/>
        <w:gridCol w:w="2617"/>
        <w:gridCol w:w="3768"/>
      </w:tblGrid>
      <w:tr w:rsidR="00D223A0" w:rsidTr="00705FDE">
        <w:trPr>
          <w:cnfStyle w:val="100000000000" w:firstRow="1" w:lastRow="0" w:firstColumn="0" w:lastColumn="0" w:oddVBand="0" w:evenVBand="0" w:oddHBand="0" w:evenHBand="0" w:firstRowFirstColumn="0" w:firstRowLastColumn="0" w:lastRowFirstColumn="0" w:lastRowLastColumn="0"/>
        </w:trPr>
        <w:tc>
          <w:tcPr>
            <w:tcW w:w="2268" w:type="dxa"/>
          </w:tcPr>
          <w:p w:rsidR="00D223A0" w:rsidRPr="00705FDE" w:rsidRDefault="00705FDE" w:rsidP="00A86F5A">
            <w:pPr>
              <w:spacing w:before="0" w:after="0" w:line="240" w:lineRule="auto"/>
              <w:rPr>
                <w:rFonts w:asciiTheme="minorHAnsi" w:hAnsiTheme="minorHAnsi" w:cstheme="majorHAnsi"/>
                <w:sz w:val="20"/>
                <w:szCs w:val="22"/>
              </w:rPr>
            </w:pPr>
            <w:r>
              <w:rPr>
                <w:rFonts w:asciiTheme="minorHAnsi" w:hAnsiTheme="minorHAnsi" w:cstheme="majorHAnsi"/>
                <w:sz w:val="20"/>
                <w:szCs w:val="22"/>
              </w:rPr>
              <w:t>Active ingredient</w:t>
            </w:r>
          </w:p>
        </w:tc>
        <w:tc>
          <w:tcPr>
            <w:tcW w:w="2694" w:type="dxa"/>
          </w:tcPr>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Trade names</w:t>
            </w:r>
          </w:p>
        </w:tc>
        <w:tc>
          <w:tcPr>
            <w:tcW w:w="3944" w:type="dxa"/>
          </w:tcPr>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Date of inclusion on the ARTG</w:t>
            </w:r>
          </w:p>
        </w:tc>
      </w:tr>
      <w:tr w:rsidR="00D223A0" w:rsidTr="00705FDE">
        <w:tc>
          <w:tcPr>
            <w:tcW w:w="2268" w:type="dxa"/>
          </w:tcPr>
          <w:p w:rsidR="00D223A0" w:rsidRPr="00705FDE" w:rsidRDefault="00D223A0" w:rsidP="00A86F5A">
            <w:pPr>
              <w:spacing w:before="0" w:after="0" w:line="240" w:lineRule="auto"/>
              <w:rPr>
                <w:rFonts w:asciiTheme="minorHAnsi" w:hAnsiTheme="minorHAnsi" w:cstheme="majorHAnsi"/>
                <w:sz w:val="20"/>
                <w:szCs w:val="22"/>
              </w:rPr>
            </w:pPr>
            <w:proofErr w:type="spellStart"/>
            <w:r w:rsidRPr="00705FDE">
              <w:rPr>
                <w:rFonts w:asciiTheme="minorHAnsi" w:hAnsiTheme="minorHAnsi" w:cstheme="majorHAnsi"/>
                <w:sz w:val="20"/>
                <w:szCs w:val="22"/>
              </w:rPr>
              <w:t>Pegfilgrastim</w:t>
            </w:r>
            <w:proofErr w:type="spellEnd"/>
          </w:p>
        </w:tc>
        <w:tc>
          <w:tcPr>
            <w:tcW w:w="2694" w:type="dxa"/>
          </w:tcPr>
          <w:p w:rsidR="00D223A0" w:rsidRPr="00705FDE" w:rsidRDefault="00D223A0" w:rsidP="00A86F5A">
            <w:pPr>
              <w:spacing w:before="0" w:after="0" w:line="240" w:lineRule="auto"/>
              <w:jc w:val="center"/>
              <w:rPr>
                <w:rFonts w:asciiTheme="minorHAnsi" w:hAnsiTheme="minorHAnsi" w:cstheme="majorHAnsi"/>
                <w:sz w:val="20"/>
                <w:szCs w:val="22"/>
              </w:rPr>
            </w:pPr>
            <w:proofErr w:type="spellStart"/>
            <w:r w:rsidRPr="00705FDE">
              <w:rPr>
                <w:rFonts w:asciiTheme="minorHAnsi" w:hAnsiTheme="minorHAnsi" w:cstheme="majorHAnsi"/>
                <w:sz w:val="20"/>
                <w:szCs w:val="22"/>
              </w:rPr>
              <w:t>Neulasta</w:t>
            </w:r>
            <w:proofErr w:type="spellEnd"/>
          </w:p>
        </w:tc>
        <w:tc>
          <w:tcPr>
            <w:tcW w:w="3944" w:type="dxa"/>
          </w:tcPr>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18 May 2010</w:t>
            </w:r>
          </w:p>
        </w:tc>
      </w:tr>
      <w:tr w:rsidR="00D223A0" w:rsidTr="00705FDE">
        <w:tc>
          <w:tcPr>
            <w:tcW w:w="2268" w:type="dxa"/>
          </w:tcPr>
          <w:p w:rsidR="00D223A0" w:rsidRPr="00705FDE" w:rsidRDefault="00D223A0" w:rsidP="00A86F5A">
            <w:pPr>
              <w:spacing w:before="0" w:after="0" w:line="240" w:lineRule="auto"/>
              <w:rPr>
                <w:rFonts w:asciiTheme="minorHAnsi" w:hAnsiTheme="minorHAnsi" w:cstheme="majorHAnsi"/>
                <w:sz w:val="20"/>
                <w:szCs w:val="22"/>
              </w:rPr>
            </w:pPr>
            <w:proofErr w:type="spellStart"/>
            <w:r w:rsidRPr="00705FDE">
              <w:rPr>
                <w:rFonts w:asciiTheme="minorHAnsi" w:hAnsiTheme="minorHAnsi" w:cstheme="majorHAnsi"/>
                <w:sz w:val="20"/>
                <w:szCs w:val="22"/>
              </w:rPr>
              <w:t>Filgrastim</w:t>
            </w:r>
            <w:proofErr w:type="spellEnd"/>
          </w:p>
        </w:tc>
        <w:tc>
          <w:tcPr>
            <w:tcW w:w="2694" w:type="dxa"/>
          </w:tcPr>
          <w:p w:rsidR="00D223A0" w:rsidRPr="00705FDE" w:rsidRDefault="00D223A0" w:rsidP="00A86F5A">
            <w:pPr>
              <w:spacing w:before="0" w:after="0" w:line="240" w:lineRule="auto"/>
              <w:jc w:val="center"/>
              <w:rPr>
                <w:rFonts w:asciiTheme="minorHAnsi" w:hAnsiTheme="minorHAnsi" w:cstheme="majorHAnsi"/>
                <w:sz w:val="20"/>
                <w:szCs w:val="22"/>
              </w:rPr>
            </w:pPr>
            <w:proofErr w:type="spellStart"/>
            <w:r w:rsidRPr="00705FDE">
              <w:rPr>
                <w:rFonts w:asciiTheme="minorHAnsi" w:hAnsiTheme="minorHAnsi" w:cstheme="majorHAnsi"/>
                <w:sz w:val="20"/>
                <w:szCs w:val="22"/>
              </w:rPr>
              <w:t>Neupogen</w:t>
            </w:r>
            <w:proofErr w:type="spellEnd"/>
          </w:p>
          <w:p w:rsidR="00D223A0" w:rsidRPr="00705FDE" w:rsidRDefault="00D223A0" w:rsidP="00A86F5A">
            <w:pPr>
              <w:spacing w:before="0" w:after="0" w:line="240" w:lineRule="auto"/>
              <w:jc w:val="center"/>
              <w:rPr>
                <w:rFonts w:asciiTheme="minorHAnsi" w:hAnsiTheme="minorHAnsi" w:cstheme="majorHAnsi"/>
                <w:sz w:val="20"/>
                <w:szCs w:val="22"/>
              </w:rPr>
            </w:pPr>
            <w:proofErr w:type="spellStart"/>
            <w:r w:rsidRPr="00705FDE">
              <w:rPr>
                <w:rFonts w:asciiTheme="minorHAnsi" w:hAnsiTheme="minorHAnsi" w:cstheme="majorHAnsi"/>
                <w:sz w:val="20"/>
                <w:szCs w:val="22"/>
              </w:rPr>
              <w:t>Tevag</w:t>
            </w:r>
            <w:r w:rsidR="00B77E77">
              <w:rPr>
                <w:rFonts w:asciiTheme="minorHAnsi" w:hAnsiTheme="minorHAnsi" w:cstheme="majorHAnsi"/>
                <w:sz w:val="20"/>
                <w:szCs w:val="22"/>
              </w:rPr>
              <w:t>r</w:t>
            </w:r>
            <w:r w:rsidRPr="00705FDE">
              <w:rPr>
                <w:rFonts w:asciiTheme="minorHAnsi" w:hAnsiTheme="minorHAnsi" w:cstheme="majorHAnsi"/>
                <w:sz w:val="20"/>
                <w:szCs w:val="22"/>
              </w:rPr>
              <w:t>astim</w:t>
            </w:r>
            <w:proofErr w:type="spellEnd"/>
          </w:p>
          <w:p w:rsidR="00D223A0" w:rsidRPr="00705FDE" w:rsidRDefault="00D223A0" w:rsidP="00A86F5A">
            <w:pPr>
              <w:spacing w:before="0" w:after="0" w:line="240" w:lineRule="auto"/>
              <w:jc w:val="center"/>
              <w:rPr>
                <w:rFonts w:asciiTheme="minorHAnsi" w:hAnsiTheme="minorHAnsi" w:cstheme="majorHAnsi"/>
                <w:sz w:val="20"/>
                <w:szCs w:val="22"/>
              </w:rPr>
            </w:pPr>
            <w:proofErr w:type="spellStart"/>
            <w:r w:rsidRPr="00705FDE">
              <w:rPr>
                <w:rFonts w:asciiTheme="minorHAnsi" w:hAnsiTheme="minorHAnsi" w:cstheme="majorHAnsi"/>
                <w:sz w:val="20"/>
                <w:szCs w:val="22"/>
              </w:rPr>
              <w:t>Nivestim</w:t>
            </w:r>
            <w:proofErr w:type="spellEnd"/>
          </w:p>
          <w:p w:rsidR="00D223A0" w:rsidRPr="00705FDE" w:rsidRDefault="00D223A0" w:rsidP="00A86F5A">
            <w:pPr>
              <w:spacing w:before="0" w:after="0" w:line="240" w:lineRule="auto"/>
              <w:jc w:val="center"/>
              <w:rPr>
                <w:rFonts w:asciiTheme="minorHAnsi" w:hAnsiTheme="minorHAnsi" w:cstheme="majorHAnsi"/>
                <w:sz w:val="20"/>
                <w:szCs w:val="22"/>
              </w:rPr>
            </w:pPr>
            <w:proofErr w:type="spellStart"/>
            <w:r w:rsidRPr="00705FDE">
              <w:rPr>
                <w:rFonts w:asciiTheme="minorHAnsi" w:hAnsiTheme="minorHAnsi" w:cstheme="majorHAnsi"/>
                <w:sz w:val="20"/>
                <w:szCs w:val="22"/>
              </w:rPr>
              <w:t>Zarzio</w:t>
            </w:r>
            <w:proofErr w:type="spellEnd"/>
          </w:p>
        </w:tc>
        <w:tc>
          <w:tcPr>
            <w:tcW w:w="3944" w:type="dxa"/>
          </w:tcPr>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6 September 2001</w:t>
            </w:r>
          </w:p>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29 August 2011</w:t>
            </w:r>
          </w:p>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8 September 2011</w:t>
            </w:r>
          </w:p>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7 May 2013</w:t>
            </w:r>
          </w:p>
        </w:tc>
      </w:tr>
      <w:tr w:rsidR="00D223A0" w:rsidTr="00705FDE">
        <w:tc>
          <w:tcPr>
            <w:tcW w:w="2268" w:type="dxa"/>
          </w:tcPr>
          <w:p w:rsidR="00D223A0" w:rsidRPr="00705FDE" w:rsidRDefault="00D223A0" w:rsidP="00A86F5A">
            <w:pPr>
              <w:spacing w:before="0" w:after="0" w:line="240" w:lineRule="auto"/>
              <w:rPr>
                <w:rFonts w:asciiTheme="minorHAnsi" w:hAnsiTheme="minorHAnsi" w:cstheme="majorHAnsi"/>
                <w:sz w:val="20"/>
                <w:szCs w:val="22"/>
              </w:rPr>
            </w:pPr>
            <w:proofErr w:type="spellStart"/>
            <w:r w:rsidRPr="00705FDE">
              <w:rPr>
                <w:rFonts w:asciiTheme="minorHAnsi" w:hAnsiTheme="minorHAnsi" w:cstheme="majorHAnsi"/>
                <w:sz w:val="20"/>
                <w:szCs w:val="22"/>
              </w:rPr>
              <w:t>Lenograstim</w:t>
            </w:r>
            <w:proofErr w:type="spellEnd"/>
          </w:p>
        </w:tc>
        <w:tc>
          <w:tcPr>
            <w:tcW w:w="2694" w:type="dxa"/>
          </w:tcPr>
          <w:p w:rsidR="00D223A0" w:rsidRPr="00705FDE" w:rsidRDefault="00D223A0" w:rsidP="00A86F5A">
            <w:pPr>
              <w:spacing w:before="0" w:after="0" w:line="240" w:lineRule="auto"/>
              <w:jc w:val="center"/>
              <w:rPr>
                <w:rFonts w:asciiTheme="minorHAnsi" w:hAnsiTheme="minorHAnsi" w:cstheme="majorHAnsi"/>
                <w:sz w:val="20"/>
                <w:szCs w:val="22"/>
              </w:rPr>
            </w:pPr>
            <w:proofErr w:type="spellStart"/>
            <w:r w:rsidRPr="00705FDE">
              <w:rPr>
                <w:rFonts w:asciiTheme="minorHAnsi" w:hAnsiTheme="minorHAnsi" w:cstheme="majorHAnsi"/>
                <w:sz w:val="20"/>
                <w:szCs w:val="22"/>
              </w:rPr>
              <w:t>Granocyte</w:t>
            </w:r>
            <w:proofErr w:type="spellEnd"/>
          </w:p>
        </w:tc>
        <w:tc>
          <w:tcPr>
            <w:tcW w:w="3944" w:type="dxa"/>
          </w:tcPr>
          <w:p w:rsidR="00D223A0" w:rsidRPr="00705FDE" w:rsidRDefault="00D223A0" w:rsidP="00A86F5A">
            <w:pPr>
              <w:spacing w:before="0" w:after="0" w:line="240" w:lineRule="auto"/>
              <w:jc w:val="center"/>
              <w:rPr>
                <w:rFonts w:asciiTheme="minorHAnsi" w:hAnsiTheme="minorHAnsi" w:cstheme="majorHAnsi"/>
                <w:sz w:val="20"/>
                <w:szCs w:val="22"/>
              </w:rPr>
            </w:pPr>
            <w:r w:rsidRPr="00705FDE">
              <w:rPr>
                <w:rFonts w:asciiTheme="minorHAnsi" w:hAnsiTheme="minorHAnsi" w:cstheme="majorHAnsi"/>
                <w:sz w:val="20"/>
                <w:szCs w:val="22"/>
              </w:rPr>
              <w:t>12 February 2007</w:t>
            </w:r>
          </w:p>
        </w:tc>
      </w:tr>
    </w:tbl>
    <w:p w:rsidR="00B56A57" w:rsidRDefault="007C69F4" w:rsidP="007C69F4">
      <w:proofErr w:type="spellStart"/>
      <w:r w:rsidRPr="007C69F4">
        <w:t>Lipegfilgrastim</w:t>
      </w:r>
      <w:proofErr w:type="spellEnd"/>
      <w:r w:rsidRPr="007C69F4">
        <w:t xml:space="preserve"> is a covalent conjugate of an E. coli produced G-CSF (equivalent to </w:t>
      </w:r>
      <w:proofErr w:type="spellStart"/>
      <w:r w:rsidRPr="007C69F4">
        <w:t>filgrastim</w:t>
      </w:r>
      <w:proofErr w:type="spellEnd"/>
      <w:r w:rsidRPr="007C69F4">
        <w:t xml:space="preserve">) and a single PEG molecule. The difference between </w:t>
      </w:r>
      <w:proofErr w:type="spellStart"/>
      <w:r w:rsidRPr="007C69F4">
        <w:t>pegfilgrastim</w:t>
      </w:r>
      <w:proofErr w:type="spellEnd"/>
      <w:r w:rsidRPr="007C69F4">
        <w:t xml:space="preserve"> and </w:t>
      </w:r>
      <w:proofErr w:type="spellStart"/>
      <w:r w:rsidRPr="007C69F4">
        <w:t>lipegfilgrastim</w:t>
      </w:r>
      <w:proofErr w:type="spellEnd"/>
      <w:r w:rsidRPr="007C69F4">
        <w:t xml:space="preserve"> is between the linkage between the </w:t>
      </w:r>
      <w:proofErr w:type="spellStart"/>
      <w:r w:rsidRPr="007C69F4">
        <w:t>filgrastim</w:t>
      </w:r>
      <w:proofErr w:type="spellEnd"/>
      <w:r w:rsidRPr="007C69F4">
        <w:t xml:space="preserve"> and PEG molecules</w:t>
      </w:r>
      <w:r w:rsidR="00B56A57">
        <w:t>.</w:t>
      </w:r>
    </w:p>
    <w:p w:rsidR="007C69F4" w:rsidRDefault="007C69F4" w:rsidP="007C69F4">
      <w:r w:rsidRPr="007C69F4">
        <w:t xml:space="preserve">XM22 is the company code used in the </w:t>
      </w:r>
      <w:r w:rsidR="00D223A0">
        <w:t>s</w:t>
      </w:r>
      <w:r w:rsidRPr="007C69F4">
        <w:t xml:space="preserve">ponsor dossier for </w:t>
      </w:r>
      <w:proofErr w:type="spellStart"/>
      <w:r w:rsidRPr="007C69F4">
        <w:t>lipegfilgrastim</w:t>
      </w:r>
      <w:proofErr w:type="spellEnd"/>
      <w:r w:rsidRPr="007C69F4">
        <w:t>.</w:t>
      </w:r>
    </w:p>
    <w:p w:rsidR="008E7846" w:rsidRPr="003F31A2" w:rsidRDefault="00386150" w:rsidP="007C69F4">
      <w:pPr>
        <w:pStyle w:val="Heading3"/>
      </w:pPr>
      <w:bookmarkStart w:id="18" w:name="_Toc445210946"/>
      <w:r>
        <w:t>Regulatory s</w:t>
      </w:r>
      <w:r w:rsidR="008E7846">
        <w:t>tatus</w:t>
      </w:r>
      <w:bookmarkEnd w:id="16"/>
      <w:bookmarkEnd w:id="18"/>
      <w:r w:rsidR="008E7846">
        <w:t xml:space="preserve"> </w:t>
      </w:r>
      <w:bookmarkEnd w:id="17"/>
    </w:p>
    <w:p w:rsidR="00940A89" w:rsidRPr="00940A89" w:rsidRDefault="00D10D71" w:rsidP="00940A89">
      <w:bookmarkStart w:id="19" w:name="_Toc247691505"/>
      <w:bookmarkStart w:id="20" w:name="_Toc314842486"/>
      <w:r>
        <w:t>This is an application to register a new chemical entity in Australia.</w:t>
      </w:r>
    </w:p>
    <w:p w:rsidR="00D10D71" w:rsidRDefault="00705FDE" w:rsidP="00D10D71">
      <w:pPr>
        <w:spacing w:before="0" w:after="0" w:line="240" w:lineRule="auto"/>
        <w:rPr>
          <w:rFonts w:asciiTheme="minorHAnsi" w:hAnsiTheme="minorHAnsi"/>
        </w:rPr>
      </w:pPr>
      <w:r>
        <w:rPr>
          <w:rFonts w:asciiTheme="minorHAnsi" w:hAnsiTheme="minorHAnsi"/>
        </w:rPr>
        <w:t>The o</w:t>
      </w:r>
      <w:r w:rsidR="00D10D71" w:rsidRPr="002751D8">
        <w:rPr>
          <w:rFonts w:asciiTheme="minorHAnsi" w:hAnsiTheme="minorHAnsi"/>
        </w:rPr>
        <w:t>verseas reg</w:t>
      </w:r>
      <w:r>
        <w:rPr>
          <w:rFonts w:asciiTheme="minorHAnsi" w:hAnsiTheme="minorHAnsi"/>
        </w:rPr>
        <w:t>ulatory</w:t>
      </w:r>
      <w:r w:rsidR="00D10D71" w:rsidRPr="002751D8">
        <w:rPr>
          <w:rFonts w:asciiTheme="minorHAnsi" w:hAnsiTheme="minorHAnsi"/>
        </w:rPr>
        <w:t xml:space="preserve"> status of </w:t>
      </w:r>
      <w:proofErr w:type="spellStart"/>
      <w:r w:rsidR="00D10D71" w:rsidRPr="002751D8">
        <w:rPr>
          <w:rFonts w:asciiTheme="minorHAnsi" w:hAnsiTheme="minorHAnsi"/>
        </w:rPr>
        <w:t>lipegfilgrastim</w:t>
      </w:r>
      <w:proofErr w:type="spellEnd"/>
      <w:r>
        <w:rPr>
          <w:rFonts w:asciiTheme="minorHAnsi" w:hAnsiTheme="minorHAnsi"/>
        </w:rPr>
        <w:t xml:space="preserve"> is summarised in the following table.</w:t>
      </w:r>
    </w:p>
    <w:p w:rsidR="00705FDE" w:rsidRPr="002751D8" w:rsidRDefault="00705FDE" w:rsidP="00705FDE">
      <w:pPr>
        <w:pStyle w:val="TableTitle"/>
      </w:pPr>
      <w:proofErr w:type="gramStart"/>
      <w:r>
        <w:lastRenderedPageBreak/>
        <w:t xml:space="preserve">Table 2: International regulatory status of </w:t>
      </w:r>
      <w:proofErr w:type="spellStart"/>
      <w:r w:rsidRPr="002751D8">
        <w:t>lipegfilgrastim</w:t>
      </w:r>
      <w:proofErr w:type="spellEnd"/>
      <w:r>
        <w:t>.</w:t>
      </w:r>
      <w:proofErr w:type="gramEnd"/>
    </w:p>
    <w:tbl>
      <w:tblPr>
        <w:tblStyle w:val="TableTGAblue"/>
        <w:tblW w:w="0" w:type="auto"/>
        <w:tblInd w:w="108" w:type="dxa"/>
        <w:tblLook w:val="04A0" w:firstRow="1" w:lastRow="0" w:firstColumn="1" w:lastColumn="0" w:noHBand="0" w:noVBand="1"/>
      </w:tblPr>
      <w:tblGrid>
        <w:gridCol w:w="1466"/>
        <w:gridCol w:w="2624"/>
        <w:gridCol w:w="4522"/>
      </w:tblGrid>
      <w:tr w:rsidR="00D10D71" w:rsidTr="00705FDE">
        <w:trPr>
          <w:cnfStyle w:val="100000000000" w:firstRow="1" w:lastRow="0" w:firstColumn="0" w:lastColumn="0" w:oddVBand="0" w:evenVBand="0" w:oddHBand="0" w:evenHBand="0" w:firstRowFirstColumn="0" w:firstRowLastColumn="0" w:lastRowFirstColumn="0" w:lastRowLastColumn="0"/>
          <w:trHeight w:val="553"/>
        </w:trPr>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Regulator</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Date submitted or approved</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Registered indication</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EU</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Approved in July 2013 by centralised procedure</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Reduction in the duration of neutropenia and the incidence of febrile neutropenia in adult patients treated with cytotoxic chemotherapy for malignancy (with the exception of chronic myeloid leukaemia and myelodysplastic syndromes).</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Swiss Medic</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Submission withdrawn due to negative preliminary assessment</w:t>
            </w:r>
          </w:p>
        </w:tc>
        <w:tc>
          <w:tcPr>
            <w:tcW w:w="5055" w:type="dxa"/>
          </w:tcPr>
          <w:p w:rsidR="00D10D71" w:rsidRPr="00705FDE" w:rsidRDefault="00705FDE" w:rsidP="00705FDE">
            <w:pPr>
              <w:spacing w:before="0" w:after="0" w:line="360" w:lineRule="auto"/>
              <w:rPr>
                <w:rFonts w:asciiTheme="minorHAnsi" w:hAnsiTheme="minorHAnsi" w:cstheme="majorHAnsi"/>
                <w:sz w:val="20"/>
                <w:szCs w:val="22"/>
              </w:rPr>
            </w:pPr>
            <w:r>
              <w:rPr>
                <w:rFonts w:asciiTheme="minorHAnsi" w:hAnsiTheme="minorHAnsi" w:cstheme="majorHAnsi"/>
                <w:sz w:val="20"/>
                <w:szCs w:val="22"/>
              </w:rPr>
              <w:t>Not applicable.</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Health Canada</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Submitted July 2013</w:t>
            </w:r>
          </w:p>
        </w:tc>
        <w:tc>
          <w:tcPr>
            <w:tcW w:w="5055" w:type="dxa"/>
          </w:tcPr>
          <w:p w:rsidR="00D10D71" w:rsidRPr="00705FDE" w:rsidRDefault="00705FDE" w:rsidP="00705FDE">
            <w:pPr>
              <w:spacing w:before="0" w:after="0" w:line="360" w:lineRule="auto"/>
              <w:rPr>
                <w:rFonts w:asciiTheme="minorHAnsi" w:hAnsiTheme="minorHAnsi" w:cstheme="majorHAnsi"/>
                <w:sz w:val="20"/>
                <w:szCs w:val="22"/>
              </w:rPr>
            </w:pPr>
            <w:r>
              <w:rPr>
                <w:rFonts w:asciiTheme="minorHAnsi" w:hAnsiTheme="minorHAnsi" w:cstheme="majorHAnsi"/>
                <w:sz w:val="20"/>
                <w:szCs w:val="22"/>
              </w:rPr>
              <w:t>Not yet registered.</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FDA</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Submission withdrawn due to</w:t>
            </w:r>
            <w:r w:rsidR="009801DD">
              <w:rPr>
                <w:rFonts w:asciiTheme="minorHAnsi" w:hAnsiTheme="minorHAnsi" w:cstheme="majorHAnsi"/>
                <w:sz w:val="20"/>
                <w:szCs w:val="22"/>
              </w:rPr>
              <w:t xml:space="preserve"> </w:t>
            </w:r>
            <w:r w:rsidRPr="00705FDE">
              <w:rPr>
                <w:rFonts w:asciiTheme="minorHAnsi" w:hAnsiTheme="minorHAnsi" w:cstheme="majorHAnsi"/>
                <w:sz w:val="20"/>
                <w:szCs w:val="22"/>
              </w:rPr>
              <w:t>‘commercial reasons’</w:t>
            </w:r>
          </w:p>
        </w:tc>
        <w:tc>
          <w:tcPr>
            <w:tcW w:w="5055" w:type="dxa"/>
          </w:tcPr>
          <w:p w:rsidR="00D10D71" w:rsidRPr="00705FDE" w:rsidRDefault="00705FDE" w:rsidP="00216F4E">
            <w:pPr>
              <w:spacing w:before="0" w:after="0" w:line="360" w:lineRule="auto"/>
              <w:rPr>
                <w:rFonts w:asciiTheme="minorHAnsi" w:hAnsiTheme="minorHAnsi" w:cstheme="majorHAnsi"/>
                <w:sz w:val="20"/>
                <w:szCs w:val="22"/>
              </w:rPr>
            </w:pPr>
            <w:r>
              <w:rPr>
                <w:rFonts w:asciiTheme="minorHAnsi" w:hAnsiTheme="minorHAnsi" w:cstheme="majorHAnsi"/>
                <w:sz w:val="20"/>
                <w:szCs w:val="22"/>
              </w:rPr>
              <w:t xml:space="preserve">The sponsor has </w:t>
            </w:r>
            <w:r w:rsidR="00D10D71" w:rsidRPr="00705FDE">
              <w:rPr>
                <w:rFonts w:asciiTheme="minorHAnsi" w:hAnsiTheme="minorHAnsi" w:cstheme="majorHAnsi"/>
                <w:sz w:val="20"/>
                <w:szCs w:val="22"/>
              </w:rPr>
              <w:t>no plans to resubmit</w:t>
            </w:r>
            <w:r w:rsidR="00216F4E">
              <w:rPr>
                <w:rFonts w:asciiTheme="minorHAnsi" w:hAnsiTheme="minorHAnsi" w:cstheme="majorHAnsi"/>
                <w:sz w:val="20"/>
                <w:szCs w:val="22"/>
              </w:rPr>
              <w:t xml:space="preserve"> </w:t>
            </w:r>
            <w:proofErr w:type="spellStart"/>
            <w:r w:rsidR="00D10D71" w:rsidRPr="00705FDE">
              <w:rPr>
                <w:rFonts w:asciiTheme="minorHAnsi" w:hAnsiTheme="minorHAnsi" w:cstheme="majorHAnsi"/>
                <w:sz w:val="20"/>
                <w:szCs w:val="22"/>
              </w:rPr>
              <w:t>Lonquex</w:t>
            </w:r>
            <w:proofErr w:type="spellEnd"/>
            <w:r w:rsidR="00D10D71" w:rsidRPr="00705FDE">
              <w:rPr>
                <w:rFonts w:asciiTheme="minorHAnsi" w:hAnsiTheme="minorHAnsi" w:cstheme="majorHAnsi"/>
                <w:sz w:val="20"/>
                <w:szCs w:val="22"/>
              </w:rPr>
              <w:t xml:space="preserve"> in the US</w:t>
            </w:r>
            <w:r>
              <w:rPr>
                <w:rFonts w:asciiTheme="minorHAnsi" w:hAnsiTheme="minorHAnsi" w:cstheme="majorHAnsi"/>
                <w:sz w:val="20"/>
                <w:szCs w:val="22"/>
              </w:rPr>
              <w:t>.</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Russia</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Approved June 2014</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Same as EU</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Israel</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Approved January 2015</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Same as EU</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Brazil</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Approved November 2013</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Same as EU</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Chile</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Approved October 2014</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Same as EU</w:t>
            </w:r>
          </w:p>
        </w:tc>
      </w:tr>
      <w:tr w:rsidR="00D10D71" w:rsidTr="00705FDE">
        <w:tc>
          <w:tcPr>
            <w:tcW w:w="1466"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Serbia</w:t>
            </w:r>
          </w:p>
        </w:tc>
        <w:tc>
          <w:tcPr>
            <w:tcW w:w="283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Approved Feb 2015</w:t>
            </w:r>
          </w:p>
        </w:tc>
        <w:tc>
          <w:tcPr>
            <w:tcW w:w="5055" w:type="dxa"/>
          </w:tcPr>
          <w:p w:rsidR="00D10D71" w:rsidRPr="00705FDE" w:rsidRDefault="00D10D71" w:rsidP="00705FDE">
            <w:pPr>
              <w:spacing w:before="0" w:after="0" w:line="360" w:lineRule="auto"/>
              <w:rPr>
                <w:rFonts w:asciiTheme="minorHAnsi" w:hAnsiTheme="minorHAnsi" w:cstheme="majorHAnsi"/>
                <w:sz w:val="20"/>
                <w:szCs w:val="22"/>
              </w:rPr>
            </w:pPr>
            <w:r w:rsidRPr="00705FDE">
              <w:rPr>
                <w:rFonts w:asciiTheme="minorHAnsi" w:hAnsiTheme="minorHAnsi" w:cstheme="majorHAnsi"/>
                <w:sz w:val="20"/>
                <w:szCs w:val="22"/>
              </w:rPr>
              <w:t>Same as EU</w:t>
            </w:r>
          </w:p>
        </w:tc>
      </w:tr>
    </w:tbl>
    <w:p w:rsidR="00D10D71" w:rsidRDefault="00D10D71" w:rsidP="00705FDE">
      <w:r>
        <w:t>The sponsor states that submissions have been made to Korea (2013), South Africa (2013), Argentina (2014), Peru (2014), Kazakhstan (2014)</w:t>
      </w:r>
      <w:r w:rsidR="00705FDE">
        <w:t xml:space="preserve"> and</w:t>
      </w:r>
      <w:r>
        <w:t xml:space="preserve"> Ukraine (2014)</w:t>
      </w:r>
      <w:r w:rsidR="00705FDE">
        <w:t xml:space="preserve"> but</w:t>
      </w:r>
      <w:r>
        <w:t xml:space="preserve"> none of </w:t>
      </w:r>
      <w:r w:rsidR="00705FDE">
        <w:t>these</w:t>
      </w:r>
      <w:r>
        <w:t xml:space="preserve"> ha</w:t>
      </w:r>
      <w:r w:rsidR="00705FDE">
        <w:t>d</w:t>
      </w:r>
      <w:r>
        <w:t xml:space="preserve"> decisions at the time of this </w:t>
      </w:r>
      <w:proofErr w:type="spellStart"/>
      <w:r w:rsidR="00705FDE">
        <w:t>AusPAR</w:t>
      </w:r>
      <w:proofErr w:type="spellEnd"/>
      <w:r>
        <w:t>.</w:t>
      </w:r>
    </w:p>
    <w:p w:rsidR="00D10D71" w:rsidRDefault="00D10D71" w:rsidP="00705FDE">
      <w:r>
        <w:t xml:space="preserve">The withdrawal of the submission to </w:t>
      </w:r>
      <w:proofErr w:type="spellStart"/>
      <w:r>
        <w:t>SwissMedic</w:t>
      </w:r>
      <w:proofErr w:type="spellEnd"/>
      <w:r>
        <w:t xml:space="preserve"> is discussed in the CER </w:t>
      </w:r>
      <w:r w:rsidR="00705FDE">
        <w:t>(Attachment 2)</w:t>
      </w:r>
      <w:r>
        <w:t>. The Delegate has considered these reasons, below, and considers the issues surmountable.</w:t>
      </w:r>
    </w:p>
    <w:p w:rsidR="008E7846" w:rsidRDefault="008E7846" w:rsidP="00940A89">
      <w:pPr>
        <w:pStyle w:val="Heading3"/>
      </w:pPr>
      <w:bookmarkStart w:id="21" w:name="_Toc445210947"/>
      <w:r>
        <w:t>Product Information</w:t>
      </w:r>
      <w:bookmarkEnd w:id="19"/>
      <w:bookmarkEnd w:id="20"/>
      <w:bookmarkEnd w:id="21"/>
    </w:p>
    <w:p w:rsidR="00940A89" w:rsidRDefault="00940A89" w:rsidP="00940A89">
      <w:pPr>
        <w:rPr>
          <w:b/>
          <w:bCs/>
        </w:rPr>
      </w:pPr>
      <w:bookmarkStart w:id="22" w:name="_Toc247691506"/>
      <w:bookmarkStart w:id="23" w:name="_Toc314842487"/>
      <w:r w:rsidRPr="00940A89">
        <w:t xml:space="preserve">The approved Product Information (PI) current at the time this </w:t>
      </w:r>
      <w:proofErr w:type="spellStart"/>
      <w:r w:rsidRPr="00940A89">
        <w:t>AusPAR</w:t>
      </w:r>
      <w:proofErr w:type="spellEnd"/>
      <w:r w:rsidRPr="00940A89">
        <w:t xml:space="preserve"> was prepared can be found as Attachment 1. For the most recent </w:t>
      </w:r>
      <w:r w:rsidR="00133A1B">
        <w:t>PI,</w:t>
      </w:r>
      <w:r w:rsidRPr="00940A89">
        <w:t xml:space="preserve"> ple</w:t>
      </w:r>
      <w:r w:rsidR="00441C3F">
        <w:t>ase refer to the TGA website</w:t>
      </w:r>
      <w:r w:rsidR="00441C3F" w:rsidRPr="00441C3F">
        <w:t xml:space="preserve"> at &lt;</w:t>
      </w:r>
      <w:hyperlink r:id="rId14" w:history="1">
        <w:r w:rsidR="00441C3F" w:rsidRPr="00441C3F">
          <w:rPr>
            <w:rStyle w:val="Hyperlink"/>
          </w:rPr>
          <w:t>https://www.tga.gov.au/product-information-pi</w:t>
        </w:r>
      </w:hyperlink>
      <w:r w:rsidR="00441C3F">
        <w:t>&gt;</w:t>
      </w:r>
      <w:r w:rsidRPr="00940A89">
        <w:t>.</w:t>
      </w:r>
    </w:p>
    <w:p w:rsidR="008E7846" w:rsidRPr="003602A9" w:rsidRDefault="008E7846" w:rsidP="008E7846">
      <w:pPr>
        <w:pStyle w:val="Heading2"/>
        <w:ind w:left="-11"/>
      </w:pPr>
      <w:bookmarkStart w:id="24" w:name="_Toc445210948"/>
      <w:r>
        <w:lastRenderedPageBreak/>
        <w:t>II. Quality</w:t>
      </w:r>
      <w:bookmarkEnd w:id="1"/>
      <w:r>
        <w:t xml:space="preserve"> findings</w:t>
      </w:r>
      <w:bookmarkEnd w:id="22"/>
      <w:bookmarkEnd w:id="23"/>
      <w:bookmarkEnd w:id="24"/>
    </w:p>
    <w:p w:rsidR="008E7846" w:rsidRDefault="008E7846" w:rsidP="00940A89">
      <w:pPr>
        <w:pStyle w:val="Heading3"/>
      </w:pPr>
      <w:bookmarkStart w:id="25" w:name="_Toc247691507"/>
      <w:bookmarkStart w:id="26" w:name="_Toc314842488"/>
      <w:bookmarkStart w:id="27" w:name="_Toc445210949"/>
      <w:r w:rsidRPr="008751DC">
        <w:t xml:space="preserve">Drug </w:t>
      </w:r>
      <w:r>
        <w:t>s</w:t>
      </w:r>
      <w:r w:rsidRPr="008751DC">
        <w:t>ubstance</w:t>
      </w:r>
      <w:r>
        <w:t xml:space="preserve"> (active ingredient)</w:t>
      </w:r>
      <w:bookmarkEnd w:id="25"/>
      <w:bookmarkEnd w:id="26"/>
      <w:bookmarkEnd w:id="27"/>
    </w:p>
    <w:p w:rsidR="00CE1F05" w:rsidRDefault="00CE1F05" w:rsidP="00705FDE">
      <w:pPr>
        <w:pStyle w:val="Heading4"/>
        <w:rPr>
          <w:szCs w:val="20"/>
        </w:rPr>
      </w:pPr>
      <w:r>
        <w:t>Structure</w:t>
      </w:r>
    </w:p>
    <w:p w:rsidR="00B56A57" w:rsidRDefault="00CE1F05" w:rsidP="009801DD">
      <w:proofErr w:type="spellStart"/>
      <w:r>
        <w:t>Lipegfilgrastim</w:t>
      </w:r>
      <w:proofErr w:type="spellEnd"/>
      <w:r>
        <w:t xml:space="preserve"> (company code: XM22) is a covalent conjugate of recombinant human N-</w:t>
      </w:r>
      <w:proofErr w:type="spellStart"/>
      <w:r>
        <w:t>methionyl</w:t>
      </w:r>
      <w:proofErr w:type="spellEnd"/>
      <w:r>
        <w:t xml:space="preserve"> granulocyte-colony stimulating factor (G-CSF, </w:t>
      </w:r>
      <w:proofErr w:type="spellStart"/>
      <w:r>
        <w:t>Filgrastim</w:t>
      </w:r>
      <w:proofErr w:type="spellEnd"/>
      <w:r>
        <w:t xml:space="preserve">, company code: XM21), a carbohydrate linker and a single </w:t>
      </w:r>
      <w:proofErr w:type="spellStart"/>
      <w:r>
        <w:t>methoxy</w:t>
      </w:r>
      <w:proofErr w:type="spellEnd"/>
      <w:r>
        <w:t xml:space="preserve"> polyethylene glycol (PEG) molecule (Figure 1). The average molecular mass of </w:t>
      </w:r>
      <w:proofErr w:type="spellStart"/>
      <w:r>
        <w:t>lipegfilgrastim</w:t>
      </w:r>
      <w:proofErr w:type="spellEnd"/>
      <w:r>
        <w:t xml:space="preserve"> is approximately 39,000 Dalton </w:t>
      </w:r>
      <w:r w:rsidR="00F26F05">
        <w:t xml:space="preserve">(Da) </w:t>
      </w:r>
      <w:r>
        <w:t xml:space="preserve">which comprises 18 798 Da of </w:t>
      </w:r>
      <w:proofErr w:type="spellStart"/>
      <w:r>
        <w:t>filgrastim</w:t>
      </w:r>
      <w:proofErr w:type="spellEnd"/>
      <w:r>
        <w:t xml:space="preserve"> augmented by 203 Da for </w:t>
      </w:r>
      <w:proofErr w:type="spellStart"/>
      <w:r>
        <w:t>GalNAc</w:t>
      </w:r>
      <w:proofErr w:type="spellEnd"/>
      <w:r>
        <w:t xml:space="preserve">, 338 Da for </w:t>
      </w:r>
      <w:proofErr w:type="spellStart"/>
      <w:r>
        <w:t>glycylsialic</w:t>
      </w:r>
      <w:proofErr w:type="spellEnd"/>
      <w:r>
        <w:t xml:space="preserve"> acid and the mean of 20,000 Da for PEG (Figure 1)</w:t>
      </w:r>
      <w:r w:rsidR="00B56A57">
        <w:t>.</w:t>
      </w:r>
    </w:p>
    <w:p w:rsidR="00B56A57" w:rsidRDefault="009801DD" w:rsidP="009801DD">
      <w:pPr>
        <w:rPr>
          <w:rFonts w:asciiTheme="minorHAnsi" w:hAnsiTheme="minorHAnsi" w:cs="Arial"/>
        </w:rPr>
      </w:pPr>
      <w:r>
        <w:rPr>
          <w:rFonts w:asciiTheme="minorHAnsi" w:hAnsiTheme="minorHAnsi" w:cs="Arial"/>
        </w:rPr>
        <w:t>The primary and higher order structure including disulphide bonds of XM21 and XM22 were fully characterised (Figure 1). The protein contains one sialic acid molecule which is included as a part of carbohydrate linker</w:t>
      </w:r>
      <w:r w:rsidR="00B56A57">
        <w:rPr>
          <w:rFonts w:asciiTheme="minorHAnsi" w:hAnsiTheme="minorHAnsi" w:cs="Arial"/>
        </w:rPr>
        <w:t>.</w:t>
      </w:r>
    </w:p>
    <w:p w:rsidR="00CE1F05" w:rsidRDefault="00705FDE" w:rsidP="00705FDE">
      <w:pPr>
        <w:pStyle w:val="FigureTitle"/>
      </w:pPr>
      <w:r>
        <w:t>Figure 1:</w:t>
      </w:r>
      <w:r w:rsidR="009801DD">
        <w:t xml:space="preserve"> </w:t>
      </w:r>
      <w:r>
        <w:t xml:space="preserve">Chemical structure of </w:t>
      </w:r>
      <w:proofErr w:type="spellStart"/>
      <w:r>
        <w:t>lipegfilgrastim</w:t>
      </w:r>
      <w:proofErr w:type="spellEnd"/>
      <w:r>
        <w:t>.</w:t>
      </w:r>
    </w:p>
    <w:p w:rsidR="00CE1F05" w:rsidRDefault="00CE1F05" w:rsidP="00CE1F05">
      <w:r>
        <w:rPr>
          <w:rFonts w:asciiTheme="minorHAnsi" w:hAnsiTheme="minorHAnsi" w:cs="Arial"/>
          <w:noProof/>
          <w:lang w:eastAsia="en-AU"/>
        </w:rPr>
        <w:drawing>
          <wp:inline distT="0" distB="0" distL="0" distR="0" wp14:anchorId="34619F8B" wp14:editId="203256AA">
            <wp:extent cx="4017111" cy="2815771"/>
            <wp:effectExtent l="0" t="0" r="2540" b="3810"/>
            <wp:docPr id="14" name="Picture 14" descr="Figure 1: Chemical structure of lipegfilgrast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lum bright="-20000" contrast="40000"/>
                      <a:extLst>
                        <a:ext uri="{28A0092B-C50C-407E-A947-70E740481C1C}">
                          <a14:useLocalDpi xmlns:a14="http://schemas.microsoft.com/office/drawing/2010/main" val="0"/>
                        </a:ext>
                      </a:extLst>
                    </a:blip>
                    <a:srcRect/>
                    <a:stretch>
                      <a:fillRect/>
                    </a:stretch>
                  </pic:blipFill>
                  <pic:spPr bwMode="auto">
                    <a:xfrm>
                      <a:off x="0" y="0"/>
                      <a:ext cx="4020784" cy="2818345"/>
                    </a:xfrm>
                    <a:prstGeom prst="rect">
                      <a:avLst/>
                    </a:prstGeom>
                    <a:noFill/>
                    <a:ln>
                      <a:noFill/>
                    </a:ln>
                  </pic:spPr>
                </pic:pic>
              </a:graphicData>
            </a:graphic>
          </wp:inline>
        </w:drawing>
      </w:r>
    </w:p>
    <w:p w:rsidR="00B56A57" w:rsidRDefault="00CE1F05" w:rsidP="00705FDE">
      <w:proofErr w:type="spellStart"/>
      <w:r>
        <w:t>Filgrastim</w:t>
      </w:r>
      <w:proofErr w:type="spellEnd"/>
      <w:r>
        <w:t xml:space="preserve"> (XM21) is the drug substance intermediate for the </w:t>
      </w:r>
      <w:r w:rsidRPr="00705FDE">
        <w:t xml:space="preserve">manufacture of </w:t>
      </w:r>
      <w:proofErr w:type="spellStart"/>
      <w:r w:rsidRPr="00705FDE">
        <w:t>lipegfilgrastim</w:t>
      </w:r>
      <w:proofErr w:type="spellEnd"/>
      <w:r w:rsidRPr="00705FDE">
        <w:t>.</w:t>
      </w:r>
      <w:r w:rsidR="00705FDE" w:rsidRPr="00705FDE">
        <w:t xml:space="preserve"> </w:t>
      </w:r>
      <w:r w:rsidRPr="00705FDE">
        <w:t>The XM21</w:t>
      </w:r>
      <w:r w:rsidR="009801DD">
        <w:t xml:space="preserve"> </w:t>
      </w:r>
      <w:r w:rsidRPr="00705FDE">
        <w:t xml:space="preserve">is produced in </w:t>
      </w:r>
      <w:r w:rsidR="00705FDE" w:rsidRPr="009801DD">
        <w:rPr>
          <w:i/>
        </w:rPr>
        <w:t>Escherichia coli (</w:t>
      </w:r>
      <w:r w:rsidRPr="009801DD">
        <w:rPr>
          <w:i/>
        </w:rPr>
        <w:t>E.coli</w:t>
      </w:r>
      <w:r w:rsidR="00705FDE" w:rsidRPr="009801DD">
        <w:rPr>
          <w:i/>
        </w:rPr>
        <w:t>)</w:t>
      </w:r>
      <w:r w:rsidR="009801DD">
        <w:t xml:space="preserve"> </w:t>
      </w:r>
      <w:r w:rsidRPr="00705FDE">
        <w:t xml:space="preserve">by recombinant </w:t>
      </w:r>
      <w:r w:rsidR="00705FDE" w:rsidRPr="00705FDE">
        <w:t>Deoxyribonucleic acid (</w:t>
      </w:r>
      <w:r w:rsidRPr="00705FDE">
        <w:t>DNA</w:t>
      </w:r>
      <w:r w:rsidR="00705FDE" w:rsidRPr="00705FDE">
        <w:t>)</w:t>
      </w:r>
      <w:r w:rsidRPr="00705FDE">
        <w:t xml:space="preserve"> technology.</w:t>
      </w:r>
      <w:r w:rsidR="009801DD">
        <w:t xml:space="preserve"> </w:t>
      </w:r>
      <w:r w:rsidRPr="00705FDE">
        <w:t>The primary struct</w:t>
      </w:r>
      <w:r w:rsidR="00705FDE" w:rsidRPr="00705FDE">
        <w:t xml:space="preserve">ure of XM21 is same as that of </w:t>
      </w:r>
      <w:r w:rsidRPr="00705FDE">
        <w:t>human granulocyte colony-stimulating factor plus one additional amino acid, an N-terminal methionine</w:t>
      </w:r>
      <w:r>
        <w:t xml:space="preserve"> (r-met HU G-CSF). In contrast to its natural counterpart, </w:t>
      </w:r>
      <w:proofErr w:type="spellStart"/>
      <w:r>
        <w:t>filgrastim</w:t>
      </w:r>
      <w:proofErr w:type="spellEnd"/>
      <w:r>
        <w:t xml:space="preserve"> is not glycosylated.</w:t>
      </w:r>
      <w:r w:rsidR="009801DD">
        <w:t xml:space="preserve"> </w:t>
      </w:r>
      <w:proofErr w:type="spellStart"/>
      <w:r>
        <w:t>Filgrastim</w:t>
      </w:r>
      <w:proofErr w:type="spellEnd"/>
      <w:r>
        <w:t xml:space="preserve"> contains a free cysteine at position 18 and two disulphide bonds between Cys37-Cys43 and Cys65-Cys75. From the crystal structure analysis of recombinant G-CSF it is known that the molecule consists of a four-helix bundle with an up-up-down-down configuration</w:t>
      </w:r>
      <w:r w:rsidR="00B56A57">
        <w:t>.</w:t>
      </w:r>
    </w:p>
    <w:p w:rsidR="00B56A57" w:rsidRDefault="00CE1F05" w:rsidP="00705FDE">
      <w:proofErr w:type="spellStart"/>
      <w:r w:rsidRPr="009801DD">
        <w:t>Lipegfilgrastim</w:t>
      </w:r>
      <w:proofErr w:type="spellEnd"/>
      <w:r w:rsidRPr="009801DD">
        <w:t xml:space="preserve"> is similar to another PEGylated</w:t>
      </w:r>
      <w:r w:rsidR="009801DD">
        <w:t xml:space="preserve"> </w:t>
      </w:r>
      <w:proofErr w:type="spellStart"/>
      <w:r w:rsidRPr="009801DD">
        <w:t>filgrastim</w:t>
      </w:r>
      <w:proofErr w:type="spellEnd"/>
      <w:r w:rsidRPr="009801DD">
        <w:t xml:space="preserve"> molecule currently marketed as </w:t>
      </w:r>
      <w:proofErr w:type="spellStart"/>
      <w:r w:rsidR="00705FDE" w:rsidRPr="009801DD">
        <w:t>Neulasta</w:t>
      </w:r>
      <w:proofErr w:type="spellEnd"/>
      <w:r w:rsidR="00705FDE" w:rsidRPr="009801DD">
        <w:t xml:space="preserve"> </w:t>
      </w:r>
      <w:r w:rsidRPr="009801DD">
        <w:t>(</w:t>
      </w:r>
      <w:r w:rsidR="009801DD" w:rsidRPr="009801DD">
        <w:t xml:space="preserve">International </w:t>
      </w:r>
      <w:proofErr w:type="spellStart"/>
      <w:r w:rsidR="009801DD" w:rsidRPr="009801DD">
        <w:t>Nonproprietary</w:t>
      </w:r>
      <w:proofErr w:type="spellEnd"/>
      <w:r w:rsidR="009801DD" w:rsidRPr="009801DD">
        <w:t xml:space="preserve"> Name (</w:t>
      </w:r>
      <w:r w:rsidRPr="009801DD">
        <w:t>INN</w:t>
      </w:r>
      <w:r w:rsidR="009801DD" w:rsidRPr="009801DD">
        <w:t>)</w:t>
      </w:r>
      <w:proofErr w:type="gramStart"/>
      <w:r w:rsidRPr="009801DD">
        <w:t>:</w:t>
      </w:r>
      <w:proofErr w:type="spellStart"/>
      <w:r w:rsidRPr="009801DD">
        <w:t>pegfilgrastim</w:t>
      </w:r>
      <w:proofErr w:type="spellEnd"/>
      <w:proofErr w:type="gramEnd"/>
      <w:r w:rsidRPr="009801DD">
        <w:t>).</w:t>
      </w:r>
      <w:r w:rsidR="009801DD">
        <w:t xml:space="preserve"> </w:t>
      </w:r>
      <w:proofErr w:type="spellStart"/>
      <w:r w:rsidRPr="009801DD">
        <w:t>Pegfilgrastim</w:t>
      </w:r>
      <w:proofErr w:type="spellEnd"/>
      <w:r w:rsidRPr="009801DD">
        <w:t xml:space="preserve"> is different on the molecular level from </w:t>
      </w:r>
      <w:proofErr w:type="spellStart"/>
      <w:r w:rsidRPr="009801DD">
        <w:t>lipegfilgrastim</w:t>
      </w:r>
      <w:proofErr w:type="spellEnd"/>
      <w:r w:rsidRPr="009801DD">
        <w:t xml:space="preserve"> in the way the PEG moiety is attached to </w:t>
      </w:r>
      <w:proofErr w:type="spellStart"/>
      <w:r w:rsidRPr="009801DD">
        <w:t>filgrastim</w:t>
      </w:r>
      <w:proofErr w:type="spellEnd"/>
      <w:r w:rsidRPr="009801DD">
        <w:t xml:space="preserve">. In </w:t>
      </w:r>
      <w:proofErr w:type="spellStart"/>
      <w:r w:rsidRPr="009801DD">
        <w:t>lipegfilgrastim</w:t>
      </w:r>
      <w:proofErr w:type="spellEnd"/>
      <w:r w:rsidRPr="009801DD">
        <w:t>, the PEG moiety is</w:t>
      </w:r>
      <w:r>
        <w:t xml:space="preserve"> attached enzymatically through a </w:t>
      </w:r>
      <w:proofErr w:type="spellStart"/>
      <w:r>
        <w:t>glycolinker</w:t>
      </w:r>
      <w:proofErr w:type="spellEnd"/>
      <w:r>
        <w:t xml:space="preserve"> (</w:t>
      </w:r>
      <w:proofErr w:type="spellStart"/>
      <w:r>
        <w:t>glycyl-sialyl-GalNac</w:t>
      </w:r>
      <w:proofErr w:type="spellEnd"/>
      <w:r>
        <w:t>) to the amino acid Threonine</w:t>
      </w:r>
      <w:r>
        <w:rPr>
          <w:vertAlign w:val="superscript"/>
        </w:rPr>
        <w:t>134</w:t>
      </w:r>
      <w:r>
        <w:t xml:space="preserve"> whereas in </w:t>
      </w:r>
      <w:proofErr w:type="spellStart"/>
      <w:r>
        <w:t>pegfilgrastim</w:t>
      </w:r>
      <w:proofErr w:type="spellEnd"/>
      <w:r>
        <w:t xml:space="preserve"> the PEG moiety is bound chemically to the N-terminal methionine</w:t>
      </w:r>
      <w:r w:rsidR="00B56A57">
        <w:t>.</w:t>
      </w:r>
    </w:p>
    <w:p w:rsidR="00B56A57" w:rsidRDefault="00CE1F05" w:rsidP="00191BC5">
      <w:pPr>
        <w:rPr>
          <w:rFonts w:asciiTheme="minorHAnsi" w:hAnsiTheme="minorHAnsi"/>
        </w:rPr>
      </w:pPr>
      <w:r>
        <w:rPr>
          <w:rFonts w:asciiTheme="minorHAnsi" w:hAnsiTheme="minorHAnsi"/>
        </w:rPr>
        <w:t xml:space="preserve">The manufacturing process of </w:t>
      </w:r>
      <w:proofErr w:type="spellStart"/>
      <w:r>
        <w:rPr>
          <w:rFonts w:asciiTheme="minorHAnsi" w:hAnsiTheme="minorHAnsi"/>
        </w:rPr>
        <w:t>lipegfilgrastim</w:t>
      </w:r>
      <w:proofErr w:type="spellEnd"/>
      <w:r>
        <w:rPr>
          <w:rFonts w:asciiTheme="minorHAnsi" w:hAnsiTheme="minorHAnsi"/>
        </w:rPr>
        <w:t xml:space="preserve"> consists of two parts</w:t>
      </w:r>
      <w:r w:rsidR="009801DD">
        <w:rPr>
          <w:rFonts w:asciiTheme="minorHAnsi" w:hAnsiTheme="minorHAnsi"/>
        </w:rPr>
        <w:t>;</w:t>
      </w:r>
      <w:r>
        <w:rPr>
          <w:rFonts w:asciiTheme="minorHAnsi" w:hAnsiTheme="minorHAnsi"/>
        </w:rPr>
        <w:t xml:space="preserve"> manufacture of </w:t>
      </w:r>
      <w:proofErr w:type="spellStart"/>
      <w:r>
        <w:rPr>
          <w:rFonts w:asciiTheme="minorHAnsi" w:hAnsiTheme="minorHAnsi"/>
        </w:rPr>
        <w:t>filgrastim</w:t>
      </w:r>
      <w:proofErr w:type="spellEnd"/>
      <w:r>
        <w:rPr>
          <w:rFonts w:asciiTheme="minorHAnsi" w:hAnsiTheme="minorHAnsi"/>
        </w:rPr>
        <w:t xml:space="preserve"> intermediate (XM21) and production of </w:t>
      </w:r>
      <w:proofErr w:type="spellStart"/>
      <w:r>
        <w:rPr>
          <w:rFonts w:asciiTheme="minorHAnsi" w:hAnsiTheme="minorHAnsi"/>
        </w:rPr>
        <w:t>lipegfilgrastim</w:t>
      </w:r>
      <w:proofErr w:type="spellEnd"/>
      <w:r>
        <w:rPr>
          <w:rFonts w:asciiTheme="minorHAnsi" w:hAnsiTheme="minorHAnsi"/>
        </w:rPr>
        <w:t xml:space="preserve"> (XM22)</w:t>
      </w:r>
      <w:r w:rsidR="009801DD">
        <w:rPr>
          <w:rFonts w:asciiTheme="minorHAnsi" w:hAnsiTheme="minorHAnsi"/>
        </w:rPr>
        <w:t xml:space="preserve"> (Figure </w:t>
      </w:r>
      <w:r w:rsidR="00D10CCF">
        <w:rPr>
          <w:rFonts w:asciiTheme="minorHAnsi" w:hAnsiTheme="minorHAnsi"/>
        </w:rPr>
        <w:t>2</w:t>
      </w:r>
      <w:r w:rsidR="009801DD">
        <w:rPr>
          <w:rFonts w:asciiTheme="minorHAnsi" w:hAnsiTheme="minorHAnsi"/>
        </w:rPr>
        <w:t>)</w:t>
      </w:r>
      <w:r w:rsidR="00B56A57">
        <w:rPr>
          <w:rFonts w:asciiTheme="minorHAnsi" w:hAnsiTheme="minorHAnsi"/>
        </w:rPr>
        <w:t>.</w:t>
      </w:r>
    </w:p>
    <w:p w:rsidR="00CE1F05" w:rsidRDefault="009801DD" w:rsidP="009801DD">
      <w:pPr>
        <w:rPr>
          <w:b/>
        </w:rPr>
      </w:pPr>
      <w:r>
        <w:rPr>
          <w:noProof/>
          <w:lang w:eastAsia="en-AU"/>
        </w:rPr>
        <w:lastRenderedPageBreak/>
        <w:drawing>
          <wp:anchor distT="0" distB="0" distL="114300" distR="114300" simplePos="0" relativeHeight="251661312" behindDoc="0" locked="0" layoutInCell="1" allowOverlap="1" wp14:anchorId="6788FEED" wp14:editId="0DA8C2A9">
            <wp:simplePos x="0" y="0"/>
            <wp:positionH relativeFrom="column">
              <wp:posOffset>-7620</wp:posOffset>
            </wp:positionH>
            <wp:positionV relativeFrom="paragraph">
              <wp:posOffset>317500</wp:posOffset>
            </wp:positionV>
            <wp:extent cx="3664585" cy="2720975"/>
            <wp:effectExtent l="0" t="0" r="0" b="3175"/>
            <wp:wrapTopAndBottom/>
            <wp:docPr id="16" name="Picture 16" descr="Figure 2: Overview of enzymatic pegylation reaction to manufacture XM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64585" cy="2720975"/>
                    </a:xfrm>
                    <a:prstGeom prst="rect">
                      <a:avLst/>
                    </a:prstGeom>
                    <a:noFill/>
                  </pic:spPr>
                </pic:pic>
              </a:graphicData>
            </a:graphic>
            <wp14:sizeRelH relativeFrom="page">
              <wp14:pctWidth>0</wp14:pctWidth>
            </wp14:sizeRelH>
            <wp14:sizeRelV relativeFrom="page">
              <wp14:pctHeight>0</wp14:pctHeight>
            </wp14:sizeRelV>
          </wp:anchor>
        </w:drawing>
      </w:r>
      <w:r w:rsidR="00CE1F05">
        <w:rPr>
          <w:b/>
        </w:rPr>
        <w:t xml:space="preserve">Figure </w:t>
      </w:r>
      <w:r w:rsidR="00D10CCF">
        <w:rPr>
          <w:b/>
        </w:rPr>
        <w:t>2</w:t>
      </w:r>
      <w:r w:rsidR="00CE1F05">
        <w:rPr>
          <w:b/>
        </w:rPr>
        <w:t>: Overview of enzymatic</w:t>
      </w:r>
      <w:r>
        <w:rPr>
          <w:b/>
        </w:rPr>
        <w:t xml:space="preserve"> </w:t>
      </w:r>
      <w:proofErr w:type="spellStart"/>
      <w:r w:rsidR="00CE1F05">
        <w:rPr>
          <w:b/>
        </w:rPr>
        <w:t>pegylation</w:t>
      </w:r>
      <w:proofErr w:type="spellEnd"/>
      <w:r w:rsidR="00CE1F05">
        <w:rPr>
          <w:b/>
        </w:rPr>
        <w:t xml:space="preserve"> reaction to manufacture XM22</w:t>
      </w:r>
    </w:p>
    <w:p w:rsidR="00B56A57" w:rsidRDefault="009801DD" w:rsidP="009801DD">
      <w:pPr>
        <w:rPr>
          <w:rFonts w:asciiTheme="minorHAnsi" w:hAnsiTheme="minorHAnsi"/>
        </w:rPr>
      </w:pPr>
      <w:r>
        <w:rPr>
          <w:rFonts w:asciiTheme="minorHAnsi" w:hAnsiTheme="minorHAnsi"/>
        </w:rPr>
        <w:t>All viral/prion safety issues have been addressed, including use of animal-derived excipients, supplements in the fermentation process and in cell banking</w:t>
      </w:r>
      <w:r w:rsidR="00B56A57">
        <w:rPr>
          <w:rFonts w:asciiTheme="minorHAnsi" w:hAnsiTheme="minorHAnsi"/>
        </w:rPr>
        <w:t>.</w:t>
      </w:r>
    </w:p>
    <w:p w:rsidR="00CE1F05" w:rsidRDefault="00CE1F05" w:rsidP="00CE1F05">
      <w:pPr>
        <w:rPr>
          <w:rFonts w:asciiTheme="minorHAnsi" w:hAnsiTheme="minorHAnsi" w:cs="Arial"/>
        </w:rPr>
      </w:pPr>
      <w:r>
        <w:rPr>
          <w:rFonts w:asciiTheme="minorHAnsi" w:hAnsiTheme="minorHAnsi" w:cs="Arial"/>
        </w:rPr>
        <w:t>Major product related impurities include methionine oxidised species, non-</w:t>
      </w:r>
      <w:proofErr w:type="spellStart"/>
      <w:r>
        <w:rPr>
          <w:rFonts w:asciiTheme="minorHAnsi" w:hAnsiTheme="minorHAnsi" w:cs="Arial"/>
        </w:rPr>
        <w:t>pegylated</w:t>
      </w:r>
      <w:proofErr w:type="spellEnd"/>
      <w:r>
        <w:rPr>
          <w:rFonts w:asciiTheme="minorHAnsi" w:hAnsiTheme="minorHAnsi" w:cs="Arial"/>
        </w:rPr>
        <w:t xml:space="preserve"> XM21-GalNac, </w:t>
      </w:r>
      <w:proofErr w:type="spellStart"/>
      <w:r>
        <w:rPr>
          <w:rFonts w:asciiTheme="minorHAnsi" w:hAnsiTheme="minorHAnsi" w:cs="Arial"/>
        </w:rPr>
        <w:t>deamidated</w:t>
      </w:r>
      <w:proofErr w:type="spellEnd"/>
      <w:r>
        <w:rPr>
          <w:rFonts w:asciiTheme="minorHAnsi" w:hAnsiTheme="minorHAnsi" w:cs="Arial"/>
        </w:rPr>
        <w:t xml:space="preserve"> species and XM22 </w:t>
      </w:r>
      <w:proofErr w:type="spellStart"/>
      <w:r>
        <w:rPr>
          <w:rFonts w:asciiTheme="minorHAnsi" w:hAnsiTheme="minorHAnsi" w:cs="Arial"/>
        </w:rPr>
        <w:t>multimers</w:t>
      </w:r>
      <w:proofErr w:type="spellEnd"/>
      <w:r>
        <w:rPr>
          <w:rFonts w:asciiTheme="minorHAnsi" w:hAnsiTheme="minorHAnsi" w:cs="Arial"/>
        </w:rPr>
        <w:t>. Biological activities of impurities and charge variants were characterised.</w:t>
      </w:r>
      <w:r w:rsidR="009801DD">
        <w:rPr>
          <w:rFonts w:asciiTheme="minorHAnsi" w:hAnsiTheme="minorHAnsi" w:cs="Arial"/>
        </w:rPr>
        <w:t xml:space="preserve"> </w:t>
      </w:r>
      <w:r>
        <w:rPr>
          <w:rFonts w:asciiTheme="minorHAnsi" w:hAnsiTheme="minorHAnsi" w:cs="Arial"/>
        </w:rPr>
        <w:t xml:space="preserve"> Impurity levels are effectively controlled by appropriate testing methods during the manufacture and at release. Potency of</w:t>
      </w:r>
      <w:r w:rsidR="009801DD">
        <w:rPr>
          <w:rFonts w:asciiTheme="minorHAnsi" w:hAnsiTheme="minorHAnsi" w:cs="Arial"/>
        </w:rPr>
        <w:t xml:space="preserve"> </w:t>
      </w:r>
      <w:proofErr w:type="spellStart"/>
      <w:r>
        <w:rPr>
          <w:rFonts w:asciiTheme="minorHAnsi" w:hAnsiTheme="minorHAnsi" w:cs="Arial"/>
        </w:rPr>
        <w:t>ipegfilgrastim</w:t>
      </w:r>
      <w:proofErr w:type="spellEnd"/>
      <w:r>
        <w:rPr>
          <w:rFonts w:asciiTheme="minorHAnsi" w:hAnsiTheme="minorHAnsi" w:cs="Arial"/>
        </w:rPr>
        <w:t xml:space="preserve"> determined by</w:t>
      </w:r>
      <w:r>
        <w:t xml:space="preserve"> </w:t>
      </w:r>
      <w:r>
        <w:rPr>
          <w:rFonts w:asciiTheme="minorHAnsi" w:hAnsiTheme="minorHAnsi" w:cs="Arial"/>
          <w:i/>
        </w:rPr>
        <w:t>in</w:t>
      </w:r>
      <w:r w:rsidR="009801DD">
        <w:rPr>
          <w:rFonts w:asciiTheme="minorHAnsi" w:hAnsiTheme="minorHAnsi" w:cs="Arial"/>
          <w:i/>
        </w:rPr>
        <w:t xml:space="preserve"> </w:t>
      </w:r>
      <w:r>
        <w:rPr>
          <w:rFonts w:asciiTheme="minorHAnsi" w:hAnsiTheme="minorHAnsi" w:cs="Arial"/>
          <w:i/>
        </w:rPr>
        <w:t>vitro</w:t>
      </w:r>
      <w:r w:rsidR="009801DD">
        <w:rPr>
          <w:rFonts w:asciiTheme="minorHAnsi" w:hAnsiTheme="minorHAnsi" w:cs="Arial"/>
        </w:rPr>
        <w:t xml:space="preserve"> </w:t>
      </w:r>
      <w:r>
        <w:rPr>
          <w:rFonts w:asciiTheme="minorHAnsi" w:hAnsiTheme="minorHAnsi" w:cs="Arial"/>
        </w:rPr>
        <w:t xml:space="preserve">cell-based assay is </w:t>
      </w:r>
      <w:r w:rsidR="009801DD">
        <w:rPr>
          <w:rFonts w:asciiTheme="minorHAnsi" w:hAnsiTheme="minorHAnsi" w:cs="Arial"/>
        </w:rPr>
        <w:t xml:space="preserve">approximately </w:t>
      </w:r>
      <w:r>
        <w:rPr>
          <w:rFonts w:asciiTheme="minorHAnsi" w:hAnsiTheme="minorHAnsi" w:cs="Arial"/>
        </w:rPr>
        <w:t>50% lower than</w:t>
      </w:r>
      <w:r w:rsidR="009801DD">
        <w:rPr>
          <w:rFonts w:asciiTheme="minorHAnsi" w:hAnsiTheme="minorHAnsi" w:cs="Arial"/>
        </w:rPr>
        <w:t xml:space="preserve"> </w:t>
      </w:r>
      <w:r>
        <w:rPr>
          <w:rFonts w:asciiTheme="minorHAnsi" w:hAnsiTheme="minorHAnsi" w:cs="Arial"/>
        </w:rPr>
        <w:t>that of unmodified</w:t>
      </w:r>
      <w:r w:rsidR="009801DD">
        <w:rPr>
          <w:rFonts w:asciiTheme="minorHAnsi" w:hAnsiTheme="minorHAnsi" w:cs="Arial"/>
        </w:rPr>
        <w:t xml:space="preserve"> </w:t>
      </w:r>
      <w:proofErr w:type="spellStart"/>
      <w:r>
        <w:rPr>
          <w:rFonts w:asciiTheme="minorHAnsi" w:hAnsiTheme="minorHAnsi" w:cs="Arial"/>
        </w:rPr>
        <w:t>Filgrastim</w:t>
      </w:r>
      <w:proofErr w:type="spellEnd"/>
      <w:r w:rsidR="009801DD">
        <w:rPr>
          <w:rFonts w:asciiTheme="minorHAnsi" w:hAnsiTheme="minorHAnsi" w:cs="Arial"/>
        </w:rPr>
        <w:t xml:space="preserve"> </w:t>
      </w:r>
      <w:r>
        <w:rPr>
          <w:rFonts w:asciiTheme="minorHAnsi" w:hAnsiTheme="minorHAnsi" w:cs="Arial"/>
        </w:rPr>
        <w:t xml:space="preserve">(XM21). </w:t>
      </w:r>
      <w:r w:rsidR="009801DD">
        <w:t xml:space="preserve">This reduction of </w:t>
      </w:r>
      <w:r w:rsidRPr="009801DD">
        <w:t>in</w:t>
      </w:r>
      <w:r w:rsidR="009801DD" w:rsidRPr="009801DD">
        <w:t xml:space="preserve"> </w:t>
      </w:r>
      <w:r w:rsidRPr="009801DD">
        <w:t xml:space="preserve">vitro </w:t>
      </w:r>
      <w:r>
        <w:t xml:space="preserve">potency is caused PEG-moiety attached to </w:t>
      </w:r>
      <w:proofErr w:type="spellStart"/>
      <w:r>
        <w:t>filgrastim</w:t>
      </w:r>
      <w:proofErr w:type="spellEnd"/>
      <w:r>
        <w:t xml:space="preserve"> molecule. However, PEG moiety increases the half-life of the molecule, thereby allowing a less-frequent dosing schedule while maintaining an acceptable safety and efficacy profile.</w:t>
      </w:r>
    </w:p>
    <w:p w:rsidR="00B56A57" w:rsidRDefault="00CE1F05" w:rsidP="00CE1F05">
      <w:pPr>
        <w:rPr>
          <w:rFonts w:asciiTheme="minorHAnsi" w:hAnsiTheme="minorHAnsi" w:cs="Arial"/>
        </w:rPr>
      </w:pPr>
      <w:r>
        <w:rPr>
          <w:rFonts w:asciiTheme="minorHAnsi" w:hAnsiTheme="minorHAnsi" w:cs="Arial"/>
        </w:rPr>
        <w:t>Separate specifications for XM21 and XM22 were provided. The proposed specifications are adequate to control essential quality attributes including identity, content, potency, purity and other biological and physical properties of the drug substance relevant to the dose form.</w:t>
      </w:r>
      <w:r w:rsidR="009801DD">
        <w:rPr>
          <w:rFonts w:asciiTheme="minorHAnsi" w:hAnsiTheme="minorHAnsi" w:cs="Arial"/>
        </w:rPr>
        <w:t xml:space="preserve"> </w:t>
      </w:r>
      <w:r>
        <w:rPr>
          <w:rFonts w:asciiTheme="minorHAnsi" w:hAnsiTheme="minorHAnsi" w:cs="Arial"/>
        </w:rPr>
        <w:t>In-house test methods were validated according to relevant guidelines and the batch data indicated a consistent good quality of manufactured drug substance batches</w:t>
      </w:r>
      <w:r w:rsidR="00B56A57">
        <w:rPr>
          <w:rFonts w:asciiTheme="minorHAnsi" w:hAnsiTheme="minorHAnsi" w:cs="Arial"/>
        </w:rPr>
        <w:t>.</w:t>
      </w:r>
    </w:p>
    <w:p w:rsidR="00B56A57" w:rsidRDefault="00CE1F05" w:rsidP="00CE1F05">
      <w:pPr>
        <w:rPr>
          <w:rFonts w:asciiTheme="minorHAnsi" w:hAnsiTheme="minorHAnsi"/>
        </w:rPr>
      </w:pPr>
      <w:r>
        <w:rPr>
          <w:rFonts w:asciiTheme="minorHAnsi" w:hAnsiTheme="minorHAnsi"/>
        </w:rPr>
        <w:t>Stability data have been generated under real time and various stress conditions to characterise the stability/degradation profile of the drug substance</w:t>
      </w:r>
      <w:r w:rsidR="00B56A57">
        <w:rPr>
          <w:rFonts w:asciiTheme="minorHAnsi" w:hAnsiTheme="minorHAnsi"/>
        </w:rPr>
        <w:t>.</w:t>
      </w:r>
    </w:p>
    <w:p w:rsidR="008E7846" w:rsidRDefault="008E7846" w:rsidP="008E7846">
      <w:pPr>
        <w:pStyle w:val="Heading3"/>
      </w:pPr>
      <w:bookmarkStart w:id="28" w:name="_Toc247691508"/>
      <w:bookmarkStart w:id="29" w:name="_Toc314842490"/>
      <w:bookmarkStart w:id="30" w:name="_Toc445210950"/>
      <w:r w:rsidRPr="008751DC">
        <w:t xml:space="preserve">Drug </w:t>
      </w:r>
      <w:r>
        <w:t>p</w:t>
      </w:r>
      <w:r w:rsidRPr="008751DC">
        <w:t>roduct</w:t>
      </w:r>
      <w:bookmarkEnd w:id="28"/>
      <w:bookmarkEnd w:id="29"/>
      <w:bookmarkEnd w:id="30"/>
    </w:p>
    <w:p w:rsidR="00B56A57" w:rsidRDefault="00CE1F05" w:rsidP="00CE1F05">
      <w:proofErr w:type="spellStart"/>
      <w:r>
        <w:t>Lonquex</w:t>
      </w:r>
      <w:proofErr w:type="spellEnd"/>
      <w:r w:rsidR="009801DD">
        <w:t xml:space="preserve"> </w:t>
      </w:r>
      <w:r>
        <w:t>is a sterile, preservative-free aqueous solution for subcutaneous administration, presented in a 1</w:t>
      </w:r>
      <w:r w:rsidR="009801DD">
        <w:t xml:space="preserve"> mL pre-filled syringe</w:t>
      </w:r>
      <w:r>
        <w:t xml:space="preserve">. Each syringe contains 6 mg of </w:t>
      </w:r>
      <w:proofErr w:type="spellStart"/>
      <w:r>
        <w:t>lipegfilgrastim</w:t>
      </w:r>
      <w:proofErr w:type="spellEnd"/>
      <w:r>
        <w:t xml:space="preserve"> (based on protein content) in 0.6 mL acetate buffer at pH 5.0. The Drug Product is manufactured with a 5% overfill to ensure an extractable volume of 0.6 mL for each syringe. Formulation does not contain overage. The composition of the liquid formulation and the fill volume for the pre-filled syringe </w:t>
      </w:r>
      <w:r w:rsidR="009801DD">
        <w:t>are</w:t>
      </w:r>
      <w:r>
        <w:t xml:space="preserve"> provided in Table </w:t>
      </w:r>
      <w:r w:rsidR="009801DD">
        <w:t>3</w:t>
      </w:r>
      <w:r>
        <w:t>. A tray or blister containing one syringe is packaged in cardboard carton of the appropriate size, together with the leaflets</w:t>
      </w:r>
      <w:r w:rsidR="00B56A57">
        <w:t>.</w:t>
      </w:r>
    </w:p>
    <w:p w:rsidR="00CE1F05" w:rsidRDefault="00CE1F05" w:rsidP="009801DD">
      <w:pPr>
        <w:pStyle w:val="TableTitle"/>
      </w:pPr>
      <w:r>
        <w:lastRenderedPageBreak/>
        <w:t xml:space="preserve">Table </w:t>
      </w:r>
      <w:r w:rsidR="009801DD">
        <w:t xml:space="preserve">3: </w:t>
      </w:r>
      <w:r>
        <w:t>Composition of Drug Product in Pre-Filled Syringe</w:t>
      </w:r>
    </w:p>
    <w:p w:rsidR="00CE1F05" w:rsidRDefault="00CE1F05" w:rsidP="00CE1F05">
      <w:pPr>
        <w:rPr>
          <w:rFonts w:asciiTheme="minorHAnsi" w:hAnsiTheme="minorHAnsi" w:cs="Arial"/>
        </w:rPr>
      </w:pPr>
      <w:r>
        <w:rPr>
          <w:noProof/>
          <w:lang w:eastAsia="en-AU"/>
        </w:rPr>
        <w:drawing>
          <wp:inline distT="0" distB="0" distL="0" distR="0" wp14:anchorId="329907F0" wp14:editId="33D24643">
            <wp:extent cx="4724400" cy="1790661"/>
            <wp:effectExtent l="0" t="0" r="0" b="635"/>
            <wp:docPr id="20" name="Picture 20" descr="Table 3: Composition of Drug Product in Pre-Filled Syr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4725705" cy="1791156"/>
                    </a:xfrm>
                    <a:prstGeom prst="rect">
                      <a:avLst/>
                    </a:prstGeom>
                    <a:noFill/>
                    <a:ln>
                      <a:noFill/>
                    </a:ln>
                  </pic:spPr>
                </pic:pic>
              </a:graphicData>
            </a:graphic>
          </wp:inline>
        </w:drawing>
      </w:r>
    </w:p>
    <w:p w:rsidR="00B56A57" w:rsidRDefault="00CE1F05" w:rsidP="00CE1F05">
      <w:pPr>
        <w:rPr>
          <w:rFonts w:asciiTheme="minorHAnsi" w:hAnsiTheme="minorHAnsi"/>
        </w:rPr>
      </w:pPr>
      <w:r>
        <w:rPr>
          <w:rFonts w:asciiTheme="minorHAnsi" w:hAnsiTheme="minorHAnsi"/>
        </w:rPr>
        <w:t>The final drug product manufacture</w:t>
      </w:r>
      <w:r w:rsidR="009801DD">
        <w:rPr>
          <w:rFonts w:asciiTheme="minorHAnsi" w:hAnsiTheme="minorHAnsi"/>
        </w:rPr>
        <w:t xml:space="preserve"> </w:t>
      </w:r>
      <w:r>
        <w:rPr>
          <w:rFonts w:asciiTheme="minorHAnsi" w:hAnsiTheme="minorHAnsi"/>
        </w:rPr>
        <w:t>does not involve formulation as the drug substance is formulated at the end of down-stream manufacturing process of the drug substance.</w:t>
      </w:r>
      <w:r w:rsidR="009801DD">
        <w:rPr>
          <w:rFonts w:asciiTheme="minorHAnsi" w:hAnsiTheme="minorHAnsi"/>
        </w:rPr>
        <w:t xml:space="preserve"> </w:t>
      </w:r>
      <w:r>
        <w:rPr>
          <w:rFonts w:asciiTheme="minorHAnsi" w:hAnsiTheme="minorHAnsi"/>
        </w:rPr>
        <w:t xml:space="preserve"> Manufacturing process of XM22 drug product pre-filled syringes involves pooling of already formulated XM22 drug substance, sterile filtration and</w:t>
      </w:r>
      <w:r w:rsidR="009801DD">
        <w:rPr>
          <w:rFonts w:asciiTheme="minorHAnsi" w:hAnsiTheme="minorHAnsi"/>
        </w:rPr>
        <w:t xml:space="preserve"> </w:t>
      </w:r>
      <w:r>
        <w:rPr>
          <w:rFonts w:asciiTheme="minorHAnsi" w:hAnsiTheme="minorHAnsi"/>
        </w:rPr>
        <w:t>filling, visual inspection, release testing and labelling and packaging</w:t>
      </w:r>
      <w:r w:rsidR="00B56A57">
        <w:rPr>
          <w:rFonts w:asciiTheme="minorHAnsi" w:hAnsiTheme="minorHAnsi"/>
        </w:rPr>
        <w:t>.</w:t>
      </w:r>
    </w:p>
    <w:p w:rsidR="00B56A57" w:rsidRDefault="00CE1F05" w:rsidP="00CE1F05">
      <w:pPr>
        <w:rPr>
          <w:rFonts w:asciiTheme="minorHAnsi" w:hAnsiTheme="minorHAnsi"/>
        </w:rPr>
      </w:pPr>
      <w:r>
        <w:rPr>
          <w:rFonts w:asciiTheme="minorHAnsi" w:hAnsiTheme="minorHAnsi"/>
        </w:rPr>
        <w:t>The proposed release and shelf-life</w:t>
      </w:r>
      <w:r w:rsidR="009801DD">
        <w:rPr>
          <w:rFonts w:asciiTheme="minorHAnsi" w:hAnsiTheme="minorHAnsi"/>
        </w:rPr>
        <w:t xml:space="preserve"> </w:t>
      </w:r>
      <w:r>
        <w:rPr>
          <w:rFonts w:asciiTheme="minorHAnsi" w:hAnsiTheme="minorHAnsi"/>
        </w:rPr>
        <w:t xml:space="preserve">specifications provide adequate control of identity, potency, purity, dose delivery and other physical, chemical and microbiological properties relevant to </w:t>
      </w:r>
      <w:r w:rsidR="00A86F5A">
        <w:rPr>
          <w:rFonts w:asciiTheme="minorHAnsi" w:hAnsiTheme="minorHAnsi"/>
        </w:rPr>
        <w:t>the clinical use of the product</w:t>
      </w:r>
      <w:r>
        <w:rPr>
          <w:rFonts w:asciiTheme="minorHAnsi" w:hAnsiTheme="minorHAnsi"/>
        </w:rPr>
        <w:t>. The analytical methods used for the quality control of final drug product are essentially the same as those used for the drug substance. The analytical procedures were adequately validated and the proposed specifications were justified</w:t>
      </w:r>
      <w:r w:rsidR="00B56A57">
        <w:rPr>
          <w:rFonts w:asciiTheme="minorHAnsi" w:hAnsiTheme="minorHAnsi"/>
        </w:rPr>
        <w:t>.</w:t>
      </w:r>
    </w:p>
    <w:p w:rsidR="00B56A57" w:rsidRDefault="00CE1F05" w:rsidP="00CE1F05">
      <w:pPr>
        <w:rPr>
          <w:rFonts w:asciiTheme="minorHAnsi" w:hAnsiTheme="minorHAnsi"/>
        </w:rPr>
      </w:pPr>
      <w:r>
        <w:rPr>
          <w:rFonts w:asciiTheme="minorHAnsi" w:hAnsiTheme="minorHAnsi"/>
        </w:rPr>
        <w:t>Stability data have been generated under stressed and real time conditions to characterise the stability profile of the product.</w:t>
      </w:r>
      <w:r w:rsidR="009801DD">
        <w:rPr>
          <w:rFonts w:asciiTheme="minorHAnsi" w:hAnsiTheme="minorHAnsi"/>
        </w:rPr>
        <w:t xml:space="preserve"> </w:t>
      </w:r>
      <w:proofErr w:type="spellStart"/>
      <w:r>
        <w:rPr>
          <w:rFonts w:asciiTheme="minorHAnsi" w:hAnsiTheme="minorHAnsi"/>
        </w:rPr>
        <w:t>Photostability</w:t>
      </w:r>
      <w:proofErr w:type="spellEnd"/>
      <w:r>
        <w:rPr>
          <w:rFonts w:asciiTheme="minorHAnsi" w:hAnsiTheme="minorHAnsi"/>
        </w:rPr>
        <w:t xml:space="preserve"> data indicates that the product is not </w:t>
      </w:r>
      <w:proofErr w:type="spellStart"/>
      <w:r>
        <w:rPr>
          <w:rFonts w:asciiTheme="minorHAnsi" w:hAnsiTheme="minorHAnsi"/>
        </w:rPr>
        <w:t>photostable</w:t>
      </w:r>
      <w:proofErr w:type="spellEnd"/>
      <w:r>
        <w:rPr>
          <w:rFonts w:asciiTheme="minorHAnsi" w:hAnsiTheme="minorHAnsi"/>
        </w:rPr>
        <w:t>.</w:t>
      </w:r>
      <w:r w:rsidR="009801DD">
        <w:rPr>
          <w:rFonts w:asciiTheme="minorHAnsi" w:hAnsiTheme="minorHAnsi"/>
        </w:rPr>
        <w:t xml:space="preserve"> </w:t>
      </w:r>
      <w:r>
        <w:rPr>
          <w:rFonts w:asciiTheme="minorHAnsi" w:hAnsiTheme="minorHAnsi"/>
        </w:rPr>
        <w:t xml:space="preserve">The proposed shelf life is 24 months when stored at 5 ± 3 </w:t>
      </w:r>
      <w:r>
        <w:rPr>
          <w:rFonts w:asciiTheme="minorHAnsi" w:hAnsiTheme="minorHAnsi"/>
        </w:rPr>
        <w:sym w:font="Symbol" w:char="F0B0"/>
      </w:r>
      <w:r>
        <w:rPr>
          <w:rFonts w:asciiTheme="minorHAnsi" w:hAnsiTheme="minorHAnsi"/>
        </w:rPr>
        <w:t>C protected from light.</w:t>
      </w:r>
      <w:r w:rsidR="009801DD">
        <w:rPr>
          <w:rFonts w:asciiTheme="minorHAnsi" w:hAnsiTheme="minorHAnsi"/>
        </w:rPr>
        <w:t xml:space="preserve"> </w:t>
      </w:r>
      <w:r>
        <w:rPr>
          <w:rFonts w:asciiTheme="minorHAnsi" w:hAnsiTheme="minorHAnsi"/>
        </w:rPr>
        <w:t>The temperature excursion stability data indicate that the product can be exposed to up to 25</w:t>
      </w:r>
      <w:r>
        <w:rPr>
          <w:rFonts w:asciiTheme="minorHAnsi" w:hAnsiTheme="minorHAnsi"/>
          <w:vertAlign w:val="superscript"/>
        </w:rPr>
        <w:t>o</w:t>
      </w:r>
      <w:r>
        <w:rPr>
          <w:rFonts w:asciiTheme="minorHAnsi" w:hAnsiTheme="minorHAnsi"/>
        </w:rPr>
        <w:t>C for less than 48 hours during shipping. Frozen/melted products or products exposed to temperature above 25</w:t>
      </w:r>
      <w:r>
        <w:rPr>
          <w:rFonts w:asciiTheme="minorHAnsi" w:hAnsiTheme="minorHAnsi"/>
          <w:vertAlign w:val="superscript"/>
        </w:rPr>
        <w:t>o</w:t>
      </w:r>
      <w:r>
        <w:rPr>
          <w:rFonts w:asciiTheme="minorHAnsi" w:hAnsiTheme="minorHAnsi"/>
        </w:rPr>
        <w:t>C would have to be discarded. The product is for single use only so the storage conditions adequately control the in-use purposes</w:t>
      </w:r>
      <w:r w:rsidR="00B56A57">
        <w:rPr>
          <w:rFonts w:asciiTheme="minorHAnsi" w:hAnsiTheme="minorHAnsi"/>
        </w:rPr>
        <w:t>.</w:t>
      </w:r>
    </w:p>
    <w:p w:rsidR="008E7846" w:rsidRDefault="008E7846" w:rsidP="008E7846">
      <w:pPr>
        <w:pStyle w:val="Heading3"/>
      </w:pPr>
      <w:bookmarkStart w:id="31" w:name="_Toc314842491"/>
      <w:bookmarkStart w:id="32" w:name="_Toc445210951"/>
      <w:r>
        <w:t>Biopharmaceutics</w:t>
      </w:r>
      <w:bookmarkEnd w:id="31"/>
      <w:bookmarkEnd w:id="32"/>
    </w:p>
    <w:p w:rsidR="00B56A57" w:rsidRDefault="00CE1F05" w:rsidP="00CE1F05">
      <w:pPr>
        <w:rPr>
          <w:rFonts w:asciiTheme="minorHAnsi" w:hAnsiTheme="minorHAnsi"/>
        </w:rPr>
      </w:pPr>
      <w:bookmarkStart w:id="33" w:name="_Toc314842492"/>
      <w:proofErr w:type="spellStart"/>
      <w:r>
        <w:rPr>
          <w:rFonts w:asciiTheme="minorHAnsi" w:hAnsiTheme="minorHAnsi"/>
        </w:rPr>
        <w:t>Biopharmaceutic</w:t>
      </w:r>
      <w:proofErr w:type="spellEnd"/>
      <w:r>
        <w:rPr>
          <w:rFonts w:asciiTheme="minorHAnsi" w:hAnsiTheme="minorHAnsi"/>
        </w:rPr>
        <w:t xml:space="preserve"> data are not required for this product because only one route of administration is used</w:t>
      </w:r>
      <w:r w:rsidR="00B56A57">
        <w:rPr>
          <w:rFonts w:asciiTheme="minorHAnsi" w:hAnsiTheme="minorHAnsi"/>
        </w:rPr>
        <w:t>.</w:t>
      </w:r>
    </w:p>
    <w:p w:rsidR="008E7846" w:rsidRPr="008751DC" w:rsidRDefault="008E7846" w:rsidP="008E7846">
      <w:pPr>
        <w:pStyle w:val="Heading3"/>
      </w:pPr>
      <w:bookmarkStart w:id="34" w:name="_Toc247691509"/>
      <w:bookmarkStart w:id="35" w:name="_Toc314842493"/>
      <w:bookmarkStart w:id="36" w:name="_Toc445210952"/>
      <w:bookmarkEnd w:id="33"/>
      <w:r>
        <w:t>Quality s</w:t>
      </w:r>
      <w:r w:rsidRPr="008751DC">
        <w:t>ummary</w:t>
      </w:r>
      <w:r>
        <w:t xml:space="preserve"> and conclusions</w:t>
      </w:r>
      <w:bookmarkEnd w:id="34"/>
      <w:bookmarkEnd w:id="35"/>
      <w:bookmarkEnd w:id="36"/>
    </w:p>
    <w:p w:rsidR="00CE1F05" w:rsidRDefault="00CE1F05" w:rsidP="00CE1F05">
      <w:r>
        <w:t>The administrative, product usage, chemical, pharmaceutical,</w:t>
      </w:r>
      <w:r w:rsidR="009801DD">
        <w:t xml:space="preserve"> </w:t>
      </w:r>
      <w:r>
        <w:t xml:space="preserve">and microbiological data submitted in support of this application have been evaluated in accordance with the Australian legislation, </w:t>
      </w:r>
      <w:proofErr w:type="spellStart"/>
      <w:r>
        <w:t>pharmacopoeial</w:t>
      </w:r>
      <w:proofErr w:type="spellEnd"/>
      <w:r>
        <w:t xml:space="preserve"> standards and relevant technical guidelines adopted by the TGA.</w:t>
      </w:r>
    </w:p>
    <w:p w:rsidR="00CE1F05" w:rsidRDefault="00CE1F05" w:rsidP="00CE1F05">
      <w:r>
        <w:t xml:space="preserve">The </w:t>
      </w:r>
      <w:r w:rsidR="00A86F5A">
        <w:t>quality</w:t>
      </w:r>
      <w:r>
        <w:t xml:space="preserve"> evaluator recommend</w:t>
      </w:r>
      <w:r w:rsidR="00216F4E">
        <w:t>s</w:t>
      </w:r>
      <w:r>
        <w:t xml:space="preserve"> that </w:t>
      </w:r>
      <w:proofErr w:type="spellStart"/>
      <w:r w:rsidR="00A86F5A">
        <w:t>Lonquex</w:t>
      </w:r>
      <w:proofErr w:type="spellEnd"/>
      <w:r w:rsidR="00A86F5A">
        <w:t xml:space="preserve">, </w:t>
      </w:r>
      <w:proofErr w:type="spellStart"/>
      <w:r>
        <w:t>lipegfilgrastim</w:t>
      </w:r>
      <w:proofErr w:type="spellEnd"/>
      <w:r>
        <w:t xml:space="preserve"> (</w:t>
      </w:r>
      <w:proofErr w:type="spellStart"/>
      <w:proofErr w:type="gramStart"/>
      <w:r>
        <w:t>rbe</w:t>
      </w:r>
      <w:proofErr w:type="spellEnd"/>
      <w:proofErr w:type="gramEnd"/>
      <w:r>
        <w:t>) 6 mg/0.6 mL solution for injection, prefilled syringe should be approved.</w:t>
      </w:r>
    </w:p>
    <w:p w:rsidR="00A86F5A" w:rsidRPr="00A86F5A" w:rsidRDefault="00A86F5A" w:rsidP="00A86F5A">
      <w:pPr>
        <w:pStyle w:val="Heading4"/>
      </w:pPr>
      <w:r w:rsidRPr="00A86F5A">
        <w:t xml:space="preserve">Proposed </w:t>
      </w:r>
      <w:r>
        <w:t>c</w:t>
      </w:r>
      <w:r w:rsidR="00CE1F05" w:rsidRPr="00A86F5A">
        <w:t xml:space="preserve">onditions of </w:t>
      </w:r>
      <w:r>
        <w:t>r</w:t>
      </w:r>
      <w:r w:rsidR="00CE1F05" w:rsidRPr="00A86F5A">
        <w:t>egistration:</w:t>
      </w:r>
      <w:r w:rsidR="009801DD" w:rsidRPr="00A86F5A">
        <w:t xml:space="preserve"> </w:t>
      </w:r>
      <w:r>
        <w:t>batch r</w:t>
      </w:r>
      <w:r w:rsidR="00CE1F05" w:rsidRPr="00A86F5A">
        <w:t xml:space="preserve">elease </w:t>
      </w:r>
      <w:r>
        <w:t>t</w:t>
      </w:r>
      <w:r w:rsidR="00CE1F05" w:rsidRPr="00A86F5A">
        <w:t xml:space="preserve">esting </w:t>
      </w:r>
    </w:p>
    <w:p w:rsidR="00B56A57" w:rsidRDefault="00CE1F05" w:rsidP="00CE1F05">
      <w:pPr>
        <w:rPr>
          <w:rFonts w:asciiTheme="minorHAnsi" w:hAnsiTheme="minorHAnsi"/>
        </w:rPr>
      </w:pPr>
      <w:r>
        <w:rPr>
          <w:rFonts w:asciiTheme="minorHAnsi" w:hAnsiTheme="minorHAnsi"/>
        </w:rPr>
        <w:t>It is a condition of registration that, as a minimum, the fir</w:t>
      </w:r>
      <w:r w:rsidR="00A86F5A">
        <w:rPr>
          <w:rFonts w:asciiTheme="minorHAnsi" w:hAnsiTheme="minorHAnsi"/>
        </w:rPr>
        <w:t xml:space="preserve">st five independent batches of </w:t>
      </w:r>
      <w:proofErr w:type="spellStart"/>
      <w:r w:rsidR="00A86F5A">
        <w:t>Lonquex</w:t>
      </w:r>
      <w:proofErr w:type="spellEnd"/>
      <w:r w:rsidR="00A86F5A">
        <w:t xml:space="preserve"> </w:t>
      </w:r>
      <w:proofErr w:type="spellStart"/>
      <w:r>
        <w:t>lipegfilgrastim</w:t>
      </w:r>
      <w:proofErr w:type="spellEnd"/>
      <w:r>
        <w:t xml:space="preserve"> (</w:t>
      </w:r>
      <w:proofErr w:type="spellStart"/>
      <w:r>
        <w:t>rbe</w:t>
      </w:r>
      <w:proofErr w:type="spellEnd"/>
      <w:r>
        <w:t>) 6 mg/0.6 mL solution for injection, prefilled syringe</w:t>
      </w:r>
      <w:r w:rsidRPr="00A86F5A">
        <w:rPr>
          <w:rFonts w:asciiTheme="minorHAnsi" w:hAnsiTheme="minorHAnsi"/>
        </w:rPr>
        <w:t xml:space="preserve"> </w:t>
      </w:r>
      <w:r>
        <w:rPr>
          <w:rFonts w:asciiTheme="minorHAnsi" w:hAnsiTheme="minorHAnsi"/>
        </w:rPr>
        <w:t>imported into</w:t>
      </w:r>
      <w:r w:rsidR="009801DD">
        <w:rPr>
          <w:rFonts w:asciiTheme="minorHAnsi" w:hAnsiTheme="minorHAnsi"/>
          <w:color w:val="FF0000"/>
        </w:rPr>
        <w:t xml:space="preserve"> </w:t>
      </w:r>
      <w:r>
        <w:rPr>
          <w:rFonts w:asciiTheme="minorHAnsi" w:hAnsiTheme="minorHAnsi"/>
        </w:rPr>
        <w:t>Australia are not released for sale until samples and/or the manufacturer’s release data have been assessed and endorsed for release by the TGA</w:t>
      </w:r>
      <w:r w:rsidR="00B56A57">
        <w:rPr>
          <w:rFonts w:asciiTheme="minorHAnsi" w:hAnsiTheme="minorHAnsi"/>
        </w:rPr>
        <w:t>.</w:t>
      </w:r>
    </w:p>
    <w:p w:rsidR="008E7846" w:rsidRDefault="008E7846" w:rsidP="008E7846">
      <w:pPr>
        <w:pStyle w:val="Heading2"/>
      </w:pPr>
      <w:bookmarkStart w:id="37" w:name="_Toc196046439"/>
      <w:bookmarkStart w:id="38" w:name="_Toc247691510"/>
      <w:bookmarkStart w:id="39" w:name="_Toc314842494"/>
      <w:bookmarkStart w:id="40" w:name="_Toc445210953"/>
      <w:r>
        <w:lastRenderedPageBreak/>
        <w:t>III. Nonclinical</w:t>
      </w:r>
      <w:bookmarkEnd w:id="37"/>
      <w:r>
        <w:t xml:space="preserve"> findings</w:t>
      </w:r>
      <w:bookmarkEnd w:id="38"/>
      <w:bookmarkEnd w:id="39"/>
      <w:bookmarkEnd w:id="40"/>
    </w:p>
    <w:p w:rsidR="008E7846" w:rsidRDefault="008E7846" w:rsidP="00940A89">
      <w:pPr>
        <w:pStyle w:val="Heading3"/>
      </w:pPr>
      <w:bookmarkStart w:id="41" w:name="_Toc247691511"/>
      <w:bookmarkStart w:id="42" w:name="_Toc314842495"/>
      <w:bookmarkStart w:id="43" w:name="_Toc445210954"/>
      <w:r>
        <w:t>Introduction</w:t>
      </w:r>
      <w:bookmarkEnd w:id="41"/>
      <w:bookmarkEnd w:id="42"/>
      <w:bookmarkEnd w:id="43"/>
      <w:r>
        <w:tab/>
      </w:r>
    </w:p>
    <w:p w:rsidR="00660BC2" w:rsidRDefault="00660BC2" w:rsidP="00A86F5A">
      <w:pPr>
        <w:pStyle w:val="Heading4"/>
      </w:pPr>
      <w:bookmarkStart w:id="44" w:name="_Toc418857036"/>
      <w:r>
        <w:t>General comments</w:t>
      </w:r>
      <w:bookmarkEnd w:id="44"/>
    </w:p>
    <w:p w:rsidR="00B56A57" w:rsidRDefault="00660BC2" w:rsidP="00A86F5A">
      <w:r>
        <w:rPr>
          <w:kern w:val="2"/>
        </w:rPr>
        <w:t xml:space="preserve">The sponsor has submitted an adequate dossier to support the registration of </w:t>
      </w:r>
      <w:proofErr w:type="spellStart"/>
      <w:r w:rsidR="00B77E77">
        <w:t>Lonquex</w:t>
      </w:r>
      <w:proofErr w:type="spellEnd"/>
      <w:r>
        <w:rPr>
          <w:kern w:val="2"/>
        </w:rPr>
        <w:t xml:space="preserve">. All </w:t>
      </w:r>
      <w:r>
        <w:t xml:space="preserve">toxicity studies were </w:t>
      </w:r>
      <w:r w:rsidR="00A86F5A">
        <w:t>Good Laboratory Practice (</w:t>
      </w:r>
      <w:r>
        <w:t>GLP</w:t>
      </w:r>
      <w:r w:rsidR="00A86F5A">
        <w:t xml:space="preserve">) </w:t>
      </w:r>
      <w:r>
        <w:t xml:space="preserve">compliant. The pharmacology of G-CSF has been well established and the submitted studies aimed to ascertain that </w:t>
      </w:r>
      <w:proofErr w:type="spellStart"/>
      <w:r>
        <w:rPr>
          <w:kern w:val="2"/>
        </w:rPr>
        <w:t>lipegfilgrastim</w:t>
      </w:r>
      <w:proofErr w:type="spellEnd"/>
      <w:r>
        <w:rPr>
          <w:kern w:val="2"/>
        </w:rPr>
        <w:t xml:space="preserve"> </w:t>
      </w:r>
      <w:r>
        <w:t>demonstrates the pharmacological activity of G</w:t>
      </w:r>
      <w:r>
        <w:noBreakHyphen/>
        <w:t xml:space="preserve">CSF with an extended action like other long acting products such as </w:t>
      </w:r>
      <w:proofErr w:type="spellStart"/>
      <w:r w:rsidRPr="00A86F5A">
        <w:t>Neulasta</w:t>
      </w:r>
      <w:proofErr w:type="spellEnd"/>
      <w:r>
        <w:t xml:space="preserve"> and to establish its toxicity profile</w:t>
      </w:r>
      <w:r w:rsidR="00B56A57">
        <w:t>.</w:t>
      </w:r>
    </w:p>
    <w:p w:rsidR="008E7846" w:rsidRDefault="008E7846" w:rsidP="008E7846">
      <w:pPr>
        <w:pStyle w:val="Heading3"/>
      </w:pPr>
      <w:bookmarkStart w:id="45" w:name="_Toc247691512"/>
      <w:bookmarkStart w:id="46" w:name="_Toc314842496"/>
      <w:bookmarkStart w:id="47" w:name="_Toc445210955"/>
      <w:r w:rsidRPr="00020030">
        <w:t>Pharmacology</w:t>
      </w:r>
      <w:bookmarkEnd w:id="45"/>
      <w:bookmarkEnd w:id="46"/>
      <w:bookmarkEnd w:id="47"/>
    </w:p>
    <w:p w:rsidR="00660BC2" w:rsidRDefault="00660BC2" w:rsidP="00A86F5A">
      <w:pPr>
        <w:pStyle w:val="Heading4"/>
      </w:pPr>
      <w:r>
        <w:t>Primary pharmacology</w:t>
      </w:r>
    </w:p>
    <w:p w:rsidR="00B56A57" w:rsidRDefault="00660BC2" w:rsidP="00A86F5A">
      <w:r w:rsidRPr="00A86F5A">
        <w:t>In vitro</w:t>
      </w:r>
      <w:r>
        <w:rPr>
          <w:i/>
        </w:rPr>
        <w:t xml:space="preserve"> </w:t>
      </w:r>
      <w:r>
        <w:t xml:space="preserve">studies confirmed the expected potency of stimulating the proliferation of cells expressing the G-CSF receptor, although </w:t>
      </w:r>
      <w:proofErr w:type="spellStart"/>
      <w:r>
        <w:t>li</w:t>
      </w:r>
      <w:r>
        <w:rPr>
          <w:rFonts w:asciiTheme="minorHAnsi" w:hAnsiTheme="minorHAnsi"/>
          <w:szCs w:val="18"/>
        </w:rPr>
        <w:t>pegfilgrastim</w:t>
      </w:r>
      <w:proofErr w:type="spellEnd"/>
      <w:r>
        <w:rPr>
          <w:rFonts w:asciiTheme="minorHAnsi" w:hAnsiTheme="minorHAnsi"/>
          <w:szCs w:val="18"/>
        </w:rPr>
        <w:t xml:space="preserve"> has</w:t>
      </w:r>
      <w:r w:rsidR="00C839C5">
        <w:rPr>
          <w:rFonts w:asciiTheme="minorHAnsi" w:hAnsiTheme="minorHAnsi"/>
          <w:szCs w:val="18"/>
        </w:rPr>
        <w:t xml:space="preserve"> a</w:t>
      </w:r>
      <w:r>
        <w:rPr>
          <w:rFonts w:asciiTheme="minorHAnsi" w:hAnsiTheme="minorHAnsi"/>
          <w:szCs w:val="18"/>
        </w:rPr>
        <w:t xml:space="preserve"> 2</w:t>
      </w:r>
      <w:r w:rsidR="00A86F5A">
        <w:rPr>
          <w:rFonts w:asciiTheme="minorHAnsi" w:hAnsiTheme="minorHAnsi"/>
          <w:szCs w:val="18"/>
        </w:rPr>
        <w:t xml:space="preserve"> </w:t>
      </w:r>
      <w:r>
        <w:rPr>
          <w:rFonts w:asciiTheme="minorHAnsi" w:hAnsiTheme="minorHAnsi"/>
          <w:szCs w:val="18"/>
        </w:rPr>
        <w:t xml:space="preserve">fold lower potency than the </w:t>
      </w:r>
      <w:r>
        <w:t>non</w:t>
      </w:r>
      <w:r>
        <w:noBreakHyphen/>
      </w:r>
      <w:proofErr w:type="spellStart"/>
      <w:r w:rsidR="00216F4E">
        <w:t>pegylated</w:t>
      </w:r>
      <w:proofErr w:type="spellEnd"/>
      <w:r>
        <w:t xml:space="preserve"> intermediate G-CSF molecule, XM21</w:t>
      </w:r>
      <w:r w:rsidR="00C839C5">
        <w:t>,</w:t>
      </w:r>
      <w:r>
        <w:t xml:space="preserve"> in the production of </w:t>
      </w:r>
      <w:proofErr w:type="spellStart"/>
      <w:r>
        <w:t>lipegfilgrastim</w:t>
      </w:r>
      <w:proofErr w:type="spellEnd"/>
      <w:r>
        <w:t xml:space="preserve">. Binding affinity of </w:t>
      </w:r>
      <w:proofErr w:type="spellStart"/>
      <w:r>
        <w:rPr>
          <w:kern w:val="2"/>
        </w:rPr>
        <w:t>lipegfilgrastim</w:t>
      </w:r>
      <w:proofErr w:type="spellEnd"/>
      <w:r>
        <w:rPr>
          <w:kern w:val="2"/>
        </w:rPr>
        <w:t xml:space="preserve"> </w:t>
      </w:r>
      <w:r>
        <w:t xml:space="preserve">and </w:t>
      </w:r>
      <w:proofErr w:type="spellStart"/>
      <w:r>
        <w:t>Neulasta</w:t>
      </w:r>
      <w:proofErr w:type="spellEnd"/>
      <w:r>
        <w:t xml:space="preserve"> to amine-coupled </w:t>
      </w:r>
      <w:proofErr w:type="spellStart"/>
      <w:r>
        <w:t>h</w:t>
      </w:r>
      <w:r w:rsidR="00FD2193">
        <w:t>G</w:t>
      </w:r>
      <w:proofErr w:type="spellEnd"/>
      <w:r w:rsidR="00FD2193">
        <w:t>-CSF</w:t>
      </w:r>
      <w:r>
        <w:t xml:space="preserve"> receptor were similar (</w:t>
      </w:r>
      <w:proofErr w:type="spellStart"/>
      <w:r>
        <w:t>L</w:t>
      </w:r>
      <w:r>
        <w:rPr>
          <w:kern w:val="2"/>
        </w:rPr>
        <w:t>ipegfilgrastim</w:t>
      </w:r>
      <w:proofErr w:type="spellEnd"/>
      <w:r>
        <w:t xml:space="preserve"> K</w:t>
      </w:r>
      <w:r>
        <w:rPr>
          <w:vertAlign w:val="subscript"/>
        </w:rPr>
        <w:t>D</w:t>
      </w:r>
      <w:r>
        <w:t xml:space="preserve"> 481 </w:t>
      </w:r>
      <w:proofErr w:type="spellStart"/>
      <w:r>
        <w:t>nM</w:t>
      </w:r>
      <w:proofErr w:type="spellEnd"/>
      <w:r>
        <w:t xml:space="preserve">; </w:t>
      </w:r>
      <w:proofErr w:type="spellStart"/>
      <w:r>
        <w:t>Neulasta</w:t>
      </w:r>
      <w:proofErr w:type="spellEnd"/>
      <w:r>
        <w:t>: K</w:t>
      </w:r>
      <w:r>
        <w:rPr>
          <w:vertAlign w:val="subscript"/>
        </w:rPr>
        <w:t>D</w:t>
      </w:r>
      <w:r>
        <w:t xml:space="preserve"> 516 </w:t>
      </w:r>
      <w:proofErr w:type="spellStart"/>
      <w:r>
        <w:t>nM</w:t>
      </w:r>
      <w:proofErr w:type="spellEnd"/>
      <w:r>
        <w:t>) but around 4</w:t>
      </w:r>
      <w:r w:rsidR="00A86F5A">
        <w:t xml:space="preserve"> fold</w:t>
      </w:r>
      <w:r>
        <w:t xml:space="preserve"> lower than the affinity of XM21 (K</w:t>
      </w:r>
      <w:r>
        <w:rPr>
          <w:vertAlign w:val="subscript"/>
        </w:rPr>
        <w:t>D</w:t>
      </w:r>
      <w:r>
        <w:t xml:space="preserve"> 121 </w:t>
      </w:r>
      <w:proofErr w:type="spellStart"/>
      <w:r>
        <w:t>nM</w:t>
      </w:r>
      <w:proofErr w:type="spellEnd"/>
      <w:r>
        <w:t>)</w:t>
      </w:r>
      <w:r w:rsidR="00B56A57">
        <w:t>.</w:t>
      </w:r>
    </w:p>
    <w:p w:rsidR="00660BC2" w:rsidRDefault="00660BC2" w:rsidP="00A86F5A">
      <w:pPr>
        <w:rPr>
          <w:rFonts w:eastAsia="TimesNewRoman"/>
        </w:rPr>
      </w:pPr>
      <w:r>
        <w:t xml:space="preserve">Primary pharmacological activity was demonstrated in rats and monkeys. In a cyclophosphamide (CPA)-induced </w:t>
      </w:r>
      <w:proofErr w:type="spellStart"/>
      <w:r>
        <w:rPr>
          <w:rFonts w:eastAsia="TimesNewRoman"/>
        </w:rPr>
        <w:t>cytopenic</w:t>
      </w:r>
      <w:proofErr w:type="spellEnd"/>
      <w:r>
        <w:rPr>
          <w:rFonts w:eastAsia="TimesNewRoman"/>
        </w:rPr>
        <w:t xml:space="preserve"> rat model, </w:t>
      </w:r>
      <w:proofErr w:type="spellStart"/>
      <w:r>
        <w:t>li</w:t>
      </w:r>
      <w:r>
        <w:rPr>
          <w:rFonts w:asciiTheme="minorHAnsi" w:hAnsiTheme="minorHAnsi"/>
          <w:szCs w:val="18"/>
        </w:rPr>
        <w:t>pegfilgrastim</w:t>
      </w:r>
      <w:proofErr w:type="spellEnd"/>
      <w:r>
        <w:rPr>
          <w:rFonts w:eastAsia="TimesNewRoman"/>
        </w:rPr>
        <w:t xml:space="preserve"> given 4 h post neutropenia induction prevented the depression of blood leucocyte counts. When </w:t>
      </w:r>
      <w:proofErr w:type="spellStart"/>
      <w:r>
        <w:t>li</w:t>
      </w:r>
      <w:r>
        <w:rPr>
          <w:rFonts w:asciiTheme="minorHAnsi" w:hAnsiTheme="minorHAnsi"/>
          <w:szCs w:val="18"/>
        </w:rPr>
        <w:t>pegfilgrastim</w:t>
      </w:r>
      <w:proofErr w:type="spellEnd"/>
      <w:r>
        <w:rPr>
          <w:rFonts w:eastAsia="TimesNewRoman"/>
        </w:rPr>
        <w:t xml:space="preserve"> was administered 24 h post induction of neutropenia, a quick increase of leucocytes was observed. The effect was long lasting, similar to </w:t>
      </w:r>
      <w:proofErr w:type="spellStart"/>
      <w:r>
        <w:rPr>
          <w:rFonts w:eastAsia="TimesNewRoman"/>
        </w:rPr>
        <w:t>Neulasta</w:t>
      </w:r>
      <w:proofErr w:type="spellEnd"/>
      <w:r>
        <w:rPr>
          <w:rFonts w:eastAsia="TimesNewRoman"/>
        </w:rPr>
        <w:t xml:space="preserve">; high blood leucocytes counts were still observable on </w:t>
      </w:r>
      <w:r w:rsidR="00A86F5A">
        <w:rPr>
          <w:rFonts w:eastAsia="TimesNewRoman"/>
        </w:rPr>
        <w:t>D</w:t>
      </w:r>
      <w:r>
        <w:rPr>
          <w:rFonts w:eastAsia="TimesNewRoman"/>
        </w:rPr>
        <w:t xml:space="preserve">ay 10. The </w:t>
      </w:r>
      <w:r>
        <w:t>dose-dependent increases of leucocytes (mainly neutrophilic granulocytes) were followed by transient depression 2</w:t>
      </w:r>
      <w:r w:rsidR="00A86F5A">
        <w:t xml:space="preserve"> to </w:t>
      </w:r>
      <w:r>
        <w:t xml:space="preserve">3 days after the </w:t>
      </w:r>
      <w:proofErr w:type="spellStart"/>
      <w:r>
        <w:t>lipegfilgrastim</w:t>
      </w:r>
      <w:proofErr w:type="spellEnd"/>
      <w:r>
        <w:t xml:space="preserve"> (and </w:t>
      </w:r>
      <w:proofErr w:type="spellStart"/>
      <w:r>
        <w:t>Neulasta</w:t>
      </w:r>
      <w:proofErr w:type="spellEnd"/>
      <w:r>
        <w:t xml:space="preserve">) dose before a rebound from </w:t>
      </w:r>
      <w:r w:rsidR="00A86F5A">
        <w:t>D</w:t>
      </w:r>
      <w:r>
        <w:t xml:space="preserve">ay 4. The transient decrease in peripheral leucocytes was probably due to a combination of depletion of the bone marrow storage pool, depletion of </w:t>
      </w:r>
      <w:r w:rsidR="00A86F5A">
        <w:t>white blood cell (</w:t>
      </w:r>
      <w:r>
        <w:t>WBC</w:t>
      </w:r>
      <w:r w:rsidR="00A86F5A">
        <w:t>)</w:t>
      </w:r>
      <w:r>
        <w:t xml:space="preserve"> precursors in the maturation phase and short half-life of neutrophils. </w:t>
      </w:r>
      <w:proofErr w:type="spellStart"/>
      <w:r>
        <w:t>Lipegfilgrastim</w:t>
      </w:r>
      <w:proofErr w:type="spellEnd"/>
      <w:r>
        <w:t xml:space="preserve">, as for other G-CSFs, </w:t>
      </w:r>
      <w:r>
        <w:rPr>
          <w:rFonts w:eastAsia="TimesNewRoman"/>
        </w:rPr>
        <w:t xml:space="preserve">also induced elevations in monocyte counts and marginal increases in </w:t>
      </w:r>
      <w:proofErr w:type="spellStart"/>
      <w:r>
        <w:rPr>
          <w:rFonts w:eastAsia="TimesNewRoman"/>
        </w:rPr>
        <w:t>eosinophilis</w:t>
      </w:r>
      <w:proofErr w:type="spellEnd"/>
      <w:r>
        <w:rPr>
          <w:rFonts w:eastAsia="TimesNewRoman"/>
        </w:rPr>
        <w:t>, basophilic granulocytes and large unstained cells. Lymphocytes were not affected.</w:t>
      </w:r>
    </w:p>
    <w:p w:rsidR="00B56A57" w:rsidRDefault="00660BC2" w:rsidP="00A86F5A">
      <w:pPr>
        <w:rPr>
          <w:rFonts w:eastAsia="TimesNewRoman"/>
        </w:rPr>
      </w:pPr>
      <w:r>
        <w:rPr>
          <w:rFonts w:eastAsia="TimesNewRoman"/>
        </w:rPr>
        <w:t xml:space="preserve">The pharmacological activity of </w:t>
      </w:r>
      <w:proofErr w:type="spellStart"/>
      <w:r>
        <w:rPr>
          <w:rFonts w:eastAsia="TimesNewRoman"/>
        </w:rPr>
        <w:t>lipegfilgrastim</w:t>
      </w:r>
      <w:proofErr w:type="spellEnd"/>
      <w:r>
        <w:rPr>
          <w:rFonts w:eastAsia="TimesNewRoman"/>
        </w:rPr>
        <w:t xml:space="preserve"> was also demonstrated in normal rats and monkeys. </w:t>
      </w:r>
      <w:proofErr w:type="spellStart"/>
      <w:r>
        <w:t>Li</w:t>
      </w:r>
      <w:r>
        <w:rPr>
          <w:rFonts w:asciiTheme="minorHAnsi" w:hAnsiTheme="minorHAnsi"/>
          <w:szCs w:val="18"/>
        </w:rPr>
        <w:t>pegfilgrastim</w:t>
      </w:r>
      <w:proofErr w:type="spellEnd"/>
      <w:r>
        <w:rPr>
          <w:rFonts w:eastAsia="TimesNewRoman"/>
        </w:rPr>
        <w:t xml:space="preserve">, </w:t>
      </w:r>
      <w:proofErr w:type="spellStart"/>
      <w:r>
        <w:rPr>
          <w:rFonts w:eastAsia="TimesNewRoman"/>
        </w:rPr>
        <w:t>Neulasta</w:t>
      </w:r>
      <w:proofErr w:type="spellEnd"/>
      <w:r>
        <w:rPr>
          <w:rFonts w:eastAsia="TimesNewRoman"/>
        </w:rPr>
        <w:t xml:space="preserve"> or XM21 (100 µg/kg) resulted in a pronounced increase of blood leukocytes, principally neutrophilic granulocytes. Maximum increase in neutrophilic granulocytes was evident 24</w:t>
      </w:r>
      <w:r w:rsidR="00A86F5A">
        <w:rPr>
          <w:rFonts w:eastAsia="TimesNewRoman"/>
        </w:rPr>
        <w:t xml:space="preserve"> to </w:t>
      </w:r>
      <w:r>
        <w:rPr>
          <w:rFonts w:eastAsia="TimesNewRoman"/>
        </w:rPr>
        <w:t>48 h post-</w:t>
      </w:r>
      <w:proofErr w:type="spellStart"/>
      <w:r>
        <w:t>li</w:t>
      </w:r>
      <w:r>
        <w:rPr>
          <w:rFonts w:asciiTheme="minorHAnsi" w:hAnsiTheme="minorHAnsi"/>
          <w:szCs w:val="18"/>
        </w:rPr>
        <w:t>pegfilgrastim</w:t>
      </w:r>
      <w:proofErr w:type="spellEnd"/>
      <w:r>
        <w:rPr>
          <w:rFonts w:eastAsia="TimesNewRoman"/>
        </w:rPr>
        <w:t xml:space="preserve"> administration. No differences were observed between </w:t>
      </w:r>
      <w:proofErr w:type="spellStart"/>
      <w:r>
        <w:t>li</w:t>
      </w:r>
      <w:r>
        <w:rPr>
          <w:rFonts w:asciiTheme="minorHAnsi" w:hAnsiTheme="minorHAnsi"/>
          <w:szCs w:val="18"/>
        </w:rPr>
        <w:t>pegfilgrastim</w:t>
      </w:r>
      <w:proofErr w:type="spellEnd"/>
      <w:r>
        <w:rPr>
          <w:rFonts w:eastAsia="TimesNewRoman"/>
        </w:rPr>
        <w:t xml:space="preserve"> and </w:t>
      </w:r>
      <w:proofErr w:type="spellStart"/>
      <w:r>
        <w:rPr>
          <w:rFonts w:eastAsia="TimesNewRoman"/>
        </w:rPr>
        <w:t>Neulasta</w:t>
      </w:r>
      <w:proofErr w:type="spellEnd"/>
      <w:r>
        <w:rPr>
          <w:rFonts w:eastAsia="TimesNewRoman"/>
        </w:rPr>
        <w:t xml:space="preserve">, with prolonged effects for both </w:t>
      </w:r>
      <w:proofErr w:type="spellStart"/>
      <w:r>
        <w:t>li</w:t>
      </w:r>
      <w:r>
        <w:rPr>
          <w:rFonts w:asciiTheme="minorHAnsi" w:hAnsiTheme="minorHAnsi"/>
          <w:szCs w:val="18"/>
        </w:rPr>
        <w:t>pegfilgrastim</w:t>
      </w:r>
      <w:proofErr w:type="spellEnd"/>
      <w:r>
        <w:rPr>
          <w:rFonts w:eastAsia="TimesNewRoman"/>
        </w:rPr>
        <w:t xml:space="preserve"> and </w:t>
      </w:r>
      <w:proofErr w:type="spellStart"/>
      <w:r>
        <w:rPr>
          <w:rFonts w:eastAsia="TimesNewRoman"/>
        </w:rPr>
        <w:t>Neulasta</w:t>
      </w:r>
      <w:proofErr w:type="spellEnd"/>
      <w:r>
        <w:rPr>
          <w:rFonts w:eastAsia="TimesNewRoman"/>
        </w:rPr>
        <w:t xml:space="preserve"> in comparison to XM21. The prolonged activity corresponded the longer elimination</w:t>
      </w:r>
      <w:r w:rsidR="00216F4E">
        <w:rPr>
          <w:rFonts w:eastAsia="TimesNewRoman"/>
        </w:rPr>
        <w:t xml:space="preserve"> half-</w:t>
      </w:r>
      <w:r w:rsidR="00A86F5A">
        <w:rPr>
          <w:rFonts w:eastAsia="TimesNewRoman"/>
        </w:rPr>
        <w:t>life (</w:t>
      </w:r>
      <w:r>
        <w:rPr>
          <w:rFonts w:eastAsia="TimesNewRoman"/>
        </w:rPr>
        <w:t>t</w:t>
      </w:r>
      <w:r>
        <w:rPr>
          <w:rFonts w:eastAsia="TimesNewRoman"/>
          <w:vertAlign w:val="subscript"/>
        </w:rPr>
        <w:t>1/2</w:t>
      </w:r>
      <w:r w:rsidR="00A86F5A">
        <w:rPr>
          <w:rFonts w:eastAsia="TimesNewRoman"/>
        </w:rPr>
        <w:t xml:space="preserve">) </w:t>
      </w:r>
      <w:r>
        <w:rPr>
          <w:rFonts w:eastAsia="TimesNewRoman"/>
        </w:rPr>
        <w:t xml:space="preserve">of </w:t>
      </w:r>
      <w:proofErr w:type="spellStart"/>
      <w:r>
        <w:rPr>
          <w:rFonts w:eastAsia="TimesNewRoman"/>
        </w:rPr>
        <w:t>lipegfilgrastim</w:t>
      </w:r>
      <w:proofErr w:type="spellEnd"/>
      <w:r>
        <w:rPr>
          <w:rFonts w:eastAsia="TimesNewRoman"/>
        </w:rPr>
        <w:t xml:space="preserve"> (and </w:t>
      </w:r>
      <w:proofErr w:type="spellStart"/>
      <w:r>
        <w:rPr>
          <w:rFonts w:eastAsia="TimesNewRoman"/>
        </w:rPr>
        <w:t>Neulasta</w:t>
      </w:r>
      <w:proofErr w:type="spellEnd"/>
      <w:r>
        <w:rPr>
          <w:rFonts w:eastAsia="TimesNewRoman"/>
        </w:rPr>
        <w:t xml:space="preserve">) compared to XM21 (see below under </w:t>
      </w:r>
      <w:r>
        <w:rPr>
          <w:rFonts w:eastAsia="TimesNewRoman"/>
          <w:i/>
        </w:rPr>
        <w:t>Pharmacokinetics</w:t>
      </w:r>
      <w:r>
        <w:rPr>
          <w:rFonts w:eastAsia="TimesNewRoman"/>
        </w:rPr>
        <w:t xml:space="preserve">). </w:t>
      </w:r>
      <w:r>
        <w:t xml:space="preserve">Repeat-dose studies in rats and monkeys with weekly </w:t>
      </w:r>
      <w:proofErr w:type="spellStart"/>
      <w:r>
        <w:t>lipegfilgrastim</w:t>
      </w:r>
      <w:proofErr w:type="spellEnd"/>
      <w:r>
        <w:t xml:space="preserve"> dosing also demonstrated significant, dose-dependent increases in leukocytes. </w:t>
      </w:r>
      <w:r>
        <w:rPr>
          <w:rFonts w:eastAsia="TimesNewRoman"/>
        </w:rPr>
        <w:t>Results from the 26</w:t>
      </w:r>
      <w:r w:rsidR="00A86F5A">
        <w:rPr>
          <w:rFonts w:eastAsia="TimesNewRoman"/>
        </w:rPr>
        <w:t xml:space="preserve"> </w:t>
      </w:r>
      <w:r>
        <w:rPr>
          <w:rFonts w:eastAsia="TimesNewRoman"/>
        </w:rPr>
        <w:t>week study in rats revealed a time and dose</w:t>
      </w:r>
      <w:r w:rsidR="00A86F5A">
        <w:rPr>
          <w:rFonts w:eastAsia="TimesNewRoman"/>
        </w:rPr>
        <w:t xml:space="preserve"> </w:t>
      </w:r>
      <w:r>
        <w:rPr>
          <w:rFonts w:eastAsia="TimesNewRoman"/>
        </w:rPr>
        <w:t xml:space="preserve">dependent </w:t>
      </w:r>
      <w:proofErr w:type="spellStart"/>
      <w:r>
        <w:rPr>
          <w:rFonts w:eastAsia="TimesNewRoman"/>
        </w:rPr>
        <w:t>pharmacodynamic</w:t>
      </w:r>
      <w:proofErr w:type="spellEnd"/>
      <w:r>
        <w:rPr>
          <w:rFonts w:eastAsia="TimesNewRoman"/>
        </w:rPr>
        <w:t xml:space="preserve"> effect of </w:t>
      </w:r>
      <w:proofErr w:type="spellStart"/>
      <w:r>
        <w:t>li</w:t>
      </w:r>
      <w:r>
        <w:rPr>
          <w:rFonts w:asciiTheme="minorHAnsi" w:hAnsiTheme="minorHAnsi"/>
          <w:szCs w:val="18"/>
        </w:rPr>
        <w:t>pegfilgrastim</w:t>
      </w:r>
      <w:proofErr w:type="spellEnd"/>
      <w:r>
        <w:rPr>
          <w:rFonts w:asciiTheme="minorHAnsi" w:hAnsiTheme="minorHAnsi"/>
          <w:szCs w:val="18"/>
        </w:rPr>
        <w:t>, with m</w:t>
      </w:r>
      <w:r>
        <w:rPr>
          <w:rFonts w:eastAsia="TimesNewRoman"/>
        </w:rPr>
        <w:t>aximal induction observed at the end of the study (</w:t>
      </w:r>
      <w:r w:rsidR="00A86F5A">
        <w:rPr>
          <w:rFonts w:eastAsia="TimesNewRoman"/>
        </w:rPr>
        <w:t xml:space="preserve">approximately </w:t>
      </w:r>
      <w:r>
        <w:rPr>
          <w:rFonts w:eastAsia="TimesNewRoman"/>
        </w:rPr>
        <w:t>24 h post</w:t>
      </w:r>
      <w:r>
        <w:rPr>
          <w:rFonts w:eastAsia="TimesNewRoman"/>
        </w:rPr>
        <w:noBreakHyphen/>
        <w:t xml:space="preserve">final dose). Leukocyte levels returned to baseline by the end of the recovery period. </w:t>
      </w:r>
      <w:r>
        <w:t xml:space="preserve">Repeat-dose studies in monkeys demonstrated only variable increases in leucocytes with no specific dose-dependence despite a clear dose-dependent increase in plasma </w:t>
      </w:r>
      <w:proofErr w:type="spellStart"/>
      <w:r>
        <w:t>lipegfilgrastim</w:t>
      </w:r>
      <w:proofErr w:type="spellEnd"/>
      <w:r>
        <w:t xml:space="preserve"> concentration. The </w:t>
      </w:r>
      <w:r>
        <w:lastRenderedPageBreak/>
        <w:t>l</w:t>
      </w:r>
      <w:r>
        <w:rPr>
          <w:rFonts w:eastAsia="TimesNewRoman"/>
        </w:rPr>
        <w:t xml:space="preserve">eukocyte increase was already maximal at the low dose (100 </w:t>
      </w:r>
      <w:proofErr w:type="spellStart"/>
      <w:r>
        <w:rPr>
          <w:rFonts w:eastAsia="TimesNewRoman"/>
        </w:rPr>
        <w:t>μg</w:t>
      </w:r>
      <w:proofErr w:type="spellEnd"/>
      <w:r>
        <w:rPr>
          <w:rFonts w:eastAsia="TimesNewRoman"/>
        </w:rPr>
        <w:t>/kg), and only marginal increments were observed at higher doses (500</w:t>
      </w:r>
      <w:r w:rsidR="00A86F5A">
        <w:rPr>
          <w:rFonts w:eastAsia="TimesNewRoman"/>
        </w:rPr>
        <w:t xml:space="preserve"> to </w:t>
      </w:r>
      <w:r>
        <w:rPr>
          <w:rFonts w:eastAsia="TimesNewRoman"/>
        </w:rPr>
        <w:t xml:space="preserve">1500 </w:t>
      </w:r>
      <w:proofErr w:type="spellStart"/>
      <w:r>
        <w:rPr>
          <w:rFonts w:eastAsia="TimesNewRoman"/>
        </w:rPr>
        <w:t>μg</w:t>
      </w:r>
      <w:proofErr w:type="spellEnd"/>
      <w:r>
        <w:rPr>
          <w:rFonts w:eastAsia="TimesNewRoman"/>
        </w:rPr>
        <w:t>/kg), indicating a possible saturation of the response</w:t>
      </w:r>
      <w:r w:rsidR="00B56A57">
        <w:rPr>
          <w:rFonts w:eastAsia="TimesNewRoman"/>
        </w:rPr>
        <w:t>.</w:t>
      </w:r>
    </w:p>
    <w:p w:rsidR="00660BC2" w:rsidRDefault="00660BC2" w:rsidP="00A86F5A">
      <w:pPr>
        <w:rPr>
          <w:b/>
          <w:highlight w:val="lightGray"/>
        </w:rPr>
      </w:pPr>
      <w:r>
        <w:t xml:space="preserve">Overall, the nonclinical studies demonstrated that </w:t>
      </w:r>
      <w:proofErr w:type="spellStart"/>
      <w:r>
        <w:t>lipegfilgrastim</w:t>
      </w:r>
      <w:proofErr w:type="spellEnd"/>
      <w:r>
        <w:t xml:space="preserve"> i</w:t>
      </w:r>
      <w:r w:rsidR="00A86F5A">
        <w:t>nduces proliferation and mobilis</w:t>
      </w:r>
      <w:r>
        <w:t xml:space="preserve">ation of granulocytic cells in both normal and neutropenic animals, consistent with the pharmacological effects of G-CSF products. The magnitude and duration of the effects observed with </w:t>
      </w:r>
      <w:proofErr w:type="spellStart"/>
      <w:r>
        <w:t>lipegfilgrastim</w:t>
      </w:r>
      <w:proofErr w:type="spellEnd"/>
      <w:r>
        <w:t xml:space="preserve"> are similar to </w:t>
      </w:r>
      <w:proofErr w:type="spellStart"/>
      <w:r>
        <w:t>Neulasta</w:t>
      </w:r>
      <w:proofErr w:type="spellEnd"/>
      <w:r>
        <w:t>.</w:t>
      </w:r>
    </w:p>
    <w:p w:rsidR="00660BC2" w:rsidRDefault="00660BC2" w:rsidP="00A86F5A">
      <w:pPr>
        <w:pStyle w:val="Heading4"/>
      </w:pPr>
      <w:r>
        <w:t>Secondary and safety pharmacology</w:t>
      </w:r>
    </w:p>
    <w:p w:rsidR="00B56A57" w:rsidRDefault="00660BC2" w:rsidP="00191BC5">
      <w:r>
        <w:t xml:space="preserve">One secondary </w:t>
      </w:r>
      <w:proofErr w:type="spellStart"/>
      <w:r>
        <w:t>pharmacodynamic</w:t>
      </w:r>
      <w:proofErr w:type="spellEnd"/>
      <w:r>
        <w:t xml:space="preserve"> study evaluated the potential proliferative effects of </w:t>
      </w:r>
      <w:proofErr w:type="spellStart"/>
      <w:r>
        <w:t>lipegfilgrastim</w:t>
      </w:r>
      <w:proofErr w:type="spellEnd"/>
      <w:r>
        <w:t xml:space="preserve"> and three other G</w:t>
      </w:r>
      <w:r>
        <w:noBreakHyphen/>
        <w:t>CSF products (</w:t>
      </w:r>
      <w:proofErr w:type="spellStart"/>
      <w:r>
        <w:t>Neupogen</w:t>
      </w:r>
      <w:proofErr w:type="spellEnd"/>
      <w:r>
        <w:t xml:space="preserve">, </w:t>
      </w:r>
      <w:proofErr w:type="spellStart"/>
      <w:r>
        <w:t>Neulasta</w:t>
      </w:r>
      <w:proofErr w:type="spellEnd"/>
      <w:r>
        <w:t xml:space="preserve"> and </w:t>
      </w:r>
      <w:proofErr w:type="spellStart"/>
      <w:r>
        <w:t>Granocyte</w:t>
      </w:r>
      <w:proofErr w:type="spellEnd"/>
      <w:r>
        <w:t>) in human cancer cells.</w:t>
      </w:r>
      <w:r w:rsidR="009801DD">
        <w:t xml:space="preserve"> </w:t>
      </w:r>
      <w:r>
        <w:t>The tested G-CSF materials produced little to no effects on the proliferation and survival of 7 human cancer cell lines</w:t>
      </w:r>
      <w:r w:rsidR="00B56A57">
        <w:t>.</w:t>
      </w:r>
    </w:p>
    <w:p w:rsidR="00B56A57" w:rsidRDefault="00660BC2" w:rsidP="00191BC5">
      <w:pPr>
        <w:rPr>
          <w:rFonts w:eastAsia="TimesNewRoman"/>
        </w:rPr>
      </w:pPr>
      <w:r>
        <w:rPr>
          <w:kern w:val="2"/>
        </w:rPr>
        <w:t xml:space="preserve">Two safety pharmacology studies investigated effects on </w:t>
      </w:r>
      <w:r w:rsidR="00A86F5A">
        <w:rPr>
          <w:kern w:val="2"/>
        </w:rPr>
        <w:t>central nervous system (</w:t>
      </w:r>
      <w:r>
        <w:rPr>
          <w:kern w:val="2"/>
        </w:rPr>
        <w:t>CNS</w:t>
      </w:r>
      <w:r w:rsidR="00A86F5A">
        <w:rPr>
          <w:kern w:val="2"/>
        </w:rPr>
        <w:t>)</w:t>
      </w:r>
      <w:r>
        <w:rPr>
          <w:kern w:val="2"/>
        </w:rPr>
        <w:t xml:space="preserve"> (rats) and cardiovascular (Beagle dogs) functions. At up to 10 mg/kg SC, </w:t>
      </w:r>
      <w:proofErr w:type="spellStart"/>
      <w:r>
        <w:t>lipegfilgrastim</w:t>
      </w:r>
      <w:proofErr w:type="spellEnd"/>
      <w:r>
        <w:t xml:space="preserve"> had no effects on CNS or cardiovascular functions including </w:t>
      </w:r>
      <w:r w:rsidR="00A86F5A">
        <w:t xml:space="preserve">blood </w:t>
      </w:r>
      <w:r w:rsidR="00216F4E">
        <w:t>pressure</w:t>
      </w:r>
      <w:r w:rsidR="00A86F5A">
        <w:t xml:space="preserve"> (</w:t>
      </w:r>
      <w:r>
        <w:t>BP</w:t>
      </w:r>
      <w:r w:rsidR="00A86F5A">
        <w:t>)</w:t>
      </w:r>
      <w:r>
        <w:t xml:space="preserve"> and </w:t>
      </w:r>
      <w:r w:rsidR="00A86F5A">
        <w:t>electrocardiogram (</w:t>
      </w:r>
      <w:r>
        <w:t>ECG</w:t>
      </w:r>
      <w:r w:rsidR="00A86F5A">
        <w:t>)</w:t>
      </w:r>
      <w:r>
        <w:t xml:space="preserve">. </w:t>
      </w:r>
      <w:r>
        <w:rPr>
          <w:rFonts w:eastAsia="TimesNewRoman"/>
        </w:rPr>
        <w:t>ECG monitoring, blood pressure and heart rate measurements in repeat dose toxicity studies showed no treatment</w:t>
      </w:r>
      <w:r w:rsidR="00A86F5A">
        <w:rPr>
          <w:rFonts w:eastAsia="TimesNewRoman"/>
        </w:rPr>
        <w:t xml:space="preserve"> </w:t>
      </w:r>
      <w:r>
        <w:rPr>
          <w:rFonts w:eastAsia="TimesNewRoman"/>
        </w:rPr>
        <w:t xml:space="preserve">related abnormalities in monkeys. Serum </w:t>
      </w:r>
      <w:proofErr w:type="spellStart"/>
      <w:r>
        <w:rPr>
          <w:rFonts w:eastAsia="TimesNewRoman"/>
        </w:rPr>
        <w:t>lipegfilgrastim</w:t>
      </w:r>
      <w:proofErr w:type="spellEnd"/>
      <w:r>
        <w:rPr>
          <w:rFonts w:eastAsia="TimesNewRoman"/>
        </w:rPr>
        <w:t xml:space="preserve"> </w:t>
      </w:r>
      <w:r w:rsidR="00A86F5A">
        <w:rPr>
          <w:rFonts w:eastAsia="TimesNewRoman"/>
        </w:rPr>
        <w:t>peak plasma concentration (</w:t>
      </w:r>
      <w:proofErr w:type="spellStart"/>
      <w:r>
        <w:rPr>
          <w:rFonts w:eastAsia="TimesNewRoman"/>
        </w:rPr>
        <w:t>C</w:t>
      </w:r>
      <w:r>
        <w:rPr>
          <w:rFonts w:eastAsia="TimesNewRoman"/>
          <w:vertAlign w:val="subscript"/>
        </w:rPr>
        <w:t>max</w:t>
      </w:r>
      <w:proofErr w:type="spellEnd"/>
      <w:r w:rsidR="00A86F5A">
        <w:rPr>
          <w:rFonts w:eastAsia="TimesNewRoman"/>
        </w:rPr>
        <w:t xml:space="preserve">) </w:t>
      </w:r>
      <w:r>
        <w:rPr>
          <w:rFonts w:eastAsia="TimesNewRoman"/>
        </w:rPr>
        <w:t>in the 13</w:t>
      </w:r>
      <w:r w:rsidR="00A86F5A">
        <w:rPr>
          <w:rFonts w:eastAsia="TimesNewRoman"/>
        </w:rPr>
        <w:t xml:space="preserve"> </w:t>
      </w:r>
      <w:r>
        <w:rPr>
          <w:rFonts w:eastAsia="TimesNewRoman"/>
        </w:rPr>
        <w:t xml:space="preserve">week monkey study was up to 36 times the clinical value. </w:t>
      </w:r>
      <w:proofErr w:type="spellStart"/>
      <w:r>
        <w:rPr>
          <w:rFonts w:eastAsia="TimesNewRoman"/>
        </w:rPr>
        <w:t>Lipegfilgrastim</w:t>
      </w:r>
      <w:proofErr w:type="spellEnd"/>
      <w:r>
        <w:rPr>
          <w:rFonts w:eastAsia="TimesNewRoman"/>
        </w:rPr>
        <w:t xml:space="preserve"> is unlikely to affect CNS and cardiovascular functions in patients</w:t>
      </w:r>
      <w:r w:rsidR="00B56A57">
        <w:rPr>
          <w:rFonts w:eastAsia="TimesNewRoman"/>
        </w:rPr>
        <w:t>.</w:t>
      </w:r>
    </w:p>
    <w:p w:rsidR="008E7846" w:rsidRDefault="008E7846" w:rsidP="008E7846">
      <w:pPr>
        <w:pStyle w:val="Heading3"/>
      </w:pPr>
      <w:bookmarkStart w:id="48" w:name="_Toc247691513"/>
      <w:bookmarkStart w:id="49" w:name="_Toc314842497"/>
      <w:bookmarkStart w:id="50" w:name="_Toc445210956"/>
      <w:r>
        <w:t>Pharmacokinetics</w:t>
      </w:r>
      <w:bookmarkEnd w:id="48"/>
      <w:bookmarkEnd w:id="49"/>
      <w:bookmarkEnd w:id="50"/>
    </w:p>
    <w:p w:rsidR="00B56A57" w:rsidRDefault="00660BC2" w:rsidP="00191BC5">
      <w:pPr>
        <w:rPr>
          <w:rFonts w:eastAsia="TimesNewRoman"/>
        </w:rPr>
      </w:pPr>
      <w:bookmarkStart w:id="51" w:name="_Toc247691514"/>
      <w:bookmarkStart w:id="52" w:name="_Toc314842498"/>
      <w:r>
        <w:t xml:space="preserve">The pharmacokinetic profile of </w:t>
      </w:r>
      <w:proofErr w:type="spellStart"/>
      <w:r>
        <w:t>lipegfilgrastim</w:t>
      </w:r>
      <w:proofErr w:type="spellEnd"/>
      <w:r>
        <w:t xml:space="preserve"> was studied in rats and monkeys, where blood neutrophilic granulocytes were also measured. In both species, </w:t>
      </w:r>
      <w:proofErr w:type="spellStart"/>
      <w:r>
        <w:t>lipegfilgrastim</w:t>
      </w:r>
      <w:proofErr w:type="spellEnd"/>
      <w:r>
        <w:t xml:space="preserve"> had a longer elimination t</w:t>
      </w:r>
      <w:r>
        <w:rPr>
          <w:vertAlign w:val="subscript"/>
        </w:rPr>
        <w:t>1/2</w:t>
      </w:r>
      <w:r>
        <w:t xml:space="preserve"> than the non-</w:t>
      </w:r>
      <w:proofErr w:type="spellStart"/>
      <w:r>
        <w:t>pegylated</w:t>
      </w:r>
      <w:proofErr w:type="spellEnd"/>
      <w:r>
        <w:t xml:space="preserve"> moiety, XM21 (6.4 </w:t>
      </w:r>
      <w:r w:rsidR="00A86F5A">
        <w:t>comp</w:t>
      </w:r>
      <w:r w:rsidR="00443267">
        <w:t>a</w:t>
      </w:r>
      <w:r w:rsidR="00A86F5A">
        <w:t>red to</w:t>
      </w:r>
      <w:r>
        <w:t xml:space="preserve"> 2.1 h in rats and 10.6 </w:t>
      </w:r>
      <w:r w:rsidR="00A86F5A">
        <w:t>compared to</w:t>
      </w:r>
      <w:r>
        <w:t xml:space="preserve"> 7.8 h in monkeys) and comparable half-life to </w:t>
      </w:r>
      <w:proofErr w:type="spellStart"/>
      <w:r>
        <w:t>Neulasta</w:t>
      </w:r>
      <w:proofErr w:type="spellEnd"/>
      <w:r>
        <w:t xml:space="preserve"> (6.9 h in rats and 10.5 h in monkeys) after a single SC dose of 100 </w:t>
      </w:r>
      <w:proofErr w:type="spellStart"/>
      <w:r>
        <w:t>μg</w:t>
      </w:r>
      <w:proofErr w:type="spellEnd"/>
      <w:r>
        <w:t xml:space="preserve">/kg. </w:t>
      </w:r>
      <w:proofErr w:type="spellStart"/>
      <w:r>
        <w:t>Lipegfilgrastim</w:t>
      </w:r>
      <w:proofErr w:type="spellEnd"/>
      <w:r>
        <w:t xml:space="preserve"> resulted in pronounced increases in neutrophilic granulocyte and monocyte counts as well as marginal increases in eosinophilic and basophilic granulocyte and large unstained cell counts (discussed above). </w:t>
      </w:r>
      <w:r>
        <w:rPr>
          <w:rFonts w:eastAsia="TimesNewRoman"/>
        </w:rPr>
        <w:t xml:space="preserve">The absorption was slower for </w:t>
      </w:r>
      <w:proofErr w:type="spellStart"/>
      <w:r>
        <w:rPr>
          <w:rFonts w:eastAsia="TimesNewRoman"/>
        </w:rPr>
        <w:t>lipegfilgrastim</w:t>
      </w:r>
      <w:proofErr w:type="spellEnd"/>
      <w:r>
        <w:rPr>
          <w:rFonts w:eastAsia="TimesNewRoman"/>
        </w:rPr>
        <w:t xml:space="preserve"> and </w:t>
      </w:r>
      <w:proofErr w:type="spellStart"/>
      <w:r>
        <w:rPr>
          <w:rFonts w:eastAsia="TimesNewRoman"/>
        </w:rPr>
        <w:t>Neulasta</w:t>
      </w:r>
      <w:proofErr w:type="spellEnd"/>
      <w:r>
        <w:rPr>
          <w:rFonts w:eastAsia="TimesNewRoman"/>
        </w:rPr>
        <w:t xml:space="preserve"> than for XM21 (</w:t>
      </w:r>
      <w:r w:rsidR="00A86F5A">
        <w:rPr>
          <w:rFonts w:eastAsia="TimesNewRoman"/>
        </w:rPr>
        <w:t>time to peak plasma concentration (</w:t>
      </w:r>
      <w:proofErr w:type="spellStart"/>
      <w:r>
        <w:rPr>
          <w:rFonts w:eastAsia="TimesNewRoman"/>
        </w:rPr>
        <w:t>T</w:t>
      </w:r>
      <w:r>
        <w:rPr>
          <w:rFonts w:eastAsia="TimesNewRoman"/>
          <w:vertAlign w:val="subscript"/>
        </w:rPr>
        <w:t>max</w:t>
      </w:r>
      <w:proofErr w:type="spellEnd"/>
      <w:r w:rsidR="00A86F5A">
        <w:rPr>
          <w:rFonts w:eastAsia="TimesNewRoman"/>
        </w:rPr>
        <w:t xml:space="preserve">) </w:t>
      </w:r>
      <w:r>
        <w:rPr>
          <w:rFonts w:eastAsia="TimesNewRoman"/>
        </w:rPr>
        <w:t>9</w:t>
      </w:r>
      <w:r w:rsidR="00A86F5A">
        <w:rPr>
          <w:rFonts w:eastAsia="TimesNewRoman"/>
        </w:rPr>
        <w:t xml:space="preserve"> to </w:t>
      </w:r>
      <w:r>
        <w:rPr>
          <w:rFonts w:eastAsia="TimesNewRoman"/>
        </w:rPr>
        <w:t xml:space="preserve">12 h </w:t>
      </w:r>
      <w:r w:rsidR="00A86F5A">
        <w:rPr>
          <w:rFonts w:eastAsia="TimesNewRoman"/>
        </w:rPr>
        <w:t>compared to</w:t>
      </w:r>
      <w:r>
        <w:rPr>
          <w:rFonts w:eastAsia="TimesNewRoman"/>
        </w:rPr>
        <w:t xml:space="preserve"> 1</w:t>
      </w:r>
      <w:r w:rsidR="00A86F5A">
        <w:rPr>
          <w:rFonts w:eastAsia="TimesNewRoman"/>
        </w:rPr>
        <w:t xml:space="preserve"> to </w:t>
      </w:r>
      <w:r>
        <w:rPr>
          <w:rFonts w:eastAsia="TimesNewRoman"/>
        </w:rPr>
        <w:t>4 h)</w:t>
      </w:r>
      <w:r w:rsidR="00B56A57">
        <w:rPr>
          <w:rFonts w:eastAsia="TimesNewRoman"/>
        </w:rPr>
        <w:t>.</w:t>
      </w:r>
    </w:p>
    <w:p w:rsidR="00B56A57" w:rsidRDefault="00660BC2" w:rsidP="00191BC5">
      <w:r>
        <w:t xml:space="preserve">Tissue distribution and metabolism of </w:t>
      </w:r>
      <w:proofErr w:type="spellStart"/>
      <w:r>
        <w:t>lipegfilgrastim</w:t>
      </w:r>
      <w:proofErr w:type="spellEnd"/>
      <w:r>
        <w:t xml:space="preserve"> were not studied. This is acceptable considering the biological nature of the protein moiety and extensive clinical experience with the PEG molecule. In rats receiving </w:t>
      </w:r>
      <w:proofErr w:type="spellStart"/>
      <w:r>
        <w:t>lipegfilgrastim</w:t>
      </w:r>
      <w:proofErr w:type="spellEnd"/>
      <w:r>
        <w:t xml:space="preserve"> by the </w:t>
      </w:r>
      <w:r w:rsidR="00443267">
        <w:t>intravenous (</w:t>
      </w:r>
      <w:r>
        <w:t>IV</w:t>
      </w:r>
      <w:r w:rsidR="00443267">
        <w:t>)</w:t>
      </w:r>
      <w:r>
        <w:t xml:space="preserve"> route, the volume of distribution (</w:t>
      </w:r>
      <w:proofErr w:type="spellStart"/>
      <w:r>
        <w:t>Vz</w:t>
      </w:r>
      <w:proofErr w:type="spellEnd"/>
      <w:r>
        <w:t>) was calculated to be 28 mL/kg (</w:t>
      </w:r>
      <w:r w:rsidR="00443267">
        <w:t>at steady state (</w:t>
      </w:r>
      <w:proofErr w:type="spellStart"/>
      <w:r>
        <w:t>Vss</w:t>
      </w:r>
      <w:proofErr w:type="spellEnd"/>
      <w:r w:rsidR="00443267">
        <w:t>)</w:t>
      </w:r>
      <w:r>
        <w:t xml:space="preserve"> 52 mL/kg), similar to rat plasma volume, suggesting distribution within the intravascular space</w:t>
      </w:r>
      <w:r w:rsidR="00B56A57">
        <w:t>.</w:t>
      </w:r>
    </w:p>
    <w:p w:rsidR="00B56A57" w:rsidRDefault="00660BC2" w:rsidP="00191BC5">
      <w:r>
        <w:t xml:space="preserve">One metabolism study demonstrated that </w:t>
      </w:r>
      <w:proofErr w:type="spellStart"/>
      <w:r>
        <w:t>lipegfilgrastim</w:t>
      </w:r>
      <w:proofErr w:type="spellEnd"/>
      <w:r>
        <w:t xml:space="preserve"> was more resistant to degradation by human neutrophil elastase compared to XM21 and </w:t>
      </w:r>
      <w:proofErr w:type="spellStart"/>
      <w:r>
        <w:t>Neulasta</w:t>
      </w:r>
      <w:proofErr w:type="spellEnd"/>
      <w:r>
        <w:t>, which were quickly degraded and lost activity. However, pharmacokinetic studies in rats and monkeys (discussed above) showed similar elimination t</w:t>
      </w:r>
      <w:r>
        <w:rPr>
          <w:vertAlign w:val="subscript"/>
        </w:rPr>
        <w:t>1/2</w:t>
      </w:r>
      <w:r>
        <w:t xml:space="preserve"> between </w:t>
      </w:r>
      <w:proofErr w:type="spellStart"/>
      <w:r>
        <w:t>lipegfilgrastim</w:t>
      </w:r>
      <w:proofErr w:type="spellEnd"/>
      <w:r>
        <w:t xml:space="preserve"> and </w:t>
      </w:r>
      <w:proofErr w:type="spellStart"/>
      <w:r>
        <w:t>Neulasta</w:t>
      </w:r>
      <w:proofErr w:type="spellEnd"/>
      <w:r>
        <w:t>. The findings suggest that degradation by neutrophil elastase plays a minor role in the clearance of G-CSFs</w:t>
      </w:r>
      <w:r w:rsidR="00B56A57">
        <w:t>.</w:t>
      </w:r>
    </w:p>
    <w:p w:rsidR="00660BC2" w:rsidRDefault="00660BC2" w:rsidP="00191BC5">
      <w:pPr>
        <w:rPr>
          <w:rFonts w:eastAsia="TimesNewRoman"/>
        </w:rPr>
      </w:pPr>
      <w:r>
        <w:t xml:space="preserve">One excretion study comparing clearance in intact and bilaterally nephrectomised rats showed that the contribution of renal clearance to total body clearance for </w:t>
      </w:r>
      <w:proofErr w:type="spellStart"/>
      <w:r>
        <w:t>lipegfilgrastim</w:t>
      </w:r>
      <w:proofErr w:type="spellEnd"/>
      <w:r>
        <w:t xml:space="preserve"> was very small (</w:t>
      </w:r>
      <w:r w:rsidR="00443267">
        <w:t xml:space="preserve">approximately </w:t>
      </w:r>
      <w:r>
        <w:t xml:space="preserve">1%), compared with 38% for </w:t>
      </w:r>
      <w:proofErr w:type="spellStart"/>
      <w:r>
        <w:t>Neulasta</w:t>
      </w:r>
      <w:proofErr w:type="spellEnd"/>
      <w:r>
        <w:t xml:space="preserve"> and 82% for </w:t>
      </w:r>
      <w:proofErr w:type="spellStart"/>
      <w:r>
        <w:t>Neupogen</w:t>
      </w:r>
      <w:proofErr w:type="spellEnd"/>
      <w:r>
        <w:t xml:space="preserve">. </w:t>
      </w:r>
      <w:r>
        <w:rPr>
          <w:rFonts w:eastAsia="TimesNewRoman"/>
        </w:rPr>
        <w:t>However, since there was morbidity and mortality in all nephrectomised animal groups the reliability of the study results was compromised.</w:t>
      </w:r>
    </w:p>
    <w:p w:rsidR="00B56A57" w:rsidRDefault="00660BC2" w:rsidP="00191BC5">
      <w:pPr>
        <w:rPr>
          <w:rFonts w:eastAsia="TimesNewRoman"/>
        </w:rPr>
      </w:pPr>
      <w:r>
        <w:rPr>
          <w:rFonts w:eastAsia="TimesNewRoman"/>
        </w:rPr>
        <w:lastRenderedPageBreak/>
        <w:t xml:space="preserve">The kinetics of </w:t>
      </w:r>
      <w:proofErr w:type="spellStart"/>
      <w:r>
        <w:t>lipegfilgrastim</w:t>
      </w:r>
      <w:proofErr w:type="spellEnd"/>
      <w:r>
        <w:rPr>
          <w:rFonts w:eastAsia="TimesNewRoman"/>
        </w:rPr>
        <w:t xml:space="preserve"> was non</w:t>
      </w:r>
      <w:r>
        <w:rPr>
          <w:rFonts w:eastAsia="TimesNewRoman"/>
        </w:rPr>
        <w:noBreakHyphen/>
        <w:t xml:space="preserve">linear in rats and monkeys </w:t>
      </w:r>
      <w:proofErr w:type="gramStart"/>
      <w:r>
        <w:rPr>
          <w:rFonts w:eastAsia="TimesNewRoman"/>
        </w:rPr>
        <w:t>at 100</w:t>
      </w:r>
      <w:r w:rsidR="00443267">
        <w:rPr>
          <w:rFonts w:eastAsia="TimesNewRoman"/>
        </w:rPr>
        <w:t xml:space="preserve"> to </w:t>
      </w:r>
      <w:r>
        <w:rPr>
          <w:rFonts w:eastAsia="TimesNewRoman"/>
        </w:rPr>
        <w:t xml:space="preserve">1500 </w:t>
      </w:r>
      <w:proofErr w:type="spellStart"/>
      <w:r>
        <w:rPr>
          <w:rFonts w:eastAsia="TimesNewRoman"/>
        </w:rPr>
        <w:t>μg</w:t>
      </w:r>
      <w:proofErr w:type="spellEnd"/>
      <w:r>
        <w:rPr>
          <w:rFonts w:eastAsia="TimesNewRoman"/>
        </w:rPr>
        <w:t>/kg</w:t>
      </w:r>
      <w:proofErr w:type="gramEnd"/>
      <w:r>
        <w:rPr>
          <w:rFonts w:eastAsia="TimesNewRoman"/>
        </w:rPr>
        <w:t xml:space="preserve"> and increased in a more than dose proportional manner, which is consistent with a saturable elimination pathway. Literature has reported neutrophil and receptor-mediated clearance of G-CSFs. However, as discussed above it appears that neutrophil elastase plays a minor</w:t>
      </w:r>
      <w:r w:rsidR="00C839C5">
        <w:rPr>
          <w:rFonts w:eastAsia="TimesNewRoman"/>
        </w:rPr>
        <w:t xml:space="preserve"> role</w:t>
      </w:r>
      <w:r>
        <w:rPr>
          <w:rFonts w:eastAsia="TimesNewRoman"/>
        </w:rPr>
        <w:t xml:space="preserve"> in the elimination of </w:t>
      </w:r>
      <w:proofErr w:type="spellStart"/>
      <w:r>
        <w:rPr>
          <w:rFonts w:eastAsia="TimesNewRoman"/>
        </w:rPr>
        <w:t>lipegfilgrastim</w:t>
      </w:r>
      <w:proofErr w:type="spellEnd"/>
      <w:r>
        <w:rPr>
          <w:rFonts w:eastAsia="TimesNewRoman"/>
        </w:rPr>
        <w:t xml:space="preserve"> as </w:t>
      </w:r>
      <w:proofErr w:type="gramStart"/>
      <w:r>
        <w:rPr>
          <w:rFonts w:eastAsia="TimesNewRoman"/>
        </w:rPr>
        <w:t>does</w:t>
      </w:r>
      <w:proofErr w:type="gramEnd"/>
      <w:r>
        <w:rPr>
          <w:rFonts w:eastAsia="TimesNewRoman"/>
        </w:rPr>
        <w:t xml:space="preserve"> renal clearance. The elimination pathway for </w:t>
      </w:r>
      <w:proofErr w:type="spellStart"/>
      <w:r>
        <w:rPr>
          <w:rFonts w:eastAsia="TimesNewRoman"/>
        </w:rPr>
        <w:t>lipegfilgrastim</w:t>
      </w:r>
      <w:proofErr w:type="spellEnd"/>
      <w:r>
        <w:rPr>
          <w:rFonts w:eastAsia="TimesNewRoman"/>
        </w:rPr>
        <w:t xml:space="preserve"> is unclear but cleavage of PEG from the protein and subsequent degradation of the G-CSF moiety by proteinases are probably responsible for the elimination of </w:t>
      </w:r>
      <w:proofErr w:type="spellStart"/>
      <w:r>
        <w:rPr>
          <w:rFonts w:eastAsia="TimesNewRoman"/>
        </w:rPr>
        <w:t>lipegfilgrastim</w:t>
      </w:r>
      <w:proofErr w:type="spellEnd"/>
      <w:r w:rsidR="00B56A57">
        <w:rPr>
          <w:rFonts w:eastAsia="TimesNewRoman"/>
        </w:rPr>
        <w:t>.</w:t>
      </w:r>
    </w:p>
    <w:p w:rsidR="00B56A57" w:rsidRDefault="00660BC2" w:rsidP="00191BC5">
      <w:pPr>
        <w:rPr>
          <w:rFonts w:eastAsia="TimesNewRoman"/>
        </w:rPr>
      </w:pPr>
      <w:r>
        <w:rPr>
          <w:rFonts w:eastAsia="TimesNewRoman"/>
        </w:rPr>
        <w:t>The</w:t>
      </w:r>
      <w:r w:rsidR="00443267">
        <w:rPr>
          <w:rFonts w:eastAsia="TimesNewRoman"/>
        </w:rPr>
        <w:t xml:space="preserve"> area under the plasma concentration versus time curve from time 0 to the last time point of sampling (</w:t>
      </w:r>
      <w:r>
        <w:rPr>
          <w:rFonts w:eastAsia="TimesNewRoman"/>
        </w:rPr>
        <w:t>AUC</w:t>
      </w:r>
      <w:r>
        <w:rPr>
          <w:rFonts w:eastAsia="TimesNewRoman"/>
          <w:vertAlign w:val="subscript"/>
        </w:rPr>
        <w:t>0</w:t>
      </w:r>
      <w:r>
        <w:rPr>
          <w:rFonts w:eastAsia="TimesNewRoman"/>
          <w:vertAlign w:val="subscript"/>
        </w:rPr>
        <w:noBreakHyphen/>
        <w:t>t last</w:t>
      </w:r>
      <w:r w:rsidR="00443267">
        <w:rPr>
          <w:rFonts w:eastAsia="TimesNewRoman"/>
        </w:rPr>
        <w:t xml:space="preserve">) </w:t>
      </w:r>
      <w:r>
        <w:rPr>
          <w:rFonts w:eastAsia="TimesNewRoman"/>
        </w:rPr>
        <w:t>values in repeat</w:t>
      </w:r>
      <w:r>
        <w:rPr>
          <w:rFonts w:eastAsia="TimesNewRoman"/>
        </w:rPr>
        <w:noBreakHyphen/>
        <w:t xml:space="preserve">dose studies were generally lower after the last administration of the study than after the first dose, particularly in monkeys, which was associated with the emergence of </w:t>
      </w:r>
      <w:r w:rsidR="00443267">
        <w:rPr>
          <w:rFonts w:eastAsia="TimesNewRoman"/>
        </w:rPr>
        <w:t>anti-drug antibody (</w:t>
      </w:r>
      <w:r>
        <w:rPr>
          <w:rFonts w:eastAsia="TimesNewRoman"/>
        </w:rPr>
        <w:t>ADA</w:t>
      </w:r>
      <w:r w:rsidR="00443267">
        <w:rPr>
          <w:rFonts w:eastAsia="TimesNewRoman"/>
        </w:rPr>
        <w:t>)</w:t>
      </w:r>
      <w:r>
        <w:rPr>
          <w:rFonts w:eastAsia="TimesNewRoman"/>
        </w:rPr>
        <w:t xml:space="preserve"> in monkeys. In rats the time-dependent decrease in plasma drug levels was small, consistent with low ADA</w:t>
      </w:r>
      <w:r w:rsidR="00443267">
        <w:rPr>
          <w:rFonts w:eastAsia="TimesNewRoman"/>
        </w:rPr>
        <w:t xml:space="preserve"> </w:t>
      </w:r>
      <w:r>
        <w:rPr>
          <w:rFonts w:eastAsia="TimesNewRoman"/>
        </w:rPr>
        <w:t>positive incidences</w:t>
      </w:r>
      <w:r w:rsidR="00B56A57">
        <w:rPr>
          <w:rFonts w:eastAsia="TimesNewRoman"/>
        </w:rPr>
        <w:t>.</w:t>
      </w:r>
    </w:p>
    <w:p w:rsidR="00660BC2" w:rsidRDefault="00660BC2" w:rsidP="00191BC5">
      <w:pPr>
        <w:rPr>
          <w:rFonts w:eastAsia="TimesNewRoman"/>
        </w:rPr>
      </w:pPr>
      <w:r>
        <w:rPr>
          <w:rFonts w:eastAsia="TimesNewRoman"/>
        </w:rPr>
        <w:t xml:space="preserve">Overall, rat and monkey studies with </w:t>
      </w:r>
      <w:proofErr w:type="spellStart"/>
      <w:r>
        <w:rPr>
          <w:rFonts w:eastAsia="TimesNewRoman"/>
        </w:rPr>
        <w:t>lipegfilgrastim</w:t>
      </w:r>
      <w:proofErr w:type="spellEnd"/>
      <w:r>
        <w:rPr>
          <w:rFonts w:eastAsia="TimesNewRoman"/>
        </w:rPr>
        <w:t xml:space="preserve"> demonstrated the expected delay in absorption and prolonged clearance compared to the non-</w:t>
      </w:r>
      <w:proofErr w:type="spellStart"/>
      <w:r>
        <w:rPr>
          <w:rFonts w:eastAsia="TimesNewRoman"/>
        </w:rPr>
        <w:t>pegylated</w:t>
      </w:r>
      <w:proofErr w:type="spellEnd"/>
      <w:r>
        <w:rPr>
          <w:rFonts w:eastAsia="TimesNewRoman"/>
        </w:rPr>
        <w:t xml:space="preserve"> moiety and the pharmacokinetic profile of </w:t>
      </w:r>
      <w:proofErr w:type="spellStart"/>
      <w:r>
        <w:rPr>
          <w:rFonts w:eastAsia="TimesNewRoman"/>
        </w:rPr>
        <w:t>lipegfilgrastim</w:t>
      </w:r>
      <w:proofErr w:type="spellEnd"/>
      <w:r>
        <w:rPr>
          <w:rFonts w:eastAsia="TimesNewRoman"/>
        </w:rPr>
        <w:t xml:space="preserve"> was similar to the profile of </w:t>
      </w:r>
      <w:proofErr w:type="spellStart"/>
      <w:r>
        <w:rPr>
          <w:rFonts w:eastAsia="TimesNewRoman"/>
        </w:rPr>
        <w:t>Neulasta</w:t>
      </w:r>
      <w:proofErr w:type="spellEnd"/>
      <w:r>
        <w:rPr>
          <w:rFonts w:eastAsia="TimesNewRoman"/>
        </w:rPr>
        <w:t xml:space="preserve">. </w:t>
      </w:r>
      <w:r w:rsidR="00443267">
        <w:rPr>
          <w:rFonts w:eastAsia="TimesNewRoman"/>
        </w:rPr>
        <w:t>Pharmacokinetics was characteris</w:t>
      </w:r>
      <w:r>
        <w:rPr>
          <w:rFonts w:eastAsia="TimesNewRoman"/>
        </w:rPr>
        <w:t xml:space="preserve">ed by a non-linear response at the dose range </w:t>
      </w:r>
      <w:proofErr w:type="gramStart"/>
      <w:r>
        <w:rPr>
          <w:rFonts w:eastAsia="TimesNewRoman"/>
        </w:rPr>
        <w:t>of 100</w:t>
      </w:r>
      <w:r w:rsidR="00443267">
        <w:rPr>
          <w:rFonts w:eastAsia="TimesNewRoman"/>
        </w:rPr>
        <w:t xml:space="preserve"> to </w:t>
      </w:r>
      <w:r>
        <w:rPr>
          <w:rFonts w:eastAsia="TimesNewRoman"/>
        </w:rPr>
        <w:t xml:space="preserve">1500 </w:t>
      </w:r>
      <w:r w:rsidR="00216F4E">
        <w:rPr>
          <w:rFonts w:eastAsia="TimesNewRoman"/>
        </w:rPr>
        <w:t>µ</w:t>
      </w:r>
      <w:r>
        <w:rPr>
          <w:rFonts w:eastAsia="TimesNewRoman"/>
        </w:rPr>
        <w:t>g/kg indicative of saturable elimination</w:t>
      </w:r>
      <w:proofErr w:type="gramEnd"/>
      <w:r>
        <w:rPr>
          <w:rFonts w:eastAsia="TimesNewRoman"/>
        </w:rPr>
        <w:t>.</w:t>
      </w:r>
    </w:p>
    <w:p w:rsidR="00660BC2" w:rsidRDefault="00660BC2" w:rsidP="00660BC2">
      <w:pPr>
        <w:pStyle w:val="AssessmentSubsection"/>
        <w:rPr>
          <w:kern w:val="2"/>
        </w:rPr>
      </w:pPr>
      <w:bookmarkStart w:id="53" w:name="_Toc294861725"/>
      <w:bookmarkStart w:id="54" w:name="_Toc445210957"/>
      <w:r>
        <w:rPr>
          <w:kern w:val="2"/>
        </w:rPr>
        <w:t>Pharmacokinetic drug interactions</w:t>
      </w:r>
      <w:bookmarkEnd w:id="53"/>
      <w:bookmarkEnd w:id="54"/>
    </w:p>
    <w:p w:rsidR="00660BC2" w:rsidRDefault="00660BC2" w:rsidP="00191BC5">
      <w:r>
        <w:t xml:space="preserve">One study investigated the direct effect of </w:t>
      </w:r>
      <w:proofErr w:type="spellStart"/>
      <w:r>
        <w:t>lipegfilgrastim</w:t>
      </w:r>
      <w:proofErr w:type="spellEnd"/>
      <w:r>
        <w:t xml:space="preserve"> on </w:t>
      </w:r>
      <w:r w:rsidR="00443267">
        <w:t>cytochrome P450 (</w:t>
      </w:r>
      <w:r>
        <w:t>CYP450</w:t>
      </w:r>
      <w:r w:rsidR="00443267">
        <w:t>)</w:t>
      </w:r>
      <w:r>
        <w:t xml:space="preserve"> activities or indirect effects through the stimulation of cytokine production using human hepatocytes. </w:t>
      </w:r>
      <w:r w:rsidRPr="00443267">
        <w:t>In vitro</w:t>
      </w:r>
      <w:r>
        <w:t xml:space="preserve"> incubation of hepatocytes with </w:t>
      </w:r>
      <w:proofErr w:type="spellStart"/>
      <w:r>
        <w:t>lipegfilgrastim</w:t>
      </w:r>
      <w:proofErr w:type="spellEnd"/>
      <w:r>
        <w:t xml:space="preserve"> (20</w:t>
      </w:r>
      <w:r w:rsidR="00443267">
        <w:t xml:space="preserve"> to </w:t>
      </w:r>
      <w:r>
        <w:t xml:space="preserve">250 ng/mL) or human plasma from whole blood exposed to the drug (500 ng/mL) showed no effects on </w:t>
      </w:r>
      <w:r w:rsidR="00443267">
        <w:t xml:space="preserve">isozymes </w:t>
      </w:r>
      <w:r>
        <w:rPr>
          <w:rFonts w:eastAsiaTheme="minorHAnsi"/>
        </w:rPr>
        <w:t xml:space="preserve">CYP1A2, CYP2B6, CYP2C8, CYP2C9, CYP2C19 and CYP3A4/5 activity. The study results indicate </w:t>
      </w:r>
      <w:proofErr w:type="spellStart"/>
      <w:r>
        <w:t>lipegfilgrastim</w:t>
      </w:r>
      <w:proofErr w:type="spellEnd"/>
      <w:r>
        <w:t xml:space="preserve"> is unlikely to affect the activity of CYP450 in humans.</w:t>
      </w:r>
    </w:p>
    <w:p w:rsidR="001B5C90" w:rsidRDefault="008E7846" w:rsidP="001B5C90">
      <w:pPr>
        <w:pStyle w:val="Heading3"/>
      </w:pPr>
      <w:bookmarkStart w:id="55" w:name="_Toc445210958"/>
      <w:r>
        <w:t>Toxicology</w:t>
      </w:r>
      <w:bookmarkEnd w:id="51"/>
      <w:bookmarkEnd w:id="52"/>
      <w:bookmarkEnd w:id="55"/>
    </w:p>
    <w:p w:rsidR="00B56A57" w:rsidRDefault="00660BC2" w:rsidP="00191BC5">
      <w:bookmarkStart w:id="56" w:name="_Toc247691515"/>
      <w:bookmarkStart w:id="57" w:name="_Toc314842499"/>
      <w:r>
        <w:t xml:space="preserve">There were no specific single dose toxicity studies. In safety pharmacology studies in rats and dogs, </w:t>
      </w:r>
      <w:proofErr w:type="spellStart"/>
      <w:r>
        <w:t>lipegfilgrastim</w:t>
      </w:r>
      <w:proofErr w:type="spellEnd"/>
      <w:r>
        <w:t xml:space="preserve"> was well tolerated at a single SC dose of 10 mg/kg. An IV dose </w:t>
      </w:r>
      <w:proofErr w:type="gramStart"/>
      <w:r>
        <w:t xml:space="preserve">of 250 </w:t>
      </w:r>
      <w:proofErr w:type="spellStart"/>
      <w:r>
        <w:t>μg</w:t>
      </w:r>
      <w:proofErr w:type="spellEnd"/>
      <w:r>
        <w:t>/kg</w:t>
      </w:r>
      <w:proofErr w:type="gramEnd"/>
      <w:r w:rsidR="00C839C5" w:rsidRPr="00C839C5">
        <w:t xml:space="preserve"> </w:t>
      </w:r>
      <w:r w:rsidR="00C839C5">
        <w:t>was also well tolerated</w:t>
      </w:r>
      <w:r>
        <w:t xml:space="preserve"> in the renal excretion study in rats</w:t>
      </w:r>
      <w:r w:rsidR="00B56A57">
        <w:t>.</w:t>
      </w:r>
    </w:p>
    <w:p w:rsidR="00B56A57" w:rsidRDefault="00660BC2" w:rsidP="00191BC5">
      <w:r>
        <w:t>Three GLP</w:t>
      </w:r>
      <w:r w:rsidR="00443267">
        <w:t xml:space="preserve"> </w:t>
      </w:r>
      <w:r>
        <w:t xml:space="preserve">compliant repeat-dose toxicity studies in rats for up to 26 weeks and two GLP studies in monkeys for up to 13 weeks have been conducted. </w:t>
      </w:r>
      <w:r w:rsidR="00C839C5">
        <w:t>In the 4 week studies t</w:t>
      </w:r>
      <w:r>
        <w:t xml:space="preserve">he doses were </w:t>
      </w:r>
      <w:proofErr w:type="gramStart"/>
      <w:r>
        <w:t>100</w:t>
      </w:r>
      <w:r w:rsidR="00443267">
        <w:t xml:space="preserve"> to </w:t>
      </w:r>
      <w:r>
        <w:t>1500 µg/kg/week</w:t>
      </w:r>
      <w:proofErr w:type="gramEnd"/>
      <w:r>
        <w:t xml:space="preserve"> and 100</w:t>
      </w:r>
      <w:r w:rsidR="00443267">
        <w:t xml:space="preserve"> to </w:t>
      </w:r>
      <w:r>
        <w:t>1000 µg/kg/week in longer term studies in both species. All studies had a recovery period of 4 or 8 weeks</w:t>
      </w:r>
      <w:r w:rsidR="00B56A57">
        <w:t>.</w:t>
      </w:r>
    </w:p>
    <w:p w:rsidR="00660BC2" w:rsidRDefault="00660BC2" w:rsidP="00443267">
      <w:pPr>
        <w:pStyle w:val="Heading4"/>
      </w:pPr>
      <w:r>
        <w:t>Relative exposure</w:t>
      </w:r>
    </w:p>
    <w:p w:rsidR="00B56A57" w:rsidRDefault="00660BC2" w:rsidP="00191BC5">
      <w:pPr>
        <w:rPr>
          <w:snapToGrid w:val="0"/>
        </w:rPr>
      </w:pPr>
      <w:r>
        <w:rPr>
          <w:snapToGrid w:val="0"/>
        </w:rPr>
        <w:t xml:space="preserve">The animal/human relative exposures achieved in the repeat-dose toxicity studies were high (up to 92 in rats and 76 in monkeys) at the </w:t>
      </w:r>
      <w:r w:rsidR="00443267">
        <w:rPr>
          <w:snapToGrid w:val="0"/>
        </w:rPr>
        <w:t>highest dose based on AUC (see T</w:t>
      </w:r>
      <w:r>
        <w:rPr>
          <w:snapToGrid w:val="0"/>
        </w:rPr>
        <w:t xml:space="preserve">able </w:t>
      </w:r>
      <w:r w:rsidR="00443267">
        <w:rPr>
          <w:snapToGrid w:val="0"/>
        </w:rPr>
        <w:t xml:space="preserve">4 </w:t>
      </w:r>
      <w:r>
        <w:rPr>
          <w:snapToGrid w:val="0"/>
        </w:rPr>
        <w:t xml:space="preserve">below). Lower exposures and larger variability after repeated dosing, particularly in monkeys, after the first dose were most likely a result of the development of neutralising antibodies to </w:t>
      </w:r>
      <w:proofErr w:type="spellStart"/>
      <w:r>
        <w:rPr>
          <w:snapToGrid w:val="0"/>
        </w:rPr>
        <w:t>lipegfilgrastim</w:t>
      </w:r>
      <w:proofErr w:type="spellEnd"/>
      <w:r>
        <w:rPr>
          <w:snapToGrid w:val="0"/>
        </w:rPr>
        <w:t xml:space="preserve"> in some animals. Animal/human exposure ratios based on </w:t>
      </w:r>
      <w:proofErr w:type="spellStart"/>
      <w:r>
        <w:rPr>
          <w:snapToGrid w:val="0"/>
        </w:rPr>
        <w:t>C</w:t>
      </w:r>
      <w:r>
        <w:rPr>
          <w:snapToGrid w:val="0"/>
          <w:vertAlign w:val="subscript"/>
        </w:rPr>
        <w:t>max</w:t>
      </w:r>
      <w:proofErr w:type="spellEnd"/>
      <w:r>
        <w:rPr>
          <w:snapToGrid w:val="0"/>
        </w:rPr>
        <w:t xml:space="preserve"> were generally lower (</w:t>
      </w:r>
      <w:r w:rsidR="00216F4E">
        <w:rPr>
          <w:snapToGrid w:val="0"/>
        </w:rPr>
        <w:t>≤</w:t>
      </w:r>
      <w:r>
        <w:rPr>
          <w:snapToGrid w:val="0"/>
        </w:rPr>
        <w:t> 2 fold) than the exposure ratio based on AUC</w:t>
      </w:r>
      <w:r w:rsidR="00B56A57">
        <w:rPr>
          <w:snapToGrid w:val="0"/>
        </w:rPr>
        <w:t>.</w:t>
      </w:r>
    </w:p>
    <w:p w:rsidR="00660BC2" w:rsidRDefault="00443267" w:rsidP="00443267">
      <w:pPr>
        <w:pStyle w:val="TableTitle"/>
        <w:rPr>
          <w:snapToGrid w:val="0"/>
        </w:rPr>
      </w:pPr>
      <w:r>
        <w:rPr>
          <w:snapToGrid w:val="0"/>
        </w:rPr>
        <w:lastRenderedPageBreak/>
        <w:t xml:space="preserve">Table 4: </w:t>
      </w:r>
      <w:r w:rsidR="00660BC2">
        <w:rPr>
          <w:snapToGrid w:val="0"/>
        </w:rPr>
        <w:t>Relative exposure in repeat-dose toxicity studies</w:t>
      </w:r>
    </w:p>
    <w:tbl>
      <w:tblPr>
        <w:tblStyle w:val="TableTGAblue1"/>
        <w:tblW w:w="9435" w:type="dxa"/>
        <w:tblInd w:w="0" w:type="dxa"/>
        <w:tblLayout w:type="fixed"/>
        <w:tblLook w:val="01E0" w:firstRow="1" w:lastRow="1" w:firstColumn="1" w:lastColumn="1" w:noHBand="0" w:noVBand="0"/>
      </w:tblPr>
      <w:tblGrid>
        <w:gridCol w:w="1101"/>
        <w:gridCol w:w="850"/>
        <w:gridCol w:w="851"/>
        <w:gridCol w:w="739"/>
        <w:gridCol w:w="906"/>
        <w:gridCol w:w="906"/>
        <w:gridCol w:w="906"/>
        <w:gridCol w:w="794"/>
        <w:gridCol w:w="794"/>
        <w:gridCol w:w="794"/>
        <w:gridCol w:w="794"/>
      </w:tblGrid>
      <w:tr w:rsidR="00660BC2" w:rsidRPr="00443267" w:rsidTr="00F467F5">
        <w:trPr>
          <w:cnfStyle w:val="100000000000" w:firstRow="1" w:lastRow="0" w:firstColumn="0" w:lastColumn="0" w:oddVBand="0" w:evenVBand="0" w:oddHBand="0" w:evenHBand="0" w:firstRowFirstColumn="0" w:firstRowLastColumn="0" w:lastRowFirstColumn="0" w:lastRowLastColumn="0"/>
          <w:tblHeader/>
        </w:trPr>
        <w:tc>
          <w:tcPr>
            <w:tcW w:w="1101" w:type="dxa"/>
            <w:vMerge w:val="restart"/>
            <w:hideMark/>
          </w:tcPr>
          <w:p w:rsidR="00660BC2" w:rsidRPr="00443267" w:rsidRDefault="00660BC2" w:rsidP="00D10CCF">
            <w:pPr>
              <w:keepNext/>
              <w:keepLines/>
              <w:widowControl w:val="0"/>
              <w:spacing w:before="60" w:after="60" w:line="200" w:lineRule="exact"/>
              <w:jc w:val="center"/>
              <w:rPr>
                <w:rFonts w:eastAsia="MS Mincho"/>
                <w:kern w:val="2"/>
                <w:sz w:val="19"/>
                <w:szCs w:val="19"/>
              </w:rPr>
            </w:pPr>
            <w:r w:rsidRPr="00443267">
              <w:rPr>
                <w:kern w:val="2"/>
                <w:sz w:val="19"/>
                <w:szCs w:val="19"/>
              </w:rPr>
              <w:t>Species</w:t>
            </w:r>
          </w:p>
        </w:tc>
        <w:tc>
          <w:tcPr>
            <w:tcW w:w="850" w:type="dxa"/>
            <w:vMerge w:val="restart"/>
            <w:hideMark/>
          </w:tcPr>
          <w:p w:rsidR="00660BC2" w:rsidRPr="00443267" w:rsidRDefault="00660BC2" w:rsidP="00D10CCF">
            <w:pPr>
              <w:keepNext/>
              <w:keepLines/>
              <w:widowControl w:val="0"/>
              <w:spacing w:before="60" w:after="60" w:line="200" w:lineRule="exact"/>
              <w:jc w:val="center"/>
              <w:rPr>
                <w:rFonts w:eastAsia="MS Mincho"/>
                <w:kern w:val="2"/>
                <w:sz w:val="19"/>
                <w:szCs w:val="19"/>
              </w:rPr>
            </w:pPr>
            <w:r w:rsidRPr="00443267">
              <w:rPr>
                <w:kern w:val="2"/>
                <w:sz w:val="19"/>
                <w:szCs w:val="19"/>
              </w:rPr>
              <w:t>Study period</w:t>
            </w:r>
          </w:p>
        </w:tc>
        <w:tc>
          <w:tcPr>
            <w:tcW w:w="851" w:type="dxa"/>
            <w:vMerge w:val="restart"/>
            <w:hideMark/>
          </w:tcPr>
          <w:p w:rsidR="00660BC2" w:rsidRPr="00443267" w:rsidRDefault="00660BC2">
            <w:pPr>
              <w:keepNext/>
              <w:keepLines/>
              <w:widowControl w:val="0"/>
              <w:spacing w:before="60" w:after="60" w:line="200" w:lineRule="exact"/>
              <w:ind w:left="-57" w:right="-57"/>
              <w:jc w:val="center"/>
              <w:rPr>
                <w:rFonts w:eastAsia="MS Mincho"/>
                <w:kern w:val="2"/>
                <w:sz w:val="19"/>
                <w:szCs w:val="19"/>
              </w:rPr>
            </w:pPr>
            <w:r w:rsidRPr="00443267">
              <w:rPr>
                <w:kern w:val="2"/>
                <w:sz w:val="19"/>
                <w:szCs w:val="19"/>
              </w:rPr>
              <w:t>Weekly dose</w:t>
            </w:r>
            <w:r w:rsidRPr="00443267">
              <w:rPr>
                <w:kern w:val="2"/>
                <w:sz w:val="19"/>
                <w:szCs w:val="19"/>
              </w:rPr>
              <w:br/>
              <w:t>(</w:t>
            </w:r>
            <w:proofErr w:type="spellStart"/>
            <w:r w:rsidRPr="00443267">
              <w:rPr>
                <w:kern w:val="2"/>
                <w:sz w:val="19"/>
                <w:szCs w:val="19"/>
              </w:rPr>
              <w:t>μg</w:t>
            </w:r>
            <w:proofErr w:type="spellEnd"/>
            <w:r w:rsidRPr="00443267">
              <w:rPr>
                <w:kern w:val="2"/>
                <w:sz w:val="19"/>
                <w:szCs w:val="19"/>
              </w:rPr>
              <w:t>/kg)</w:t>
            </w:r>
          </w:p>
        </w:tc>
        <w:tc>
          <w:tcPr>
            <w:tcW w:w="3457" w:type="dxa"/>
            <w:gridSpan w:val="4"/>
            <w:hideMark/>
          </w:tcPr>
          <w:p w:rsidR="00660BC2" w:rsidRPr="00443267" w:rsidRDefault="00660BC2">
            <w:pPr>
              <w:keepNext/>
              <w:keepLines/>
              <w:widowControl w:val="0"/>
              <w:spacing w:before="60" w:after="60" w:line="200" w:lineRule="exact"/>
              <w:jc w:val="center"/>
              <w:rPr>
                <w:rFonts w:eastAsia="MS Mincho"/>
                <w:kern w:val="2"/>
                <w:sz w:val="19"/>
                <w:szCs w:val="19"/>
              </w:rPr>
            </w:pPr>
            <w:r w:rsidRPr="00443267">
              <w:rPr>
                <w:kern w:val="2"/>
                <w:sz w:val="19"/>
                <w:szCs w:val="19"/>
              </w:rPr>
              <w:t>AUC</w:t>
            </w:r>
            <w:r w:rsidRPr="00443267">
              <w:rPr>
                <w:kern w:val="2"/>
                <w:sz w:val="19"/>
                <w:szCs w:val="19"/>
                <w:vertAlign w:val="subscript"/>
              </w:rPr>
              <w:t xml:space="preserve">0–t last </w:t>
            </w:r>
            <w:r w:rsidRPr="00443267">
              <w:rPr>
                <w:kern w:val="2"/>
                <w:sz w:val="19"/>
                <w:szCs w:val="19"/>
              </w:rPr>
              <w:t>(</w:t>
            </w:r>
            <w:proofErr w:type="spellStart"/>
            <w:r w:rsidRPr="00443267">
              <w:rPr>
                <w:kern w:val="2"/>
                <w:sz w:val="19"/>
                <w:szCs w:val="19"/>
              </w:rPr>
              <w:t>μg∙h</w:t>
            </w:r>
            <w:proofErr w:type="spellEnd"/>
            <w:r w:rsidRPr="00443267">
              <w:rPr>
                <w:kern w:val="2"/>
                <w:sz w:val="19"/>
                <w:szCs w:val="19"/>
              </w:rPr>
              <w:t>/mL)</w:t>
            </w:r>
          </w:p>
        </w:tc>
        <w:tc>
          <w:tcPr>
            <w:tcW w:w="3176" w:type="dxa"/>
            <w:gridSpan w:val="4"/>
            <w:hideMark/>
          </w:tcPr>
          <w:p w:rsidR="00660BC2" w:rsidRPr="00443267" w:rsidRDefault="00660BC2">
            <w:pPr>
              <w:keepNext/>
              <w:keepLines/>
              <w:widowControl w:val="0"/>
              <w:spacing w:before="60" w:after="60" w:line="200" w:lineRule="exact"/>
              <w:jc w:val="center"/>
              <w:rPr>
                <w:rFonts w:eastAsia="MS Mincho"/>
                <w:kern w:val="2"/>
                <w:sz w:val="19"/>
                <w:szCs w:val="19"/>
              </w:rPr>
            </w:pPr>
            <w:r w:rsidRPr="00443267">
              <w:rPr>
                <w:kern w:val="2"/>
                <w:sz w:val="19"/>
                <w:szCs w:val="19"/>
              </w:rPr>
              <w:t>Exposure ratio</w:t>
            </w:r>
            <w:r w:rsidRPr="00443267">
              <w:rPr>
                <w:kern w:val="2"/>
                <w:sz w:val="19"/>
                <w:szCs w:val="19"/>
                <w:vertAlign w:val="superscript"/>
              </w:rPr>
              <w:t>#</w:t>
            </w:r>
          </w:p>
        </w:tc>
      </w:tr>
      <w:tr w:rsidR="00660BC2" w:rsidRPr="00443267" w:rsidTr="00F467F5">
        <w:trPr>
          <w:cnfStyle w:val="100000000000" w:firstRow="1" w:lastRow="0" w:firstColumn="0" w:lastColumn="0" w:oddVBand="0" w:evenVBand="0" w:oddHBand="0" w:evenHBand="0" w:firstRowFirstColumn="0" w:firstRowLastColumn="0" w:lastRowFirstColumn="0" w:lastRowLastColumn="0"/>
          <w:tblHeader/>
        </w:trPr>
        <w:tc>
          <w:tcPr>
            <w:tcW w:w="1101" w:type="dxa"/>
            <w:vMerge/>
            <w:hideMark/>
          </w:tcPr>
          <w:p w:rsidR="00660BC2" w:rsidRPr="00443267" w:rsidRDefault="00660BC2" w:rsidP="00D10CCF">
            <w:pPr>
              <w:keepNext/>
              <w:rPr>
                <w:rFonts w:eastAsia="MS Mincho"/>
                <w:kern w:val="2"/>
                <w:sz w:val="19"/>
                <w:szCs w:val="19"/>
              </w:rPr>
            </w:pPr>
          </w:p>
        </w:tc>
        <w:tc>
          <w:tcPr>
            <w:tcW w:w="850" w:type="dxa"/>
            <w:vMerge/>
            <w:hideMark/>
          </w:tcPr>
          <w:p w:rsidR="00660BC2" w:rsidRPr="00443267" w:rsidRDefault="00660BC2" w:rsidP="00D10CCF">
            <w:pPr>
              <w:keepNext/>
              <w:rPr>
                <w:rFonts w:eastAsia="MS Mincho"/>
                <w:kern w:val="2"/>
                <w:sz w:val="19"/>
                <w:szCs w:val="19"/>
              </w:rPr>
            </w:pPr>
          </w:p>
        </w:tc>
        <w:tc>
          <w:tcPr>
            <w:tcW w:w="851" w:type="dxa"/>
            <w:vMerge/>
            <w:hideMark/>
          </w:tcPr>
          <w:p w:rsidR="00660BC2" w:rsidRPr="00443267" w:rsidRDefault="00660BC2">
            <w:pPr>
              <w:rPr>
                <w:rFonts w:eastAsia="MS Mincho"/>
                <w:kern w:val="2"/>
                <w:sz w:val="19"/>
                <w:szCs w:val="19"/>
              </w:rPr>
            </w:pPr>
          </w:p>
        </w:tc>
        <w:tc>
          <w:tcPr>
            <w:tcW w:w="1645" w:type="dxa"/>
            <w:gridSpan w:val="2"/>
            <w:hideMark/>
          </w:tcPr>
          <w:p w:rsidR="00660BC2" w:rsidRPr="00443267" w:rsidRDefault="00660BC2">
            <w:pPr>
              <w:keepNext/>
              <w:keepLines/>
              <w:widowControl w:val="0"/>
              <w:spacing w:before="60" w:after="60" w:line="200" w:lineRule="exact"/>
              <w:jc w:val="center"/>
              <w:rPr>
                <w:rFonts w:eastAsia="MS Mincho"/>
                <w:kern w:val="2"/>
                <w:sz w:val="19"/>
                <w:szCs w:val="19"/>
              </w:rPr>
            </w:pPr>
            <w:r w:rsidRPr="00443267">
              <w:rPr>
                <w:kern w:val="2"/>
                <w:sz w:val="19"/>
                <w:szCs w:val="19"/>
              </w:rPr>
              <w:t>Day 1</w:t>
            </w:r>
          </w:p>
        </w:tc>
        <w:tc>
          <w:tcPr>
            <w:tcW w:w="1812" w:type="dxa"/>
            <w:gridSpan w:val="2"/>
            <w:hideMark/>
          </w:tcPr>
          <w:p w:rsidR="00660BC2" w:rsidRPr="00443267" w:rsidRDefault="00660BC2">
            <w:pPr>
              <w:keepNext/>
              <w:keepLines/>
              <w:widowControl w:val="0"/>
              <w:spacing w:before="60" w:after="60" w:line="200" w:lineRule="exact"/>
              <w:jc w:val="center"/>
              <w:rPr>
                <w:rFonts w:eastAsia="MS Mincho"/>
                <w:kern w:val="2"/>
                <w:sz w:val="19"/>
                <w:szCs w:val="19"/>
              </w:rPr>
            </w:pPr>
            <w:r w:rsidRPr="00443267">
              <w:rPr>
                <w:kern w:val="2"/>
                <w:sz w:val="19"/>
                <w:szCs w:val="19"/>
              </w:rPr>
              <w:t>Last dose day</w:t>
            </w:r>
          </w:p>
        </w:tc>
        <w:tc>
          <w:tcPr>
            <w:tcW w:w="1588" w:type="dxa"/>
            <w:gridSpan w:val="2"/>
            <w:hideMark/>
          </w:tcPr>
          <w:p w:rsidR="00660BC2" w:rsidRPr="00443267" w:rsidRDefault="00660BC2">
            <w:pPr>
              <w:keepNext/>
              <w:keepLines/>
              <w:widowControl w:val="0"/>
              <w:spacing w:before="60" w:after="60" w:line="200" w:lineRule="exact"/>
              <w:jc w:val="center"/>
              <w:rPr>
                <w:rFonts w:eastAsia="MS Mincho"/>
                <w:kern w:val="2"/>
                <w:sz w:val="19"/>
                <w:szCs w:val="19"/>
              </w:rPr>
            </w:pPr>
            <w:r w:rsidRPr="00443267">
              <w:rPr>
                <w:kern w:val="2"/>
                <w:sz w:val="19"/>
                <w:szCs w:val="19"/>
              </w:rPr>
              <w:t>Day 1</w:t>
            </w:r>
          </w:p>
        </w:tc>
        <w:tc>
          <w:tcPr>
            <w:tcW w:w="1588" w:type="dxa"/>
            <w:gridSpan w:val="2"/>
            <w:hideMark/>
          </w:tcPr>
          <w:p w:rsidR="00660BC2" w:rsidRPr="00443267" w:rsidRDefault="00660BC2">
            <w:pPr>
              <w:keepNext/>
              <w:keepLines/>
              <w:widowControl w:val="0"/>
              <w:spacing w:before="60" w:after="60" w:line="200" w:lineRule="exact"/>
              <w:jc w:val="center"/>
              <w:rPr>
                <w:rFonts w:eastAsia="MS Mincho"/>
                <w:kern w:val="2"/>
                <w:sz w:val="19"/>
                <w:szCs w:val="19"/>
              </w:rPr>
            </w:pPr>
            <w:r w:rsidRPr="00443267">
              <w:rPr>
                <w:kern w:val="2"/>
                <w:sz w:val="19"/>
                <w:szCs w:val="19"/>
              </w:rPr>
              <w:t>Last dose day</w:t>
            </w:r>
          </w:p>
        </w:tc>
      </w:tr>
      <w:tr w:rsidR="00660BC2" w:rsidRPr="00443267" w:rsidTr="00F467F5">
        <w:trPr>
          <w:cnfStyle w:val="100000000000" w:firstRow="1" w:lastRow="0" w:firstColumn="0" w:lastColumn="0" w:oddVBand="0" w:evenVBand="0" w:oddHBand="0" w:evenHBand="0" w:firstRowFirstColumn="0" w:firstRowLastColumn="0" w:lastRowFirstColumn="0" w:lastRowLastColumn="0"/>
          <w:tblHeader/>
        </w:trPr>
        <w:tc>
          <w:tcPr>
            <w:tcW w:w="1101" w:type="dxa"/>
            <w:vMerge/>
            <w:hideMark/>
          </w:tcPr>
          <w:p w:rsidR="00660BC2" w:rsidRPr="00443267" w:rsidRDefault="00660BC2" w:rsidP="00D10CCF">
            <w:pPr>
              <w:keepNext/>
              <w:rPr>
                <w:rFonts w:eastAsia="MS Mincho"/>
                <w:kern w:val="2"/>
                <w:sz w:val="19"/>
                <w:szCs w:val="19"/>
              </w:rPr>
            </w:pPr>
          </w:p>
        </w:tc>
        <w:tc>
          <w:tcPr>
            <w:tcW w:w="850" w:type="dxa"/>
            <w:vMerge/>
            <w:hideMark/>
          </w:tcPr>
          <w:p w:rsidR="00660BC2" w:rsidRPr="00443267" w:rsidRDefault="00660BC2" w:rsidP="00D10CCF">
            <w:pPr>
              <w:keepNext/>
              <w:rPr>
                <w:rFonts w:eastAsia="MS Mincho"/>
                <w:kern w:val="2"/>
                <w:sz w:val="19"/>
                <w:szCs w:val="19"/>
              </w:rPr>
            </w:pPr>
          </w:p>
        </w:tc>
        <w:tc>
          <w:tcPr>
            <w:tcW w:w="851" w:type="dxa"/>
            <w:vMerge/>
            <w:hideMark/>
          </w:tcPr>
          <w:p w:rsidR="00660BC2" w:rsidRPr="00443267" w:rsidRDefault="00660BC2">
            <w:pPr>
              <w:rPr>
                <w:rFonts w:eastAsia="MS Mincho"/>
                <w:kern w:val="2"/>
                <w:sz w:val="19"/>
                <w:szCs w:val="19"/>
              </w:rPr>
            </w:pPr>
          </w:p>
        </w:tc>
        <w:tc>
          <w:tcPr>
            <w:tcW w:w="739"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Male</w:t>
            </w:r>
          </w:p>
        </w:tc>
        <w:tc>
          <w:tcPr>
            <w:tcW w:w="906"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Female</w:t>
            </w:r>
          </w:p>
        </w:tc>
        <w:tc>
          <w:tcPr>
            <w:tcW w:w="906"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Male</w:t>
            </w:r>
          </w:p>
        </w:tc>
        <w:tc>
          <w:tcPr>
            <w:tcW w:w="906"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Female</w:t>
            </w:r>
          </w:p>
        </w:tc>
        <w:tc>
          <w:tcPr>
            <w:tcW w:w="794"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Male</w:t>
            </w:r>
          </w:p>
        </w:tc>
        <w:tc>
          <w:tcPr>
            <w:tcW w:w="794"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Female</w:t>
            </w:r>
          </w:p>
        </w:tc>
        <w:tc>
          <w:tcPr>
            <w:tcW w:w="794"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Male</w:t>
            </w:r>
          </w:p>
        </w:tc>
        <w:tc>
          <w:tcPr>
            <w:tcW w:w="794" w:type="dxa"/>
            <w:hideMark/>
          </w:tcPr>
          <w:p w:rsidR="00660BC2" w:rsidRPr="00443267" w:rsidRDefault="00660BC2">
            <w:pPr>
              <w:keepNext/>
              <w:keepLines/>
              <w:widowControl w:val="0"/>
              <w:spacing w:before="60" w:after="60" w:line="200" w:lineRule="exact"/>
              <w:jc w:val="center"/>
              <w:rPr>
                <w:rFonts w:eastAsia="MS Mincho"/>
                <w:kern w:val="2"/>
                <w:sz w:val="16"/>
                <w:szCs w:val="16"/>
              </w:rPr>
            </w:pPr>
            <w:r w:rsidRPr="00443267">
              <w:rPr>
                <w:kern w:val="2"/>
                <w:sz w:val="16"/>
                <w:szCs w:val="16"/>
              </w:rPr>
              <w:t>Female</w:t>
            </w:r>
          </w:p>
        </w:tc>
      </w:tr>
      <w:tr w:rsidR="00660BC2" w:rsidTr="00F467F5">
        <w:trPr>
          <w:trHeight w:val="227"/>
        </w:trPr>
        <w:tc>
          <w:tcPr>
            <w:tcW w:w="1101" w:type="dxa"/>
            <w:vMerge w:val="restart"/>
            <w:hideMark/>
          </w:tcPr>
          <w:p w:rsidR="00660BC2" w:rsidRDefault="00660BC2" w:rsidP="00D10CCF">
            <w:pPr>
              <w:keepNext/>
              <w:keepLines/>
              <w:spacing w:before="40" w:after="40" w:line="200" w:lineRule="exact"/>
              <w:jc w:val="center"/>
              <w:rPr>
                <w:rFonts w:eastAsia="Times New Roman"/>
                <w:snapToGrid w:val="0"/>
                <w:color w:val="00B050"/>
                <w:kern w:val="2"/>
                <w:sz w:val="18"/>
                <w:szCs w:val="19"/>
              </w:rPr>
            </w:pPr>
            <w:r>
              <w:rPr>
                <w:rFonts w:eastAsia="Times New Roman"/>
                <w:b/>
                <w:snapToGrid w:val="0"/>
                <w:kern w:val="2"/>
                <w:sz w:val="18"/>
                <w:szCs w:val="19"/>
              </w:rPr>
              <w:t>Rat</w:t>
            </w:r>
          </w:p>
        </w:tc>
        <w:tc>
          <w:tcPr>
            <w:tcW w:w="850" w:type="dxa"/>
            <w:vMerge w:val="restart"/>
            <w:hideMark/>
          </w:tcPr>
          <w:p w:rsidR="00660BC2" w:rsidRDefault="00660BC2" w:rsidP="00D10CCF">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 xml:space="preserve">4 </w:t>
            </w:r>
          </w:p>
          <w:p w:rsidR="00660BC2" w:rsidRDefault="00660BC2" w:rsidP="00D10CCF">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weeks</w:t>
            </w: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w:t>
            </w:r>
          </w:p>
        </w:tc>
        <w:tc>
          <w:tcPr>
            <w:tcW w:w="739"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3.69</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5.49</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1.11</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3.55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0.8</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0.8</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500</w:t>
            </w:r>
          </w:p>
        </w:tc>
        <w:tc>
          <w:tcPr>
            <w:tcW w:w="739"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78.0</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104.4</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33.4</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74.9</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17</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7.4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17</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1500</w:t>
            </w:r>
          </w:p>
        </w:tc>
        <w:tc>
          <w:tcPr>
            <w:tcW w:w="739"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324</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370</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258</w:t>
            </w:r>
          </w:p>
        </w:tc>
        <w:tc>
          <w:tcPr>
            <w:tcW w:w="906" w:type="dxa"/>
            <w:hideMark/>
          </w:tcPr>
          <w:p w:rsidR="00660BC2" w:rsidRDefault="00660BC2">
            <w:pPr>
              <w:keepNext/>
              <w:keepLines/>
              <w:spacing w:line="200" w:lineRule="exact"/>
              <w:jc w:val="center"/>
              <w:rPr>
                <w:rFonts w:eastAsia="Times New Roman"/>
                <w:snapToGrid w:val="0"/>
                <w:color w:val="00B050"/>
                <w:kern w:val="2"/>
                <w:sz w:val="18"/>
                <w:szCs w:val="19"/>
              </w:rPr>
            </w:pPr>
            <w:r>
              <w:rPr>
                <w:snapToGrid w:val="0"/>
                <w:kern w:val="16"/>
                <w:sz w:val="18"/>
                <w:szCs w:val="19"/>
              </w:rPr>
              <w:t>413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72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82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57</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92</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val="restart"/>
            <w:hideMark/>
          </w:tcPr>
          <w:p w:rsidR="00660BC2" w:rsidRDefault="00660BC2">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13 weeks</w:t>
            </w: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2.89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4.65</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0.95</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2.48</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0.6</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1.0</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0.6</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500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53.8</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69.1</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21.9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41.9</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9</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158</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199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109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170</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44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38</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val="restart"/>
            <w:hideMark/>
          </w:tcPr>
          <w:p w:rsidR="00660BC2" w:rsidRDefault="00660BC2">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26 weeks</w:t>
            </w: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2.97</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5.53</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0.169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1.55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0.7</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&lt;0.1</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0.3</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500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43.9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48.3</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8.92</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63.2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10</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11</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2.0</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14</w:t>
            </w:r>
          </w:p>
        </w:tc>
      </w:tr>
      <w:tr w:rsidR="00660BC2" w:rsidTr="00F467F5">
        <w:trPr>
          <w:trHeight w:val="227"/>
        </w:trPr>
        <w:tc>
          <w:tcPr>
            <w:tcW w:w="1101" w:type="dxa"/>
            <w:vMerge/>
            <w:hideMark/>
          </w:tcPr>
          <w:p w:rsidR="00660BC2" w:rsidRDefault="00660BC2">
            <w:pPr>
              <w:rPr>
                <w:rFonts w:eastAsia="Times New Roman"/>
                <w:snapToGrid w:val="0"/>
                <w:color w:val="00B05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1000</w:t>
            </w:r>
          </w:p>
        </w:tc>
        <w:tc>
          <w:tcPr>
            <w:tcW w:w="739"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16"/>
                <w:sz w:val="18"/>
                <w:szCs w:val="18"/>
              </w:rPr>
              <w:t>149</w:t>
            </w:r>
          </w:p>
        </w:tc>
        <w:tc>
          <w:tcPr>
            <w:tcW w:w="906"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16"/>
                <w:sz w:val="18"/>
                <w:szCs w:val="18"/>
              </w:rPr>
              <w:t>152</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47.5</w:t>
            </w:r>
          </w:p>
        </w:tc>
        <w:tc>
          <w:tcPr>
            <w:tcW w:w="906"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16"/>
                <w:sz w:val="18"/>
                <w:szCs w:val="18"/>
              </w:rPr>
              <w:t>133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11</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30</w:t>
            </w:r>
          </w:p>
        </w:tc>
      </w:tr>
      <w:tr w:rsidR="00660BC2" w:rsidTr="00F467F5">
        <w:trPr>
          <w:trHeight w:val="227"/>
        </w:trPr>
        <w:tc>
          <w:tcPr>
            <w:tcW w:w="1101" w:type="dxa"/>
            <w:vMerge w:val="restart"/>
            <w:hideMark/>
          </w:tcPr>
          <w:p w:rsidR="00660BC2" w:rsidRDefault="00660BC2">
            <w:pPr>
              <w:keepNext/>
              <w:keepLines/>
              <w:spacing w:before="40" w:after="40" w:line="200" w:lineRule="exact"/>
              <w:jc w:val="center"/>
              <w:rPr>
                <w:rFonts w:eastAsia="Times New Roman"/>
                <w:snapToGrid w:val="0"/>
                <w:kern w:val="2"/>
                <w:sz w:val="18"/>
                <w:szCs w:val="19"/>
              </w:rPr>
            </w:pPr>
            <w:r>
              <w:rPr>
                <w:rFonts w:eastAsia="Times New Roman"/>
                <w:b/>
                <w:snapToGrid w:val="0"/>
                <w:kern w:val="2"/>
                <w:sz w:val="18"/>
                <w:szCs w:val="19"/>
              </w:rPr>
              <w:t>Monkey</w:t>
            </w:r>
          </w:p>
        </w:tc>
        <w:tc>
          <w:tcPr>
            <w:tcW w:w="850" w:type="dxa"/>
            <w:vMerge w:val="restart"/>
            <w:hideMark/>
          </w:tcPr>
          <w:p w:rsidR="00660BC2" w:rsidRDefault="00660BC2">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4 weeks</w:t>
            </w: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5.80</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9.18</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2.34</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1.94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2.0</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0.4</w:t>
            </w:r>
          </w:p>
        </w:tc>
      </w:tr>
      <w:tr w:rsidR="00660BC2" w:rsidTr="00F467F5">
        <w:trPr>
          <w:trHeight w:val="227"/>
        </w:trPr>
        <w:tc>
          <w:tcPr>
            <w:tcW w:w="1101" w:type="dxa"/>
            <w:vMerge/>
            <w:hideMark/>
          </w:tcPr>
          <w:p w:rsidR="00660BC2" w:rsidRDefault="00660BC2">
            <w:pPr>
              <w:rPr>
                <w:rFonts w:eastAsia="Times New Roman"/>
                <w:snapToGrid w:val="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500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90.1</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716</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67.9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18.3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20</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16</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15</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4.1</w:t>
            </w:r>
          </w:p>
        </w:tc>
      </w:tr>
      <w:tr w:rsidR="00660BC2" w:rsidTr="00F467F5">
        <w:trPr>
          <w:trHeight w:val="227"/>
        </w:trPr>
        <w:tc>
          <w:tcPr>
            <w:tcW w:w="1101" w:type="dxa"/>
            <w:vMerge/>
            <w:hideMark/>
          </w:tcPr>
          <w:p w:rsidR="00660BC2" w:rsidRDefault="00660BC2">
            <w:pPr>
              <w:rPr>
                <w:rFonts w:eastAsia="Times New Roman"/>
                <w:snapToGrid w:val="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1500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191</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250</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147</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138</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42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56</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33</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31</w:t>
            </w:r>
          </w:p>
        </w:tc>
      </w:tr>
      <w:tr w:rsidR="00660BC2" w:rsidTr="00F467F5">
        <w:trPr>
          <w:trHeight w:val="227"/>
        </w:trPr>
        <w:tc>
          <w:tcPr>
            <w:tcW w:w="1101" w:type="dxa"/>
            <w:vMerge/>
            <w:hideMark/>
          </w:tcPr>
          <w:p w:rsidR="00660BC2" w:rsidRDefault="00660BC2">
            <w:pPr>
              <w:rPr>
                <w:rFonts w:eastAsia="Times New Roman"/>
                <w:snapToGrid w:val="0"/>
                <w:kern w:val="2"/>
                <w:sz w:val="18"/>
                <w:szCs w:val="19"/>
              </w:rPr>
            </w:pPr>
          </w:p>
        </w:tc>
        <w:tc>
          <w:tcPr>
            <w:tcW w:w="850" w:type="dxa"/>
            <w:vMerge w:val="restart"/>
            <w:hideMark/>
          </w:tcPr>
          <w:p w:rsidR="00660BC2" w:rsidRDefault="00660BC2">
            <w:pPr>
              <w:keepNext/>
              <w:keepLines/>
              <w:spacing w:before="20" w:after="20" w:line="200" w:lineRule="exact"/>
              <w:jc w:val="center"/>
              <w:rPr>
                <w:rFonts w:eastAsia="Times New Roman"/>
                <w:snapToGrid w:val="0"/>
                <w:kern w:val="2"/>
                <w:sz w:val="18"/>
                <w:szCs w:val="19"/>
              </w:rPr>
            </w:pPr>
            <w:r>
              <w:rPr>
                <w:rFonts w:eastAsia="Times New Roman"/>
                <w:snapToGrid w:val="0"/>
                <w:kern w:val="2"/>
                <w:sz w:val="18"/>
                <w:szCs w:val="19"/>
              </w:rPr>
              <w:t>13 weeks</w:t>
            </w: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12.0</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7.01</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1.63</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2.82</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2.7</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1.6</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0.6</w:t>
            </w:r>
          </w:p>
        </w:tc>
      </w:tr>
      <w:tr w:rsidR="00660BC2" w:rsidTr="00F467F5">
        <w:trPr>
          <w:trHeight w:val="227"/>
        </w:trPr>
        <w:tc>
          <w:tcPr>
            <w:tcW w:w="1101" w:type="dxa"/>
            <w:vMerge/>
            <w:hideMark/>
          </w:tcPr>
          <w:p w:rsidR="00660BC2" w:rsidRDefault="00660BC2">
            <w:pPr>
              <w:rPr>
                <w:rFonts w:eastAsia="Times New Roman"/>
                <w:snapToGrid w:val="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500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129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122</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39.6</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17.4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29</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27</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8.8</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3.9</w:t>
            </w:r>
          </w:p>
        </w:tc>
      </w:tr>
      <w:tr w:rsidR="00660BC2" w:rsidTr="00F467F5">
        <w:trPr>
          <w:trHeight w:val="227"/>
        </w:trPr>
        <w:tc>
          <w:tcPr>
            <w:tcW w:w="1101" w:type="dxa"/>
            <w:vMerge/>
            <w:hideMark/>
          </w:tcPr>
          <w:p w:rsidR="00660BC2" w:rsidRDefault="00660BC2">
            <w:pPr>
              <w:rPr>
                <w:rFonts w:eastAsia="Times New Roman"/>
                <w:snapToGrid w:val="0"/>
                <w:kern w:val="2"/>
                <w:sz w:val="18"/>
                <w:szCs w:val="19"/>
              </w:rPr>
            </w:pPr>
          </w:p>
        </w:tc>
        <w:tc>
          <w:tcPr>
            <w:tcW w:w="850"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ind w:left="-57" w:right="-57"/>
              <w:jc w:val="center"/>
              <w:rPr>
                <w:rFonts w:eastAsia="Times New Roman"/>
                <w:snapToGrid w:val="0"/>
                <w:kern w:val="2"/>
                <w:sz w:val="18"/>
                <w:szCs w:val="19"/>
              </w:rPr>
            </w:pPr>
            <w:r>
              <w:rPr>
                <w:rFonts w:eastAsia="Times New Roman"/>
                <w:snapToGrid w:val="0"/>
                <w:kern w:val="2"/>
                <w:sz w:val="18"/>
                <w:szCs w:val="19"/>
              </w:rPr>
              <w:t>1000</w:t>
            </w:r>
          </w:p>
        </w:tc>
        <w:tc>
          <w:tcPr>
            <w:tcW w:w="73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229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299</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1.74</w:t>
            </w:r>
          </w:p>
        </w:tc>
        <w:tc>
          <w:tcPr>
            <w:tcW w:w="906"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176</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51</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67</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0.4</w:t>
            </w:r>
          </w:p>
        </w:tc>
        <w:tc>
          <w:tcPr>
            <w:tcW w:w="794" w:type="dxa"/>
            <w:hideMark/>
          </w:tcPr>
          <w:p w:rsidR="00660BC2" w:rsidRDefault="00660BC2">
            <w:pPr>
              <w:keepNext/>
              <w:keepLines/>
              <w:spacing w:line="200" w:lineRule="exact"/>
              <w:jc w:val="center"/>
              <w:rPr>
                <w:rFonts w:eastAsia="Times New Roman"/>
                <w:snapToGrid w:val="0"/>
                <w:kern w:val="2"/>
                <w:sz w:val="18"/>
                <w:szCs w:val="18"/>
              </w:rPr>
            </w:pPr>
            <w:r>
              <w:rPr>
                <w:rFonts w:eastAsia="Times New Roman"/>
                <w:snapToGrid w:val="0"/>
                <w:kern w:val="2"/>
                <w:sz w:val="18"/>
                <w:szCs w:val="18"/>
              </w:rPr>
              <w:t>39</w:t>
            </w:r>
          </w:p>
        </w:tc>
      </w:tr>
      <w:tr w:rsidR="00660BC2" w:rsidTr="00F467F5">
        <w:trPr>
          <w:trHeight w:val="227"/>
        </w:trPr>
        <w:tc>
          <w:tcPr>
            <w:tcW w:w="1101" w:type="dxa"/>
            <w:hideMark/>
          </w:tcPr>
          <w:p w:rsidR="00660BC2" w:rsidRDefault="00660BC2" w:rsidP="00F467F5">
            <w:pPr>
              <w:spacing w:before="40" w:after="40" w:line="200" w:lineRule="exact"/>
              <w:jc w:val="center"/>
              <w:rPr>
                <w:rFonts w:eastAsia="Times New Roman"/>
                <w:snapToGrid w:val="0"/>
                <w:kern w:val="2"/>
                <w:sz w:val="18"/>
                <w:szCs w:val="19"/>
              </w:rPr>
            </w:pPr>
            <w:r>
              <w:rPr>
                <w:rFonts w:eastAsia="Times New Roman"/>
                <w:b/>
                <w:snapToGrid w:val="0"/>
                <w:kern w:val="2"/>
                <w:sz w:val="18"/>
                <w:szCs w:val="19"/>
              </w:rPr>
              <w:t>Human</w:t>
            </w:r>
            <w:r>
              <w:rPr>
                <w:rFonts w:eastAsia="Times New Roman"/>
                <w:snapToGrid w:val="0"/>
                <w:kern w:val="2"/>
                <w:sz w:val="18"/>
                <w:szCs w:val="19"/>
              </w:rPr>
              <w:br/>
              <w:t>healthy volunteers*</w:t>
            </w:r>
          </w:p>
        </w:tc>
        <w:tc>
          <w:tcPr>
            <w:tcW w:w="850" w:type="dxa"/>
            <w:hideMark/>
          </w:tcPr>
          <w:p w:rsidR="00660BC2" w:rsidRDefault="00660BC2">
            <w:pPr>
              <w:spacing w:before="20" w:after="20" w:line="200" w:lineRule="exact"/>
              <w:jc w:val="center"/>
              <w:rPr>
                <w:rFonts w:eastAsia="Times New Roman"/>
                <w:snapToGrid w:val="0"/>
                <w:kern w:val="2"/>
                <w:sz w:val="18"/>
                <w:szCs w:val="19"/>
              </w:rPr>
            </w:pPr>
            <w:r>
              <w:rPr>
                <w:rFonts w:eastAsia="Times New Roman"/>
                <w:snapToGrid w:val="0"/>
                <w:kern w:val="2"/>
                <w:sz w:val="18"/>
                <w:szCs w:val="19"/>
              </w:rPr>
              <w:t>Single dose</w:t>
            </w:r>
          </w:p>
        </w:tc>
        <w:tc>
          <w:tcPr>
            <w:tcW w:w="851" w:type="dxa"/>
            <w:hideMark/>
          </w:tcPr>
          <w:p w:rsidR="00660BC2" w:rsidRDefault="00660BC2">
            <w:pPr>
              <w:spacing w:line="200" w:lineRule="exact"/>
              <w:ind w:left="-57" w:right="-57"/>
              <w:jc w:val="center"/>
              <w:rPr>
                <w:rFonts w:eastAsia="Times New Roman"/>
                <w:snapToGrid w:val="0"/>
                <w:kern w:val="2"/>
                <w:sz w:val="18"/>
                <w:szCs w:val="19"/>
              </w:rPr>
            </w:pPr>
            <w:r>
              <w:rPr>
                <w:rFonts w:eastAsia="Times New Roman"/>
                <w:snapToGrid w:val="0"/>
                <w:kern w:val="2"/>
                <w:sz w:val="18"/>
                <w:szCs w:val="19"/>
              </w:rPr>
              <w:t>6 mg (cycle 1)</w:t>
            </w:r>
          </w:p>
        </w:tc>
        <w:tc>
          <w:tcPr>
            <w:tcW w:w="3457" w:type="dxa"/>
            <w:gridSpan w:val="4"/>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13.5</w:t>
            </w:r>
          </w:p>
        </w:tc>
        <w:tc>
          <w:tcPr>
            <w:tcW w:w="3176" w:type="dxa"/>
            <w:gridSpan w:val="4"/>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w:t>
            </w:r>
          </w:p>
        </w:tc>
      </w:tr>
    </w:tbl>
    <w:p w:rsidR="00660BC2" w:rsidRDefault="00660BC2" w:rsidP="00216F4E">
      <w:pPr>
        <w:pStyle w:val="TableDescription"/>
        <w:rPr>
          <w:snapToGrid w:val="0"/>
        </w:rPr>
      </w:pPr>
      <w:r>
        <w:rPr>
          <w:snapToGrid w:val="0"/>
          <w:position w:val="-2"/>
          <w:vertAlign w:val="superscript"/>
        </w:rPr>
        <w:t>#</w:t>
      </w:r>
      <w:r>
        <w:rPr>
          <w:snapToGrid w:val="0"/>
        </w:rPr>
        <w:t xml:space="preserve"> animal AUC </w:t>
      </w:r>
      <w:r>
        <w:rPr>
          <w:snapToGrid w:val="0"/>
        </w:rPr>
        <w:sym w:font="Symbol" w:char="F0B4"/>
      </w:r>
      <w:r>
        <w:rPr>
          <w:snapToGrid w:val="0"/>
        </w:rPr>
        <w:t xml:space="preserve"> 3:human AUC</w:t>
      </w:r>
      <w:r>
        <w:rPr>
          <w:snapToGrid w:val="0"/>
          <w:vertAlign w:val="subscript"/>
        </w:rPr>
        <w:t>0–last</w:t>
      </w:r>
      <w:r>
        <w:rPr>
          <w:snapToGrid w:val="0"/>
        </w:rPr>
        <w:t>; * Estimated AUC</w:t>
      </w:r>
      <w:r>
        <w:rPr>
          <w:snapToGrid w:val="0"/>
          <w:vertAlign w:val="subscript"/>
        </w:rPr>
        <w:t>0-t</w:t>
      </w:r>
      <w:r>
        <w:rPr>
          <w:snapToGrid w:val="0"/>
        </w:rPr>
        <w:t xml:space="preserve"> 13500 </w:t>
      </w:r>
      <w:proofErr w:type="spellStart"/>
      <w:r>
        <w:rPr>
          <w:snapToGrid w:val="0"/>
        </w:rPr>
        <w:t>ng.h</w:t>
      </w:r>
      <w:proofErr w:type="spellEnd"/>
      <w:r>
        <w:rPr>
          <w:snapToGrid w:val="0"/>
        </w:rPr>
        <w:t xml:space="preserve">/mL and </w:t>
      </w:r>
      <w:proofErr w:type="spellStart"/>
      <w:r>
        <w:rPr>
          <w:snapToGrid w:val="0"/>
        </w:rPr>
        <w:t>C</w:t>
      </w:r>
      <w:r>
        <w:rPr>
          <w:snapToGrid w:val="0"/>
          <w:vertAlign w:val="subscript"/>
        </w:rPr>
        <w:t>max</w:t>
      </w:r>
      <w:proofErr w:type="spellEnd"/>
      <w:r>
        <w:rPr>
          <w:snapToGrid w:val="0"/>
        </w:rPr>
        <w:t xml:space="preserve"> 168 ng/mL after a single dose of 6 mg (100 </w:t>
      </w:r>
      <w:proofErr w:type="spellStart"/>
      <w:r>
        <w:rPr>
          <w:snapToGrid w:val="0"/>
        </w:rPr>
        <w:t>μg</w:t>
      </w:r>
      <w:proofErr w:type="spellEnd"/>
      <w:r>
        <w:rPr>
          <w:snapToGrid w:val="0"/>
        </w:rPr>
        <w:t xml:space="preserve">/kg) from </w:t>
      </w:r>
      <w:r>
        <w:rPr>
          <w:i/>
          <w:snapToGrid w:val="0"/>
        </w:rPr>
        <w:t>Summary of Clinical Pharmacology Studies</w:t>
      </w:r>
      <w:r>
        <w:rPr>
          <w:snapToGrid w:val="0"/>
        </w:rPr>
        <w:t>, Table 11.</w:t>
      </w:r>
    </w:p>
    <w:p w:rsidR="00B56A57" w:rsidRDefault="00660BC2" w:rsidP="00191BC5">
      <w:pPr>
        <w:rPr>
          <w:snapToGrid w:val="0"/>
        </w:rPr>
      </w:pPr>
      <w:r>
        <w:rPr>
          <w:snapToGrid w:val="0"/>
        </w:rPr>
        <w:t xml:space="preserve">Treatment with </w:t>
      </w:r>
      <w:proofErr w:type="spellStart"/>
      <w:r>
        <w:rPr>
          <w:rFonts w:eastAsia="Times New Roman"/>
          <w:snapToGrid w:val="0"/>
        </w:rPr>
        <w:t>lipegfilgrastim</w:t>
      </w:r>
      <w:proofErr w:type="spellEnd"/>
      <w:r>
        <w:rPr>
          <w:rFonts w:eastAsia="Times New Roman"/>
          <w:snapToGrid w:val="0"/>
        </w:rPr>
        <w:t xml:space="preserve"> </w:t>
      </w:r>
      <w:r>
        <w:rPr>
          <w:snapToGrid w:val="0"/>
        </w:rPr>
        <w:t xml:space="preserve">was well tolerated. Toxicity findings were associated with the pharmacological activity. Blood counts showed increased leukocytes, primarily of neutrophils in rats and monkeys at all doses. In addition, decreases in red cell count, haematocrit and haemoglobin, as well as a corresponding increase in reticulocytes occurred in both species. Associated with changes in blood counts were myeloid hyperplasia in several organs such as bone marrow, spleen, liver and lymph nodes, consisting primarily of neutrophilic granulocytes, as well as dose-dependent extramedullary haematopoiesis in spleen, enlarged spleen and increases in the </w:t>
      </w:r>
      <w:r w:rsidRPr="00F467F5">
        <w:t>myeloid/erythroid ratio of bone marrow. In rats, marked, dose</w:t>
      </w:r>
      <w:r w:rsidR="00F467F5" w:rsidRPr="00F467F5">
        <w:t xml:space="preserve"> </w:t>
      </w:r>
      <w:r w:rsidRPr="00F467F5">
        <w:t xml:space="preserve">dependent increases in plasma </w:t>
      </w:r>
      <w:r w:rsidR="00F467F5" w:rsidRPr="00F467F5">
        <w:t>Alkaline phosphatase (</w:t>
      </w:r>
      <w:r w:rsidRPr="00F467F5">
        <w:t>ALP</w:t>
      </w:r>
      <w:r w:rsidR="00F467F5" w:rsidRPr="00F467F5">
        <w:t>)</w:t>
      </w:r>
      <w:r w:rsidRPr="00F467F5">
        <w:t xml:space="preserve"> (group mean values up to 7.7 fold</w:t>
      </w:r>
      <w:r w:rsidR="00F467F5" w:rsidRPr="00F467F5">
        <w:t xml:space="preserve"> compared to</w:t>
      </w:r>
      <w:r w:rsidRPr="00F467F5">
        <w:t xml:space="preserve"> the control group) and slight increases in </w:t>
      </w:r>
      <w:r w:rsidR="00F467F5" w:rsidRPr="00F467F5">
        <w:t xml:space="preserve">Gamma </w:t>
      </w:r>
      <w:proofErr w:type="spellStart"/>
      <w:r w:rsidR="00F467F5" w:rsidRPr="00F467F5">
        <w:t>glutamyltransferase</w:t>
      </w:r>
      <w:proofErr w:type="spellEnd"/>
      <w:r w:rsidR="00F467F5">
        <w:rPr>
          <w:snapToGrid w:val="0"/>
        </w:rPr>
        <w:t xml:space="preserve"> (</w:t>
      </w:r>
      <w:r>
        <w:rPr>
          <w:snapToGrid w:val="0"/>
        </w:rPr>
        <w:t>GGT</w:t>
      </w:r>
      <w:r w:rsidR="00F467F5">
        <w:rPr>
          <w:snapToGrid w:val="0"/>
        </w:rPr>
        <w:t>)</w:t>
      </w:r>
      <w:r>
        <w:rPr>
          <w:snapToGrid w:val="0"/>
        </w:rPr>
        <w:t xml:space="preserve"> (up to 2 fold) were observed in all dose groups, probably secondary to the effects on bone (bone effects </w:t>
      </w:r>
      <w:r>
        <w:rPr>
          <w:snapToGrid w:val="0"/>
        </w:rPr>
        <w:lastRenderedPageBreak/>
        <w:t xml:space="preserve">discussed below) and </w:t>
      </w:r>
      <w:r w:rsidRPr="008C5E81">
        <w:rPr>
          <w:snapToGrid w:val="0"/>
        </w:rPr>
        <w:t>increased leukocytes.</w:t>
      </w:r>
      <w:r w:rsidR="00F467F5" w:rsidRPr="008C5E81">
        <w:rPr>
          <w:rStyle w:val="FootnoteReference"/>
          <w:snapToGrid w:val="0"/>
        </w:rPr>
        <w:footnoteReference w:id="1"/>
      </w:r>
      <w:r w:rsidRPr="008C5E81">
        <w:rPr>
          <w:snapToGrid w:val="0"/>
        </w:rPr>
        <w:t xml:space="preserve"> Only minor increases in ALP (&lt; 2 fold) were observed in monkeys. There were small increases in plasma globulin and total protein level (by up to 40%) in monkeys at </w:t>
      </w:r>
      <w:r w:rsidRPr="008C5E81">
        <w:rPr>
          <w:snapToGrid w:val="0"/>
          <w:u w:val="single"/>
        </w:rPr>
        <w:t>&gt;</w:t>
      </w:r>
      <w:r w:rsidR="00F467F5" w:rsidRPr="008C5E81">
        <w:rPr>
          <w:snapToGrid w:val="0"/>
          <w:u w:val="single"/>
        </w:rPr>
        <w:t xml:space="preserve"> </w:t>
      </w:r>
      <w:r w:rsidRPr="008C5E81">
        <w:rPr>
          <w:snapToGrid w:val="0"/>
        </w:rPr>
        <w:t xml:space="preserve">500 </w:t>
      </w:r>
      <w:proofErr w:type="spellStart"/>
      <w:r w:rsidRPr="008C5E81">
        <w:rPr>
          <w:snapToGrid w:val="0"/>
        </w:rPr>
        <w:t>μg</w:t>
      </w:r>
      <w:proofErr w:type="spellEnd"/>
      <w:r w:rsidRPr="008C5E81">
        <w:rPr>
          <w:snapToGrid w:val="0"/>
        </w:rPr>
        <w:t>/kg/week in the 4</w:t>
      </w:r>
      <w:r w:rsidR="00F467F5" w:rsidRPr="008C5E81">
        <w:rPr>
          <w:snapToGrid w:val="0"/>
        </w:rPr>
        <w:t xml:space="preserve"> </w:t>
      </w:r>
      <w:r w:rsidRPr="008C5E81">
        <w:rPr>
          <w:snapToGrid w:val="0"/>
        </w:rPr>
        <w:t xml:space="preserve">week study and only at 1000 </w:t>
      </w:r>
      <w:proofErr w:type="spellStart"/>
      <w:r w:rsidRPr="008C5E81">
        <w:rPr>
          <w:snapToGrid w:val="0"/>
        </w:rPr>
        <w:t>μg</w:t>
      </w:r>
      <w:proofErr w:type="spellEnd"/>
      <w:r w:rsidRPr="008C5E81">
        <w:rPr>
          <w:snapToGrid w:val="0"/>
        </w:rPr>
        <w:t>/kg/week in the 13</w:t>
      </w:r>
      <w:r w:rsidR="00F467F5" w:rsidRPr="008C5E81">
        <w:rPr>
          <w:snapToGrid w:val="0"/>
        </w:rPr>
        <w:t xml:space="preserve"> </w:t>
      </w:r>
      <w:r w:rsidRPr="008C5E81">
        <w:rPr>
          <w:snapToGrid w:val="0"/>
        </w:rPr>
        <w:t>week study</w:t>
      </w:r>
      <w:r w:rsidR="00B56A57">
        <w:rPr>
          <w:snapToGrid w:val="0"/>
        </w:rPr>
        <w:t>.</w:t>
      </w:r>
    </w:p>
    <w:p w:rsidR="00660BC2" w:rsidRPr="008C5E81" w:rsidRDefault="00660BC2" w:rsidP="00191BC5">
      <w:pPr>
        <w:rPr>
          <w:snapToGrid w:val="0"/>
        </w:rPr>
      </w:pPr>
      <w:r w:rsidRPr="008C5E81">
        <w:rPr>
          <w:snapToGrid w:val="0"/>
        </w:rPr>
        <w:t>Dos</w:t>
      </w:r>
      <w:r w:rsidR="00F467F5" w:rsidRPr="008C5E81">
        <w:rPr>
          <w:snapToGrid w:val="0"/>
        </w:rPr>
        <w:t xml:space="preserve">e </w:t>
      </w:r>
      <w:r w:rsidRPr="008C5E81">
        <w:rPr>
          <w:snapToGrid w:val="0"/>
        </w:rPr>
        <w:t>related atrophy of trabecular bone (</w:t>
      </w:r>
      <w:r w:rsidRPr="008C5E81">
        <w:rPr>
          <w:rFonts w:eastAsiaTheme="minorHAnsi"/>
        </w:rPr>
        <w:t xml:space="preserve">reduction in the amount and density of trabecular bone near the cartilaginous growth plate in the </w:t>
      </w:r>
      <w:proofErr w:type="spellStart"/>
      <w:r w:rsidRPr="008C5E81">
        <w:rPr>
          <w:rFonts w:eastAsiaTheme="minorHAnsi"/>
        </w:rPr>
        <w:t>spongiosa</w:t>
      </w:r>
      <w:proofErr w:type="spellEnd"/>
      <w:r w:rsidRPr="008C5E81">
        <w:rPr>
          <w:rFonts w:eastAsiaTheme="minorHAnsi"/>
        </w:rPr>
        <w:t xml:space="preserve"> of the femur</w:t>
      </w:r>
      <w:r w:rsidRPr="008C5E81">
        <w:rPr>
          <w:snapToGrid w:val="0"/>
        </w:rPr>
        <w:t xml:space="preserve">) was seen in high dose male rats (1000 </w:t>
      </w:r>
      <w:proofErr w:type="spellStart"/>
      <w:r w:rsidRPr="008C5E81">
        <w:rPr>
          <w:snapToGrid w:val="0"/>
        </w:rPr>
        <w:t>μg</w:t>
      </w:r>
      <w:proofErr w:type="spellEnd"/>
      <w:r w:rsidRPr="008C5E81">
        <w:rPr>
          <w:snapToGrid w:val="0"/>
        </w:rPr>
        <w:t>/kg/week) in the 13</w:t>
      </w:r>
      <w:r w:rsidR="00F467F5" w:rsidRPr="008C5E81">
        <w:rPr>
          <w:snapToGrid w:val="0"/>
        </w:rPr>
        <w:t xml:space="preserve"> </w:t>
      </w:r>
      <w:r w:rsidRPr="008C5E81">
        <w:rPr>
          <w:snapToGrid w:val="0"/>
        </w:rPr>
        <w:t>week study and in all treated male groups and the mid and high dose female groups in the 26</w:t>
      </w:r>
      <w:r w:rsidR="00F467F5" w:rsidRPr="008C5E81">
        <w:rPr>
          <w:snapToGrid w:val="0"/>
        </w:rPr>
        <w:t xml:space="preserve"> </w:t>
      </w:r>
      <w:r w:rsidRPr="008C5E81">
        <w:rPr>
          <w:snapToGrid w:val="0"/>
        </w:rPr>
        <w:t xml:space="preserve">week rat study. </w:t>
      </w:r>
      <w:r w:rsidRPr="008C5E81">
        <w:rPr>
          <w:rFonts w:eastAsia="TimesNewRoman"/>
          <w:snapToGrid w:val="0"/>
        </w:rPr>
        <w:t>This finding is a class effect of G</w:t>
      </w:r>
      <w:r w:rsidRPr="008C5E81">
        <w:rPr>
          <w:rFonts w:eastAsia="TimesNewRoman"/>
          <w:snapToGrid w:val="0"/>
        </w:rPr>
        <w:noBreakHyphen/>
        <w:t>CSF products specific to rodents because of continuous bone remodelling. The same effects were not seen in monkeys. The bone effects in rats are unlikely to be relevant to adult humans</w:t>
      </w:r>
      <w:r w:rsidRPr="008C5E81">
        <w:rPr>
          <w:rFonts w:eastAsia="Times New Roman"/>
          <w:snapToGrid w:val="0"/>
        </w:rPr>
        <w:t>.</w:t>
      </w:r>
    </w:p>
    <w:p w:rsidR="00B56A57" w:rsidRDefault="00660BC2" w:rsidP="00191BC5">
      <w:pPr>
        <w:rPr>
          <w:snapToGrid w:val="0"/>
        </w:rPr>
      </w:pPr>
      <w:r w:rsidRPr="008C5E81">
        <w:rPr>
          <w:snapToGrid w:val="0"/>
        </w:rPr>
        <w:t xml:space="preserve">There was a trend of decreased plasma cholesterol in both species, </w:t>
      </w:r>
      <w:r w:rsidRPr="008C5E81">
        <w:rPr>
          <w:rFonts w:eastAsia="TimesNewRoman"/>
          <w:snapToGrid w:val="0"/>
        </w:rPr>
        <w:t>which have been previously described for other G-CSF products possibly attributable to cytokine</w:t>
      </w:r>
      <w:r w:rsidR="00F467F5" w:rsidRPr="008C5E81">
        <w:rPr>
          <w:rFonts w:eastAsia="TimesNewRoman"/>
          <w:snapToGrid w:val="0"/>
        </w:rPr>
        <w:t xml:space="preserve"> </w:t>
      </w:r>
      <w:r w:rsidRPr="008C5E81">
        <w:rPr>
          <w:rFonts w:eastAsia="TimesNewRoman"/>
          <w:snapToGrid w:val="0"/>
        </w:rPr>
        <w:t>induced activation of the liver.</w:t>
      </w:r>
      <w:r w:rsidRPr="008C5E81">
        <w:rPr>
          <w:rFonts w:eastAsia="TimesNewRoman"/>
          <w:snapToGrid w:val="0"/>
          <w:vertAlign w:val="superscript"/>
        </w:rPr>
        <w:footnoteReference w:id="2"/>
      </w:r>
      <w:r w:rsidRPr="008C5E81">
        <w:rPr>
          <w:snapToGrid w:val="0"/>
        </w:rPr>
        <w:t xml:space="preserve"> All changes except the bone finding were completely reversible after a recovery period of 4</w:t>
      </w:r>
      <w:r w:rsidR="00F467F5" w:rsidRPr="008C5E81">
        <w:rPr>
          <w:snapToGrid w:val="0"/>
        </w:rPr>
        <w:t xml:space="preserve"> to </w:t>
      </w:r>
      <w:r w:rsidRPr="008C5E81">
        <w:rPr>
          <w:snapToGrid w:val="0"/>
        </w:rPr>
        <w:t xml:space="preserve">8 weeks. </w:t>
      </w:r>
      <w:r w:rsidRPr="008C5E81">
        <w:t xml:space="preserve">Atrophy </w:t>
      </w:r>
      <w:r w:rsidRPr="008C5E81">
        <w:rPr>
          <w:snapToGrid w:val="0"/>
        </w:rPr>
        <w:t>of trabecular bone in rats was partially reversible</w:t>
      </w:r>
      <w:r w:rsidR="00B56A57">
        <w:rPr>
          <w:snapToGrid w:val="0"/>
        </w:rPr>
        <w:t>.</w:t>
      </w:r>
    </w:p>
    <w:p w:rsidR="00B56A57" w:rsidRDefault="00660BC2" w:rsidP="00191BC5">
      <w:pPr>
        <w:rPr>
          <w:rFonts w:eastAsia="TimesNewRoman"/>
        </w:rPr>
      </w:pPr>
      <w:proofErr w:type="spellStart"/>
      <w:r w:rsidRPr="008C5E81">
        <w:t>Lipegfilgrastim</w:t>
      </w:r>
      <w:proofErr w:type="spellEnd"/>
      <w:r w:rsidRPr="008C5E81">
        <w:rPr>
          <w:rFonts w:eastAsia="TimesNewRoman"/>
        </w:rPr>
        <w:t xml:space="preserve"> was highly immunogenic in monkeys and rabbits with minimal immunogenicity observed in rats. ADA developed after repeated dosing in monkeys and rabbits and reduced both exposure and </w:t>
      </w:r>
      <w:proofErr w:type="spellStart"/>
      <w:r w:rsidRPr="008C5E81">
        <w:rPr>
          <w:rFonts w:eastAsia="TimesNewRoman"/>
        </w:rPr>
        <w:t>pharmacodynamic</w:t>
      </w:r>
      <w:proofErr w:type="spellEnd"/>
      <w:r w:rsidRPr="008C5E81">
        <w:rPr>
          <w:rFonts w:eastAsia="TimesNewRoman"/>
        </w:rPr>
        <w:t xml:space="preserve"> responses. The development of ADA limited the usefulness of monkeys for studying long term effects beyond 13 weeks. Immunogenicity was low in rats. ADA was detected in o</w:t>
      </w:r>
      <w:r w:rsidRPr="008C5E81">
        <w:t xml:space="preserve">nly a few treated animals in the rat studies. The low ADA did not affect exposure or pharmacological activity. </w:t>
      </w:r>
      <w:r w:rsidRPr="008C5E81">
        <w:rPr>
          <w:rFonts w:eastAsia="TimesNewRoman"/>
        </w:rPr>
        <w:t>Therefore, long term studies were conducted only in rats, which are considered adequate</w:t>
      </w:r>
      <w:r w:rsidR="00B56A57">
        <w:rPr>
          <w:rFonts w:eastAsia="TimesNewRoman"/>
        </w:rPr>
        <w:t>.</w:t>
      </w:r>
    </w:p>
    <w:p w:rsidR="00660BC2" w:rsidRPr="008C5E81" w:rsidRDefault="00660BC2" w:rsidP="00191BC5">
      <w:r w:rsidRPr="008C5E81">
        <w:t>Overall, the toxicity profile is very similar to that of other G-CSFs and all findings were class effects of G-CSFs.</w:t>
      </w:r>
    </w:p>
    <w:p w:rsidR="00660BC2" w:rsidRPr="008C5E81" w:rsidRDefault="00660BC2" w:rsidP="00F467F5">
      <w:pPr>
        <w:pStyle w:val="Heading4"/>
      </w:pPr>
      <w:bookmarkStart w:id="58" w:name="_Toc294861729"/>
      <w:r w:rsidRPr="008C5E81">
        <w:t>Genotoxicity</w:t>
      </w:r>
      <w:bookmarkStart w:id="59" w:name="_Toc294861730"/>
      <w:bookmarkEnd w:id="58"/>
      <w:r w:rsidRPr="008C5E81">
        <w:t xml:space="preserve"> and carcinogenicity</w:t>
      </w:r>
      <w:bookmarkEnd w:id="59"/>
    </w:p>
    <w:p w:rsidR="00660BC2" w:rsidRDefault="00660BC2" w:rsidP="006E11FD">
      <w:pPr>
        <w:rPr>
          <w:rFonts w:eastAsiaTheme="minorHAnsi"/>
        </w:rPr>
      </w:pPr>
      <w:r w:rsidRPr="008C5E81">
        <w:t xml:space="preserve">Genotoxicity and carcinogenicity were not investigated since mutagenic potential is not expected for </w:t>
      </w:r>
      <w:proofErr w:type="spellStart"/>
      <w:r w:rsidRPr="008C5E81">
        <w:t>lipegfilgrastim</w:t>
      </w:r>
      <w:proofErr w:type="spellEnd"/>
      <w:r w:rsidRPr="008C5E81">
        <w:t xml:space="preserve">. The PEG moiety is common to many </w:t>
      </w:r>
      <w:proofErr w:type="spellStart"/>
      <w:r w:rsidRPr="008C5E81">
        <w:t>pegylated</w:t>
      </w:r>
      <w:proofErr w:type="spellEnd"/>
      <w:r w:rsidRPr="008C5E81">
        <w:t xml:space="preserve"> drug substances, and </w:t>
      </w:r>
      <w:proofErr w:type="spellStart"/>
      <w:r w:rsidRPr="008C5E81">
        <w:t>pegylation</w:t>
      </w:r>
      <w:proofErr w:type="spellEnd"/>
      <w:r w:rsidRPr="008C5E81">
        <w:t xml:space="preserve"> of </w:t>
      </w:r>
      <w:proofErr w:type="spellStart"/>
      <w:r w:rsidRPr="008C5E81">
        <w:t>filgrastim</w:t>
      </w:r>
      <w:proofErr w:type="spellEnd"/>
      <w:r w:rsidRPr="008C5E81">
        <w:t xml:space="preserve"> is not likely to alter the genotoxicity of the drug, which was shown to be negative in a battery of </w:t>
      </w:r>
      <w:r w:rsidRPr="008C5E81">
        <w:rPr>
          <w:i/>
        </w:rPr>
        <w:t>in vitro</w:t>
      </w:r>
      <w:r w:rsidRPr="008C5E81">
        <w:t xml:space="preserve"> and </w:t>
      </w:r>
      <w:r w:rsidRPr="008C5E81">
        <w:rPr>
          <w:i/>
        </w:rPr>
        <w:t>in vivo</w:t>
      </w:r>
      <w:r w:rsidRPr="008C5E81">
        <w:t xml:space="preserve"> genotoxicity studies.</w:t>
      </w:r>
      <w:r w:rsidR="009801DD" w:rsidRPr="008C5E81">
        <w:t xml:space="preserve"> </w:t>
      </w:r>
      <w:r w:rsidRPr="008C5E81">
        <w:t xml:space="preserve">The lack of genotoxicity and carcinogenicity studies is acceptable. However, G-CSF has been reported to stimulate tumour growth and </w:t>
      </w:r>
      <w:proofErr w:type="spellStart"/>
      <w:r w:rsidRPr="008C5E81">
        <w:t>intratumoural</w:t>
      </w:r>
      <w:proofErr w:type="spellEnd"/>
      <w:r w:rsidRPr="008C5E81">
        <w:t xml:space="preserve"> vessel density in animal tumour models.</w:t>
      </w:r>
      <w:r w:rsidRPr="008C5E81">
        <w:rPr>
          <w:rStyle w:val="FootnoteReference"/>
        </w:rPr>
        <w:footnoteReference w:id="3"/>
      </w:r>
    </w:p>
    <w:p w:rsidR="00660BC2" w:rsidRDefault="00660BC2" w:rsidP="006E11FD">
      <w:pPr>
        <w:pStyle w:val="Heading4"/>
      </w:pPr>
      <w:r>
        <w:lastRenderedPageBreak/>
        <w:t>Reproductive toxicity</w:t>
      </w:r>
    </w:p>
    <w:p w:rsidR="00B56A57" w:rsidRDefault="00660BC2" w:rsidP="006E11FD">
      <w:pPr>
        <w:rPr>
          <w:snapToGrid w:val="0"/>
        </w:rPr>
      </w:pPr>
      <w:r>
        <w:rPr>
          <w:snapToGrid w:val="0"/>
        </w:rPr>
        <w:t xml:space="preserve">No fertility or postnatal development studies were conducted. Effects on </w:t>
      </w:r>
      <w:proofErr w:type="spellStart"/>
      <w:r>
        <w:rPr>
          <w:snapToGrid w:val="0"/>
        </w:rPr>
        <w:t>embryofetal</w:t>
      </w:r>
      <w:proofErr w:type="spellEnd"/>
      <w:r>
        <w:rPr>
          <w:snapToGrid w:val="0"/>
        </w:rPr>
        <w:t xml:space="preserve"> development were investigated in one species, rabbits. This is acceptable given the known toxicity profile of </w:t>
      </w:r>
      <w:proofErr w:type="spellStart"/>
      <w:r>
        <w:rPr>
          <w:snapToGrid w:val="0"/>
        </w:rPr>
        <w:t>filgrastim</w:t>
      </w:r>
      <w:proofErr w:type="spellEnd"/>
      <w:r>
        <w:rPr>
          <w:snapToGrid w:val="0"/>
        </w:rPr>
        <w:t xml:space="preserve"> and </w:t>
      </w:r>
      <w:proofErr w:type="spellStart"/>
      <w:r>
        <w:rPr>
          <w:snapToGrid w:val="0"/>
        </w:rPr>
        <w:t>pegfilgrastim</w:t>
      </w:r>
      <w:proofErr w:type="spellEnd"/>
      <w:r>
        <w:rPr>
          <w:snapToGrid w:val="0"/>
        </w:rPr>
        <w:t xml:space="preserve">, the absence of effects on reproductive organs in repeat dose studies with </w:t>
      </w:r>
      <w:proofErr w:type="spellStart"/>
      <w:r>
        <w:rPr>
          <w:snapToGrid w:val="0"/>
        </w:rPr>
        <w:t>lipegfilgrastim</w:t>
      </w:r>
      <w:proofErr w:type="spellEnd"/>
      <w:r>
        <w:rPr>
          <w:snapToGrid w:val="0"/>
        </w:rPr>
        <w:t xml:space="preserve">, clinical experience with the PEG moiety present in other drug substances, </w:t>
      </w:r>
      <w:proofErr w:type="spellStart"/>
      <w:r>
        <w:rPr>
          <w:snapToGrid w:val="0"/>
        </w:rPr>
        <w:t>embryofetal</w:t>
      </w:r>
      <w:proofErr w:type="spellEnd"/>
      <w:r>
        <w:rPr>
          <w:snapToGrid w:val="0"/>
        </w:rPr>
        <w:t xml:space="preserve"> findings in rabbits (consistent with </w:t>
      </w:r>
      <w:proofErr w:type="spellStart"/>
      <w:r>
        <w:rPr>
          <w:snapToGrid w:val="0"/>
        </w:rPr>
        <w:t>filgrastim</w:t>
      </w:r>
      <w:proofErr w:type="spellEnd"/>
      <w:r>
        <w:rPr>
          <w:snapToGrid w:val="0"/>
        </w:rPr>
        <w:t>, see below) and the proposed use in cancer patients with chemotherapy</w:t>
      </w:r>
      <w:r w:rsidR="00B56A57">
        <w:rPr>
          <w:snapToGrid w:val="0"/>
        </w:rPr>
        <w:t>.</w:t>
      </w:r>
    </w:p>
    <w:p w:rsidR="00B56A57" w:rsidRDefault="00660BC2" w:rsidP="006E11FD">
      <w:pPr>
        <w:rPr>
          <w:snapToGrid w:val="0"/>
          <w:kern w:val="16"/>
          <w:szCs w:val="24"/>
        </w:rPr>
      </w:pPr>
      <w:r>
        <w:rPr>
          <w:snapToGrid w:val="0"/>
        </w:rPr>
        <w:t xml:space="preserve">Effects on </w:t>
      </w:r>
      <w:proofErr w:type="spellStart"/>
      <w:r>
        <w:rPr>
          <w:snapToGrid w:val="0"/>
        </w:rPr>
        <w:t>embryofetal</w:t>
      </w:r>
      <w:proofErr w:type="spellEnd"/>
      <w:r>
        <w:rPr>
          <w:snapToGrid w:val="0"/>
        </w:rPr>
        <w:t xml:space="preserve"> development were investigated in rabbits at 10 to 200 </w:t>
      </w:r>
      <w:proofErr w:type="spellStart"/>
      <w:r>
        <w:rPr>
          <w:snapToGrid w:val="0"/>
        </w:rPr>
        <w:t>μg</w:t>
      </w:r>
      <w:proofErr w:type="spellEnd"/>
      <w:r>
        <w:rPr>
          <w:snapToGrid w:val="0"/>
        </w:rPr>
        <w:t xml:space="preserve">/kg administered SC every other day during organogenesis, gestation </w:t>
      </w:r>
      <w:r w:rsidR="006E11FD">
        <w:rPr>
          <w:snapToGrid w:val="0"/>
        </w:rPr>
        <w:t>D</w:t>
      </w:r>
      <w:r>
        <w:rPr>
          <w:snapToGrid w:val="0"/>
        </w:rPr>
        <w:t xml:space="preserve">ay 8-19. Every other day dosing in rabbits resulted in continuous exposure to the drug although anti-drug antibodies were raised after repeated dosing, leading to lower exposure after the last dose </w:t>
      </w:r>
      <w:r w:rsidR="006E11FD">
        <w:rPr>
          <w:snapToGrid w:val="0"/>
        </w:rPr>
        <w:t>than after the first dose (see T</w:t>
      </w:r>
      <w:r>
        <w:rPr>
          <w:snapToGrid w:val="0"/>
        </w:rPr>
        <w:t xml:space="preserve">able </w:t>
      </w:r>
      <w:r w:rsidR="006E11FD">
        <w:rPr>
          <w:snapToGrid w:val="0"/>
        </w:rPr>
        <w:t xml:space="preserve">5 </w:t>
      </w:r>
      <w:r>
        <w:rPr>
          <w:snapToGrid w:val="0"/>
        </w:rPr>
        <w:t>below). E</w:t>
      </w:r>
      <w:r>
        <w:rPr>
          <w:snapToGrid w:val="0"/>
          <w:kern w:val="16"/>
          <w:szCs w:val="24"/>
        </w:rPr>
        <w:t xml:space="preserve">xposures to </w:t>
      </w:r>
      <w:proofErr w:type="spellStart"/>
      <w:r>
        <w:rPr>
          <w:snapToGrid w:val="0"/>
          <w:kern w:val="16"/>
          <w:szCs w:val="24"/>
        </w:rPr>
        <w:t>lipegfilgrastim</w:t>
      </w:r>
      <w:proofErr w:type="spellEnd"/>
      <w:r>
        <w:rPr>
          <w:snapToGrid w:val="0"/>
          <w:kern w:val="16"/>
          <w:szCs w:val="24"/>
        </w:rPr>
        <w:t xml:space="preserve"> based on </w:t>
      </w:r>
      <w:proofErr w:type="spellStart"/>
      <w:r>
        <w:rPr>
          <w:snapToGrid w:val="0"/>
          <w:kern w:val="16"/>
          <w:szCs w:val="24"/>
        </w:rPr>
        <w:t>C</w:t>
      </w:r>
      <w:r>
        <w:rPr>
          <w:snapToGrid w:val="0"/>
          <w:kern w:val="16"/>
          <w:szCs w:val="24"/>
          <w:vertAlign w:val="subscript"/>
        </w:rPr>
        <w:t>max</w:t>
      </w:r>
      <w:proofErr w:type="spellEnd"/>
      <w:r>
        <w:rPr>
          <w:snapToGrid w:val="0"/>
          <w:kern w:val="16"/>
          <w:szCs w:val="24"/>
        </w:rPr>
        <w:t xml:space="preserve"> were up to 6 times the clinical exposure, while exposures based on AUC after a single dose were around 2.5 times the clinical exposure</w:t>
      </w:r>
      <w:r w:rsidR="00B56A57">
        <w:rPr>
          <w:snapToGrid w:val="0"/>
          <w:kern w:val="16"/>
          <w:szCs w:val="24"/>
        </w:rPr>
        <w:t>.</w:t>
      </w:r>
    </w:p>
    <w:p w:rsidR="00660BC2" w:rsidRDefault="006E11FD" w:rsidP="006E11FD">
      <w:pPr>
        <w:pStyle w:val="TableTitle"/>
        <w:rPr>
          <w:snapToGrid w:val="0"/>
        </w:rPr>
      </w:pPr>
      <w:r>
        <w:rPr>
          <w:snapToGrid w:val="0"/>
        </w:rPr>
        <w:t xml:space="preserve">Table 5: </w:t>
      </w:r>
      <w:r w:rsidR="00660BC2">
        <w:rPr>
          <w:snapToGrid w:val="0"/>
        </w:rPr>
        <w:t xml:space="preserve">Relative exposure in the </w:t>
      </w:r>
      <w:proofErr w:type="spellStart"/>
      <w:r w:rsidR="00660BC2">
        <w:rPr>
          <w:snapToGrid w:val="0"/>
        </w:rPr>
        <w:t>embryofetal</w:t>
      </w:r>
      <w:proofErr w:type="spellEnd"/>
      <w:r w:rsidR="00660BC2">
        <w:rPr>
          <w:snapToGrid w:val="0"/>
        </w:rPr>
        <w:t xml:space="preserve"> development study</w:t>
      </w:r>
    </w:p>
    <w:tbl>
      <w:tblPr>
        <w:tblStyle w:val="TableTGAblue1"/>
        <w:tblW w:w="9045" w:type="dxa"/>
        <w:tblInd w:w="0" w:type="dxa"/>
        <w:tblLayout w:type="fixed"/>
        <w:tblLook w:val="01E0" w:firstRow="1" w:lastRow="1" w:firstColumn="1" w:lastColumn="1" w:noHBand="0" w:noVBand="0"/>
      </w:tblPr>
      <w:tblGrid>
        <w:gridCol w:w="1065"/>
        <w:gridCol w:w="1311"/>
        <w:gridCol w:w="851"/>
        <w:gridCol w:w="709"/>
        <w:gridCol w:w="699"/>
        <w:gridCol w:w="750"/>
        <w:gridCol w:w="782"/>
        <w:gridCol w:w="719"/>
        <w:gridCol w:w="710"/>
        <w:gridCol w:w="720"/>
        <w:gridCol w:w="729"/>
      </w:tblGrid>
      <w:tr w:rsidR="00660BC2" w:rsidRPr="006E11FD" w:rsidTr="006E11FD">
        <w:trPr>
          <w:cnfStyle w:val="100000000000" w:firstRow="1" w:lastRow="0" w:firstColumn="0" w:lastColumn="0" w:oddVBand="0" w:evenVBand="0" w:oddHBand="0" w:evenHBand="0" w:firstRowFirstColumn="0" w:firstRowLastColumn="0" w:lastRowFirstColumn="0" w:lastRowLastColumn="0"/>
          <w:trHeight w:val="139"/>
          <w:tblHeader/>
        </w:trPr>
        <w:tc>
          <w:tcPr>
            <w:tcW w:w="1065" w:type="dxa"/>
            <w:vMerge w:val="restart"/>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Species</w:t>
            </w:r>
          </w:p>
        </w:tc>
        <w:tc>
          <w:tcPr>
            <w:tcW w:w="1311" w:type="dxa"/>
            <w:vMerge w:val="restart"/>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Study</w:t>
            </w:r>
          </w:p>
        </w:tc>
        <w:tc>
          <w:tcPr>
            <w:tcW w:w="851" w:type="dxa"/>
            <w:vMerge w:val="restart"/>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Dose</w:t>
            </w:r>
            <w:r w:rsidRPr="006E11FD">
              <w:rPr>
                <w:kern w:val="2"/>
                <w:sz w:val="19"/>
                <w:szCs w:val="19"/>
              </w:rPr>
              <w:br/>
              <w:t>(µg/kg)</w:t>
            </w:r>
          </w:p>
        </w:tc>
        <w:tc>
          <w:tcPr>
            <w:tcW w:w="1408" w:type="dxa"/>
            <w:gridSpan w:val="2"/>
            <w:vMerge w:val="restart"/>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proofErr w:type="spellStart"/>
            <w:r w:rsidRPr="006E11FD">
              <w:rPr>
                <w:kern w:val="2"/>
                <w:sz w:val="19"/>
                <w:szCs w:val="19"/>
              </w:rPr>
              <w:t>C</w:t>
            </w:r>
            <w:r w:rsidRPr="006E11FD">
              <w:rPr>
                <w:kern w:val="2"/>
                <w:sz w:val="19"/>
                <w:szCs w:val="19"/>
                <w:vertAlign w:val="subscript"/>
              </w:rPr>
              <w:t>max</w:t>
            </w:r>
            <w:proofErr w:type="spellEnd"/>
            <w:r w:rsidRPr="006E11FD">
              <w:rPr>
                <w:kern w:val="2"/>
                <w:sz w:val="19"/>
                <w:szCs w:val="19"/>
              </w:rPr>
              <w:t xml:space="preserve"> </w:t>
            </w:r>
          </w:p>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(ng/mL)</w:t>
            </w:r>
          </w:p>
        </w:tc>
        <w:tc>
          <w:tcPr>
            <w:tcW w:w="1532" w:type="dxa"/>
            <w:gridSpan w:val="2"/>
            <w:vMerge w:val="restart"/>
            <w:hideMark/>
          </w:tcPr>
          <w:p w:rsidR="00660BC2" w:rsidRPr="006E11FD" w:rsidRDefault="00660BC2" w:rsidP="006E11FD">
            <w:pPr>
              <w:keepNext/>
              <w:keepLines/>
              <w:widowControl w:val="0"/>
              <w:spacing w:before="60" w:after="60" w:line="200" w:lineRule="exact"/>
              <w:jc w:val="center"/>
              <w:rPr>
                <w:rFonts w:eastAsia="MS Mincho"/>
                <w:kern w:val="2"/>
                <w:sz w:val="19"/>
                <w:szCs w:val="19"/>
                <w:vertAlign w:val="subscript"/>
              </w:rPr>
            </w:pPr>
            <w:r w:rsidRPr="006E11FD">
              <w:rPr>
                <w:kern w:val="2"/>
                <w:sz w:val="19"/>
                <w:szCs w:val="19"/>
              </w:rPr>
              <w:t>AUC</w:t>
            </w:r>
            <w:r w:rsidRPr="006E11FD">
              <w:rPr>
                <w:kern w:val="2"/>
                <w:sz w:val="19"/>
                <w:szCs w:val="19"/>
                <w:vertAlign w:val="subscript"/>
              </w:rPr>
              <w:t xml:space="preserve">0–t </w:t>
            </w:r>
          </w:p>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w:t>
            </w:r>
            <w:proofErr w:type="spellStart"/>
            <w:r w:rsidRPr="006E11FD">
              <w:rPr>
                <w:kern w:val="2"/>
                <w:sz w:val="19"/>
                <w:szCs w:val="19"/>
              </w:rPr>
              <w:t>ng∙h</w:t>
            </w:r>
            <w:proofErr w:type="spellEnd"/>
            <w:r w:rsidRPr="006E11FD">
              <w:rPr>
                <w:kern w:val="2"/>
                <w:sz w:val="19"/>
                <w:szCs w:val="19"/>
              </w:rPr>
              <w:t>/mL)</w:t>
            </w:r>
          </w:p>
        </w:tc>
        <w:tc>
          <w:tcPr>
            <w:tcW w:w="2878" w:type="dxa"/>
            <w:gridSpan w:val="4"/>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Exposure ratio</w:t>
            </w:r>
            <w:r w:rsidRPr="006E11FD">
              <w:rPr>
                <w:kern w:val="2"/>
                <w:sz w:val="19"/>
                <w:szCs w:val="19"/>
                <w:vertAlign w:val="superscript"/>
              </w:rPr>
              <w:t>#</w:t>
            </w:r>
          </w:p>
        </w:tc>
      </w:tr>
      <w:tr w:rsidR="00660BC2" w:rsidRPr="006E11FD" w:rsidTr="006E11FD">
        <w:trPr>
          <w:cnfStyle w:val="100000000000" w:firstRow="1" w:lastRow="0" w:firstColumn="0" w:lastColumn="0" w:oddVBand="0" w:evenVBand="0" w:oddHBand="0" w:evenHBand="0" w:firstRowFirstColumn="0" w:firstRowLastColumn="0" w:lastRowFirstColumn="0" w:lastRowLastColumn="0"/>
          <w:trHeight w:val="139"/>
          <w:tblHeader/>
        </w:trPr>
        <w:tc>
          <w:tcPr>
            <w:tcW w:w="1065" w:type="dxa"/>
            <w:vMerge/>
            <w:hideMark/>
          </w:tcPr>
          <w:p w:rsidR="00660BC2" w:rsidRPr="006E11FD" w:rsidRDefault="00660BC2" w:rsidP="006E11FD">
            <w:pPr>
              <w:keepNext/>
              <w:rPr>
                <w:rFonts w:eastAsia="MS Mincho"/>
                <w:kern w:val="2"/>
                <w:sz w:val="19"/>
                <w:szCs w:val="19"/>
              </w:rPr>
            </w:pPr>
          </w:p>
        </w:tc>
        <w:tc>
          <w:tcPr>
            <w:tcW w:w="1311" w:type="dxa"/>
            <w:vMerge/>
            <w:hideMark/>
          </w:tcPr>
          <w:p w:rsidR="00660BC2" w:rsidRPr="006E11FD" w:rsidRDefault="00660BC2" w:rsidP="006E11FD">
            <w:pPr>
              <w:keepNext/>
              <w:rPr>
                <w:rFonts w:eastAsia="MS Mincho"/>
                <w:kern w:val="2"/>
                <w:sz w:val="19"/>
                <w:szCs w:val="19"/>
              </w:rPr>
            </w:pPr>
          </w:p>
        </w:tc>
        <w:tc>
          <w:tcPr>
            <w:tcW w:w="851" w:type="dxa"/>
            <w:vMerge/>
            <w:hideMark/>
          </w:tcPr>
          <w:p w:rsidR="00660BC2" w:rsidRPr="006E11FD" w:rsidRDefault="00660BC2" w:rsidP="006E11FD">
            <w:pPr>
              <w:keepNext/>
              <w:rPr>
                <w:rFonts w:eastAsia="MS Mincho"/>
                <w:kern w:val="2"/>
                <w:sz w:val="19"/>
                <w:szCs w:val="19"/>
              </w:rPr>
            </w:pPr>
          </w:p>
        </w:tc>
        <w:tc>
          <w:tcPr>
            <w:tcW w:w="1408" w:type="dxa"/>
            <w:gridSpan w:val="2"/>
            <w:vMerge/>
            <w:hideMark/>
          </w:tcPr>
          <w:p w:rsidR="00660BC2" w:rsidRPr="006E11FD" w:rsidRDefault="00660BC2" w:rsidP="006E11FD">
            <w:pPr>
              <w:keepNext/>
              <w:rPr>
                <w:rFonts w:eastAsia="MS Mincho"/>
                <w:kern w:val="2"/>
                <w:sz w:val="19"/>
                <w:szCs w:val="19"/>
              </w:rPr>
            </w:pPr>
          </w:p>
        </w:tc>
        <w:tc>
          <w:tcPr>
            <w:tcW w:w="1532" w:type="dxa"/>
            <w:gridSpan w:val="2"/>
            <w:vMerge/>
            <w:hideMark/>
          </w:tcPr>
          <w:p w:rsidR="00660BC2" w:rsidRPr="006E11FD" w:rsidRDefault="00660BC2" w:rsidP="006E11FD">
            <w:pPr>
              <w:keepNext/>
              <w:rPr>
                <w:rFonts w:eastAsia="MS Mincho"/>
                <w:kern w:val="2"/>
                <w:sz w:val="19"/>
                <w:szCs w:val="19"/>
              </w:rPr>
            </w:pPr>
          </w:p>
        </w:tc>
        <w:tc>
          <w:tcPr>
            <w:tcW w:w="1429" w:type="dxa"/>
            <w:gridSpan w:val="2"/>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proofErr w:type="spellStart"/>
            <w:r w:rsidRPr="006E11FD">
              <w:rPr>
                <w:kern w:val="2"/>
                <w:sz w:val="19"/>
                <w:szCs w:val="19"/>
              </w:rPr>
              <w:t>C</w:t>
            </w:r>
            <w:r w:rsidRPr="006E11FD">
              <w:rPr>
                <w:kern w:val="2"/>
                <w:sz w:val="19"/>
                <w:szCs w:val="19"/>
                <w:vertAlign w:val="subscript"/>
              </w:rPr>
              <w:t>max</w:t>
            </w:r>
            <w:proofErr w:type="spellEnd"/>
          </w:p>
        </w:tc>
        <w:tc>
          <w:tcPr>
            <w:tcW w:w="1449" w:type="dxa"/>
            <w:gridSpan w:val="2"/>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AUC</w:t>
            </w:r>
          </w:p>
        </w:tc>
      </w:tr>
      <w:tr w:rsidR="00660BC2" w:rsidRPr="006E11FD" w:rsidTr="006E11FD">
        <w:trPr>
          <w:cnfStyle w:val="100000000000" w:firstRow="1" w:lastRow="0" w:firstColumn="0" w:lastColumn="0" w:oddVBand="0" w:evenVBand="0" w:oddHBand="0" w:evenHBand="0" w:firstRowFirstColumn="0" w:firstRowLastColumn="0" w:lastRowFirstColumn="0" w:lastRowLastColumn="0"/>
          <w:tblHeader/>
        </w:trPr>
        <w:tc>
          <w:tcPr>
            <w:tcW w:w="1065" w:type="dxa"/>
            <w:vMerge/>
            <w:hideMark/>
          </w:tcPr>
          <w:p w:rsidR="00660BC2" w:rsidRPr="006E11FD" w:rsidRDefault="00660BC2" w:rsidP="006E11FD">
            <w:pPr>
              <w:keepNext/>
              <w:rPr>
                <w:rFonts w:eastAsia="MS Mincho"/>
                <w:kern w:val="2"/>
                <w:sz w:val="19"/>
                <w:szCs w:val="19"/>
              </w:rPr>
            </w:pPr>
          </w:p>
        </w:tc>
        <w:tc>
          <w:tcPr>
            <w:tcW w:w="1311" w:type="dxa"/>
            <w:vMerge/>
            <w:hideMark/>
          </w:tcPr>
          <w:p w:rsidR="00660BC2" w:rsidRPr="006E11FD" w:rsidRDefault="00660BC2" w:rsidP="006E11FD">
            <w:pPr>
              <w:keepNext/>
              <w:rPr>
                <w:rFonts w:eastAsia="MS Mincho"/>
                <w:kern w:val="2"/>
                <w:sz w:val="19"/>
                <w:szCs w:val="19"/>
              </w:rPr>
            </w:pPr>
          </w:p>
        </w:tc>
        <w:tc>
          <w:tcPr>
            <w:tcW w:w="851" w:type="dxa"/>
            <w:vMerge/>
            <w:hideMark/>
          </w:tcPr>
          <w:p w:rsidR="00660BC2" w:rsidRPr="006E11FD" w:rsidRDefault="00660BC2" w:rsidP="006E11FD">
            <w:pPr>
              <w:keepNext/>
              <w:rPr>
                <w:rFonts w:eastAsia="MS Mincho"/>
                <w:kern w:val="2"/>
                <w:sz w:val="19"/>
                <w:szCs w:val="19"/>
              </w:rPr>
            </w:pPr>
          </w:p>
        </w:tc>
        <w:tc>
          <w:tcPr>
            <w:tcW w:w="709"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GD8</w:t>
            </w:r>
          </w:p>
        </w:tc>
        <w:tc>
          <w:tcPr>
            <w:tcW w:w="699"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GD21</w:t>
            </w:r>
          </w:p>
        </w:tc>
        <w:tc>
          <w:tcPr>
            <w:tcW w:w="750"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GD8</w:t>
            </w:r>
          </w:p>
        </w:tc>
        <w:tc>
          <w:tcPr>
            <w:tcW w:w="782"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GD21</w:t>
            </w:r>
          </w:p>
        </w:tc>
        <w:tc>
          <w:tcPr>
            <w:tcW w:w="719"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GD8</w:t>
            </w:r>
          </w:p>
        </w:tc>
        <w:tc>
          <w:tcPr>
            <w:tcW w:w="710"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GD21</w:t>
            </w:r>
          </w:p>
        </w:tc>
        <w:tc>
          <w:tcPr>
            <w:tcW w:w="720"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GD8</w:t>
            </w:r>
          </w:p>
        </w:tc>
        <w:tc>
          <w:tcPr>
            <w:tcW w:w="729" w:type="dxa"/>
            <w:hideMark/>
          </w:tcPr>
          <w:p w:rsidR="00660BC2" w:rsidRPr="006E11FD" w:rsidRDefault="00660BC2" w:rsidP="006E11FD">
            <w:pPr>
              <w:keepNext/>
              <w:keepLines/>
              <w:widowControl w:val="0"/>
              <w:spacing w:before="60" w:after="60" w:line="200" w:lineRule="exact"/>
              <w:jc w:val="center"/>
              <w:rPr>
                <w:rFonts w:eastAsia="MS Mincho"/>
                <w:kern w:val="2"/>
                <w:sz w:val="19"/>
                <w:szCs w:val="19"/>
              </w:rPr>
            </w:pPr>
            <w:r w:rsidRPr="006E11FD">
              <w:rPr>
                <w:kern w:val="2"/>
                <w:sz w:val="19"/>
                <w:szCs w:val="19"/>
              </w:rPr>
              <w:t>GD21</w:t>
            </w:r>
          </w:p>
        </w:tc>
      </w:tr>
      <w:tr w:rsidR="00660BC2" w:rsidTr="006E11FD">
        <w:trPr>
          <w:trHeight w:val="227"/>
        </w:trPr>
        <w:tc>
          <w:tcPr>
            <w:tcW w:w="1065" w:type="dxa"/>
            <w:vMerge w:val="restart"/>
            <w:hideMark/>
          </w:tcPr>
          <w:p w:rsidR="00660BC2" w:rsidRDefault="00660BC2" w:rsidP="006E11FD">
            <w:pPr>
              <w:keepNext/>
              <w:keepLines/>
              <w:spacing w:before="40" w:after="40" w:line="200" w:lineRule="exact"/>
              <w:jc w:val="center"/>
              <w:rPr>
                <w:rFonts w:eastAsia="Times New Roman"/>
                <w:snapToGrid w:val="0"/>
                <w:kern w:val="2"/>
                <w:sz w:val="18"/>
                <w:szCs w:val="19"/>
              </w:rPr>
            </w:pPr>
            <w:r>
              <w:rPr>
                <w:rFonts w:eastAsia="Times New Roman"/>
                <w:b/>
                <w:snapToGrid w:val="0"/>
                <w:kern w:val="2"/>
                <w:sz w:val="18"/>
                <w:szCs w:val="19"/>
              </w:rPr>
              <w:t>Rabbit</w:t>
            </w:r>
            <w:r>
              <w:rPr>
                <w:rFonts w:eastAsia="Times New Roman"/>
                <w:snapToGrid w:val="0"/>
                <w:kern w:val="2"/>
                <w:sz w:val="18"/>
                <w:szCs w:val="19"/>
              </w:rPr>
              <w:br/>
            </w:r>
          </w:p>
        </w:tc>
        <w:tc>
          <w:tcPr>
            <w:tcW w:w="1311" w:type="dxa"/>
            <w:vMerge w:val="restart"/>
            <w:hideMark/>
          </w:tcPr>
          <w:p w:rsidR="00660BC2" w:rsidRDefault="00660BC2" w:rsidP="006E11FD">
            <w:pPr>
              <w:keepNext/>
              <w:keepLines/>
              <w:spacing w:before="20" w:after="20" w:line="200" w:lineRule="exact"/>
              <w:jc w:val="center"/>
              <w:rPr>
                <w:rFonts w:eastAsia="Times New Roman"/>
                <w:snapToGrid w:val="0"/>
                <w:kern w:val="2"/>
                <w:sz w:val="18"/>
                <w:szCs w:val="19"/>
              </w:rPr>
            </w:pPr>
            <w:proofErr w:type="spellStart"/>
            <w:r>
              <w:rPr>
                <w:rFonts w:eastAsia="Times New Roman"/>
                <w:snapToGrid w:val="0"/>
                <w:kern w:val="2"/>
                <w:sz w:val="18"/>
                <w:szCs w:val="19"/>
              </w:rPr>
              <w:t>Embryofetal</w:t>
            </w:r>
            <w:proofErr w:type="spellEnd"/>
            <w:r>
              <w:rPr>
                <w:rFonts w:eastAsia="Times New Roman"/>
                <w:snapToGrid w:val="0"/>
                <w:kern w:val="2"/>
                <w:sz w:val="18"/>
                <w:szCs w:val="19"/>
              </w:rPr>
              <w:t xml:space="preserve"> development</w:t>
            </w:r>
          </w:p>
        </w:tc>
        <w:tc>
          <w:tcPr>
            <w:tcW w:w="851"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2"/>
                <w:sz w:val="18"/>
                <w:szCs w:val="19"/>
              </w:rPr>
              <w:t>10</w:t>
            </w:r>
          </w:p>
        </w:tc>
        <w:tc>
          <w:tcPr>
            <w:tcW w:w="709" w:type="dxa"/>
            <w:hideMark/>
          </w:tcPr>
          <w:p w:rsidR="00660BC2" w:rsidRDefault="00660BC2" w:rsidP="006E11FD">
            <w:pPr>
              <w:keepNext/>
              <w:keepLines/>
              <w:spacing w:line="200" w:lineRule="exact"/>
              <w:jc w:val="center"/>
              <w:rPr>
                <w:rFonts w:eastAsia="Times New Roman"/>
                <w:snapToGrid w:val="0"/>
                <w:kern w:val="16"/>
                <w:sz w:val="18"/>
                <w:szCs w:val="19"/>
              </w:rPr>
            </w:pPr>
            <w:r>
              <w:rPr>
                <w:rFonts w:eastAsia="Times New Roman"/>
                <w:snapToGrid w:val="0"/>
                <w:kern w:val="16"/>
                <w:sz w:val="18"/>
                <w:szCs w:val="19"/>
              </w:rPr>
              <w:t>10.2</w:t>
            </w:r>
          </w:p>
        </w:tc>
        <w:tc>
          <w:tcPr>
            <w:tcW w:w="699" w:type="dxa"/>
            <w:hideMark/>
          </w:tcPr>
          <w:p w:rsidR="00660BC2" w:rsidRDefault="00660BC2" w:rsidP="006E11FD">
            <w:pPr>
              <w:keepNext/>
              <w:keepLines/>
              <w:spacing w:line="200" w:lineRule="exact"/>
              <w:jc w:val="center"/>
              <w:rPr>
                <w:rFonts w:eastAsia="Times New Roman"/>
                <w:snapToGrid w:val="0"/>
                <w:kern w:val="16"/>
                <w:sz w:val="18"/>
                <w:szCs w:val="19"/>
              </w:rPr>
            </w:pPr>
            <w:r>
              <w:rPr>
                <w:rFonts w:eastAsia="Times New Roman"/>
                <w:snapToGrid w:val="0"/>
                <w:kern w:val="16"/>
                <w:sz w:val="18"/>
                <w:szCs w:val="19"/>
              </w:rPr>
              <w:t>3.29</w:t>
            </w:r>
          </w:p>
        </w:tc>
        <w:tc>
          <w:tcPr>
            <w:tcW w:w="750"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236</w:t>
            </w:r>
          </w:p>
        </w:tc>
        <w:tc>
          <w:tcPr>
            <w:tcW w:w="782"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 xml:space="preserve">108 </w:t>
            </w:r>
          </w:p>
        </w:tc>
        <w:tc>
          <w:tcPr>
            <w:tcW w:w="719"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0.06</w:t>
            </w:r>
          </w:p>
        </w:tc>
        <w:tc>
          <w:tcPr>
            <w:tcW w:w="710"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0.02</w:t>
            </w:r>
          </w:p>
        </w:tc>
        <w:tc>
          <w:tcPr>
            <w:tcW w:w="720"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0.02</w:t>
            </w:r>
          </w:p>
        </w:tc>
        <w:tc>
          <w:tcPr>
            <w:tcW w:w="729" w:type="dxa"/>
            <w:hideMark/>
          </w:tcPr>
          <w:p w:rsidR="00660BC2" w:rsidRDefault="00660BC2" w:rsidP="006E11FD">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0.01</w:t>
            </w:r>
          </w:p>
        </w:tc>
      </w:tr>
      <w:tr w:rsidR="00660BC2" w:rsidTr="006E11FD">
        <w:trPr>
          <w:trHeight w:val="227"/>
        </w:trPr>
        <w:tc>
          <w:tcPr>
            <w:tcW w:w="1065" w:type="dxa"/>
            <w:vMerge/>
            <w:hideMark/>
          </w:tcPr>
          <w:p w:rsidR="00660BC2" w:rsidRDefault="00660BC2">
            <w:pPr>
              <w:rPr>
                <w:rFonts w:eastAsia="Times New Roman"/>
                <w:snapToGrid w:val="0"/>
                <w:kern w:val="2"/>
                <w:sz w:val="18"/>
                <w:szCs w:val="19"/>
              </w:rPr>
            </w:pPr>
          </w:p>
        </w:tc>
        <w:tc>
          <w:tcPr>
            <w:tcW w:w="1311"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50</w:t>
            </w:r>
          </w:p>
        </w:tc>
        <w:tc>
          <w:tcPr>
            <w:tcW w:w="709" w:type="dxa"/>
            <w:hideMark/>
          </w:tcPr>
          <w:p w:rsidR="00660BC2" w:rsidRDefault="00660BC2">
            <w:pPr>
              <w:keepNext/>
              <w:keepLines/>
              <w:spacing w:line="200" w:lineRule="exact"/>
              <w:jc w:val="center"/>
              <w:rPr>
                <w:rFonts w:eastAsia="Times New Roman"/>
                <w:snapToGrid w:val="0"/>
                <w:kern w:val="16"/>
                <w:sz w:val="18"/>
                <w:szCs w:val="19"/>
              </w:rPr>
            </w:pPr>
            <w:r>
              <w:rPr>
                <w:rFonts w:eastAsia="Times New Roman"/>
                <w:snapToGrid w:val="0"/>
                <w:kern w:val="16"/>
                <w:sz w:val="18"/>
                <w:szCs w:val="19"/>
              </w:rPr>
              <w:t>93.2</w:t>
            </w:r>
          </w:p>
        </w:tc>
        <w:tc>
          <w:tcPr>
            <w:tcW w:w="699" w:type="dxa"/>
            <w:hideMark/>
          </w:tcPr>
          <w:p w:rsidR="00660BC2" w:rsidRDefault="00660BC2">
            <w:pPr>
              <w:keepNext/>
              <w:keepLines/>
              <w:spacing w:line="200" w:lineRule="exact"/>
              <w:jc w:val="center"/>
              <w:rPr>
                <w:rFonts w:eastAsia="Times New Roman"/>
                <w:snapToGrid w:val="0"/>
                <w:kern w:val="16"/>
                <w:sz w:val="18"/>
                <w:szCs w:val="19"/>
              </w:rPr>
            </w:pPr>
            <w:r>
              <w:rPr>
                <w:rFonts w:eastAsia="Times New Roman"/>
                <w:snapToGrid w:val="0"/>
                <w:kern w:val="16"/>
                <w:sz w:val="18"/>
                <w:szCs w:val="19"/>
              </w:rPr>
              <w:t>12.0</w:t>
            </w:r>
          </w:p>
        </w:tc>
        <w:tc>
          <w:tcPr>
            <w:tcW w:w="750"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2,758</w:t>
            </w:r>
          </w:p>
        </w:tc>
        <w:tc>
          <w:tcPr>
            <w:tcW w:w="782"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255</w:t>
            </w:r>
          </w:p>
        </w:tc>
        <w:tc>
          <w:tcPr>
            <w:tcW w:w="71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0.6</w:t>
            </w:r>
          </w:p>
        </w:tc>
        <w:tc>
          <w:tcPr>
            <w:tcW w:w="710"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0.07</w:t>
            </w:r>
          </w:p>
        </w:tc>
        <w:tc>
          <w:tcPr>
            <w:tcW w:w="720"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0.2</w:t>
            </w:r>
          </w:p>
        </w:tc>
        <w:tc>
          <w:tcPr>
            <w:tcW w:w="72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0.02</w:t>
            </w:r>
          </w:p>
        </w:tc>
      </w:tr>
      <w:tr w:rsidR="00660BC2" w:rsidTr="006E11FD">
        <w:trPr>
          <w:trHeight w:val="227"/>
        </w:trPr>
        <w:tc>
          <w:tcPr>
            <w:tcW w:w="1065" w:type="dxa"/>
            <w:vMerge/>
            <w:hideMark/>
          </w:tcPr>
          <w:p w:rsidR="00660BC2" w:rsidRDefault="00660BC2">
            <w:pPr>
              <w:rPr>
                <w:rFonts w:eastAsia="Times New Roman"/>
                <w:snapToGrid w:val="0"/>
                <w:kern w:val="2"/>
                <w:sz w:val="18"/>
                <w:szCs w:val="19"/>
              </w:rPr>
            </w:pPr>
          </w:p>
        </w:tc>
        <w:tc>
          <w:tcPr>
            <w:tcW w:w="1311" w:type="dxa"/>
            <w:vMerge/>
            <w:hideMark/>
          </w:tcPr>
          <w:p w:rsidR="00660BC2" w:rsidRDefault="00660BC2">
            <w:pPr>
              <w:rPr>
                <w:rFonts w:eastAsia="Times New Roman"/>
                <w:snapToGrid w:val="0"/>
                <w:kern w:val="2"/>
                <w:sz w:val="18"/>
                <w:szCs w:val="19"/>
              </w:rPr>
            </w:pPr>
          </w:p>
        </w:tc>
        <w:tc>
          <w:tcPr>
            <w:tcW w:w="851"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200</w:t>
            </w:r>
          </w:p>
        </w:tc>
        <w:tc>
          <w:tcPr>
            <w:tcW w:w="709" w:type="dxa"/>
            <w:hideMark/>
          </w:tcPr>
          <w:p w:rsidR="00660BC2" w:rsidRDefault="00660BC2">
            <w:pPr>
              <w:keepNext/>
              <w:keepLines/>
              <w:spacing w:line="200" w:lineRule="exact"/>
              <w:jc w:val="center"/>
              <w:rPr>
                <w:rFonts w:eastAsia="Times New Roman"/>
                <w:snapToGrid w:val="0"/>
                <w:kern w:val="16"/>
                <w:sz w:val="18"/>
                <w:szCs w:val="19"/>
              </w:rPr>
            </w:pPr>
            <w:r>
              <w:rPr>
                <w:rFonts w:eastAsia="Times New Roman"/>
                <w:snapToGrid w:val="0"/>
                <w:kern w:val="16"/>
                <w:sz w:val="18"/>
                <w:szCs w:val="19"/>
              </w:rPr>
              <w:t>981</w:t>
            </w:r>
          </w:p>
        </w:tc>
        <w:tc>
          <w:tcPr>
            <w:tcW w:w="699" w:type="dxa"/>
            <w:hideMark/>
          </w:tcPr>
          <w:p w:rsidR="00660BC2" w:rsidRDefault="00660BC2">
            <w:pPr>
              <w:keepNext/>
              <w:keepLines/>
              <w:spacing w:line="200" w:lineRule="exact"/>
              <w:jc w:val="center"/>
              <w:rPr>
                <w:rFonts w:eastAsia="Times New Roman"/>
                <w:snapToGrid w:val="0"/>
                <w:kern w:val="16"/>
                <w:sz w:val="18"/>
                <w:szCs w:val="19"/>
              </w:rPr>
            </w:pPr>
            <w:r>
              <w:rPr>
                <w:rFonts w:eastAsia="Times New Roman"/>
                <w:snapToGrid w:val="0"/>
                <w:kern w:val="16"/>
                <w:sz w:val="18"/>
                <w:szCs w:val="19"/>
              </w:rPr>
              <w:t>203</w:t>
            </w:r>
          </w:p>
        </w:tc>
        <w:tc>
          <w:tcPr>
            <w:tcW w:w="750"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32,218</w:t>
            </w:r>
          </w:p>
        </w:tc>
        <w:tc>
          <w:tcPr>
            <w:tcW w:w="782"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16"/>
                <w:sz w:val="18"/>
                <w:szCs w:val="19"/>
              </w:rPr>
              <w:t>5,760</w:t>
            </w:r>
          </w:p>
        </w:tc>
        <w:tc>
          <w:tcPr>
            <w:tcW w:w="71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5.8</w:t>
            </w:r>
          </w:p>
        </w:tc>
        <w:tc>
          <w:tcPr>
            <w:tcW w:w="710"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1.2</w:t>
            </w:r>
          </w:p>
        </w:tc>
        <w:tc>
          <w:tcPr>
            <w:tcW w:w="720"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2.4</w:t>
            </w:r>
          </w:p>
        </w:tc>
        <w:tc>
          <w:tcPr>
            <w:tcW w:w="729" w:type="dxa"/>
            <w:hideMark/>
          </w:tcPr>
          <w:p w:rsidR="00660BC2" w:rsidRDefault="00660BC2">
            <w:pPr>
              <w:keepNext/>
              <w:keepLines/>
              <w:spacing w:line="200" w:lineRule="exact"/>
              <w:jc w:val="center"/>
              <w:rPr>
                <w:rFonts w:eastAsia="Times New Roman"/>
                <w:snapToGrid w:val="0"/>
                <w:kern w:val="2"/>
                <w:sz w:val="18"/>
                <w:szCs w:val="19"/>
              </w:rPr>
            </w:pPr>
            <w:r>
              <w:rPr>
                <w:rFonts w:eastAsia="Times New Roman"/>
                <w:snapToGrid w:val="0"/>
                <w:kern w:val="2"/>
                <w:sz w:val="18"/>
                <w:szCs w:val="19"/>
              </w:rPr>
              <w:t>0.4</w:t>
            </w:r>
          </w:p>
        </w:tc>
      </w:tr>
      <w:tr w:rsidR="00660BC2" w:rsidTr="006E11FD">
        <w:trPr>
          <w:trHeight w:val="227"/>
        </w:trPr>
        <w:tc>
          <w:tcPr>
            <w:tcW w:w="1065" w:type="dxa"/>
            <w:hideMark/>
          </w:tcPr>
          <w:p w:rsidR="00660BC2" w:rsidRDefault="00660BC2" w:rsidP="006E11FD">
            <w:pPr>
              <w:spacing w:before="40" w:after="40" w:line="200" w:lineRule="exact"/>
              <w:jc w:val="center"/>
              <w:rPr>
                <w:rFonts w:eastAsia="Times New Roman"/>
                <w:snapToGrid w:val="0"/>
                <w:kern w:val="2"/>
                <w:sz w:val="18"/>
                <w:szCs w:val="19"/>
              </w:rPr>
            </w:pPr>
            <w:r>
              <w:rPr>
                <w:rFonts w:eastAsia="Times New Roman"/>
                <w:b/>
                <w:snapToGrid w:val="0"/>
                <w:kern w:val="2"/>
                <w:sz w:val="18"/>
                <w:szCs w:val="19"/>
              </w:rPr>
              <w:t>Human</w:t>
            </w:r>
            <w:r>
              <w:rPr>
                <w:rFonts w:eastAsia="Times New Roman"/>
                <w:snapToGrid w:val="0"/>
                <w:kern w:val="2"/>
                <w:sz w:val="18"/>
                <w:szCs w:val="19"/>
              </w:rPr>
              <w:br/>
              <w:t>healthy volunteers</w:t>
            </w:r>
          </w:p>
        </w:tc>
        <w:tc>
          <w:tcPr>
            <w:tcW w:w="1311" w:type="dxa"/>
            <w:hideMark/>
          </w:tcPr>
          <w:p w:rsidR="00660BC2" w:rsidRDefault="00660BC2">
            <w:pPr>
              <w:spacing w:before="20" w:after="20" w:line="200" w:lineRule="exact"/>
              <w:jc w:val="center"/>
              <w:rPr>
                <w:rFonts w:eastAsia="Times New Roman"/>
                <w:snapToGrid w:val="0"/>
                <w:kern w:val="2"/>
                <w:sz w:val="18"/>
                <w:szCs w:val="19"/>
              </w:rPr>
            </w:pPr>
            <w:r>
              <w:rPr>
                <w:rFonts w:eastAsia="Times New Roman"/>
                <w:snapToGrid w:val="0"/>
                <w:kern w:val="2"/>
                <w:sz w:val="18"/>
                <w:szCs w:val="19"/>
              </w:rPr>
              <w:t>steady state</w:t>
            </w:r>
          </w:p>
        </w:tc>
        <w:tc>
          <w:tcPr>
            <w:tcW w:w="851" w:type="dxa"/>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6 mg</w:t>
            </w:r>
          </w:p>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(cycle 1)</w:t>
            </w:r>
          </w:p>
        </w:tc>
        <w:tc>
          <w:tcPr>
            <w:tcW w:w="1408" w:type="dxa"/>
            <w:gridSpan w:val="2"/>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168</w:t>
            </w:r>
          </w:p>
        </w:tc>
        <w:tc>
          <w:tcPr>
            <w:tcW w:w="1532" w:type="dxa"/>
            <w:gridSpan w:val="2"/>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13,500</w:t>
            </w:r>
          </w:p>
        </w:tc>
        <w:tc>
          <w:tcPr>
            <w:tcW w:w="1429" w:type="dxa"/>
            <w:gridSpan w:val="2"/>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w:t>
            </w:r>
          </w:p>
        </w:tc>
        <w:tc>
          <w:tcPr>
            <w:tcW w:w="1449" w:type="dxa"/>
            <w:gridSpan w:val="2"/>
            <w:hideMark/>
          </w:tcPr>
          <w:p w:rsidR="00660BC2" w:rsidRDefault="00660BC2">
            <w:pPr>
              <w:spacing w:line="200" w:lineRule="exact"/>
              <w:jc w:val="center"/>
              <w:rPr>
                <w:rFonts w:eastAsia="Times New Roman"/>
                <w:snapToGrid w:val="0"/>
                <w:kern w:val="2"/>
                <w:sz w:val="18"/>
                <w:szCs w:val="19"/>
              </w:rPr>
            </w:pPr>
            <w:r>
              <w:rPr>
                <w:rFonts w:eastAsia="Times New Roman"/>
                <w:snapToGrid w:val="0"/>
                <w:kern w:val="2"/>
                <w:sz w:val="18"/>
                <w:szCs w:val="19"/>
              </w:rPr>
              <w:t>–</w:t>
            </w:r>
          </w:p>
        </w:tc>
      </w:tr>
    </w:tbl>
    <w:p w:rsidR="00660BC2" w:rsidRDefault="00660BC2" w:rsidP="00216F4E">
      <w:pPr>
        <w:pStyle w:val="TableDescription"/>
        <w:rPr>
          <w:snapToGrid w:val="0"/>
        </w:rPr>
      </w:pPr>
      <w:r>
        <w:rPr>
          <w:snapToGrid w:val="0"/>
          <w:position w:val="-2"/>
          <w:vertAlign w:val="superscript"/>
        </w:rPr>
        <w:t>#</w:t>
      </w:r>
      <w:r>
        <w:rPr>
          <w:snapToGrid w:val="0"/>
        </w:rPr>
        <w:t xml:space="preserve"> animal:</w:t>
      </w:r>
      <w:r w:rsidR="006E11FD">
        <w:rPr>
          <w:snapToGrid w:val="0"/>
        </w:rPr>
        <w:t xml:space="preserve"> </w:t>
      </w:r>
      <w:r>
        <w:rPr>
          <w:snapToGrid w:val="0"/>
        </w:rPr>
        <w:t xml:space="preserve">human </w:t>
      </w:r>
      <w:proofErr w:type="spellStart"/>
      <w:r>
        <w:rPr>
          <w:snapToGrid w:val="0"/>
        </w:rPr>
        <w:t>C</w:t>
      </w:r>
      <w:r>
        <w:rPr>
          <w:snapToGrid w:val="0"/>
          <w:vertAlign w:val="subscript"/>
        </w:rPr>
        <w:t>max</w:t>
      </w:r>
      <w:proofErr w:type="spellEnd"/>
      <w:r>
        <w:rPr>
          <w:snapToGrid w:val="0"/>
        </w:rPr>
        <w:t>, or animal AUC:</w:t>
      </w:r>
      <w:r w:rsidR="006E11FD">
        <w:rPr>
          <w:snapToGrid w:val="0"/>
        </w:rPr>
        <w:t xml:space="preserve"> </w:t>
      </w:r>
      <w:r>
        <w:rPr>
          <w:snapToGrid w:val="0"/>
        </w:rPr>
        <w:t>human AUC; * Estimated AUC</w:t>
      </w:r>
      <w:r>
        <w:rPr>
          <w:snapToGrid w:val="0"/>
          <w:vertAlign w:val="subscript"/>
        </w:rPr>
        <w:t>0-t</w:t>
      </w:r>
      <w:r>
        <w:rPr>
          <w:snapToGrid w:val="0"/>
        </w:rPr>
        <w:t xml:space="preserve"> 13500 </w:t>
      </w:r>
      <w:proofErr w:type="spellStart"/>
      <w:r>
        <w:rPr>
          <w:snapToGrid w:val="0"/>
        </w:rPr>
        <w:t>ng.h</w:t>
      </w:r>
      <w:proofErr w:type="spellEnd"/>
      <w:r>
        <w:rPr>
          <w:snapToGrid w:val="0"/>
        </w:rPr>
        <w:t xml:space="preserve">/mL and </w:t>
      </w:r>
      <w:proofErr w:type="spellStart"/>
      <w:r>
        <w:rPr>
          <w:snapToGrid w:val="0"/>
        </w:rPr>
        <w:t>C</w:t>
      </w:r>
      <w:r>
        <w:rPr>
          <w:snapToGrid w:val="0"/>
          <w:vertAlign w:val="subscript"/>
        </w:rPr>
        <w:t>max</w:t>
      </w:r>
      <w:proofErr w:type="spellEnd"/>
      <w:r>
        <w:rPr>
          <w:snapToGrid w:val="0"/>
        </w:rPr>
        <w:t xml:space="preserve"> 168 ng/mL after a single dose of 6 mg (100 </w:t>
      </w:r>
      <w:proofErr w:type="spellStart"/>
      <w:r>
        <w:rPr>
          <w:snapToGrid w:val="0"/>
        </w:rPr>
        <w:t>μg</w:t>
      </w:r>
      <w:proofErr w:type="spellEnd"/>
      <w:r>
        <w:rPr>
          <w:snapToGrid w:val="0"/>
        </w:rPr>
        <w:t xml:space="preserve">/kg) from </w:t>
      </w:r>
      <w:r w:rsidR="006E11FD">
        <w:rPr>
          <w:snapToGrid w:val="0"/>
        </w:rPr>
        <w:t xml:space="preserve">sponsor’s </w:t>
      </w:r>
      <w:r>
        <w:rPr>
          <w:i/>
          <w:snapToGrid w:val="0"/>
        </w:rPr>
        <w:t>Summary of Clinical Pharmacology Studies</w:t>
      </w:r>
      <w:r w:rsidR="006E11FD">
        <w:rPr>
          <w:i/>
          <w:snapToGrid w:val="0"/>
        </w:rPr>
        <w:t xml:space="preserve"> </w:t>
      </w:r>
      <w:r>
        <w:rPr>
          <w:snapToGrid w:val="0"/>
        </w:rPr>
        <w:t>.</w:t>
      </w:r>
    </w:p>
    <w:p w:rsidR="00660BC2" w:rsidRDefault="00660BC2" w:rsidP="00191BC5">
      <w:r>
        <w:t xml:space="preserve">Increased leucocyte counts were observed in all dose groups, indicating </w:t>
      </w:r>
      <w:proofErr w:type="spellStart"/>
      <w:r w:rsidR="00216F4E">
        <w:t>lipegfilgrastim</w:t>
      </w:r>
      <w:proofErr w:type="spellEnd"/>
      <w:r>
        <w:t xml:space="preserve"> is pharmacologically active in rabbits. Administration of 200 µg/kg </w:t>
      </w:r>
      <w:proofErr w:type="spellStart"/>
      <w:r>
        <w:t>lipegfilgrastim</w:t>
      </w:r>
      <w:proofErr w:type="spellEnd"/>
      <w:r>
        <w:t xml:space="preserve"> to pregnant rabbits during organogenesis caused abortions and increased resorptions (post-implantation loss). The </w:t>
      </w:r>
      <w:proofErr w:type="spellStart"/>
      <w:r>
        <w:t>fetal</w:t>
      </w:r>
      <w:proofErr w:type="spellEnd"/>
      <w:r>
        <w:t xml:space="preserve"> mortality rate (including deaths over a 6</w:t>
      </w:r>
      <w:r>
        <w:rPr>
          <w:lang w:val="en-US"/>
        </w:rPr>
        <w:t> </w:t>
      </w:r>
      <w:r>
        <w:t xml:space="preserve">h </w:t>
      </w:r>
      <w:r w:rsidR="00F26F05">
        <w:t>‘</w:t>
      </w:r>
      <w:r>
        <w:t>incubator stay</w:t>
      </w:r>
      <w:r w:rsidR="00F26F05">
        <w:t>’</w:t>
      </w:r>
      <w:r>
        <w:t xml:space="preserve">) and the number of runts were increased at 50 and 200 </w:t>
      </w:r>
      <w:proofErr w:type="spellStart"/>
      <w:r>
        <w:t>μg</w:t>
      </w:r>
      <w:proofErr w:type="spellEnd"/>
      <w:r>
        <w:t xml:space="preserve">/kg, and </w:t>
      </w:r>
      <w:proofErr w:type="spellStart"/>
      <w:r>
        <w:t>fetal</w:t>
      </w:r>
      <w:proofErr w:type="spellEnd"/>
      <w:r>
        <w:t xml:space="preserve"> weights decreased in all dose groups. </w:t>
      </w:r>
      <w:r w:rsidR="00C839C5">
        <w:t>The observed m</w:t>
      </w:r>
      <w:r>
        <w:t xml:space="preserve">aternal body weights and placenta weights </w:t>
      </w:r>
      <w:proofErr w:type="gramStart"/>
      <w:r>
        <w:t xml:space="preserve">at 200 </w:t>
      </w:r>
      <w:proofErr w:type="spellStart"/>
      <w:r>
        <w:t>μg</w:t>
      </w:r>
      <w:proofErr w:type="spellEnd"/>
      <w:r>
        <w:t>/kg</w:t>
      </w:r>
      <w:proofErr w:type="gramEnd"/>
      <w:r>
        <w:t xml:space="preserve"> were significantly lower than the control group. </w:t>
      </w:r>
      <w:proofErr w:type="spellStart"/>
      <w:r>
        <w:t>Lipegfilgrastim</w:t>
      </w:r>
      <w:proofErr w:type="spellEnd"/>
      <w:r>
        <w:t xml:space="preserve"> was not teratogenic in rabbits. The incidences of visceral (pale and small kidney) and skeletal variations (enlarged fontanelle, </w:t>
      </w:r>
      <w:proofErr w:type="spellStart"/>
      <w:r>
        <w:t>unossified</w:t>
      </w:r>
      <w:proofErr w:type="spellEnd"/>
      <w:r>
        <w:t xml:space="preserve"> or incomplete ossification of skull and talus) were increased </w:t>
      </w:r>
      <w:proofErr w:type="gramStart"/>
      <w:r>
        <w:t>at 200 </w:t>
      </w:r>
      <w:proofErr w:type="spellStart"/>
      <w:r>
        <w:t>μg</w:t>
      </w:r>
      <w:proofErr w:type="spellEnd"/>
      <w:r>
        <w:t>/kg</w:t>
      </w:r>
      <w:proofErr w:type="gramEnd"/>
      <w:r>
        <w:t xml:space="preserve"> and the incidence of incomplete ossification of skull was also increased at 50 </w:t>
      </w:r>
      <w:proofErr w:type="spellStart"/>
      <w:r>
        <w:t>μg</w:t>
      </w:r>
      <w:proofErr w:type="spellEnd"/>
      <w:r>
        <w:t>/kg.</w:t>
      </w:r>
    </w:p>
    <w:p w:rsidR="00660BC2" w:rsidRDefault="00660BC2" w:rsidP="006E11FD">
      <w:pPr>
        <w:pStyle w:val="Heading5"/>
      </w:pPr>
      <w:r>
        <w:t>Pregnancy classification</w:t>
      </w:r>
    </w:p>
    <w:p w:rsidR="00B56A57" w:rsidRDefault="00660BC2" w:rsidP="00191BC5">
      <w:r w:rsidRPr="008C5E81">
        <w:rPr>
          <w:kern w:val="2"/>
          <w:szCs w:val="20"/>
        </w:rPr>
        <w:t>The sponsor has proposed Pregnancy Category B3.</w:t>
      </w:r>
      <w:r w:rsidR="006E11FD" w:rsidRPr="008C5E81">
        <w:rPr>
          <w:rStyle w:val="FootnoteReference"/>
          <w:kern w:val="2"/>
          <w:szCs w:val="20"/>
        </w:rPr>
        <w:footnoteReference w:id="4"/>
      </w:r>
      <w:r w:rsidRPr="008C5E81">
        <w:rPr>
          <w:kern w:val="2"/>
          <w:szCs w:val="20"/>
        </w:rPr>
        <w:t xml:space="preserve"> This is considered</w:t>
      </w:r>
      <w:r>
        <w:rPr>
          <w:kern w:val="2"/>
          <w:szCs w:val="20"/>
        </w:rPr>
        <w:t xml:space="preserve"> appropriate and consistent with </w:t>
      </w:r>
      <w:r>
        <w:t>experimental animal data showing an increased incidence of post-</w:t>
      </w:r>
      <w:r>
        <w:lastRenderedPageBreak/>
        <w:t xml:space="preserve">implantation loss, abortion and </w:t>
      </w:r>
      <w:proofErr w:type="spellStart"/>
      <w:r>
        <w:t>fetal</w:t>
      </w:r>
      <w:proofErr w:type="spellEnd"/>
      <w:r>
        <w:t xml:space="preserve"> variations, and the Pregnancy Category for </w:t>
      </w:r>
      <w:proofErr w:type="spellStart"/>
      <w:r>
        <w:t>filgrastim</w:t>
      </w:r>
      <w:proofErr w:type="spellEnd"/>
      <w:r>
        <w:t xml:space="preserve"> and </w:t>
      </w:r>
      <w:proofErr w:type="spellStart"/>
      <w:r>
        <w:t>pegfilgrastim</w:t>
      </w:r>
      <w:proofErr w:type="spellEnd"/>
      <w:r w:rsidR="00B56A57">
        <w:t>.</w:t>
      </w:r>
    </w:p>
    <w:p w:rsidR="00660BC2" w:rsidRDefault="00660BC2" w:rsidP="006E11FD">
      <w:pPr>
        <w:pStyle w:val="Heading4"/>
      </w:pPr>
      <w:r>
        <w:t xml:space="preserve">Local tolerance </w:t>
      </w:r>
    </w:p>
    <w:p w:rsidR="00660BC2" w:rsidRDefault="00660BC2" w:rsidP="00191BC5">
      <w:r>
        <w:t xml:space="preserve">A local tolerance study in rabbits revealed no macroscopic or microscopic changes at the </w:t>
      </w:r>
      <w:r w:rsidR="006E11FD">
        <w:t>intra-arterial (</w:t>
      </w:r>
      <w:r>
        <w:t>IA</w:t>
      </w:r>
      <w:r w:rsidR="006E11FD">
        <w:t>)</w:t>
      </w:r>
      <w:r>
        <w:t>,</w:t>
      </w:r>
      <w:r w:rsidR="006E11FD">
        <w:t xml:space="preserve"> intra-muscular (</w:t>
      </w:r>
      <w:r>
        <w:t>IM</w:t>
      </w:r>
      <w:r w:rsidR="006E11FD">
        <w:t>)</w:t>
      </w:r>
      <w:r>
        <w:t xml:space="preserve">, IV, </w:t>
      </w:r>
      <w:proofErr w:type="spellStart"/>
      <w:r w:rsidR="006E11FD">
        <w:t>p</w:t>
      </w:r>
      <w:r w:rsidR="006E11FD" w:rsidRPr="00392541">
        <w:rPr>
          <w:rFonts w:asciiTheme="minorHAnsi" w:hAnsiTheme="minorHAnsi"/>
        </w:rPr>
        <w:t>aravenous</w:t>
      </w:r>
      <w:proofErr w:type="spellEnd"/>
      <w:r w:rsidR="006E11FD">
        <w:t xml:space="preserve"> (</w:t>
      </w:r>
      <w:r>
        <w:t>PV</w:t>
      </w:r>
      <w:r w:rsidR="006E11FD">
        <w:t>)</w:t>
      </w:r>
      <w:r>
        <w:t xml:space="preserve"> or SC administration sites indicating </w:t>
      </w:r>
      <w:proofErr w:type="spellStart"/>
      <w:r>
        <w:t>lipegfilgrastim</w:t>
      </w:r>
      <w:proofErr w:type="spellEnd"/>
      <w:r>
        <w:t xml:space="preserve"> was compatible for the intended clinical route of administration.</w:t>
      </w:r>
    </w:p>
    <w:p w:rsidR="008E7846" w:rsidRDefault="008E7846" w:rsidP="008E7846">
      <w:pPr>
        <w:pStyle w:val="Heading3"/>
      </w:pPr>
      <w:bookmarkStart w:id="60" w:name="_Toc445210959"/>
      <w:r>
        <w:t>Nonclinical summary and conclusions</w:t>
      </w:r>
      <w:bookmarkEnd w:id="56"/>
      <w:bookmarkEnd w:id="57"/>
      <w:bookmarkEnd w:id="60"/>
    </w:p>
    <w:p w:rsidR="00660BC2" w:rsidRPr="00F26F05" w:rsidRDefault="00660BC2" w:rsidP="00F26F05">
      <w:pPr>
        <w:pStyle w:val="ListBullet"/>
      </w:pPr>
      <w:bookmarkStart w:id="61" w:name="_Toc196046462"/>
      <w:bookmarkStart w:id="62" w:name="_Toc247691516"/>
      <w:bookmarkStart w:id="63" w:name="_Toc314842500"/>
      <w:bookmarkStart w:id="64" w:name="_Toc163441353"/>
      <w:bookmarkStart w:id="65" w:name="_Toc163441348"/>
      <w:r w:rsidRPr="00F26F05">
        <w:t xml:space="preserve">In vitro studies confirmed the expected potency and activity of </w:t>
      </w:r>
      <w:proofErr w:type="spellStart"/>
      <w:r w:rsidRPr="00F26F05">
        <w:t>lipegfilgrastim</w:t>
      </w:r>
      <w:proofErr w:type="spellEnd"/>
      <w:r w:rsidRPr="00F26F05">
        <w:t xml:space="preserve"> as a G-CSF. The affinity of </w:t>
      </w:r>
      <w:proofErr w:type="spellStart"/>
      <w:r w:rsidRPr="00F26F05">
        <w:t>lipegfilgrastim</w:t>
      </w:r>
      <w:proofErr w:type="spellEnd"/>
      <w:r w:rsidRPr="00F26F05">
        <w:t xml:space="preserve"> for the recombinant human G-CSF receptor was lower than the unconjugated moiety (XM21) but similar to </w:t>
      </w:r>
      <w:proofErr w:type="spellStart"/>
      <w:r w:rsidRPr="00F26F05">
        <w:t>pegfilgrastim</w:t>
      </w:r>
      <w:proofErr w:type="spellEnd"/>
      <w:r w:rsidRPr="00F26F05">
        <w:t xml:space="preserve"> [</w:t>
      </w:r>
      <w:proofErr w:type="spellStart"/>
      <w:r w:rsidRPr="00F26F05">
        <w:t>Neulasta</w:t>
      </w:r>
      <w:proofErr w:type="spellEnd"/>
      <w:r w:rsidRPr="00F26F05">
        <w:t xml:space="preserve">] (respective KD values: 481, 121 and 516 </w:t>
      </w:r>
      <w:proofErr w:type="spellStart"/>
      <w:r w:rsidRPr="00F26F05">
        <w:t>nM</w:t>
      </w:r>
      <w:proofErr w:type="spellEnd"/>
      <w:r w:rsidRPr="00F26F05">
        <w:t>). In vivo studies in rats and monkeys showed dose</w:t>
      </w:r>
      <w:r w:rsidR="006E11FD" w:rsidRPr="00F26F05">
        <w:t xml:space="preserve"> </w:t>
      </w:r>
      <w:r w:rsidRPr="00F26F05">
        <w:t>dependent increases in neutrophils and prolonged activity than the non-</w:t>
      </w:r>
      <w:proofErr w:type="spellStart"/>
      <w:r w:rsidRPr="00F26F05">
        <w:t>pegylated</w:t>
      </w:r>
      <w:proofErr w:type="spellEnd"/>
      <w:r w:rsidRPr="00F26F05">
        <w:t xml:space="preserve"> intermediate, XM21.</w:t>
      </w:r>
    </w:p>
    <w:p w:rsidR="00B56A57" w:rsidRDefault="00660BC2" w:rsidP="00F26F05">
      <w:pPr>
        <w:pStyle w:val="ListBullet"/>
      </w:pPr>
      <w:r w:rsidRPr="00F26F05">
        <w:t xml:space="preserve">Secondary </w:t>
      </w:r>
      <w:proofErr w:type="spellStart"/>
      <w:r w:rsidRPr="00F26F05">
        <w:t>pharmacodynamic</w:t>
      </w:r>
      <w:proofErr w:type="spellEnd"/>
      <w:r w:rsidRPr="00F26F05">
        <w:t xml:space="preserve"> study showed that </w:t>
      </w:r>
      <w:proofErr w:type="spellStart"/>
      <w:r w:rsidRPr="00F26F05">
        <w:t>lipegfilgrastim</w:t>
      </w:r>
      <w:proofErr w:type="spellEnd"/>
      <w:r w:rsidRPr="00F26F05">
        <w:t xml:space="preserve"> (and comparators, </w:t>
      </w:r>
      <w:proofErr w:type="spellStart"/>
      <w:r w:rsidRPr="00F26F05">
        <w:t>filgrastim</w:t>
      </w:r>
      <w:proofErr w:type="spellEnd"/>
      <w:r w:rsidRPr="00F26F05">
        <w:t xml:space="preserve"> [</w:t>
      </w:r>
      <w:proofErr w:type="spellStart"/>
      <w:r w:rsidRPr="00F26F05">
        <w:t>Neupogen</w:t>
      </w:r>
      <w:proofErr w:type="spellEnd"/>
      <w:r w:rsidRPr="00F26F05">
        <w:t xml:space="preserve">] and </w:t>
      </w:r>
      <w:proofErr w:type="spellStart"/>
      <w:r w:rsidRPr="00F26F05">
        <w:t>pegfilgrastim</w:t>
      </w:r>
      <w:proofErr w:type="spellEnd"/>
      <w:r w:rsidRPr="00F26F05">
        <w:t xml:space="preserve"> [</w:t>
      </w:r>
      <w:proofErr w:type="spellStart"/>
      <w:r w:rsidRPr="00F26F05">
        <w:t>Neulasta</w:t>
      </w:r>
      <w:proofErr w:type="spellEnd"/>
      <w:r w:rsidRPr="00F26F05">
        <w:t>]) had little/no effect on the proliferation/viability of human cancer cell lines that do not express G-CSF receptor</w:t>
      </w:r>
      <w:r w:rsidR="00B56A57">
        <w:t>.</w:t>
      </w:r>
    </w:p>
    <w:p w:rsidR="00660BC2" w:rsidRPr="00F26F05" w:rsidRDefault="00660BC2" w:rsidP="00F26F05">
      <w:pPr>
        <w:pStyle w:val="ListBullet"/>
      </w:pPr>
      <w:r w:rsidRPr="00F26F05">
        <w:t>Safety pharmacology studies found no effects on CNS (rats) or cardiovascular (dogs) functions.</w:t>
      </w:r>
    </w:p>
    <w:p w:rsidR="00660BC2" w:rsidRPr="00F26F05" w:rsidRDefault="00660BC2" w:rsidP="00F26F05">
      <w:pPr>
        <w:pStyle w:val="ListBullet"/>
      </w:pPr>
      <w:r w:rsidRPr="00F26F05">
        <w:t>Pharmacokinetic studies in rats and monkeys showed prolonged elimination t1/2 and delayed absorption than the non-</w:t>
      </w:r>
      <w:proofErr w:type="spellStart"/>
      <w:r w:rsidRPr="00F26F05">
        <w:t>pegylated</w:t>
      </w:r>
      <w:proofErr w:type="spellEnd"/>
      <w:r w:rsidRPr="00F26F05">
        <w:t xml:space="preserve"> moiety.</w:t>
      </w:r>
      <w:r w:rsidR="009801DD" w:rsidRPr="00F26F05">
        <w:t xml:space="preserve"> </w:t>
      </w:r>
      <w:r w:rsidRPr="00F26F05">
        <w:t xml:space="preserve">The pharmacokinetic profile of </w:t>
      </w:r>
      <w:proofErr w:type="spellStart"/>
      <w:r w:rsidRPr="00F26F05">
        <w:t>lipegfilgrastim</w:t>
      </w:r>
      <w:proofErr w:type="spellEnd"/>
      <w:r w:rsidRPr="00F26F05">
        <w:t xml:space="preserve"> was similar to the profile of </w:t>
      </w:r>
      <w:proofErr w:type="spellStart"/>
      <w:r w:rsidRPr="00F26F05">
        <w:t>Neulasta</w:t>
      </w:r>
      <w:proofErr w:type="spellEnd"/>
      <w:r w:rsidRPr="00F26F05">
        <w:t xml:space="preserve">. Pharmacokinetics in rats and monkeys was non-linear at the dose range </w:t>
      </w:r>
      <w:proofErr w:type="gramStart"/>
      <w:r w:rsidRPr="00F26F05">
        <w:t>of 100</w:t>
      </w:r>
      <w:r w:rsidR="006E11FD" w:rsidRPr="00F26F05">
        <w:t xml:space="preserve"> to </w:t>
      </w:r>
      <w:r w:rsidRPr="00F26F05">
        <w:t xml:space="preserve">1500 </w:t>
      </w:r>
      <w:proofErr w:type="spellStart"/>
      <w:r w:rsidRPr="00F26F05">
        <w:t>μg</w:t>
      </w:r>
      <w:proofErr w:type="spellEnd"/>
      <w:r w:rsidRPr="00F26F05">
        <w:t>/kg</w:t>
      </w:r>
      <w:proofErr w:type="gramEnd"/>
      <w:r w:rsidR="00C839C5">
        <w:t>;</w:t>
      </w:r>
      <w:r w:rsidR="00C839C5" w:rsidRPr="00F26F05">
        <w:t xml:space="preserve"> </w:t>
      </w:r>
      <w:r w:rsidRPr="00F26F05">
        <w:t>indicative of saturable elimination. The volume of distribution in rats was close to rat plasma volume, suggesting distribution within the intravascular space.</w:t>
      </w:r>
    </w:p>
    <w:p w:rsidR="00660BC2" w:rsidRPr="00F26F05" w:rsidRDefault="00660BC2" w:rsidP="00F26F05">
      <w:pPr>
        <w:pStyle w:val="ListBullet"/>
      </w:pPr>
      <w:r w:rsidRPr="00F26F05">
        <w:t>Repeat-dose toxicity studies were all GLP</w:t>
      </w:r>
      <w:r w:rsidR="006E11FD" w:rsidRPr="00F26F05">
        <w:t xml:space="preserve"> </w:t>
      </w:r>
      <w:r w:rsidRPr="00F26F05">
        <w:t xml:space="preserve">compliant. </w:t>
      </w:r>
      <w:proofErr w:type="spellStart"/>
      <w:r w:rsidRPr="00F26F05">
        <w:t>Lipegfilgrastim</w:t>
      </w:r>
      <w:proofErr w:type="spellEnd"/>
      <w:r w:rsidRPr="00F26F05">
        <w:t xml:space="preserve"> was well tolerated with SC administration </w:t>
      </w:r>
      <w:proofErr w:type="gramStart"/>
      <w:r w:rsidRPr="00F26F05">
        <w:t>of 100</w:t>
      </w:r>
      <w:r w:rsidR="006E11FD" w:rsidRPr="00F26F05">
        <w:t xml:space="preserve"> to </w:t>
      </w:r>
      <w:r w:rsidRPr="00F26F05">
        <w:t>1500 µg/kg/week for up to 26 weeks in rats and 13 weeks in monkeys</w:t>
      </w:r>
      <w:proofErr w:type="gramEnd"/>
      <w:r w:rsidRPr="00F26F05">
        <w:t xml:space="preserve">. ADA developed after repeated dosing in monkeys and rabbits and reduced both exposure and </w:t>
      </w:r>
      <w:proofErr w:type="spellStart"/>
      <w:r w:rsidRPr="00F26F05">
        <w:t>pharmacodynamic</w:t>
      </w:r>
      <w:proofErr w:type="spellEnd"/>
      <w:r w:rsidRPr="00F26F05">
        <w:t xml:space="preserve"> responses. The development of ADA limited the usefulness of monkeys for studying long term effects beyond 13 weeks. Immunogenicity was low in rats. Therefore, long term studies were conducted only in rats, which are considered adequate.</w:t>
      </w:r>
    </w:p>
    <w:p w:rsidR="00B56A57" w:rsidRDefault="00660BC2" w:rsidP="00F26F05">
      <w:pPr>
        <w:pStyle w:val="ListBullet"/>
      </w:pPr>
      <w:r w:rsidRPr="00F26F05">
        <w:t>All toxicity findings were class effects of G-CSFs. Findings included increased leukocytes, primarily of neutrophils, decreases in red cell count, haematocrit and haemoglobin (and a corresponding increase in reticulocytes), myeloid hyperplasia in bone marrow, spleen, liver and lymph nodes (consisting primarily of neutrophilic granulocytes), extramedullary haematopoiesis in spleen (and enlarged spleen), and increased myeloid/erythroid ratio of bone marrow. In addition, marked, dose-dependent increases in plasma ALP and slight increases in GGT occurred in rats, probably secondary to the effects on bone (atrophy of trabecular bone) and increased leukocytes. There was a trend of decreased plasma cholesterol in both species. All changes except the bone were completely reversible after a recovery period of 4</w:t>
      </w:r>
      <w:r w:rsidR="006E11FD" w:rsidRPr="00F26F05">
        <w:t xml:space="preserve"> to </w:t>
      </w:r>
      <w:r w:rsidRPr="00F26F05">
        <w:t>8 weeks. Atrophy of trabecular bone in rats was partially reversible</w:t>
      </w:r>
      <w:r w:rsidR="00B56A57">
        <w:t>.</w:t>
      </w:r>
    </w:p>
    <w:p w:rsidR="00660BC2" w:rsidRPr="00F26F05" w:rsidRDefault="00660BC2" w:rsidP="00F26F05">
      <w:pPr>
        <w:pStyle w:val="ListBullet"/>
      </w:pPr>
      <w:r w:rsidRPr="00F26F05">
        <w:t>No genotoxicity and/or carcinogenicity studies were submitted. The lack of genotoxicity and carcinogenicity studies is acceptable. It is noted that G-CSF has been reported to stimulate tumour growth and intra</w:t>
      </w:r>
      <w:r w:rsidR="006E11FD" w:rsidRPr="00F26F05">
        <w:t>-</w:t>
      </w:r>
      <w:proofErr w:type="spellStart"/>
      <w:r w:rsidRPr="00F26F05">
        <w:t>tumoural</w:t>
      </w:r>
      <w:proofErr w:type="spellEnd"/>
      <w:r w:rsidRPr="00F26F05">
        <w:t xml:space="preserve"> vessel density in animal tumour models.</w:t>
      </w:r>
    </w:p>
    <w:p w:rsidR="00B56A57" w:rsidRDefault="00660BC2" w:rsidP="00F26F05">
      <w:pPr>
        <w:pStyle w:val="ListBullet"/>
      </w:pPr>
      <w:r w:rsidRPr="00F26F05">
        <w:lastRenderedPageBreak/>
        <w:t xml:space="preserve">An </w:t>
      </w:r>
      <w:proofErr w:type="spellStart"/>
      <w:r w:rsidRPr="00F26F05">
        <w:t>embryofetal</w:t>
      </w:r>
      <w:proofErr w:type="spellEnd"/>
      <w:r w:rsidRPr="00F26F05">
        <w:t xml:space="preserve"> development study in rabbits showed increased post-implantation loss and abortions at 200 </w:t>
      </w:r>
      <w:proofErr w:type="spellStart"/>
      <w:r w:rsidRPr="00F26F05">
        <w:t>μg</w:t>
      </w:r>
      <w:proofErr w:type="spellEnd"/>
      <w:r w:rsidRPr="00F26F05">
        <w:t xml:space="preserve">/kg, runts and </w:t>
      </w:r>
      <w:proofErr w:type="spellStart"/>
      <w:r w:rsidRPr="00F26F05">
        <w:t>fetal</w:t>
      </w:r>
      <w:proofErr w:type="spellEnd"/>
      <w:r w:rsidRPr="00F26F05">
        <w:t xml:space="preserve"> deaths at SC doses </w:t>
      </w:r>
      <w:proofErr w:type="gramStart"/>
      <w:r w:rsidRPr="00F26F05">
        <w:t>of 50</w:t>
      </w:r>
      <w:r w:rsidR="006E11FD" w:rsidRPr="00F26F05">
        <w:t xml:space="preserve"> to </w:t>
      </w:r>
      <w:r w:rsidRPr="00F26F05">
        <w:t xml:space="preserve">200 </w:t>
      </w:r>
      <w:proofErr w:type="spellStart"/>
      <w:r w:rsidRPr="00F26F05">
        <w:t>μg</w:t>
      </w:r>
      <w:proofErr w:type="spellEnd"/>
      <w:r w:rsidRPr="00F26F05">
        <w:t>/kg</w:t>
      </w:r>
      <w:proofErr w:type="gramEnd"/>
      <w:r w:rsidRPr="00F26F05">
        <w:t xml:space="preserve"> every other day, and decreased </w:t>
      </w:r>
      <w:proofErr w:type="spellStart"/>
      <w:r w:rsidRPr="00F26F05">
        <w:t>fetal</w:t>
      </w:r>
      <w:proofErr w:type="spellEnd"/>
      <w:r w:rsidRPr="00F26F05">
        <w:t xml:space="preserve"> weights at all doses (10</w:t>
      </w:r>
      <w:r w:rsidR="006E11FD" w:rsidRPr="00F26F05">
        <w:t xml:space="preserve"> to </w:t>
      </w:r>
      <w:r w:rsidRPr="00F26F05">
        <w:t xml:space="preserve">200 </w:t>
      </w:r>
      <w:proofErr w:type="spellStart"/>
      <w:r w:rsidRPr="00F26F05">
        <w:t>μg</w:t>
      </w:r>
      <w:proofErr w:type="spellEnd"/>
      <w:r w:rsidRPr="00F26F05">
        <w:t xml:space="preserve">/kg). The incidences of visceral and skeletal variations (pale, small kidney, enlarged fontanelle, </w:t>
      </w:r>
      <w:proofErr w:type="spellStart"/>
      <w:r w:rsidRPr="00F26F05">
        <w:t>unossified</w:t>
      </w:r>
      <w:proofErr w:type="spellEnd"/>
      <w:r w:rsidRPr="00F26F05">
        <w:t xml:space="preserve"> or incomplete ossification of skull and talus) were increased </w:t>
      </w:r>
      <w:proofErr w:type="gramStart"/>
      <w:r w:rsidRPr="00F26F05">
        <w:t xml:space="preserve">at 200 </w:t>
      </w:r>
      <w:proofErr w:type="spellStart"/>
      <w:r w:rsidRPr="00F26F05">
        <w:t>μg</w:t>
      </w:r>
      <w:proofErr w:type="spellEnd"/>
      <w:r w:rsidRPr="00F26F05">
        <w:t>/kg</w:t>
      </w:r>
      <w:proofErr w:type="gramEnd"/>
      <w:r w:rsidRPr="00F26F05">
        <w:t xml:space="preserve">. The incidence of incomplete ossification of skull was also increased </w:t>
      </w:r>
      <w:proofErr w:type="gramStart"/>
      <w:r w:rsidRPr="00F26F05">
        <w:t xml:space="preserve">at 50 </w:t>
      </w:r>
      <w:proofErr w:type="spellStart"/>
      <w:r w:rsidRPr="00F26F05">
        <w:t>μg</w:t>
      </w:r>
      <w:proofErr w:type="spellEnd"/>
      <w:r w:rsidRPr="00F26F05">
        <w:t>/kg</w:t>
      </w:r>
      <w:proofErr w:type="gramEnd"/>
      <w:r w:rsidRPr="00F26F05">
        <w:t xml:space="preserve">. </w:t>
      </w:r>
      <w:proofErr w:type="spellStart"/>
      <w:r w:rsidRPr="00F26F05">
        <w:t>Lipegfilgrastim</w:t>
      </w:r>
      <w:proofErr w:type="spellEnd"/>
      <w:r w:rsidRPr="00F26F05">
        <w:t xml:space="preserve"> was not teratogenic. These findings are consistent with results from G-CSF and </w:t>
      </w:r>
      <w:proofErr w:type="spellStart"/>
      <w:r w:rsidRPr="00F26F05">
        <w:t>pegylated</w:t>
      </w:r>
      <w:proofErr w:type="spellEnd"/>
      <w:r w:rsidRPr="00F26F05">
        <w:t xml:space="preserve"> G-CSF</w:t>
      </w:r>
      <w:r w:rsidR="00B56A57">
        <w:t>.</w:t>
      </w:r>
    </w:p>
    <w:p w:rsidR="00660BC2" w:rsidRPr="00F26F05" w:rsidRDefault="00660BC2" w:rsidP="00F26F05">
      <w:pPr>
        <w:pStyle w:val="ListBullet"/>
      </w:pPr>
      <w:r w:rsidRPr="00F26F05">
        <w:t xml:space="preserve">No fertility or postnatal development studies were conducted. This is acceptable given the known toxicity profile of </w:t>
      </w:r>
      <w:proofErr w:type="spellStart"/>
      <w:r w:rsidRPr="00F26F05">
        <w:t>filgrastim</w:t>
      </w:r>
      <w:proofErr w:type="spellEnd"/>
      <w:r w:rsidRPr="00F26F05">
        <w:t xml:space="preserve"> and </w:t>
      </w:r>
      <w:proofErr w:type="spellStart"/>
      <w:r w:rsidRPr="00F26F05">
        <w:t>pegfilgrastim</w:t>
      </w:r>
      <w:proofErr w:type="spellEnd"/>
      <w:r w:rsidRPr="00F26F05">
        <w:t xml:space="preserve">, the absence of effects on reproductive organs in repeat dose studies with </w:t>
      </w:r>
      <w:proofErr w:type="spellStart"/>
      <w:r w:rsidRPr="00F26F05">
        <w:t>lipegfilgrastim</w:t>
      </w:r>
      <w:proofErr w:type="spellEnd"/>
      <w:r w:rsidRPr="00F26F05">
        <w:t xml:space="preserve">, clinical experience with the PEG moiety present in other drug substances, </w:t>
      </w:r>
      <w:proofErr w:type="spellStart"/>
      <w:r w:rsidRPr="00F26F05">
        <w:t>embryofetal</w:t>
      </w:r>
      <w:proofErr w:type="spellEnd"/>
      <w:r w:rsidRPr="00F26F05">
        <w:t xml:space="preserve"> findings in rabbits (consistent with </w:t>
      </w:r>
      <w:proofErr w:type="spellStart"/>
      <w:r w:rsidRPr="00F26F05">
        <w:t>filgrastim</w:t>
      </w:r>
      <w:proofErr w:type="spellEnd"/>
      <w:r w:rsidRPr="00F26F05">
        <w:t xml:space="preserve"> and </w:t>
      </w:r>
      <w:proofErr w:type="spellStart"/>
      <w:r w:rsidRPr="00F26F05">
        <w:t>pegylated</w:t>
      </w:r>
      <w:proofErr w:type="spellEnd"/>
      <w:r w:rsidRPr="00F26F05">
        <w:t xml:space="preserve"> </w:t>
      </w:r>
      <w:proofErr w:type="spellStart"/>
      <w:r w:rsidRPr="00F26F05">
        <w:t>filgrastim</w:t>
      </w:r>
      <w:proofErr w:type="spellEnd"/>
      <w:r w:rsidRPr="00F26F05">
        <w:t>)</w:t>
      </w:r>
      <w:r w:rsidR="00F26F05" w:rsidRPr="00F26F05">
        <w:t xml:space="preserve"> </w:t>
      </w:r>
      <w:r w:rsidRPr="00F26F05">
        <w:t>and proposed use in cancer patients with chemotherapy.</w:t>
      </w:r>
    </w:p>
    <w:p w:rsidR="00660BC2" w:rsidRPr="00F26F05" w:rsidRDefault="00660BC2" w:rsidP="00F26F05">
      <w:pPr>
        <w:pStyle w:val="ListBullet"/>
      </w:pPr>
      <w:r w:rsidRPr="00F26F05">
        <w:t>Local tolerance study in rabbits revealed no macroscopic or microscopic changes.</w:t>
      </w:r>
    </w:p>
    <w:p w:rsidR="00660BC2" w:rsidRDefault="00F26F05" w:rsidP="00F26F05">
      <w:pPr>
        <w:pStyle w:val="Heading3"/>
        <w:rPr>
          <w:caps/>
          <w:snapToGrid w:val="0"/>
        </w:rPr>
      </w:pPr>
      <w:bookmarkStart w:id="66" w:name="_Toc295290862"/>
      <w:bookmarkStart w:id="67" w:name="_Toc294861479"/>
      <w:bookmarkStart w:id="68" w:name="_Toc445210960"/>
      <w:r>
        <w:rPr>
          <w:snapToGrid w:val="0"/>
        </w:rPr>
        <w:t>Nonclinical conclusions and recommendation</w:t>
      </w:r>
      <w:bookmarkEnd w:id="66"/>
      <w:bookmarkEnd w:id="67"/>
      <w:bookmarkEnd w:id="68"/>
    </w:p>
    <w:p w:rsidR="00B56A57" w:rsidRDefault="00660BC2" w:rsidP="00F26F05">
      <w:pPr>
        <w:pStyle w:val="ListBullet"/>
      </w:pPr>
      <w:r w:rsidRPr="00F26F05">
        <w:t xml:space="preserve">Primary pharmacology studies in vitro and in animal species confirmed the expected potency and pharmacological activity of </w:t>
      </w:r>
      <w:proofErr w:type="spellStart"/>
      <w:r w:rsidRPr="00F26F05">
        <w:t>lipegfilgrastim</w:t>
      </w:r>
      <w:proofErr w:type="spellEnd"/>
      <w:r w:rsidR="00B56A57">
        <w:t>.</w:t>
      </w:r>
    </w:p>
    <w:p w:rsidR="00B56A57" w:rsidRDefault="00660BC2" w:rsidP="00F26F05">
      <w:pPr>
        <w:pStyle w:val="ListBullet"/>
      </w:pPr>
      <w:r w:rsidRPr="00F26F05">
        <w:t xml:space="preserve">Secondary </w:t>
      </w:r>
      <w:proofErr w:type="spellStart"/>
      <w:r w:rsidRPr="00F26F05">
        <w:t>pharmacodynamic</w:t>
      </w:r>
      <w:proofErr w:type="spellEnd"/>
      <w:r w:rsidRPr="00F26F05">
        <w:t xml:space="preserve"> and safety pharmacology studies raised no safety concerns</w:t>
      </w:r>
      <w:r w:rsidR="00B56A57">
        <w:t>.</w:t>
      </w:r>
    </w:p>
    <w:p w:rsidR="00B56A57" w:rsidRDefault="00660BC2" w:rsidP="00F26F05">
      <w:pPr>
        <w:pStyle w:val="ListBullet"/>
      </w:pPr>
      <w:r w:rsidRPr="00F26F05">
        <w:t xml:space="preserve">Toxicity profile of </w:t>
      </w:r>
      <w:proofErr w:type="spellStart"/>
      <w:r w:rsidRPr="00F26F05">
        <w:t>lipegfilgrastim</w:t>
      </w:r>
      <w:proofErr w:type="spellEnd"/>
      <w:r w:rsidRPr="00F26F05">
        <w:t xml:space="preserve"> is consistent with those of G-CSF and </w:t>
      </w:r>
      <w:proofErr w:type="spellStart"/>
      <w:r w:rsidRPr="00F26F05">
        <w:t>pegylated</w:t>
      </w:r>
      <w:proofErr w:type="spellEnd"/>
      <w:r w:rsidRPr="00F26F05">
        <w:t xml:space="preserve"> G-CSF.</w:t>
      </w:r>
      <w:r w:rsidR="009801DD" w:rsidRPr="00F26F05">
        <w:t xml:space="preserve"> </w:t>
      </w:r>
      <w:r w:rsidRPr="00F26F05">
        <w:t>Findings were related to the pharmacological activities of G-CSF and were completely or partially reversible</w:t>
      </w:r>
      <w:r w:rsidR="00B56A57">
        <w:t>.</w:t>
      </w:r>
    </w:p>
    <w:p w:rsidR="00B56A57" w:rsidRDefault="00660BC2" w:rsidP="00F26F05">
      <w:pPr>
        <w:pStyle w:val="ListBullet"/>
      </w:pPr>
      <w:proofErr w:type="spellStart"/>
      <w:r w:rsidRPr="00F26F05">
        <w:t>Embryofetal</w:t>
      </w:r>
      <w:proofErr w:type="spellEnd"/>
      <w:r w:rsidRPr="00F26F05">
        <w:t xml:space="preserve"> toxicity was observed in rabbits, similar to the effects of other G-CSFs. Pregnancy Category B3 is appropriate</w:t>
      </w:r>
      <w:r w:rsidR="00B56A57">
        <w:t>.</w:t>
      </w:r>
    </w:p>
    <w:p w:rsidR="00660BC2" w:rsidRPr="00F26F05" w:rsidRDefault="00660BC2" w:rsidP="00F26F05">
      <w:pPr>
        <w:pStyle w:val="ListBullet"/>
      </w:pPr>
      <w:r w:rsidRPr="00F26F05">
        <w:t>There are no nonclinical objections to registration.</w:t>
      </w:r>
    </w:p>
    <w:p w:rsidR="00B56A57" w:rsidRDefault="00F26F05" w:rsidP="00F26F05">
      <w:pPr>
        <w:pStyle w:val="ListBullet"/>
      </w:pPr>
      <w:r>
        <w:t xml:space="preserve">Amendments to the draft PI were recommended to the Delegate but these are beyond the scope of this </w:t>
      </w:r>
      <w:proofErr w:type="spellStart"/>
      <w:r>
        <w:t>AusPAR</w:t>
      </w:r>
      <w:proofErr w:type="spellEnd"/>
      <w:r w:rsidR="00B56A57">
        <w:t>.</w:t>
      </w:r>
    </w:p>
    <w:p w:rsidR="008E7846" w:rsidRPr="00254787" w:rsidRDefault="008E7846" w:rsidP="008E7846">
      <w:pPr>
        <w:pStyle w:val="Heading2"/>
      </w:pPr>
      <w:bookmarkStart w:id="69" w:name="_Toc445210961"/>
      <w:r>
        <w:t xml:space="preserve">IV. </w:t>
      </w:r>
      <w:r w:rsidRPr="00254787">
        <w:t>Clinical</w:t>
      </w:r>
      <w:bookmarkEnd w:id="61"/>
      <w:r>
        <w:t xml:space="preserve"> </w:t>
      </w:r>
      <w:r w:rsidR="003A7F6C">
        <w:t>f</w:t>
      </w:r>
      <w:r>
        <w:t>indings</w:t>
      </w:r>
      <w:bookmarkEnd w:id="62"/>
      <w:bookmarkEnd w:id="63"/>
      <w:bookmarkEnd w:id="69"/>
    </w:p>
    <w:p w:rsidR="00C80137" w:rsidRDefault="00C80137" w:rsidP="00D425BB">
      <w:bookmarkStart w:id="70"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rsidR="008E7846" w:rsidRDefault="008E7846" w:rsidP="008E7846">
      <w:pPr>
        <w:pStyle w:val="Heading3"/>
      </w:pPr>
      <w:bookmarkStart w:id="71" w:name="_Toc247691517"/>
      <w:bookmarkStart w:id="72" w:name="_Toc314842501"/>
      <w:bookmarkStart w:id="73" w:name="_Toc445210962"/>
      <w:r w:rsidRPr="00254787">
        <w:t>Introduction</w:t>
      </w:r>
      <w:bookmarkEnd w:id="70"/>
      <w:bookmarkEnd w:id="71"/>
      <w:bookmarkEnd w:id="72"/>
      <w:bookmarkEnd w:id="73"/>
    </w:p>
    <w:p w:rsidR="00605AD4" w:rsidRDefault="00605AD4" w:rsidP="00605AD4">
      <w:pPr>
        <w:pStyle w:val="Heading4"/>
      </w:pPr>
      <w:bookmarkStart w:id="74" w:name="_Toc196046464"/>
      <w:bookmarkStart w:id="75" w:name="_Toc247691518"/>
      <w:bookmarkStart w:id="76" w:name="_Toc314842502"/>
      <w:r w:rsidRPr="00605AD4">
        <w:t>Clinical Rationale</w:t>
      </w:r>
    </w:p>
    <w:p w:rsidR="00660BC2" w:rsidRDefault="00660BC2" w:rsidP="00F26F05">
      <w:pPr>
        <w:rPr>
          <w:rFonts w:cs="TimesNewRoman"/>
          <w:lang w:val="en-US"/>
        </w:rPr>
      </w:pPr>
      <w:r>
        <w:rPr>
          <w:lang w:val="en-US"/>
        </w:rPr>
        <w:t xml:space="preserve">Human G-CSF is a glycoprotein that regulates the production and release of functional neutrophils from the bone marrow. Stimulating the G-CSF receptor can raise neutrophil count in some conditions and has been used in cancer to reduce neutropenia, a risk factor for infection and for increasing delay in the next chemotherapy cycle. </w:t>
      </w:r>
      <w:proofErr w:type="spellStart"/>
      <w:r>
        <w:rPr>
          <w:lang w:val="en-US"/>
        </w:rPr>
        <w:t>Filgrastim</w:t>
      </w:r>
      <w:proofErr w:type="spellEnd"/>
      <w:r>
        <w:rPr>
          <w:lang w:val="en-US"/>
        </w:rPr>
        <w:t xml:space="preserve"> is </w:t>
      </w:r>
      <w:proofErr w:type="gramStart"/>
      <w:r>
        <w:rPr>
          <w:lang w:val="en-US"/>
        </w:rPr>
        <w:t>an</w:t>
      </w:r>
      <w:proofErr w:type="gramEnd"/>
      <w:r>
        <w:rPr>
          <w:lang w:val="en-US"/>
        </w:rPr>
        <w:t xml:space="preserve"> un-glycosylated recombinant </w:t>
      </w:r>
      <w:proofErr w:type="spellStart"/>
      <w:r>
        <w:rPr>
          <w:lang w:val="en-US"/>
        </w:rPr>
        <w:t>methionyl</w:t>
      </w:r>
      <w:proofErr w:type="spellEnd"/>
      <w:r>
        <w:rPr>
          <w:lang w:val="en-US"/>
        </w:rPr>
        <w:t xml:space="preserve"> human G-CSF </w:t>
      </w:r>
      <w:r w:rsidR="00F26F05">
        <w:rPr>
          <w:lang w:val="en-US"/>
        </w:rPr>
        <w:t>which</w:t>
      </w:r>
      <w:r>
        <w:rPr>
          <w:lang w:val="en-US"/>
        </w:rPr>
        <w:t xml:space="preserve"> binds to the G-CSF receptor, </w:t>
      </w:r>
      <w:r>
        <w:rPr>
          <w:rFonts w:cs="TimesNewRoman"/>
          <w:lang w:val="en-US"/>
        </w:rPr>
        <w:t>promoting the proliferation and differentiation of progenitor cells within the bone marrow and the</w:t>
      </w:r>
      <w:r>
        <w:rPr>
          <w:lang w:val="en-US"/>
        </w:rPr>
        <w:t xml:space="preserve"> </w:t>
      </w:r>
      <w:r>
        <w:rPr>
          <w:rFonts w:cs="TimesNewRoman"/>
          <w:lang w:val="en-US"/>
        </w:rPr>
        <w:t xml:space="preserve">release of mature neutrophils into the peripheral blood. </w:t>
      </w:r>
      <w:proofErr w:type="spellStart"/>
      <w:r>
        <w:rPr>
          <w:rFonts w:cs="TimesNewRoman"/>
          <w:lang w:val="en-US"/>
        </w:rPr>
        <w:t>Pegfilgrastim</w:t>
      </w:r>
      <w:proofErr w:type="spellEnd"/>
      <w:r>
        <w:rPr>
          <w:rFonts w:cs="TimesNewRoman"/>
          <w:lang w:val="en-US"/>
        </w:rPr>
        <w:t xml:space="preserve"> (INN </w:t>
      </w:r>
      <w:proofErr w:type="spellStart"/>
      <w:r>
        <w:rPr>
          <w:rFonts w:cs="TimesNewRoman"/>
          <w:lang w:val="en-US"/>
        </w:rPr>
        <w:t>Neulasta</w:t>
      </w:r>
      <w:proofErr w:type="spellEnd"/>
      <w:r>
        <w:rPr>
          <w:rFonts w:cs="TimesNewRoman"/>
          <w:lang w:val="en-US"/>
        </w:rPr>
        <w:t xml:space="preserve">®) is </w:t>
      </w:r>
      <w:proofErr w:type="spellStart"/>
      <w:r>
        <w:rPr>
          <w:rFonts w:cs="TimesNewRoman"/>
          <w:lang w:val="en-US"/>
        </w:rPr>
        <w:t>filgrastim</w:t>
      </w:r>
      <w:proofErr w:type="spellEnd"/>
      <w:r>
        <w:rPr>
          <w:rFonts w:cs="TimesNewRoman"/>
          <w:lang w:val="en-US"/>
        </w:rPr>
        <w:t xml:space="preserve"> conjugated to PEG which increases its </w:t>
      </w:r>
      <w:proofErr w:type="spellStart"/>
      <w:r>
        <w:rPr>
          <w:rFonts w:cs="TimesNewRoman"/>
          <w:lang w:val="en-US"/>
        </w:rPr>
        <w:t>pharmacodynamic</w:t>
      </w:r>
      <w:proofErr w:type="spellEnd"/>
      <w:r>
        <w:rPr>
          <w:rFonts w:cs="TimesNewRoman"/>
          <w:lang w:val="en-US"/>
        </w:rPr>
        <w:t xml:space="preserve"> effect offering the option of a single injection per chemotherapy cycle.</w:t>
      </w:r>
    </w:p>
    <w:p w:rsidR="00660BC2" w:rsidRDefault="00660BC2" w:rsidP="00F26F05">
      <w:pPr>
        <w:rPr>
          <w:rFonts w:cs="TimesNewRoman"/>
          <w:lang w:val="en-US"/>
        </w:rPr>
      </w:pPr>
      <w:r>
        <w:rPr>
          <w:rFonts w:cs="TimesNewRoman"/>
          <w:lang w:val="en-US"/>
        </w:rPr>
        <w:lastRenderedPageBreak/>
        <w:t xml:space="preserve">XM22 is a covalent conjugate of a 19 </w:t>
      </w:r>
      <w:r w:rsidR="00F26F05">
        <w:rPr>
          <w:rFonts w:cs="TimesNewRoman"/>
          <w:lang w:val="en-US"/>
        </w:rPr>
        <w:t xml:space="preserve">000 </w:t>
      </w:r>
      <w:r>
        <w:rPr>
          <w:rFonts w:cs="TimesNewRoman"/>
          <w:lang w:val="en-US"/>
        </w:rPr>
        <w:t xml:space="preserve">Da </w:t>
      </w:r>
      <w:r>
        <w:rPr>
          <w:rFonts w:cs="TimesNewRoman"/>
          <w:iCs/>
          <w:lang w:val="en-US"/>
        </w:rPr>
        <w:t xml:space="preserve">E. coli </w:t>
      </w:r>
      <w:r>
        <w:rPr>
          <w:rFonts w:cs="TimesNewRoman"/>
          <w:lang w:val="en-US"/>
        </w:rPr>
        <w:t>produced r-</w:t>
      </w:r>
      <w:proofErr w:type="spellStart"/>
      <w:r>
        <w:rPr>
          <w:rFonts w:cs="TimesNewRoman"/>
          <w:lang w:val="en-US"/>
        </w:rPr>
        <w:t>metHuG</w:t>
      </w:r>
      <w:proofErr w:type="spellEnd"/>
      <w:r>
        <w:rPr>
          <w:rFonts w:cs="TimesNewRoman"/>
          <w:lang w:val="en-US"/>
        </w:rPr>
        <w:t>-CSF (company code:</w:t>
      </w:r>
      <w:r w:rsidR="00F26F05">
        <w:rPr>
          <w:rFonts w:cs="TimesNewRoman"/>
          <w:lang w:val="en-US"/>
        </w:rPr>
        <w:t xml:space="preserve"> </w:t>
      </w:r>
      <w:r>
        <w:rPr>
          <w:rFonts w:cs="TimesNewRoman"/>
          <w:lang w:val="en-US"/>
        </w:rPr>
        <w:t xml:space="preserve">XM21, equivalent to </w:t>
      </w:r>
      <w:proofErr w:type="spellStart"/>
      <w:r>
        <w:rPr>
          <w:rFonts w:cs="TimesNewRoman"/>
          <w:lang w:val="en-US"/>
        </w:rPr>
        <w:t>filgrastim</w:t>
      </w:r>
      <w:proofErr w:type="spellEnd"/>
      <w:r>
        <w:rPr>
          <w:rFonts w:cs="TimesNewRoman"/>
          <w:lang w:val="en-US"/>
        </w:rPr>
        <w:t xml:space="preserve">) and a single, 20 </w:t>
      </w:r>
      <w:r w:rsidR="00F26F05">
        <w:rPr>
          <w:rFonts w:cs="TimesNewRoman"/>
          <w:lang w:val="en-US"/>
        </w:rPr>
        <w:t xml:space="preserve">000 </w:t>
      </w:r>
      <w:r>
        <w:rPr>
          <w:rFonts w:cs="TimesNewRoman"/>
          <w:lang w:val="en-US"/>
        </w:rPr>
        <w:t xml:space="preserve">Da PEG molecule. XM22 is the company code used in the </w:t>
      </w:r>
      <w:r w:rsidR="00F26F05">
        <w:rPr>
          <w:rFonts w:cs="TimesNewRoman"/>
          <w:lang w:val="en-US"/>
        </w:rPr>
        <w:t>s</w:t>
      </w:r>
      <w:r>
        <w:rPr>
          <w:rFonts w:cs="TimesNewRoman"/>
          <w:lang w:val="en-US"/>
        </w:rPr>
        <w:t xml:space="preserve">ponsor </w:t>
      </w:r>
      <w:r w:rsidR="00F26F05">
        <w:rPr>
          <w:rFonts w:cs="TimesNewRoman"/>
          <w:lang w:val="en-US"/>
        </w:rPr>
        <w:t>submission</w:t>
      </w:r>
      <w:r>
        <w:rPr>
          <w:rFonts w:cs="TimesNewRoman"/>
          <w:lang w:val="en-US"/>
        </w:rPr>
        <w:t xml:space="preserve"> for </w:t>
      </w:r>
      <w:r w:rsidR="00F26F05">
        <w:rPr>
          <w:rFonts w:cs="TimesNewRoman"/>
          <w:lang w:val="en-US"/>
        </w:rPr>
        <w:t>drug substance and drug product</w:t>
      </w:r>
      <w:r>
        <w:rPr>
          <w:rFonts w:cs="TimesNewRoman"/>
          <w:lang w:val="en-US"/>
        </w:rPr>
        <w:t xml:space="preserve">. The INN for XM22 is </w:t>
      </w:r>
      <w:proofErr w:type="spellStart"/>
      <w:r>
        <w:rPr>
          <w:rFonts w:cs="TimesNewRoman"/>
          <w:lang w:val="en-US"/>
        </w:rPr>
        <w:t>lipegfilgrastim</w:t>
      </w:r>
      <w:proofErr w:type="spellEnd"/>
      <w:r>
        <w:rPr>
          <w:rFonts w:cs="TimesNewRoman"/>
          <w:lang w:val="en-US"/>
        </w:rPr>
        <w:t>.</w:t>
      </w:r>
    </w:p>
    <w:p w:rsidR="00660BC2" w:rsidRDefault="00660BC2" w:rsidP="00F26F05">
      <w:pPr>
        <w:rPr>
          <w:kern w:val="16"/>
        </w:rPr>
      </w:pPr>
      <w:r>
        <w:rPr>
          <w:rFonts w:cs="TimesNewRoman"/>
          <w:lang w:val="en-US"/>
        </w:rPr>
        <w:t xml:space="preserve">XM22 differs from </w:t>
      </w:r>
      <w:proofErr w:type="spellStart"/>
      <w:r>
        <w:rPr>
          <w:rFonts w:cs="TimesNewRoman"/>
          <w:lang w:val="en-US"/>
        </w:rPr>
        <w:t>pegfilgrastim</w:t>
      </w:r>
      <w:proofErr w:type="spellEnd"/>
      <w:r>
        <w:rPr>
          <w:rFonts w:cs="TimesNewRoman"/>
          <w:lang w:val="en-US"/>
        </w:rPr>
        <w:t xml:space="preserve">, in that its </w:t>
      </w:r>
      <w:proofErr w:type="spellStart"/>
      <w:r>
        <w:rPr>
          <w:rFonts w:cs="TimesNewRoman"/>
          <w:lang w:val="en-US"/>
        </w:rPr>
        <w:t>PEGylation</w:t>
      </w:r>
      <w:proofErr w:type="spellEnd"/>
      <w:r>
        <w:rPr>
          <w:rFonts w:cs="TimesNewRoman"/>
          <w:lang w:val="en-US"/>
        </w:rPr>
        <w:t xml:space="preserve"> occurs enzymatically through a </w:t>
      </w:r>
      <w:proofErr w:type="spellStart"/>
      <w:r>
        <w:rPr>
          <w:rFonts w:cs="TimesNewRoman"/>
          <w:lang w:val="en-US"/>
        </w:rPr>
        <w:t>glycolinker</w:t>
      </w:r>
      <w:proofErr w:type="spellEnd"/>
      <w:r>
        <w:rPr>
          <w:rFonts w:cs="TimesNewRoman"/>
          <w:lang w:val="en-US"/>
        </w:rPr>
        <w:t xml:space="preserve"> to the amino acid Thr134 rather than chemically to the terminal methionine, referred to as </w:t>
      </w:r>
      <w:r w:rsidR="00F26F05">
        <w:rPr>
          <w:rFonts w:cs="TimesNewRoman"/>
          <w:lang w:val="en-US"/>
        </w:rPr>
        <w:t>‘</w:t>
      </w:r>
      <w:proofErr w:type="spellStart"/>
      <w:r>
        <w:rPr>
          <w:rFonts w:cs="TimesNewRoman"/>
          <w:lang w:val="en-US"/>
        </w:rPr>
        <w:t>glycoPEGylation</w:t>
      </w:r>
      <w:proofErr w:type="spellEnd"/>
      <w:r w:rsidR="00F26F05">
        <w:rPr>
          <w:rFonts w:cs="TimesNewRoman"/>
          <w:lang w:val="en-US"/>
        </w:rPr>
        <w:t>’</w:t>
      </w:r>
      <w:r>
        <w:rPr>
          <w:rFonts w:cs="TimesNewRoman"/>
          <w:lang w:val="en-US"/>
        </w:rPr>
        <w:t xml:space="preserve">. </w:t>
      </w:r>
      <w:proofErr w:type="spellStart"/>
      <w:r>
        <w:rPr>
          <w:rFonts w:cs="TimesNewRoman"/>
          <w:lang w:val="en-US"/>
        </w:rPr>
        <w:t>Lipegfilgrastim</w:t>
      </w:r>
      <w:proofErr w:type="spellEnd"/>
      <w:r>
        <w:rPr>
          <w:rFonts w:cs="TimesNewRoman"/>
          <w:lang w:val="en-US"/>
        </w:rPr>
        <w:t xml:space="preserve"> is thus a structurally distinct molecule to </w:t>
      </w:r>
      <w:proofErr w:type="spellStart"/>
      <w:proofErr w:type="gramStart"/>
      <w:r>
        <w:rPr>
          <w:rFonts w:cs="TimesNewRoman"/>
          <w:lang w:val="en-US"/>
        </w:rPr>
        <w:t>pegfilgrastim</w:t>
      </w:r>
      <w:proofErr w:type="spellEnd"/>
      <w:r>
        <w:rPr>
          <w:rFonts w:cs="TimesNewRoman"/>
          <w:lang w:val="en-US"/>
        </w:rPr>
        <w:t>,</w:t>
      </w:r>
      <w:proofErr w:type="gramEnd"/>
      <w:r>
        <w:rPr>
          <w:rFonts w:cs="TimesNewRoman"/>
          <w:lang w:val="en-US"/>
        </w:rPr>
        <w:t xml:space="preserve"> however it</w:t>
      </w:r>
      <w:r>
        <w:rPr>
          <w:lang w:val="en-US"/>
        </w:rPr>
        <w:t xml:space="preserve"> binds to human the G-CSF receptor like </w:t>
      </w:r>
      <w:proofErr w:type="spellStart"/>
      <w:r>
        <w:rPr>
          <w:lang w:val="en-US"/>
        </w:rPr>
        <w:t>filgrastim</w:t>
      </w:r>
      <w:proofErr w:type="spellEnd"/>
      <w:r>
        <w:rPr>
          <w:lang w:val="en-US"/>
        </w:rPr>
        <w:t xml:space="preserve"> and </w:t>
      </w:r>
      <w:proofErr w:type="spellStart"/>
      <w:r>
        <w:rPr>
          <w:lang w:val="en-US"/>
        </w:rPr>
        <w:t>pegfilgrastim</w:t>
      </w:r>
      <w:proofErr w:type="spellEnd"/>
      <w:r>
        <w:rPr>
          <w:lang w:val="en-US"/>
        </w:rPr>
        <w:t>.</w:t>
      </w:r>
    </w:p>
    <w:p w:rsidR="00605AD4" w:rsidRDefault="00605AD4" w:rsidP="00605AD4">
      <w:pPr>
        <w:pStyle w:val="Heading4"/>
      </w:pPr>
      <w:r w:rsidRPr="00605AD4">
        <w:t>Guidance</w:t>
      </w:r>
    </w:p>
    <w:p w:rsidR="00F26F05" w:rsidRDefault="00660BC2" w:rsidP="00191BC5">
      <w:r w:rsidRPr="003365C8">
        <w:rPr>
          <w:rFonts w:cs="Arial"/>
          <w:color w:val="000000"/>
          <w:lang w:val="en-US"/>
        </w:rPr>
        <w:t xml:space="preserve">The relevant </w:t>
      </w:r>
      <w:r w:rsidR="00F26F05" w:rsidRPr="003365C8">
        <w:rPr>
          <w:rFonts w:cs="Arial"/>
          <w:color w:val="000000"/>
          <w:lang w:val="en-US"/>
        </w:rPr>
        <w:t>European Union</w:t>
      </w:r>
      <w:r w:rsidRPr="003365C8">
        <w:rPr>
          <w:rFonts w:cs="Arial"/>
          <w:color w:val="000000"/>
          <w:lang w:val="en-US"/>
        </w:rPr>
        <w:t xml:space="preserve"> </w:t>
      </w:r>
      <w:r w:rsidR="0045520D" w:rsidRPr="003365C8">
        <w:rPr>
          <w:rFonts w:cs="Arial"/>
          <w:color w:val="000000"/>
          <w:lang w:val="en-US"/>
        </w:rPr>
        <w:t xml:space="preserve">(EU) </w:t>
      </w:r>
      <w:r w:rsidRPr="003365C8">
        <w:rPr>
          <w:rFonts w:cs="Arial"/>
          <w:color w:val="000000"/>
          <w:lang w:val="en-US"/>
        </w:rPr>
        <w:t xml:space="preserve">Guideline </w:t>
      </w:r>
      <w:r w:rsidR="00F26F05" w:rsidRPr="003365C8">
        <w:t>which has been</w:t>
      </w:r>
      <w:r w:rsidRPr="003365C8">
        <w:t xml:space="preserve"> adopted by the TGA </w:t>
      </w:r>
      <w:r w:rsidR="00F26F05" w:rsidRPr="003365C8">
        <w:t xml:space="preserve">is the Committee for Medicinal Products for Human Use (CHMP) </w:t>
      </w:r>
      <w:r w:rsidR="00F26F05" w:rsidRPr="003365C8">
        <w:rPr>
          <w:i/>
        </w:rPr>
        <w:t xml:space="preserve">Guideline on Clinical Trials with haematopoietic growth factors for the prophylaxis of infection following </w:t>
      </w:r>
      <w:proofErr w:type="spellStart"/>
      <w:r w:rsidR="00F26F05" w:rsidRPr="003365C8">
        <w:rPr>
          <w:i/>
        </w:rPr>
        <w:t>myelosupressive</w:t>
      </w:r>
      <w:proofErr w:type="spellEnd"/>
      <w:r w:rsidR="00F26F05" w:rsidRPr="00F26F05">
        <w:rPr>
          <w:i/>
        </w:rPr>
        <w:t xml:space="preserve"> or </w:t>
      </w:r>
      <w:proofErr w:type="spellStart"/>
      <w:r w:rsidR="00F26F05" w:rsidRPr="00F26F05">
        <w:rPr>
          <w:i/>
        </w:rPr>
        <w:t>myeloablative</w:t>
      </w:r>
      <w:proofErr w:type="spellEnd"/>
      <w:r w:rsidR="00F26F05" w:rsidRPr="00F26F05">
        <w:rPr>
          <w:i/>
        </w:rPr>
        <w:t xml:space="preserve"> therapy</w:t>
      </w:r>
      <w:r w:rsidR="00F26F05">
        <w:t>;</w:t>
      </w:r>
      <w:r w:rsidR="00F26F05" w:rsidRPr="00F26F05">
        <w:t xml:space="preserve"> </w:t>
      </w:r>
      <w:r w:rsidR="00F26F05" w:rsidRPr="00F26F05">
        <w:rPr>
          <w:rFonts w:hint="eastAsia"/>
        </w:rPr>
        <w:t>London, 22 March 2007Doc. Ref. EMEA/CPMP/555/95 Rev. 1</w:t>
      </w:r>
    </w:p>
    <w:p w:rsidR="00B56A57" w:rsidRDefault="00F26F05" w:rsidP="00F26F05">
      <w:r w:rsidRPr="00F26F05">
        <w:t>Specifically referred to in evaluation and interpretation of the clinical trial data was Section 7</w:t>
      </w:r>
      <w:r>
        <w:t xml:space="preserve"> from this guideline</w:t>
      </w:r>
      <w:r w:rsidR="00B56A57">
        <w:t>;</w:t>
      </w:r>
    </w:p>
    <w:p w:rsidR="008C5E81" w:rsidRDefault="00F26F05" w:rsidP="008C5E81">
      <w:pPr>
        <w:ind w:left="720"/>
        <w:rPr>
          <w:i/>
        </w:rPr>
      </w:pPr>
      <w:proofErr w:type="spellStart"/>
      <w:r w:rsidRPr="00F26F05">
        <w:rPr>
          <w:rFonts w:hint="eastAsia"/>
          <w:i/>
        </w:rPr>
        <w:t>Pegylated</w:t>
      </w:r>
      <w:proofErr w:type="spellEnd"/>
      <w:r w:rsidRPr="00F26F05">
        <w:rPr>
          <w:rFonts w:hint="eastAsia"/>
          <w:i/>
        </w:rPr>
        <w:t xml:space="preserve"> products should be evaluated using, double blind, randomised, controlled trials in the patient population and compare weight based and/or fixed doses of </w:t>
      </w:r>
      <w:proofErr w:type="spellStart"/>
      <w:r w:rsidRPr="00F26F05">
        <w:rPr>
          <w:rFonts w:hint="eastAsia"/>
          <w:i/>
        </w:rPr>
        <w:t>pegylated</w:t>
      </w:r>
      <w:proofErr w:type="spellEnd"/>
      <w:r w:rsidRPr="00F26F05">
        <w:rPr>
          <w:rFonts w:hint="eastAsia"/>
          <w:i/>
        </w:rPr>
        <w:t xml:space="preserve"> versus non-</w:t>
      </w:r>
      <w:proofErr w:type="spellStart"/>
      <w:r w:rsidRPr="00F26F05">
        <w:rPr>
          <w:rFonts w:hint="eastAsia"/>
          <w:i/>
        </w:rPr>
        <w:t>pegylated</w:t>
      </w:r>
      <w:proofErr w:type="spellEnd"/>
      <w:r w:rsidRPr="00F26F05">
        <w:rPr>
          <w:rFonts w:hint="eastAsia"/>
          <w:i/>
        </w:rPr>
        <w:t xml:space="preserve"> products. These should demonstrate non-inferiority with the comparator. Trial design should also take into account the incidence of febrile neutropenia. An appropriate primary </w:t>
      </w:r>
      <w:proofErr w:type="gramStart"/>
      <w:r w:rsidRPr="00F26F05">
        <w:rPr>
          <w:rFonts w:hint="eastAsia"/>
          <w:i/>
        </w:rPr>
        <w:t>endpoint ..</w:t>
      </w:r>
      <w:proofErr w:type="gramEnd"/>
      <w:r w:rsidRPr="00F26F05">
        <w:rPr>
          <w:rFonts w:hint="eastAsia"/>
          <w:i/>
        </w:rPr>
        <w:t xml:space="preserve"> </w:t>
      </w:r>
      <w:proofErr w:type="gramStart"/>
      <w:r w:rsidRPr="00F26F05">
        <w:rPr>
          <w:rFonts w:hint="eastAsia"/>
          <w:i/>
        </w:rPr>
        <w:t>would</w:t>
      </w:r>
      <w:proofErr w:type="gramEnd"/>
      <w:r w:rsidRPr="00F26F05">
        <w:rPr>
          <w:rFonts w:hint="eastAsia"/>
          <w:i/>
        </w:rPr>
        <w:t xml:space="preserve"> include duration of severe neutropenia</w:t>
      </w:r>
      <w:r w:rsidR="008C5E81">
        <w:rPr>
          <w:i/>
        </w:rPr>
        <w:t>.</w:t>
      </w:r>
    </w:p>
    <w:p w:rsidR="00660BC2" w:rsidRDefault="00660BC2" w:rsidP="00191BC5">
      <w:pPr>
        <w:rPr>
          <w:color w:val="000000"/>
          <w:lang w:val="en-US"/>
        </w:rPr>
      </w:pPr>
      <w:r>
        <w:rPr>
          <w:lang w:val="en-US"/>
        </w:rPr>
        <w:t>The guidance from Compliance with Good Clinical Practices as described in International Conference on Harmoni</w:t>
      </w:r>
      <w:r w:rsidR="0045520D">
        <w:rPr>
          <w:lang w:val="en-US"/>
        </w:rPr>
        <w:t>z</w:t>
      </w:r>
      <w:r>
        <w:rPr>
          <w:lang w:val="en-US"/>
        </w:rPr>
        <w:t>ation (ICH) E6 (1996),</w:t>
      </w:r>
      <w:r>
        <w:rPr>
          <w:color w:val="000000"/>
          <w:lang w:val="en-US"/>
        </w:rPr>
        <w:t xml:space="preserve"> under the principles of the Declaration of Helsinki, and in accordance with any regional regulations was referred to for the two Phase III studies.</w:t>
      </w:r>
    </w:p>
    <w:p w:rsidR="00605AD4" w:rsidRDefault="00605AD4" w:rsidP="00605AD4">
      <w:pPr>
        <w:pStyle w:val="Heading4"/>
      </w:pPr>
      <w:r w:rsidRPr="00605AD4">
        <w:t>Contents of the clinical dossier</w:t>
      </w:r>
    </w:p>
    <w:p w:rsidR="00660BC2" w:rsidRDefault="00660BC2" w:rsidP="00F26F05">
      <w:pPr>
        <w:pStyle w:val="Heading5"/>
      </w:pPr>
      <w:bookmarkStart w:id="77" w:name="_Toc414348834"/>
      <w:bookmarkStart w:id="78" w:name="_Toc290846234"/>
      <w:r>
        <w:t xml:space="preserve">Scope of the </w:t>
      </w:r>
      <w:r w:rsidRPr="00F26F05">
        <w:t>clinical</w:t>
      </w:r>
      <w:r>
        <w:t xml:space="preserve"> dossier</w:t>
      </w:r>
      <w:bookmarkEnd w:id="77"/>
      <w:bookmarkEnd w:id="78"/>
    </w:p>
    <w:p w:rsidR="00660BC2" w:rsidRDefault="00660BC2" w:rsidP="00191BC5">
      <w:pPr>
        <w:rPr>
          <w:lang w:val="en-US"/>
        </w:rPr>
      </w:pPr>
      <w:r>
        <w:rPr>
          <w:lang w:val="en-US"/>
        </w:rPr>
        <w:t xml:space="preserve">The data provided </w:t>
      </w:r>
      <w:r w:rsidR="0045520D">
        <w:rPr>
          <w:lang w:val="en-US"/>
        </w:rPr>
        <w:t>in this submission</w:t>
      </w:r>
      <w:r>
        <w:rPr>
          <w:lang w:val="en-US"/>
        </w:rPr>
        <w:t xml:space="preserve"> is identical to the updated and approved </w:t>
      </w:r>
      <w:r w:rsidR="0045520D">
        <w:rPr>
          <w:lang w:val="en-US"/>
        </w:rPr>
        <w:t>EU</w:t>
      </w:r>
      <w:r>
        <w:rPr>
          <w:lang w:val="en-US"/>
        </w:rPr>
        <w:t xml:space="preserve"> dossier. The only differences being minor amendments made following a pre-submission meeting with the TGA</w:t>
      </w:r>
      <w:r w:rsidR="0045520D">
        <w:rPr>
          <w:lang w:val="en-US"/>
        </w:rPr>
        <w:t>.</w:t>
      </w:r>
      <w:r>
        <w:rPr>
          <w:lang w:val="en-US"/>
        </w:rPr>
        <w:t xml:space="preserve"> </w:t>
      </w:r>
      <w:r w:rsidR="0045520D">
        <w:rPr>
          <w:lang w:val="en-US"/>
        </w:rPr>
        <w:t>T</w:t>
      </w:r>
      <w:r>
        <w:rPr>
          <w:lang w:val="en-US"/>
        </w:rPr>
        <w:t xml:space="preserve">hese issues include concerns over </w:t>
      </w:r>
      <w:r w:rsidR="0045520D">
        <w:rPr>
          <w:lang w:val="en-US"/>
        </w:rPr>
        <w:t>Good Manufacturing Sites (</w:t>
      </w:r>
      <w:r>
        <w:rPr>
          <w:lang w:val="en-US"/>
        </w:rPr>
        <w:t>GMP</w:t>
      </w:r>
      <w:r w:rsidR="0045520D">
        <w:rPr>
          <w:lang w:val="en-US"/>
        </w:rPr>
        <w:t>)</w:t>
      </w:r>
      <w:r>
        <w:rPr>
          <w:lang w:val="en-US"/>
        </w:rPr>
        <w:t xml:space="preserve"> sites, pre</w:t>
      </w:r>
      <w:r w:rsidR="0045520D">
        <w:rPr>
          <w:lang w:val="en-US"/>
        </w:rPr>
        <w:t>-</w:t>
      </w:r>
      <w:r>
        <w:rPr>
          <w:lang w:val="en-US"/>
        </w:rPr>
        <w:t>submission final meeting minutes and patient narratives for deaths which have now been provided.</w:t>
      </w:r>
    </w:p>
    <w:p w:rsidR="00660BC2" w:rsidRDefault="00660BC2" w:rsidP="00660BC2">
      <w:pPr>
        <w:rPr>
          <w:kern w:val="16"/>
          <w:szCs w:val="24"/>
        </w:rPr>
      </w:pPr>
      <w:r>
        <w:t>The submission contained the following clinical information:</w:t>
      </w:r>
    </w:p>
    <w:p w:rsidR="00660BC2" w:rsidRPr="0045520D" w:rsidRDefault="00660BC2" w:rsidP="0045520D">
      <w:pPr>
        <w:pStyle w:val="ListBullet"/>
      </w:pPr>
      <w:r w:rsidRPr="0045520D">
        <w:t xml:space="preserve">Literature references which varied from topics of ‘back and neck pain’ in children with cancer, to </w:t>
      </w:r>
      <w:r w:rsidR="00FD2193">
        <w:t>G-CSF</w:t>
      </w:r>
      <w:r w:rsidRPr="0045520D">
        <w:t xml:space="preserve"> given in patients with sickle cell disease, and were used as supporting evidence in the submission.</w:t>
      </w:r>
    </w:p>
    <w:p w:rsidR="00660BC2" w:rsidRPr="0045520D" w:rsidRDefault="00660BC2" w:rsidP="0045520D">
      <w:pPr>
        <w:pStyle w:val="ListBullet"/>
      </w:pPr>
      <w:proofErr w:type="spellStart"/>
      <w:r w:rsidRPr="0045520D">
        <w:t>Bioanalytic</w:t>
      </w:r>
      <w:proofErr w:type="spellEnd"/>
      <w:r w:rsidRPr="0045520D">
        <w:t xml:space="preserve"> data, human pharmacokinetic studies (XM22-01,05, 06) in healthy patients and efficacy and safety studies in patients (XM22-02,03,04), population PK/PD for XM22 in healthy and oncology subjects, statistical tables, an integrated summary for safety, efficacy and </w:t>
      </w:r>
      <w:r w:rsidR="0045520D">
        <w:t>Risk Management Plan (</w:t>
      </w:r>
      <w:r w:rsidRPr="0045520D">
        <w:t>RMP</w:t>
      </w:r>
      <w:r w:rsidR="0045520D">
        <w:t>)</w:t>
      </w:r>
      <w:r w:rsidRPr="0045520D">
        <w:t xml:space="preserve"> and two 6 month </w:t>
      </w:r>
      <w:r w:rsidR="0045520D">
        <w:t>Periodic Safety Update Reports (</w:t>
      </w:r>
      <w:r w:rsidRPr="0045520D">
        <w:t>PSURs</w:t>
      </w:r>
      <w:r w:rsidR="0045520D">
        <w:t>)</w:t>
      </w:r>
      <w:r w:rsidRPr="0045520D">
        <w:t xml:space="preserve"> from July 2013 to June 2014.</w:t>
      </w:r>
    </w:p>
    <w:p w:rsidR="00660BC2" w:rsidRDefault="00660BC2" w:rsidP="0045520D">
      <w:pPr>
        <w:pStyle w:val="ListBullet"/>
        <w:numPr>
          <w:ilvl w:val="0"/>
          <w:numId w:val="0"/>
        </w:numPr>
      </w:pPr>
      <w:r>
        <w:t xml:space="preserve">The following studies </w:t>
      </w:r>
      <w:r w:rsidR="0045520D">
        <w:t>were</w:t>
      </w:r>
      <w:r>
        <w:t xml:space="preserve"> evaluat</w:t>
      </w:r>
      <w:r w:rsidR="0045520D">
        <w:t>ed</w:t>
      </w:r>
      <w:r>
        <w:t>:</w:t>
      </w:r>
    </w:p>
    <w:p w:rsidR="00660BC2" w:rsidRPr="0045520D" w:rsidRDefault="00660BC2" w:rsidP="00191BC5">
      <w:pPr>
        <w:pStyle w:val="Bullet2"/>
        <w:numPr>
          <w:ilvl w:val="0"/>
          <w:numId w:val="0"/>
        </w:numPr>
        <w:tabs>
          <w:tab w:val="left" w:pos="720"/>
        </w:tabs>
        <w:ind w:left="567" w:hanging="283"/>
        <w:rPr>
          <w:i/>
        </w:rPr>
      </w:pPr>
      <w:r w:rsidRPr="0045520D">
        <w:rPr>
          <w:i/>
        </w:rPr>
        <w:t>Phase I studies of PK, PD and safety</w:t>
      </w:r>
    </w:p>
    <w:p w:rsidR="00660BC2" w:rsidRDefault="00660BC2" w:rsidP="00191BC5">
      <w:pPr>
        <w:pStyle w:val="ListBullet2"/>
      </w:pPr>
      <w:r>
        <w:t>XM22-01-CH</w:t>
      </w:r>
      <w:r w:rsidR="0045520D">
        <w:t>. D</w:t>
      </w:r>
      <w:r>
        <w:t>ose escalation study in healthy subjects</w:t>
      </w:r>
    </w:p>
    <w:p w:rsidR="00660BC2" w:rsidRDefault="00660BC2" w:rsidP="00191BC5">
      <w:pPr>
        <w:pStyle w:val="ListBullet2"/>
      </w:pPr>
      <w:r>
        <w:lastRenderedPageBreak/>
        <w:t>XM-22-05-CH</w:t>
      </w:r>
      <w:r w:rsidR="0045520D">
        <w:t>. S</w:t>
      </w:r>
      <w:r>
        <w:t>ingle dose parallel group study in healthy subjects</w:t>
      </w:r>
    </w:p>
    <w:p w:rsidR="00660BC2" w:rsidRDefault="00660BC2" w:rsidP="00191BC5">
      <w:pPr>
        <w:pStyle w:val="ListBullet2"/>
      </w:pPr>
      <w:r>
        <w:t>XM22-06</w:t>
      </w:r>
      <w:r w:rsidR="0045520D">
        <w:t>. O</w:t>
      </w:r>
      <w:r>
        <w:t>pen label three-way crossover study in healthy subjects</w:t>
      </w:r>
    </w:p>
    <w:p w:rsidR="00660BC2" w:rsidRPr="0045520D" w:rsidRDefault="00660BC2" w:rsidP="00191BC5">
      <w:pPr>
        <w:pStyle w:val="Bullet2"/>
        <w:numPr>
          <w:ilvl w:val="0"/>
          <w:numId w:val="0"/>
        </w:numPr>
        <w:tabs>
          <w:tab w:val="left" w:pos="720"/>
        </w:tabs>
        <w:ind w:left="567" w:hanging="283"/>
        <w:rPr>
          <w:i/>
        </w:rPr>
      </w:pPr>
      <w:r w:rsidRPr="0045520D">
        <w:rPr>
          <w:i/>
        </w:rPr>
        <w:t>Phase II study of efficacy, PK, PD and safety, dose-finding study</w:t>
      </w:r>
    </w:p>
    <w:p w:rsidR="00660BC2" w:rsidRDefault="00660BC2" w:rsidP="00191BC5">
      <w:pPr>
        <w:pStyle w:val="ListBullet2"/>
      </w:pPr>
      <w:r>
        <w:t>XM22-02-INT</w:t>
      </w:r>
      <w:r w:rsidR="0045520D">
        <w:t>. R</w:t>
      </w:r>
      <w:r>
        <w:t xml:space="preserve">andomised double-blind parallel group active-controlled dose-finding study in patients with </w:t>
      </w:r>
      <w:r w:rsidR="0045520D">
        <w:t>S</w:t>
      </w:r>
      <w:r>
        <w:t>tage II, III or IV breast cancer receiving doxorubicin/docetaxel for 4 cycles.</w:t>
      </w:r>
    </w:p>
    <w:p w:rsidR="00660BC2" w:rsidRPr="0045520D" w:rsidRDefault="00660BC2" w:rsidP="00191BC5">
      <w:pPr>
        <w:pStyle w:val="Bullet2"/>
        <w:numPr>
          <w:ilvl w:val="0"/>
          <w:numId w:val="0"/>
        </w:numPr>
        <w:tabs>
          <w:tab w:val="left" w:pos="720"/>
        </w:tabs>
        <w:ind w:left="567" w:hanging="283"/>
        <w:rPr>
          <w:i/>
        </w:rPr>
      </w:pPr>
      <w:r w:rsidRPr="0045520D">
        <w:rPr>
          <w:i/>
        </w:rPr>
        <w:t>Phase III studies of efficacy, PK, PD and safety</w:t>
      </w:r>
    </w:p>
    <w:p w:rsidR="00660BC2" w:rsidRDefault="00660BC2" w:rsidP="00191BC5">
      <w:pPr>
        <w:pStyle w:val="ListBullet2"/>
      </w:pPr>
      <w:r>
        <w:t>XM22-03</w:t>
      </w:r>
      <w:r w:rsidR="0045520D">
        <w:t>.</w:t>
      </w:r>
      <w:r>
        <w:t xml:space="preserve"> Non-inferiority study: randomised double-blind parallel-group active controlled study in patients with high risk </w:t>
      </w:r>
      <w:r w:rsidR="0045520D">
        <w:t>S</w:t>
      </w:r>
      <w:r>
        <w:t xml:space="preserve">tage II, III or IV breast cancer scheduled to receive </w:t>
      </w:r>
      <w:r w:rsidR="0045520D">
        <w:t>IV doxorubicin/</w:t>
      </w:r>
      <w:r>
        <w:t>docetaxel as routine chemotherapy for 4 cycles. Comparison of 6</w:t>
      </w:r>
      <w:r w:rsidR="0045520D">
        <w:t xml:space="preserve"> </w:t>
      </w:r>
      <w:r>
        <w:t xml:space="preserve">mg </w:t>
      </w:r>
      <w:proofErr w:type="spellStart"/>
      <w:r>
        <w:t>Lonquex</w:t>
      </w:r>
      <w:proofErr w:type="spellEnd"/>
      <w:r>
        <w:t xml:space="preserve"> v</w:t>
      </w:r>
      <w:r w:rsidR="0045520D">
        <w:t>ersu</w:t>
      </w:r>
      <w:r>
        <w:t>s 6</w:t>
      </w:r>
      <w:r w:rsidR="0045520D">
        <w:t xml:space="preserve"> </w:t>
      </w:r>
      <w:r>
        <w:t xml:space="preserve">mg </w:t>
      </w:r>
      <w:proofErr w:type="spellStart"/>
      <w:r>
        <w:t>pegfilgrastim</w:t>
      </w:r>
      <w:proofErr w:type="spellEnd"/>
      <w:r>
        <w:t xml:space="preserve"> on </w:t>
      </w:r>
      <w:r w:rsidR="0045520D">
        <w:t>D</w:t>
      </w:r>
      <w:r>
        <w:t>ay 2 of each cycle</w:t>
      </w:r>
      <w:r w:rsidR="0045520D">
        <w:t>.</w:t>
      </w:r>
    </w:p>
    <w:p w:rsidR="00660BC2" w:rsidRDefault="00660BC2" w:rsidP="0045520D">
      <w:pPr>
        <w:pStyle w:val="ListBullet2"/>
      </w:pPr>
      <w:r>
        <w:t>XM22-04</w:t>
      </w:r>
      <w:r w:rsidR="0045520D">
        <w:t>.</w:t>
      </w:r>
      <w:r>
        <w:t xml:space="preserve"> Superiority study: randomised double-blind parallel-group placebo-con</w:t>
      </w:r>
      <w:r w:rsidR="0045520D">
        <w:t xml:space="preserve">trolled study in Patients with </w:t>
      </w:r>
      <w:r w:rsidR="0045520D" w:rsidRPr="0045520D">
        <w:t>S</w:t>
      </w:r>
      <w:r w:rsidRPr="0045520D">
        <w:t xml:space="preserve">tage </w:t>
      </w:r>
      <w:proofErr w:type="spellStart"/>
      <w:r w:rsidRPr="0045520D">
        <w:t>IIIb</w:t>
      </w:r>
      <w:proofErr w:type="spellEnd"/>
      <w:r w:rsidRPr="0045520D">
        <w:t xml:space="preserve">/IV non-small cell lung cancer scheduled to receive </w:t>
      </w:r>
      <w:r w:rsidR="0045520D" w:rsidRPr="0045520D">
        <w:t>IV</w:t>
      </w:r>
      <w:r w:rsidRPr="0045520D">
        <w:t xml:space="preserve"> cisplatin/etoposide </w:t>
      </w:r>
      <w:r w:rsidR="0045520D" w:rsidRPr="0045520D">
        <w:t>cyclophosphamide (</w:t>
      </w:r>
      <w:r w:rsidRPr="0045520D">
        <w:t>CTX</w:t>
      </w:r>
      <w:r w:rsidR="0045520D" w:rsidRPr="0045520D">
        <w:t>)</w:t>
      </w:r>
      <w:r w:rsidRPr="0045520D">
        <w:t xml:space="preserve"> for</w:t>
      </w:r>
      <w:r>
        <w:t xml:space="preserve"> 4 cycles. Comparison of single injection of 6mg </w:t>
      </w:r>
      <w:proofErr w:type="spellStart"/>
      <w:r>
        <w:t>Lonquex</w:t>
      </w:r>
      <w:proofErr w:type="spellEnd"/>
      <w:r>
        <w:t xml:space="preserve"> v</w:t>
      </w:r>
      <w:r w:rsidR="0045520D">
        <w:t>ersus</w:t>
      </w:r>
      <w:r>
        <w:t xml:space="preserve"> placebo on </w:t>
      </w:r>
      <w:r w:rsidR="0045520D">
        <w:t>D</w:t>
      </w:r>
      <w:r>
        <w:t>ay 4 of each cycle.</w:t>
      </w:r>
    </w:p>
    <w:p w:rsidR="00660BC2" w:rsidRDefault="00605AD4" w:rsidP="00127BB7">
      <w:pPr>
        <w:pStyle w:val="Heading5"/>
      </w:pPr>
      <w:r w:rsidRPr="00605AD4">
        <w:t>Paediatric data</w:t>
      </w:r>
      <w:bookmarkStart w:id="79" w:name="_Toc414348835"/>
      <w:bookmarkStart w:id="80" w:name="_Toc290846235"/>
      <w:r w:rsidR="00660BC2" w:rsidRPr="00660BC2">
        <w:t xml:space="preserve"> </w:t>
      </w:r>
      <w:bookmarkEnd w:id="79"/>
      <w:bookmarkEnd w:id="80"/>
    </w:p>
    <w:p w:rsidR="00660BC2" w:rsidRDefault="00660BC2" w:rsidP="00191BC5">
      <w:pPr>
        <w:rPr>
          <w:lang w:val="en-US"/>
        </w:rPr>
      </w:pPr>
      <w:r>
        <w:t xml:space="preserve">The submission included no </w:t>
      </w:r>
      <w:proofErr w:type="gramStart"/>
      <w:r>
        <w:t>paediatric</w:t>
      </w:r>
      <w:r w:rsidR="0005060C">
        <w:t xml:space="preserve"> </w:t>
      </w:r>
      <w:r>
        <w:t xml:space="preserve"> pharmacokinetic</w:t>
      </w:r>
      <w:proofErr w:type="gramEnd"/>
      <w:r w:rsidR="0005060C">
        <w:t xml:space="preserve">, </w:t>
      </w:r>
      <w:proofErr w:type="spellStart"/>
      <w:r>
        <w:t>pharmacodynamic</w:t>
      </w:r>
      <w:proofErr w:type="spellEnd"/>
      <w:r w:rsidR="0005060C">
        <w:t xml:space="preserve">, </w:t>
      </w:r>
      <w:r>
        <w:t>efficacy</w:t>
      </w:r>
      <w:r w:rsidR="0005060C">
        <w:t xml:space="preserve"> or </w:t>
      </w:r>
      <w:r>
        <w:t>safety data.</w:t>
      </w:r>
      <w:r w:rsidR="009801DD">
        <w:t xml:space="preserve"> </w:t>
      </w:r>
      <w:r>
        <w:rPr>
          <w:lang w:val="en-US"/>
        </w:rPr>
        <w:t>In the application form</w:t>
      </w:r>
      <w:r w:rsidR="0045520D">
        <w:rPr>
          <w:lang w:val="en-US"/>
        </w:rPr>
        <w:t xml:space="preserve"> </w:t>
      </w:r>
      <w:r>
        <w:rPr>
          <w:lang w:val="en-US"/>
        </w:rPr>
        <w:t xml:space="preserve">to the </w:t>
      </w:r>
      <w:r w:rsidR="00F26F05">
        <w:rPr>
          <w:lang w:val="en-US"/>
        </w:rPr>
        <w:t>‘</w:t>
      </w:r>
      <w:r w:rsidRPr="0045520D">
        <w:rPr>
          <w:i/>
          <w:lang w:val="en-US"/>
        </w:rPr>
        <w:t xml:space="preserve">are there are </w:t>
      </w:r>
      <w:proofErr w:type="spellStart"/>
      <w:r w:rsidRPr="0045520D">
        <w:rPr>
          <w:i/>
          <w:lang w:val="en-US"/>
        </w:rPr>
        <w:t>paediatric</w:t>
      </w:r>
      <w:proofErr w:type="spellEnd"/>
      <w:r w:rsidRPr="0045520D">
        <w:rPr>
          <w:i/>
          <w:lang w:val="en-US"/>
        </w:rPr>
        <w:t xml:space="preserve"> formulations for this product or have </w:t>
      </w:r>
      <w:proofErr w:type="spellStart"/>
      <w:r w:rsidRPr="0045520D">
        <w:rPr>
          <w:i/>
          <w:lang w:val="en-US"/>
        </w:rPr>
        <w:t>paediatric</w:t>
      </w:r>
      <w:proofErr w:type="spellEnd"/>
      <w:r w:rsidRPr="0045520D">
        <w:rPr>
          <w:i/>
          <w:lang w:val="en-US"/>
        </w:rPr>
        <w:t xml:space="preserve"> data been submitted?</w:t>
      </w:r>
      <w:r w:rsidR="00F26F05">
        <w:rPr>
          <w:lang w:val="en-US"/>
        </w:rPr>
        <w:t>’</w:t>
      </w:r>
      <w:r>
        <w:rPr>
          <w:lang w:val="en-US"/>
        </w:rPr>
        <w:t xml:space="preserve"> question the ‘no’ box is ticked. Yet to the following question </w:t>
      </w:r>
      <w:r w:rsidR="00F26F05">
        <w:rPr>
          <w:lang w:val="en-US"/>
        </w:rPr>
        <w:t>‘</w:t>
      </w:r>
      <w:r w:rsidRPr="0045520D">
        <w:rPr>
          <w:i/>
          <w:lang w:val="en-US"/>
        </w:rPr>
        <w:t xml:space="preserve">If there are no </w:t>
      </w:r>
      <w:proofErr w:type="spellStart"/>
      <w:r w:rsidRPr="0045520D">
        <w:rPr>
          <w:i/>
          <w:lang w:val="en-US"/>
        </w:rPr>
        <w:t>paediatric</w:t>
      </w:r>
      <w:proofErr w:type="spellEnd"/>
      <w:r w:rsidRPr="0045520D">
        <w:rPr>
          <w:i/>
          <w:lang w:val="en-US"/>
        </w:rPr>
        <w:t xml:space="preserve"> formulations for this product or </w:t>
      </w:r>
      <w:proofErr w:type="spellStart"/>
      <w:r w:rsidRPr="0045520D">
        <w:rPr>
          <w:i/>
          <w:lang w:val="en-US"/>
        </w:rPr>
        <w:t>paediatric</w:t>
      </w:r>
      <w:proofErr w:type="spellEnd"/>
      <w:r w:rsidRPr="0045520D">
        <w:rPr>
          <w:i/>
          <w:lang w:val="en-US"/>
        </w:rPr>
        <w:t xml:space="preserve"> data have not been submitted, is there a formal justification as to why the product is not appropriate for use in children</w:t>
      </w:r>
      <w:r>
        <w:rPr>
          <w:lang w:val="en-US"/>
        </w:rPr>
        <w:t xml:space="preserve"> </w:t>
      </w:r>
      <w:r w:rsidR="00F26F05">
        <w:rPr>
          <w:lang w:val="en-US"/>
        </w:rPr>
        <w:t>‘</w:t>
      </w:r>
      <w:r>
        <w:rPr>
          <w:lang w:val="en-US"/>
        </w:rPr>
        <w:t xml:space="preserve"> there is no selection.</w:t>
      </w:r>
    </w:p>
    <w:p w:rsidR="00660BC2" w:rsidRDefault="00660BC2" w:rsidP="00191BC5">
      <w:pPr>
        <w:rPr>
          <w:rFonts w:cs="Calibri"/>
          <w:color w:val="000000"/>
          <w:lang w:val="en-US"/>
        </w:rPr>
      </w:pPr>
      <w:r>
        <w:rPr>
          <w:rFonts w:cs="Calibri"/>
          <w:color w:val="000000"/>
          <w:lang w:val="en-US"/>
        </w:rPr>
        <w:t xml:space="preserve">In the RMP it is stated that studies with the use of </w:t>
      </w:r>
      <w:proofErr w:type="spellStart"/>
      <w:r>
        <w:rPr>
          <w:rFonts w:cs="Calibri"/>
          <w:color w:val="000000"/>
          <w:lang w:val="en-US"/>
        </w:rPr>
        <w:t>lipegfilgrastim</w:t>
      </w:r>
      <w:proofErr w:type="spellEnd"/>
      <w:r>
        <w:rPr>
          <w:rFonts w:cs="Calibri"/>
          <w:color w:val="000000"/>
          <w:lang w:val="en-US"/>
        </w:rPr>
        <w:t xml:space="preserve"> in children have been agreed and described in the </w:t>
      </w:r>
      <w:proofErr w:type="spellStart"/>
      <w:r>
        <w:rPr>
          <w:rFonts w:cs="Calibri"/>
          <w:color w:val="000000"/>
          <w:lang w:val="en-US"/>
        </w:rPr>
        <w:t>Paediatric</w:t>
      </w:r>
      <w:proofErr w:type="spellEnd"/>
      <w:r>
        <w:rPr>
          <w:rFonts w:cs="Calibri"/>
          <w:color w:val="000000"/>
          <w:lang w:val="en-US"/>
        </w:rPr>
        <w:t xml:space="preserve"> Investigation Plan</w:t>
      </w:r>
      <w:r w:rsidR="0045520D">
        <w:rPr>
          <w:rFonts w:cs="Calibri"/>
          <w:color w:val="000000"/>
          <w:lang w:val="en-US"/>
        </w:rPr>
        <w:t xml:space="preserve"> (PIP);</w:t>
      </w:r>
      <w:r>
        <w:rPr>
          <w:rFonts w:cs="Calibri"/>
          <w:color w:val="000000"/>
          <w:lang w:val="en-US"/>
        </w:rPr>
        <w:t xml:space="preserve"> these studies are Study XM22-07 and XM22-08</w:t>
      </w:r>
      <w:r w:rsidR="009801DD">
        <w:rPr>
          <w:rFonts w:cs="Calibri"/>
          <w:color w:val="000000"/>
          <w:lang w:val="en-US"/>
        </w:rPr>
        <w:t xml:space="preserve"> </w:t>
      </w:r>
      <w:r>
        <w:rPr>
          <w:rFonts w:cs="Calibri"/>
          <w:color w:val="000000"/>
          <w:lang w:val="en-US"/>
        </w:rPr>
        <w:t>(agreed in September 2011, this first of which was started in September 2012). The planned date for submission of final data is March 2018 although the first date of submission of a report conducted as part of the PIP is Nov 2014.</w:t>
      </w:r>
    </w:p>
    <w:p w:rsidR="00660BC2" w:rsidRDefault="00660BC2" w:rsidP="00191BC5">
      <w:pPr>
        <w:rPr>
          <w:rFonts w:cs="Calibri"/>
          <w:color w:val="000000"/>
          <w:lang w:val="en-US"/>
        </w:rPr>
      </w:pPr>
      <w:r>
        <w:rPr>
          <w:rFonts w:cs="Calibri"/>
          <w:color w:val="000000"/>
          <w:lang w:val="en-US"/>
        </w:rPr>
        <w:t xml:space="preserve">There is no </w:t>
      </w:r>
      <w:proofErr w:type="spellStart"/>
      <w:r>
        <w:rPr>
          <w:rFonts w:cs="Calibri"/>
          <w:color w:val="000000"/>
          <w:lang w:val="en-US"/>
        </w:rPr>
        <w:t>paediatric</w:t>
      </w:r>
      <w:proofErr w:type="spellEnd"/>
      <w:r>
        <w:rPr>
          <w:rFonts w:cs="Calibri"/>
          <w:color w:val="000000"/>
          <w:lang w:val="en-US"/>
        </w:rPr>
        <w:t xml:space="preserve"> plan submitted to the USA and no data has been submitted to the FDA.</w:t>
      </w:r>
    </w:p>
    <w:p w:rsidR="00B56A57" w:rsidRDefault="00660BC2" w:rsidP="0045520D">
      <w:pPr>
        <w:pStyle w:val="Comment"/>
      </w:pPr>
      <w:r w:rsidRPr="0045520D">
        <w:rPr>
          <w:b/>
        </w:rPr>
        <w:t>Comment</w:t>
      </w:r>
      <w:r>
        <w:t xml:space="preserve">: The </w:t>
      </w:r>
      <w:r w:rsidR="0045520D">
        <w:t>s</w:t>
      </w:r>
      <w:r>
        <w:t xml:space="preserve">ponsor is requested to provide </w:t>
      </w:r>
      <w:r w:rsidR="009F0649">
        <w:t xml:space="preserve">the PIP data from November 2014 </w:t>
      </w:r>
      <w:r w:rsidR="0045520D">
        <w:t xml:space="preserve">provided </w:t>
      </w:r>
      <w:r>
        <w:t>to the EMA</w:t>
      </w:r>
      <w:r w:rsidR="00B56A57">
        <w:t>.</w:t>
      </w:r>
    </w:p>
    <w:p w:rsidR="00660BC2" w:rsidRDefault="00660BC2" w:rsidP="00127BB7">
      <w:pPr>
        <w:pStyle w:val="Heading5"/>
      </w:pPr>
      <w:bookmarkStart w:id="81" w:name="_Toc414348836"/>
      <w:bookmarkStart w:id="82" w:name="_Toc290846236"/>
      <w:bookmarkStart w:id="83" w:name="_Toc272414612"/>
      <w:r>
        <w:t>Good clinical practice</w:t>
      </w:r>
      <w:bookmarkEnd w:id="81"/>
      <w:bookmarkEnd w:id="82"/>
      <w:bookmarkEnd w:id="83"/>
    </w:p>
    <w:p w:rsidR="00660BC2" w:rsidRDefault="00660BC2" w:rsidP="00191BC5">
      <w:pPr>
        <w:rPr>
          <w:lang w:val="en-US"/>
        </w:rPr>
      </w:pPr>
      <w:bookmarkStart w:id="84" w:name="_Toc241374282"/>
      <w:r>
        <w:t xml:space="preserve">GMP certification has been provided and the study reports for the new submitted clinical trial included assurances that it was conducted in accordance with </w:t>
      </w:r>
      <w:r>
        <w:rPr>
          <w:lang w:val="en-US"/>
        </w:rPr>
        <w:t xml:space="preserve">the International Conference on </w:t>
      </w:r>
      <w:r w:rsidR="00216F4E">
        <w:rPr>
          <w:lang w:val="en-US"/>
        </w:rPr>
        <w:t>Harmonization</w:t>
      </w:r>
      <w:r>
        <w:rPr>
          <w:lang w:val="en-US"/>
        </w:rPr>
        <w:t xml:space="preserve"> (ICH) Good Clinical Practices (GCP) guidelines and any regulations applicable in the countries where the trials were conducted. Independent ethics committees reviewed all documentation.</w:t>
      </w:r>
      <w:bookmarkEnd w:id="84"/>
    </w:p>
    <w:p w:rsidR="008E7846" w:rsidRDefault="008E7846" w:rsidP="00605AD4">
      <w:pPr>
        <w:pStyle w:val="Heading3"/>
      </w:pPr>
      <w:bookmarkStart w:id="85" w:name="_Toc445210963"/>
      <w:r w:rsidRPr="00254787">
        <w:t>Pharmacokinetics</w:t>
      </w:r>
      <w:bookmarkEnd w:id="64"/>
      <w:bookmarkEnd w:id="74"/>
      <w:bookmarkEnd w:id="75"/>
      <w:bookmarkEnd w:id="76"/>
      <w:bookmarkEnd w:id="85"/>
    </w:p>
    <w:p w:rsidR="00605AD4" w:rsidRDefault="00605AD4" w:rsidP="00605AD4">
      <w:pPr>
        <w:pStyle w:val="Heading4"/>
      </w:pPr>
      <w:r>
        <w:t xml:space="preserve">Studies providing pharmacokinetic data </w:t>
      </w:r>
    </w:p>
    <w:p w:rsidR="00660BC2" w:rsidRDefault="00660BC2" w:rsidP="00191BC5">
      <w:r>
        <w:t xml:space="preserve">A summary of the pharmacokinetic study is presented in Table </w:t>
      </w:r>
      <w:r w:rsidR="00127BB7">
        <w:t>6</w:t>
      </w:r>
      <w:r>
        <w:t xml:space="preserve"> a</w:t>
      </w:r>
      <w:r w:rsidR="0045520D">
        <w:t xml:space="preserve">nd under </w:t>
      </w:r>
      <w:r w:rsidR="0045520D" w:rsidRPr="0045520D">
        <w:rPr>
          <w:i/>
        </w:rPr>
        <w:t>Pharmacokinetics</w:t>
      </w:r>
      <w:r w:rsidR="0045520D">
        <w:t xml:space="preserve"> in Attachment 2</w:t>
      </w:r>
      <w:r>
        <w:t>.</w:t>
      </w:r>
    </w:p>
    <w:p w:rsidR="00B56A57" w:rsidRDefault="00660BC2" w:rsidP="00191BC5">
      <w:pPr>
        <w:rPr>
          <w:lang w:val="en-US"/>
        </w:rPr>
      </w:pPr>
      <w:r>
        <w:lastRenderedPageBreak/>
        <w:t xml:space="preserve">There were three Phase </w:t>
      </w:r>
      <w:r w:rsidR="0045520D">
        <w:t>I</w:t>
      </w:r>
      <w:r>
        <w:t xml:space="preserve"> studies in healthy volunteers examining pharmacokinetics</w:t>
      </w:r>
      <w:r w:rsidR="00127BB7">
        <w:t xml:space="preserve">; </w:t>
      </w:r>
      <w:r>
        <w:rPr>
          <w:lang w:val="en-US"/>
        </w:rPr>
        <w:t>XM22-01, XM22-05</w:t>
      </w:r>
      <w:r w:rsidR="00127BB7">
        <w:rPr>
          <w:lang w:val="en-US"/>
        </w:rPr>
        <w:t xml:space="preserve"> and</w:t>
      </w:r>
      <w:r>
        <w:rPr>
          <w:lang w:val="en-US"/>
        </w:rPr>
        <w:t xml:space="preserve"> XM22-06</w:t>
      </w:r>
      <w:r>
        <w:t xml:space="preserve">. </w:t>
      </w:r>
      <w:r>
        <w:rPr>
          <w:lang w:val="en-US"/>
        </w:rPr>
        <w:t xml:space="preserve">In brief, after a single </w:t>
      </w:r>
      <w:r w:rsidR="00127BB7">
        <w:rPr>
          <w:lang w:val="en-US"/>
        </w:rPr>
        <w:t>SC</w:t>
      </w:r>
      <w:r>
        <w:rPr>
          <w:lang w:val="en-US"/>
        </w:rPr>
        <w:t xml:space="preserve"> injection of 6 mg at three different sites (upper arm, abdomen and thigh) in healthy volunteers with </w:t>
      </w:r>
      <w:proofErr w:type="spellStart"/>
      <w:r>
        <w:rPr>
          <w:lang w:val="en-US"/>
        </w:rPr>
        <w:t>lipegfilgrastim</w:t>
      </w:r>
      <w:proofErr w:type="spellEnd"/>
      <w:r>
        <w:rPr>
          <w:lang w:val="en-US"/>
        </w:rPr>
        <w:t xml:space="preserve">, the maximum blood concentration was reached after a median of 30 to 36 hours and the average terminal </w:t>
      </w:r>
      <w:r w:rsidR="00127BB7">
        <w:rPr>
          <w:lang w:val="en-US"/>
        </w:rPr>
        <w:t>t</w:t>
      </w:r>
      <w:r w:rsidR="00127BB7" w:rsidRPr="00127BB7">
        <w:rPr>
          <w:vertAlign w:val="subscript"/>
          <w:lang w:val="en-US"/>
        </w:rPr>
        <w:t>1/2</w:t>
      </w:r>
      <w:r>
        <w:rPr>
          <w:lang w:val="en-US"/>
        </w:rPr>
        <w:t xml:space="preserve"> ranged from approximately 32 to 62 hours. The </w:t>
      </w:r>
      <w:proofErr w:type="spellStart"/>
      <w:r w:rsidR="00127BB7">
        <w:rPr>
          <w:lang w:val="en-US"/>
        </w:rPr>
        <w:t>C</w:t>
      </w:r>
      <w:r w:rsidR="00127BB7" w:rsidRPr="00127BB7">
        <w:rPr>
          <w:vertAlign w:val="subscript"/>
          <w:lang w:val="en-US"/>
        </w:rPr>
        <w:t>max</w:t>
      </w:r>
      <w:proofErr w:type="spellEnd"/>
      <w:r>
        <w:rPr>
          <w:lang w:val="en-US"/>
        </w:rPr>
        <w:t xml:space="preserve"> and </w:t>
      </w:r>
      <w:r w:rsidR="00127BB7">
        <w:rPr>
          <w:lang w:val="en-US"/>
        </w:rPr>
        <w:t>AUC</w:t>
      </w:r>
      <w:r>
        <w:rPr>
          <w:lang w:val="en-US"/>
        </w:rPr>
        <w:t xml:space="preserve"> w</w:t>
      </w:r>
      <w:r w:rsidR="00127BB7">
        <w:rPr>
          <w:lang w:val="en-US"/>
        </w:rPr>
        <w:t>ere</w:t>
      </w:r>
      <w:r>
        <w:rPr>
          <w:lang w:val="en-US"/>
        </w:rPr>
        <w:t xml:space="preserve"> lower after </w:t>
      </w:r>
      <w:r w:rsidR="00127BB7">
        <w:rPr>
          <w:lang w:val="en-US"/>
        </w:rPr>
        <w:t>SC</w:t>
      </w:r>
      <w:r>
        <w:rPr>
          <w:lang w:val="en-US"/>
        </w:rPr>
        <w:t xml:space="preserve"> injection in the thigh compared to </w:t>
      </w:r>
      <w:r w:rsidR="00127BB7">
        <w:rPr>
          <w:lang w:val="en-US"/>
        </w:rPr>
        <w:t>SC</w:t>
      </w:r>
      <w:r>
        <w:rPr>
          <w:lang w:val="en-US"/>
        </w:rPr>
        <w:t xml:space="preserve"> injection in the abdomen and in the upper arm</w:t>
      </w:r>
      <w:r w:rsidR="00B56A57">
        <w:rPr>
          <w:lang w:val="en-US"/>
        </w:rPr>
        <w:t>.</w:t>
      </w:r>
    </w:p>
    <w:p w:rsidR="00660BC2" w:rsidRDefault="00660BC2" w:rsidP="00191BC5">
      <w:pPr>
        <w:rPr>
          <w:lang w:val="en-US"/>
        </w:rPr>
      </w:pPr>
      <w:r>
        <w:rPr>
          <w:lang w:val="en-US"/>
        </w:rPr>
        <w:t xml:space="preserve">In the limited </w:t>
      </w:r>
      <w:r w:rsidR="00127BB7">
        <w:rPr>
          <w:lang w:val="en-US"/>
        </w:rPr>
        <w:t>S</w:t>
      </w:r>
      <w:r>
        <w:rPr>
          <w:lang w:val="en-US"/>
        </w:rPr>
        <w:t xml:space="preserve">tudy XM22-06, concentrations of </w:t>
      </w:r>
      <w:proofErr w:type="spellStart"/>
      <w:r>
        <w:rPr>
          <w:lang w:val="en-US"/>
        </w:rPr>
        <w:t>lipegfilgrastim</w:t>
      </w:r>
      <w:proofErr w:type="spellEnd"/>
      <w:r>
        <w:rPr>
          <w:lang w:val="en-US"/>
        </w:rPr>
        <w:t xml:space="preserve"> and observed differences among the injection sites were higher in males compared to female subjects however </w:t>
      </w:r>
      <w:r w:rsidR="00127BB7">
        <w:rPr>
          <w:lang w:val="en-US"/>
        </w:rPr>
        <w:t xml:space="preserve">the </w:t>
      </w:r>
      <w:r>
        <w:rPr>
          <w:lang w:val="en-US"/>
        </w:rPr>
        <w:t>pharmacodynamics were similar, independent of gender and injection site.</w:t>
      </w:r>
    </w:p>
    <w:p w:rsidR="00660BC2" w:rsidRDefault="00660BC2" w:rsidP="00191BC5">
      <w:pPr>
        <w:rPr>
          <w:lang w:val="en-US"/>
        </w:rPr>
      </w:pPr>
      <w:r>
        <w:rPr>
          <w:lang w:val="en-US"/>
        </w:rPr>
        <w:t xml:space="preserve">There was one </w:t>
      </w:r>
      <w:r w:rsidR="00127BB7">
        <w:rPr>
          <w:lang w:val="en-US"/>
        </w:rPr>
        <w:t>Phase I</w:t>
      </w:r>
      <w:r>
        <w:rPr>
          <w:lang w:val="en-US"/>
        </w:rPr>
        <w:t>I study in cancer which also had pharmacokinetic data. This was XM22-02 in wh</w:t>
      </w:r>
      <w:r w:rsidR="00127BB7">
        <w:rPr>
          <w:lang w:val="en-US"/>
        </w:rPr>
        <w:t>ich</w:t>
      </w:r>
      <w:r>
        <w:rPr>
          <w:lang w:val="en-US"/>
        </w:rPr>
        <w:t xml:space="preserve"> </w:t>
      </w:r>
      <w:r w:rsidR="00127BB7">
        <w:rPr>
          <w:lang w:val="en-US"/>
        </w:rPr>
        <w:t xml:space="preserve">breast cancer </w:t>
      </w:r>
      <w:r>
        <w:rPr>
          <w:lang w:val="en-US"/>
        </w:rPr>
        <w:t xml:space="preserve">patients received </w:t>
      </w:r>
      <w:proofErr w:type="spellStart"/>
      <w:r>
        <w:rPr>
          <w:lang w:val="en-US"/>
        </w:rPr>
        <w:t>lipegfilgrastim</w:t>
      </w:r>
      <w:proofErr w:type="spellEnd"/>
      <w:r>
        <w:rPr>
          <w:lang w:val="en-US"/>
        </w:rPr>
        <w:t xml:space="preserve"> and concurrent docetaxel or doxorubicin. Mean maximum blood concentrations of 227 and 262 ng/ml were reached after median t</w:t>
      </w:r>
      <w:r w:rsidR="00127BB7">
        <w:rPr>
          <w:lang w:val="en-US"/>
        </w:rPr>
        <w:t>imes to maximum concentration (</w:t>
      </w:r>
      <w:proofErr w:type="spellStart"/>
      <w:r w:rsidR="00127BB7">
        <w:rPr>
          <w:lang w:val="en-US"/>
        </w:rPr>
        <w:t>T</w:t>
      </w:r>
      <w:r w:rsidRPr="00127BB7">
        <w:rPr>
          <w:vertAlign w:val="subscript"/>
          <w:lang w:val="en-US"/>
        </w:rPr>
        <w:t>max</w:t>
      </w:r>
      <w:proofErr w:type="spellEnd"/>
      <w:r>
        <w:rPr>
          <w:lang w:val="en-US"/>
        </w:rPr>
        <w:t xml:space="preserve">) of 44 and 48 hours. The mean terminal half-lives were approximately 29 and 31 hours after a single </w:t>
      </w:r>
      <w:r w:rsidR="00127BB7">
        <w:rPr>
          <w:lang w:val="en-US"/>
        </w:rPr>
        <w:t>SC</w:t>
      </w:r>
      <w:r>
        <w:rPr>
          <w:lang w:val="en-US"/>
        </w:rPr>
        <w:t xml:space="preserve"> injection of 6 mg </w:t>
      </w:r>
      <w:proofErr w:type="spellStart"/>
      <w:r>
        <w:rPr>
          <w:lang w:val="en-US"/>
        </w:rPr>
        <w:t>lipegfilgrastim</w:t>
      </w:r>
      <w:proofErr w:type="spellEnd"/>
      <w:r>
        <w:rPr>
          <w:lang w:val="en-US"/>
        </w:rPr>
        <w:t xml:space="preserve"> during the first cycle of chemotherapy. After a single </w:t>
      </w:r>
      <w:r w:rsidR="00127BB7">
        <w:rPr>
          <w:lang w:val="en-US"/>
        </w:rPr>
        <w:t>SC</w:t>
      </w:r>
      <w:r>
        <w:rPr>
          <w:lang w:val="en-US"/>
        </w:rPr>
        <w:t xml:space="preserve"> injection of 6 mg </w:t>
      </w:r>
      <w:proofErr w:type="spellStart"/>
      <w:r>
        <w:rPr>
          <w:lang w:val="en-US"/>
        </w:rPr>
        <w:t>lipegfilgrastim</w:t>
      </w:r>
      <w:proofErr w:type="spellEnd"/>
      <w:r>
        <w:rPr>
          <w:lang w:val="en-US"/>
        </w:rPr>
        <w:t xml:space="preserve"> during the fourth cycle, the maximum blood concentrations were lower than observed in the first cycle (mean values 77 and 111 ng/ml) and were reached after median </w:t>
      </w:r>
      <w:proofErr w:type="spellStart"/>
      <w:r>
        <w:rPr>
          <w:lang w:val="en-US"/>
        </w:rPr>
        <w:t>t</w:t>
      </w:r>
      <w:r>
        <w:rPr>
          <w:vertAlign w:val="subscript"/>
          <w:lang w:val="en-US"/>
        </w:rPr>
        <w:t>max</w:t>
      </w:r>
      <w:proofErr w:type="spellEnd"/>
      <w:r>
        <w:rPr>
          <w:lang w:val="en-US"/>
        </w:rPr>
        <w:t xml:space="preserve"> of 8 hours. The mean terminal </w:t>
      </w:r>
      <w:r w:rsidR="00127BB7">
        <w:rPr>
          <w:lang w:val="en-US"/>
        </w:rPr>
        <w:t>t</w:t>
      </w:r>
      <w:r w:rsidR="00127BB7" w:rsidRPr="00127BB7">
        <w:rPr>
          <w:vertAlign w:val="subscript"/>
          <w:lang w:val="en-US"/>
        </w:rPr>
        <w:t>1/2</w:t>
      </w:r>
      <w:r w:rsidR="00127BB7">
        <w:rPr>
          <w:lang w:val="en-US"/>
        </w:rPr>
        <w:t xml:space="preserve"> in the fourth cycle was </w:t>
      </w:r>
      <w:r>
        <w:rPr>
          <w:lang w:val="en-US"/>
        </w:rPr>
        <w:t xml:space="preserve">longer than </w:t>
      </w:r>
      <w:r w:rsidR="00127BB7">
        <w:rPr>
          <w:lang w:val="en-US"/>
        </w:rPr>
        <w:t>in C</w:t>
      </w:r>
      <w:r>
        <w:rPr>
          <w:lang w:val="en-US"/>
        </w:rPr>
        <w:t>ycle 1, approximately 39 and 42 hours.</w:t>
      </w:r>
    </w:p>
    <w:p w:rsidR="00660BC2" w:rsidRDefault="00660BC2" w:rsidP="00191BC5">
      <w:pPr>
        <w:rPr>
          <w:lang w:val="en-US"/>
        </w:rPr>
      </w:pPr>
      <w:r>
        <w:rPr>
          <w:lang w:val="en-US"/>
        </w:rPr>
        <w:t xml:space="preserve">There was a Phase III study (XM22-04) with some pharmacokinetic data in patients with non-small cell lung cancer receiving chemotherapy consisting of cisplatin and etoposide. Here the mean maximum blood concentration </w:t>
      </w:r>
      <w:proofErr w:type="gramStart"/>
      <w:r>
        <w:rPr>
          <w:lang w:val="en-US"/>
        </w:rPr>
        <w:t>of 317 ng/ml</w:t>
      </w:r>
      <w:proofErr w:type="gramEnd"/>
      <w:r>
        <w:rPr>
          <w:lang w:val="en-US"/>
        </w:rPr>
        <w:t xml:space="preserve"> was reached after a median </w:t>
      </w:r>
      <w:proofErr w:type="spellStart"/>
      <w:r w:rsidR="00127BB7">
        <w:rPr>
          <w:lang w:val="en-US"/>
        </w:rPr>
        <w:t>T</w:t>
      </w:r>
      <w:r w:rsidRPr="00127BB7">
        <w:rPr>
          <w:vertAlign w:val="subscript"/>
          <w:lang w:val="en-US"/>
        </w:rPr>
        <w:t>max</w:t>
      </w:r>
      <w:proofErr w:type="spellEnd"/>
      <w:r>
        <w:rPr>
          <w:lang w:val="en-US"/>
        </w:rPr>
        <w:t xml:space="preserve"> of 24 hours and the mean terminal </w:t>
      </w:r>
      <w:r w:rsidR="00127BB7">
        <w:rPr>
          <w:lang w:val="en-US"/>
        </w:rPr>
        <w:t>t</w:t>
      </w:r>
      <w:r w:rsidR="00127BB7" w:rsidRPr="00127BB7">
        <w:rPr>
          <w:vertAlign w:val="subscript"/>
          <w:lang w:val="en-US"/>
        </w:rPr>
        <w:t>1/2</w:t>
      </w:r>
      <w:r>
        <w:rPr>
          <w:lang w:val="en-US"/>
        </w:rPr>
        <w:t xml:space="preserve"> was approximately 28 hours after a single </w:t>
      </w:r>
      <w:r w:rsidR="00127BB7">
        <w:rPr>
          <w:lang w:val="en-US"/>
        </w:rPr>
        <w:t>SC</w:t>
      </w:r>
      <w:r>
        <w:rPr>
          <w:lang w:val="en-US"/>
        </w:rPr>
        <w:t xml:space="preserve"> injection of 6 mg </w:t>
      </w:r>
      <w:proofErr w:type="spellStart"/>
      <w:r>
        <w:rPr>
          <w:lang w:val="en-US"/>
        </w:rPr>
        <w:t>lipegfilgrastim</w:t>
      </w:r>
      <w:proofErr w:type="spellEnd"/>
      <w:r>
        <w:rPr>
          <w:lang w:val="en-US"/>
        </w:rPr>
        <w:t xml:space="preserve"> during the first cycle of chemotherapy. After a single </w:t>
      </w:r>
      <w:r w:rsidR="00127BB7">
        <w:rPr>
          <w:lang w:val="en-US"/>
        </w:rPr>
        <w:t>SC</w:t>
      </w:r>
      <w:r>
        <w:rPr>
          <w:lang w:val="en-US"/>
        </w:rPr>
        <w:t xml:space="preserve"> injection of 6 mg </w:t>
      </w:r>
      <w:proofErr w:type="spellStart"/>
      <w:r>
        <w:rPr>
          <w:lang w:val="en-US"/>
        </w:rPr>
        <w:t>lipegfilgrastim</w:t>
      </w:r>
      <w:proofErr w:type="spellEnd"/>
      <w:r>
        <w:rPr>
          <w:lang w:val="en-US"/>
        </w:rPr>
        <w:t xml:space="preserve"> during the fourth cycle, the mean maximum blood concentration </w:t>
      </w:r>
      <w:proofErr w:type="gramStart"/>
      <w:r>
        <w:rPr>
          <w:lang w:val="en-US"/>
        </w:rPr>
        <w:t>of 149 ng/ml</w:t>
      </w:r>
      <w:proofErr w:type="gramEnd"/>
      <w:r>
        <w:rPr>
          <w:lang w:val="en-US"/>
        </w:rPr>
        <w:t xml:space="preserve"> was reached after a median </w:t>
      </w:r>
      <w:proofErr w:type="spellStart"/>
      <w:r w:rsidR="00127BB7">
        <w:rPr>
          <w:lang w:val="en-US"/>
        </w:rPr>
        <w:t>T</w:t>
      </w:r>
      <w:r w:rsidRPr="00127BB7">
        <w:rPr>
          <w:vertAlign w:val="subscript"/>
          <w:lang w:val="en-US"/>
        </w:rPr>
        <w:t>max</w:t>
      </w:r>
      <w:proofErr w:type="spellEnd"/>
      <w:r>
        <w:rPr>
          <w:lang w:val="en-US"/>
        </w:rPr>
        <w:t xml:space="preserve"> of 8 hours and the mean terminal </w:t>
      </w:r>
      <w:r w:rsidR="00127BB7">
        <w:rPr>
          <w:lang w:val="en-US"/>
        </w:rPr>
        <w:t>t</w:t>
      </w:r>
      <w:r w:rsidR="00127BB7" w:rsidRPr="00127BB7">
        <w:rPr>
          <w:vertAlign w:val="subscript"/>
          <w:lang w:val="en-US"/>
        </w:rPr>
        <w:t>1/2</w:t>
      </w:r>
      <w:r w:rsidR="00127BB7">
        <w:rPr>
          <w:vertAlign w:val="subscript"/>
          <w:lang w:val="en-US"/>
        </w:rPr>
        <w:t xml:space="preserve"> </w:t>
      </w:r>
      <w:r>
        <w:rPr>
          <w:lang w:val="en-US"/>
        </w:rPr>
        <w:t>was approximately 34 hours.</w:t>
      </w:r>
    </w:p>
    <w:p w:rsidR="00660BC2" w:rsidRDefault="00660BC2" w:rsidP="00127BB7">
      <w:pPr>
        <w:pStyle w:val="TableTitle"/>
        <w:rPr>
          <w:kern w:val="16"/>
          <w:szCs w:val="24"/>
        </w:rPr>
      </w:pPr>
      <w:bookmarkStart w:id="86" w:name="_Toc414348950"/>
      <w:bookmarkStart w:id="87" w:name="_Toc276472905"/>
      <w:proofErr w:type="gramStart"/>
      <w:r>
        <w:t>Table</w:t>
      </w:r>
      <w:r w:rsidR="00127BB7">
        <w:t xml:space="preserve"> 6:</w:t>
      </w:r>
      <w:r>
        <w:t xml:space="preserve"> Submitted pharmacokinetic studies.</w:t>
      </w:r>
      <w:bookmarkEnd w:id="86"/>
      <w:bookmarkEnd w:id="87"/>
      <w:proofErr w:type="gramEnd"/>
    </w:p>
    <w:tbl>
      <w:tblPr>
        <w:tblStyle w:val="TableTGAblue1"/>
        <w:tblW w:w="8897" w:type="dxa"/>
        <w:tblInd w:w="0" w:type="dxa"/>
        <w:tblLayout w:type="fixed"/>
        <w:tblLook w:val="04A0" w:firstRow="1" w:lastRow="0" w:firstColumn="1" w:lastColumn="0" w:noHBand="0" w:noVBand="1"/>
      </w:tblPr>
      <w:tblGrid>
        <w:gridCol w:w="1669"/>
        <w:gridCol w:w="3401"/>
        <w:gridCol w:w="2693"/>
        <w:gridCol w:w="1134"/>
      </w:tblGrid>
      <w:tr w:rsidR="00127BB7" w:rsidRPr="00127BB7" w:rsidTr="00216F4E">
        <w:trPr>
          <w:cnfStyle w:val="100000000000" w:firstRow="1" w:lastRow="0" w:firstColumn="0" w:lastColumn="0" w:oddVBand="0" w:evenVBand="0" w:oddHBand="0" w:evenHBand="0" w:firstRowFirstColumn="0" w:firstRowLastColumn="0" w:lastRowFirstColumn="0" w:lastRowLastColumn="0"/>
          <w:tblHeader/>
        </w:trPr>
        <w:tc>
          <w:tcPr>
            <w:tcW w:w="1669" w:type="dxa"/>
            <w:hideMark/>
          </w:tcPr>
          <w:p w:rsidR="00127BB7" w:rsidRPr="00127BB7" w:rsidRDefault="00127BB7">
            <w:pPr>
              <w:pStyle w:val="Tabletext"/>
              <w:keepNext/>
              <w:rPr>
                <w:sz w:val="20"/>
                <w:szCs w:val="20"/>
              </w:rPr>
            </w:pPr>
            <w:r w:rsidRPr="00127BB7">
              <w:rPr>
                <w:sz w:val="20"/>
                <w:szCs w:val="20"/>
              </w:rPr>
              <w:t>PK topic</w:t>
            </w:r>
          </w:p>
        </w:tc>
        <w:tc>
          <w:tcPr>
            <w:tcW w:w="3401" w:type="dxa"/>
            <w:hideMark/>
          </w:tcPr>
          <w:p w:rsidR="00127BB7" w:rsidRPr="00127BB7" w:rsidRDefault="00127BB7">
            <w:pPr>
              <w:pStyle w:val="Tabletext"/>
              <w:keepNext/>
              <w:rPr>
                <w:sz w:val="20"/>
                <w:szCs w:val="20"/>
              </w:rPr>
            </w:pPr>
            <w:r w:rsidRPr="00127BB7">
              <w:rPr>
                <w:sz w:val="20"/>
                <w:szCs w:val="20"/>
              </w:rPr>
              <w:t>Subtopic</w:t>
            </w:r>
          </w:p>
        </w:tc>
        <w:tc>
          <w:tcPr>
            <w:tcW w:w="2693" w:type="dxa"/>
            <w:hideMark/>
          </w:tcPr>
          <w:p w:rsidR="00127BB7" w:rsidRPr="00127BB7" w:rsidRDefault="00127BB7">
            <w:pPr>
              <w:pStyle w:val="Tabletext"/>
              <w:keepNext/>
              <w:rPr>
                <w:sz w:val="20"/>
                <w:szCs w:val="20"/>
              </w:rPr>
            </w:pPr>
            <w:r w:rsidRPr="00127BB7">
              <w:rPr>
                <w:sz w:val="20"/>
                <w:szCs w:val="20"/>
              </w:rPr>
              <w:t>Study ID</w:t>
            </w:r>
          </w:p>
        </w:tc>
        <w:tc>
          <w:tcPr>
            <w:tcW w:w="1134" w:type="dxa"/>
            <w:hideMark/>
          </w:tcPr>
          <w:p w:rsidR="00127BB7" w:rsidRPr="00127BB7" w:rsidRDefault="00127BB7">
            <w:pPr>
              <w:pStyle w:val="Tabletext"/>
              <w:keepNext/>
              <w:jc w:val="center"/>
              <w:rPr>
                <w:sz w:val="20"/>
                <w:szCs w:val="20"/>
              </w:rPr>
            </w:pPr>
            <w:r w:rsidRPr="00127BB7">
              <w:rPr>
                <w:sz w:val="20"/>
                <w:szCs w:val="20"/>
              </w:rPr>
              <w:t>*</w:t>
            </w:r>
          </w:p>
        </w:tc>
      </w:tr>
      <w:tr w:rsidR="00127BB7" w:rsidTr="00216F4E">
        <w:tc>
          <w:tcPr>
            <w:tcW w:w="1669" w:type="dxa"/>
            <w:vMerge w:val="restart"/>
          </w:tcPr>
          <w:p w:rsidR="00127BB7" w:rsidRPr="00127BB7" w:rsidRDefault="00127BB7">
            <w:pPr>
              <w:pStyle w:val="Tabletext"/>
              <w:keepNext/>
              <w:rPr>
                <w:rFonts w:asciiTheme="minorHAnsi" w:hAnsiTheme="minorHAnsi"/>
                <w:b/>
                <w:kern w:val="16"/>
                <w:sz w:val="20"/>
                <w:szCs w:val="20"/>
              </w:rPr>
            </w:pPr>
            <w:r w:rsidRPr="00127BB7">
              <w:rPr>
                <w:rFonts w:asciiTheme="minorHAnsi" w:hAnsiTheme="minorHAnsi"/>
                <w:b/>
                <w:sz w:val="20"/>
                <w:szCs w:val="20"/>
              </w:rPr>
              <w:t>PK in healthy adults</w:t>
            </w:r>
          </w:p>
          <w:p w:rsidR="00127BB7" w:rsidRPr="00127BB7" w:rsidRDefault="00127BB7">
            <w:pPr>
              <w:pStyle w:val="Tabletext"/>
              <w:keepNext/>
              <w:rPr>
                <w:rFonts w:asciiTheme="minorHAnsi" w:hAnsiTheme="minorHAnsi"/>
                <w:b/>
                <w:sz w:val="20"/>
                <w:szCs w:val="20"/>
              </w:rPr>
            </w:pPr>
          </w:p>
        </w:tc>
        <w:tc>
          <w:tcPr>
            <w:tcW w:w="3401" w:type="dxa"/>
            <w:vMerge w:val="restart"/>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sz w:val="20"/>
                <w:szCs w:val="20"/>
              </w:rPr>
              <w:t>General PK</w:t>
            </w:r>
            <w:r w:rsidRPr="00127BB7">
              <w:rPr>
                <w:rFonts w:asciiTheme="minorHAnsi" w:hAnsiTheme="minorHAnsi"/>
                <w:sz w:val="20"/>
                <w:szCs w:val="20"/>
              </w:rPr>
              <w:tab/>
              <w:t>- Single dose</w:t>
            </w:r>
          </w:p>
        </w:tc>
        <w:tc>
          <w:tcPr>
            <w:tcW w:w="2693" w:type="dxa"/>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cs="TimesNewRomanPSMT"/>
                <w:sz w:val="20"/>
                <w:szCs w:val="20"/>
                <w:lang w:val="en-US"/>
              </w:rPr>
              <w:t>XM22-01</w:t>
            </w:r>
          </w:p>
        </w:tc>
        <w:tc>
          <w:tcPr>
            <w:tcW w:w="1134" w:type="dxa"/>
          </w:tcPr>
          <w:p w:rsidR="00127BB7" w:rsidRPr="00127BB7" w:rsidRDefault="00127BB7">
            <w:pPr>
              <w:pStyle w:val="Tabletext"/>
              <w:keepNext/>
              <w:jc w:val="center"/>
              <w:rPr>
                <w:rFonts w:asciiTheme="minorHAnsi" w:hAnsiTheme="minorHAnsi"/>
                <w:sz w:val="20"/>
                <w:szCs w:val="20"/>
              </w:rPr>
            </w:pPr>
          </w:p>
        </w:tc>
      </w:tr>
      <w:tr w:rsidR="00127BB7" w:rsidTr="00216F4E">
        <w:tc>
          <w:tcPr>
            <w:tcW w:w="1669" w:type="dxa"/>
            <w:vMerge/>
            <w:hideMark/>
          </w:tcPr>
          <w:p w:rsidR="00127BB7" w:rsidRPr="00127BB7" w:rsidRDefault="00127BB7">
            <w:pPr>
              <w:rPr>
                <w:rFonts w:asciiTheme="minorHAnsi" w:hAnsiTheme="minorHAnsi"/>
                <w:b/>
                <w:kern w:val="16"/>
                <w:sz w:val="20"/>
                <w:szCs w:val="20"/>
              </w:rPr>
            </w:pPr>
          </w:p>
        </w:tc>
        <w:tc>
          <w:tcPr>
            <w:tcW w:w="3401" w:type="dxa"/>
            <w:vMerge/>
          </w:tcPr>
          <w:p w:rsidR="00127BB7" w:rsidRPr="00127BB7" w:rsidRDefault="00127BB7">
            <w:pPr>
              <w:pStyle w:val="Tabletext"/>
              <w:keepNext/>
              <w:rPr>
                <w:rFonts w:asciiTheme="minorHAnsi" w:hAnsiTheme="minorHAnsi"/>
                <w:sz w:val="20"/>
                <w:szCs w:val="20"/>
              </w:rPr>
            </w:pPr>
          </w:p>
        </w:tc>
        <w:tc>
          <w:tcPr>
            <w:tcW w:w="2693" w:type="dxa"/>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cs="TimesNewRomanPSMT"/>
                <w:sz w:val="20"/>
                <w:szCs w:val="20"/>
                <w:lang w:val="en-US"/>
              </w:rPr>
              <w:t>XM22-05</w:t>
            </w:r>
          </w:p>
        </w:tc>
        <w:tc>
          <w:tcPr>
            <w:tcW w:w="1134" w:type="dxa"/>
          </w:tcPr>
          <w:p w:rsidR="00127BB7" w:rsidRPr="00127BB7" w:rsidRDefault="00127BB7">
            <w:pPr>
              <w:pStyle w:val="Tabletext"/>
              <w:keepNext/>
              <w:jc w:val="center"/>
              <w:rPr>
                <w:rFonts w:asciiTheme="minorHAnsi" w:hAnsiTheme="minorHAnsi"/>
                <w:sz w:val="20"/>
                <w:szCs w:val="20"/>
              </w:rPr>
            </w:pPr>
          </w:p>
        </w:tc>
      </w:tr>
      <w:tr w:rsidR="00127BB7" w:rsidTr="00216F4E">
        <w:tc>
          <w:tcPr>
            <w:tcW w:w="1669" w:type="dxa"/>
            <w:vMerge/>
            <w:hideMark/>
          </w:tcPr>
          <w:p w:rsidR="00127BB7" w:rsidRPr="00127BB7" w:rsidRDefault="00127BB7">
            <w:pPr>
              <w:rPr>
                <w:rFonts w:asciiTheme="minorHAnsi" w:hAnsiTheme="minorHAnsi"/>
                <w:b/>
                <w:kern w:val="16"/>
                <w:sz w:val="20"/>
                <w:szCs w:val="20"/>
              </w:rPr>
            </w:pPr>
          </w:p>
        </w:tc>
        <w:tc>
          <w:tcPr>
            <w:tcW w:w="3401" w:type="dxa"/>
            <w:vMerge/>
          </w:tcPr>
          <w:p w:rsidR="00127BB7" w:rsidRPr="00127BB7" w:rsidRDefault="00127BB7">
            <w:pPr>
              <w:pStyle w:val="Tabletext"/>
              <w:keepNext/>
              <w:rPr>
                <w:rFonts w:asciiTheme="minorHAnsi" w:hAnsiTheme="minorHAnsi"/>
                <w:sz w:val="20"/>
                <w:szCs w:val="20"/>
              </w:rPr>
            </w:pPr>
          </w:p>
        </w:tc>
        <w:tc>
          <w:tcPr>
            <w:tcW w:w="2693" w:type="dxa"/>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cs="TimesNewRomanPSMT"/>
                <w:sz w:val="20"/>
                <w:szCs w:val="20"/>
                <w:lang w:val="en-US"/>
              </w:rPr>
              <w:t>XM22-06</w:t>
            </w:r>
          </w:p>
        </w:tc>
        <w:tc>
          <w:tcPr>
            <w:tcW w:w="1134" w:type="dxa"/>
          </w:tcPr>
          <w:p w:rsidR="00127BB7" w:rsidRPr="00127BB7" w:rsidRDefault="00127BB7">
            <w:pPr>
              <w:pStyle w:val="Tabletext"/>
              <w:keepNext/>
              <w:jc w:val="center"/>
              <w:rPr>
                <w:rFonts w:asciiTheme="minorHAnsi" w:hAnsiTheme="minorHAnsi"/>
                <w:sz w:val="20"/>
                <w:szCs w:val="20"/>
              </w:rPr>
            </w:pPr>
          </w:p>
        </w:tc>
      </w:tr>
      <w:tr w:rsidR="00127BB7" w:rsidTr="00216F4E">
        <w:tc>
          <w:tcPr>
            <w:tcW w:w="1669" w:type="dxa"/>
          </w:tcPr>
          <w:p w:rsidR="00127BB7" w:rsidRPr="00127BB7" w:rsidRDefault="00127BB7" w:rsidP="00127BB7">
            <w:pPr>
              <w:pStyle w:val="Tabletext"/>
              <w:keepNext/>
              <w:rPr>
                <w:rFonts w:asciiTheme="minorHAnsi" w:hAnsiTheme="minorHAnsi"/>
                <w:b/>
                <w:sz w:val="20"/>
                <w:szCs w:val="20"/>
              </w:rPr>
            </w:pPr>
            <w:r w:rsidRPr="00127BB7">
              <w:rPr>
                <w:rFonts w:asciiTheme="minorHAnsi" w:hAnsiTheme="minorHAnsi"/>
                <w:b/>
                <w:sz w:val="20"/>
                <w:szCs w:val="20"/>
              </w:rPr>
              <w:t>PK in special populations</w:t>
            </w:r>
          </w:p>
        </w:tc>
        <w:tc>
          <w:tcPr>
            <w:tcW w:w="3401" w:type="dxa"/>
          </w:tcPr>
          <w:p w:rsidR="00127BB7" w:rsidRPr="00127BB7" w:rsidRDefault="00127BB7">
            <w:pPr>
              <w:widowControl w:val="0"/>
              <w:tabs>
                <w:tab w:val="left" w:pos="720"/>
              </w:tabs>
              <w:autoSpaceDE w:val="0"/>
              <w:autoSpaceDN w:val="0"/>
              <w:adjustRightInd w:val="0"/>
              <w:rPr>
                <w:rFonts w:asciiTheme="minorHAnsi" w:hAnsiTheme="minorHAnsi" w:cs="TimesNewRomanPSMT"/>
                <w:sz w:val="20"/>
                <w:szCs w:val="20"/>
                <w:lang w:val="en-US"/>
              </w:rPr>
            </w:pPr>
            <w:r w:rsidRPr="00127BB7">
              <w:rPr>
                <w:rFonts w:asciiTheme="minorHAnsi" w:hAnsiTheme="minorHAnsi"/>
                <w:sz w:val="20"/>
                <w:szCs w:val="20"/>
              </w:rPr>
              <w:t>Target population - breast cancer</w:t>
            </w:r>
            <w:r w:rsidRPr="00127BB7">
              <w:rPr>
                <w:rFonts w:asciiTheme="minorHAnsi" w:hAnsiTheme="minorHAnsi"/>
                <w:sz w:val="20"/>
                <w:szCs w:val="20"/>
              </w:rPr>
              <w:tab/>
            </w:r>
            <w:r w:rsidRPr="00127BB7">
              <w:rPr>
                <w:rFonts w:asciiTheme="minorHAnsi" w:hAnsiTheme="minorHAnsi"/>
                <w:sz w:val="20"/>
                <w:szCs w:val="20"/>
              </w:rPr>
              <w:tab/>
            </w:r>
          </w:p>
          <w:p w:rsidR="00127BB7" w:rsidRPr="00127BB7" w:rsidRDefault="00127BB7" w:rsidP="00127BB7">
            <w:pPr>
              <w:widowControl w:val="0"/>
              <w:tabs>
                <w:tab w:val="left" w:pos="720"/>
              </w:tabs>
              <w:autoSpaceDE w:val="0"/>
              <w:autoSpaceDN w:val="0"/>
              <w:adjustRightInd w:val="0"/>
              <w:rPr>
                <w:rFonts w:asciiTheme="minorHAnsi" w:hAnsiTheme="minorHAnsi"/>
                <w:sz w:val="20"/>
                <w:szCs w:val="20"/>
              </w:rPr>
            </w:pPr>
            <w:r w:rsidRPr="00127BB7">
              <w:rPr>
                <w:rFonts w:asciiTheme="minorHAnsi" w:hAnsiTheme="minorHAnsi" w:cs="TimesNewRomanPSMT"/>
                <w:sz w:val="20"/>
                <w:szCs w:val="20"/>
                <w:lang w:val="en-US"/>
              </w:rPr>
              <w:t>Non-small cell lung cancer</w:t>
            </w:r>
          </w:p>
        </w:tc>
        <w:tc>
          <w:tcPr>
            <w:tcW w:w="2693" w:type="dxa"/>
            <w:hideMark/>
          </w:tcPr>
          <w:p w:rsidR="00127BB7" w:rsidRPr="00127BB7" w:rsidRDefault="00127BB7">
            <w:pPr>
              <w:pStyle w:val="Bullet2"/>
              <w:numPr>
                <w:ilvl w:val="0"/>
                <w:numId w:val="0"/>
              </w:numPr>
              <w:tabs>
                <w:tab w:val="left" w:pos="720"/>
              </w:tabs>
              <w:rPr>
                <w:rFonts w:asciiTheme="minorHAnsi" w:hAnsiTheme="minorHAnsi"/>
                <w:sz w:val="20"/>
                <w:szCs w:val="20"/>
              </w:rPr>
            </w:pPr>
            <w:r w:rsidRPr="00127BB7">
              <w:rPr>
                <w:rFonts w:asciiTheme="minorHAnsi" w:hAnsiTheme="minorHAnsi"/>
                <w:sz w:val="20"/>
                <w:szCs w:val="20"/>
              </w:rPr>
              <w:t>XM22-02 and XM22-03</w:t>
            </w:r>
          </w:p>
          <w:p w:rsidR="00127BB7" w:rsidRPr="00127BB7" w:rsidRDefault="00127BB7">
            <w:pPr>
              <w:pStyle w:val="Bullet2"/>
              <w:numPr>
                <w:ilvl w:val="0"/>
                <w:numId w:val="0"/>
              </w:numPr>
              <w:tabs>
                <w:tab w:val="left" w:pos="720"/>
              </w:tabs>
              <w:rPr>
                <w:rFonts w:asciiTheme="minorHAnsi" w:hAnsiTheme="minorHAnsi"/>
                <w:sz w:val="20"/>
                <w:szCs w:val="20"/>
              </w:rPr>
            </w:pPr>
            <w:r w:rsidRPr="00127BB7">
              <w:rPr>
                <w:rFonts w:asciiTheme="minorHAnsi" w:hAnsiTheme="minorHAnsi"/>
                <w:sz w:val="20"/>
                <w:szCs w:val="20"/>
              </w:rPr>
              <w:t>XM22-04</w:t>
            </w:r>
          </w:p>
        </w:tc>
        <w:tc>
          <w:tcPr>
            <w:tcW w:w="1134" w:type="dxa"/>
          </w:tcPr>
          <w:p w:rsidR="00127BB7" w:rsidRPr="00127BB7" w:rsidRDefault="00127BB7">
            <w:pPr>
              <w:pStyle w:val="Tabletext"/>
              <w:keepNext/>
              <w:jc w:val="center"/>
              <w:rPr>
                <w:rFonts w:asciiTheme="minorHAnsi" w:hAnsiTheme="minorHAnsi"/>
                <w:sz w:val="20"/>
                <w:szCs w:val="20"/>
              </w:rPr>
            </w:pPr>
          </w:p>
        </w:tc>
      </w:tr>
      <w:tr w:rsidR="00127BB7" w:rsidTr="00216F4E">
        <w:tc>
          <w:tcPr>
            <w:tcW w:w="1669" w:type="dxa"/>
            <w:vMerge w:val="restart"/>
            <w:hideMark/>
          </w:tcPr>
          <w:p w:rsidR="00127BB7" w:rsidRPr="00127BB7" w:rsidRDefault="00127BB7">
            <w:pPr>
              <w:pStyle w:val="Tabletext"/>
              <w:keepNext/>
              <w:rPr>
                <w:rFonts w:asciiTheme="minorHAnsi" w:hAnsiTheme="minorHAnsi"/>
                <w:b/>
                <w:sz w:val="20"/>
                <w:szCs w:val="20"/>
              </w:rPr>
            </w:pPr>
            <w:r w:rsidRPr="00127BB7">
              <w:rPr>
                <w:rFonts w:asciiTheme="minorHAnsi" w:hAnsiTheme="minorHAnsi"/>
                <w:b/>
                <w:sz w:val="20"/>
                <w:szCs w:val="20"/>
              </w:rPr>
              <w:t>Population PK analyses</w:t>
            </w:r>
          </w:p>
        </w:tc>
        <w:tc>
          <w:tcPr>
            <w:tcW w:w="3401" w:type="dxa"/>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sz w:val="20"/>
                <w:szCs w:val="20"/>
              </w:rPr>
              <w:t>Healthy subjects</w:t>
            </w:r>
          </w:p>
        </w:tc>
        <w:tc>
          <w:tcPr>
            <w:tcW w:w="2693" w:type="dxa"/>
          </w:tcPr>
          <w:p w:rsidR="00127BB7" w:rsidRPr="00127BB7" w:rsidRDefault="00127BB7">
            <w:pPr>
              <w:pStyle w:val="Tabletext"/>
              <w:keepNext/>
              <w:rPr>
                <w:rFonts w:asciiTheme="minorHAnsi" w:hAnsiTheme="minorHAnsi"/>
                <w:sz w:val="20"/>
                <w:szCs w:val="20"/>
              </w:rPr>
            </w:pPr>
          </w:p>
        </w:tc>
        <w:tc>
          <w:tcPr>
            <w:tcW w:w="1134" w:type="dxa"/>
          </w:tcPr>
          <w:p w:rsidR="00127BB7" w:rsidRPr="00127BB7" w:rsidRDefault="00127BB7">
            <w:pPr>
              <w:pStyle w:val="Tabletext"/>
              <w:keepNext/>
              <w:jc w:val="center"/>
              <w:rPr>
                <w:rFonts w:asciiTheme="minorHAnsi" w:hAnsiTheme="minorHAnsi"/>
                <w:sz w:val="20"/>
                <w:szCs w:val="20"/>
              </w:rPr>
            </w:pPr>
          </w:p>
        </w:tc>
      </w:tr>
      <w:tr w:rsidR="00127BB7" w:rsidTr="00216F4E">
        <w:tc>
          <w:tcPr>
            <w:tcW w:w="1669" w:type="dxa"/>
            <w:vMerge/>
            <w:hideMark/>
          </w:tcPr>
          <w:p w:rsidR="00127BB7" w:rsidRPr="00127BB7" w:rsidRDefault="00127BB7">
            <w:pPr>
              <w:rPr>
                <w:rFonts w:asciiTheme="minorHAnsi" w:hAnsiTheme="minorHAnsi"/>
                <w:b/>
                <w:kern w:val="16"/>
                <w:sz w:val="20"/>
                <w:szCs w:val="20"/>
              </w:rPr>
            </w:pPr>
          </w:p>
        </w:tc>
        <w:tc>
          <w:tcPr>
            <w:tcW w:w="3401" w:type="dxa"/>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sz w:val="20"/>
                <w:szCs w:val="20"/>
              </w:rPr>
              <w:t>Target population</w:t>
            </w:r>
          </w:p>
        </w:tc>
        <w:tc>
          <w:tcPr>
            <w:tcW w:w="2693" w:type="dxa"/>
            <w:hideMark/>
          </w:tcPr>
          <w:p w:rsidR="00127BB7" w:rsidRPr="00127BB7" w:rsidRDefault="00127BB7">
            <w:pPr>
              <w:pStyle w:val="Tabletext"/>
              <w:keepNext/>
              <w:rPr>
                <w:rFonts w:asciiTheme="minorHAnsi" w:hAnsiTheme="minorHAnsi"/>
                <w:sz w:val="20"/>
                <w:szCs w:val="20"/>
              </w:rPr>
            </w:pPr>
            <w:r w:rsidRPr="00127BB7">
              <w:rPr>
                <w:rFonts w:asciiTheme="minorHAnsi" w:hAnsiTheme="minorHAnsi"/>
                <w:sz w:val="20"/>
                <w:szCs w:val="20"/>
              </w:rPr>
              <w:t>PKPD analysis of XM22 undertaken</w:t>
            </w:r>
          </w:p>
        </w:tc>
        <w:tc>
          <w:tcPr>
            <w:tcW w:w="1134" w:type="dxa"/>
          </w:tcPr>
          <w:p w:rsidR="00127BB7" w:rsidRPr="00127BB7" w:rsidRDefault="00127BB7">
            <w:pPr>
              <w:pStyle w:val="Tabletext"/>
              <w:keepNext/>
              <w:jc w:val="center"/>
              <w:rPr>
                <w:rFonts w:asciiTheme="minorHAnsi" w:hAnsiTheme="minorHAnsi"/>
                <w:sz w:val="20"/>
                <w:szCs w:val="20"/>
              </w:rPr>
            </w:pPr>
          </w:p>
        </w:tc>
      </w:tr>
    </w:tbl>
    <w:p w:rsidR="00660BC2" w:rsidRDefault="00660BC2" w:rsidP="00127BB7">
      <w:pPr>
        <w:rPr>
          <w:szCs w:val="24"/>
        </w:rPr>
      </w:pPr>
      <w:r>
        <w:t>None of the pharmacokinetic studies had deficiencies that excluded their results from consideration.</w:t>
      </w:r>
    </w:p>
    <w:p w:rsidR="00605AD4" w:rsidRPr="00127BB7" w:rsidRDefault="00605AD4" w:rsidP="00127BB7">
      <w:pPr>
        <w:pStyle w:val="Heading4"/>
      </w:pPr>
      <w:r>
        <w:lastRenderedPageBreak/>
        <w:t>Evaluator’s conclusions on pharmacokinetics</w:t>
      </w:r>
    </w:p>
    <w:p w:rsidR="00660BC2" w:rsidRDefault="00660BC2" w:rsidP="00191BC5">
      <w:r>
        <w:t>Overall, there are concerns about the paucity of pharmacokinetic evidence to guide choice of dose for future studies, the translatability of the data from healthy subjects to cancer patients (and the variability within those populations such as breast v</w:t>
      </w:r>
      <w:r w:rsidR="00127BB7">
        <w:t>ersu</w:t>
      </w:r>
      <w:r>
        <w:t>s lung</w:t>
      </w:r>
      <w:r w:rsidR="00127BB7">
        <w:t xml:space="preserve"> cancer patients</w:t>
      </w:r>
      <w:r>
        <w:t xml:space="preserve">). </w:t>
      </w:r>
      <w:r w:rsidR="00127BB7">
        <w:t>There is no p</w:t>
      </w:r>
      <w:r>
        <w:t xml:space="preserve">harmacokinetic knowledge to guide </w:t>
      </w:r>
      <w:r w:rsidR="00127BB7">
        <w:t xml:space="preserve">treatment in </w:t>
      </w:r>
      <w:r>
        <w:t>clinical trial populations</w:t>
      </w:r>
      <w:r w:rsidR="00127BB7">
        <w:t xml:space="preserve"> such as</w:t>
      </w:r>
      <w:r w:rsidR="009801DD">
        <w:t xml:space="preserve"> </w:t>
      </w:r>
      <w:r>
        <w:t xml:space="preserve">the elderly, the obese and the undernourished. The population pharmacokinetic data is helpful but several groups with altered pharmacokinetics were not documented, such as more than mild liver disease or comorbidity. </w:t>
      </w:r>
      <w:r w:rsidRPr="00127BB7">
        <w:t xml:space="preserve">The lack of individual data between body size and concentration, or of concentration and effect on </w:t>
      </w:r>
      <w:r w:rsidR="00127BB7" w:rsidRPr="00127BB7">
        <w:t>absolute neutrophil count (</w:t>
      </w:r>
      <w:r w:rsidRPr="00127BB7">
        <w:t>ANC</w:t>
      </w:r>
      <w:r w:rsidR="00127BB7" w:rsidRPr="00127BB7">
        <w:t>)</w:t>
      </w:r>
      <w:r w:rsidRPr="00127BB7">
        <w:t xml:space="preserve"> makes</w:t>
      </w:r>
      <w:r>
        <w:t xml:space="preserve"> extrapolation to other cancers, to the ANCs and people of different ethnicity, gender and age difficult.</w:t>
      </w:r>
    </w:p>
    <w:p w:rsidR="00B56A57" w:rsidRDefault="00660BC2" w:rsidP="00191BC5">
      <w:r>
        <w:t>Data in particular looking at patients over 75 years (where cancer is more common statistically for most cancers), the obese and those with organ impairment, with both PK and linked PK</w:t>
      </w:r>
      <w:r w:rsidR="00FD2193">
        <w:t>/</w:t>
      </w:r>
      <w:r>
        <w:t>PD information in particular would be very helpful. For example, it is difficult to see how a dose of 6</w:t>
      </w:r>
      <w:r w:rsidR="00FD2193">
        <w:t xml:space="preserve"> </w:t>
      </w:r>
      <w:r>
        <w:t>mg in an elderly woman weighing 50</w:t>
      </w:r>
      <w:r w:rsidR="00FD2193">
        <w:t xml:space="preserve"> </w:t>
      </w:r>
      <w:r>
        <w:t>kg with breast cancer should result in the same effect on ANC as a younger male weighing 90</w:t>
      </w:r>
      <w:r w:rsidR="00FD2193">
        <w:t xml:space="preserve"> </w:t>
      </w:r>
      <w:r>
        <w:t xml:space="preserve">kg having a mildly </w:t>
      </w:r>
      <w:proofErr w:type="spellStart"/>
      <w:r>
        <w:t>myelotoxic</w:t>
      </w:r>
      <w:proofErr w:type="spellEnd"/>
      <w:r>
        <w:t xml:space="preserve"> regimen (with different drugs) another cancer. Similarly there is a paucity of pharmacokinetic data for patients of non-Caucasian descent</w:t>
      </w:r>
      <w:r w:rsidR="00B56A57">
        <w:t>.</w:t>
      </w:r>
    </w:p>
    <w:p w:rsidR="008E7846" w:rsidRDefault="008E7846" w:rsidP="008E7846">
      <w:pPr>
        <w:pStyle w:val="Heading3"/>
      </w:pPr>
      <w:bookmarkStart w:id="88" w:name="_Toc196046481"/>
      <w:bookmarkStart w:id="89" w:name="_Toc247691520"/>
      <w:bookmarkStart w:id="90" w:name="_Toc314842503"/>
      <w:bookmarkStart w:id="91" w:name="_Toc445210964"/>
      <w:r w:rsidRPr="00254787">
        <w:t>Pharmacodynamics</w:t>
      </w:r>
      <w:bookmarkEnd w:id="65"/>
      <w:bookmarkEnd w:id="88"/>
      <w:bookmarkEnd w:id="89"/>
      <w:bookmarkEnd w:id="90"/>
      <w:bookmarkEnd w:id="91"/>
    </w:p>
    <w:p w:rsidR="00605AD4" w:rsidRDefault="00605AD4" w:rsidP="00FD2193">
      <w:pPr>
        <w:pStyle w:val="Heading4"/>
      </w:pPr>
      <w:r>
        <w:t xml:space="preserve">Studies providing </w:t>
      </w:r>
      <w:proofErr w:type="spellStart"/>
      <w:r w:rsidRPr="00FD2193">
        <w:t>pharmacodynamic</w:t>
      </w:r>
      <w:proofErr w:type="spellEnd"/>
      <w:r>
        <w:t xml:space="preserve"> data</w:t>
      </w:r>
    </w:p>
    <w:p w:rsidR="00660BC2" w:rsidRDefault="00660BC2" w:rsidP="00191BC5">
      <w:r>
        <w:rPr>
          <w:lang w:val="en-US"/>
        </w:rPr>
        <w:t>There were three Phase I studies (</w:t>
      </w:r>
      <w:r>
        <w:t>XM22-01-CH</w:t>
      </w:r>
      <w:r w:rsidR="00FD2193">
        <w:t>:</w:t>
      </w:r>
      <w:r>
        <w:t xml:space="preserve"> dose escalation study in healthy subjects; XM-22-05-CH</w:t>
      </w:r>
      <w:r w:rsidR="00FD2193">
        <w:t>:</w:t>
      </w:r>
      <w:r>
        <w:t xml:space="preserve"> single dose parallel group study in healthy subjects; XM22-06</w:t>
      </w:r>
      <w:r w:rsidR="00FD2193">
        <w:t>:</w:t>
      </w:r>
      <w:r>
        <w:t xml:space="preserve"> open label three-way crossover study in healthy subjects) and one Phase II study of efficacy, PK, PD and safety, dose-finding</w:t>
      </w:r>
      <w:r>
        <w:rPr>
          <w:b/>
        </w:rPr>
        <w:t xml:space="preserve"> </w:t>
      </w:r>
      <w:r>
        <w:t>(XM22-02-INT</w:t>
      </w:r>
      <w:r w:rsidR="00FD2193">
        <w:t>:</w:t>
      </w:r>
      <w:r>
        <w:t xml:space="preserve"> randomised double-blind parallel group active-controlled dose-finding study in patients with </w:t>
      </w:r>
      <w:r w:rsidR="0045520D">
        <w:t>Stage I</w:t>
      </w:r>
      <w:r>
        <w:t xml:space="preserve">I, III or IV breast cancer receiving doxorubicin/docetaxel for 4 cycles), </w:t>
      </w:r>
      <w:r>
        <w:rPr>
          <w:lang w:val="en-US"/>
        </w:rPr>
        <w:t xml:space="preserve">providing new </w:t>
      </w:r>
      <w:proofErr w:type="spellStart"/>
      <w:r>
        <w:rPr>
          <w:lang w:val="en-US"/>
        </w:rPr>
        <w:t>pharmacodynamic</w:t>
      </w:r>
      <w:proofErr w:type="spellEnd"/>
      <w:r>
        <w:rPr>
          <w:lang w:val="en-US"/>
        </w:rPr>
        <w:t xml:space="preserve"> data </w:t>
      </w:r>
      <w:r>
        <w:t>in this application.</w:t>
      </w:r>
    </w:p>
    <w:p w:rsidR="00660BC2" w:rsidRDefault="00660BC2" w:rsidP="00191BC5">
      <w:r>
        <w:t>There w</w:t>
      </w:r>
      <w:r w:rsidR="00FD2193">
        <w:t>ere</w:t>
      </w:r>
      <w:r>
        <w:t xml:space="preserve"> also two Phase III studies which had PD data.</w:t>
      </w:r>
    </w:p>
    <w:p w:rsidR="00660BC2" w:rsidRDefault="00FD2193" w:rsidP="00191BC5">
      <w:r>
        <w:t>Table 7</w:t>
      </w:r>
      <w:r w:rsidR="00660BC2">
        <w:t xml:space="preserve"> shows the studies relating to each </w:t>
      </w:r>
      <w:proofErr w:type="spellStart"/>
      <w:r w:rsidR="00660BC2">
        <w:t>pharmacodynamic</w:t>
      </w:r>
      <w:proofErr w:type="spellEnd"/>
      <w:r w:rsidR="00660BC2">
        <w:t xml:space="preserve"> topic and the location of each study summary.</w:t>
      </w:r>
    </w:p>
    <w:p w:rsidR="00660BC2" w:rsidRDefault="00660BC2" w:rsidP="00FD2193">
      <w:pPr>
        <w:pStyle w:val="TableTitle"/>
      </w:pPr>
      <w:bookmarkStart w:id="92" w:name="_Ref269985397"/>
      <w:bookmarkStart w:id="93" w:name="_Toc414348952"/>
      <w:bookmarkStart w:id="94" w:name="_Toc276472907"/>
      <w:proofErr w:type="gramStart"/>
      <w:r>
        <w:t>Table</w:t>
      </w:r>
      <w:bookmarkEnd w:id="92"/>
      <w:r w:rsidR="00FD2193">
        <w:t xml:space="preserve"> 7:</w:t>
      </w:r>
      <w:r>
        <w:t xml:space="preserve"> Submitted </w:t>
      </w:r>
      <w:proofErr w:type="spellStart"/>
      <w:r>
        <w:t>pharmacodynamic</w:t>
      </w:r>
      <w:proofErr w:type="spellEnd"/>
      <w:r>
        <w:t xml:space="preserve"> studies.</w:t>
      </w:r>
      <w:bookmarkEnd w:id="93"/>
      <w:bookmarkEnd w:id="94"/>
      <w:proofErr w:type="gramEnd"/>
    </w:p>
    <w:tbl>
      <w:tblPr>
        <w:tblStyle w:val="TableTGAblue1"/>
        <w:tblW w:w="8897" w:type="dxa"/>
        <w:tblInd w:w="0" w:type="dxa"/>
        <w:tblLayout w:type="fixed"/>
        <w:tblLook w:val="04A0" w:firstRow="1" w:lastRow="0" w:firstColumn="1" w:lastColumn="0" w:noHBand="0" w:noVBand="1"/>
      </w:tblPr>
      <w:tblGrid>
        <w:gridCol w:w="1668"/>
        <w:gridCol w:w="5670"/>
        <w:gridCol w:w="1559"/>
      </w:tblGrid>
      <w:tr w:rsidR="00FD2193" w:rsidRPr="00FD2193" w:rsidTr="00216F4E">
        <w:trPr>
          <w:cnfStyle w:val="100000000000" w:firstRow="1" w:lastRow="0" w:firstColumn="0" w:lastColumn="0" w:oddVBand="0" w:evenVBand="0" w:oddHBand="0" w:evenHBand="0" w:firstRowFirstColumn="0" w:firstRowLastColumn="0" w:lastRowFirstColumn="0" w:lastRowLastColumn="0"/>
          <w:tblHeader/>
        </w:trPr>
        <w:tc>
          <w:tcPr>
            <w:tcW w:w="1668"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PD Topic</w:t>
            </w:r>
          </w:p>
        </w:tc>
        <w:tc>
          <w:tcPr>
            <w:tcW w:w="5670"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Subtopic</w:t>
            </w: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Study ID</w:t>
            </w:r>
          </w:p>
        </w:tc>
      </w:tr>
      <w:tr w:rsidR="00FD2193" w:rsidTr="00216F4E">
        <w:tc>
          <w:tcPr>
            <w:tcW w:w="1668" w:type="dxa"/>
            <w:vMerge w:val="restart"/>
            <w:hideMark/>
          </w:tcPr>
          <w:p w:rsidR="00FD2193" w:rsidRPr="00FD2193" w:rsidRDefault="00FD2193">
            <w:pPr>
              <w:pStyle w:val="Tabletext"/>
              <w:keepNext/>
              <w:rPr>
                <w:rFonts w:asciiTheme="minorHAnsi" w:hAnsiTheme="minorHAnsi"/>
                <w:b/>
                <w:sz w:val="20"/>
                <w:szCs w:val="20"/>
              </w:rPr>
            </w:pPr>
            <w:r w:rsidRPr="00FD2193">
              <w:rPr>
                <w:rFonts w:asciiTheme="minorHAnsi" w:hAnsiTheme="minorHAnsi"/>
                <w:b/>
                <w:sz w:val="20"/>
                <w:szCs w:val="20"/>
              </w:rPr>
              <w:t>Primary Pharmacology</w:t>
            </w:r>
          </w:p>
        </w:tc>
        <w:tc>
          <w:tcPr>
            <w:tcW w:w="5670" w:type="dxa"/>
            <w:hideMark/>
          </w:tcPr>
          <w:p w:rsidR="00FD2193" w:rsidRPr="00FD2193" w:rsidRDefault="00FD2193" w:rsidP="00D23866">
            <w:pPr>
              <w:widowControl w:val="0"/>
              <w:tabs>
                <w:tab w:val="left" w:pos="720"/>
              </w:tabs>
              <w:autoSpaceDE w:val="0"/>
              <w:autoSpaceDN w:val="0"/>
              <w:adjustRightInd w:val="0"/>
              <w:rPr>
                <w:rFonts w:asciiTheme="minorHAnsi" w:hAnsiTheme="minorHAnsi" w:cs="Arial"/>
                <w:sz w:val="20"/>
                <w:szCs w:val="20"/>
              </w:rPr>
            </w:pPr>
            <w:r w:rsidRPr="00D23866">
              <w:rPr>
                <w:rFonts w:asciiTheme="minorHAnsi" w:hAnsiTheme="minorHAnsi" w:cs="Arial"/>
                <w:sz w:val="20"/>
                <w:szCs w:val="20"/>
              </w:rPr>
              <w:t xml:space="preserve">ANC and </w:t>
            </w:r>
            <w:r w:rsidR="00D23866" w:rsidRPr="00D23866">
              <w:rPr>
                <w:rFonts w:asciiTheme="minorHAnsi" w:hAnsiTheme="minorHAnsi" w:cs="Arial"/>
                <w:sz w:val="20"/>
                <w:szCs w:val="20"/>
              </w:rPr>
              <w:t>d</w:t>
            </w:r>
            <w:proofErr w:type="spellStart"/>
            <w:r w:rsidR="00D23866" w:rsidRPr="00D23866">
              <w:rPr>
                <w:rFonts w:asciiTheme="minorHAnsi" w:hAnsiTheme="minorHAnsi" w:cs="TimesNewRoman"/>
                <w:sz w:val="20"/>
                <w:szCs w:val="20"/>
                <w:lang w:val="en-US"/>
              </w:rPr>
              <w:t>uration</w:t>
            </w:r>
            <w:proofErr w:type="spellEnd"/>
            <w:r w:rsidR="00D23866" w:rsidRPr="00D23866">
              <w:rPr>
                <w:rFonts w:asciiTheme="minorHAnsi" w:hAnsiTheme="minorHAnsi" w:cs="TimesNewRoman"/>
                <w:sz w:val="20"/>
                <w:szCs w:val="20"/>
                <w:lang w:val="en-US"/>
              </w:rPr>
              <w:t xml:space="preserve"> of severe neutropenia</w:t>
            </w:r>
            <w:r w:rsidR="00D23866">
              <w:rPr>
                <w:rFonts w:asciiTheme="minorHAnsi" w:hAnsiTheme="minorHAnsi" w:cs="TimesNewRoman"/>
                <w:sz w:val="20"/>
                <w:szCs w:val="20"/>
                <w:lang w:val="en-US"/>
              </w:rPr>
              <w:t xml:space="preserve"> </w:t>
            </w:r>
            <w:r w:rsidR="00D23866" w:rsidRPr="00D23866">
              <w:rPr>
                <w:rFonts w:asciiTheme="minorHAnsi" w:hAnsiTheme="minorHAnsi" w:cs="Arial"/>
                <w:sz w:val="20"/>
                <w:szCs w:val="20"/>
              </w:rPr>
              <w:t>(</w:t>
            </w:r>
            <w:r w:rsidRPr="00D23866">
              <w:rPr>
                <w:rFonts w:asciiTheme="minorHAnsi" w:hAnsiTheme="minorHAnsi" w:cs="Arial"/>
                <w:sz w:val="20"/>
                <w:szCs w:val="20"/>
              </w:rPr>
              <w:t>DSN</w:t>
            </w:r>
            <w:r w:rsidR="00D23866" w:rsidRPr="00D23866">
              <w:rPr>
                <w:rFonts w:asciiTheme="minorHAnsi" w:hAnsiTheme="minorHAnsi" w:cs="Arial"/>
                <w:sz w:val="20"/>
                <w:szCs w:val="20"/>
              </w:rPr>
              <w:t>)</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 xml:space="preserve">XM22-01-CH </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rsidP="00FD2193">
            <w:pPr>
              <w:pStyle w:val="Tabletext"/>
              <w:keepNext/>
              <w:rPr>
                <w:rFonts w:asciiTheme="minorHAnsi" w:hAnsiTheme="minorHAnsi" w:cs="Arial"/>
                <w:sz w:val="20"/>
                <w:szCs w:val="20"/>
              </w:rPr>
            </w:pPr>
            <w:r w:rsidRPr="00FD2193">
              <w:rPr>
                <w:rFonts w:asciiTheme="minorHAnsi" w:hAnsiTheme="minorHAnsi" w:cs="Arial"/>
                <w:sz w:val="20"/>
                <w:szCs w:val="20"/>
                <w:lang w:val="en-US"/>
              </w:rPr>
              <w:t xml:space="preserve">ANC and AOBEC of XM22 and </w:t>
            </w:r>
            <w:proofErr w:type="spellStart"/>
            <w:r w:rsidRPr="00FD2193">
              <w:rPr>
                <w:rFonts w:asciiTheme="minorHAnsi" w:hAnsiTheme="minorHAnsi" w:cs="Arial"/>
                <w:sz w:val="20"/>
                <w:szCs w:val="20"/>
                <w:lang w:val="en-US"/>
              </w:rPr>
              <w:t>Neulasta</w:t>
            </w:r>
            <w:proofErr w:type="spellEnd"/>
            <w:r w:rsidRPr="00FD2193">
              <w:rPr>
                <w:rFonts w:asciiTheme="minorHAnsi" w:hAnsiTheme="minorHAnsi" w:cs="Arial"/>
                <w:sz w:val="20"/>
                <w:szCs w:val="20"/>
                <w:lang w:val="en-US"/>
              </w:rPr>
              <w:t xml:space="preserve"> given as fixed single 6 mg </w:t>
            </w:r>
            <w:r>
              <w:rPr>
                <w:rFonts w:asciiTheme="minorHAnsi" w:hAnsiTheme="minorHAnsi" w:cs="Arial"/>
                <w:sz w:val="20"/>
                <w:szCs w:val="20"/>
                <w:lang w:val="en-US"/>
              </w:rPr>
              <w:t>SC</w:t>
            </w:r>
            <w:r w:rsidRPr="00FD2193">
              <w:rPr>
                <w:rFonts w:asciiTheme="minorHAnsi" w:hAnsiTheme="minorHAnsi" w:cs="Arial"/>
                <w:sz w:val="20"/>
                <w:szCs w:val="20"/>
                <w:lang w:val="en-US"/>
              </w:rPr>
              <w:t xml:space="preserve"> administrations to healthy subjects. </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XM-22-05-CH</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rsidP="00FD2193">
            <w:pPr>
              <w:pStyle w:val="Tabletext"/>
              <w:keepNext/>
              <w:rPr>
                <w:rFonts w:asciiTheme="minorHAnsi" w:hAnsiTheme="minorHAnsi" w:cs="Arial"/>
                <w:sz w:val="20"/>
                <w:szCs w:val="20"/>
              </w:rPr>
            </w:pPr>
            <w:r w:rsidRPr="00FD2193">
              <w:rPr>
                <w:rFonts w:asciiTheme="minorHAnsi" w:hAnsiTheme="minorHAnsi" w:cs="Arial"/>
                <w:sz w:val="20"/>
                <w:szCs w:val="20"/>
                <w:lang w:val="en-US"/>
              </w:rPr>
              <w:t xml:space="preserve">PKs of XM22 after single </w:t>
            </w:r>
            <w:r>
              <w:rPr>
                <w:rFonts w:asciiTheme="minorHAnsi" w:hAnsiTheme="minorHAnsi" w:cs="Arial"/>
                <w:sz w:val="20"/>
                <w:szCs w:val="20"/>
                <w:lang w:val="en-US"/>
              </w:rPr>
              <w:t>SC</w:t>
            </w:r>
            <w:r w:rsidRPr="00FD2193">
              <w:rPr>
                <w:rFonts w:asciiTheme="minorHAnsi" w:hAnsiTheme="minorHAnsi" w:cs="Arial"/>
                <w:sz w:val="20"/>
                <w:szCs w:val="20"/>
                <w:lang w:val="en-US"/>
              </w:rPr>
              <w:t xml:space="preserve"> dosing at three different administration sites in healthy subjects. </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XM22-06</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lang w:val="en-US"/>
              </w:rPr>
              <w:t xml:space="preserve">Identification of the optimal fixed dose of XM22 compared to 6 mg </w:t>
            </w:r>
            <w:proofErr w:type="spellStart"/>
            <w:r w:rsidRPr="00FD2193">
              <w:rPr>
                <w:rFonts w:asciiTheme="minorHAnsi" w:hAnsiTheme="minorHAnsi" w:cs="Arial"/>
                <w:sz w:val="20"/>
                <w:szCs w:val="20"/>
                <w:lang w:val="en-US"/>
              </w:rPr>
              <w:t>Neulasta</w:t>
            </w:r>
            <w:proofErr w:type="spellEnd"/>
            <w:r w:rsidRPr="00FD2193">
              <w:rPr>
                <w:rFonts w:asciiTheme="minorHAnsi" w:hAnsiTheme="minorHAnsi" w:cs="Arial"/>
                <w:sz w:val="20"/>
                <w:szCs w:val="20"/>
                <w:lang w:val="en-US"/>
              </w:rPr>
              <w:t xml:space="preserve"> in patients with breast cancer receiving CTX. </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XM22-02-INT</w:t>
            </w:r>
          </w:p>
        </w:tc>
      </w:tr>
      <w:tr w:rsidR="00FD2193" w:rsidTr="00216F4E">
        <w:tc>
          <w:tcPr>
            <w:tcW w:w="1668" w:type="dxa"/>
            <w:vMerge/>
          </w:tcPr>
          <w:p w:rsidR="00FD2193" w:rsidRPr="00FD2193" w:rsidRDefault="00FD2193">
            <w:pPr>
              <w:pStyle w:val="Tabletext"/>
              <w:keepNext/>
              <w:rPr>
                <w:rFonts w:asciiTheme="minorHAnsi" w:hAnsiTheme="minorHAnsi"/>
                <w:b/>
                <w:sz w:val="20"/>
                <w:szCs w:val="20"/>
              </w:rPr>
            </w:pPr>
          </w:p>
        </w:tc>
        <w:tc>
          <w:tcPr>
            <w:tcW w:w="5670" w:type="dxa"/>
            <w:hideMark/>
          </w:tcPr>
          <w:p w:rsidR="00FD2193" w:rsidRPr="00FD2193" w:rsidRDefault="00FD2193" w:rsidP="00D23866">
            <w:pPr>
              <w:pStyle w:val="Tabletext"/>
              <w:keepNext/>
              <w:rPr>
                <w:rFonts w:asciiTheme="minorHAnsi" w:hAnsiTheme="minorHAnsi" w:cs="Arial"/>
                <w:sz w:val="20"/>
                <w:szCs w:val="20"/>
              </w:rPr>
            </w:pPr>
            <w:r w:rsidRPr="00FD2193">
              <w:rPr>
                <w:rFonts w:asciiTheme="minorHAnsi" w:hAnsiTheme="minorHAnsi" w:cs="Arial"/>
                <w:sz w:val="20"/>
                <w:szCs w:val="20"/>
              </w:rPr>
              <w:t xml:space="preserve">DSN, defined as </w:t>
            </w:r>
            <w:r w:rsidR="00D23866">
              <w:rPr>
                <w:rFonts w:asciiTheme="minorHAnsi" w:hAnsiTheme="minorHAnsi" w:cs="Arial"/>
                <w:sz w:val="20"/>
                <w:szCs w:val="20"/>
              </w:rPr>
              <w:t>G</w:t>
            </w:r>
            <w:r w:rsidRPr="00FD2193">
              <w:rPr>
                <w:rFonts w:asciiTheme="minorHAnsi" w:hAnsiTheme="minorHAnsi" w:cs="Arial"/>
                <w:sz w:val="20"/>
                <w:szCs w:val="20"/>
              </w:rPr>
              <w:t xml:space="preserve">rade 4 neutropenia with an ANC &lt;0.5 x 109/L. </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XM22-03</w:t>
            </w:r>
          </w:p>
        </w:tc>
      </w:tr>
      <w:tr w:rsidR="00FD2193" w:rsidTr="00216F4E">
        <w:tc>
          <w:tcPr>
            <w:tcW w:w="1668" w:type="dxa"/>
            <w:vMerge/>
          </w:tcPr>
          <w:p w:rsidR="00FD2193" w:rsidRPr="00FD2193" w:rsidRDefault="00FD2193">
            <w:pPr>
              <w:pStyle w:val="Tabletext"/>
              <w:keepNext/>
              <w:rPr>
                <w:rFonts w:asciiTheme="minorHAnsi" w:hAnsiTheme="minorHAnsi"/>
                <w:b/>
                <w:sz w:val="20"/>
                <w:szCs w:val="20"/>
              </w:rPr>
            </w:pPr>
          </w:p>
        </w:tc>
        <w:tc>
          <w:tcPr>
            <w:tcW w:w="5670" w:type="dxa"/>
            <w:hideMark/>
          </w:tcPr>
          <w:p w:rsidR="00FD2193" w:rsidRPr="00FD2193" w:rsidRDefault="00FD2193">
            <w:pPr>
              <w:widowControl w:val="0"/>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autoSpaceDE w:val="0"/>
              <w:autoSpaceDN w:val="0"/>
              <w:adjustRightInd w:val="0"/>
              <w:rPr>
                <w:rFonts w:asciiTheme="minorHAnsi" w:hAnsiTheme="minorHAnsi" w:cs="Arial"/>
                <w:kern w:val="16"/>
                <w:sz w:val="20"/>
                <w:szCs w:val="20"/>
              </w:rPr>
            </w:pPr>
            <w:r w:rsidRPr="00FD2193">
              <w:rPr>
                <w:rFonts w:asciiTheme="minorHAnsi" w:hAnsiTheme="minorHAnsi" w:cs="Arial"/>
                <w:sz w:val="20"/>
                <w:szCs w:val="20"/>
              </w:rPr>
              <w:t>Incidence of FN in the first cycle.</w:t>
            </w:r>
            <w:r w:rsidRPr="00FD2193">
              <w:rPr>
                <w:rFonts w:asciiTheme="minorHAnsi" w:hAnsiTheme="minorHAnsi" w:cs="Arial"/>
                <w:sz w:val="20"/>
                <w:szCs w:val="20"/>
                <w:lang w:val="en-US"/>
              </w:rPr>
              <w:t xml:space="preserve"> </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XM22-04</w:t>
            </w:r>
          </w:p>
        </w:tc>
      </w:tr>
      <w:tr w:rsidR="00FD2193" w:rsidTr="00216F4E">
        <w:tc>
          <w:tcPr>
            <w:tcW w:w="1668" w:type="dxa"/>
            <w:vMerge w:val="restart"/>
            <w:hideMark/>
          </w:tcPr>
          <w:p w:rsidR="00FD2193" w:rsidRPr="00FD2193" w:rsidRDefault="00FD2193">
            <w:pPr>
              <w:pStyle w:val="Tabletext"/>
              <w:keepNext/>
              <w:rPr>
                <w:rFonts w:asciiTheme="minorHAnsi" w:hAnsiTheme="minorHAnsi"/>
                <w:b/>
                <w:sz w:val="20"/>
                <w:szCs w:val="20"/>
              </w:rPr>
            </w:pPr>
            <w:r w:rsidRPr="00FD2193">
              <w:rPr>
                <w:rFonts w:asciiTheme="minorHAnsi" w:hAnsiTheme="minorHAnsi"/>
                <w:b/>
                <w:sz w:val="20"/>
                <w:szCs w:val="20"/>
              </w:rPr>
              <w:t>Secondary Pharmacology</w:t>
            </w:r>
          </w:p>
        </w:tc>
        <w:tc>
          <w:tcPr>
            <w:tcW w:w="5670" w:type="dxa"/>
          </w:tcPr>
          <w:p w:rsidR="00FD2193" w:rsidRPr="00FD2193" w:rsidRDefault="00FD2193" w:rsidP="00A25040">
            <w:pPr>
              <w:rPr>
                <w:rFonts w:asciiTheme="minorHAnsi" w:hAnsiTheme="minorHAnsi" w:cs="Arial"/>
                <w:sz w:val="20"/>
                <w:szCs w:val="20"/>
              </w:rPr>
            </w:pPr>
            <w:r w:rsidRPr="00FD2193">
              <w:rPr>
                <w:rFonts w:asciiTheme="minorHAnsi" w:hAnsiTheme="minorHAnsi" w:cs="Arial"/>
                <w:sz w:val="20"/>
                <w:szCs w:val="20"/>
              </w:rPr>
              <w:t>Effect on PK and immunogenicity, tolerability and safety</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 xml:space="preserve">XM22-01-CH </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cs="Arial"/>
                <w:sz w:val="20"/>
                <w:szCs w:val="20"/>
                <w:lang w:val="en-US"/>
              </w:rPr>
            </w:pPr>
            <w:r w:rsidRPr="00FD2193">
              <w:rPr>
                <w:rFonts w:asciiTheme="minorHAnsi" w:hAnsiTheme="minorHAnsi" w:cs="Arial"/>
                <w:sz w:val="20"/>
                <w:szCs w:val="20"/>
                <w:lang w:val="en-US"/>
              </w:rPr>
              <w:t xml:space="preserve">Evaluation of efficacy, safety, PKs, CD34+ cell </w:t>
            </w:r>
            <w:proofErr w:type="spellStart"/>
            <w:r w:rsidRPr="00FD2193">
              <w:rPr>
                <w:rFonts w:asciiTheme="minorHAnsi" w:hAnsiTheme="minorHAnsi" w:cs="Arial"/>
                <w:sz w:val="20"/>
                <w:szCs w:val="20"/>
                <w:lang w:val="en-US"/>
              </w:rPr>
              <w:t>mobilisation</w:t>
            </w:r>
            <w:proofErr w:type="spellEnd"/>
            <w:r w:rsidRPr="00FD2193">
              <w:rPr>
                <w:rFonts w:asciiTheme="minorHAnsi" w:hAnsiTheme="minorHAnsi" w:cs="Arial"/>
                <w:sz w:val="20"/>
                <w:szCs w:val="20"/>
                <w:lang w:val="en-US"/>
              </w:rPr>
              <w:t>, and immunogenicity of XM22 in patients with breast cancer under CTX.</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XM22-02INT</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rPr>
                <w:rFonts w:asciiTheme="minorHAnsi" w:hAnsiTheme="minorHAnsi" w:cs="Arial"/>
                <w:kern w:val="16"/>
                <w:sz w:val="20"/>
                <w:szCs w:val="20"/>
              </w:rPr>
            </w:pPr>
            <w:r w:rsidRPr="00FD2193">
              <w:rPr>
                <w:rFonts w:asciiTheme="minorHAnsi" w:hAnsiTheme="minorHAnsi" w:cs="Arial"/>
                <w:sz w:val="20"/>
                <w:szCs w:val="20"/>
                <w:lang w:val="en-US"/>
              </w:rPr>
              <w:t xml:space="preserve">Comparison of the respective PDs and PKs among body weight strata and evaluation of immunogenicity, tolerability and safety data of XM22 and </w:t>
            </w:r>
            <w:proofErr w:type="spellStart"/>
            <w:r w:rsidRPr="00FD2193">
              <w:rPr>
                <w:rFonts w:asciiTheme="minorHAnsi" w:hAnsiTheme="minorHAnsi" w:cs="Arial"/>
                <w:sz w:val="20"/>
                <w:szCs w:val="20"/>
                <w:lang w:val="en-US"/>
              </w:rPr>
              <w:t>Neulasta</w:t>
            </w:r>
            <w:proofErr w:type="spellEnd"/>
            <w:r w:rsidRPr="00FD2193">
              <w:rPr>
                <w:rFonts w:asciiTheme="minorHAnsi" w:hAnsiTheme="minorHAnsi" w:cs="Arial"/>
                <w:sz w:val="20"/>
                <w:szCs w:val="20"/>
                <w:lang w:val="en-US"/>
              </w:rPr>
              <w:t>.</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XM-22-05-CH</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lang w:val="en-US"/>
              </w:rPr>
              <w:t>Comparison of the PDs (ANC, CD34+ cell count), PKs in male vs. female subjects and evaluation of immunogenicity, tolerability and safety data of the three single doses of 6 mg XM22.</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XM22-06</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rsidP="00FD2193">
            <w:pPr>
              <w:widowControl w:val="0"/>
              <w:autoSpaceDE w:val="0"/>
              <w:autoSpaceDN w:val="0"/>
              <w:adjustRightInd w:val="0"/>
              <w:rPr>
                <w:rFonts w:asciiTheme="minorHAnsi" w:hAnsiTheme="minorHAnsi" w:cs="Arial"/>
                <w:kern w:val="16"/>
                <w:sz w:val="20"/>
                <w:szCs w:val="20"/>
              </w:rPr>
            </w:pPr>
            <w:r w:rsidRPr="00FD2193">
              <w:rPr>
                <w:rFonts w:asciiTheme="minorHAnsi" w:hAnsiTheme="minorHAnsi" w:cs="Arial"/>
                <w:sz w:val="20"/>
                <w:szCs w:val="20"/>
              </w:rPr>
              <w:t>Efficacy, safety, tolerability, PKs, CD34+ cell mobilisation, and</w:t>
            </w:r>
            <w:r>
              <w:rPr>
                <w:rFonts w:asciiTheme="minorHAnsi" w:hAnsiTheme="minorHAnsi" w:cs="Arial"/>
                <w:sz w:val="20"/>
                <w:szCs w:val="20"/>
              </w:rPr>
              <w:t xml:space="preserve"> </w:t>
            </w:r>
            <w:r w:rsidRPr="00FD2193">
              <w:rPr>
                <w:rFonts w:asciiTheme="minorHAnsi" w:hAnsiTheme="minorHAnsi" w:cs="Arial"/>
                <w:sz w:val="20"/>
                <w:szCs w:val="20"/>
              </w:rPr>
              <w:t>immunogenicity of XM22 in patients with breast cancer under CTX.</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XM22-03</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tcPr>
          <w:p w:rsidR="00FD2193" w:rsidRPr="00FD2193" w:rsidRDefault="00FD2193" w:rsidP="00FD2193">
            <w:pPr>
              <w:widowControl w:val="0"/>
              <w:tabs>
                <w:tab w:val="left" w:pos="720"/>
              </w:tabs>
              <w:autoSpaceDE w:val="0"/>
              <w:autoSpaceDN w:val="0"/>
              <w:adjustRightInd w:val="0"/>
              <w:rPr>
                <w:rFonts w:asciiTheme="minorHAnsi" w:hAnsiTheme="minorHAnsi" w:cs="Arial"/>
                <w:sz w:val="20"/>
                <w:szCs w:val="20"/>
              </w:rPr>
            </w:pPr>
            <w:r w:rsidRPr="00FD2193">
              <w:rPr>
                <w:rFonts w:asciiTheme="minorHAnsi" w:hAnsiTheme="minorHAnsi" w:cs="Arial"/>
                <w:sz w:val="20"/>
                <w:szCs w:val="20"/>
                <w:lang w:val="en-US"/>
              </w:rPr>
              <w:t>Evaluation of efficacy, safety, tolerability, PKs, CD34+ cell</w:t>
            </w:r>
            <w:r>
              <w:rPr>
                <w:rFonts w:asciiTheme="minorHAnsi" w:hAnsiTheme="minorHAnsi" w:cs="Arial"/>
                <w:sz w:val="20"/>
                <w:szCs w:val="20"/>
                <w:lang w:val="en-US"/>
              </w:rPr>
              <w:t xml:space="preserve"> </w:t>
            </w:r>
            <w:proofErr w:type="spellStart"/>
            <w:r w:rsidRPr="00FD2193">
              <w:rPr>
                <w:rFonts w:asciiTheme="minorHAnsi" w:hAnsiTheme="minorHAnsi" w:cs="Arial"/>
                <w:sz w:val="20"/>
                <w:szCs w:val="20"/>
                <w:lang w:val="en-US"/>
              </w:rPr>
              <w:t>mobilisation</w:t>
            </w:r>
            <w:proofErr w:type="spellEnd"/>
            <w:r w:rsidRPr="00FD2193">
              <w:rPr>
                <w:rFonts w:asciiTheme="minorHAnsi" w:hAnsiTheme="minorHAnsi" w:cs="Arial"/>
                <w:sz w:val="20"/>
                <w:szCs w:val="20"/>
                <w:lang w:val="en-US"/>
              </w:rPr>
              <w:t>, and immunogenicity of XM22 in patients with non-small cell lung cancer under</w:t>
            </w:r>
            <w:r>
              <w:rPr>
                <w:rFonts w:asciiTheme="minorHAnsi" w:hAnsiTheme="minorHAnsi" w:cs="Arial"/>
                <w:sz w:val="20"/>
                <w:szCs w:val="20"/>
                <w:lang w:val="en-US"/>
              </w:rPr>
              <w:t xml:space="preserve"> </w:t>
            </w:r>
            <w:r w:rsidRPr="00FD2193">
              <w:rPr>
                <w:rFonts w:asciiTheme="minorHAnsi" w:hAnsiTheme="minorHAnsi" w:cs="Arial"/>
                <w:sz w:val="20"/>
                <w:szCs w:val="20"/>
              </w:rPr>
              <w:t>CTX.</w:t>
            </w:r>
          </w:p>
        </w:tc>
        <w:tc>
          <w:tcPr>
            <w:tcW w:w="1559" w:type="dxa"/>
            <w:hideMark/>
          </w:tcPr>
          <w:p w:rsidR="00FD2193" w:rsidRPr="00FD2193" w:rsidRDefault="00FD2193">
            <w:pPr>
              <w:pStyle w:val="Tabletext"/>
              <w:keepNext/>
              <w:rPr>
                <w:rFonts w:asciiTheme="minorHAnsi" w:hAnsiTheme="minorHAnsi" w:cs="Arial"/>
                <w:sz w:val="20"/>
                <w:szCs w:val="20"/>
              </w:rPr>
            </w:pPr>
            <w:r w:rsidRPr="00FD2193">
              <w:rPr>
                <w:rFonts w:asciiTheme="minorHAnsi" w:hAnsiTheme="minorHAnsi" w:cs="Arial"/>
                <w:sz w:val="20"/>
                <w:szCs w:val="20"/>
              </w:rPr>
              <w:t>XM22-04</w:t>
            </w:r>
          </w:p>
        </w:tc>
      </w:tr>
      <w:tr w:rsidR="00FD2193" w:rsidTr="00216F4E">
        <w:tc>
          <w:tcPr>
            <w:tcW w:w="1668" w:type="dxa"/>
            <w:vMerge w:val="restart"/>
            <w:hideMark/>
          </w:tcPr>
          <w:p w:rsidR="00FD2193" w:rsidRPr="00FD2193" w:rsidRDefault="00FD2193">
            <w:pPr>
              <w:pStyle w:val="Tabletext"/>
              <w:keepNext/>
              <w:rPr>
                <w:rFonts w:asciiTheme="minorHAnsi" w:hAnsiTheme="minorHAnsi"/>
                <w:b/>
                <w:sz w:val="20"/>
                <w:szCs w:val="20"/>
              </w:rPr>
            </w:pPr>
            <w:r w:rsidRPr="00FD2193">
              <w:rPr>
                <w:rFonts w:asciiTheme="minorHAnsi" w:hAnsiTheme="minorHAnsi"/>
                <w:b/>
                <w:sz w:val="20"/>
                <w:szCs w:val="20"/>
              </w:rPr>
              <w:t>Gender other genetic and Age-Related Differences in PD Response</w:t>
            </w:r>
          </w:p>
        </w:tc>
        <w:tc>
          <w:tcPr>
            <w:tcW w:w="5670"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Effect of gender</w:t>
            </w: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XM22-06, XM22-04</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Effect of ethnicity</w:t>
            </w: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Population model (numbers too small in PD studies)</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Effect of age</w:t>
            </w: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XM22-04</w:t>
            </w:r>
          </w:p>
        </w:tc>
      </w:tr>
      <w:tr w:rsidR="00FD2193" w:rsidTr="00216F4E">
        <w:tc>
          <w:tcPr>
            <w:tcW w:w="1668" w:type="dxa"/>
            <w:hideMark/>
          </w:tcPr>
          <w:p w:rsidR="00FD2193" w:rsidRPr="00FD2193" w:rsidRDefault="00FD2193">
            <w:pPr>
              <w:pStyle w:val="Tabletext"/>
              <w:keepNext/>
              <w:rPr>
                <w:rFonts w:asciiTheme="minorHAnsi" w:hAnsiTheme="minorHAnsi"/>
                <w:b/>
                <w:sz w:val="20"/>
                <w:szCs w:val="20"/>
              </w:rPr>
            </w:pPr>
            <w:r w:rsidRPr="00FD2193">
              <w:rPr>
                <w:rFonts w:asciiTheme="minorHAnsi" w:hAnsiTheme="minorHAnsi"/>
                <w:b/>
                <w:sz w:val="20"/>
                <w:szCs w:val="20"/>
              </w:rPr>
              <w:t>PD Interactions</w:t>
            </w:r>
          </w:p>
        </w:tc>
        <w:tc>
          <w:tcPr>
            <w:tcW w:w="5670" w:type="dxa"/>
          </w:tcPr>
          <w:p w:rsidR="00FD2193" w:rsidRPr="00FD2193" w:rsidRDefault="00FD2193">
            <w:pPr>
              <w:pStyle w:val="Tabletext"/>
              <w:keepNext/>
              <w:rPr>
                <w:rFonts w:asciiTheme="minorHAnsi" w:hAnsiTheme="minorHAnsi"/>
                <w:sz w:val="20"/>
                <w:szCs w:val="20"/>
              </w:rPr>
            </w:pP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Population model</w:t>
            </w:r>
          </w:p>
        </w:tc>
      </w:tr>
      <w:tr w:rsidR="00FD2193" w:rsidTr="00216F4E">
        <w:tc>
          <w:tcPr>
            <w:tcW w:w="1668" w:type="dxa"/>
            <w:vMerge w:val="restart"/>
            <w:hideMark/>
          </w:tcPr>
          <w:p w:rsidR="00FD2193" w:rsidRPr="00FD2193" w:rsidRDefault="00FD2193">
            <w:pPr>
              <w:pStyle w:val="Tabletext"/>
              <w:keepNext/>
              <w:rPr>
                <w:rFonts w:asciiTheme="minorHAnsi" w:hAnsiTheme="minorHAnsi"/>
                <w:b/>
                <w:sz w:val="20"/>
                <w:szCs w:val="20"/>
              </w:rPr>
            </w:pPr>
            <w:r w:rsidRPr="00FD2193">
              <w:rPr>
                <w:rFonts w:asciiTheme="minorHAnsi" w:hAnsiTheme="minorHAnsi"/>
                <w:b/>
                <w:sz w:val="20"/>
                <w:szCs w:val="20"/>
              </w:rPr>
              <w:t>Population PD and PK-PD analyses</w:t>
            </w:r>
          </w:p>
        </w:tc>
        <w:tc>
          <w:tcPr>
            <w:tcW w:w="5670"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Healthy subjects</w:t>
            </w: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Population model</w:t>
            </w:r>
          </w:p>
        </w:tc>
      </w:tr>
      <w:tr w:rsidR="00FD2193" w:rsidTr="00216F4E">
        <w:tc>
          <w:tcPr>
            <w:tcW w:w="1668" w:type="dxa"/>
            <w:vMerge/>
            <w:hideMark/>
          </w:tcPr>
          <w:p w:rsidR="00FD2193" w:rsidRPr="00FD2193" w:rsidRDefault="00FD2193">
            <w:pPr>
              <w:rPr>
                <w:rFonts w:asciiTheme="minorHAnsi" w:hAnsiTheme="minorHAnsi"/>
                <w:b/>
                <w:kern w:val="16"/>
                <w:sz w:val="20"/>
                <w:szCs w:val="20"/>
              </w:rPr>
            </w:pPr>
          </w:p>
        </w:tc>
        <w:tc>
          <w:tcPr>
            <w:tcW w:w="5670"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Target population</w:t>
            </w:r>
          </w:p>
        </w:tc>
        <w:tc>
          <w:tcPr>
            <w:tcW w:w="1559" w:type="dxa"/>
            <w:hideMark/>
          </w:tcPr>
          <w:p w:rsidR="00FD2193" w:rsidRPr="00FD2193" w:rsidRDefault="00FD2193">
            <w:pPr>
              <w:pStyle w:val="Tabletext"/>
              <w:keepNext/>
              <w:rPr>
                <w:rFonts w:asciiTheme="minorHAnsi" w:hAnsiTheme="minorHAnsi"/>
                <w:sz w:val="20"/>
                <w:szCs w:val="20"/>
              </w:rPr>
            </w:pPr>
            <w:r w:rsidRPr="00FD2193">
              <w:rPr>
                <w:rFonts w:asciiTheme="minorHAnsi" w:hAnsiTheme="minorHAnsi"/>
                <w:sz w:val="20"/>
                <w:szCs w:val="20"/>
              </w:rPr>
              <w:t>Population model</w:t>
            </w:r>
          </w:p>
        </w:tc>
      </w:tr>
    </w:tbl>
    <w:p w:rsidR="00660BC2" w:rsidRDefault="00660BC2" w:rsidP="00660BC2">
      <w:pPr>
        <w:pStyle w:val="Caption"/>
        <w:rPr>
          <w:kern w:val="16"/>
          <w:sz w:val="20"/>
        </w:rPr>
      </w:pPr>
    </w:p>
    <w:p w:rsidR="00660BC2" w:rsidRDefault="00660BC2" w:rsidP="00FD2193">
      <w:r>
        <w:t xml:space="preserve">There were no other </w:t>
      </w:r>
      <w:proofErr w:type="spellStart"/>
      <w:r>
        <w:t>pharmacodynamic</w:t>
      </w:r>
      <w:proofErr w:type="spellEnd"/>
      <w:r>
        <w:t xml:space="preserve"> studies submitted in this application.</w:t>
      </w:r>
      <w:bookmarkStart w:id="95" w:name="_Ref271120967"/>
      <w:bookmarkStart w:id="96" w:name="_Ref271033791"/>
      <w:bookmarkEnd w:id="95"/>
      <w:bookmarkEnd w:id="96"/>
    </w:p>
    <w:p w:rsidR="00605AD4" w:rsidRDefault="00605AD4" w:rsidP="00FD2193">
      <w:pPr>
        <w:pStyle w:val="Heading4"/>
      </w:pPr>
      <w:r>
        <w:t xml:space="preserve">Evaluator’s </w:t>
      </w:r>
      <w:r w:rsidRPr="00FD2193">
        <w:t>conclusions</w:t>
      </w:r>
      <w:r>
        <w:t xml:space="preserve"> on pharmacodynamics</w:t>
      </w:r>
    </w:p>
    <w:p w:rsidR="00B56A57" w:rsidRDefault="00660BC2" w:rsidP="00191BC5">
      <w:r>
        <w:t xml:space="preserve">Overall, the PD parameters were difficult to comments on because of small numbers in each of the groups (females, age over 65, obese, for example). Formal studies on patients and PK and on PK and PD outcomes were seemingly not undertaken. This would have </w:t>
      </w:r>
      <w:r>
        <w:lastRenderedPageBreak/>
        <w:t xml:space="preserve">been very helpful as </w:t>
      </w:r>
      <w:r w:rsidR="00FD2193">
        <w:t>the sponsor proposes to</w:t>
      </w:r>
      <w:r>
        <w:t xml:space="preserve"> move from a weight-based dosing regimen to a fixed dose (0.6</w:t>
      </w:r>
      <w:r w:rsidR="00FD2193">
        <w:t xml:space="preserve"> </w:t>
      </w:r>
      <w:r>
        <w:t xml:space="preserve">mg) </w:t>
      </w:r>
      <w:r w:rsidR="00FD2193">
        <w:t xml:space="preserve">regimen </w:t>
      </w:r>
      <w:r>
        <w:t>for all patients</w:t>
      </w:r>
      <w:r w:rsidR="00B56A57">
        <w:t>.</w:t>
      </w:r>
    </w:p>
    <w:p w:rsidR="00660BC2" w:rsidRDefault="00660BC2" w:rsidP="00191BC5">
      <w:r>
        <w:t xml:space="preserve">There was a high rate of withdrawal in several studies which are sources of bias, </w:t>
      </w:r>
      <w:r w:rsidR="00FD2193">
        <w:t>for example</w:t>
      </w:r>
      <w:r>
        <w:t xml:space="preserve"> in </w:t>
      </w:r>
      <w:r w:rsidR="00FD2193">
        <w:t xml:space="preserve">Study </w:t>
      </w:r>
      <w:r>
        <w:t>XM22-04</w:t>
      </w:r>
      <w:r w:rsidR="00FD2193">
        <w:t>,</w:t>
      </w:r>
      <w:r>
        <w:t xml:space="preserve"> 250 </w:t>
      </w:r>
      <w:r w:rsidR="00FD2193">
        <w:t xml:space="preserve">patients </w:t>
      </w:r>
      <w:r>
        <w:t xml:space="preserve">completed and 128 </w:t>
      </w:r>
      <w:r w:rsidR="00FD2193">
        <w:t xml:space="preserve">patients </w:t>
      </w:r>
      <w:r>
        <w:t>discontinued. In XM22-03, 2 patients stopped after the first dose because of pain.</w:t>
      </w:r>
    </w:p>
    <w:p w:rsidR="00660BC2" w:rsidRDefault="00660BC2" w:rsidP="00191BC5">
      <w:pPr>
        <w:rPr>
          <w:rFonts w:cstheme="minorHAnsi"/>
        </w:rPr>
      </w:pPr>
      <w:r>
        <w:rPr>
          <w:rFonts w:cstheme="minorHAnsi"/>
        </w:rPr>
        <w:t xml:space="preserve">The </w:t>
      </w:r>
      <w:r w:rsidR="00FD2193">
        <w:rPr>
          <w:rFonts w:cstheme="minorHAnsi"/>
        </w:rPr>
        <w:t>s</w:t>
      </w:r>
      <w:r>
        <w:rPr>
          <w:rFonts w:cstheme="minorHAnsi"/>
        </w:rPr>
        <w:t xml:space="preserve">ponsor is requested to provide information on the patients who developed </w:t>
      </w:r>
      <w:proofErr w:type="spellStart"/>
      <w:r>
        <w:rPr>
          <w:rFonts w:cstheme="minorHAnsi"/>
        </w:rPr>
        <w:t>hyperleucocytosis</w:t>
      </w:r>
      <w:proofErr w:type="spellEnd"/>
      <w:r>
        <w:rPr>
          <w:rFonts w:cstheme="minorHAnsi"/>
        </w:rPr>
        <w:t>, and withdrawal</w:t>
      </w:r>
      <w:r w:rsidR="00FD2193">
        <w:rPr>
          <w:rFonts w:cstheme="minorHAnsi"/>
        </w:rPr>
        <w:t xml:space="preserve"> (see </w:t>
      </w:r>
      <w:r w:rsidR="00FD2193" w:rsidRPr="00FD2193">
        <w:rPr>
          <w:rFonts w:cstheme="minorHAnsi"/>
          <w:i/>
        </w:rPr>
        <w:t>C</w:t>
      </w:r>
      <w:r w:rsidRPr="00FD2193">
        <w:rPr>
          <w:rFonts w:cstheme="minorHAnsi"/>
          <w:i/>
        </w:rPr>
        <w:t>linical questions</w:t>
      </w:r>
      <w:r w:rsidR="00FD2193">
        <w:rPr>
          <w:rFonts w:cstheme="minorHAnsi"/>
        </w:rPr>
        <w:t xml:space="preserve"> below)</w:t>
      </w:r>
      <w:r>
        <w:rPr>
          <w:rFonts w:cstheme="minorHAnsi"/>
        </w:rPr>
        <w:t xml:space="preserve">. The patient narratives are noted but specifically extra information such as the body size and concentrations of XM22 at the time of the PD effects would be helpful to understand if there is a correlation of factors with PD outcomes. This is especially pertinent as the proposed dose of </w:t>
      </w:r>
      <w:proofErr w:type="spellStart"/>
      <w:r>
        <w:rPr>
          <w:rFonts w:cstheme="minorHAnsi"/>
        </w:rPr>
        <w:t>lipegfilgrastim</w:t>
      </w:r>
      <w:proofErr w:type="spellEnd"/>
      <w:r>
        <w:rPr>
          <w:rFonts w:cstheme="minorHAnsi"/>
        </w:rPr>
        <w:t xml:space="preserve"> is not weight (total, lean) or other PK</w:t>
      </w:r>
      <w:r w:rsidR="00FD2193">
        <w:rPr>
          <w:rFonts w:cstheme="minorHAnsi"/>
        </w:rPr>
        <w:t xml:space="preserve"> </w:t>
      </w:r>
      <w:r>
        <w:rPr>
          <w:rFonts w:cstheme="minorHAnsi"/>
        </w:rPr>
        <w:t>factor based.</w:t>
      </w:r>
    </w:p>
    <w:p w:rsidR="00660BC2" w:rsidRDefault="00605AD4" w:rsidP="00FD2193">
      <w:pPr>
        <w:pStyle w:val="Heading3"/>
      </w:pPr>
      <w:bookmarkStart w:id="97" w:name="_Toc445210965"/>
      <w:r>
        <w:t xml:space="preserve">Dosage selection for the pivotal </w:t>
      </w:r>
      <w:r w:rsidRPr="00FD2193">
        <w:t>studies</w:t>
      </w:r>
      <w:bookmarkStart w:id="98" w:name="_Toc414348872"/>
      <w:bookmarkStart w:id="99" w:name="_Toc290846271"/>
      <w:bookmarkStart w:id="100" w:name="_Toc272414649"/>
      <w:bookmarkStart w:id="101" w:name="_Ref271214453"/>
      <w:bookmarkEnd w:id="97"/>
      <w:r w:rsidR="00660BC2" w:rsidRPr="00660BC2">
        <w:t xml:space="preserve"> </w:t>
      </w:r>
      <w:bookmarkEnd w:id="98"/>
      <w:bookmarkEnd w:id="99"/>
      <w:bookmarkEnd w:id="100"/>
      <w:bookmarkEnd w:id="101"/>
    </w:p>
    <w:p w:rsidR="00660BC2" w:rsidRDefault="00660BC2" w:rsidP="00FD2193">
      <w:pPr>
        <w:rPr>
          <w:lang w:val="en-US"/>
        </w:rPr>
      </w:pPr>
      <w:r>
        <w:rPr>
          <w:lang w:val="en-US"/>
        </w:rPr>
        <w:t xml:space="preserve">Dose selection for the pivotal studies </w:t>
      </w:r>
      <w:r w:rsidRPr="00FD2193">
        <w:rPr>
          <w:lang w:val="en-US"/>
        </w:rPr>
        <w:t>was undertaken in Stud</w:t>
      </w:r>
      <w:r w:rsidR="00FD2193" w:rsidRPr="00FD2193">
        <w:rPr>
          <w:lang w:val="en-US"/>
        </w:rPr>
        <w:t>ies</w:t>
      </w:r>
      <w:r w:rsidRPr="00FD2193">
        <w:rPr>
          <w:lang w:val="en-US"/>
        </w:rPr>
        <w:t xml:space="preserve"> XM22-01</w:t>
      </w:r>
      <w:r w:rsidR="00FD2193" w:rsidRPr="00FD2193">
        <w:rPr>
          <w:lang w:val="en-US"/>
        </w:rPr>
        <w:t xml:space="preserve"> and</w:t>
      </w:r>
      <w:r w:rsidRPr="00FD2193">
        <w:rPr>
          <w:lang w:val="en-US"/>
        </w:rPr>
        <w:t xml:space="preserve"> XM22-02, with PK simulation with data from healthy subjects used for sensitivity analyses. It was acknowledged that PK and PD data in response to </w:t>
      </w:r>
      <w:r w:rsidR="00FD2193" w:rsidRPr="00FD2193">
        <w:rPr>
          <w:lang w:val="en-US"/>
        </w:rPr>
        <w:t>G-CSF</w:t>
      </w:r>
      <w:r w:rsidRPr="00FD2193">
        <w:rPr>
          <w:lang w:val="en-US"/>
        </w:rPr>
        <w:t xml:space="preserve"> is different in a population receiving </w:t>
      </w:r>
      <w:proofErr w:type="spellStart"/>
      <w:r w:rsidRPr="00FD2193">
        <w:rPr>
          <w:lang w:val="en-US"/>
        </w:rPr>
        <w:t>myeloablative</w:t>
      </w:r>
      <w:proofErr w:type="spellEnd"/>
      <w:r w:rsidRPr="00FD2193">
        <w:rPr>
          <w:lang w:val="en-US"/>
        </w:rPr>
        <w:t xml:space="preserve"> therapy to healthy subjects.</w:t>
      </w:r>
    </w:p>
    <w:p w:rsidR="00B56A57" w:rsidRDefault="00660BC2" w:rsidP="00FD2193">
      <w:pPr>
        <w:rPr>
          <w:rFonts w:cs="TimesNewRoman"/>
          <w:lang w:val="en-US"/>
        </w:rPr>
      </w:pPr>
      <w:r w:rsidRPr="00D23866">
        <w:rPr>
          <w:rFonts w:cs="TimesNewRoman"/>
          <w:i/>
          <w:iCs/>
          <w:color w:val="000000"/>
          <w:lang w:val="en-US"/>
        </w:rPr>
        <w:t>XM22-01</w:t>
      </w:r>
      <w:r>
        <w:rPr>
          <w:rFonts w:cs="TimesNewRoman"/>
          <w:color w:val="000000"/>
          <w:lang w:val="en-US"/>
        </w:rPr>
        <w:t xml:space="preserve"> was a single-blind, single</w:t>
      </w:r>
      <w:r w:rsidR="00216F4E">
        <w:rPr>
          <w:rFonts w:cs="TimesNewRoman"/>
          <w:color w:val="000000"/>
          <w:lang w:val="en-US"/>
        </w:rPr>
        <w:t xml:space="preserve"> </w:t>
      </w:r>
      <w:proofErr w:type="spellStart"/>
      <w:r>
        <w:rPr>
          <w:rFonts w:cs="TimesNewRoman"/>
          <w:color w:val="000000"/>
          <w:lang w:val="en-US"/>
        </w:rPr>
        <w:t>centre</w:t>
      </w:r>
      <w:proofErr w:type="spellEnd"/>
      <w:r>
        <w:rPr>
          <w:rFonts w:cs="TimesNewRoman"/>
          <w:color w:val="000000"/>
          <w:lang w:val="en-US"/>
        </w:rPr>
        <w:t xml:space="preserve">, randomized Phase I study in 3 (planned 4) parallel groups </w:t>
      </w:r>
      <w:r w:rsidR="00D23866">
        <w:rPr>
          <w:rFonts w:cs="TimesNewRoman"/>
          <w:color w:val="000000"/>
          <w:lang w:val="en-US"/>
        </w:rPr>
        <w:t xml:space="preserve">which was </w:t>
      </w:r>
      <w:r w:rsidR="00FD2193">
        <w:rPr>
          <w:rFonts w:cs="TimesNewRoman"/>
          <w:color w:val="000000"/>
          <w:lang w:val="en-US"/>
        </w:rPr>
        <w:t>preceded</w:t>
      </w:r>
      <w:r>
        <w:rPr>
          <w:rFonts w:cs="TimesNewRoman"/>
          <w:color w:val="000000"/>
          <w:lang w:val="en-US"/>
        </w:rPr>
        <w:t xml:space="preserve"> by a pilot cohort (25 </w:t>
      </w:r>
      <w:proofErr w:type="spellStart"/>
      <w:r>
        <w:rPr>
          <w:rFonts w:cs="TimesNewRoman"/>
          <w:color w:val="000000"/>
          <w:lang w:val="en-US"/>
        </w:rPr>
        <w:t>μg</w:t>
      </w:r>
      <w:proofErr w:type="spellEnd"/>
      <w:r>
        <w:rPr>
          <w:rFonts w:cs="TimesNewRoman"/>
          <w:color w:val="000000"/>
          <w:lang w:val="en-US"/>
        </w:rPr>
        <w:t xml:space="preserve">/kg XM22). The primary objective was to compare the PDs of 3 different ascending doses of XM22 (50, 100 and 200 </w:t>
      </w:r>
      <w:proofErr w:type="spellStart"/>
      <w:r>
        <w:rPr>
          <w:rFonts w:cs="TimesNewRoman"/>
          <w:color w:val="000000"/>
          <w:lang w:val="en-US"/>
        </w:rPr>
        <w:t>μg</w:t>
      </w:r>
      <w:proofErr w:type="spellEnd"/>
      <w:r>
        <w:rPr>
          <w:rFonts w:cs="TimesNewRoman"/>
          <w:color w:val="000000"/>
          <w:lang w:val="en-US"/>
        </w:rPr>
        <w:t xml:space="preserve">/kg) and 100 </w:t>
      </w:r>
      <w:proofErr w:type="spellStart"/>
      <w:r>
        <w:rPr>
          <w:rFonts w:cs="TimesNewRoman"/>
          <w:color w:val="000000"/>
          <w:lang w:val="en-US"/>
        </w:rPr>
        <w:t>μg</w:t>
      </w:r>
      <w:proofErr w:type="spellEnd"/>
      <w:r>
        <w:rPr>
          <w:rFonts w:cs="TimesNewRoman"/>
          <w:color w:val="000000"/>
          <w:lang w:val="en-US"/>
        </w:rPr>
        <w:t xml:space="preserve">/kg </w:t>
      </w:r>
      <w:proofErr w:type="spellStart"/>
      <w:r>
        <w:rPr>
          <w:rFonts w:cs="TimesNewRoman"/>
          <w:color w:val="000000"/>
          <w:lang w:val="en-US"/>
        </w:rPr>
        <w:t>Neulasta</w:t>
      </w:r>
      <w:proofErr w:type="spellEnd"/>
      <w:r>
        <w:rPr>
          <w:rFonts w:cs="TimesNewRoman"/>
          <w:color w:val="000000"/>
          <w:lang w:val="en-US"/>
        </w:rPr>
        <w:t xml:space="preserve"> given as single </w:t>
      </w:r>
      <w:r w:rsidR="00FD2193">
        <w:rPr>
          <w:rFonts w:cs="TimesNewRoman"/>
          <w:color w:val="000000"/>
          <w:lang w:val="en-US"/>
        </w:rPr>
        <w:t>SC</w:t>
      </w:r>
      <w:r>
        <w:rPr>
          <w:rFonts w:cs="TimesNewRoman"/>
          <w:color w:val="000000"/>
          <w:lang w:val="en-US"/>
        </w:rPr>
        <w:t xml:space="preserve"> doses to healthy subjects. A total of 53 healthy male and female Caucasian subjects were included in the treatment groups, 45 subjects were allocated to Group 1 (n = 15; 50 </w:t>
      </w:r>
      <w:proofErr w:type="spellStart"/>
      <w:r>
        <w:rPr>
          <w:rFonts w:cs="TimesNewRoman"/>
          <w:color w:val="000000"/>
          <w:lang w:val="en-US"/>
        </w:rPr>
        <w:t>μg</w:t>
      </w:r>
      <w:proofErr w:type="spellEnd"/>
      <w:r>
        <w:rPr>
          <w:rFonts w:cs="TimesNewRoman"/>
          <w:color w:val="000000"/>
          <w:lang w:val="en-US"/>
        </w:rPr>
        <w:t xml:space="preserve">/kg XM22), Group 2 (n = 15; 100 </w:t>
      </w:r>
      <w:proofErr w:type="spellStart"/>
      <w:r>
        <w:rPr>
          <w:rFonts w:cs="TimesNewRoman"/>
          <w:color w:val="000000"/>
          <w:lang w:val="en-US"/>
        </w:rPr>
        <w:t>μg</w:t>
      </w:r>
      <w:proofErr w:type="spellEnd"/>
      <w:r>
        <w:rPr>
          <w:rFonts w:cs="TimesNewRoman"/>
          <w:color w:val="000000"/>
          <w:lang w:val="en-US"/>
        </w:rPr>
        <w:t xml:space="preserve">/kg XM22) and Group 4 (n = 15, control group; 100 </w:t>
      </w:r>
      <w:proofErr w:type="spellStart"/>
      <w:r>
        <w:rPr>
          <w:rFonts w:cs="TimesNewRoman"/>
          <w:color w:val="000000"/>
          <w:lang w:val="en-US"/>
        </w:rPr>
        <w:t>μg</w:t>
      </w:r>
      <w:proofErr w:type="spellEnd"/>
      <w:r>
        <w:rPr>
          <w:rFonts w:cs="TimesNewRoman"/>
          <w:color w:val="000000"/>
          <w:lang w:val="en-US"/>
        </w:rPr>
        <w:t xml:space="preserve">/kg </w:t>
      </w:r>
      <w:proofErr w:type="spellStart"/>
      <w:r>
        <w:rPr>
          <w:rFonts w:cs="TimesNewRoman"/>
          <w:color w:val="000000"/>
          <w:lang w:val="en-US"/>
        </w:rPr>
        <w:t>Neulasta</w:t>
      </w:r>
      <w:proofErr w:type="spellEnd"/>
      <w:r>
        <w:rPr>
          <w:rFonts w:cs="TimesNewRoman"/>
          <w:color w:val="000000"/>
          <w:lang w:val="en-US"/>
        </w:rPr>
        <w:t xml:space="preserve">, divided in 3 cohorts of 5 subjects). Subjects entered into Group 3 received only </w:t>
      </w:r>
      <w:proofErr w:type="spellStart"/>
      <w:r>
        <w:rPr>
          <w:rFonts w:cs="TimesNewRoman"/>
          <w:color w:val="000000"/>
          <w:lang w:val="en-US"/>
        </w:rPr>
        <w:t>Neulasta</w:t>
      </w:r>
      <w:proofErr w:type="spellEnd"/>
      <w:r>
        <w:rPr>
          <w:rFonts w:cs="TimesNewRoman"/>
          <w:color w:val="000000"/>
          <w:lang w:val="en-US"/>
        </w:rPr>
        <w:t xml:space="preserve">. </w:t>
      </w:r>
      <w:r>
        <w:rPr>
          <w:rFonts w:cs="TimesNewRoman"/>
          <w:lang w:val="en-US"/>
        </w:rPr>
        <w:t xml:space="preserve">Figure </w:t>
      </w:r>
      <w:r w:rsidR="00D10CCF">
        <w:rPr>
          <w:rFonts w:cs="TimesNewRoman"/>
          <w:lang w:val="en-US"/>
        </w:rPr>
        <w:t>3</w:t>
      </w:r>
      <w:r>
        <w:rPr>
          <w:rFonts w:cs="TimesNewRoman"/>
          <w:lang w:val="en-US"/>
        </w:rPr>
        <w:t xml:space="preserve"> shows the synoptic plots of G-CSF serum concentrations following single </w:t>
      </w:r>
      <w:r w:rsidR="00FD2193">
        <w:rPr>
          <w:rFonts w:cs="TimesNewRoman"/>
          <w:lang w:val="en-US"/>
        </w:rPr>
        <w:t>SC</w:t>
      </w:r>
      <w:r>
        <w:rPr>
          <w:rFonts w:cs="TimesNewRoman"/>
          <w:lang w:val="en-US"/>
        </w:rPr>
        <w:t xml:space="preserve"> injection of the 3 dose levels of XM22 and </w:t>
      </w:r>
      <w:proofErr w:type="spellStart"/>
      <w:r>
        <w:rPr>
          <w:rFonts w:cs="TimesNewRoman"/>
          <w:lang w:val="en-US"/>
        </w:rPr>
        <w:t>Neulasta</w:t>
      </w:r>
      <w:proofErr w:type="spellEnd"/>
      <w:r>
        <w:rPr>
          <w:rFonts w:cs="TimesNewRoman"/>
          <w:lang w:val="en-US"/>
        </w:rPr>
        <w:t>, respectively, to healthy subjects</w:t>
      </w:r>
      <w:r w:rsidR="00B56A57">
        <w:rPr>
          <w:rFonts w:cs="TimesNewRoman"/>
          <w:lang w:val="en-US"/>
        </w:rPr>
        <w:t>.</w:t>
      </w:r>
    </w:p>
    <w:p w:rsidR="00660BC2" w:rsidRDefault="00660BC2" w:rsidP="00FD2193">
      <w:pPr>
        <w:pStyle w:val="FigureTitle"/>
      </w:pPr>
      <w:bookmarkStart w:id="102" w:name="_Toc414348957"/>
      <w:r>
        <w:t>Figure</w:t>
      </w:r>
      <w:r w:rsidR="00FD2193">
        <w:t xml:space="preserve"> </w:t>
      </w:r>
      <w:r w:rsidR="00D10CCF">
        <w:t>3</w:t>
      </w:r>
      <w:r w:rsidR="00FD2193">
        <w:t>:</w:t>
      </w:r>
      <w:r w:rsidR="009801DD">
        <w:t xml:space="preserve"> </w:t>
      </w:r>
      <w:r w:rsidR="00FD2193">
        <w:t>G-CSF</w:t>
      </w:r>
      <w:r>
        <w:t xml:space="preserve"> serum concentrations after single </w:t>
      </w:r>
      <w:r w:rsidR="00FD2193">
        <w:t>SC</w:t>
      </w:r>
      <w:r>
        <w:t xml:space="preserve"> administration of 3 doses XM22 and </w:t>
      </w:r>
      <w:r w:rsidR="00D23866">
        <w:t>1</w:t>
      </w:r>
      <w:r>
        <w:t xml:space="preserve"> dose </w:t>
      </w:r>
      <w:proofErr w:type="spellStart"/>
      <w:r>
        <w:t>Neulasta</w:t>
      </w:r>
      <w:proofErr w:type="spellEnd"/>
      <w:r>
        <w:t xml:space="preserve"> to healthy subjects.</w:t>
      </w:r>
      <w:bookmarkEnd w:id="102"/>
    </w:p>
    <w:p w:rsidR="00660BC2" w:rsidRDefault="00660BC2" w:rsidP="00D23866">
      <w:pPr>
        <w:keepNext/>
      </w:pPr>
      <w:r>
        <w:rPr>
          <w:noProof/>
          <w:lang w:eastAsia="en-AU"/>
        </w:rPr>
        <w:drawing>
          <wp:inline distT="0" distB="0" distL="0" distR="0" wp14:anchorId="056DAB30" wp14:editId="5B4D0B2E">
            <wp:extent cx="3672115" cy="2067451"/>
            <wp:effectExtent l="0" t="0" r="5080" b="9525"/>
            <wp:docPr id="6" name="Picture 6" descr="Figure 3: G-CSF serum concentrations after single SC administration of 3 doses XM22 and 1 dose Neulasta to healthy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5147" r="5255"/>
                    <a:stretch/>
                  </pic:blipFill>
                  <pic:spPr bwMode="auto">
                    <a:xfrm>
                      <a:off x="0" y="0"/>
                      <a:ext cx="3678257" cy="2070909"/>
                    </a:xfrm>
                    <a:prstGeom prst="rect">
                      <a:avLst/>
                    </a:prstGeom>
                    <a:noFill/>
                    <a:ln>
                      <a:noFill/>
                    </a:ln>
                    <a:extLst>
                      <a:ext uri="{53640926-AAD7-44D8-BBD7-CCE9431645EC}">
                        <a14:shadowObscured xmlns:a14="http://schemas.microsoft.com/office/drawing/2010/main"/>
                      </a:ext>
                    </a:extLst>
                  </pic:spPr>
                </pic:pic>
              </a:graphicData>
            </a:graphic>
          </wp:inline>
        </w:drawing>
      </w:r>
    </w:p>
    <w:p w:rsidR="00660BC2" w:rsidRDefault="00660BC2" w:rsidP="00191BC5">
      <w:pPr>
        <w:rPr>
          <w:lang w:val="en-US"/>
        </w:rPr>
      </w:pPr>
      <w:r>
        <w:rPr>
          <w:lang w:val="en-US"/>
        </w:rPr>
        <w:t xml:space="preserve">Figure </w:t>
      </w:r>
      <w:r w:rsidR="00D10CCF">
        <w:rPr>
          <w:lang w:val="en-US"/>
        </w:rPr>
        <w:t>4</w:t>
      </w:r>
      <w:r>
        <w:rPr>
          <w:lang w:val="en-US"/>
        </w:rPr>
        <w:t xml:space="preserve"> shows the synoptic a plot of the ANC count following single </w:t>
      </w:r>
      <w:r w:rsidR="00D23866">
        <w:rPr>
          <w:lang w:val="en-US"/>
        </w:rPr>
        <w:t>SC</w:t>
      </w:r>
      <w:r>
        <w:rPr>
          <w:lang w:val="en-US"/>
        </w:rPr>
        <w:t xml:space="preserve"> injection of the 3 dose levels of XM22 and </w:t>
      </w:r>
      <w:proofErr w:type="spellStart"/>
      <w:r>
        <w:rPr>
          <w:lang w:val="en-US"/>
        </w:rPr>
        <w:t>Neulasta</w:t>
      </w:r>
      <w:proofErr w:type="spellEnd"/>
      <w:r>
        <w:rPr>
          <w:lang w:val="en-US"/>
        </w:rPr>
        <w:t>, respectively, to healthy subjects.</w:t>
      </w:r>
      <w:r w:rsidR="009801DD">
        <w:rPr>
          <w:lang w:val="en-US"/>
        </w:rPr>
        <w:t xml:space="preserve"> </w:t>
      </w:r>
      <w:r>
        <w:rPr>
          <w:lang w:val="en-US"/>
        </w:rPr>
        <w:t>It can be seen that the 50</w:t>
      </w:r>
      <w:r w:rsidR="00D23866">
        <w:rPr>
          <w:lang w:val="en-US"/>
        </w:rPr>
        <w:t xml:space="preserve"> µg</w:t>
      </w:r>
      <w:r>
        <w:rPr>
          <w:lang w:val="en-US"/>
        </w:rPr>
        <w:t xml:space="preserve">/kg group has a similar ANC to </w:t>
      </w:r>
      <w:proofErr w:type="spellStart"/>
      <w:r>
        <w:rPr>
          <w:lang w:val="en-US"/>
        </w:rPr>
        <w:t>Neulasta</w:t>
      </w:r>
      <w:proofErr w:type="spellEnd"/>
      <w:r>
        <w:rPr>
          <w:lang w:val="en-US"/>
        </w:rPr>
        <w:t xml:space="preserve">, and reached the same peak concentration </w:t>
      </w:r>
      <w:proofErr w:type="gramStart"/>
      <w:r>
        <w:rPr>
          <w:lang w:val="en-US"/>
        </w:rPr>
        <w:t>at 100</w:t>
      </w:r>
      <w:r w:rsidR="00D23866">
        <w:rPr>
          <w:lang w:val="en-US"/>
        </w:rPr>
        <w:t xml:space="preserve"> µ</w:t>
      </w:r>
      <w:r>
        <w:rPr>
          <w:lang w:val="en-US"/>
        </w:rPr>
        <w:t>g/kg</w:t>
      </w:r>
      <w:proofErr w:type="gramEnd"/>
      <w:r>
        <w:rPr>
          <w:lang w:val="en-US"/>
        </w:rPr>
        <w:t>.</w:t>
      </w:r>
    </w:p>
    <w:p w:rsidR="00660BC2" w:rsidRPr="008C5E81" w:rsidRDefault="00660BC2" w:rsidP="00D23866">
      <w:pPr>
        <w:pStyle w:val="FigureTitle"/>
        <w:rPr>
          <w:rFonts w:ascii="Arial" w:hAnsi="Arial"/>
          <w:lang w:val="en-US"/>
        </w:rPr>
      </w:pPr>
      <w:bookmarkStart w:id="103" w:name="_Toc414348958"/>
      <w:r>
        <w:lastRenderedPageBreak/>
        <w:t xml:space="preserve">Figure </w:t>
      </w:r>
      <w:r w:rsidR="00D10CCF">
        <w:t>4</w:t>
      </w:r>
      <w:r w:rsidR="00D23866">
        <w:t>:</w:t>
      </w:r>
      <w:r w:rsidR="009801DD">
        <w:t xml:space="preserve"> </w:t>
      </w:r>
      <w:r>
        <w:rPr>
          <w:lang w:val="en-US"/>
        </w:rPr>
        <w:t xml:space="preserve">ANC plot following </w:t>
      </w:r>
      <w:r w:rsidR="00216F4E">
        <w:rPr>
          <w:lang w:val="en-US"/>
        </w:rPr>
        <w:t>SC</w:t>
      </w:r>
      <w:r>
        <w:rPr>
          <w:lang w:val="en-US"/>
        </w:rPr>
        <w:t xml:space="preserve"> injection at three dose levels of XM22 and </w:t>
      </w:r>
      <w:proofErr w:type="spellStart"/>
      <w:r w:rsidRPr="008C5E81">
        <w:rPr>
          <w:lang w:val="en-US"/>
        </w:rPr>
        <w:t>Neulasta</w:t>
      </w:r>
      <w:bookmarkEnd w:id="103"/>
      <w:proofErr w:type="spellEnd"/>
    </w:p>
    <w:p w:rsidR="00660BC2" w:rsidRDefault="00660BC2" w:rsidP="00660BC2">
      <w:pPr>
        <w:tabs>
          <w:tab w:val="left" w:pos="720"/>
        </w:tabs>
        <w:rPr>
          <w:kern w:val="16"/>
          <w:sz w:val="20"/>
          <w:szCs w:val="20"/>
        </w:rPr>
      </w:pPr>
      <w:r>
        <w:rPr>
          <w:noProof/>
          <w:sz w:val="20"/>
          <w:szCs w:val="20"/>
          <w:lang w:eastAsia="en-AU"/>
        </w:rPr>
        <w:drawing>
          <wp:inline distT="0" distB="0" distL="0" distR="0" wp14:anchorId="35B2CD23" wp14:editId="277480FF">
            <wp:extent cx="4194629" cy="2161401"/>
            <wp:effectExtent l="0" t="0" r="0" b="0"/>
            <wp:docPr id="5" name="Picture 5" descr="Figure 4: ANC plot following sc injection at three dose levels of XM22 and Neula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02599" cy="2165508"/>
                    </a:xfrm>
                    <a:prstGeom prst="rect">
                      <a:avLst/>
                    </a:prstGeom>
                    <a:noFill/>
                    <a:ln>
                      <a:noFill/>
                    </a:ln>
                  </pic:spPr>
                </pic:pic>
              </a:graphicData>
            </a:graphic>
          </wp:inline>
        </w:drawing>
      </w:r>
    </w:p>
    <w:p w:rsidR="00660BC2" w:rsidRDefault="00660BC2" w:rsidP="00D23866">
      <w:pPr>
        <w:widowControl w:val="0"/>
        <w:tabs>
          <w:tab w:val="left" w:pos="720"/>
        </w:tabs>
        <w:autoSpaceDE w:val="0"/>
        <w:autoSpaceDN w:val="0"/>
        <w:adjustRightInd w:val="0"/>
        <w:rPr>
          <w:lang w:val="en-US"/>
        </w:rPr>
      </w:pPr>
      <w:r w:rsidRPr="00D23866">
        <w:rPr>
          <w:i/>
          <w:lang w:val="en-US"/>
        </w:rPr>
        <w:t>XM22-02</w:t>
      </w:r>
      <w:r>
        <w:rPr>
          <w:lang w:val="en-US"/>
        </w:rPr>
        <w:t xml:space="preserve"> was a multinational, </w:t>
      </w:r>
      <w:proofErr w:type="spellStart"/>
      <w:r>
        <w:rPr>
          <w:lang w:val="en-US"/>
        </w:rPr>
        <w:t>multicentre</w:t>
      </w:r>
      <w:proofErr w:type="spellEnd"/>
      <w:r>
        <w:rPr>
          <w:lang w:val="en-US"/>
        </w:rPr>
        <w:t xml:space="preserve">, </w:t>
      </w:r>
      <w:proofErr w:type="spellStart"/>
      <w:r>
        <w:rPr>
          <w:lang w:val="en-US"/>
        </w:rPr>
        <w:t>randomised</w:t>
      </w:r>
      <w:proofErr w:type="spellEnd"/>
      <w:r>
        <w:rPr>
          <w:lang w:val="en-US"/>
        </w:rPr>
        <w:t xml:space="preserve">, double-blind, controlled study on the </w:t>
      </w:r>
      <w:r w:rsidRPr="00D23866">
        <w:t xml:space="preserve">efficacy and safety of a fixed dose of three fixed dose levels of XM22 (3 mg, 4.5 mg and 6 mg) on the </w:t>
      </w:r>
      <w:r w:rsidR="00D23866" w:rsidRPr="00D23866">
        <w:t>duration of severe neutropenia (</w:t>
      </w:r>
      <w:r w:rsidRPr="00D23866">
        <w:t>DSN</w:t>
      </w:r>
      <w:r w:rsidR="00D23866" w:rsidRPr="00D23866">
        <w:t>)</w:t>
      </w:r>
      <w:r w:rsidRPr="00D23866">
        <w:t xml:space="preserve"> to 6 mg </w:t>
      </w:r>
      <w:proofErr w:type="spellStart"/>
      <w:r w:rsidRPr="00D23866">
        <w:t>Neulasta</w:t>
      </w:r>
      <w:proofErr w:type="spellEnd"/>
      <w:r w:rsidRPr="00D23866">
        <w:t xml:space="preserve"> in patients with breast cancer receiving 4 cycles of chemotherapy with</w:t>
      </w:r>
      <w:r>
        <w:rPr>
          <w:lang w:val="en-US"/>
        </w:rPr>
        <w:t xml:space="preserve"> doxorubicin 60 mg/m</w:t>
      </w:r>
      <w:r w:rsidRPr="00D23866">
        <w:rPr>
          <w:vertAlign w:val="superscript"/>
          <w:lang w:val="en-US"/>
        </w:rPr>
        <w:t>2</w:t>
      </w:r>
      <w:r>
        <w:rPr>
          <w:lang w:val="en-US"/>
        </w:rPr>
        <w:t xml:space="preserve"> and docetaxel 75 mg/m</w:t>
      </w:r>
      <w:r w:rsidRPr="00D23866">
        <w:rPr>
          <w:vertAlign w:val="superscript"/>
          <w:lang w:val="en-US"/>
        </w:rPr>
        <w:t>2</w:t>
      </w:r>
      <w:r>
        <w:rPr>
          <w:lang w:val="en-US"/>
        </w:rPr>
        <w:t xml:space="preserve">. The primary objective was to identify the optimal fixed dose of XM22 compared to 6 mg </w:t>
      </w:r>
      <w:proofErr w:type="spellStart"/>
      <w:r>
        <w:rPr>
          <w:lang w:val="en-US"/>
        </w:rPr>
        <w:t>Neulasta</w:t>
      </w:r>
      <w:proofErr w:type="spellEnd"/>
      <w:r>
        <w:rPr>
          <w:lang w:val="en-US"/>
        </w:rPr>
        <w:t xml:space="preserve"> in patients with breast cancer receiving CTX for future clinical trials.</w:t>
      </w:r>
      <w:r w:rsidR="009801DD">
        <w:rPr>
          <w:lang w:val="en-US"/>
        </w:rPr>
        <w:t xml:space="preserve"> </w:t>
      </w:r>
      <w:r>
        <w:rPr>
          <w:rFonts w:cs="TimesNewRoman"/>
          <w:lang w:val="en-US"/>
        </w:rPr>
        <w:t xml:space="preserve">Overall, the mean DSN was highest in the 3 mg XM22 group (1.1±1.1), followed by 6 mg </w:t>
      </w:r>
      <w:proofErr w:type="spellStart"/>
      <w:r>
        <w:rPr>
          <w:rFonts w:cs="TimesNewRoman"/>
          <w:lang w:val="en-US"/>
        </w:rPr>
        <w:t>Neulasta</w:t>
      </w:r>
      <w:proofErr w:type="spellEnd"/>
      <w:r>
        <w:rPr>
          <w:rFonts w:cs="TimesNewRoman"/>
          <w:lang w:val="en-US"/>
        </w:rPr>
        <w:t xml:space="preserve"> (0.9±1.0), 4.5 mg XM22 (0.8±1.1) and 6 mg XM22 (0.8±1.1). Mean and median DSN were very similar across all treatment groups and greatly reduced from that expected in non-G-CSF treated patients.</w:t>
      </w:r>
    </w:p>
    <w:p w:rsidR="00660BC2" w:rsidRDefault="00660BC2" w:rsidP="00D23866">
      <w:pPr>
        <w:pStyle w:val="FigureTitle"/>
        <w:rPr>
          <w:lang w:val="en-US"/>
        </w:rPr>
      </w:pPr>
      <w:bookmarkStart w:id="104" w:name="_Toc414348959"/>
      <w:r>
        <w:t xml:space="preserve">Figure </w:t>
      </w:r>
      <w:r w:rsidR="00D10CCF">
        <w:t>5</w:t>
      </w:r>
      <w:r w:rsidR="00D23866">
        <w:t>:</w:t>
      </w:r>
      <w:r w:rsidR="009801DD">
        <w:rPr>
          <w:noProof/>
        </w:rPr>
        <w:t xml:space="preserve"> </w:t>
      </w:r>
      <w:r>
        <w:rPr>
          <w:lang w:val="en-US"/>
        </w:rPr>
        <w:t xml:space="preserve">G-CSF serum concentrations after single </w:t>
      </w:r>
      <w:r w:rsidR="00D23866">
        <w:rPr>
          <w:lang w:val="en-US"/>
        </w:rPr>
        <w:t>SC</w:t>
      </w:r>
      <w:r>
        <w:rPr>
          <w:lang w:val="en-US"/>
        </w:rPr>
        <w:t xml:space="preserve"> administration of 3 doses XM22 or 1 dose </w:t>
      </w:r>
      <w:proofErr w:type="spellStart"/>
      <w:r>
        <w:rPr>
          <w:lang w:val="en-US"/>
        </w:rPr>
        <w:t>Neulasta</w:t>
      </w:r>
      <w:proofErr w:type="spellEnd"/>
      <w:r>
        <w:rPr>
          <w:lang w:val="en-US"/>
        </w:rPr>
        <w:t xml:space="preserve"> in </w:t>
      </w:r>
      <w:r w:rsidR="00D23866">
        <w:rPr>
          <w:lang w:val="en-US"/>
        </w:rPr>
        <w:t>C</w:t>
      </w:r>
      <w:r>
        <w:rPr>
          <w:lang w:val="en-US"/>
        </w:rPr>
        <w:t>ycle 1</w:t>
      </w:r>
      <w:r w:rsidR="00D23866">
        <w:rPr>
          <w:lang w:val="en-US"/>
        </w:rPr>
        <w:t>.</w:t>
      </w:r>
      <w:r>
        <w:rPr>
          <w:lang w:val="en-US"/>
        </w:rPr>
        <w:t xml:space="preserve"> </w:t>
      </w:r>
      <w:proofErr w:type="gramStart"/>
      <w:r>
        <w:rPr>
          <w:lang w:val="en-US"/>
        </w:rPr>
        <w:t>PK population.</w:t>
      </w:r>
      <w:bookmarkEnd w:id="104"/>
      <w:proofErr w:type="gramEnd"/>
    </w:p>
    <w:p w:rsidR="00660BC2" w:rsidRDefault="00660BC2" w:rsidP="00660BC2">
      <w:pPr>
        <w:tabs>
          <w:tab w:val="left" w:pos="720"/>
        </w:tabs>
        <w:ind w:right="118"/>
        <w:rPr>
          <w:b/>
          <w:noProof/>
          <w:szCs w:val="24"/>
        </w:rPr>
      </w:pPr>
      <w:r>
        <w:rPr>
          <w:b/>
          <w:noProof/>
          <w:lang w:eastAsia="en-AU"/>
        </w:rPr>
        <w:drawing>
          <wp:inline distT="0" distB="0" distL="0" distR="0" wp14:anchorId="3B8582D7" wp14:editId="0BF94188">
            <wp:extent cx="3585029" cy="2328721"/>
            <wp:effectExtent l="0" t="0" r="0" b="0"/>
            <wp:docPr id="4" name="Picture 4" descr="Figure 5: G-CSF serum concentrations after single SC administration of 3 doses XM22 or 1 dose Neulasta in Cycle 1.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25000"/>
                              </a14:imgEffect>
                            </a14:imgLayer>
                          </a14:imgProps>
                        </a:ext>
                        <a:ext uri="{28A0092B-C50C-407E-A947-70E740481C1C}">
                          <a14:useLocalDpi xmlns:a14="http://schemas.microsoft.com/office/drawing/2010/main" val="0"/>
                        </a:ext>
                      </a:extLst>
                    </a:blip>
                    <a:srcRect l="117" t="9099" r="-6251" b="-1119"/>
                    <a:stretch/>
                  </pic:blipFill>
                  <pic:spPr bwMode="auto">
                    <a:xfrm>
                      <a:off x="0" y="0"/>
                      <a:ext cx="3589180" cy="2331417"/>
                    </a:xfrm>
                    <a:prstGeom prst="rect">
                      <a:avLst/>
                    </a:prstGeom>
                    <a:noFill/>
                    <a:ln>
                      <a:noFill/>
                    </a:ln>
                    <a:extLst>
                      <a:ext uri="{53640926-AAD7-44D8-BBD7-CCE9431645EC}">
                        <a14:shadowObscured xmlns:a14="http://schemas.microsoft.com/office/drawing/2010/main"/>
                      </a:ext>
                    </a:extLst>
                  </pic:spPr>
                </pic:pic>
              </a:graphicData>
            </a:graphic>
          </wp:inline>
        </w:drawing>
      </w:r>
    </w:p>
    <w:p w:rsidR="00660BC2" w:rsidRDefault="00660BC2" w:rsidP="00D23866">
      <w:pPr>
        <w:pStyle w:val="FigureTitle"/>
        <w:rPr>
          <w:noProof/>
          <w:szCs w:val="24"/>
        </w:rPr>
      </w:pPr>
      <w:r>
        <w:rPr>
          <w:noProof/>
          <w:lang w:eastAsia="en-AU"/>
        </w:rPr>
        <w:lastRenderedPageBreak/>
        <mc:AlternateContent>
          <mc:Choice Requires="wps">
            <w:drawing>
              <wp:anchor distT="0" distB="0" distL="114300" distR="114300" simplePos="0" relativeHeight="251658240" behindDoc="0" locked="0" layoutInCell="1" allowOverlap="1" wp14:anchorId="7453C68F" wp14:editId="4CF55914">
                <wp:simplePos x="0" y="0"/>
                <wp:positionH relativeFrom="column">
                  <wp:posOffset>3823335</wp:posOffset>
                </wp:positionH>
                <wp:positionV relativeFrom="paragraph">
                  <wp:posOffset>3477260</wp:posOffset>
                </wp:positionV>
                <wp:extent cx="2057400" cy="11430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2057400" cy="114300"/>
                        </a:xfrm>
                        <a:prstGeom prst="rect">
                          <a:avLst/>
                        </a:prstGeom>
                        <a:noFill/>
                        <a:ln>
                          <a:noFill/>
                        </a:ln>
                        <a:effectLst/>
                        <a:extLst>
                          <a:ext uri="{C572A759-6A51-4108-AA02-DFA0A04FC94B}">
                            <ma14:wrappingTextBoxFlag xmlns:lc="http://schemas.openxmlformats.org/drawingml/2006/lockedCanvas"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B56A57" w:rsidRDefault="00B56A57" w:rsidP="00660B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026" type="#_x0000_t202" style="position:absolute;margin-left:301.05pt;margin-top:273.8pt;width:162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k9kqgIAAKU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" filled="f" stroked="f">
                <v:textbox>
                  <w:txbxContent>
                    <w:p w:rsidR="00B56A57" w:rsidRDefault="00B56A57" w:rsidP="00660BC2"/>
                  </w:txbxContent>
                </v:textbox>
                <w10:wrap type="square"/>
              </v:shape>
            </w:pict>
          </mc:Fallback>
        </mc:AlternateContent>
      </w:r>
      <w:bookmarkStart w:id="105" w:name="_Toc414348960"/>
      <w:r>
        <w:t>Figure</w:t>
      </w:r>
      <w:r w:rsidR="00D23866">
        <w:t xml:space="preserve"> </w:t>
      </w:r>
      <w:r w:rsidR="00D10CCF">
        <w:t>6</w:t>
      </w:r>
      <w:r w:rsidR="00D23866">
        <w:t>:</w:t>
      </w:r>
      <w:r w:rsidR="009801DD">
        <w:rPr>
          <w:noProof/>
        </w:rPr>
        <w:t xml:space="preserve"> </w:t>
      </w:r>
      <w:r>
        <w:rPr>
          <w:lang w:val="en-US"/>
        </w:rPr>
        <w:t xml:space="preserve">G-CSF serum concentrations after single </w:t>
      </w:r>
      <w:r w:rsidR="00D23866">
        <w:rPr>
          <w:lang w:val="en-US"/>
        </w:rPr>
        <w:t>SC</w:t>
      </w:r>
      <w:r>
        <w:rPr>
          <w:lang w:val="en-US"/>
        </w:rPr>
        <w:t xml:space="preserve"> administration of 3 doses XM22 or 1 dose </w:t>
      </w:r>
      <w:proofErr w:type="spellStart"/>
      <w:r>
        <w:rPr>
          <w:lang w:val="en-US"/>
        </w:rPr>
        <w:t>Neulasta</w:t>
      </w:r>
      <w:proofErr w:type="spellEnd"/>
      <w:r>
        <w:rPr>
          <w:lang w:val="en-US"/>
        </w:rPr>
        <w:t xml:space="preserve"> in </w:t>
      </w:r>
      <w:r w:rsidR="00D23866">
        <w:rPr>
          <w:lang w:val="en-US"/>
        </w:rPr>
        <w:t>C</w:t>
      </w:r>
      <w:r>
        <w:rPr>
          <w:lang w:val="en-US"/>
        </w:rPr>
        <w:t>ycle 4</w:t>
      </w:r>
      <w:r w:rsidR="00D23866">
        <w:rPr>
          <w:lang w:val="en-US"/>
        </w:rPr>
        <w:t>.</w:t>
      </w:r>
      <w:r>
        <w:rPr>
          <w:lang w:val="en-US"/>
        </w:rPr>
        <w:t xml:space="preserve"> </w:t>
      </w:r>
      <w:proofErr w:type="gramStart"/>
      <w:r>
        <w:rPr>
          <w:lang w:val="en-US"/>
        </w:rPr>
        <w:t>PK population.</w:t>
      </w:r>
      <w:bookmarkEnd w:id="105"/>
      <w:proofErr w:type="gramEnd"/>
    </w:p>
    <w:p w:rsidR="00660BC2" w:rsidRDefault="00660BC2" w:rsidP="00D23866">
      <w:pPr>
        <w:keepNext/>
        <w:widowControl w:val="0"/>
        <w:tabs>
          <w:tab w:val="left" w:pos="720"/>
        </w:tabs>
        <w:autoSpaceDE w:val="0"/>
        <w:autoSpaceDN w:val="0"/>
        <w:adjustRightInd w:val="0"/>
        <w:rPr>
          <w:rFonts w:asciiTheme="minorHAnsi" w:hAnsiTheme="minorHAnsi" w:cs="Arial"/>
          <w:sz w:val="20"/>
          <w:szCs w:val="20"/>
          <w:lang w:val="en-US"/>
        </w:rPr>
      </w:pPr>
      <w:r>
        <w:rPr>
          <w:rFonts w:asciiTheme="minorHAnsi" w:hAnsiTheme="minorHAnsi" w:cs="Arial"/>
          <w:noProof/>
          <w:sz w:val="20"/>
          <w:szCs w:val="20"/>
          <w:lang w:eastAsia="en-AU"/>
        </w:rPr>
        <w:drawing>
          <wp:inline distT="0" distB="0" distL="0" distR="0" wp14:anchorId="7B673B24" wp14:editId="4254BCFA">
            <wp:extent cx="3633031" cy="2307772"/>
            <wp:effectExtent l="0" t="0" r="5715" b="0"/>
            <wp:docPr id="3" name="Picture 3" descr="Figure 6: G-CSF serum concentrations after single SC administration of 3 doses XM22 or 1 dose Neulasta in Cycle 4.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rotWithShape="1">
                    <a:blip r:embed="rId24">
                      <a:extLst>
                        <a:ext uri="{28A0092B-C50C-407E-A947-70E740481C1C}">
                          <a14:useLocalDpi xmlns:a14="http://schemas.microsoft.com/office/drawing/2010/main" val="0"/>
                        </a:ext>
                      </a:extLst>
                    </a:blip>
                    <a:srcRect t="8914"/>
                    <a:stretch/>
                  </pic:blipFill>
                  <pic:spPr bwMode="auto">
                    <a:xfrm>
                      <a:off x="0" y="0"/>
                      <a:ext cx="3637444" cy="2310575"/>
                    </a:xfrm>
                    <a:prstGeom prst="rect">
                      <a:avLst/>
                    </a:prstGeom>
                    <a:noFill/>
                    <a:ln>
                      <a:noFill/>
                    </a:ln>
                    <a:extLst>
                      <a:ext uri="{53640926-AAD7-44D8-BBD7-CCE9431645EC}">
                        <a14:shadowObscured xmlns:a14="http://schemas.microsoft.com/office/drawing/2010/main"/>
                      </a:ext>
                    </a:extLst>
                  </pic:spPr>
                </pic:pic>
              </a:graphicData>
            </a:graphic>
          </wp:inline>
        </w:drawing>
      </w:r>
    </w:p>
    <w:p w:rsidR="00B56A57" w:rsidRDefault="00660BC2" w:rsidP="00D23866">
      <w:pPr>
        <w:pStyle w:val="Heading4"/>
      </w:pPr>
      <w:proofErr w:type="spellStart"/>
      <w:proofErr w:type="gramStart"/>
      <w:r w:rsidRPr="00D23866">
        <w:t>Pharmacodynamic</w:t>
      </w:r>
      <w:proofErr w:type="spellEnd"/>
      <w:r w:rsidRPr="00D23866">
        <w:t xml:space="preserve"> results</w:t>
      </w:r>
      <w:r w:rsidR="00B56A57">
        <w:t>.</w:t>
      </w:r>
      <w:proofErr w:type="gramEnd"/>
    </w:p>
    <w:p w:rsidR="00660BC2" w:rsidRPr="00D23866" w:rsidRDefault="00660BC2" w:rsidP="00D23866">
      <w:r w:rsidRPr="00D23866">
        <w:t xml:space="preserve">The primary objective of this study was the rate of DSN in </w:t>
      </w:r>
      <w:r w:rsidR="00D23866" w:rsidRPr="00D23866">
        <w:t>C</w:t>
      </w:r>
      <w:r w:rsidRPr="00D23866">
        <w:t xml:space="preserve">ycle 1 in a fixed dose of XM22 compared to 6 mg </w:t>
      </w:r>
      <w:proofErr w:type="spellStart"/>
      <w:r w:rsidRPr="00D23866">
        <w:t>Neulasta</w:t>
      </w:r>
      <w:proofErr w:type="spellEnd"/>
      <w:r w:rsidRPr="00D23866">
        <w:t xml:space="preserve"> in patients with breast cancer receiving CTX defined as </w:t>
      </w:r>
      <w:r w:rsidR="00D23866" w:rsidRPr="00D23866">
        <w:t>G</w:t>
      </w:r>
      <w:r w:rsidRPr="00D23866">
        <w:t>rade 4 neutropenia (ANC &lt;0.5 x 10</w:t>
      </w:r>
      <w:r w:rsidRPr="00D23866">
        <w:rPr>
          <w:vertAlign w:val="superscript"/>
        </w:rPr>
        <w:t>9</w:t>
      </w:r>
      <w:r w:rsidRPr="00D23866">
        <w:t xml:space="preserve">/L). Figure </w:t>
      </w:r>
      <w:r w:rsidR="00D10CCF">
        <w:t>7</w:t>
      </w:r>
      <w:r w:rsidRPr="00D23866">
        <w:t xml:space="preserve"> shows the </w:t>
      </w:r>
      <w:r w:rsidR="00D23866">
        <w:t>s</w:t>
      </w:r>
      <w:r w:rsidRPr="00D23866">
        <w:t xml:space="preserve">ynoptic plots of ANC following single </w:t>
      </w:r>
      <w:r w:rsidR="00D23866" w:rsidRPr="00D23866">
        <w:t>SC</w:t>
      </w:r>
      <w:r w:rsidRPr="00D23866">
        <w:t xml:space="preserve"> injections of 3 mg, 4.5 mg or 6 mg XM22 or 6 mg </w:t>
      </w:r>
      <w:proofErr w:type="spellStart"/>
      <w:r w:rsidRPr="00D23866">
        <w:t>Neulasta</w:t>
      </w:r>
      <w:proofErr w:type="spellEnd"/>
      <w:r w:rsidRPr="00D23866">
        <w:t xml:space="preserve"> in patients with breast cancer receiving CTX in </w:t>
      </w:r>
      <w:r w:rsidR="00D23866" w:rsidRPr="00D23866">
        <w:t>C</w:t>
      </w:r>
      <w:r w:rsidRPr="00D23866">
        <w:t>ycle</w:t>
      </w:r>
      <w:r w:rsidR="00D23866">
        <w:t xml:space="preserve"> 1</w:t>
      </w:r>
      <w:r w:rsidRPr="00D23866">
        <w:t>and shows that the ANC is higher with the 6</w:t>
      </w:r>
      <w:r w:rsidR="00D23866">
        <w:t xml:space="preserve"> </w:t>
      </w:r>
      <w:r w:rsidRPr="00D23866">
        <w:t xml:space="preserve">mg </w:t>
      </w:r>
      <w:proofErr w:type="spellStart"/>
      <w:r w:rsidRPr="00D23866">
        <w:t>lipegfilgrastim</w:t>
      </w:r>
      <w:proofErr w:type="spellEnd"/>
      <w:r w:rsidRPr="00D23866">
        <w:t xml:space="preserve"> than with the same dose of </w:t>
      </w:r>
      <w:proofErr w:type="spellStart"/>
      <w:r w:rsidRPr="00D23866">
        <w:t>Neulasta</w:t>
      </w:r>
      <w:proofErr w:type="spellEnd"/>
      <w:r w:rsidRPr="00D23866">
        <w:t>.</w:t>
      </w:r>
    </w:p>
    <w:p w:rsidR="00660BC2" w:rsidRDefault="00660BC2" w:rsidP="00D23866">
      <w:pPr>
        <w:pStyle w:val="FigureTitle"/>
        <w:rPr>
          <w:lang w:val="en-US"/>
        </w:rPr>
      </w:pPr>
      <w:r>
        <w:t xml:space="preserve">Figure </w:t>
      </w:r>
      <w:r w:rsidR="00D10CCF">
        <w:t>7</w:t>
      </w:r>
      <w:r w:rsidR="00D23866">
        <w:t>:</w:t>
      </w:r>
      <w:r>
        <w:rPr>
          <w:noProof/>
        </w:rPr>
        <w:t xml:space="preserve"> </w:t>
      </w:r>
      <w:r>
        <w:rPr>
          <w:lang w:val="en-US"/>
        </w:rPr>
        <w:t>Time course of measured ANC</w:t>
      </w:r>
      <w:r w:rsidR="00D23866">
        <w:rPr>
          <w:lang w:val="en-US"/>
        </w:rPr>
        <w:t>.</w:t>
      </w:r>
      <w:r>
        <w:rPr>
          <w:lang w:val="en-US"/>
        </w:rPr>
        <w:t xml:space="preserve"> ITT population.</w:t>
      </w:r>
    </w:p>
    <w:p w:rsidR="00660BC2" w:rsidRDefault="00660BC2" w:rsidP="00660BC2">
      <w:pPr>
        <w:tabs>
          <w:tab w:val="left" w:pos="720"/>
        </w:tabs>
        <w:rPr>
          <w:szCs w:val="24"/>
        </w:rPr>
      </w:pPr>
      <w:r>
        <w:rPr>
          <w:noProof/>
          <w:lang w:eastAsia="en-AU"/>
        </w:rPr>
        <w:drawing>
          <wp:inline distT="0" distB="0" distL="0" distR="0" wp14:anchorId="47E2A80C" wp14:editId="5D55BD68">
            <wp:extent cx="3352800" cy="2190985"/>
            <wp:effectExtent l="0" t="0" r="0" b="0"/>
            <wp:docPr id="2" name="Picture 2" descr="Figure 7: Time course of measured ANC.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52725" cy="2190936"/>
                    </a:xfrm>
                    <a:prstGeom prst="rect">
                      <a:avLst/>
                    </a:prstGeom>
                    <a:noFill/>
                    <a:ln>
                      <a:noFill/>
                    </a:ln>
                  </pic:spPr>
                </pic:pic>
              </a:graphicData>
            </a:graphic>
          </wp:inline>
        </w:drawing>
      </w:r>
    </w:p>
    <w:p w:rsidR="00660BC2" w:rsidRDefault="00660BC2" w:rsidP="00191BC5">
      <w:pPr>
        <w:rPr>
          <w:lang w:val="en-US"/>
        </w:rPr>
      </w:pPr>
      <w:r>
        <w:rPr>
          <w:lang w:val="en-US"/>
        </w:rPr>
        <w:t>It can be seen that mean and median ANC were very similar across all treatment groups in this cancer population.</w:t>
      </w:r>
    </w:p>
    <w:p w:rsidR="00660BC2" w:rsidRDefault="00660BC2" w:rsidP="00D23866">
      <w:pPr>
        <w:pStyle w:val="Comment"/>
        <w:rPr>
          <w:lang w:val="en-US"/>
        </w:rPr>
      </w:pPr>
      <w:r w:rsidRPr="00D23866">
        <w:rPr>
          <w:b/>
          <w:lang w:val="en-US"/>
        </w:rPr>
        <w:t>Comment</w:t>
      </w:r>
      <w:r>
        <w:rPr>
          <w:lang w:val="en-US"/>
        </w:rPr>
        <w:t>: The benefit of 6</w:t>
      </w:r>
      <w:r w:rsidR="00D23866">
        <w:rPr>
          <w:lang w:val="en-US"/>
        </w:rPr>
        <w:t xml:space="preserve"> </w:t>
      </w:r>
      <w:r>
        <w:rPr>
          <w:lang w:val="en-US"/>
        </w:rPr>
        <w:t>mg over 3</w:t>
      </w:r>
      <w:r w:rsidR="00D23866">
        <w:rPr>
          <w:lang w:val="en-US"/>
        </w:rPr>
        <w:t xml:space="preserve"> </w:t>
      </w:r>
      <w:r>
        <w:rPr>
          <w:lang w:val="en-US"/>
        </w:rPr>
        <w:t xml:space="preserve">mg or 4 mg </w:t>
      </w:r>
      <w:proofErr w:type="spellStart"/>
      <w:r>
        <w:rPr>
          <w:lang w:val="en-US"/>
        </w:rPr>
        <w:t>lipegfilgrastim</w:t>
      </w:r>
      <w:proofErr w:type="spellEnd"/>
      <w:r>
        <w:rPr>
          <w:lang w:val="en-US"/>
        </w:rPr>
        <w:t xml:space="preserve"> on ANC is not clearly defined.</w:t>
      </w:r>
    </w:p>
    <w:p w:rsidR="00D23866" w:rsidRDefault="00660BC2" w:rsidP="00D23866">
      <w:pPr>
        <w:pStyle w:val="Heading4"/>
        <w:rPr>
          <w:lang w:val="en-US"/>
        </w:rPr>
      </w:pPr>
      <w:r>
        <w:rPr>
          <w:lang w:val="en-US"/>
        </w:rPr>
        <w:t xml:space="preserve">Population pharmacokinetic model </w:t>
      </w:r>
    </w:p>
    <w:p w:rsidR="00660BC2" w:rsidRDefault="00660BC2" w:rsidP="00191BC5">
      <w:pPr>
        <w:rPr>
          <w:color w:val="000000"/>
          <w:lang w:val="en-US"/>
        </w:rPr>
      </w:pPr>
      <w:r>
        <w:rPr>
          <w:rFonts w:cs="Arial"/>
          <w:lang w:val="en-US"/>
        </w:rPr>
        <w:t xml:space="preserve">Here the </w:t>
      </w:r>
      <w:r>
        <w:rPr>
          <w:color w:val="000000"/>
          <w:lang w:val="en-US"/>
        </w:rPr>
        <w:t xml:space="preserve">proportionality of XM22 over the range of 25 </w:t>
      </w:r>
      <w:proofErr w:type="gramStart"/>
      <w:r>
        <w:rPr>
          <w:color w:val="000000"/>
          <w:lang w:val="en-US"/>
        </w:rPr>
        <w:t xml:space="preserve">through 100 </w:t>
      </w:r>
      <w:proofErr w:type="spellStart"/>
      <w:r>
        <w:rPr>
          <w:color w:val="000000"/>
          <w:lang w:val="en-US"/>
        </w:rPr>
        <w:t>μg</w:t>
      </w:r>
      <w:proofErr w:type="spellEnd"/>
      <w:r>
        <w:rPr>
          <w:color w:val="000000"/>
          <w:lang w:val="en-US"/>
        </w:rPr>
        <w:t>/kg</w:t>
      </w:r>
      <w:proofErr w:type="gramEnd"/>
      <w:r>
        <w:rPr>
          <w:color w:val="000000"/>
          <w:lang w:val="en-US"/>
        </w:rPr>
        <w:t xml:space="preserve"> was evaluated using data from </w:t>
      </w:r>
      <w:r w:rsidRPr="00D10CCF">
        <w:rPr>
          <w:color w:val="000000"/>
          <w:lang w:val="en-US"/>
        </w:rPr>
        <w:t>healthy</w:t>
      </w:r>
      <w:r>
        <w:rPr>
          <w:b/>
          <w:color w:val="000000"/>
          <w:lang w:val="en-US"/>
        </w:rPr>
        <w:t xml:space="preserve"> </w:t>
      </w:r>
      <w:r>
        <w:rPr>
          <w:color w:val="000000"/>
          <w:lang w:val="en-US"/>
        </w:rPr>
        <w:t>subjects. The results in this population suggest that systemic exposure increases in a greater than proportional manner over this range.</w:t>
      </w:r>
    </w:p>
    <w:p w:rsidR="00660BC2" w:rsidRDefault="00660BC2" w:rsidP="00D10CCF">
      <w:pPr>
        <w:pStyle w:val="FigureTitle"/>
        <w:rPr>
          <w:rFonts w:cs="TimesNewRoman"/>
          <w:sz w:val="24"/>
          <w:szCs w:val="24"/>
          <w:lang w:val="en-US"/>
        </w:rPr>
      </w:pPr>
      <w:r>
        <w:rPr>
          <w:lang w:val="en-US"/>
        </w:rPr>
        <w:lastRenderedPageBreak/>
        <w:t xml:space="preserve">Figure </w:t>
      </w:r>
      <w:r w:rsidR="00D10CCF">
        <w:rPr>
          <w:lang w:val="en-US"/>
        </w:rPr>
        <w:t>8:</w:t>
      </w:r>
      <w:r>
        <w:rPr>
          <w:lang w:val="en-US"/>
        </w:rPr>
        <w:t xml:space="preserve"> Dose Normalized Observed AUC0-inf for XM22 Following Single Doses of 25,</w:t>
      </w:r>
      <w:r w:rsidR="00191BC5">
        <w:rPr>
          <w:lang w:val="en-US"/>
        </w:rPr>
        <w:t xml:space="preserve"> </w:t>
      </w:r>
      <w:r>
        <w:rPr>
          <w:lang w:val="en-US"/>
        </w:rPr>
        <w:t xml:space="preserve">50, or 100 </w:t>
      </w:r>
      <w:proofErr w:type="spellStart"/>
      <w:r>
        <w:rPr>
          <w:lang w:val="en-US"/>
        </w:rPr>
        <w:t>μg</w:t>
      </w:r>
      <w:proofErr w:type="spellEnd"/>
      <w:r>
        <w:rPr>
          <w:lang w:val="en-US"/>
        </w:rPr>
        <w:t>/kg.</w:t>
      </w:r>
    </w:p>
    <w:p w:rsidR="00660BC2" w:rsidRDefault="00660BC2" w:rsidP="00660BC2">
      <w:pPr>
        <w:autoSpaceDE w:val="0"/>
        <w:autoSpaceDN w:val="0"/>
        <w:adjustRightInd w:val="0"/>
        <w:rPr>
          <w:kern w:val="16"/>
        </w:rPr>
      </w:pPr>
      <w:r>
        <w:rPr>
          <w:rFonts w:asciiTheme="minorHAnsi" w:hAnsiTheme="minorHAnsi" w:cs="Arial"/>
          <w:noProof/>
          <w:color w:val="000000"/>
          <w:sz w:val="20"/>
          <w:szCs w:val="20"/>
          <w:lang w:eastAsia="en-AU"/>
        </w:rPr>
        <w:drawing>
          <wp:inline distT="0" distB="0" distL="0" distR="0" wp14:anchorId="3D5031F2" wp14:editId="4898F1B9">
            <wp:extent cx="3766457" cy="2765380"/>
            <wp:effectExtent l="0" t="0" r="5715" b="0"/>
            <wp:docPr id="1" name="Picture 1" descr="Figure 8: Dose Normalized Observed AUC0-inf for XM22 Following Single Doses of 25, 50, or 100 μg/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767714" cy="2766303"/>
                    </a:xfrm>
                    <a:prstGeom prst="rect">
                      <a:avLst/>
                    </a:prstGeom>
                    <a:noFill/>
                    <a:ln>
                      <a:noFill/>
                    </a:ln>
                  </pic:spPr>
                </pic:pic>
              </a:graphicData>
            </a:graphic>
          </wp:inline>
        </w:drawing>
      </w:r>
    </w:p>
    <w:p w:rsidR="00660BC2" w:rsidRDefault="00660BC2" w:rsidP="00B12A95">
      <w:pPr>
        <w:rPr>
          <w:lang w:val="en-US"/>
        </w:rPr>
      </w:pPr>
      <w:r>
        <w:rPr>
          <w:lang w:val="en-US"/>
        </w:rPr>
        <w:t xml:space="preserve">Further modeling was not done on the dose choice as the 1 therapeutic </w:t>
      </w:r>
      <w:proofErr w:type="gramStart"/>
      <w:r>
        <w:rPr>
          <w:lang w:val="en-US"/>
        </w:rPr>
        <w:t>dose</w:t>
      </w:r>
      <w:proofErr w:type="gramEnd"/>
      <w:r>
        <w:rPr>
          <w:lang w:val="en-US"/>
        </w:rPr>
        <w:t xml:space="preserve"> (a fixed 6</w:t>
      </w:r>
      <w:r w:rsidR="00D10CCF">
        <w:rPr>
          <w:lang w:val="en-US"/>
        </w:rPr>
        <w:t xml:space="preserve"> </w:t>
      </w:r>
      <w:r>
        <w:rPr>
          <w:lang w:val="en-US"/>
        </w:rPr>
        <w:t>mg dose) had already been selected for further development.</w:t>
      </w:r>
    </w:p>
    <w:p w:rsidR="00660BC2" w:rsidRDefault="00660BC2" w:rsidP="00B12A95">
      <w:pPr>
        <w:rPr>
          <w:color w:val="000000"/>
          <w:lang w:val="en-US"/>
        </w:rPr>
      </w:pPr>
      <w:r>
        <w:rPr>
          <w:color w:val="000000"/>
          <w:lang w:val="en-US"/>
        </w:rPr>
        <w:t>Pharmacokinetic data obtained in the initial studies demonstrated that overall exposure (as assessed by AUC</w:t>
      </w:r>
      <w:r w:rsidR="00D10CCF">
        <w:rPr>
          <w:color w:val="000000"/>
          <w:lang w:val="en-US"/>
        </w:rPr>
        <w:t xml:space="preserve"> from time 0 to infinity (AUC</w:t>
      </w:r>
      <w:r w:rsidRPr="00D10CCF">
        <w:rPr>
          <w:color w:val="000000"/>
          <w:vertAlign w:val="subscript"/>
          <w:lang w:val="en-US"/>
        </w:rPr>
        <w:t>0-∞</w:t>
      </w:r>
      <w:r>
        <w:rPr>
          <w:color w:val="000000"/>
          <w:lang w:val="en-US"/>
        </w:rPr>
        <w:t>)</w:t>
      </w:r>
      <w:r w:rsidR="00D10CCF">
        <w:rPr>
          <w:color w:val="000000"/>
          <w:lang w:val="en-US"/>
        </w:rPr>
        <w:t>)</w:t>
      </w:r>
      <w:r>
        <w:rPr>
          <w:color w:val="000000"/>
          <w:lang w:val="en-US"/>
        </w:rPr>
        <w:t xml:space="preserve"> was about 60% higher and peak exposure (</w:t>
      </w:r>
      <w:proofErr w:type="spellStart"/>
      <w:r>
        <w:rPr>
          <w:color w:val="000000"/>
          <w:lang w:val="en-US"/>
        </w:rPr>
        <w:t>C</w:t>
      </w:r>
      <w:r w:rsidRPr="00D10CCF">
        <w:rPr>
          <w:color w:val="000000"/>
          <w:vertAlign w:val="subscript"/>
          <w:lang w:val="en-US"/>
        </w:rPr>
        <w:t>max</w:t>
      </w:r>
      <w:proofErr w:type="spellEnd"/>
      <w:r>
        <w:rPr>
          <w:color w:val="000000"/>
          <w:lang w:val="en-US"/>
        </w:rPr>
        <w:t xml:space="preserve">) about 30% higher following administration of 100 </w:t>
      </w:r>
      <w:proofErr w:type="spellStart"/>
      <w:r>
        <w:rPr>
          <w:color w:val="000000"/>
          <w:lang w:val="en-US"/>
        </w:rPr>
        <w:t>μg</w:t>
      </w:r>
      <w:proofErr w:type="spellEnd"/>
      <w:r>
        <w:rPr>
          <w:color w:val="000000"/>
          <w:lang w:val="en-US"/>
        </w:rPr>
        <w:t xml:space="preserve">/kg or 6 mg dose of XM22 as compared to that following the 6mg dose of </w:t>
      </w:r>
      <w:proofErr w:type="spellStart"/>
      <w:r>
        <w:rPr>
          <w:color w:val="000000"/>
          <w:lang w:val="en-US"/>
        </w:rPr>
        <w:t>Neulasta</w:t>
      </w:r>
      <w:proofErr w:type="spellEnd"/>
      <w:r>
        <w:rPr>
          <w:color w:val="000000"/>
          <w:lang w:val="en-US"/>
        </w:rPr>
        <w:t xml:space="preserve"> (Study XM22-01-CH and XM22-02- INT). The decline of serum concentrations from peak longer for XM22 resulting in longer mean residence time (approximately 58 hours). The </w:t>
      </w:r>
      <w:proofErr w:type="spellStart"/>
      <w:r>
        <w:rPr>
          <w:color w:val="000000"/>
          <w:lang w:val="en-US"/>
        </w:rPr>
        <w:t>pharmacodynamic</w:t>
      </w:r>
      <w:proofErr w:type="spellEnd"/>
      <w:r>
        <w:rPr>
          <w:color w:val="000000"/>
          <w:lang w:val="en-US"/>
        </w:rPr>
        <w:t xml:space="preserve"> data from these studies demonstrated that, at these doses, XM22 had a greater effect on ANC </w:t>
      </w:r>
      <w:r w:rsidR="00D10CCF" w:rsidRPr="00D10CCF">
        <w:t>apolipoprotein B mRNA editing enzyme, catalytic polypeptide-like (</w:t>
      </w:r>
      <w:r w:rsidRPr="00D10CCF">
        <w:t>AOBEC</w:t>
      </w:r>
      <w:r w:rsidR="00D10CCF" w:rsidRPr="00D10CCF">
        <w:t>)</w:t>
      </w:r>
      <w:r w:rsidRPr="00D10CCF">
        <w:t xml:space="preserve"> (approximately 30% higher) and CD34+ AOBEC (approximately</w:t>
      </w:r>
      <w:r>
        <w:rPr>
          <w:color w:val="000000"/>
          <w:lang w:val="en-US"/>
        </w:rPr>
        <w:t xml:space="preserve"> 80% higher) than with </w:t>
      </w:r>
      <w:proofErr w:type="spellStart"/>
      <w:r>
        <w:rPr>
          <w:color w:val="000000"/>
          <w:lang w:val="en-US"/>
        </w:rPr>
        <w:t>Neulasta</w:t>
      </w:r>
      <w:proofErr w:type="spellEnd"/>
      <w:r>
        <w:rPr>
          <w:color w:val="000000"/>
          <w:lang w:val="en-US"/>
        </w:rPr>
        <w:t>.</w:t>
      </w:r>
    </w:p>
    <w:p w:rsidR="00660BC2" w:rsidRDefault="00660BC2" w:rsidP="00635832">
      <w:pPr>
        <w:pStyle w:val="Comment"/>
        <w:rPr>
          <w:lang w:val="en-US"/>
        </w:rPr>
      </w:pPr>
      <w:r w:rsidRPr="00D10CCF">
        <w:rPr>
          <w:b/>
          <w:color w:val="000000"/>
          <w:lang w:val="en-US"/>
        </w:rPr>
        <w:t>Comment</w:t>
      </w:r>
      <w:r>
        <w:rPr>
          <w:color w:val="000000"/>
          <w:lang w:val="en-US"/>
        </w:rPr>
        <w:t xml:space="preserve">: In XM22-02, </w:t>
      </w:r>
      <w:r>
        <w:rPr>
          <w:lang w:val="en-US"/>
        </w:rPr>
        <w:t xml:space="preserve">the average DSN was highest in the 3 mg XM22 group (1.1±1.1), followed by 6 mg </w:t>
      </w:r>
      <w:proofErr w:type="spellStart"/>
      <w:r>
        <w:rPr>
          <w:lang w:val="en-US"/>
        </w:rPr>
        <w:t>Neulasta</w:t>
      </w:r>
      <w:proofErr w:type="spellEnd"/>
      <w:r>
        <w:rPr>
          <w:lang w:val="en-US"/>
        </w:rPr>
        <w:t xml:space="preserve"> (0.9±1.0), 4.5 mg XM22 (0.8±1.1) and 6 mg XM22 (0.8±1.1). Mean and median DSN were very similar across all treatment groups and greatly reduced from that expected in non-G-CSF treated patients. The difference from the 3</w:t>
      </w:r>
      <w:r w:rsidR="00D10CCF">
        <w:rPr>
          <w:lang w:val="en-US"/>
        </w:rPr>
        <w:t xml:space="preserve"> </w:t>
      </w:r>
      <w:r>
        <w:rPr>
          <w:lang w:val="en-US"/>
        </w:rPr>
        <w:t>mg group to the 6</w:t>
      </w:r>
      <w:r w:rsidR="00D10CCF">
        <w:rPr>
          <w:lang w:val="en-US"/>
        </w:rPr>
        <w:t xml:space="preserve"> </w:t>
      </w:r>
      <w:r>
        <w:rPr>
          <w:lang w:val="en-US"/>
        </w:rPr>
        <w:t>mg groups is 0.3 of a day. The clinical significance of this is not stated but is unlikely to be clinically relevant.</w:t>
      </w:r>
    </w:p>
    <w:p w:rsidR="00B56A57" w:rsidRDefault="00660BC2" w:rsidP="00B12A95">
      <w:pPr>
        <w:rPr>
          <w:color w:val="000000"/>
          <w:szCs w:val="20"/>
          <w:lang w:val="en-US"/>
        </w:rPr>
      </w:pPr>
      <w:r>
        <w:rPr>
          <w:rFonts w:asciiTheme="minorHAnsi" w:hAnsiTheme="minorHAnsi"/>
          <w:color w:val="000000"/>
          <w:szCs w:val="20"/>
          <w:lang w:val="en-US"/>
        </w:rPr>
        <w:t xml:space="preserve">Ideally the modeling would have occurred on the XM22-01 and XM22-02 data to choose the dose, to drive the Phase III </w:t>
      </w:r>
      <w:proofErr w:type="spellStart"/>
      <w:r>
        <w:rPr>
          <w:rFonts w:asciiTheme="minorHAnsi" w:hAnsiTheme="minorHAnsi"/>
          <w:color w:val="000000"/>
          <w:szCs w:val="20"/>
          <w:lang w:val="en-US"/>
        </w:rPr>
        <w:t>lipegfilgrastim</w:t>
      </w:r>
      <w:proofErr w:type="spellEnd"/>
      <w:r>
        <w:rPr>
          <w:rFonts w:asciiTheme="minorHAnsi" w:hAnsiTheme="minorHAnsi"/>
          <w:color w:val="000000"/>
          <w:szCs w:val="20"/>
          <w:lang w:val="en-US"/>
        </w:rPr>
        <w:t xml:space="preserve"> v</w:t>
      </w:r>
      <w:r w:rsidR="00D10CCF">
        <w:rPr>
          <w:rFonts w:asciiTheme="minorHAnsi" w:hAnsiTheme="minorHAnsi"/>
          <w:color w:val="000000"/>
          <w:szCs w:val="20"/>
          <w:lang w:val="en-US"/>
        </w:rPr>
        <w:t>ersu</w:t>
      </w:r>
      <w:r>
        <w:rPr>
          <w:rFonts w:asciiTheme="minorHAnsi" w:hAnsiTheme="minorHAnsi"/>
          <w:color w:val="000000"/>
          <w:szCs w:val="20"/>
          <w:lang w:val="en-US"/>
        </w:rPr>
        <w:t>s placebo study rather than model doing that retrospectively. Based on the efficacy data; the clinical data suggests that 3</w:t>
      </w:r>
      <w:r w:rsidR="00D10CCF">
        <w:rPr>
          <w:rFonts w:asciiTheme="minorHAnsi" w:hAnsiTheme="minorHAnsi"/>
          <w:color w:val="000000"/>
          <w:szCs w:val="20"/>
          <w:lang w:val="en-US"/>
        </w:rPr>
        <w:t xml:space="preserve"> </w:t>
      </w:r>
      <w:r>
        <w:rPr>
          <w:rFonts w:asciiTheme="minorHAnsi" w:hAnsiTheme="minorHAnsi"/>
          <w:color w:val="000000"/>
          <w:szCs w:val="20"/>
          <w:lang w:val="en-US"/>
        </w:rPr>
        <w:t>mg would be an effective dose for the study. The increase in AUC with the 6</w:t>
      </w:r>
      <w:r w:rsidR="00D10CCF">
        <w:rPr>
          <w:rFonts w:asciiTheme="minorHAnsi" w:hAnsiTheme="minorHAnsi"/>
          <w:color w:val="000000"/>
          <w:szCs w:val="20"/>
          <w:lang w:val="en-US"/>
        </w:rPr>
        <w:t xml:space="preserve"> </w:t>
      </w:r>
      <w:r>
        <w:rPr>
          <w:rFonts w:asciiTheme="minorHAnsi" w:hAnsiTheme="minorHAnsi"/>
          <w:color w:val="000000"/>
          <w:szCs w:val="20"/>
          <w:lang w:val="en-US"/>
        </w:rPr>
        <w:t xml:space="preserve">mg </w:t>
      </w:r>
      <w:proofErr w:type="spellStart"/>
      <w:r>
        <w:rPr>
          <w:rFonts w:asciiTheme="minorHAnsi" w:hAnsiTheme="minorHAnsi"/>
          <w:color w:val="000000"/>
          <w:szCs w:val="20"/>
          <w:lang w:val="en-US"/>
        </w:rPr>
        <w:t>lipfilgrastim</w:t>
      </w:r>
      <w:proofErr w:type="spellEnd"/>
      <w:r>
        <w:rPr>
          <w:rFonts w:asciiTheme="minorHAnsi" w:hAnsiTheme="minorHAnsi"/>
          <w:color w:val="000000"/>
          <w:szCs w:val="20"/>
          <w:lang w:val="en-US"/>
        </w:rPr>
        <w:t xml:space="preserve"> </w:t>
      </w:r>
      <w:r w:rsidR="00D10CCF">
        <w:rPr>
          <w:rFonts w:asciiTheme="minorHAnsi" w:hAnsiTheme="minorHAnsi"/>
          <w:color w:val="000000"/>
          <w:szCs w:val="20"/>
          <w:lang w:val="en-US"/>
        </w:rPr>
        <w:t>compared to</w:t>
      </w:r>
      <w:r>
        <w:rPr>
          <w:rFonts w:asciiTheme="minorHAnsi" w:hAnsiTheme="minorHAnsi"/>
          <w:color w:val="000000"/>
          <w:szCs w:val="20"/>
          <w:lang w:val="en-US"/>
        </w:rPr>
        <w:t xml:space="preserve"> 6mg </w:t>
      </w:r>
      <w:proofErr w:type="spellStart"/>
      <w:r>
        <w:rPr>
          <w:rFonts w:asciiTheme="minorHAnsi" w:hAnsiTheme="minorHAnsi"/>
          <w:color w:val="000000"/>
          <w:szCs w:val="20"/>
          <w:lang w:val="en-US"/>
        </w:rPr>
        <w:t>Neulasta</w:t>
      </w:r>
      <w:proofErr w:type="spellEnd"/>
      <w:r>
        <w:rPr>
          <w:rFonts w:asciiTheme="minorHAnsi" w:hAnsiTheme="minorHAnsi"/>
          <w:color w:val="000000"/>
          <w:szCs w:val="20"/>
          <w:lang w:val="en-US"/>
        </w:rPr>
        <w:t xml:space="preserve"> is correlated with </w:t>
      </w:r>
      <w:r>
        <w:rPr>
          <w:color w:val="000000"/>
          <w:szCs w:val="20"/>
          <w:lang w:val="en-US"/>
        </w:rPr>
        <w:t>a 30% higher ANC</w:t>
      </w:r>
      <w:r w:rsidR="00B56A57">
        <w:rPr>
          <w:color w:val="000000"/>
          <w:szCs w:val="20"/>
          <w:lang w:val="en-US"/>
        </w:rPr>
        <w:t>.</w:t>
      </w:r>
    </w:p>
    <w:p w:rsidR="008E7846" w:rsidRPr="00254787" w:rsidRDefault="008E7846" w:rsidP="008E7846">
      <w:pPr>
        <w:pStyle w:val="Heading3"/>
      </w:pPr>
      <w:bookmarkStart w:id="106" w:name="_Toc163441372"/>
      <w:bookmarkStart w:id="107" w:name="_Toc196046485"/>
      <w:bookmarkStart w:id="108" w:name="_Toc247691521"/>
      <w:bookmarkStart w:id="109" w:name="_Toc314842504"/>
      <w:bookmarkStart w:id="110" w:name="_Toc445210966"/>
      <w:r w:rsidRPr="00254787">
        <w:t>Efficacy</w:t>
      </w:r>
      <w:bookmarkEnd w:id="106"/>
      <w:bookmarkEnd w:id="107"/>
      <w:bookmarkEnd w:id="108"/>
      <w:bookmarkEnd w:id="109"/>
      <w:bookmarkEnd w:id="110"/>
    </w:p>
    <w:p w:rsidR="00660BC2" w:rsidRDefault="00605AD4" w:rsidP="00B12A95">
      <w:pPr>
        <w:pStyle w:val="Heading4"/>
      </w:pPr>
      <w:bookmarkStart w:id="111" w:name="_Toc184439992"/>
      <w:bookmarkStart w:id="112" w:name="_Toc184440279"/>
      <w:bookmarkStart w:id="113" w:name="_Toc184444657"/>
      <w:bookmarkStart w:id="114" w:name="_Toc196046487"/>
      <w:r>
        <w:t>Studies providing efficacy data</w:t>
      </w:r>
      <w:bookmarkStart w:id="115" w:name="_Toc414348874"/>
      <w:r w:rsidR="00660BC2" w:rsidRPr="00660BC2">
        <w:t xml:space="preserve"> </w:t>
      </w:r>
      <w:r w:rsidR="00660BC2">
        <w:t>Overview of clinical studies</w:t>
      </w:r>
      <w:bookmarkEnd w:id="115"/>
    </w:p>
    <w:p w:rsidR="00660BC2" w:rsidRDefault="00D10CCF" w:rsidP="00B12A95">
      <w:pPr>
        <w:rPr>
          <w:lang w:val="en-US"/>
        </w:rPr>
      </w:pPr>
      <w:r>
        <w:rPr>
          <w:lang w:val="en-US"/>
        </w:rPr>
        <w:t>T</w:t>
      </w:r>
      <w:r w:rsidR="00660BC2">
        <w:rPr>
          <w:lang w:val="en-US"/>
        </w:rPr>
        <w:t xml:space="preserve">he two studies to be discussed are the Phase III studies. Other clinical studies have been discussed </w:t>
      </w:r>
      <w:r>
        <w:rPr>
          <w:lang w:val="en-US"/>
        </w:rPr>
        <w:t>above</w:t>
      </w:r>
      <w:r w:rsidR="00660BC2">
        <w:rPr>
          <w:lang w:val="en-US"/>
        </w:rPr>
        <w:t>.</w:t>
      </w:r>
    </w:p>
    <w:p w:rsidR="00660BC2" w:rsidRDefault="00605AD4" w:rsidP="00A25040">
      <w:pPr>
        <w:pStyle w:val="Heading4"/>
      </w:pPr>
      <w:r>
        <w:lastRenderedPageBreak/>
        <w:t xml:space="preserve">Evaluator’s conclusions on </w:t>
      </w:r>
      <w:r w:rsidRPr="00A25040">
        <w:t>efficacy</w:t>
      </w:r>
      <w:r w:rsidR="00B12A95">
        <w:t xml:space="preserve"> </w:t>
      </w:r>
      <w:bookmarkStart w:id="116" w:name="_Toc290846282"/>
      <w:bookmarkStart w:id="117" w:name="_Toc272414657"/>
      <w:bookmarkStart w:id="118" w:name="_Ref271126605"/>
      <w:bookmarkStart w:id="119" w:name="_Toc414348879"/>
      <w:r w:rsidR="00660BC2">
        <w:t>for</w:t>
      </w:r>
      <w:bookmarkEnd w:id="116"/>
      <w:bookmarkEnd w:id="117"/>
      <w:bookmarkEnd w:id="118"/>
      <w:r w:rsidR="00660BC2">
        <w:rPr>
          <w:lang w:val="en-US"/>
        </w:rPr>
        <w:t xml:space="preserve"> treatment of cancer patients following chemotherapy to decrease DSN and FN</w:t>
      </w:r>
      <w:bookmarkEnd w:id="119"/>
    </w:p>
    <w:p w:rsidR="00660BC2" w:rsidRDefault="00660BC2" w:rsidP="00B12A95">
      <w:pPr>
        <w:rPr>
          <w:lang w:val="en-US"/>
        </w:rPr>
      </w:pPr>
      <w:r>
        <w:rPr>
          <w:lang w:val="en-US"/>
        </w:rPr>
        <w:t xml:space="preserve">In the pivotal studies (XM22-03 and XM22-04) DSN </w:t>
      </w:r>
      <w:r w:rsidR="00A25040" w:rsidRPr="00A25040">
        <w:t>and febrile neutropenia</w:t>
      </w:r>
      <w:r w:rsidR="00A25040">
        <w:rPr>
          <w:rStyle w:val="st1"/>
          <w:rFonts w:ascii="Arial" w:hAnsi="Arial" w:cs="Arial"/>
          <w:color w:val="545454"/>
        </w:rPr>
        <w:t xml:space="preserve"> (</w:t>
      </w:r>
      <w:r>
        <w:rPr>
          <w:lang w:val="en-US"/>
        </w:rPr>
        <w:t>FN</w:t>
      </w:r>
      <w:r w:rsidR="00A25040">
        <w:rPr>
          <w:lang w:val="en-US"/>
        </w:rPr>
        <w:t>)</w:t>
      </w:r>
      <w:r>
        <w:rPr>
          <w:lang w:val="en-US"/>
        </w:rPr>
        <w:t xml:space="preserve"> data were collected. This is important as the indication refers to both </w:t>
      </w:r>
      <w:r>
        <w:rPr>
          <w:rFonts w:cs="TimesNewRoman"/>
          <w:lang w:val="en-US"/>
        </w:rPr>
        <w:t xml:space="preserve">reduced FN </w:t>
      </w:r>
      <w:r w:rsidR="00A25040" w:rsidRPr="00A25040">
        <w:rPr>
          <w:rFonts w:cs="TimesNewRoman"/>
          <w:i/>
          <w:lang w:val="en-US"/>
        </w:rPr>
        <w:t>and</w:t>
      </w:r>
      <w:r w:rsidR="00A25040">
        <w:rPr>
          <w:rFonts w:cs="TimesNewRoman"/>
          <w:lang w:val="en-US"/>
        </w:rPr>
        <w:t xml:space="preserve"> </w:t>
      </w:r>
      <w:r>
        <w:rPr>
          <w:rFonts w:cs="TimesNewRoman"/>
          <w:lang w:val="en-US"/>
        </w:rPr>
        <w:t>a shortened DSN.</w:t>
      </w:r>
      <w:r>
        <w:rPr>
          <w:lang w:val="en-US"/>
        </w:rPr>
        <w:t xml:space="preserve"> In XM22-03,</w:t>
      </w:r>
      <w:r w:rsidR="009801DD">
        <w:rPr>
          <w:lang w:val="en-US"/>
        </w:rPr>
        <w:t xml:space="preserve"> </w:t>
      </w:r>
      <w:r>
        <w:rPr>
          <w:lang w:val="en-US"/>
        </w:rPr>
        <w:t xml:space="preserve">non-inferiority of 6 mg </w:t>
      </w:r>
      <w:proofErr w:type="spellStart"/>
      <w:r>
        <w:rPr>
          <w:lang w:val="en-US"/>
        </w:rPr>
        <w:t>Lonquex</w:t>
      </w:r>
      <w:proofErr w:type="spellEnd"/>
      <w:r>
        <w:rPr>
          <w:lang w:val="en-US"/>
        </w:rPr>
        <w:t xml:space="preserve">® to 6 mg </w:t>
      </w:r>
      <w:proofErr w:type="spellStart"/>
      <w:r>
        <w:rPr>
          <w:lang w:val="en-US"/>
        </w:rPr>
        <w:t>pegfilgrastim</w:t>
      </w:r>
      <w:proofErr w:type="spellEnd"/>
      <w:r>
        <w:rPr>
          <w:lang w:val="en-US"/>
        </w:rPr>
        <w:t xml:space="preserve"> for the primary endpoint, (DSN) in the first cycle of chemotherapy was seen. There was a 2% less incidence in FN but the statistical and clinical interpretation of this is not clear.</w:t>
      </w:r>
    </w:p>
    <w:p w:rsidR="00660BC2" w:rsidRDefault="00660BC2" w:rsidP="00B12A95">
      <w:pPr>
        <w:rPr>
          <w:lang w:val="en-US"/>
        </w:rPr>
      </w:pPr>
      <w:r>
        <w:rPr>
          <w:lang w:val="en-US"/>
        </w:rPr>
        <w:t>In XM22-04, XM22 6</w:t>
      </w:r>
      <w:r w:rsidR="00A25040">
        <w:rPr>
          <w:lang w:val="en-US"/>
        </w:rPr>
        <w:t xml:space="preserve"> </w:t>
      </w:r>
      <w:r>
        <w:rPr>
          <w:lang w:val="en-US"/>
        </w:rPr>
        <w:t>mg was seen to be no more effective than placebo in reducing FN at the end of Cycle 1, the primary endpoint.</w:t>
      </w:r>
    </w:p>
    <w:p w:rsidR="00660BC2" w:rsidRDefault="00660BC2" w:rsidP="00B12A95">
      <w:pPr>
        <w:rPr>
          <w:lang w:val="en-US"/>
        </w:rPr>
      </w:pPr>
      <w:r>
        <w:rPr>
          <w:lang w:val="en-US"/>
        </w:rPr>
        <w:t xml:space="preserve">In XM22-04, XM22 appeared superior in achievement of some of the secondary endpoints. However the clinical relevance of these was unclear. Neutropenia per se is important if it affects the next course of treatment or causes FN. FN was not affected but there was a statistically significant reduction in number of CTX treatments that were delayed with XM22 in </w:t>
      </w:r>
      <w:r w:rsidR="00A25040">
        <w:rPr>
          <w:lang w:val="en-US"/>
        </w:rPr>
        <w:t>C</w:t>
      </w:r>
      <w:r>
        <w:rPr>
          <w:lang w:val="en-US"/>
        </w:rPr>
        <w:t xml:space="preserve">ycles 2-4 but not in </w:t>
      </w:r>
      <w:r>
        <w:rPr>
          <w:rFonts w:cs="ArialMT"/>
          <w:lang w:val="en-US"/>
        </w:rPr>
        <w:t xml:space="preserve">dose reduction or omission. </w:t>
      </w:r>
      <w:r w:rsidRPr="00A25040">
        <w:rPr>
          <w:i/>
          <w:lang w:val="en-US"/>
        </w:rPr>
        <w:t>Duration of severe neutropenia</w:t>
      </w:r>
      <w:r>
        <w:rPr>
          <w:b/>
          <w:lang w:val="en-US"/>
        </w:rPr>
        <w:t xml:space="preserve"> </w:t>
      </w:r>
      <w:r>
        <w:rPr>
          <w:lang w:val="en-US"/>
        </w:rPr>
        <w:t>was significantly different between the two groups (1</w:t>
      </w:r>
      <w:r w:rsidR="00A25040">
        <w:rPr>
          <w:lang w:val="en-US"/>
        </w:rPr>
        <w:t xml:space="preserve"> to </w:t>
      </w:r>
      <w:r>
        <w:rPr>
          <w:lang w:val="en-US"/>
        </w:rPr>
        <w:t xml:space="preserve">2 days extra DSN) and the </w:t>
      </w:r>
      <w:r w:rsidRPr="00A25040">
        <w:rPr>
          <w:i/>
          <w:lang w:val="en-US"/>
        </w:rPr>
        <w:t>Incidence of severe neutropenia</w:t>
      </w:r>
      <w:r>
        <w:rPr>
          <w:lang w:val="en-US"/>
        </w:rPr>
        <w:t xml:space="preserve">, defined as </w:t>
      </w:r>
      <w:r w:rsidR="00A25040">
        <w:rPr>
          <w:lang w:val="en-US"/>
        </w:rPr>
        <w:t>G</w:t>
      </w:r>
      <w:r>
        <w:rPr>
          <w:lang w:val="en-US"/>
        </w:rPr>
        <w:t>rade 4 (ANC &lt;0.5 x 10</w:t>
      </w:r>
      <w:r w:rsidRPr="00A25040">
        <w:rPr>
          <w:vertAlign w:val="superscript"/>
          <w:lang w:val="en-US"/>
        </w:rPr>
        <w:t>9</w:t>
      </w:r>
      <w:r>
        <w:rPr>
          <w:lang w:val="en-US"/>
        </w:rPr>
        <w:t>/L). This was statistically significantly different between the two groups.</w:t>
      </w:r>
    </w:p>
    <w:p w:rsidR="00B56A57" w:rsidRDefault="00660BC2" w:rsidP="00635832">
      <w:pPr>
        <w:pStyle w:val="Comment"/>
        <w:rPr>
          <w:lang w:val="en-US"/>
        </w:rPr>
      </w:pPr>
      <w:r w:rsidRPr="00A25040">
        <w:rPr>
          <w:b/>
          <w:lang w:val="en-US"/>
        </w:rPr>
        <w:t>Comment</w:t>
      </w:r>
      <w:r>
        <w:rPr>
          <w:lang w:val="en-US"/>
        </w:rPr>
        <w:t>:</w:t>
      </w:r>
      <w:r w:rsidR="00A25040">
        <w:rPr>
          <w:lang w:val="en-US"/>
        </w:rPr>
        <w:t xml:space="preserve"> </w:t>
      </w:r>
      <w:r>
        <w:rPr>
          <w:lang w:val="en-US"/>
        </w:rPr>
        <w:t>Overall, the relevant endpoints clinically need to be clarified, as does the relationship between these and the indication. Overall FN appears to be one of the two most significant endpoints as this is associated with morbidity and mortality, as well as neutropenia that cause a delay in next chemotherapy cycle. These are in fact both noted in the indication. Thus the trials need to show that both DSN and FN are reduced</w:t>
      </w:r>
      <w:r w:rsidR="00B56A57">
        <w:rPr>
          <w:lang w:val="en-US"/>
        </w:rPr>
        <w:t>.</w:t>
      </w:r>
    </w:p>
    <w:p w:rsidR="00660BC2" w:rsidRDefault="00660BC2" w:rsidP="00B12A95">
      <w:pPr>
        <w:rPr>
          <w:rFonts w:asciiTheme="minorHAnsi" w:hAnsiTheme="minorHAnsi" w:cs="TimesNewRomanPSMT"/>
          <w:szCs w:val="20"/>
          <w:lang w:val="en-US"/>
        </w:rPr>
      </w:pPr>
      <w:r>
        <w:rPr>
          <w:rFonts w:asciiTheme="minorHAnsi" w:hAnsiTheme="minorHAnsi" w:cs="TimesNewRomanPSMT"/>
          <w:szCs w:val="20"/>
          <w:lang w:val="en-US"/>
        </w:rPr>
        <w:t xml:space="preserve">In terms of DSN, XM22-03 has shown non inferiority to </w:t>
      </w:r>
      <w:proofErr w:type="spellStart"/>
      <w:r>
        <w:rPr>
          <w:rFonts w:asciiTheme="minorHAnsi" w:hAnsiTheme="minorHAnsi" w:cs="TimesNewRomanPSMT"/>
          <w:szCs w:val="20"/>
          <w:lang w:val="en-US"/>
        </w:rPr>
        <w:t>Neulasta</w:t>
      </w:r>
      <w:proofErr w:type="spellEnd"/>
      <w:r>
        <w:rPr>
          <w:rFonts w:asciiTheme="minorHAnsi" w:hAnsiTheme="minorHAnsi" w:cs="TimesNewRomanPSMT"/>
          <w:szCs w:val="20"/>
          <w:lang w:val="en-US"/>
        </w:rPr>
        <w:t>. X</w:t>
      </w:r>
      <w:r w:rsidR="00A25040">
        <w:rPr>
          <w:rFonts w:asciiTheme="minorHAnsi" w:hAnsiTheme="minorHAnsi" w:cs="TimesNewRomanPSMT"/>
          <w:szCs w:val="20"/>
          <w:lang w:val="en-US"/>
        </w:rPr>
        <w:t>M</w:t>
      </w:r>
      <w:r>
        <w:rPr>
          <w:rFonts w:asciiTheme="minorHAnsi" w:hAnsiTheme="minorHAnsi" w:cs="TimesNewRomanPSMT"/>
          <w:szCs w:val="20"/>
          <w:lang w:val="en-US"/>
        </w:rPr>
        <w:t xml:space="preserve">22-04 showed a statistically significant difference when </w:t>
      </w:r>
      <w:proofErr w:type="spellStart"/>
      <w:r>
        <w:rPr>
          <w:rFonts w:asciiTheme="minorHAnsi" w:hAnsiTheme="minorHAnsi" w:cs="TimesNewRomanPSMT"/>
          <w:szCs w:val="20"/>
          <w:lang w:val="en-US"/>
        </w:rPr>
        <w:t>analysed</w:t>
      </w:r>
      <w:proofErr w:type="spellEnd"/>
      <w:r>
        <w:rPr>
          <w:rFonts w:asciiTheme="minorHAnsi" w:hAnsiTheme="minorHAnsi" w:cs="TimesNewRomanPSMT"/>
          <w:szCs w:val="20"/>
          <w:lang w:val="en-US"/>
        </w:rPr>
        <w:t xml:space="preserve"> as a secondary endpoint. The clinical relevance of the 1</w:t>
      </w:r>
      <w:r w:rsidR="00A25040">
        <w:rPr>
          <w:rFonts w:asciiTheme="minorHAnsi" w:hAnsiTheme="minorHAnsi" w:cs="TimesNewRomanPSMT"/>
          <w:szCs w:val="20"/>
          <w:lang w:val="en-US"/>
        </w:rPr>
        <w:t xml:space="preserve"> to </w:t>
      </w:r>
      <w:r>
        <w:rPr>
          <w:rFonts w:asciiTheme="minorHAnsi" w:hAnsiTheme="minorHAnsi" w:cs="TimesNewRomanPSMT"/>
          <w:szCs w:val="20"/>
          <w:lang w:val="en-US"/>
        </w:rPr>
        <w:t>2 days was not discussed however.</w:t>
      </w:r>
    </w:p>
    <w:p w:rsidR="00660BC2" w:rsidRDefault="00660BC2" w:rsidP="00B12A95">
      <w:pPr>
        <w:rPr>
          <w:rFonts w:asciiTheme="minorHAnsi" w:hAnsiTheme="minorHAnsi" w:cs="TimesNewRomanPSMT"/>
          <w:szCs w:val="20"/>
          <w:lang w:val="en-US"/>
        </w:rPr>
      </w:pPr>
      <w:r>
        <w:rPr>
          <w:rFonts w:asciiTheme="minorHAnsi" w:hAnsiTheme="minorHAnsi" w:cs="TimesNewRomanPSMT"/>
          <w:szCs w:val="20"/>
          <w:lang w:val="en-US"/>
        </w:rPr>
        <w:t>In terms of the FN, there was a numerical difference in XM22-03 but numbers were small</w:t>
      </w:r>
      <w:r w:rsidR="00A25040">
        <w:rPr>
          <w:rFonts w:asciiTheme="minorHAnsi" w:hAnsiTheme="minorHAnsi" w:cs="TimesNewRomanPSMT"/>
          <w:szCs w:val="20"/>
          <w:lang w:val="en-US"/>
        </w:rPr>
        <w:t xml:space="preserve"> and</w:t>
      </w:r>
      <w:r>
        <w:rPr>
          <w:rFonts w:asciiTheme="minorHAnsi" w:hAnsiTheme="minorHAnsi" w:cs="TimesNewRomanPSMT"/>
          <w:szCs w:val="20"/>
          <w:lang w:val="en-US"/>
        </w:rPr>
        <w:t xml:space="preserve"> it was also a secondary endpoint. In the </w:t>
      </w:r>
      <w:r w:rsidR="00A25040">
        <w:rPr>
          <w:rFonts w:asciiTheme="minorHAnsi" w:hAnsiTheme="minorHAnsi" w:cs="TimesNewRomanPSMT"/>
          <w:szCs w:val="20"/>
          <w:lang w:val="en-US"/>
        </w:rPr>
        <w:t>Intent-to-Treat (</w:t>
      </w:r>
      <w:r>
        <w:rPr>
          <w:rFonts w:asciiTheme="minorHAnsi" w:hAnsiTheme="minorHAnsi" w:cs="TimesNewRomanPSMT"/>
          <w:szCs w:val="20"/>
          <w:lang w:val="en-US"/>
        </w:rPr>
        <w:t>ITT</w:t>
      </w:r>
      <w:r w:rsidR="00A25040">
        <w:rPr>
          <w:rFonts w:asciiTheme="minorHAnsi" w:hAnsiTheme="minorHAnsi" w:cs="TimesNewRomanPSMT"/>
          <w:szCs w:val="20"/>
          <w:lang w:val="en-US"/>
        </w:rPr>
        <w:t>)</w:t>
      </w:r>
      <w:r>
        <w:rPr>
          <w:rFonts w:asciiTheme="minorHAnsi" w:hAnsiTheme="minorHAnsi" w:cs="TimesNewRomanPSMT"/>
          <w:szCs w:val="20"/>
          <w:lang w:val="en-US"/>
        </w:rPr>
        <w:t xml:space="preserve"> population, 2 patients in the </w:t>
      </w:r>
      <w:proofErr w:type="spellStart"/>
      <w:r>
        <w:rPr>
          <w:rFonts w:asciiTheme="minorHAnsi" w:hAnsiTheme="minorHAnsi" w:cs="TimesNewRomanPSMT"/>
          <w:szCs w:val="20"/>
          <w:lang w:val="en-US"/>
        </w:rPr>
        <w:t>Neulasta</w:t>
      </w:r>
      <w:proofErr w:type="spellEnd"/>
      <w:r>
        <w:rPr>
          <w:rFonts w:asciiTheme="minorHAnsi" w:hAnsiTheme="minorHAnsi" w:cs="TimesNewRomanPSMT"/>
          <w:szCs w:val="20"/>
          <w:lang w:val="en-US"/>
        </w:rPr>
        <w:t xml:space="preserve">® group and 1 patient in the XM22 group were </w:t>
      </w:r>
      <w:proofErr w:type="spellStart"/>
      <w:r>
        <w:rPr>
          <w:rFonts w:asciiTheme="minorHAnsi" w:hAnsiTheme="minorHAnsi" w:cs="TimesNewRomanPSMT"/>
          <w:szCs w:val="20"/>
          <w:lang w:val="en-US"/>
        </w:rPr>
        <w:t>hospitalised</w:t>
      </w:r>
      <w:proofErr w:type="spellEnd"/>
      <w:r>
        <w:rPr>
          <w:rFonts w:asciiTheme="minorHAnsi" w:hAnsiTheme="minorHAnsi" w:cs="TimesNewRomanPSMT"/>
          <w:szCs w:val="20"/>
          <w:lang w:val="en-US"/>
        </w:rPr>
        <w:t xml:space="preserve"> due to FN or infection. All 3 patients were </w:t>
      </w:r>
      <w:proofErr w:type="spellStart"/>
      <w:r>
        <w:rPr>
          <w:rFonts w:asciiTheme="minorHAnsi" w:hAnsiTheme="minorHAnsi" w:cs="TimesNewRomanPSMT"/>
          <w:szCs w:val="20"/>
          <w:lang w:val="en-US"/>
        </w:rPr>
        <w:t>hospitalised</w:t>
      </w:r>
      <w:proofErr w:type="spellEnd"/>
      <w:r>
        <w:rPr>
          <w:rFonts w:asciiTheme="minorHAnsi" w:hAnsiTheme="minorHAnsi" w:cs="TimesNewRomanPSMT"/>
          <w:szCs w:val="20"/>
          <w:lang w:val="en-US"/>
        </w:rPr>
        <w:t xml:space="preserve"> during </w:t>
      </w:r>
      <w:r w:rsidR="00A25040">
        <w:rPr>
          <w:rFonts w:asciiTheme="minorHAnsi" w:hAnsiTheme="minorHAnsi" w:cs="TimesNewRomanPSMT"/>
          <w:szCs w:val="20"/>
          <w:lang w:val="en-US"/>
        </w:rPr>
        <w:t>C</w:t>
      </w:r>
      <w:r>
        <w:rPr>
          <w:rFonts w:asciiTheme="minorHAnsi" w:hAnsiTheme="minorHAnsi" w:cs="TimesNewRomanPSMT"/>
          <w:szCs w:val="20"/>
          <w:lang w:val="en-US"/>
        </w:rPr>
        <w:t xml:space="preserve">ycle 1 (the XM22 patient for 1 day in the </w:t>
      </w:r>
      <w:r w:rsidR="00A25040">
        <w:rPr>
          <w:rFonts w:asciiTheme="minorHAnsi" w:hAnsiTheme="minorHAnsi" w:cs="TimesNewRomanPSMT"/>
          <w:szCs w:val="20"/>
          <w:lang w:val="en-US"/>
        </w:rPr>
        <w:t>intensive care unit (</w:t>
      </w:r>
      <w:r>
        <w:rPr>
          <w:rFonts w:asciiTheme="minorHAnsi" w:hAnsiTheme="minorHAnsi" w:cs="TimesNewRomanPSMT"/>
          <w:szCs w:val="20"/>
          <w:lang w:val="en-US"/>
        </w:rPr>
        <w:t>ICU</w:t>
      </w:r>
      <w:r w:rsidR="00A25040">
        <w:rPr>
          <w:rFonts w:asciiTheme="minorHAnsi" w:hAnsiTheme="minorHAnsi" w:cs="TimesNewRomanPSMT"/>
          <w:szCs w:val="20"/>
          <w:lang w:val="en-US"/>
        </w:rPr>
        <w:t>)</w:t>
      </w:r>
      <w:r>
        <w:rPr>
          <w:rFonts w:asciiTheme="minorHAnsi" w:hAnsiTheme="minorHAnsi" w:cs="TimesNewRomanPSMT"/>
          <w:szCs w:val="20"/>
          <w:lang w:val="en-US"/>
        </w:rPr>
        <w:t xml:space="preserve">) and received antibiotics; the XM22 patient also received antipyretics. The incidence of very severe neutropenia over all cycles was low and non-statistically different in both groups (11.7% </w:t>
      </w:r>
      <w:proofErr w:type="spellStart"/>
      <w:r>
        <w:rPr>
          <w:rFonts w:asciiTheme="minorHAnsi" w:hAnsiTheme="minorHAnsi" w:cs="TimesNewRomanPSMT"/>
          <w:szCs w:val="20"/>
          <w:lang w:val="en-US"/>
        </w:rPr>
        <w:t>Neulasta</w:t>
      </w:r>
      <w:proofErr w:type="spellEnd"/>
      <w:r>
        <w:rPr>
          <w:rFonts w:asciiTheme="minorHAnsi" w:hAnsiTheme="minorHAnsi" w:cs="TimesNewRomanPSMT"/>
          <w:szCs w:val="20"/>
          <w:lang w:val="en-US"/>
        </w:rPr>
        <w:t xml:space="preserve">® patients, 6.4% XM22 patients; p=0.2066). There was no difference </w:t>
      </w:r>
      <w:r w:rsidR="00A25040">
        <w:rPr>
          <w:rFonts w:asciiTheme="minorHAnsi" w:hAnsiTheme="minorHAnsi" w:cs="TimesNewRomanPSMT"/>
          <w:szCs w:val="20"/>
          <w:lang w:val="en-US"/>
        </w:rPr>
        <w:t xml:space="preserve">in FN </w:t>
      </w:r>
      <w:r>
        <w:rPr>
          <w:rFonts w:asciiTheme="minorHAnsi" w:hAnsiTheme="minorHAnsi" w:cs="TimesNewRomanPSMT"/>
          <w:szCs w:val="20"/>
          <w:lang w:val="en-US"/>
        </w:rPr>
        <w:t xml:space="preserve">in </w:t>
      </w:r>
      <w:r w:rsidR="00A25040">
        <w:rPr>
          <w:rFonts w:asciiTheme="minorHAnsi" w:hAnsiTheme="minorHAnsi" w:cs="TimesNewRomanPSMT"/>
          <w:szCs w:val="20"/>
          <w:lang w:val="en-US"/>
        </w:rPr>
        <w:t xml:space="preserve">Study </w:t>
      </w:r>
      <w:r>
        <w:rPr>
          <w:rFonts w:asciiTheme="minorHAnsi" w:hAnsiTheme="minorHAnsi" w:cs="TimesNewRomanPSMT"/>
          <w:szCs w:val="20"/>
          <w:lang w:val="en-US"/>
        </w:rPr>
        <w:t xml:space="preserve">XM22-04 in the first or </w:t>
      </w:r>
      <w:r w:rsidR="00A25040">
        <w:rPr>
          <w:rFonts w:asciiTheme="minorHAnsi" w:hAnsiTheme="minorHAnsi" w:cs="TimesNewRomanPSMT"/>
          <w:szCs w:val="20"/>
          <w:lang w:val="en-US"/>
        </w:rPr>
        <w:t xml:space="preserve">the </w:t>
      </w:r>
      <w:r>
        <w:rPr>
          <w:rFonts w:asciiTheme="minorHAnsi" w:hAnsiTheme="minorHAnsi" w:cs="TimesNewRomanPSMT"/>
          <w:szCs w:val="20"/>
          <w:lang w:val="en-US"/>
        </w:rPr>
        <w:t>following cycles.</w:t>
      </w:r>
    </w:p>
    <w:p w:rsidR="00660BC2" w:rsidRDefault="00660BC2" w:rsidP="00B12A95">
      <w:pPr>
        <w:rPr>
          <w:rFonts w:asciiTheme="minorHAnsi" w:hAnsiTheme="minorHAnsi" w:cs="TimesNewRomanPSMT"/>
          <w:szCs w:val="20"/>
          <w:lang w:val="en-US"/>
        </w:rPr>
      </w:pPr>
      <w:r>
        <w:rPr>
          <w:rFonts w:asciiTheme="minorHAnsi" w:hAnsiTheme="minorHAnsi" w:cs="TimesNewRomanPSMT"/>
          <w:szCs w:val="20"/>
          <w:lang w:val="en-US"/>
        </w:rPr>
        <w:t xml:space="preserve">Overall it appears then that </w:t>
      </w:r>
      <w:proofErr w:type="spellStart"/>
      <w:r>
        <w:rPr>
          <w:rFonts w:asciiTheme="minorHAnsi" w:hAnsiTheme="minorHAnsi" w:cs="TimesNewRomanPSMT"/>
          <w:szCs w:val="20"/>
          <w:lang w:val="en-US"/>
        </w:rPr>
        <w:t>lipegfilgrastim</w:t>
      </w:r>
      <w:proofErr w:type="spellEnd"/>
      <w:r>
        <w:rPr>
          <w:rFonts w:asciiTheme="minorHAnsi" w:hAnsiTheme="minorHAnsi" w:cs="TimesNewRomanPSMT"/>
          <w:szCs w:val="20"/>
          <w:lang w:val="en-US"/>
        </w:rPr>
        <w:t xml:space="preserve"> 6</w:t>
      </w:r>
      <w:r w:rsidR="00A25040">
        <w:rPr>
          <w:rFonts w:asciiTheme="minorHAnsi" w:hAnsiTheme="minorHAnsi" w:cs="TimesNewRomanPSMT"/>
          <w:szCs w:val="20"/>
          <w:lang w:val="en-US"/>
        </w:rPr>
        <w:t xml:space="preserve"> </w:t>
      </w:r>
      <w:r>
        <w:rPr>
          <w:rFonts w:asciiTheme="minorHAnsi" w:hAnsiTheme="minorHAnsi" w:cs="TimesNewRomanPSMT"/>
          <w:szCs w:val="20"/>
          <w:lang w:val="en-US"/>
        </w:rPr>
        <w:t xml:space="preserve">mg is non-inferior to </w:t>
      </w:r>
      <w:proofErr w:type="spellStart"/>
      <w:r>
        <w:rPr>
          <w:rFonts w:asciiTheme="minorHAnsi" w:hAnsiTheme="minorHAnsi" w:cs="TimesNewRomanPSMT"/>
          <w:szCs w:val="20"/>
          <w:lang w:val="en-US"/>
        </w:rPr>
        <w:t>pegfilgrastim</w:t>
      </w:r>
      <w:proofErr w:type="spellEnd"/>
      <w:r>
        <w:rPr>
          <w:rFonts w:asciiTheme="minorHAnsi" w:hAnsiTheme="minorHAnsi" w:cs="TimesNewRomanPSMT"/>
          <w:szCs w:val="20"/>
          <w:lang w:val="en-US"/>
        </w:rPr>
        <w:t xml:space="preserve"> 6</w:t>
      </w:r>
      <w:r w:rsidR="00A25040">
        <w:rPr>
          <w:rFonts w:asciiTheme="minorHAnsi" w:hAnsiTheme="minorHAnsi" w:cs="TimesNewRomanPSMT"/>
          <w:szCs w:val="20"/>
          <w:lang w:val="en-US"/>
        </w:rPr>
        <w:t xml:space="preserve"> </w:t>
      </w:r>
      <w:r>
        <w:rPr>
          <w:rFonts w:asciiTheme="minorHAnsi" w:hAnsiTheme="minorHAnsi" w:cs="TimesNewRomanPSMT"/>
          <w:szCs w:val="20"/>
          <w:lang w:val="en-US"/>
        </w:rPr>
        <w:t xml:space="preserve">mg in breast cancer in terms of DSN. Also that </w:t>
      </w:r>
      <w:proofErr w:type="spellStart"/>
      <w:r>
        <w:rPr>
          <w:rFonts w:asciiTheme="minorHAnsi" w:hAnsiTheme="minorHAnsi" w:cs="TimesNewRomanPSMT"/>
          <w:szCs w:val="20"/>
          <w:lang w:val="en-US"/>
        </w:rPr>
        <w:t>lipegfilgrastim</w:t>
      </w:r>
      <w:proofErr w:type="spellEnd"/>
      <w:r>
        <w:rPr>
          <w:rFonts w:asciiTheme="minorHAnsi" w:hAnsiTheme="minorHAnsi" w:cs="TimesNewRomanPSMT"/>
          <w:szCs w:val="20"/>
          <w:lang w:val="en-US"/>
        </w:rPr>
        <w:t xml:space="preserve"> is not superior to placebo for reducing febrile neutropenia in </w:t>
      </w:r>
      <w:r w:rsidR="00A25040">
        <w:rPr>
          <w:rFonts w:asciiTheme="minorHAnsi" w:hAnsiTheme="minorHAnsi" w:cs="TimesNewRomanPSMT"/>
          <w:szCs w:val="20"/>
          <w:lang w:val="en-US"/>
        </w:rPr>
        <w:t>non-small cell lung cancer (</w:t>
      </w:r>
      <w:r>
        <w:rPr>
          <w:rFonts w:asciiTheme="minorHAnsi" w:hAnsiTheme="minorHAnsi" w:cs="TimesNewRomanPSMT"/>
          <w:szCs w:val="20"/>
          <w:lang w:val="en-US"/>
        </w:rPr>
        <w:t>NSCLC</w:t>
      </w:r>
      <w:r w:rsidR="00A25040">
        <w:rPr>
          <w:rFonts w:asciiTheme="minorHAnsi" w:hAnsiTheme="minorHAnsi" w:cs="TimesNewRomanPSMT"/>
          <w:szCs w:val="20"/>
          <w:lang w:val="en-US"/>
        </w:rPr>
        <w:t>)</w:t>
      </w:r>
      <w:r>
        <w:rPr>
          <w:rFonts w:asciiTheme="minorHAnsi" w:hAnsiTheme="minorHAnsi" w:cs="TimesNewRomanPSMT"/>
          <w:szCs w:val="20"/>
          <w:lang w:val="en-US"/>
        </w:rPr>
        <w:t>, nor has the superiority of X</w:t>
      </w:r>
      <w:r w:rsidR="00A25040">
        <w:rPr>
          <w:rFonts w:asciiTheme="minorHAnsi" w:hAnsiTheme="minorHAnsi" w:cs="TimesNewRomanPSMT"/>
          <w:szCs w:val="20"/>
          <w:lang w:val="en-US"/>
        </w:rPr>
        <w:t>M</w:t>
      </w:r>
      <w:r>
        <w:rPr>
          <w:rFonts w:asciiTheme="minorHAnsi" w:hAnsiTheme="minorHAnsi" w:cs="TimesNewRomanPSMT"/>
          <w:szCs w:val="20"/>
          <w:lang w:val="en-US"/>
        </w:rPr>
        <w:t xml:space="preserve">22 over </w:t>
      </w:r>
      <w:proofErr w:type="spellStart"/>
      <w:r>
        <w:rPr>
          <w:rFonts w:asciiTheme="minorHAnsi" w:hAnsiTheme="minorHAnsi" w:cs="TimesNewRomanPSMT"/>
          <w:szCs w:val="20"/>
          <w:lang w:val="en-US"/>
        </w:rPr>
        <w:t>Neulasta</w:t>
      </w:r>
      <w:proofErr w:type="spellEnd"/>
      <w:r>
        <w:rPr>
          <w:rFonts w:asciiTheme="minorHAnsi" w:hAnsiTheme="minorHAnsi" w:cs="TimesNewRomanPSMT"/>
          <w:szCs w:val="20"/>
          <w:lang w:val="en-US"/>
        </w:rPr>
        <w:t xml:space="preserve"> in FN been demonstrated </w:t>
      </w:r>
      <w:r w:rsidR="00A25040">
        <w:rPr>
          <w:rFonts w:asciiTheme="minorHAnsi" w:hAnsiTheme="minorHAnsi" w:cs="TimesNewRomanPSMT"/>
          <w:szCs w:val="20"/>
          <w:lang w:val="en-US"/>
        </w:rPr>
        <w:t>in</w:t>
      </w:r>
      <w:r>
        <w:rPr>
          <w:rFonts w:asciiTheme="minorHAnsi" w:hAnsiTheme="minorHAnsi" w:cs="TimesNewRomanPSMT"/>
          <w:szCs w:val="20"/>
          <w:lang w:val="en-US"/>
        </w:rPr>
        <w:t xml:space="preserve"> X</w:t>
      </w:r>
      <w:r w:rsidR="00A25040">
        <w:rPr>
          <w:rFonts w:asciiTheme="minorHAnsi" w:hAnsiTheme="minorHAnsi" w:cs="TimesNewRomanPSMT"/>
          <w:szCs w:val="20"/>
          <w:lang w:val="en-US"/>
        </w:rPr>
        <w:t>M</w:t>
      </w:r>
      <w:r>
        <w:rPr>
          <w:rFonts w:asciiTheme="minorHAnsi" w:hAnsiTheme="minorHAnsi" w:cs="TimesNewRomanPSMT"/>
          <w:szCs w:val="20"/>
          <w:lang w:val="en-US"/>
        </w:rPr>
        <w:t xml:space="preserve">22-03, although it does have a statistically significant effect at reducing the ANC </w:t>
      </w:r>
      <w:r w:rsidRPr="00A25040">
        <w:t xml:space="preserve">nadir </w:t>
      </w:r>
      <w:r w:rsidR="00A25040" w:rsidRPr="00A25040">
        <w:t xml:space="preserve">(lowest point ) </w:t>
      </w:r>
      <w:r w:rsidRPr="00A25040">
        <w:t>and time</w:t>
      </w:r>
      <w:r>
        <w:rPr>
          <w:rFonts w:asciiTheme="minorHAnsi" w:hAnsiTheme="minorHAnsi" w:cs="TimesNewRomanPSMT"/>
          <w:szCs w:val="20"/>
          <w:lang w:val="en-US"/>
        </w:rPr>
        <w:t xml:space="preserve"> to recovery.</w:t>
      </w:r>
    </w:p>
    <w:p w:rsidR="00660BC2" w:rsidRDefault="00660BC2" w:rsidP="00B12A95">
      <w:pPr>
        <w:rPr>
          <w:rFonts w:asciiTheme="minorHAnsi" w:hAnsiTheme="minorHAnsi"/>
          <w:kern w:val="16"/>
          <w:sz w:val="24"/>
        </w:rPr>
      </w:pPr>
      <w:r>
        <w:rPr>
          <w:rFonts w:asciiTheme="minorHAnsi" w:hAnsiTheme="minorHAnsi" w:cs="TimesNewRomanPSMT"/>
          <w:szCs w:val="20"/>
          <w:lang w:val="en-US"/>
        </w:rPr>
        <w:t>These facts suggest the data does not support the indication.</w:t>
      </w:r>
    </w:p>
    <w:p w:rsidR="008E7846" w:rsidRPr="002E238E" w:rsidRDefault="008E7846" w:rsidP="008E7846">
      <w:pPr>
        <w:pStyle w:val="Heading3"/>
      </w:pPr>
      <w:bookmarkStart w:id="120" w:name="_Toc163441378"/>
      <w:bookmarkStart w:id="121" w:name="_Toc196046495"/>
      <w:bookmarkStart w:id="122" w:name="_Toc247691522"/>
      <w:bookmarkStart w:id="123" w:name="_Toc314842505"/>
      <w:bookmarkStart w:id="124" w:name="_Toc445210967"/>
      <w:bookmarkEnd w:id="111"/>
      <w:bookmarkEnd w:id="112"/>
      <w:bookmarkEnd w:id="113"/>
      <w:bookmarkEnd w:id="114"/>
      <w:r w:rsidRPr="002E238E">
        <w:t>Safety</w:t>
      </w:r>
      <w:bookmarkEnd w:id="120"/>
      <w:bookmarkEnd w:id="121"/>
      <w:bookmarkEnd w:id="122"/>
      <w:bookmarkEnd w:id="123"/>
      <w:bookmarkEnd w:id="124"/>
    </w:p>
    <w:p w:rsidR="007C69F4" w:rsidRDefault="00605AD4" w:rsidP="00B12A95">
      <w:pPr>
        <w:pStyle w:val="Heading4"/>
      </w:pPr>
      <w:bookmarkStart w:id="125" w:name="_Toc247691524"/>
      <w:bookmarkStart w:id="126" w:name="_Toc314842508"/>
      <w:bookmarkStart w:id="127" w:name="_Toc196046504"/>
      <w:bookmarkStart w:id="128" w:name="_Toc163441390"/>
      <w:r w:rsidRPr="00605AD4">
        <w:t>Studies providing safety data</w:t>
      </w:r>
      <w:bookmarkStart w:id="129" w:name="_Toc414348881"/>
      <w:bookmarkStart w:id="130" w:name="_Toc290846284"/>
      <w:bookmarkStart w:id="131" w:name="_Toc272414659"/>
      <w:r w:rsidR="007C69F4" w:rsidRPr="007C69F4">
        <w:t xml:space="preserve"> </w:t>
      </w:r>
      <w:r w:rsidR="007C69F4">
        <w:t>Studies providing evaluable safety data</w:t>
      </w:r>
      <w:bookmarkEnd w:id="129"/>
      <w:bookmarkEnd w:id="130"/>
      <w:bookmarkEnd w:id="131"/>
    </w:p>
    <w:p w:rsidR="007C69F4" w:rsidRDefault="007C69F4" w:rsidP="00B12A95">
      <w:bookmarkStart w:id="132" w:name="_Ref268776745"/>
      <w:r>
        <w:rPr>
          <w:lang w:val="en-US"/>
        </w:rPr>
        <w:t xml:space="preserve">Detailed descriptions of the safety analysis of individual studies are provided in the respective study reports of which there are six. The evaluation of safety will focus on the findings from the 2 completed Phase III studies in cancer patients (XM22-03, XM22-04) </w:t>
      </w:r>
      <w:r>
        <w:rPr>
          <w:lang w:val="en-US"/>
        </w:rPr>
        <w:lastRenderedPageBreak/>
        <w:t>and the 1 completed dose-finding Phase II study in cancer patients (XM22-02-INT). Supportive data from the Phase I studies in healthy subjects (XM22-01-CH, XM22-05-CH, XM22-06) will be presented as relevant.</w:t>
      </w:r>
    </w:p>
    <w:p w:rsidR="007C69F4" w:rsidRDefault="007C69F4" w:rsidP="00B12A95">
      <w:pPr>
        <w:pStyle w:val="Heading4"/>
      </w:pPr>
      <w:r>
        <w:t>Pivotal efficacy studies</w:t>
      </w:r>
    </w:p>
    <w:p w:rsidR="007C69F4" w:rsidRDefault="007C69F4" w:rsidP="00B12A95">
      <w:proofErr w:type="gramStart"/>
      <w:r>
        <w:rPr>
          <w:lang w:val="en-US"/>
        </w:rPr>
        <w:t>XM22-03 and XM22-04</w:t>
      </w:r>
      <w:r w:rsidR="00216F4E">
        <w:rPr>
          <w:lang w:val="en-US"/>
        </w:rPr>
        <w:t>.</w:t>
      </w:r>
      <w:proofErr w:type="gramEnd"/>
    </w:p>
    <w:bookmarkEnd w:id="132"/>
    <w:p w:rsidR="007C69F4" w:rsidRDefault="007C69F4" w:rsidP="00B12A95">
      <w:pPr>
        <w:pStyle w:val="Heading4"/>
      </w:pPr>
      <w:r>
        <w:t>Pivotal studies that assessed safety as a primary outcome</w:t>
      </w:r>
    </w:p>
    <w:p w:rsidR="00B56A57" w:rsidRDefault="007C69F4" w:rsidP="007C69F4">
      <w:proofErr w:type="gramStart"/>
      <w:r>
        <w:t>Nil</w:t>
      </w:r>
      <w:r w:rsidR="00B56A57">
        <w:t>.</w:t>
      </w:r>
      <w:proofErr w:type="gramEnd"/>
    </w:p>
    <w:p w:rsidR="007C69F4" w:rsidRDefault="007C69F4" w:rsidP="00B12A95">
      <w:pPr>
        <w:pStyle w:val="Heading4"/>
      </w:pPr>
      <w:r>
        <w:t>Dose-response and non-pivotal efficacy studies</w:t>
      </w:r>
    </w:p>
    <w:p w:rsidR="007C69F4" w:rsidRDefault="007C69F4" w:rsidP="00B12A95">
      <w:r>
        <w:t xml:space="preserve">There were three </w:t>
      </w:r>
      <w:proofErr w:type="gramStart"/>
      <w:r>
        <w:t>Phase</w:t>
      </w:r>
      <w:proofErr w:type="gramEnd"/>
      <w:r>
        <w:t xml:space="preserve"> I and one Phase II dose-response and non-pivotal efficacy studies providing safety data.</w:t>
      </w:r>
    </w:p>
    <w:p w:rsidR="00605AD4" w:rsidRDefault="00605AD4" w:rsidP="00605AD4">
      <w:pPr>
        <w:pStyle w:val="Heading4"/>
      </w:pPr>
      <w:r w:rsidRPr="00605AD4">
        <w:t>Patient exposure</w:t>
      </w:r>
    </w:p>
    <w:p w:rsidR="007C69F4" w:rsidRDefault="007C69F4" w:rsidP="00A25040">
      <w:pPr>
        <w:pStyle w:val="TableTitle"/>
      </w:pPr>
      <w:proofErr w:type="gramStart"/>
      <w:r>
        <w:t>Table 8</w:t>
      </w:r>
      <w:r w:rsidR="00A25040">
        <w:t>:</w:t>
      </w:r>
      <w:r>
        <w:t xml:space="preserve"> Cumulative exposure to </w:t>
      </w:r>
      <w:proofErr w:type="spellStart"/>
      <w:r>
        <w:t>lipegfilgrastim</w:t>
      </w:r>
      <w:proofErr w:type="spellEnd"/>
      <w:r>
        <w:t xml:space="preserve"> in clinical studies.</w:t>
      </w:r>
      <w:proofErr w:type="gramEnd"/>
    </w:p>
    <w:p w:rsidR="007C69F4" w:rsidRDefault="007C69F4" w:rsidP="007C69F4">
      <w:pPr>
        <w:autoSpaceDE w:val="0"/>
        <w:autoSpaceDN w:val="0"/>
        <w:adjustRightInd w:val="0"/>
      </w:pPr>
      <w:r>
        <w:rPr>
          <w:noProof/>
          <w:lang w:eastAsia="en-AU"/>
        </w:rPr>
        <w:drawing>
          <wp:inline distT="0" distB="0" distL="0" distR="0" wp14:anchorId="14618D19" wp14:editId="7D6EB0E0">
            <wp:extent cx="4985657" cy="2201771"/>
            <wp:effectExtent l="0" t="0" r="5715" b="8255"/>
            <wp:docPr id="7" name="Picture 7" descr="Table 8: Cumulative exposure to lipegfilgrastim in clinical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91369" cy="2204293"/>
                    </a:xfrm>
                    <a:prstGeom prst="rect">
                      <a:avLst/>
                    </a:prstGeom>
                    <a:noFill/>
                    <a:ln>
                      <a:noFill/>
                    </a:ln>
                  </pic:spPr>
                </pic:pic>
              </a:graphicData>
            </a:graphic>
          </wp:inline>
        </w:drawing>
      </w:r>
    </w:p>
    <w:p w:rsidR="007C69F4" w:rsidRDefault="007C69F4" w:rsidP="00B12A95">
      <w:r>
        <w:rPr>
          <w:lang w:val="en-US"/>
        </w:rPr>
        <w:t xml:space="preserve">In all clinical studies, XM22 was administered as an </w:t>
      </w:r>
      <w:r w:rsidR="00A25040">
        <w:rPr>
          <w:lang w:val="en-US"/>
        </w:rPr>
        <w:t>SC</w:t>
      </w:r>
      <w:r>
        <w:rPr>
          <w:lang w:val="en-US"/>
        </w:rPr>
        <w:t xml:space="preserve"> injection. In the Phase II and III studies in cancer patients, XM22 was administered as a fixed dose once per CTX cycle, approximately 24 hours after CTX infusion. In the Phase I clinical studies in healthy subjects, XM22 was administered as a single weight-based dose in </w:t>
      </w:r>
      <w:r w:rsidR="00A25040">
        <w:rPr>
          <w:lang w:val="en-US"/>
        </w:rPr>
        <w:t>S</w:t>
      </w:r>
      <w:r>
        <w:rPr>
          <w:lang w:val="en-US"/>
        </w:rPr>
        <w:t xml:space="preserve">tudy XM22-01-CH, as a single fixed dose in </w:t>
      </w:r>
      <w:r w:rsidR="00534ECE">
        <w:rPr>
          <w:lang w:val="en-US"/>
        </w:rPr>
        <w:t>S</w:t>
      </w:r>
      <w:r>
        <w:rPr>
          <w:lang w:val="en-US"/>
        </w:rPr>
        <w:t xml:space="preserve">tudy XM22-05-CH, and as a single fixed dose per treatment period in </w:t>
      </w:r>
      <w:r w:rsidR="00534ECE">
        <w:rPr>
          <w:lang w:val="en-US"/>
        </w:rPr>
        <w:t>S</w:t>
      </w:r>
      <w:r>
        <w:rPr>
          <w:lang w:val="en-US"/>
        </w:rPr>
        <w:t>tudy XM22-06 (up to 3 doses in total per subject).</w:t>
      </w:r>
    </w:p>
    <w:p w:rsidR="00605AD4" w:rsidRDefault="00605AD4" w:rsidP="00605AD4">
      <w:pPr>
        <w:pStyle w:val="Heading4"/>
      </w:pPr>
      <w:r w:rsidRPr="00605AD4">
        <w:t>Safety issues with the potential for major regulatory impact</w:t>
      </w:r>
    </w:p>
    <w:p w:rsidR="007C69F4" w:rsidRDefault="007C69F4" w:rsidP="00534ECE">
      <w:pPr>
        <w:pStyle w:val="Heading5"/>
        <w:rPr>
          <w:szCs w:val="20"/>
        </w:rPr>
      </w:pPr>
      <w:bookmarkStart w:id="133" w:name="_Toc414348901"/>
      <w:bookmarkStart w:id="134" w:name="_Toc276472582"/>
      <w:bookmarkStart w:id="135" w:name="_Toc290846322"/>
      <w:bookmarkStart w:id="136" w:name="_Toc272414684"/>
      <w:r>
        <w:t>Cardiovascular safety</w:t>
      </w:r>
      <w:bookmarkEnd w:id="133"/>
      <w:bookmarkEnd w:id="134"/>
      <w:bookmarkEnd w:id="135"/>
      <w:bookmarkEnd w:id="136"/>
    </w:p>
    <w:p w:rsidR="007C69F4" w:rsidRDefault="007C69F4" w:rsidP="007C69F4">
      <w:r>
        <w:t>N</w:t>
      </w:r>
      <w:r w:rsidR="00534ECE">
        <w:t>o</w:t>
      </w:r>
      <w:r>
        <w:t xml:space="preserve"> signal apart from the comments above with </w:t>
      </w:r>
      <w:r w:rsidR="00534ECE">
        <w:t xml:space="preserve">respect to </w:t>
      </w:r>
      <w:r>
        <w:t>the ECG.</w:t>
      </w:r>
    </w:p>
    <w:p w:rsidR="007C69F4" w:rsidRDefault="007C69F4" w:rsidP="00534ECE">
      <w:pPr>
        <w:pStyle w:val="Heading5"/>
      </w:pPr>
      <w:bookmarkStart w:id="137" w:name="_Toc414348902"/>
      <w:bookmarkStart w:id="138" w:name="_Toc276472583"/>
      <w:bookmarkStart w:id="139" w:name="_Toc290846323"/>
      <w:bookmarkStart w:id="140" w:name="_Toc272414685"/>
      <w:bookmarkStart w:id="141" w:name="_Toc241374323"/>
      <w:r>
        <w:t>Unwanted immunological events</w:t>
      </w:r>
      <w:bookmarkEnd w:id="137"/>
      <w:bookmarkEnd w:id="138"/>
      <w:bookmarkEnd w:id="139"/>
      <w:bookmarkEnd w:id="140"/>
      <w:bookmarkEnd w:id="141"/>
    </w:p>
    <w:p w:rsidR="007C69F4" w:rsidRDefault="007C69F4" w:rsidP="007C69F4">
      <w:pPr>
        <w:autoSpaceDE w:val="0"/>
        <w:autoSpaceDN w:val="0"/>
        <w:adjustRightInd w:val="0"/>
      </w:pPr>
      <w:proofErr w:type="spellStart"/>
      <w:r>
        <w:t>Immnunogenicity</w:t>
      </w:r>
      <w:proofErr w:type="spellEnd"/>
      <w:r>
        <w:t xml:space="preserve"> is a long standing issue with these agents and there is an immunogenicity database collecting any new information. There were no significant issues within the </w:t>
      </w:r>
      <w:r w:rsidR="00534ECE">
        <w:t xml:space="preserve">submitted </w:t>
      </w:r>
      <w:r>
        <w:t>studies however.</w:t>
      </w:r>
    </w:p>
    <w:p w:rsidR="00605AD4" w:rsidRDefault="00605AD4" w:rsidP="00605AD4">
      <w:pPr>
        <w:pStyle w:val="Heading4"/>
      </w:pPr>
      <w:proofErr w:type="spellStart"/>
      <w:r w:rsidRPr="00605AD4">
        <w:lastRenderedPageBreak/>
        <w:t>Postmarketing</w:t>
      </w:r>
      <w:proofErr w:type="spellEnd"/>
      <w:r w:rsidRPr="00605AD4">
        <w:t xml:space="preserve"> data</w:t>
      </w:r>
    </w:p>
    <w:p w:rsidR="007C69F4" w:rsidRDefault="007C69F4" w:rsidP="007C69F4">
      <w:pPr>
        <w:autoSpaceDE w:val="0"/>
        <w:autoSpaceDN w:val="0"/>
        <w:adjustRightInd w:val="0"/>
      </w:pPr>
      <w:r>
        <w:t xml:space="preserve">Two PSURS reporting up to </w:t>
      </w:r>
      <w:r w:rsidR="00534ECE">
        <w:t xml:space="preserve">the </w:t>
      </w:r>
      <w:r>
        <w:t>mid</w:t>
      </w:r>
      <w:r w:rsidR="00534ECE">
        <w:t xml:space="preserve">dle of </w:t>
      </w:r>
      <w:r>
        <w:t>2014 were provided and there were no new concerns raised.</w:t>
      </w:r>
    </w:p>
    <w:p w:rsidR="007C69F4" w:rsidRDefault="00B12A95" w:rsidP="00B12A95">
      <w:pPr>
        <w:pStyle w:val="Heading3"/>
      </w:pPr>
      <w:bookmarkStart w:id="142" w:name="_Toc414348910"/>
      <w:bookmarkStart w:id="143" w:name="_Toc290846330"/>
      <w:bookmarkStart w:id="144" w:name="_Ref290633656"/>
      <w:bookmarkStart w:id="145" w:name="_Toc272414692"/>
      <w:bookmarkStart w:id="146" w:name="_Ref271136335"/>
      <w:bookmarkStart w:id="147" w:name="_Ref271136331"/>
      <w:bookmarkStart w:id="148" w:name="_Toc445210968"/>
      <w:r>
        <w:t>First round benefit-risk assessment</w:t>
      </w:r>
      <w:bookmarkEnd w:id="142"/>
      <w:bookmarkEnd w:id="143"/>
      <w:bookmarkEnd w:id="144"/>
      <w:bookmarkEnd w:id="145"/>
      <w:bookmarkEnd w:id="146"/>
      <w:bookmarkEnd w:id="147"/>
      <w:bookmarkEnd w:id="148"/>
    </w:p>
    <w:p w:rsidR="007C69F4" w:rsidRDefault="007C69F4" w:rsidP="00B12A95">
      <w:pPr>
        <w:pStyle w:val="Heading4"/>
      </w:pPr>
      <w:bookmarkStart w:id="149" w:name="_Toc414348911"/>
      <w:bookmarkStart w:id="150" w:name="_Toc290846331"/>
      <w:bookmarkStart w:id="151" w:name="_Toc272414693"/>
      <w:bookmarkStart w:id="152" w:name="_Ref272160836"/>
      <w:bookmarkStart w:id="153" w:name="_Toc241374331"/>
      <w:bookmarkStart w:id="154" w:name="_Toc236802592"/>
      <w:r>
        <w:t>First round assessment of benefits</w:t>
      </w:r>
      <w:bookmarkEnd w:id="149"/>
      <w:bookmarkEnd w:id="150"/>
      <w:bookmarkEnd w:id="151"/>
      <w:bookmarkEnd w:id="152"/>
      <w:bookmarkEnd w:id="153"/>
      <w:bookmarkEnd w:id="154"/>
    </w:p>
    <w:p w:rsidR="007C69F4" w:rsidRDefault="007C69F4" w:rsidP="00B12A95">
      <w:r>
        <w:t xml:space="preserve">The benefits of </w:t>
      </w:r>
      <w:proofErr w:type="spellStart"/>
      <w:r>
        <w:t>lipegfilgrastim</w:t>
      </w:r>
      <w:proofErr w:type="spellEnd"/>
      <w:r>
        <w:t xml:space="preserve"> in the proposed usage are:</w:t>
      </w:r>
    </w:p>
    <w:p w:rsidR="007C69F4" w:rsidRDefault="00534ECE" w:rsidP="00B12A95">
      <w:pPr>
        <w:pStyle w:val="Numberbullet0"/>
      </w:pPr>
      <w:r>
        <w:t xml:space="preserve">Less </w:t>
      </w:r>
      <w:r w:rsidR="007C69F4">
        <w:t xml:space="preserve">doses of </w:t>
      </w:r>
      <w:r w:rsidR="00FD2193">
        <w:t>G-CSF</w:t>
      </w:r>
      <w:r w:rsidR="007C69F4">
        <w:t xml:space="preserve"> therapy</w:t>
      </w:r>
    </w:p>
    <w:p w:rsidR="007C69F4" w:rsidRDefault="00534ECE" w:rsidP="00B12A95">
      <w:pPr>
        <w:pStyle w:val="Numberbullet0"/>
      </w:pPr>
      <w:r>
        <w:t>Non</w:t>
      </w:r>
      <w:r w:rsidR="007C69F4">
        <w:t xml:space="preserve">-inferior to </w:t>
      </w:r>
      <w:proofErr w:type="spellStart"/>
      <w:r w:rsidR="007C69F4">
        <w:t>pegfilgrastim</w:t>
      </w:r>
      <w:proofErr w:type="spellEnd"/>
      <w:r w:rsidR="007C69F4">
        <w:t xml:space="preserve"> in DSN in breast cancer treatment</w:t>
      </w:r>
    </w:p>
    <w:p w:rsidR="007C69F4" w:rsidRDefault="00534ECE" w:rsidP="00B12A95">
      <w:pPr>
        <w:pStyle w:val="Numberbullet0"/>
      </w:pPr>
      <w:r>
        <w:t xml:space="preserve">May </w:t>
      </w:r>
      <w:r w:rsidR="007C69F4">
        <w:t>reduce delays in CTX</w:t>
      </w:r>
    </w:p>
    <w:p w:rsidR="007C69F4" w:rsidRDefault="00534ECE" w:rsidP="00B12A95">
      <w:pPr>
        <w:pStyle w:val="Numberbullet0"/>
      </w:pPr>
      <w:r>
        <w:t xml:space="preserve">May </w:t>
      </w:r>
      <w:r w:rsidR="007C69F4">
        <w:t>reduce neutropenia severity and time to recover from the nadir (although the clinical relevance was</w:t>
      </w:r>
      <w:r>
        <w:t xml:space="preserve"> </w:t>
      </w:r>
      <w:r w:rsidR="007C69F4">
        <w:t>n</w:t>
      </w:r>
      <w:r>
        <w:t>o</w:t>
      </w:r>
      <w:r w:rsidR="007C69F4">
        <w:t>t clear).</w:t>
      </w:r>
    </w:p>
    <w:p w:rsidR="007C69F4" w:rsidRDefault="007C69F4" w:rsidP="00B12A95">
      <w:pPr>
        <w:rPr>
          <w:lang w:val="en-US"/>
        </w:rPr>
      </w:pPr>
      <w:r>
        <w:rPr>
          <w:lang w:val="en-US"/>
        </w:rPr>
        <w:t xml:space="preserve">Overall it appears then that </w:t>
      </w:r>
      <w:proofErr w:type="spellStart"/>
      <w:r>
        <w:rPr>
          <w:lang w:val="en-US"/>
        </w:rPr>
        <w:t>lipegfilgrastim</w:t>
      </w:r>
      <w:proofErr w:type="spellEnd"/>
      <w:r>
        <w:rPr>
          <w:lang w:val="en-US"/>
        </w:rPr>
        <w:t xml:space="preserve"> 6</w:t>
      </w:r>
      <w:r w:rsidR="00534ECE">
        <w:rPr>
          <w:lang w:val="en-US"/>
        </w:rPr>
        <w:t xml:space="preserve"> </w:t>
      </w:r>
      <w:r>
        <w:rPr>
          <w:lang w:val="en-US"/>
        </w:rPr>
        <w:t xml:space="preserve">mg is non-inferior to </w:t>
      </w:r>
      <w:proofErr w:type="spellStart"/>
      <w:r>
        <w:rPr>
          <w:lang w:val="en-US"/>
        </w:rPr>
        <w:t>pegfilgrastim</w:t>
      </w:r>
      <w:proofErr w:type="spellEnd"/>
      <w:r>
        <w:rPr>
          <w:lang w:val="en-US"/>
        </w:rPr>
        <w:t xml:space="preserve"> 6</w:t>
      </w:r>
      <w:r w:rsidR="00534ECE">
        <w:rPr>
          <w:lang w:val="en-US"/>
        </w:rPr>
        <w:t xml:space="preserve"> </w:t>
      </w:r>
      <w:r>
        <w:rPr>
          <w:lang w:val="en-US"/>
        </w:rPr>
        <w:t xml:space="preserve">mg in breast cancer and that </w:t>
      </w:r>
      <w:proofErr w:type="spellStart"/>
      <w:r>
        <w:rPr>
          <w:lang w:val="en-US"/>
        </w:rPr>
        <w:t>lipegfilgrastim</w:t>
      </w:r>
      <w:proofErr w:type="spellEnd"/>
      <w:r>
        <w:rPr>
          <w:lang w:val="en-US"/>
        </w:rPr>
        <w:t xml:space="preserve"> is not superior to placebo for reducing febrile neutropenia in NSCLC, although it does have a statistically significant effect at reducing the ANC nadir and time to recovery. The drug does not meet efficacy criteria for reduction of both DSN and FN.</w:t>
      </w:r>
    </w:p>
    <w:p w:rsidR="007C69F4" w:rsidRDefault="007C69F4" w:rsidP="00B12A95">
      <w:pPr>
        <w:pStyle w:val="Heading4"/>
      </w:pPr>
      <w:bookmarkStart w:id="155" w:name="_Toc414348912"/>
      <w:bookmarkStart w:id="156" w:name="_Toc290846332"/>
      <w:bookmarkStart w:id="157" w:name="_Toc272414694"/>
      <w:bookmarkStart w:id="158" w:name="_Ref272160964"/>
      <w:bookmarkStart w:id="159" w:name="_Toc241374334"/>
      <w:bookmarkStart w:id="160" w:name="_Toc236802596"/>
      <w:r>
        <w:t>First round assessment of risks</w:t>
      </w:r>
      <w:bookmarkEnd w:id="155"/>
      <w:bookmarkEnd w:id="156"/>
      <w:bookmarkEnd w:id="157"/>
      <w:bookmarkEnd w:id="158"/>
      <w:bookmarkEnd w:id="159"/>
      <w:bookmarkEnd w:id="160"/>
    </w:p>
    <w:p w:rsidR="007C69F4" w:rsidRDefault="007C69F4" w:rsidP="00AA55A3">
      <w:pPr>
        <w:pStyle w:val="Numberbullet0"/>
        <w:numPr>
          <w:ilvl w:val="0"/>
          <w:numId w:val="13"/>
        </w:numPr>
      </w:pPr>
      <w:bookmarkStart w:id="161" w:name="_Toc414348913"/>
      <w:r>
        <w:t>May worsen survival in NSCLC</w:t>
      </w:r>
      <w:bookmarkStart w:id="162" w:name="_Toc414348914"/>
      <w:bookmarkEnd w:id="161"/>
    </w:p>
    <w:p w:rsidR="007C69F4" w:rsidRDefault="007C69F4" w:rsidP="00AA55A3">
      <w:pPr>
        <w:pStyle w:val="Numberbullet0"/>
        <w:numPr>
          <w:ilvl w:val="0"/>
          <w:numId w:val="13"/>
        </w:numPr>
      </w:pPr>
      <w:r>
        <w:t>May increase disease progression in NSCLC</w:t>
      </w:r>
      <w:bookmarkEnd w:id="162"/>
    </w:p>
    <w:p w:rsidR="007C69F4" w:rsidRDefault="007C69F4" w:rsidP="00AA55A3">
      <w:pPr>
        <w:pStyle w:val="Numberbullet0"/>
        <w:numPr>
          <w:ilvl w:val="0"/>
          <w:numId w:val="13"/>
        </w:numPr>
      </w:pPr>
      <w:r>
        <w:t>Equivalent to placebo in FN prevention in NSCLC</w:t>
      </w:r>
    </w:p>
    <w:p w:rsidR="007C69F4" w:rsidRDefault="007C69F4" w:rsidP="00AA55A3">
      <w:pPr>
        <w:pStyle w:val="Numberbullet0"/>
        <w:numPr>
          <w:ilvl w:val="0"/>
          <w:numId w:val="13"/>
        </w:numPr>
      </w:pPr>
      <w:r>
        <w:t xml:space="preserve">May cause </w:t>
      </w:r>
      <w:proofErr w:type="spellStart"/>
      <w:r>
        <w:t>hyperleucocytosis</w:t>
      </w:r>
      <w:proofErr w:type="spellEnd"/>
    </w:p>
    <w:p w:rsidR="007C69F4" w:rsidRDefault="007C69F4" w:rsidP="00AA55A3">
      <w:pPr>
        <w:pStyle w:val="Numberbullet0"/>
        <w:numPr>
          <w:ilvl w:val="0"/>
          <w:numId w:val="13"/>
        </w:numPr>
      </w:pPr>
      <w:r>
        <w:t xml:space="preserve">Causes a number of side effects, including bone pain and elevations in ALP, GGT and </w:t>
      </w:r>
      <w:r w:rsidR="00534ECE">
        <w:t>lactate dehydrogenase (</w:t>
      </w:r>
      <w:r>
        <w:t>LDH</w:t>
      </w:r>
      <w:r w:rsidR="00534ECE">
        <w:t>).</w:t>
      </w:r>
    </w:p>
    <w:p w:rsidR="007C69F4" w:rsidRDefault="007C69F4" w:rsidP="00B12A95">
      <w:pPr>
        <w:pStyle w:val="Heading4"/>
      </w:pPr>
      <w:bookmarkStart w:id="163" w:name="_Toc414348915"/>
      <w:bookmarkStart w:id="164" w:name="_Toc290846333"/>
      <w:bookmarkStart w:id="165" w:name="_Toc272414695"/>
      <w:bookmarkStart w:id="166" w:name="_Toc241374335"/>
      <w:bookmarkStart w:id="167" w:name="_Toc236802597"/>
      <w:r>
        <w:t>First round assessment of benefit-risk balance</w:t>
      </w:r>
      <w:bookmarkEnd w:id="163"/>
      <w:bookmarkEnd w:id="164"/>
      <w:bookmarkEnd w:id="165"/>
      <w:bookmarkEnd w:id="166"/>
      <w:bookmarkEnd w:id="167"/>
    </w:p>
    <w:p w:rsidR="007C69F4" w:rsidRDefault="007C69F4" w:rsidP="00B12A95">
      <w:pPr>
        <w:rPr>
          <w:lang w:val="en-US"/>
        </w:rPr>
      </w:pPr>
      <w:r>
        <w:rPr>
          <w:lang w:val="en-US"/>
        </w:rPr>
        <w:t>This drug appears to be non-inferior to one already registered (</w:t>
      </w:r>
      <w:proofErr w:type="spellStart"/>
      <w:r>
        <w:rPr>
          <w:lang w:val="en-US"/>
        </w:rPr>
        <w:t>Neulasta</w:t>
      </w:r>
      <w:proofErr w:type="spellEnd"/>
      <w:r>
        <w:rPr>
          <w:lang w:val="en-US"/>
        </w:rPr>
        <w:t xml:space="preserve">) </w:t>
      </w:r>
      <w:r w:rsidR="00534ECE">
        <w:rPr>
          <w:lang w:val="en-US"/>
        </w:rPr>
        <w:t>for</w:t>
      </w:r>
      <w:r>
        <w:rPr>
          <w:lang w:val="en-US"/>
        </w:rPr>
        <w:t xml:space="preserve"> which </w:t>
      </w:r>
      <w:r w:rsidR="00534ECE">
        <w:rPr>
          <w:lang w:val="en-US"/>
        </w:rPr>
        <w:t>there are</w:t>
      </w:r>
      <w:r>
        <w:rPr>
          <w:lang w:val="en-US"/>
        </w:rPr>
        <w:t xml:space="preserve"> several years of pharmacovigilance data on DSN in breast cancer</w:t>
      </w:r>
      <w:r w:rsidR="00534ECE">
        <w:rPr>
          <w:lang w:val="en-US"/>
        </w:rPr>
        <w:t xml:space="preserve"> patients</w:t>
      </w:r>
      <w:r>
        <w:rPr>
          <w:lang w:val="en-US"/>
        </w:rPr>
        <w:t>. The drug may not be any better than placebo at preventing FN in lung cancer and may worsen survival and worsen disease free progression in this disease. It also has side</w:t>
      </w:r>
      <w:r w:rsidR="00534ECE">
        <w:rPr>
          <w:lang w:val="en-US"/>
        </w:rPr>
        <w:t xml:space="preserve"> </w:t>
      </w:r>
      <w:r>
        <w:rPr>
          <w:lang w:val="en-US"/>
        </w:rPr>
        <w:t>effects which are not insignificant. The benefits in the secondary outcomes are around ANC, much of which has not yet been shown to translate into a clinical benefit (as opposed to a change in the ANC number).</w:t>
      </w:r>
    </w:p>
    <w:p w:rsidR="007C69F4" w:rsidRDefault="007C69F4" w:rsidP="00B12A95">
      <w:r>
        <w:rPr>
          <w:lang w:val="en-US"/>
        </w:rPr>
        <w:t xml:space="preserve">The data from the release of Phase IV study in the UK and the </w:t>
      </w:r>
      <w:proofErr w:type="spellStart"/>
      <w:r>
        <w:rPr>
          <w:lang w:val="en-US"/>
        </w:rPr>
        <w:t>paediatric</w:t>
      </w:r>
      <w:proofErr w:type="spellEnd"/>
      <w:r>
        <w:rPr>
          <w:lang w:val="en-US"/>
        </w:rPr>
        <w:t xml:space="preserve"> data would be helpful.</w:t>
      </w:r>
    </w:p>
    <w:p w:rsidR="00605AD4" w:rsidRPr="00605AD4" w:rsidRDefault="00605AD4" w:rsidP="00605AD4">
      <w:pPr>
        <w:pStyle w:val="Heading3"/>
        <w:rPr>
          <w:rFonts w:eastAsia="Cambria"/>
        </w:rPr>
      </w:pPr>
      <w:bookmarkStart w:id="168" w:name="_Toc445210969"/>
      <w:r w:rsidRPr="00605AD4">
        <w:rPr>
          <w:rFonts w:eastAsia="Cambria"/>
        </w:rPr>
        <w:t>First Round Recommendation Regarding Authorisation</w:t>
      </w:r>
      <w:bookmarkEnd w:id="168"/>
    </w:p>
    <w:p w:rsidR="007C69F4" w:rsidRDefault="007C69F4" w:rsidP="00B12A95">
      <w:r>
        <w:t>The proposed indication is not justified from the data presented; authorisation is not recommended.</w:t>
      </w:r>
    </w:p>
    <w:p w:rsidR="007C69F4" w:rsidRDefault="007C69F4" w:rsidP="00B12A95">
      <w:r>
        <w:t>Evaluation of the data in Phase IV studies in the EU and the paediatric data is needed to satisfy concerns over the effect this drug has on cancer progression and survival.</w:t>
      </w:r>
    </w:p>
    <w:p w:rsidR="00605AD4" w:rsidRPr="00605AD4" w:rsidRDefault="00605AD4" w:rsidP="00605AD4">
      <w:pPr>
        <w:pStyle w:val="Heading3"/>
        <w:rPr>
          <w:rFonts w:eastAsia="Cambria"/>
        </w:rPr>
      </w:pPr>
      <w:bookmarkStart w:id="169" w:name="_Toc445210970"/>
      <w:r w:rsidRPr="00605AD4">
        <w:rPr>
          <w:rFonts w:eastAsia="Cambria"/>
        </w:rPr>
        <w:lastRenderedPageBreak/>
        <w:t>Clinical Questions</w:t>
      </w:r>
      <w:bookmarkEnd w:id="169"/>
    </w:p>
    <w:p w:rsidR="007C69F4" w:rsidRDefault="007C69F4" w:rsidP="00B12A95">
      <w:pPr>
        <w:pStyle w:val="Heading4"/>
      </w:pPr>
      <w:r>
        <w:t>Pharmacokinetics</w:t>
      </w:r>
    </w:p>
    <w:p w:rsidR="007C69F4" w:rsidRPr="00534ECE" w:rsidRDefault="007C69F4" w:rsidP="00534ECE">
      <w:pPr>
        <w:pStyle w:val="Numberbullet0"/>
        <w:numPr>
          <w:ilvl w:val="0"/>
          <w:numId w:val="14"/>
        </w:numPr>
      </w:pPr>
      <w:r w:rsidRPr="00534ECE">
        <w:t xml:space="preserve">The sponsor </w:t>
      </w:r>
      <w:r w:rsidR="001C0E5A">
        <w:t>was</w:t>
      </w:r>
      <w:r w:rsidRPr="00534ECE">
        <w:t xml:space="preserve"> requested to provide any additional data it holds regarding </w:t>
      </w:r>
      <w:proofErr w:type="spellStart"/>
      <w:r w:rsidRPr="00534ECE">
        <w:t>pharmacodynamic</w:t>
      </w:r>
      <w:proofErr w:type="spellEnd"/>
      <w:r w:rsidRPr="00534ECE">
        <w:t xml:space="preserve"> effect(s) according to gender, age (dichotomised at 65 years), body</w:t>
      </w:r>
      <w:r w:rsidR="00534ECE">
        <w:t xml:space="preserve"> </w:t>
      </w:r>
      <w:r w:rsidRPr="00534ECE">
        <w:t>weight and body mass.</w:t>
      </w:r>
    </w:p>
    <w:p w:rsidR="007C69F4" w:rsidRPr="00534ECE" w:rsidRDefault="007C69F4" w:rsidP="00534ECE">
      <w:pPr>
        <w:pStyle w:val="Numberbullet0"/>
      </w:pPr>
      <w:r w:rsidRPr="00534ECE">
        <w:t xml:space="preserve">The sponsor </w:t>
      </w:r>
      <w:r w:rsidR="001C0E5A">
        <w:t>was</w:t>
      </w:r>
      <w:r w:rsidRPr="00534ECE">
        <w:t xml:space="preserve"> requested to perform an analysis of PK and PD parameters, comparing</w:t>
      </w:r>
      <w:r w:rsidR="001C0E5A">
        <w:t>:</w:t>
      </w:r>
      <w:r w:rsidRPr="00534ECE">
        <w:t xml:space="preserve"> (</w:t>
      </w:r>
      <w:proofErr w:type="spellStart"/>
      <w:r w:rsidRPr="00534ECE">
        <w:t>i</w:t>
      </w:r>
      <w:proofErr w:type="spellEnd"/>
      <w:r w:rsidRPr="00534ECE">
        <w:t>) patients that withdrew from treatment v</w:t>
      </w:r>
      <w:r w:rsidR="00534ECE">
        <w:t>ersu</w:t>
      </w:r>
      <w:r w:rsidRPr="00534ECE">
        <w:t>s patients that continued treatment, and (ii) patients that survived following treatment v</w:t>
      </w:r>
      <w:r w:rsidR="00534ECE">
        <w:t>ersu</w:t>
      </w:r>
      <w:r w:rsidRPr="00534ECE">
        <w:t>s patients that died on study.</w:t>
      </w:r>
    </w:p>
    <w:p w:rsidR="007C69F4" w:rsidRPr="00534ECE" w:rsidRDefault="00534ECE" w:rsidP="00534ECE">
      <w:pPr>
        <w:pStyle w:val="Numberbullet0"/>
      </w:pPr>
      <w:r>
        <w:t>How</w:t>
      </w:r>
      <w:r w:rsidR="007C69F4" w:rsidRPr="00534ECE">
        <w:t xml:space="preserve"> did the </w:t>
      </w:r>
      <w:r>
        <w:t>s</w:t>
      </w:r>
      <w:r w:rsidR="007C69F4" w:rsidRPr="00534ECE">
        <w:t xml:space="preserve">ponsor decide </w:t>
      </w:r>
      <w:r>
        <w:t>on the</w:t>
      </w:r>
      <w:r w:rsidR="007C69F4" w:rsidRPr="00534ECE">
        <w:t xml:space="preserve"> drug dose </w:t>
      </w:r>
      <w:r>
        <w:t>for</w:t>
      </w:r>
      <w:r w:rsidR="007C69F4" w:rsidRPr="00534ECE">
        <w:t xml:space="preserve"> the study</w:t>
      </w:r>
      <w:r>
        <w:t>? C</w:t>
      </w:r>
      <w:r w:rsidR="007C69F4" w:rsidRPr="00534ECE">
        <w:t xml:space="preserve">oncentration data </w:t>
      </w:r>
      <w:r>
        <w:t xml:space="preserve">indicate that </w:t>
      </w:r>
      <w:r w:rsidR="007C69F4" w:rsidRPr="00534ECE">
        <w:t>the 3</w:t>
      </w:r>
      <w:r>
        <w:t xml:space="preserve"> </w:t>
      </w:r>
      <w:r w:rsidR="007C69F4" w:rsidRPr="00534ECE">
        <w:t>mg looks similarly effective</w:t>
      </w:r>
      <w:r>
        <w:t>.</w:t>
      </w:r>
    </w:p>
    <w:p w:rsidR="007C69F4" w:rsidRPr="00534ECE" w:rsidRDefault="00534ECE" w:rsidP="00534ECE">
      <w:pPr>
        <w:pStyle w:val="Numberbullet0"/>
      </w:pPr>
      <w:r>
        <w:t>The s</w:t>
      </w:r>
      <w:r w:rsidR="007C69F4" w:rsidRPr="00534ECE">
        <w:t>ponsor should justify why a weight based dosing regimen recommendation</w:t>
      </w:r>
      <w:r w:rsidR="001C0E5A">
        <w:t xml:space="preserve"> has not been made</w:t>
      </w:r>
      <w:r w:rsidR="007C69F4" w:rsidRPr="00534ECE">
        <w:t xml:space="preserve"> bearing in mind there was pharmacokinetic data submitted which used at least a weight based dosing regimen</w:t>
      </w:r>
      <w:r w:rsidR="001C0E5A">
        <w:t xml:space="preserve"> and</w:t>
      </w:r>
      <w:r w:rsidR="007C69F4" w:rsidRPr="00534ECE">
        <w:t xml:space="preserve"> the large (and increasing) number of cancer patients that are overweight</w:t>
      </w:r>
      <w:r w:rsidR="001C0E5A">
        <w:t>,</w:t>
      </w:r>
      <w:r w:rsidR="007C69F4" w:rsidRPr="00534ECE">
        <w:t xml:space="preserve"> obese</w:t>
      </w:r>
      <w:r w:rsidR="001C0E5A">
        <w:t xml:space="preserve"> or</w:t>
      </w:r>
      <w:r w:rsidR="007C69F4" w:rsidRPr="00534ECE">
        <w:t xml:space="preserve"> are cachectic or underweight (</w:t>
      </w:r>
      <w:r>
        <w:t>such as</w:t>
      </w:r>
      <w:r w:rsidR="007C69F4" w:rsidRPr="00534ECE">
        <w:t xml:space="preserve"> patients with </w:t>
      </w:r>
      <w:r w:rsidR="001C0E5A" w:rsidRPr="00534ECE">
        <w:t xml:space="preserve">lung cancer </w:t>
      </w:r>
      <w:r w:rsidR="001C0E5A">
        <w:t xml:space="preserve"> and </w:t>
      </w:r>
      <w:r w:rsidR="007C69F4" w:rsidRPr="00534ECE">
        <w:t>underlying airways disease).</w:t>
      </w:r>
    </w:p>
    <w:p w:rsidR="007C69F4" w:rsidRDefault="007C69F4" w:rsidP="00B12A95">
      <w:pPr>
        <w:pStyle w:val="Heading4"/>
      </w:pPr>
      <w:r>
        <w:t>Efficacy</w:t>
      </w:r>
    </w:p>
    <w:p w:rsidR="007C69F4" w:rsidRPr="003365C8" w:rsidRDefault="007C69F4" w:rsidP="00AA55A3">
      <w:pPr>
        <w:pStyle w:val="Numberbullet0"/>
        <w:numPr>
          <w:ilvl w:val="0"/>
          <w:numId w:val="15"/>
        </w:numPr>
        <w:rPr>
          <w:lang w:val="en-US"/>
        </w:rPr>
      </w:pPr>
      <w:r w:rsidRPr="003365C8">
        <w:rPr>
          <w:lang w:val="en-US"/>
        </w:rPr>
        <w:t xml:space="preserve">The sponsor </w:t>
      </w:r>
      <w:r w:rsidR="00635832">
        <w:rPr>
          <w:lang w:val="en-US"/>
        </w:rPr>
        <w:t xml:space="preserve">is </w:t>
      </w:r>
      <w:r w:rsidRPr="003365C8">
        <w:rPr>
          <w:lang w:val="en-US"/>
        </w:rPr>
        <w:t>requested to provide the comments of Swiss Medic which resulted in withdrawal of the submission to that regulator.</w:t>
      </w:r>
    </w:p>
    <w:p w:rsidR="007C69F4" w:rsidRPr="003365C8" w:rsidRDefault="007C69F4" w:rsidP="00AA55A3">
      <w:pPr>
        <w:pStyle w:val="Numberbullet0"/>
        <w:numPr>
          <w:ilvl w:val="0"/>
          <w:numId w:val="15"/>
        </w:numPr>
      </w:pPr>
      <w:r w:rsidRPr="003365C8">
        <w:t xml:space="preserve">The </w:t>
      </w:r>
      <w:r w:rsidR="00534ECE" w:rsidRPr="003365C8">
        <w:t>s</w:t>
      </w:r>
      <w:r w:rsidRPr="003365C8">
        <w:t>ponsor is requested to provide the PIP data from November 2014 submitted to the EMA.</w:t>
      </w:r>
    </w:p>
    <w:p w:rsidR="007C69F4" w:rsidRPr="003365C8" w:rsidRDefault="007C69F4" w:rsidP="00AA55A3">
      <w:pPr>
        <w:pStyle w:val="Numberbullet0"/>
        <w:numPr>
          <w:ilvl w:val="0"/>
          <w:numId w:val="15"/>
        </w:numPr>
        <w:rPr>
          <w:rFonts w:cs="TimesNewRomanPSMT"/>
          <w:lang w:val="en-US"/>
        </w:rPr>
      </w:pPr>
      <w:r w:rsidRPr="003365C8">
        <w:t xml:space="preserve">The sponsor is requested to provide an explanation regarding the lack difference in both dose reductions and omitted treatments seen in </w:t>
      </w:r>
      <w:r w:rsidR="00534ECE" w:rsidRPr="003365C8">
        <w:t>S</w:t>
      </w:r>
      <w:r w:rsidRPr="003365C8">
        <w:t>tudy XM22-04 given these are considered clinically relevant end-points.</w:t>
      </w:r>
    </w:p>
    <w:p w:rsidR="007C69F4" w:rsidRPr="003365C8" w:rsidRDefault="007C69F4" w:rsidP="00AA55A3">
      <w:pPr>
        <w:pStyle w:val="Numberbullet0"/>
        <w:numPr>
          <w:ilvl w:val="0"/>
          <w:numId w:val="15"/>
        </w:numPr>
        <w:rPr>
          <w:rFonts w:cs="TimesNewRomanPSMT"/>
          <w:lang w:val="en-US"/>
        </w:rPr>
      </w:pPr>
      <w:r w:rsidRPr="003365C8">
        <w:rPr>
          <w:rFonts w:cs="TimesNewRomanPSMT"/>
          <w:lang w:val="en-US"/>
        </w:rPr>
        <w:t>Although the upper limit for number of injections is not stated</w:t>
      </w:r>
      <w:r w:rsidR="00C53C4C">
        <w:rPr>
          <w:rFonts w:cs="TimesNewRomanPSMT"/>
          <w:lang w:val="en-US"/>
        </w:rPr>
        <w:t xml:space="preserve"> this should be indicated based</w:t>
      </w:r>
      <w:r w:rsidRPr="003365C8">
        <w:rPr>
          <w:rFonts w:cs="TimesNewRomanPSMT"/>
          <w:lang w:val="en-US"/>
        </w:rPr>
        <w:t xml:space="preserve"> on the current efficacy or safety data?</w:t>
      </w:r>
    </w:p>
    <w:p w:rsidR="007C69F4" w:rsidRPr="003365C8" w:rsidRDefault="007C69F4" w:rsidP="00AA55A3">
      <w:pPr>
        <w:pStyle w:val="Numberbullet0"/>
        <w:numPr>
          <w:ilvl w:val="0"/>
          <w:numId w:val="15"/>
        </w:numPr>
      </w:pPr>
      <w:r w:rsidRPr="003365C8">
        <w:t>The sponsor is requested to provide a summary of the reasons</w:t>
      </w:r>
      <w:r w:rsidR="00C53C4C">
        <w:t xml:space="preserve"> as to why</w:t>
      </w:r>
      <w:r w:rsidRPr="003365C8">
        <w:t xml:space="preserve"> patients withdrew from XM-22-04</w:t>
      </w:r>
      <w:r w:rsidR="00534ECE" w:rsidRPr="003365C8">
        <w:t>.</w:t>
      </w:r>
    </w:p>
    <w:p w:rsidR="007C69F4" w:rsidRPr="003365C8" w:rsidRDefault="007C69F4" w:rsidP="00AA55A3">
      <w:pPr>
        <w:pStyle w:val="Numberbullet0"/>
        <w:numPr>
          <w:ilvl w:val="0"/>
          <w:numId w:val="15"/>
        </w:numPr>
        <w:rPr>
          <w:rFonts w:cs="TimesNewRomanPSMT"/>
          <w:lang w:val="en-US"/>
        </w:rPr>
      </w:pPr>
      <w:r w:rsidRPr="003365C8">
        <w:t>What does the sponsor consider to be the clinical benefit of a DSN reduction of 1.6 days as seen in XM22-04?</w:t>
      </w:r>
    </w:p>
    <w:p w:rsidR="007C69F4" w:rsidRPr="003365C8" w:rsidRDefault="00863596" w:rsidP="00AA55A3">
      <w:pPr>
        <w:pStyle w:val="Numberbullet0"/>
        <w:numPr>
          <w:ilvl w:val="0"/>
          <w:numId w:val="15"/>
        </w:numPr>
        <w:rPr>
          <w:rFonts w:cs="TimesNewRomanPSMT"/>
          <w:lang w:val="en-US"/>
        </w:rPr>
      </w:pPr>
      <w:r>
        <w:t>The sponsor was requested to provide</w:t>
      </w:r>
      <w:r w:rsidR="007C69F4" w:rsidRPr="003365C8">
        <w:t xml:space="preserve">s the statistical and </w:t>
      </w:r>
      <w:r>
        <w:t xml:space="preserve">clarify the </w:t>
      </w:r>
      <w:r w:rsidR="007C69F4" w:rsidRPr="003365C8">
        <w:t xml:space="preserve">clinical significance of the efficacy data presented in the </w:t>
      </w:r>
      <w:r w:rsidR="00534ECE" w:rsidRPr="003365C8">
        <w:t>clinical study report (</w:t>
      </w:r>
      <w:r w:rsidR="007C69F4" w:rsidRPr="003365C8">
        <w:t>CSR</w:t>
      </w:r>
      <w:r w:rsidR="00534ECE" w:rsidRPr="003365C8">
        <w:t>)</w:t>
      </w:r>
      <w:r w:rsidR="007C69F4" w:rsidRPr="003365C8">
        <w:t xml:space="preserve"> for </w:t>
      </w:r>
      <w:r w:rsidR="00534ECE" w:rsidRPr="003365C8">
        <w:t>S</w:t>
      </w:r>
      <w:r w:rsidR="007C69F4" w:rsidRPr="003365C8">
        <w:t>tudy XM22-04?</w:t>
      </w:r>
    </w:p>
    <w:p w:rsidR="007C69F4" w:rsidRPr="003365C8" w:rsidRDefault="00EF3192" w:rsidP="00AA55A3">
      <w:pPr>
        <w:pStyle w:val="Numberbullet0"/>
        <w:numPr>
          <w:ilvl w:val="0"/>
          <w:numId w:val="15"/>
        </w:numPr>
      </w:pPr>
      <w:r>
        <w:t xml:space="preserve">The sponsor should be requested to </w:t>
      </w:r>
      <w:r w:rsidR="007C69F4" w:rsidRPr="003365C8">
        <w:t xml:space="preserve">provide references </w:t>
      </w:r>
      <w:r w:rsidR="00C53C4C">
        <w:t>to support</w:t>
      </w:r>
      <w:r w:rsidR="00C53C4C" w:rsidRPr="003365C8">
        <w:t xml:space="preserve"> </w:t>
      </w:r>
      <w:r w:rsidR="007C69F4" w:rsidRPr="003365C8">
        <w:t xml:space="preserve">the assumptions of </w:t>
      </w:r>
      <w:r w:rsidR="00C53C4C">
        <w:t xml:space="preserve">the </w:t>
      </w:r>
      <w:r w:rsidR="007C69F4" w:rsidRPr="003365C8">
        <w:rPr>
          <w:rFonts w:cs="TimesNewRomanPSMT"/>
          <w:lang w:val="en-US"/>
        </w:rPr>
        <w:t>incidence rate of FN under treatment with placebo and the incidence under treatment with XM22 as the actual incidence was much lower.</w:t>
      </w:r>
    </w:p>
    <w:p w:rsidR="007C69F4" w:rsidRPr="003365C8" w:rsidRDefault="007C69F4" w:rsidP="00AA55A3">
      <w:pPr>
        <w:pStyle w:val="Numberbullet0"/>
        <w:numPr>
          <w:ilvl w:val="0"/>
          <w:numId w:val="15"/>
        </w:numPr>
      </w:pPr>
      <w:r w:rsidRPr="003365C8">
        <w:t xml:space="preserve">The sponsor </w:t>
      </w:r>
      <w:r w:rsidR="00863596">
        <w:t>was</w:t>
      </w:r>
      <w:r w:rsidR="00863596" w:rsidRPr="003365C8">
        <w:t xml:space="preserve"> </w:t>
      </w:r>
      <w:r w:rsidRPr="003365C8">
        <w:t>requested to explain proposed benefit</w:t>
      </w:r>
      <w:r w:rsidR="00C53C4C">
        <w:t xml:space="preserve"> of </w:t>
      </w:r>
      <w:proofErr w:type="spellStart"/>
      <w:r w:rsidR="00C53C4C" w:rsidRPr="003365C8">
        <w:t>lipegfilgrastim</w:t>
      </w:r>
      <w:proofErr w:type="spellEnd"/>
      <w:r w:rsidR="00C53C4C">
        <w:t xml:space="preserve"> for</w:t>
      </w:r>
      <w:r w:rsidRPr="003365C8">
        <w:t xml:space="preserve"> patients with NSCLC from, given they were observed to have worsened survival, disease progression and similar incidence of febrile neutropenia as compared to those exposed to placebo.</w:t>
      </w:r>
    </w:p>
    <w:p w:rsidR="007C69F4" w:rsidRDefault="007C69F4" w:rsidP="00B12A95">
      <w:pPr>
        <w:pStyle w:val="Heading4"/>
      </w:pPr>
      <w:r>
        <w:t>Safety</w:t>
      </w:r>
    </w:p>
    <w:p w:rsidR="007C69F4" w:rsidRDefault="007C69F4" w:rsidP="00AA55A3">
      <w:pPr>
        <w:pStyle w:val="Numberbullet0"/>
        <w:numPr>
          <w:ilvl w:val="0"/>
          <w:numId w:val="16"/>
        </w:numPr>
      </w:pPr>
      <w:r>
        <w:t>What was the percentage of women</w:t>
      </w:r>
      <w:r w:rsidR="003F103E">
        <w:t xml:space="preserve"> compared</w:t>
      </w:r>
      <w:r>
        <w:t xml:space="preserve"> to men who developed </w:t>
      </w:r>
      <w:proofErr w:type="spellStart"/>
      <w:r>
        <w:t>hyperleukocytosis</w:t>
      </w:r>
      <w:proofErr w:type="spellEnd"/>
      <w:r>
        <w:t xml:space="preserve"> and</w:t>
      </w:r>
      <w:r w:rsidR="003F103E">
        <w:t xml:space="preserve"> was this associated with</w:t>
      </w:r>
      <w:r>
        <w:t xml:space="preserve"> elevated plasma concentration of </w:t>
      </w:r>
      <w:proofErr w:type="spellStart"/>
      <w:r>
        <w:t>lipegfilgrastim</w:t>
      </w:r>
      <w:proofErr w:type="spellEnd"/>
      <w:r>
        <w:t>?</w:t>
      </w:r>
    </w:p>
    <w:p w:rsidR="007C69F4" w:rsidRDefault="007C69F4" w:rsidP="00AA55A3">
      <w:pPr>
        <w:pStyle w:val="Numberbullet0"/>
        <w:numPr>
          <w:ilvl w:val="0"/>
          <w:numId w:val="16"/>
        </w:numPr>
      </w:pPr>
      <w:r>
        <w:lastRenderedPageBreak/>
        <w:t xml:space="preserve">What was the cause of ‘pain’ in the two patients that withdrew from </w:t>
      </w:r>
      <w:r w:rsidR="00534ECE">
        <w:t>S</w:t>
      </w:r>
      <w:r>
        <w:t>tudy XM22-03?</w:t>
      </w:r>
    </w:p>
    <w:p w:rsidR="007C69F4" w:rsidRPr="00B12A95" w:rsidRDefault="007C69F4" w:rsidP="00AA55A3">
      <w:pPr>
        <w:pStyle w:val="Numberbullet0"/>
        <w:numPr>
          <w:ilvl w:val="0"/>
          <w:numId w:val="16"/>
        </w:numPr>
        <w:rPr>
          <w:rFonts w:cs="TimesNewRomanPSMT"/>
          <w:lang w:val="en-US"/>
        </w:rPr>
      </w:pPr>
      <w:r>
        <w:t xml:space="preserve">Given that </w:t>
      </w:r>
      <w:r w:rsidR="00534ECE">
        <w:t>S</w:t>
      </w:r>
      <w:r>
        <w:t xml:space="preserve">tudy XM22-04 failed to meet the primary efficacy end-point of reduction in incidence of febrile neutropenia, </w:t>
      </w:r>
      <w:r w:rsidR="003F103E">
        <w:t xml:space="preserve">does the sponsor have evidence of </w:t>
      </w:r>
      <w:r>
        <w:t xml:space="preserve">safety and efficacy to demonstrate a benefit to continued administration of </w:t>
      </w:r>
      <w:proofErr w:type="spellStart"/>
      <w:r>
        <w:t>Lonquex</w:t>
      </w:r>
      <w:proofErr w:type="spellEnd"/>
      <w:r>
        <w:t xml:space="preserve"> in an individual patient once febrile </w:t>
      </w:r>
      <w:proofErr w:type="spellStart"/>
      <w:r>
        <w:t>neutropaenia</w:t>
      </w:r>
      <w:proofErr w:type="spellEnd"/>
      <w:r>
        <w:t xml:space="preserve"> has occurred?</w:t>
      </w:r>
    </w:p>
    <w:p w:rsidR="007C69F4" w:rsidRPr="00B12A95" w:rsidRDefault="007C69F4" w:rsidP="00AA55A3">
      <w:pPr>
        <w:pStyle w:val="Numberbullet0"/>
        <w:numPr>
          <w:ilvl w:val="0"/>
          <w:numId w:val="16"/>
        </w:numPr>
        <w:rPr>
          <w:rFonts w:cs="TimesNewRomanPSMT"/>
          <w:lang w:val="en-US"/>
        </w:rPr>
      </w:pPr>
      <w:r w:rsidRPr="00B12A95">
        <w:rPr>
          <w:rFonts w:cs="TimesNewRomanPSMT"/>
          <w:lang w:val="en-US"/>
        </w:rPr>
        <w:t xml:space="preserve">The </w:t>
      </w:r>
      <w:r w:rsidR="00534ECE">
        <w:rPr>
          <w:rFonts w:cs="TimesNewRomanPSMT"/>
          <w:lang w:val="en-US"/>
        </w:rPr>
        <w:t>s</w:t>
      </w:r>
      <w:r w:rsidRPr="00B12A95">
        <w:rPr>
          <w:rFonts w:cs="TimesNewRomanPSMT"/>
          <w:lang w:val="en-US"/>
        </w:rPr>
        <w:t xml:space="preserve">ponsor should identify if the patients </w:t>
      </w:r>
      <w:r w:rsidR="003F103E">
        <w:rPr>
          <w:rFonts w:cs="TimesNewRomanPSMT"/>
          <w:lang w:val="en-US"/>
        </w:rPr>
        <w:t>who</w:t>
      </w:r>
      <w:r w:rsidR="003F103E" w:rsidRPr="00B12A95">
        <w:rPr>
          <w:rFonts w:cs="TimesNewRomanPSMT"/>
          <w:lang w:val="en-US"/>
        </w:rPr>
        <w:t xml:space="preserve"> </w:t>
      </w:r>
      <w:r w:rsidRPr="00B12A95">
        <w:rPr>
          <w:rFonts w:cs="TimesNewRomanPSMT"/>
          <w:lang w:val="en-US"/>
        </w:rPr>
        <w:t>developed ECG abnormalities were concomitantly receiving doxorubicin.</w:t>
      </w:r>
    </w:p>
    <w:p w:rsidR="00605AD4" w:rsidRPr="00605AD4" w:rsidRDefault="007C69F4" w:rsidP="00AA55A3">
      <w:pPr>
        <w:pStyle w:val="Numberbullet0"/>
        <w:numPr>
          <w:ilvl w:val="0"/>
          <w:numId w:val="16"/>
        </w:numPr>
      </w:pPr>
      <w:r>
        <w:t xml:space="preserve">The sponsor </w:t>
      </w:r>
      <w:r w:rsidR="00863596">
        <w:t xml:space="preserve">was </w:t>
      </w:r>
      <w:r>
        <w:t xml:space="preserve">requested to provide the data </w:t>
      </w:r>
      <w:r w:rsidR="00534ECE">
        <w:t>and the study</w:t>
      </w:r>
      <w:r>
        <w:t xml:space="preserve"> investigator</w:t>
      </w:r>
      <w:r w:rsidR="003F103E">
        <w:t>’s</w:t>
      </w:r>
      <w:r>
        <w:t xml:space="preserve"> stated </w:t>
      </w:r>
      <w:r w:rsidR="003F103E">
        <w:t xml:space="preserve">reasons for the </w:t>
      </w:r>
      <w:r>
        <w:t xml:space="preserve">purported relationship to </w:t>
      </w:r>
      <w:proofErr w:type="spellStart"/>
      <w:r>
        <w:t>Lonquex</w:t>
      </w:r>
      <w:proofErr w:type="spellEnd"/>
      <w:r>
        <w:t xml:space="preserve"> for all patients who died</w:t>
      </w:r>
      <w:r w:rsidR="00534ECE">
        <w:t>.</w:t>
      </w:r>
    </w:p>
    <w:p w:rsidR="00605AD4" w:rsidRDefault="00605AD4" w:rsidP="00605AD4">
      <w:pPr>
        <w:pStyle w:val="Heading3"/>
        <w:rPr>
          <w:rFonts w:eastAsia="Cambria"/>
        </w:rPr>
      </w:pPr>
      <w:bookmarkStart w:id="170" w:name="_Toc445210971"/>
      <w:r w:rsidRPr="00605AD4">
        <w:rPr>
          <w:rFonts w:eastAsia="Cambria"/>
        </w:rPr>
        <w:t>Second Round Evaluation of clinical data submitted in response to questions</w:t>
      </w:r>
      <w:bookmarkEnd w:id="170"/>
    </w:p>
    <w:p w:rsidR="00534ECE" w:rsidRPr="00534ECE" w:rsidRDefault="00534ECE" w:rsidP="00534ECE">
      <w:r w:rsidRPr="003365C8">
        <w:t>The details of the sponsor’s responses to the Clinical questions and the evaluator’s comments on these responses are detailed in Attachment 2.</w:t>
      </w:r>
    </w:p>
    <w:p w:rsidR="007C69F4" w:rsidRDefault="007C69F4" w:rsidP="0048323F">
      <w:pPr>
        <w:pStyle w:val="Heading4"/>
      </w:pPr>
      <w:bookmarkStart w:id="171" w:name="_Toc414348926"/>
      <w:bookmarkStart w:id="172" w:name="_Toc290846349"/>
      <w:bookmarkStart w:id="173" w:name="_Toc272414709"/>
      <w:r>
        <w:t>Second round assessment of benefits</w:t>
      </w:r>
      <w:bookmarkEnd w:id="171"/>
      <w:bookmarkEnd w:id="172"/>
      <w:bookmarkEnd w:id="173"/>
    </w:p>
    <w:p w:rsidR="007C69F4" w:rsidRDefault="007C69F4" w:rsidP="007C69F4">
      <w:r>
        <w:t xml:space="preserve">After consideration of the responses to clinical questions, the benefits of </w:t>
      </w:r>
      <w:proofErr w:type="spellStart"/>
      <w:r>
        <w:t>lipegfilgrastim</w:t>
      </w:r>
      <w:proofErr w:type="spellEnd"/>
      <w:r>
        <w:t xml:space="preserve"> in the proposed usage are unchanged from the first round clinical evaluation.</w:t>
      </w:r>
    </w:p>
    <w:p w:rsidR="007C69F4" w:rsidRDefault="007C69F4" w:rsidP="0048323F">
      <w:pPr>
        <w:pStyle w:val="Heading4"/>
      </w:pPr>
      <w:bookmarkStart w:id="174" w:name="_Toc414348927"/>
      <w:bookmarkStart w:id="175" w:name="_Toc290846350"/>
      <w:bookmarkStart w:id="176" w:name="_Toc272414710"/>
      <w:r>
        <w:t>Second round assessment of risks</w:t>
      </w:r>
      <w:bookmarkEnd w:id="174"/>
      <w:bookmarkEnd w:id="175"/>
      <w:bookmarkEnd w:id="176"/>
    </w:p>
    <w:p w:rsidR="007C69F4" w:rsidRDefault="007C69F4" w:rsidP="00B12A95">
      <w:r>
        <w:t xml:space="preserve">After consideration of the responses to clinical questions, the risks of </w:t>
      </w:r>
      <w:proofErr w:type="spellStart"/>
      <w:r>
        <w:t>lipegfilgrastim</w:t>
      </w:r>
      <w:proofErr w:type="spellEnd"/>
      <w:r>
        <w:t xml:space="preserve"> in the proposed usage are:</w:t>
      </w:r>
    </w:p>
    <w:p w:rsidR="007C69F4" w:rsidRDefault="007C69F4" w:rsidP="00B12A95">
      <w:pPr>
        <w:pStyle w:val="ListBullet"/>
      </w:pPr>
      <w:r>
        <w:t xml:space="preserve">The apparent risk of worsening survival for patients in </w:t>
      </w:r>
      <w:r w:rsidR="00534ECE">
        <w:t>S</w:t>
      </w:r>
      <w:r>
        <w:t xml:space="preserve">tudy XM22-04 may be plausibly accounted for due to an imbalance in baseline disease characteristics rather than exposure to </w:t>
      </w:r>
      <w:proofErr w:type="spellStart"/>
      <w:r>
        <w:t>lipegfilgrastim</w:t>
      </w:r>
      <w:proofErr w:type="spellEnd"/>
      <w:r w:rsidR="00534ECE">
        <w:t>.</w:t>
      </w:r>
    </w:p>
    <w:p w:rsidR="007C69F4" w:rsidRDefault="007C69F4" w:rsidP="00B12A95">
      <w:pPr>
        <w:pStyle w:val="ListBullet"/>
      </w:pPr>
      <w:r>
        <w:t>Injection site pain sufficient to lead to treatment withdrawal was identified in a small number of patients</w:t>
      </w:r>
    </w:p>
    <w:p w:rsidR="007C69F4" w:rsidRDefault="007C69F4" w:rsidP="0048323F">
      <w:pPr>
        <w:pStyle w:val="Heading4"/>
      </w:pPr>
      <w:bookmarkStart w:id="177" w:name="_Toc414348928"/>
      <w:bookmarkStart w:id="178" w:name="_Toc290846351"/>
      <w:bookmarkStart w:id="179" w:name="_Toc272414711"/>
      <w:r>
        <w:t>Second round assessment of benefit-risk balance</w:t>
      </w:r>
      <w:bookmarkEnd w:id="177"/>
      <w:bookmarkEnd w:id="178"/>
      <w:bookmarkEnd w:id="179"/>
    </w:p>
    <w:p w:rsidR="007C69F4" w:rsidRDefault="007C69F4" w:rsidP="00B12A95">
      <w:r>
        <w:t xml:space="preserve">The benefit-risk balance of </w:t>
      </w:r>
      <w:proofErr w:type="spellStart"/>
      <w:r>
        <w:t>lipegfilgrastim</w:t>
      </w:r>
      <w:proofErr w:type="spellEnd"/>
      <w:r>
        <w:t xml:space="preserve"> is unfavourable given the proposed usage, but would become favourable if the changes recommended in </w:t>
      </w:r>
      <w:r w:rsidR="008C5E81">
        <w:t>the clinical evaluation</w:t>
      </w:r>
      <w:r>
        <w:t xml:space="preserve"> are adopted.</w:t>
      </w:r>
    </w:p>
    <w:p w:rsidR="007C69F4" w:rsidRDefault="00B12A95" w:rsidP="00B12A95">
      <w:pPr>
        <w:pStyle w:val="Heading3"/>
      </w:pPr>
      <w:bookmarkStart w:id="180" w:name="_Toc414348929"/>
      <w:bookmarkStart w:id="181" w:name="_Toc290846352"/>
      <w:bookmarkStart w:id="182" w:name="_Toc272414713"/>
      <w:bookmarkStart w:id="183" w:name="_Ref272160677"/>
      <w:bookmarkStart w:id="184" w:name="_Toc445210972"/>
      <w:r>
        <w:t>Second round recommendation regarding authorisation</w:t>
      </w:r>
      <w:bookmarkEnd w:id="180"/>
      <w:bookmarkEnd w:id="181"/>
      <w:bookmarkEnd w:id="182"/>
      <w:bookmarkEnd w:id="183"/>
      <w:bookmarkEnd w:id="184"/>
      <w:r>
        <w:t xml:space="preserve"> </w:t>
      </w:r>
    </w:p>
    <w:p w:rsidR="007C69F4" w:rsidRDefault="007C69F4" w:rsidP="007C69F4">
      <w:r>
        <w:t xml:space="preserve">The evaluator recommends to the Delegate that </w:t>
      </w:r>
      <w:proofErr w:type="spellStart"/>
      <w:r>
        <w:t>lipegfilgrastim</w:t>
      </w:r>
      <w:proofErr w:type="spellEnd"/>
      <w:r>
        <w:t xml:space="preserve"> is approvable, providing the changes to the </w:t>
      </w:r>
      <w:r w:rsidR="0048323F">
        <w:t>PI</w:t>
      </w:r>
      <w:r>
        <w:t xml:space="preserve"> are implemented. The evaluator considers that the indication should b</w:t>
      </w:r>
      <w:r w:rsidR="0048323F">
        <w:t xml:space="preserve">e worded as per that </w:t>
      </w:r>
      <w:r w:rsidR="0093190D">
        <w:t xml:space="preserve">approved </w:t>
      </w:r>
      <w:r w:rsidR="0048323F">
        <w:t>in the EU</w:t>
      </w:r>
      <w:r>
        <w:t>.</w:t>
      </w:r>
    </w:p>
    <w:p w:rsidR="008E7846" w:rsidRPr="00E41208" w:rsidRDefault="008E7846" w:rsidP="00546154">
      <w:pPr>
        <w:pStyle w:val="Heading2"/>
      </w:pPr>
      <w:bookmarkStart w:id="185" w:name="_Toc445210973"/>
      <w:r w:rsidRPr="00E41208">
        <w:t xml:space="preserve">V. Pharmacovigilance </w:t>
      </w:r>
      <w:r>
        <w:t>f</w:t>
      </w:r>
      <w:r w:rsidRPr="00E41208">
        <w:t>indings</w:t>
      </w:r>
      <w:bookmarkEnd w:id="125"/>
      <w:bookmarkEnd w:id="126"/>
      <w:bookmarkEnd w:id="185"/>
    </w:p>
    <w:p w:rsidR="008E7846" w:rsidRDefault="00386150" w:rsidP="008E7846">
      <w:pPr>
        <w:pStyle w:val="Heading3"/>
        <w:rPr>
          <w:lang w:eastAsia="en-AU"/>
        </w:rPr>
      </w:pPr>
      <w:bookmarkStart w:id="186" w:name="_Toc247691526"/>
      <w:bookmarkStart w:id="187" w:name="_Toc314842509"/>
      <w:bookmarkStart w:id="188" w:name="_Toc445210974"/>
      <w:r>
        <w:rPr>
          <w:lang w:eastAsia="en-AU"/>
        </w:rPr>
        <w:t>Risk m</w:t>
      </w:r>
      <w:r w:rsidR="008E7846">
        <w:rPr>
          <w:lang w:eastAsia="en-AU"/>
        </w:rPr>
        <w:t xml:space="preserve">anagement </w:t>
      </w:r>
      <w:r>
        <w:rPr>
          <w:lang w:eastAsia="en-AU"/>
        </w:rPr>
        <w:t>p</w:t>
      </w:r>
      <w:r w:rsidR="008E7846">
        <w:rPr>
          <w:lang w:eastAsia="en-AU"/>
        </w:rPr>
        <w:t>lan</w:t>
      </w:r>
      <w:bookmarkEnd w:id="186"/>
      <w:bookmarkEnd w:id="187"/>
      <w:bookmarkEnd w:id="188"/>
    </w:p>
    <w:p w:rsidR="008E7846" w:rsidRDefault="008E7846" w:rsidP="0093190D">
      <w:pPr>
        <w:rPr>
          <w:lang w:eastAsia="en-AU"/>
        </w:rPr>
      </w:pPr>
      <w:r>
        <w:rPr>
          <w:lang w:eastAsia="en-AU"/>
        </w:rPr>
        <w:t>The sponsor submitted a Risk Management Plan</w:t>
      </w:r>
      <w:r w:rsidR="006F25B8">
        <w:rPr>
          <w:lang w:eastAsia="en-AU"/>
        </w:rPr>
        <w:t xml:space="preserve"> </w:t>
      </w:r>
      <w:r w:rsidR="006F25B8" w:rsidRPr="006F25B8">
        <w:rPr>
          <w:lang w:eastAsia="en-AU"/>
        </w:rPr>
        <w:t>(</w:t>
      </w:r>
      <w:r w:rsidR="007C69F4">
        <w:t>EU-RMP version 7.1 dated 10 April 2014 (data lock point 31 December 2013)</w:t>
      </w:r>
      <w:r w:rsidR="0093190D">
        <w:t xml:space="preserve"> and an</w:t>
      </w:r>
      <w:r w:rsidR="007C69F4">
        <w:t xml:space="preserve"> Australian Specific Annex </w:t>
      </w:r>
      <w:r w:rsidR="0093190D">
        <w:t xml:space="preserve">(ASA; </w:t>
      </w:r>
      <w:r w:rsidR="007C69F4">
        <w:t>dated 15 October 2014</w:t>
      </w:r>
      <w:r w:rsidR="006F25B8" w:rsidRPr="006F25B8">
        <w:rPr>
          <w:lang w:eastAsia="en-AU"/>
        </w:rPr>
        <w:t>)</w:t>
      </w:r>
      <w:r w:rsidRPr="006F25B8">
        <w:t xml:space="preserve"> </w:t>
      </w:r>
      <w:r>
        <w:rPr>
          <w:lang w:eastAsia="en-AU"/>
        </w:rPr>
        <w:t xml:space="preserve">which was reviewed by the </w:t>
      </w:r>
      <w:r w:rsidR="00FC1FCA">
        <w:rPr>
          <w:lang w:eastAsia="en-AU"/>
        </w:rPr>
        <w:t>RMP evaluator.</w:t>
      </w:r>
    </w:p>
    <w:p w:rsidR="008E7846" w:rsidRDefault="003A7F6C" w:rsidP="008E7846">
      <w:pPr>
        <w:pStyle w:val="Heading4"/>
        <w:rPr>
          <w:lang w:eastAsia="en-AU"/>
        </w:rPr>
      </w:pPr>
      <w:r>
        <w:rPr>
          <w:lang w:eastAsia="en-AU"/>
        </w:rPr>
        <w:lastRenderedPageBreak/>
        <w:t>Safety s</w:t>
      </w:r>
      <w:r w:rsidR="008E7846">
        <w:rPr>
          <w:lang w:eastAsia="en-AU"/>
        </w:rPr>
        <w:t>pecification</w:t>
      </w:r>
    </w:p>
    <w:p w:rsidR="008E7846" w:rsidRDefault="008E7846" w:rsidP="008E7846">
      <w:pPr>
        <w:rPr>
          <w:lang w:eastAsia="en-AU"/>
        </w:rPr>
      </w:pPr>
      <w:r>
        <w:rPr>
          <w:lang w:eastAsia="en-AU"/>
        </w:rPr>
        <w:t>The</w:t>
      </w:r>
      <w:r w:rsidR="006F25B8">
        <w:rPr>
          <w:lang w:eastAsia="en-AU"/>
        </w:rPr>
        <w:t xml:space="preserve"> sponsor provided a summary of </w:t>
      </w:r>
      <w:proofErr w:type="gramStart"/>
      <w:r w:rsidR="00216F4E">
        <w:rPr>
          <w:lang w:eastAsia="en-AU"/>
        </w:rPr>
        <w:t>O</w:t>
      </w:r>
      <w:r>
        <w:rPr>
          <w:lang w:eastAsia="en-AU"/>
        </w:rPr>
        <w:t>ngoing</w:t>
      </w:r>
      <w:proofErr w:type="gramEnd"/>
      <w:r>
        <w:rPr>
          <w:lang w:eastAsia="en-AU"/>
        </w:rPr>
        <w:t xml:space="preserve"> safety </w:t>
      </w:r>
      <w:r w:rsidR="006F25B8">
        <w:rPr>
          <w:lang w:eastAsia="en-AU"/>
        </w:rPr>
        <w:t>c</w:t>
      </w:r>
      <w:r>
        <w:rPr>
          <w:lang w:eastAsia="en-AU"/>
        </w:rPr>
        <w:t xml:space="preserve">oncerns which are shown at Table </w:t>
      </w:r>
      <w:r w:rsidR="0093190D">
        <w:rPr>
          <w:lang w:eastAsia="en-AU"/>
        </w:rPr>
        <w:t>9</w:t>
      </w:r>
      <w:r>
        <w:rPr>
          <w:lang w:eastAsia="en-AU"/>
        </w:rPr>
        <w:t>.</w:t>
      </w:r>
    </w:p>
    <w:p w:rsidR="004D6FEB" w:rsidRDefault="0093190D" w:rsidP="004D6FEB">
      <w:pPr>
        <w:pStyle w:val="TableTitle"/>
        <w:rPr>
          <w:noProof/>
          <w:lang w:eastAsia="en-AU"/>
        </w:rPr>
      </w:pPr>
      <w:r>
        <w:rPr>
          <w:lang w:eastAsia="en-AU"/>
        </w:rPr>
        <w:t>Table 9</w:t>
      </w:r>
      <w:r w:rsidR="00216F4E">
        <w:rPr>
          <w:lang w:eastAsia="en-AU"/>
        </w:rPr>
        <w:t xml:space="preserve">: Sponsor’s summary of </w:t>
      </w:r>
      <w:proofErr w:type="gramStart"/>
      <w:r w:rsidR="00216F4E">
        <w:rPr>
          <w:lang w:eastAsia="en-AU"/>
        </w:rPr>
        <w:t>Ongoing</w:t>
      </w:r>
      <w:proofErr w:type="gramEnd"/>
      <w:r w:rsidR="00216F4E">
        <w:rPr>
          <w:lang w:eastAsia="en-AU"/>
        </w:rPr>
        <w:t xml:space="preserve"> s</w:t>
      </w:r>
      <w:r>
        <w:rPr>
          <w:lang w:eastAsia="en-AU"/>
        </w:rPr>
        <w:t>afety concerns</w:t>
      </w:r>
    </w:p>
    <w:tbl>
      <w:tblPr>
        <w:tblStyle w:val="TableGrid"/>
        <w:tblW w:w="0" w:type="auto"/>
        <w:tblLook w:val="04A0" w:firstRow="1" w:lastRow="0" w:firstColumn="1" w:lastColumn="0" w:noHBand="0" w:noVBand="1"/>
      </w:tblPr>
      <w:tblGrid>
        <w:gridCol w:w="4360"/>
        <w:gridCol w:w="4360"/>
      </w:tblGrid>
      <w:tr w:rsidR="004D6FEB" w:rsidTr="005221DF">
        <w:tc>
          <w:tcPr>
            <w:tcW w:w="4360" w:type="dxa"/>
            <w:vMerge w:val="restart"/>
            <w:shd w:val="clear" w:color="auto" w:fill="0070B5" w:themeFill="accent1" w:themeFillTint="BF"/>
          </w:tcPr>
          <w:p w:rsidR="004D6FEB" w:rsidRPr="00C52179" w:rsidRDefault="004D6FEB" w:rsidP="005221DF">
            <w:pPr>
              <w:pStyle w:val="TableTitle"/>
              <w:keepNext w:val="0"/>
              <w:rPr>
                <w:color w:val="FFFFFF" w:themeColor="background1"/>
              </w:rPr>
            </w:pPr>
            <w:r w:rsidRPr="00C52179">
              <w:rPr>
                <w:color w:val="FFFFFF" w:themeColor="background1"/>
              </w:rPr>
              <w:t>Important identified risks</w:t>
            </w:r>
          </w:p>
        </w:tc>
        <w:tc>
          <w:tcPr>
            <w:tcW w:w="4360" w:type="dxa"/>
          </w:tcPr>
          <w:p w:rsidR="004D6FEB" w:rsidRPr="00842564" w:rsidRDefault="004D6FEB" w:rsidP="005221DF">
            <w:pPr>
              <w:pStyle w:val="TableTitle"/>
              <w:keepNext w:val="0"/>
              <w:rPr>
                <w:b w:val="0"/>
              </w:rPr>
            </w:pPr>
            <w:r w:rsidRPr="00842564">
              <w:rPr>
                <w:b w:val="0"/>
              </w:rPr>
              <w:t>Musc</w:t>
            </w:r>
            <w:r>
              <w:rPr>
                <w:b w:val="0"/>
              </w:rPr>
              <w:t>u</w:t>
            </w:r>
            <w:r w:rsidRPr="00842564">
              <w:rPr>
                <w:b w:val="0"/>
              </w:rPr>
              <w:t>loskeletal pain-related symptoms</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842564" w:rsidRDefault="004D6FEB" w:rsidP="005221DF">
            <w:pPr>
              <w:pStyle w:val="TableTitle"/>
              <w:keepNext w:val="0"/>
              <w:rPr>
                <w:b w:val="0"/>
              </w:rPr>
            </w:pPr>
            <w:r w:rsidRPr="00842564">
              <w:rPr>
                <w:b w:val="0"/>
              </w:rPr>
              <w:t>Allergic type reactions</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842564" w:rsidRDefault="004D6FEB" w:rsidP="005221DF">
            <w:pPr>
              <w:pStyle w:val="TableTitle"/>
              <w:keepNext w:val="0"/>
              <w:rPr>
                <w:b w:val="0"/>
              </w:rPr>
            </w:pPr>
            <w:r w:rsidRPr="00842564">
              <w:rPr>
                <w:b w:val="0"/>
              </w:rPr>
              <w:t>Pulmonary adverse effects (pulmonary interstitial lung disease, ARDS)</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842564" w:rsidRDefault="004D6FEB" w:rsidP="005221DF">
            <w:pPr>
              <w:pStyle w:val="TableTitle"/>
              <w:keepNext w:val="0"/>
              <w:rPr>
                <w:b w:val="0"/>
              </w:rPr>
            </w:pPr>
            <w:r w:rsidRPr="00842564">
              <w:rPr>
                <w:b w:val="0"/>
              </w:rPr>
              <w:t>Thrombocytopenia</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842564" w:rsidRDefault="004D6FEB" w:rsidP="005221DF">
            <w:pPr>
              <w:pStyle w:val="TableTitle"/>
              <w:keepNext w:val="0"/>
              <w:rPr>
                <w:b w:val="0"/>
              </w:rPr>
            </w:pPr>
            <w:proofErr w:type="spellStart"/>
            <w:r w:rsidRPr="00842564">
              <w:rPr>
                <w:b w:val="0"/>
              </w:rPr>
              <w:t>Leukocytosis</w:t>
            </w:r>
            <w:proofErr w:type="spellEnd"/>
          </w:p>
        </w:tc>
      </w:tr>
      <w:tr w:rsidR="004D6FEB" w:rsidTr="005221DF">
        <w:tc>
          <w:tcPr>
            <w:tcW w:w="4360" w:type="dxa"/>
            <w:vMerge w:val="restart"/>
            <w:shd w:val="clear" w:color="auto" w:fill="0070B5" w:themeFill="accent1" w:themeFillTint="BF"/>
          </w:tcPr>
          <w:p w:rsidR="004D6FEB" w:rsidRPr="00C52179" w:rsidRDefault="004D6FEB" w:rsidP="005221DF">
            <w:pPr>
              <w:pStyle w:val="TableTitle"/>
              <w:keepNext w:val="0"/>
              <w:rPr>
                <w:color w:val="FFFFFF" w:themeColor="background1"/>
              </w:rPr>
            </w:pPr>
            <w:r w:rsidRPr="00C52179">
              <w:rPr>
                <w:color w:val="FFFFFF" w:themeColor="background1"/>
              </w:rPr>
              <w:t>Important potential risks</w:t>
            </w:r>
          </w:p>
        </w:tc>
        <w:tc>
          <w:tcPr>
            <w:tcW w:w="4360" w:type="dxa"/>
          </w:tcPr>
          <w:p w:rsidR="004D6FEB" w:rsidRPr="00C52179" w:rsidRDefault="004D6FEB" w:rsidP="005221DF">
            <w:pPr>
              <w:pStyle w:val="TableTitle"/>
              <w:keepNext w:val="0"/>
              <w:rPr>
                <w:b w:val="0"/>
              </w:rPr>
            </w:pPr>
            <w:r w:rsidRPr="00C52179">
              <w:rPr>
                <w:b w:val="0"/>
              </w:rPr>
              <w:t>Immunogenicity which manifest as lack of effect.</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Sweet’s syndrome</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Sickle cells crisis in patients with Sickle cell disease</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Cutaneous vasculitis</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Splenomegaly, splenic rupture</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Risk in off label use</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Overdose</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 xml:space="preserve">Reduced </w:t>
            </w:r>
            <w:proofErr w:type="spellStart"/>
            <w:r w:rsidRPr="00C52179">
              <w:rPr>
                <w:b w:val="0"/>
              </w:rPr>
              <w:t>pharmacodynamic</w:t>
            </w:r>
            <w:proofErr w:type="spellEnd"/>
            <w:r w:rsidRPr="00C52179">
              <w:rPr>
                <w:b w:val="0"/>
              </w:rPr>
              <w:t xml:space="preserve"> effect in overweight patients &gt;95 kg weight</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Progression of underlying malignancy</w:t>
            </w:r>
          </w:p>
        </w:tc>
      </w:tr>
      <w:tr w:rsidR="004D6FEB" w:rsidTr="005221DF">
        <w:tc>
          <w:tcPr>
            <w:tcW w:w="4360" w:type="dxa"/>
            <w:vMerge/>
            <w:shd w:val="clear" w:color="auto" w:fill="0070B5" w:themeFill="accent1" w:themeFillTint="BF"/>
          </w:tcPr>
          <w:p w:rsidR="004D6FEB" w:rsidRPr="00C52179" w:rsidRDefault="004D6FEB" w:rsidP="005221DF">
            <w:pPr>
              <w:pStyle w:val="TableTitle"/>
              <w:keepNext w:val="0"/>
              <w:rPr>
                <w:color w:val="FFFFFF" w:themeColor="background1"/>
              </w:rPr>
            </w:pPr>
          </w:p>
        </w:tc>
        <w:tc>
          <w:tcPr>
            <w:tcW w:w="4360" w:type="dxa"/>
          </w:tcPr>
          <w:p w:rsidR="004D6FEB" w:rsidRPr="00C52179" w:rsidRDefault="004D6FEB" w:rsidP="005221DF">
            <w:pPr>
              <w:pStyle w:val="TableTitle"/>
              <w:keepNext w:val="0"/>
              <w:rPr>
                <w:b w:val="0"/>
              </w:rPr>
            </w:pPr>
            <w:r w:rsidRPr="00C52179">
              <w:rPr>
                <w:b w:val="0"/>
              </w:rPr>
              <w:t>Capillary leak syndrome</w:t>
            </w:r>
          </w:p>
        </w:tc>
      </w:tr>
      <w:tr w:rsidR="004D6FEB" w:rsidTr="005221DF">
        <w:tc>
          <w:tcPr>
            <w:tcW w:w="4360" w:type="dxa"/>
            <w:vMerge w:val="restart"/>
            <w:shd w:val="clear" w:color="auto" w:fill="0070B5" w:themeFill="accent1" w:themeFillTint="BF"/>
          </w:tcPr>
          <w:p w:rsidR="004D6FEB" w:rsidRPr="00C52179" w:rsidRDefault="004D6FEB" w:rsidP="005221DF">
            <w:pPr>
              <w:pStyle w:val="TableTitle"/>
              <w:keepNext w:val="0"/>
              <w:rPr>
                <w:color w:val="FFFFFF" w:themeColor="background1"/>
              </w:rPr>
            </w:pPr>
            <w:r w:rsidRPr="00C52179">
              <w:rPr>
                <w:color w:val="FFFFFF" w:themeColor="background1"/>
              </w:rPr>
              <w:t>Important missing information</w:t>
            </w:r>
          </w:p>
        </w:tc>
        <w:tc>
          <w:tcPr>
            <w:tcW w:w="4360" w:type="dxa"/>
          </w:tcPr>
          <w:p w:rsidR="004D6FEB" w:rsidRPr="00C52179" w:rsidRDefault="004D6FEB" w:rsidP="005221DF">
            <w:pPr>
              <w:pStyle w:val="TableTitle"/>
              <w:keepNext w:val="0"/>
              <w:rPr>
                <w:b w:val="0"/>
              </w:rPr>
            </w:pPr>
            <w:r w:rsidRPr="00C52179">
              <w:rPr>
                <w:b w:val="0"/>
              </w:rPr>
              <w:t>Risk in children &lt;18 years of age</w:t>
            </w:r>
          </w:p>
        </w:tc>
      </w:tr>
      <w:tr w:rsidR="004D6FEB" w:rsidTr="005221DF">
        <w:tc>
          <w:tcPr>
            <w:tcW w:w="4360" w:type="dxa"/>
            <w:vMerge/>
            <w:shd w:val="clear" w:color="auto" w:fill="0070B5" w:themeFill="accent1" w:themeFillTint="BF"/>
          </w:tcPr>
          <w:p w:rsidR="004D6FEB" w:rsidRDefault="004D6FEB" w:rsidP="005221DF">
            <w:pPr>
              <w:pStyle w:val="TableTitle"/>
              <w:keepNext w:val="0"/>
            </w:pPr>
          </w:p>
        </w:tc>
        <w:tc>
          <w:tcPr>
            <w:tcW w:w="4360" w:type="dxa"/>
          </w:tcPr>
          <w:p w:rsidR="004D6FEB" w:rsidRPr="00C52179" w:rsidRDefault="004D6FEB" w:rsidP="005221DF">
            <w:pPr>
              <w:pStyle w:val="TableTitle"/>
              <w:keepNext w:val="0"/>
              <w:rPr>
                <w:b w:val="0"/>
              </w:rPr>
            </w:pPr>
            <w:r w:rsidRPr="00C52179">
              <w:rPr>
                <w:b w:val="0"/>
              </w:rPr>
              <w:t>Risk in patients ≥65 years of age</w:t>
            </w:r>
          </w:p>
        </w:tc>
      </w:tr>
      <w:tr w:rsidR="004D6FEB" w:rsidTr="005221DF">
        <w:tc>
          <w:tcPr>
            <w:tcW w:w="4360" w:type="dxa"/>
            <w:vMerge/>
            <w:shd w:val="clear" w:color="auto" w:fill="0070B5" w:themeFill="accent1" w:themeFillTint="BF"/>
          </w:tcPr>
          <w:p w:rsidR="004D6FEB" w:rsidRDefault="004D6FEB" w:rsidP="005221DF">
            <w:pPr>
              <w:pStyle w:val="TableTitle"/>
              <w:keepNext w:val="0"/>
            </w:pPr>
          </w:p>
        </w:tc>
        <w:tc>
          <w:tcPr>
            <w:tcW w:w="4360" w:type="dxa"/>
          </w:tcPr>
          <w:p w:rsidR="004D6FEB" w:rsidRPr="00C52179" w:rsidRDefault="004D6FEB" w:rsidP="005221DF">
            <w:pPr>
              <w:pStyle w:val="TableTitle"/>
              <w:keepNext w:val="0"/>
              <w:rPr>
                <w:b w:val="0"/>
              </w:rPr>
            </w:pPr>
            <w:r w:rsidRPr="00C52179">
              <w:rPr>
                <w:b w:val="0"/>
              </w:rPr>
              <w:t>Risk in pregnant and lactating women</w:t>
            </w:r>
          </w:p>
        </w:tc>
      </w:tr>
      <w:tr w:rsidR="004D6FEB" w:rsidTr="005221DF">
        <w:tc>
          <w:tcPr>
            <w:tcW w:w="4360" w:type="dxa"/>
            <w:vMerge/>
            <w:shd w:val="clear" w:color="auto" w:fill="0070B5" w:themeFill="accent1" w:themeFillTint="BF"/>
          </w:tcPr>
          <w:p w:rsidR="004D6FEB" w:rsidRDefault="004D6FEB" w:rsidP="005221DF">
            <w:pPr>
              <w:pStyle w:val="TableTitle"/>
              <w:keepNext w:val="0"/>
            </w:pPr>
          </w:p>
        </w:tc>
        <w:tc>
          <w:tcPr>
            <w:tcW w:w="4360" w:type="dxa"/>
          </w:tcPr>
          <w:p w:rsidR="004D6FEB" w:rsidRPr="00C52179" w:rsidRDefault="004D6FEB" w:rsidP="005221DF">
            <w:pPr>
              <w:pStyle w:val="TableTitle"/>
              <w:keepNext w:val="0"/>
              <w:rPr>
                <w:b w:val="0"/>
              </w:rPr>
            </w:pPr>
            <w:r w:rsidRPr="00C52179">
              <w:rPr>
                <w:b w:val="0"/>
              </w:rPr>
              <w:t>Risk in patients with renal or hepatic impairment</w:t>
            </w:r>
          </w:p>
        </w:tc>
      </w:tr>
    </w:tbl>
    <w:p w:rsidR="008E7846" w:rsidRDefault="008E7846" w:rsidP="0093190D">
      <w:pPr>
        <w:pStyle w:val="TableTitle"/>
        <w:rPr>
          <w:lang w:eastAsia="en-AU"/>
        </w:rPr>
      </w:pPr>
      <w:r>
        <w:rPr>
          <w:lang w:eastAsia="en-AU"/>
        </w:rPr>
        <w:t xml:space="preserve">Pharmacovigilance </w:t>
      </w:r>
      <w:r w:rsidR="003A7F6C">
        <w:rPr>
          <w:lang w:eastAsia="en-AU"/>
        </w:rPr>
        <w:t>p</w:t>
      </w:r>
      <w:r>
        <w:rPr>
          <w:lang w:eastAsia="en-AU"/>
        </w:rPr>
        <w:t>lan</w:t>
      </w:r>
    </w:p>
    <w:p w:rsidR="00B56A57" w:rsidRDefault="007C69F4" w:rsidP="007C69F4">
      <w:r>
        <w:t>The following table summarises the pharmacovigilance activities presented in the EU-RMP and the ASA</w:t>
      </w:r>
      <w:r w:rsidR="00B56A57">
        <w:t>:</w:t>
      </w:r>
    </w:p>
    <w:p w:rsidR="004D6FEB" w:rsidRDefault="004D6FEB">
      <w:pPr>
        <w:spacing w:before="0" w:after="200" w:line="0" w:lineRule="auto"/>
        <w:rPr>
          <w:b/>
        </w:rPr>
      </w:pPr>
      <w:r>
        <w:br w:type="page"/>
      </w:r>
    </w:p>
    <w:p w:rsidR="0093190D" w:rsidRDefault="0093190D" w:rsidP="0093190D">
      <w:pPr>
        <w:pStyle w:val="TableTitle"/>
      </w:pPr>
      <w:r>
        <w:lastRenderedPageBreak/>
        <w:t>Table 10: Summary of pharmacovigilance presented by the sponsor</w:t>
      </w:r>
    </w:p>
    <w:tbl>
      <w:tblPr>
        <w:tblStyle w:val="TableGrid"/>
        <w:tblW w:w="0" w:type="auto"/>
        <w:tblLook w:val="04A0" w:firstRow="1" w:lastRow="0" w:firstColumn="1" w:lastColumn="0" w:noHBand="0" w:noVBand="1"/>
      </w:tblPr>
      <w:tblGrid>
        <w:gridCol w:w="3549"/>
        <w:gridCol w:w="5171"/>
      </w:tblGrid>
      <w:tr w:rsidR="007C69F4" w:rsidTr="0093190D">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7C69F4" w:rsidRPr="0093190D" w:rsidRDefault="007C69F4" w:rsidP="0093190D">
            <w:pPr>
              <w:rPr>
                <w:rFonts w:eastAsia="MS Mincho"/>
                <w:b/>
                <w:color w:val="FFFFFF" w:themeColor="background1"/>
                <w:sz w:val="20"/>
                <w:szCs w:val="20"/>
                <w:lang w:eastAsia="en-US"/>
              </w:rPr>
            </w:pPr>
            <w:r w:rsidRPr="0093190D">
              <w:rPr>
                <w:b/>
                <w:color w:val="FFFFFF" w:themeColor="background1"/>
                <w:sz w:val="20"/>
                <w:szCs w:val="20"/>
              </w:rPr>
              <w:t>Identified risks</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7C69F4" w:rsidRPr="0093190D" w:rsidRDefault="007C69F4" w:rsidP="0093190D">
            <w:pPr>
              <w:rPr>
                <w:rFonts w:eastAsia="MS Mincho"/>
                <w:b/>
                <w:color w:val="FFFFFF" w:themeColor="background1"/>
                <w:sz w:val="20"/>
                <w:szCs w:val="20"/>
                <w:lang w:eastAsia="en-US"/>
              </w:rPr>
            </w:pPr>
            <w:r w:rsidRPr="0093190D">
              <w:rPr>
                <w:b/>
                <w:color w:val="FFFFFF" w:themeColor="background1"/>
                <w:sz w:val="20"/>
                <w:szCs w:val="20"/>
              </w:rPr>
              <w:t>Pharmacovigilance activities</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Musculoskeletal pain-related symptoms</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Allergic type reactions</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Pulmonary adverse effects (including interstitial lung disease, ARDS)</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Thrombocytopenia</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Leucocytosis</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93190D">
        <w:tc>
          <w:tcPr>
            <w:tcW w:w="98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7C69F4" w:rsidRPr="0093190D" w:rsidRDefault="007C69F4" w:rsidP="0093190D">
            <w:pPr>
              <w:rPr>
                <w:rFonts w:eastAsia="MS Mincho"/>
                <w:b/>
                <w:sz w:val="20"/>
                <w:szCs w:val="20"/>
                <w:lang w:eastAsia="en-US"/>
              </w:rPr>
            </w:pPr>
            <w:r w:rsidRPr="0093190D">
              <w:rPr>
                <w:b/>
                <w:color w:val="FFFFFF" w:themeColor="background1"/>
                <w:sz w:val="20"/>
                <w:szCs w:val="20"/>
              </w:rPr>
              <w:t>Important potential risks</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Immunogenicity which may manifest as lack of effect</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p w:rsidR="007C69F4" w:rsidRPr="0093190D" w:rsidRDefault="007C69F4" w:rsidP="0093190D">
            <w:pPr>
              <w:rPr>
                <w:sz w:val="20"/>
                <w:szCs w:val="20"/>
                <w:lang w:eastAsia="en-US"/>
              </w:rPr>
            </w:pPr>
            <w:r w:rsidRPr="0093190D">
              <w:rPr>
                <w:sz w:val="20"/>
                <w:szCs w:val="20"/>
                <w:lang w:eastAsia="en-US"/>
              </w:rPr>
              <w:t xml:space="preserve">Additional pharmacovigilance activity: study XM22-07 and study XM22-08; </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Sweet’s syndrome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Sickle cell crisis in patients with sickle cell disease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Cutaneous vasculitis</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Splenomegaly, splenic rupture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Risks in off-label use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 including a follow-up questionnaire;</w:t>
            </w:r>
          </w:p>
          <w:p w:rsidR="007C69F4" w:rsidRPr="0093190D" w:rsidRDefault="007C69F4" w:rsidP="0093190D">
            <w:pPr>
              <w:rPr>
                <w:sz w:val="20"/>
                <w:szCs w:val="20"/>
                <w:lang w:eastAsia="en-US"/>
              </w:rPr>
            </w:pPr>
            <w:r w:rsidRPr="0093190D">
              <w:rPr>
                <w:sz w:val="20"/>
                <w:szCs w:val="20"/>
                <w:lang w:eastAsia="en-US"/>
              </w:rPr>
              <w:t>Additional pharmacovigilance activity: a drug utilisation study;</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Overdose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 including a follow-up questionnaire;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Reduced pharmacodynamics effect in patients &gt; 95kg body weight</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 xml:space="preserve">Routine pharmacovigilance including a follow-up questionnaire; </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Progression of underlying malignancy</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p w:rsidR="007C69F4" w:rsidRPr="0093190D" w:rsidRDefault="007C69F4" w:rsidP="0093190D">
            <w:pPr>
              <w:rPr>
                <w:sz w:val="20"/>
                <w:szCs w:val="20"/>
                <w:lang w:eastAsia="en-US"/>
              </w:rPr>
            </w:pPr>
            <w:r w:rsidRPr="0093190D">
              <w:rPr>
                <w:sz w:val="20"/>
                <w:szCs w:val="20"/>
                <w:lang w:eastAsia="en-US"/>
              </w:rPr>
              <w:t>Additional pharmacovigilance activity: a PASS to evaluate the risk of disease progression;</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Capillary leak syndrome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93190D">
        <w:tc>
          <w:tcPr>
            <w:tcW w:w="98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70C0"/>
            <w:hideMark/>
          </w:tcPr>
          <w:p w:rsidR="007C69F4" w:rsidRPr="0093190D" w:rsidRDefault="007C69F4" w:rsidP="0093190D">
            <w:pPr>
              <w:rPr>
                <w:rFonts w:eastAsia="MS Mincho"/>
                <w:b/>
                <w:sz w:val="20"/>
                <w:szCs w:val="20"/>
                <w:lang w:eastAsia="en-US"/>
              </w:rPr>
            </w:pPr>
            <w:r w:rsidRPr="0093190D">
              <w:rPr>
                <w:b/>
                <w:color w:val="FFFFFF" w:themeColor="background1"/>
                <w:sz w:val="20"/>
                <w:szCs w:val="20"/>
              </w:rPr>
              <w:t>Important missing information</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Risks in children &lt; 18 years of age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p w:rsidR="007C69F4" w:rsidRPr="0093190D" w:rsidRDefault="007C69F4" w:rsidP="0093190D">
            <w:pPr>
              <w:rPr>
                <w:sz w:val="20"/>
                <w:szCs w:val="20"/>
                <w:lang w:eastAsia="en-US"/>
              </w:rPr>
            </w:pPr>
            <w:r w:rsidRPr="0093190D">
              <w:rPr>
                <w:sz w:val="20"/>
                <w:szCs w:val="20"/>
                <w:lang w:eastAsia="en-US"/>
              </w:rPr>
              <w:t>Additional pharmacovigilance activity: study XM22-07 and study XM22-08;</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Risks in patients ≥ 65 years of age</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lastRenderedPageBreak/>
              <w:t>Risks in pregnant and lactating women</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r w:rsidR="007C69F4" w:rsidTr="007C69F4">
        <w:tc>
          <w:tcPr>
            <w:tcW w:w="39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rFonts w:eastAsia="MS Mincho"/>
                <w:sz w:val="20"/>
                <w:szCs w:val="20"/>
                <w:lang w:eastAsia="en-US"/>
              </w:rPr>
            </w:pPr>
            <w:r w:rsidRPr="0093190D">
              <w:rPr>
                <w:sz w:val="20"/>
                <w:szCs w:val="20"/>
              </w:rPr>
              <w:t>Risks in patients with hepatic or renal impairment</w:t>
            </w:r>
          </w:p>
        </w:tc>
        <w:tc>
          <w:tcPr>
            <w:tcW w:w="59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C69F4" w:rsidRPr="0093190D" w:rsidRDefault="007C69F4" w:rsidP="0093190D">
            <w:pPr>
              <w:rPr>
                <w:sz w:val="20"/>
                <w:szCs w:val="20"/>
                <w:lang w:eastAsia="en-US"/>
              </w:rPr>
            </w:pPr>
            <w:r w:rsidRPr="0093190D">
              <w:rPr>
                <w:sz w:val="20"/>
                <w:szCs w:val="20"/>
                <w:lang w:eastAsia="en-US"/>
              </w:rPr>
              <w:t>Routine pharmacovigilance.</w:t>
            </w:r>
          </w:p>
        </w:tc>
      </w:tr>
    </w:tbl>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B56A57" w:rsidRDefault="007C69F4" w:rsidP="007C69F4">
      <w:bookmarkStart w:id="189" w:name="_Toc247691527"/>
      <w:r>
        <w:t xml:space="preserve">Routine risk minimisation through the Australian PI and </w:t>
      </w:r>
      <w:r w:rsidR="00C710F2">
        <w:t>Consumer Medicine Information (</w:t>
      </w:r>
      <w:r>
        <w:t>CMI</w:t>
      </w:r>
      <w:r w:rsidR="00C710F2">
        <w:t>) documents</w:t>
      </w:r>
      <w:r>
        <w:t xml:space="preserve"> is proposed for all the safety concerns. No additional risk minimisation activities have been proposed by the sponsor</w:t>
      </w:r>
      <w:r w:rsidR="00B56A57">
        <w:t>.</w:t>
      </w:r>
    </w:p>
    <w:p w:rsidR="006F25B8" w:rsidRDefault="006F25B8" w:rsidP="006F25B8">
      <w:pPr>
        <w:pStyle w:val="Heading4"/>
        <w:rPr>
          <w:lang w:eastAsia="en-AU"/>
        </w:rPr>
      </w:pPr>
      <w:r w:rsidRPr="006F25B8">
        <w:rPr>
          <w:lang w:eastAsia="en-AU"/>
        </w:rPr>
        <w:t xml:space="preserve">Reconciliation of issues outlined in the RMP report </w:t>
      </w:r>
    </w:p>
    <w:p w:rsidR="006F25B8" w:rsidRDefault="006F25B8" w:rsidP="006F25B8">
      <w:pPr>
        <w:rPr>
          <w:lang w:eastAsia="en-AU"/>
        </w:rPr>
      </w:pPr>
      <w:r>
        <w:rPr>
          <w:lang w:eastAsia="en-AU"/>
        </w:rPr>
        <w:t xml:space="preserve">Table </w:t>
      </w:r>
      <w:r w:rsidR="00C710F2">
        <w:rPr>
          <w:lang w:eastAsia="en-AU"/>
        </w:rPr>
        <w:t>11</w:t>
      </w:r>
      <w:r>
        <w:rPr>
          <w:lang w:eastAsia="en-AU"/>
        </w:rPr>
        <w:t xml:space="preserve"> summarises the first round evaluation of the RMP, the sponsor’s responses to issues raised by the </w:t>
      </w:r>
      <w:r w:rsidR="00C710F2">
        <w:rPr>
          <w:lang w:eastAsia="en-AU"/>
        </w:rPr>
        <w:t>RMP evaluator</w:t>
      </w:r>
      <w:r>
        <w:rPr>
          <w:lang w:eastAsia="en-AU"/>
        </w:rPr>
        <w:t xml:space="preserve"> and the evaluation of the sponsor’s responses.</w:t>
      </w:r>
    </w:p>
    <w:p w:rsidR="007C69F4" w:rsidRDefault="00C710F2" w:rsidP="00C710F2">
      <w:pPr>
        <w:pStyle w:val="TableTitle"/>
      </w:pPr>
      <w:r>
        <w:t xml:space="preserve">Table 11: </w:t>
      </w:r>
      <w:r w:rsidR="007C69F4">
        <w:t>Reconciliation of issues outlined in the RMP Evaluation Report (Round 1)</w:t>
      </w:r>
    </w:p>
    <w:tbl>
      <w:tblPr>
        <w:tblStyle w:val="TableTGAblue"/>
        <w:tblW w:w="5000" w:type="pct"/>
        <w:tblLook w:val="04A0" w:firstRow="1" w:lastRow="0" w:firstColumn="1" w:lastColumn="0" w:noHBand="0" w:noVBand="1"/>
      </w:tblPr>
      <w:tblGrid>
        <w:gridCol w:w="3291"/>
        <w:gridCol w:w="3291"/>
        <w:gridCol w:w="2138"/>
      </w:tblGrid>
      <w:tr w:rsidR="007C69F4" w:rsidTr="005F1809">
        <w:trPr>
          <w:cnfStyle w:val="100000000000" w:firstRow="1" w:lastRow="0" w:firstColumn="0" w:lastColumn="0" w:oddVBand="0" w:evenVBand="0" w:oddHBand="0" w:evenHBand="0" w:firstRowFirstColumn="0" w:firstRowLastColumn="0" w:lastRowFirstColumn="0" w:lastRowLastColumn="0"/>
        </w:trPr>
        <w:tc>
          <w:tcPr>
            <w:tcW w:w="1839" w:type="pct"/>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Recommendation in RMP evaluation report</w:t>
            </w:r>
          </w:p>
        </w:tc>
        <w:tc>
          <w:tcPr>
            <w:tcW w:w="1839" w:type="pct"/>
            <w:noWrap/>
          </w:tcPr>
          <w:p w:rsidR="007C69F4" w:rsidRPr="005F1809" w:rsidRDefault="007C69F4" w:rsidP="005F1809">
            <w:pPr>
              <w:spacing w:before="0" w:after="0" w:line="240" w:lineRule="auto"/>
              <w:ind w:left="0" w:right="0"/>
              <w:rPr>
                <w:rFonts w:asciiTheme="minorHAnsi" w:eastAsia="MS Mincho" w:hAnsiTheme="minorHAnsi"/>
                <w:b w:val="0"/>
                <w:i/>
                <w:sz w:val="20"/>
                <w:szCs w:val="20"/>
              </w:rPr>
            </w:pPr>
            <w:r w:rsidRPr="005F1809">
              <w:rPr>
                <w:rFonts w:asciiTheme="minorHAnsi" w:hAnsiTheme="minorHAnsi"/>
                <w:sz w:val="20"/>
                <w:szCs w:val="20"/>
              </w:rPr>
              <w:t>Sponsor’s response</w:t>
            </w:r>
          </w:p>
        </w:tc>
        <w:tc>
          <w:tcPr>
            <w:tcW w:w="1322" w:type="pct"/>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RMP evaluator’s comment</w:t>
            </w:r>
          </w:p>
        </w:tc>
      </w:tr>
      <w:tr w:rsidR="007C69F4" w:rsidTr="00B12A95">
        <w:trPr>
          <w:cantSplit/>
        </w:trPr>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3F6741" w:rsidP="005F1809">
            <w:pPr>
              <w:spacing w:before="0" w:after="0" w:line="240" w:lineRule="auto"/>
              <w:ind w:left="0" w:right="0"/>
              <w:rPr>
                <w:rFonts w:asciiTheme="minorHAnsi" w:eastAsia="MS Mincho" w:hAnsiTheme="minorHAnsi"/>
                <w:sz w:val="20"/>
                <w:szCs w:val="20"/>
              </w:rPr>
            </w:pPr>
            <w:r>
              <w:rPr>
                <w:rFonts w:asciiTheme="minorHAnsi" w:hAnsiTheme="minorHAnsi"/>
                <w:sz w:val="20"/>
                <w:szCs w:val="20"/>
              </w:rPr>
              <w:t xml:space="preserve">1. </w:t>
            </w:r>
            <w:r w:rsidR="007C69F4" w:rsidRPr="005F1809">
              <w:rPr>
                <w:rFonts w:asciiTheme="minorHAnsi" w:hAnsiTheme="minorHAnsi"/>
                <w:sz w:val="20"/>
                <w:szCs w:val="20"/>
              </w:rPr>
              <w:t xml:space="preserve">Safety considerations may be raised by the non-clinical and clinical evaluators through the </w:t>
            </w:r>
            <w:r w:rsidR="005F1809" w:rsidRPr="005F1809">
              <w:rPr>
                <w:rFonts w:asciiTheme="minorHAnsi" w:hAnsiTheme="minorHAnsi"/>
                <w:sz w:val="20"/>
                <w:szCs w:val="20"/>
              </w:rPr>
              <w:t xml:space="preserve">TGA’s </w:t>
            </w:r>
            <w:r w:rsidR="007C69F4" w:rsidRPr="005F1809">
              <w:rPr>
                <w:rFonts w:asciiTheme="minorHAnsi" w:hAnsiTheme="minorHAnsi"/>
                <w:sz w:val="20"/>
                <w:szCs w:val="20"/>
              </w:rPr>
              <w:t xml:space="preserve">consolidated </w:t>
            </w:r>
            <w:r w:rsidR="005F1809" w:rsidRPr="005F1809">
              <w:rPr>
                <w:rFonts w:asciiTheme="minorHAnsi" w:hAnsiTheme="minorHAnsi"/>
                <w:sz w:val="20"/>
                <w:szCs w:val="20"/>
              </w:rPr>
              <w:t>request for further information</w:t>
            </w:r>
            <w:r w:rsidR="007C69F4" w:rsidRPr="005F1809">
              <w:rPr>
                <w:rFonts w:asciiTheme="minorHAnsi" w:hAnsiTheme="minorHAnsi"/>
                <w:sz w:val="20"/>
                <w:szCs w:val="20"/>
              </w:rPr>
              <w:t xml:space="preserve"> and/or the Nonclinical and Clinical Evaluation Reports respectively.</w:t>
            </w:r>
            <w:r w:rsidR="009801DD" w:rsidRPr="005F1809">
              <w:rPr>
                <w:rFonts w:asciiTheme="minorHAnsi" w:hAnsiTheme="minorHAnsi"/>
                <w:sz w:val="20"/>
                <w:szCs w:val="20"/>
              </w:rPr>
              <w:t xml:space="preserve"> </w:t>
            </w:r>
            <w:r w:rsidR="007C69F4" w:rsidRPr="005F1809">
              <w:rPr>
                <w:rFonts w:asciiTheme="minorHAnsi" w:hAnsiTheme="minorHAnsi"/>
                <w:sz w:val="20"/>
                <w:szCs w:val="20"/>
              </w:rPr>
              <w:t>It is important to ensure that the information provided in response to these includes a consideration of the relevance for the Risk Management Plan, and any specific information needed to address this issue in the RMP.</w:t>
            </w:r>
            <w:r w:rsidR="009801DD" w:rsidRPr="005F1809">
              <w:rPr>
                <w:rFonts w:asciiTheme="minorHAnsi" w:hAnsiTheme="minorHAnsi"/>
                <w:sz w:val="20"/>
                <w:szCs w:val="20"/>
              </w:rPr>
              <w:t xml:space="preserve"> </w:t>
            </w:r>
            <w:r w:rsidR="007C69F4" w:rsidRPr="005F1809">
              <w:rPr>
                <w:rFonts w:asciiTheme="minorHAnsi" w:hAnsiTheme="minorHAnsi"/>
                <w:bCs/>
                <w:sz w:val="20"/>
                <w:szCs w:val="20"/>
              </w:rPr>
              <w:t xml:space="preserve">For any safety considerations so raised, </w:t>
            </w:r>
            <w:r w:rsidR="007C69F4" w:rsidRPr="005F1809">
              <w:rPr>
                <w:rFonts w:asciiTheme="minorHAnsi" w:hAnsiTheme="minorHAnsi"/>
                <w:sz w:val="20"/>
                <w:szCs w:val="20"/>
              </w:rPr>
              <w:t>the sponsor should</w:t>
            </w:r>
            <w:r w:rsidR="007C69F4" w:rsidRPr="005F1809">
              <w:rPr>
                <w:rFonts w:asciiTheme="minorHAnsi" w:hAnsiTheme="minorHAnsi"/>
                <w:bCs/>
                <w:sz w:val="20"/>
                <w:szCs w:val="20"/>
              </w:rPr>
              <w:t xml:space="preserve"> provide information that is relevant and necessary to address the issue in the RMP.</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t>The applicant acknowledges the evaluators request to consider and address aspects of the clinical and non-clinical responses that may impact the Risk Management Plan.</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The sponsor’s response is satisfactory. </w:t>
            </w:r>
          </w:p>
        </w:tc>
      </w:tr>
      <w:tr w:rsidR="007C69F4" w:rsidTr="00B12A95">
        <w:trPr>
          <w:cantSplit/>
        </w:trPr>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3F6741" w:rsidP="005F1809">
            <w:pPr>
              <w:spacing w:before="0" w:after="0" w:line="240" w:lineRule="auto"/>
              <w:ind w:left="0" w:right="0"/>
              <w:rPr>
                <w:rFonts w:asciiTheme="minorHAnsi" w:eastAsia="MS Mincho" w:hAnsiTheme="minorHAnsi"/>
                <w:sz w:val="20"/>
                <w:szCs w:val="20"/>
              </w:rPr>
            </w:pPr>
            <w:r>
              <w:rPr>
                <w:rFonts w:asciiTheme="minorHAnsi" w:hAnsiTheme="minorHAnsi"/>
                <w:sz w:val="20"/>
                <w:szCs w:val="20"/>
              </w:rPr>
              <w:lastRenderedPageBreak/>
              <w:t xml:space="preserve">2. </w:t>
            </w:r>
            <w:r w:rsidR="007C69F4" w:rsidRPr="005F1809">
              <w:rPr>
                <w:rFonts w:asciiTheme="minorHAnsi" w:hAnsiTheme="minorHAnsi"/>
                <w:sz w:val="20"/>
                <w:szCs w:val="20"/>
              </w:rPr>
              <w:t xml:space="preserve">The sponsor should clarify whether it considers ‘progression of underlying malignancy’ includes ‘worsening of underlying malignancy’. It should be noted that disease progression is a natural course for malignancies while worsening of underlying condition does not have to be. </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t xml:space="preserve">The applicant acknowledges that it might be desirable to differentiate between natural courses of malignancies and other courses. However, </w:t>
            </w:r>
            <w:proofErr w:type="spellStart"/>
            <w:r w:rsidRPr="005F1809">
              <w:rPr>
                <w:rFonts w:asciiTheme="minorHAnsi" w:hAnsiTheme="minorHAnsi"/>
                <w:i/>
                <w:sz w:val="20"/>
                <w:szCs w:val="20"/>
              </w:rPr>
              <w:t>MedDRA</w:t>
            </w:r>
            <w:proofErr w:type="spellEnd"/>
            <w:r w:rsidRPr="005F1809">
              <w:rPr>
                <w:rFonts w:asciiTheme="minorHAnsi" w:hAnsiTheme="minorHAnsi"/>
                <w:i/>
                <w:sz w:val="20"/>
                <w:szCs w:val="20"/>
              </w:rPr>
              <w:t xml:space="preserve"> does not offer such kind of differentiated wording to characteri</w:t>
            </w:r>
            <w:r w:rsidR="005F1809">
              <w:rPr>
                <w:rFonts w:asciiTheme="minorHAnsi" w:hAnsiTheme="minorHAnsi"/>
                <w:i/>
                <w:sz w:val="20"/>
                <w:szCs w:val="20"/>
              </w:rPr>
              <w:t>s</w:t>
            </w:r>
            <w:r w:rsidRPr="005F1809">
              <w:rPr>
                <w:rFonts w:asciiTheme="minorHAnsi" w:hAnsiTheme="minorHAnsi"/>
                <w:i/>
                <w:sz w:val="20"/>
                <w:szCs w:val="20"/>
              </w:rPr>
              <w:t>e those cases.</w:t>
            </w:r>
          </w:p>
          <w:p w:rsidR="007C69F4" w:rsidRPr="005F1809" w:rsidRDefault="007C69F4" w:rsidP="005F1809">
            <w:pPr>
              <w:spacing w:before="0" w:after="0" w:line="240" w:lineRule="auto"/>
              <w:ind w:left="0" w:right="0"/>
              <w:rPr>
                <w:rFonts w:asciiTheme="minorHAnsi" w:hAnsiTheme="minorHAnsi"/>
                <w:i/>
                <w:sz w:val="20"/>
                <w:szCs w:val="20"/>
              </w:rPr>
            </w:pPr>
            <w:proofErr w:type="spellStart"/>
            <w:r w:rsidRPr="005F1809">
              <w:rPr>
                <w:rFonts w:asciiTheme="minorHAnsi" w:hAnsiTheme="minorHAnsi"/>
                <w:i/>
                <w:sz w:val="20"/>
                <w:szCs w:val="20"/>
              </w:rPr>
              <w:t>MedDRA</w:t>
            </w:r>
            <w:proofErr w:type="spellEnd"/>
            <w:r w:rsidRPr="005F1809">
              <w:rPr>
                <w:rFonts w:asciiTheme="minorHAnsi" w:hAnsiTheme="minorHAnsi"/>
                <w:i/>
                <w:sz w:val="20"/>
                <w:szCs w:val="20"/>
              </w:rPr>
              <w:t xml:space="preserve"> does include the following </w:t>
            </w:r>
            <w:r w:rsidR="005F1809">
              <w:rPr>
                <w:rFonts w:asciiTheme="minorHAnsi" w:hAnsiTheme="minorHAnsi"/>
                <w:i/>
                <w:sz w:val="20"/>
                <w:szCs w:val="20"/>
              </w:rPr>
              <w:t>Preferred Terms (</w:t>
            </w:r>
            <w:r w:rsidRPr="005F1809">
              <w:rPr>
                <w:rFonts w:asciiTheme="minorHAnsi" w:hAnsiTheme="minorHAnsi"/>
                <w:i/>
                <w:sz w:val="20"/>
                <w:szCs w:val="20"/>
              </w:rPr>
              <w:t>PTs</w:t>
            </w:r>
            <w:r w:rsidR="005F1809">
              <w:rPr>
                <w:rFonts w:asciiTheme="minorHAnsi" w:hAnsiTheme="minorHAnsi"/>
                <w:i/>
                <w:sz w:val="20"/>
                <w:szCs w:val="20"/>
              </w:rPr>
              <w:t>)</w:t>
            </w:r>
            <w:r w:rsidRPr="005F1809">
              <w:rPr>
                <w:rFonts w:asciiTheme="minorHAnsi" w:hAnsiTheme="minorHAnsi"/>
                <w:i/>
                <w:sz w:val="20"/>
                <w:szCs w:val="20"/>
              </w:rPr>
              <w:t xml:space="preserve"> (which are laid down in section SVII.3 of the RMP to define the Potential Risk: ‘Progression of underlying malignancy‘):</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 Concomitant disease progression</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 Disease progression</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 Neoplasm progression</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 xml:space="preserve">However </w:t>
            </w:r>
            <w:proofErr w:type="spellStart"/>
            <w:r w:rsidRPr="005F1809">
              <w:rPr>
                <w:rFonts w:asciiTheme="minorHAnsi" w:hAnsiTheme="minorHAnsi"/>
                <w:i/>
                <w:sz w:val="20"/>
                <w:szCs w:val="20"/>
              </w:rPr>
              <w:t>MedDRA</w:t>
            </w:r>
            <w:proofErr w:type="spellEnd"/>
            <w:r w:rsidRPr="005F1809">
              <w:rPr>
                <w:rFonts w:asciiTheme="minorHAnsi" w:hAnsiTheme="minorHAnsi"/>
                <w:i/>
                <w:sz w:val="20"/>
                <w:szCs w:val="20"/>
              </w:rPr>
              <w:t xml:space="preserve"> does not include terms like ‘worsening of underlying malignancy’ or ‘worsening of </w:t>
            </w:r>
            <w:r w:rsidRPr="005F1809">
              <w:rPr>
                <w:sz w:val="20"/>
                <w:szCs w:val="20"/>
              </w:rPr>
              <w:t xml:space="preserve">neoplasm’, neither as PTs nor as </w:t>
            </w:r>
            <w:r w:rsidR="005F1809" w:rsidRPr="005F1809">
              <w:rPr>
                <w:sz w:val="20"/>
                <w:szCs w:val="20"/>
              </w:rPr>
              <w:t xml:space="preserve">Lowest Level </w:t>
            </w:r>
            <w:r w:rsidR="00216F4E" w:rsidRPr="005F1809">
              <w:rPr>
                <w:sz w:val="20"/>
                <w:szCs w:val="20"/>
              </w:rPr>
              <w:t>Terms (</w:t>
            </w:r>
            <w:r w:rsidRPr="005F1809">
              <w:rPr>
                <w:sz w:val="20"/>
                <w:szCs w:val="20"/>
              </w:rPr>
              <w:t>LLTs</w:t>
            </w:r>
            <w:r w:rsidR="005F1809" w:rsidRPr="005F1809">
              <w:rPr>
                <w:sz w:val="20"/>
                <w:szCs w:val="20"/>
              </w:rPr>
              <w:t>)</w:t>
            </w:r>
            <w:r w:rsidRPr="005F1809">
              <w:rPr>
                <w:sz w:val="20"/>
                <w:szCs w:val="20"/>
              </w:rPr>
              <w:t xml:space="preserve"> or on any other level.</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Therefore in practice all case reports for worsening of underlying malignancy</w:t>
            </w:r>
            <w:r w:rsidR="005F1809">
              <w:rPr>
                <w:rFonts w:asciiTheme="minorHAnsi" w:hAnsiTheme="minorHAnsi"/>
                <w:i/>
                <w:sz w:val="20"/>
                <w:szCs w:val="20"/>
              </w:rPr>
              <w:t xml:space="preserve"> </w:t>
            </w:r>
            <w:r w:rsidRPr="005F1809">
              <w:rPr>
                <w:rFonts w:asciiTheme="minorHAnsi" w:hAnsiTheme="minorHAnsi"/>
                <w:i/>
                <w:sz w:val="20"/>
                <w:szCs w:val="20"/>
              </w:rPr>
              <w:t xml:space="preserve">will be coded with either ‘Concomitant disease </w:t>
            </w:r>
            <w:r w:rsidR="00216F4E" w:rsidRPr="005F1809">
              <w:rPr>
                <w:rFonts w:asciiTheme="minorHAnsi" w:hAnsiTheme="minorHAnsi"/>
                <w:i/>
                <w:sz w:val="20"/>
                <w:szCs w:val="20"/>
              </w:rPr>
              <w:t>progression’, ‘Disease</w:t>
            </w:r>
            <w:r w:rsidRPr="005F1809">
              <w:rPr>
                <w:rFonts w:asciiTheme="minorHAnsi" w:hAnsiTheme="minorHAnsi"/>
                <w:i/>
                <w:sz w:val="20"/>
                <w:szCs w:val="20"/>
              </w:rPr>
              <w:t xml:space="preserve"> progression‘ or ‘Neoplasm progression‘ in the safety database of the applicant.</w:t>
            </w:r>
          </w:p>
          <w:p w:rsidR="007C69F4" w:rsidRPr="005F1809" w:rsidRDefault="007C69F4" w:rsidP="005F1809">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t>In periodic reports evaluating the Risk: ‘Progression of underlying malignancy‘(RMP wording) therefore all cases will be available, irrespectively of natural or other course and will be used to monitor the risk.</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The sponsor’s response is acceptable. It is noted that in post-authorisation spontaneous adverse event reporting, it could be difficult to determine whether progression of malignancy is due to </w:t>
            </w:r>
            <w:proofErr w:type="spellStart"/>
            <w:r w:rsidRPr="005F1809">
              <w:rPr>
                <w:rFonts w:asciiTheme="minorHAnsi" w:hAnsiTheme="minorHAnsi"/>
                <w:sz w:val="20"/>
                <w:szCs w:val="20"/>
              </w:rPr>
              <w:t>lipegfilgrastim</w:t>
            </w:r>
            <w:proofErr w:type="spellEnd"/>
            <w:r w:rsidRPr="005F1809">
              <w:rPr>
                <w:rFonts w:asciiTheme="minorHAnsi" w:hAnsiTheme="minorHAnsi"/>
                <w:sz w:val="20"/>
                <w:szCs w:val="20"/>
              </w:rPr>
              <w:t xml:space="preserve"> or the disease trajectory.</w:t>
            </w:r>
            <w:r w:rsidR="009801DD" w:rsidRPr="005F1809">
              <w:rPr>
                <w:rFonts w:asciiTheme="minorHAnsi" w:hAnsiTheme="minorHAnsi"/>
                <w:sz w:val="20"/>
                <w:szCs w:val="20"/>
              </w:rPr>
              <w:t xml:space="preserve"> </w:t>
            </w:r>
          </w:p>
        </w:tc>
      </w:tr>
      <w:tr w:rsidR="007C69F4" w:rsidTr="00B12A95">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B56A57" w:rsidRDefault="003F6741" w:rsidP="005F1809">
            <w:pPr>
              <w:spacing w:before="0" w:after="0" w:line="240" w:lineRule="auto"/>
              <w:rPr>
                <w:rFonts w:asciiTheme="minorHAnsi" w:hAnsiTheme="minorHAnsi"/>
                <w:sz w:val="20"/>
                <w:szCs w:val="20"/>
              </w:rPr>
            </w:pPr>
            <w:r>
              <w:rPr>
                <w:rFonts w:asciiTheme="minorHAnsi" w:hAnsiTheme="minorHAnsi"/>
                <w:sz w:val="20"/>
                <w:szCs w:val="20"/>
              </w:rPr>
              <w:t xml:space="preserve">3. </w:t>
            </w:r>
            <w:r w:rsidR="007C69F4" w:rsidRPr="005F1809">
              <w:rPr>
                <w:rFonts w:asciiTheme="minorHAnsi" w:hAnsiTheme="minorHAnsi"/>
                <w:sz w:val="20"/>
                <w:szCs w:val="20"/>
              </w:rPr>
              <w:t xml:space="preserve">The following is a list of risks associated with the use of other </w:t>
            </w:r>
            <w:proofErr w:type="spellStart"/>
            <w:r w:rsidR="007C69F4" w:rsidRPr="005F1809">
              <w:rPr>
                <w:rFonts w:asciiTheme="minorHAnsi" w:hAnsiTheme="minorHAnsi"/>
                <w:sz w:val="20"/>
                <w:szCs w:val="20"/>
              </w:rPr>
              <w:t>filgrastim</w:t>
            </w:r>
            <w:proofErr w:type="spellEnd"/>
            <w:r w:rsidR="007C69F4" w:rsidRPr="005F1809">
              <w:rPr>
                <w:rFonts w:asciiTheme="minorHAnsi" w:hAnsiTheme="minorHAnsi"/>
                <w:sz w:val="20"/>
                <w:szCs w:val="20"/>
              </w:rPr>
              <w:t xml:space="preserve"> (</w:t>
            </w:r>
            <w:proofErr w:type="spellStart"/>
            <w:r w:rsidR="007C69F4" w:rsidRPr="005F1809">
              <w:rPr>
                <w:rFonts w:asciiTheme="minorHAnsi" w:hAnsiTheme="minorHAnsi"/>
                <w:sz w:val="20"/>
                <w:szCs w:val="20"/>
              </w:rPr>
              <w:t>rbe</w:t>
            </w:r>
            <w:proofErr w:type="spellEnd"/>
            <w:r w:rsidR="007C69F4" w:rsidRPr="005F1809">
              <w:rPr>
                <w:rFonts w:asciiTheme="minorHAnsi" w:hAnsiTheme="minorHAnsi"/>
                <w:sz w:val="20"/>
                <w:szCs w:val="20"/>
              </w:rPr>
              <w:t xml:space="preserve">) products. The sponsor should provide justification to why these are not relevant to </w:t>
            </w:r>
            <w:proofErr w:type="spellStart"/>
            <w:r w:rsidR="007C69F4" w:rsidRPr="005F1809">
              <w:rPr>
                <w:rFonts w:asciiTheme="minorHAnsi" w:hAnsiTheme="minorHAnsi"/>
                <w:sz w:val="20"/>
                <w:szCs w:val="20"/>
              </w:rPr>
              <w:t>lipegfilgrastim</w:t>
            </w:r>
            <w:proofErr w:type="spellEnd"/>
            <w:r w:rsidR="007C69F4" w:rsidRPr="005F1809">
              <w:rPr>
                <w:rFonts w:asciiTheme="minorHAnsi" w:hAnsiTheme="minorHAnsi"/>
                <w:sz w:val="20"/>
                <w:szCs w:val="20"/>
              </w:rPr>
              <w:t xml:space="preserve"> (</w:t>
            </w:r>
            <w:proofErr w:type="spellStart"/>
            <w:r w:rsidR="007C69F4" w:rsidRPr="005F1809">
              <w:rPr>
                <w:rFonts w:asciiTheme="minorHAnsi" w:hAnsiTheme="minorHAnsi"/>
                <w:sz w:val="20"/>
                <w:szCs w:val="20"/>
              </w:rPr>
              <w:t>rbe</w:t>
            </w:r>
            <w:proofErr w:type="spellEnd"/>
            <w:r w:rsidR="007C69F4" w:rsidRPr="005F1809">
              <w:rPr>
                <w:rFonts w:asciiTheme="minorHAnsi" w:hAnsiTheme="minorHAnsi"/>
                <w:sz w:val="20"/>
                <w:szCs w:val="20"/>
              </w:rPr>
              <w:t xml:space="preserve">). In particular, why it does not expect these adverse events to occur given the pharmacological similarity between </w:t>
            </w:r>
            <w:proofErr w:type="spellStart"/>
            <w:r w:rsidR="007C69F4" w:rsidRPr="005F1809">
              <w:rPr>
                <w:rFonts w:asciiTheme="minorHAnsi" w:hAnsiTheme="minorHAnsi"/>
                <w:sz w:val="20"/>
                <w:szCs w:val="20"/>
              </w:rPr>
              <w:t>filgrastim</w:t>
            </w:r>
            <w:proofErr w:type="spellEnd"/>
            <w:r w:rsidR="007C69F4" w:rsidRPr="005F1809">
              <w:rPr>
                <w:rFonts w:asciiTheme="minorHAnsi" w:hAnsiTheme="minorHAnsi"/>
                <w:sz w:val="20"/>
                <w:szCs w:val="20"/>
              </w:rPr>
              <w:t xml:space="preserve"> (</w:t>
            </w:r>
            <w:proofErr w:type="spellStart"/>
            <w:r w:rsidR="007C69F4" w:rsidRPr="005F1809">
              <w:rPr>
                <w:rFonts w:asciiTheme="minorHAnsi" w:hAnsiTheme="minorHAnsi"/>
                <w:sz w:val="20"/>
                <w:szCs w:val="20"/>
              </w:rPr>
              <w:t>rbe</w:t>
            </w:r>
            <w:proofErr w:type="spellEnd"/>
            <w:r w:rsidR="007C69F4" w:rsidRPr="005F1809">
              <w:rPr>
                <w:rFonts w:asciiTheme="minorHAnsi" w:hAnsiTheme="minorHAnsi"/>
                <w:sz w:val="20"/>
                <w:szCs w:val="20"/>
              </w:rPr>
              <w:t xml:space="preserve">) and </w:t>
            </w:r>
            <w:proofErr w:type="spellStart"/>
            <w:r w:rsidR="007C69F4" w:rsidRPr="005F1809">
              <w:rPr>
                <w:rFonts w:asciiTheme="minorHAnsi" w:hAnsiTheme="minorHAnsi"/>
                <w:sz w:val="20"/>
                <w:szCs w:val="20"/>
              </w:rPr>
              <w:t>lipegfilgrastim</w:t>
            </w:r>
            <w:proofErr w:type="spellEnd"/>
            <w:r w:rsidR="007C69F4" w:rsidRPr="005F1809">
              <w:rPr>
                <w:rFonts w:asciiTheme="minorHAnsi" w:hAnsiTheme="minorHAnsi"/>
                <w:sz w:val="20"/>
                <w:szCs w:val="20"/>
              </w:rPr>
              <w:t xml:space="preserve"> (</w:t>
            </w:r>
            <w:proofErr w:type="spellStart"/>
            <w:r w:rsidR="007C69F4" w:rsidRPr="005F1809">
              <w:rPr>
                <w:rFonts w:asciiTheme="minorHAnsi" w:hAnsiTheme="minorHAnsi"/>
                <w:sz w:val="20"/>
                <w:szCs w:val="20"/>
              </w:rPr>
              <w:t>rbe</w:t>
            </w:r>
            <w:proofErr w:type="spellEnd"/>
            <w:r w:rsidR="007C69F4" w:rsidRPr="005F1809">
              <w:rPr>
                <w:rFonts w:asciiTheme="minorHAnsi" w:hAnsiTheme="minorHAnsi"/>
                <w:sz w:val="20"/>
                <w:szCs w:val="20"/>
              </w:rPr>
              <w:t>). Otherwise, they should be added to the list of safety concerns in the ASA</w:t>
            </w:r>
            <w:r w:rsidR="00B56A57">
              <w:rPr>
                <w:rFonts w:asciiTheme="minorHAnsi" w:hAnsiTheme="minorHAnsi"/>
                <w:sz w:val="20"/>
                <w:szCs w:val="20"/>
              </w:rPr>
              <w:t>:</w:t>
            </w:r>
          </w:p>
          <w:p w:rsidR="007C69F4" w:rsidRPr="005F1809" w:rsidRDefault="007C69F4" w:rsidP="005F1809">
            <w:pPr>
              <w:spacing w:before="0" w:after="0" w:line="240" w:lineRule="auto"/>
              <w:ind w:left="0" w:right="0"/>
              <w:rPr>
                <w:rFonts w:asciiTheme="minorHAnsi" w:hAnsiTheme="minorHAnsi"/>
                <w:sz w:val="20"/>
                <w:szCs w:val="20"/>
              </w:rPr>
            </w:pPr>
            <w:r w:rsidRPr="005F1809">
              <w:rPr>
                <w:rFonts w:asciiTheme="minorHAnsi" w:hAnsiTheme="minorHAnsi"/>
                <w:sz w:val="20"/>
                <w:szCs w:val="20"/>
              </w:rPr>
              <w:t>Immune system disorders: acute and chronic Graft versus Host Disease (</w:t>
            </w:r>
            <w:proofErr w:type="spellStart"/>
            <w:r w:rsidRPr="005F1809">
              <w:rPr>
                <w:rFonts w:asciiTheme="minorHAnsi" w:hAnsiTheme="minorHAnsi"/>
                <w:sz w:val="20"/>
                <w:szCs w:val="20"/>
              </w:rPr>
              <w:t>GvHD</w:t>
            </w:r>
            <w:proofErr w:type="spellEnd"/>
            <w:r w:rsidRPr="005F1809">
              <w:rPr>
                <w:rFonts w:asciiTheme="minorHAnsi" w:hAnsiTheme="minorHAnsi"/>
                <w:sz w:val="20"/>
                <w:szCs w:val="20"/>
              </w:rPr>
              <w:t>) including transformation to leukaemia or MDS;</w:t>
            </w:r>
          </w:p>
          <w:p w:rsidR="007C69F4" w:rsidRPr="005F1809" w:rsidRDefault="007C69F4" w:rsidP="005F1809">
            <w:pPr>
              <w:spacing w:before="0" w:after="0" w:line="240" w:lineRule="auto"/>
              <w:ind w:left="0" w:right="0"/>
              <w:rPr>
                <w:rFonts w:asciiTheme="minorHAnsi" w:hAnsiTheme="minorHAnsi"/>
                <w:sz w:val="20"/>
                <w:szCs w:val="20"/>
              </w:rPr>
            </w:pPr>
            <w:r w:rsidRPr="005F1809">
              <w:rPr>
                <w:rFonts w:asciiTheme="minorHAnsi" w:hAnsiTheme="minorHAnsi"/>
                <w:sz w:val="20"/>
                <w:szCs w:val="20"/>
              </w:rPr>
              <w:t>Haematological malignancy;</w:t>
            </w:r>
          </w:p>
          <w:p w:rsidR="007C69F4" w:rsidRPr="005F1809" w:rsidRDefault="007C69F4" w:rsidP="005F1809">
            <w:pPr>
              <w:spacing w:before="0" w:after="0" w:line="240" w:lineRule="auto"/>
              <w:ind w:left="0" w:right="0"/>
              <w:rPr>
                <w:rFonts w:asciiTheme="minorHAnsi" w:hAnsiTheme="minorHAnsi"/>
                <w:sz w:val="20"/>
                <w:szCs w:val="20"/>
              </w:rPr>
            </w:pPr>
            <w:r w:rsidRPr="005F1809">
              <w:rPr>
                <w:rFonts w:asciiTheme="minorHAnsi" w:hAnsiTheme="minorHAnsi"/>
                <w:sz w:val="20"/>
                <w:szCs w:val="20"/>
              </w:rPr>
              <w:lastRenderedPageBreak/>
              <w:t>Carcinogenicity;</w:t>
            </w:r>
            <w:r w:rsidR="009801DD" w:rsidRPr="005F1809">
              <w:rPr>
                <w:rFonts w:asciiTheme="minorHAnsi" w:hAnsiTheme="minorHAnsi"/>
                <w:sz w:val="20"/>
                <w:szCs w:val="20"/>
              </w:rPr>
              <w:t xml:space="preserve"> </w:t>
            </w:r>
            <w:r w:rsidRPr="005F1809">
              <w:rPr>
                <w:rFonts w:asciiTheme="minorHAnsi" w:hAnsiTheme="minorHAnsi"/>
                <w:sz w:val="20"/>
                <w:szCs w:val="20"/>
              </w:rPr>
              <w:t xml:space="preserve"> </w:t>
            </w:r>
          </w:p>
          <w:p w:rsidR="007C69F4" w:rsidRPr="005F1809" w:rsidRDefault="007C69F4" w:rsidP="005F1809">
            <w:pPr>
              <w:spacing w:before="0" w:after="0" w:line="240" w:lineRule="auto"/>
              <w:ind w:left="0" w:right="0"/>
              <w:rPr>
                <w:rFonts w:asciiTheme="minorHAnsi" w:hAnsiTheme="minorHAnsi"/>
                <w:sz w:val="20"/>
                <w:szCs w:val="20"/>
              </w:rPr>
            </w:pPr>
            <w:r w:rsidRPr="005F1809">
              <w:rPr>
                <w:rFonts w:asciiTheme="minorHAnsi" w:hAnsiTheme="minorHAnsi"/>
                <w:sz w:val="20"/>
                <w:szCs w:val="20"/>
              </w:rPr>
              <w:t>Exacerbation of rheumatoid arthritis; and</w:t>
            </w:r>
          </w:p>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Osteoporosis in severe chronic neutropenia patients. </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rsidR="007C69F4" w:rsidRPr="005F1809" w:rsidRDefault="007C69F4" w:rsidP="005F1809">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lastRenderedPageBreak/>
              <w:t xml:space="preserve">a. The applicant acknowledges that immune system disorders can be regarded as a risk in recipients of allogeneic peripheral blood progenitor stem cells (PBPC) mobilised with </w:t>
            </w:r>
            <w:proofErr w:type="spellStart"/>
            <w:r w:rsidRPr="005F1809">
              <w:rPr>
                <w:rFonts w:asciiTheme="minorHAnsi" w:hAnsiTheme="minorHAnsi"/>
                <w:i/>
                <w:sz w:val="20"/>
                <w:szCs w:val="20"/>
              </w:rPr>
              <w:t>filgrastim</w:t>
            </w:r>
            <w:proofErr w:type="spellEnd"/>
            <w:r w:rsidRPr="005F1809">
              <w:rPr>
                <w:rFonts w:asciiTheme="minorHAnsi" w:hAnsiTheme="minorHAnsi"/>
                <w:i/>
                <w:sz w:val="20"/>
                <w:szCs w:val="20"/>
              </w:rPr>
              <w:t>. Current data indicate that immunological interactions between the allogeneic PBPC graft and the recipient may be associated with an increased risk of acute and chronic Graft versus Host Disease (</w:t>
            </w:r>
            <w:proofErr w:type="spellStart"/>
            <w:r w:rsidRPr="005F1809">
              <w:rPr>
                <w:rFonts w:asciiTheme="minorHAnsi" w:hAnsiTheme="minorHAnsi"/>
                <w:i/>
                <w:sz w:val="20"/>
                <w:szCs w:val="20"/>
              </w:rPr>
              <w:t>GvHD</w:t>
            </w:r>
            <w:proofErr w:type="spellEnd"/>
            <w:r w:rsidRPr="005F1809">
              <w:rPr>
                <w:rFonts w:asciiTheme="minorHAnsi" w:hAnsiTheme="minorHAnsi"/>
                <w:i/>
                <w:sz w:val="20"/>
                <w:szCs w:val="20"/>
              </w:rPr>
              <w:t>) when compared with bone marrow transplantation</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 xml:space="preserve">This is relevant for </w:t>
            </w:r>
            <w:proofErr w:type="spellStart"/>
            <w:r w:rsidRPr="005F1809">
              <w:rPr>
                <w:rFonts w:asciiTheme="minorHAnsi" w:hAnsiTheme="minorHAnsi"/>
                <w:i/>
                <w:sz w:val="20"/>
                <w:szCs w:val="20"/>
              </w:rPr>
              <w:t>Filgrastim</w:t>
            </w:r>
            <w:proofErr w:type="spellEnd"/>
            <w:r w:rsidRPr="005F1809">
              <w:rPr>
                <w:rFonts w:asciiTheme="minorHAnsi" w:hAnsiTheme="minorHAnsi"/>
                <w:i/>
                <w:sz w:val="20"/>
                <w:szCs w:val="20"/>
              </w:rPr>
              <w:t xml:space="preserve"> (</w:t>
            </w:r>
            <w:proofErr w:type="spellStart"/>
            <w:r w:rsidRPr="005F1809">
              <w:rPr>
                <w:rFonts w:asciiTheme="minorHAnsi" w:hAnsiTheme="minorHAnsi"/>
                <w:i/>
                <w:sz w:val="20"/>
                <w:szCs w:val="20"/>
              </w:rPr>
              <w:t>rbe</w:t>
            </w:r>
            <w:proofErr w:type="spellEnd"/>
            <w:r w:rsidRPr="005F1809">
              <w:rPr>
                <w:rFonts w:asciiTheme="minorHAnsi" w:hAnsiTheme="minorHAnsi"/>
                <w:i/>
                <w:sz w:val="20"/>
                <w:szCs w:val="20"/>
              </w:rPr>
              <w:t>) since it is indicated for the mobilisation of peripheral blood progenitor cells, in normal volunteers, for use in allogeneic peripheral blood progenitor cell transplantation.</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 xml:space="preserve">However, the applicant does not seek </w:t>
            </w:r>
            <w:r w:rsidRPr="005F1809">
              <w:rPr>
                <w:rFonts w:asciiTheme="minorHAnsi" w:hAnsiTheme="minorHAnsi"/>
                <w:i/>
                <w:sz w:val="20"/>
                <w:szCs w:val="20"/>
              </w:rPr>
              <w:lastRenderedPageBreak/>
              <w:t xml:space="preserve">approval for </w:t>
            </w:r>
            <w:proofErr w:type="spellStart"/>
            <w:r w:rsidRPr="005F1809">
              <w:rPr>
                <w:rFonts w:asciiTheme="minorHAnsi" w:hAnsiTheme="minorHAnsi"/>
                <w:i/>
                <w:sz w:val="20"/>
                <w:szCs w:val="20"/>
              </w:rPr>
              <w:t>lipegfilgrastim</w:t>
            </w:r>
            <w:proofErr w:type="spellEnd"/>
            <w:r w:rsidRPr="005F1809">
              <w:rPr>
                <w:rFonts w:asciiTheme="minorHAnsi" w:hAnsiTheme="minorHAnsi"/>
                <w:i/>
                <w:sz w:val="20"/>
                <w:szCs w:val="20"/>
              </w:rPr>
              <w:t xml:space="preserve"> in this indication. </w:t>
            </w:r>
            <w:r w:rsidR="00F26F05" w:rsidRPr="005F1809">
              <w:rPr>
                <w:rFonts w:asciiTheme="minorHAnsi" w:hAnsiTheme="minorHAnsi"/>
                <w:i/>
                <w:sz w:val="20"/>
                <w:szCs w:val="20"/>
              </w:rPr>
              <w:t>‘</w:t>
            </w:r>
            <w:r w:rsidRPr="005F1809">
              <w:rPr>
                <w:rFonts w:asciiTheme="minorHAnsi" w:hAnsiTheme="minorHAnsi"/>
                <w:i/>
                <w:sz w:val="20"/>
                <w:szCs w:val="20"/>
              </w:rPr>
              <w:t>Risks in off-label use</w:t>
            </w:r>
            <w:r w:rsidR="00F26F05" w:rsidRPr="005F1809">
              <w:rPr>
                <w:rFonts w:asciiTheme="minorHAnsi" w:hAnsiTheme="minorHAnsi"/>
                <w:i/>
                <w:sz w:val="20"/>
                <w:szCs w:val="20"/>
              </w:rPr>
              <w:t>’</w:t>
            </w:r>
            <w:r w:rsidRPr="005F1809">
              <w:rPr>
                <w:rFonts w:asciiTheme="minorHAnsi" w:hAnsiTheme="minorHAnsi"/>
                <w:i/>
                <w:sz w:val="20"/>
                <w:szCs w:val="20"/>
              </w:rPr>
              <w:t xml:space="preserve"> are included in the </w:t>
            </w:r>
            <w:proofErr w:type="spellStart"/>
            <w:r w:rsidRPr="005F1809">
              <w:rPr>
                <w:rFonts w:asciiTheme="minorHAnsi" w:hAnsiTheme="minorHAnsi"/>
                <w:i/>
                <w:sz w:val="20"/>
                <w:szCs w:val="20"/>
              </w:rPr>
              <w:t>Lonquex</w:t>
            </w:r>
            <w:proofErr w:type="spellEnd"/>
            <w:r w:rsidRPr="005F1809">
              <w:rPr>
                <w:rFonts w:asciiTheme="minorHAnsi" w:hAnsiTheme="minorHAnsi"/>
                <w:i/>
                <w:sz w:val="20"/>
                <w:szCs w:val="20"/>
              </w:rPr>
              <w:t xml:space="preserve"> RMP as an important potential risk. However, as per current guidelines the RMP should not explicitly list individual risks that can be connected with off-label use.</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b. As far as the applicant aware this risk is only a</w:t>
            </w:r>
            <w:r w:rsidR="00F50157">
              <w:rPr>
                <w:rFonts w:asciiTheme="minorHAnsi" w:eastAsiaTheme="minorHAnsi" w:hAnsiTheme="minorHAnsi"/>
                <w:i/>
                <w:sz w:val="20"/>
                <w:szCs w:val="20"/>
              </w:rPr>
              <w:t>p</w:t>
            </w:r>
            <w:r w:rsidRPr="005F1809">
              <w:rPr>
                <w:rFonts w:asciiTheme="minorHAnsi" w:eastAsiaTheme="minorHAnsi" w:hAnsiTheme="minorHAnsi"/>
                <w:i/>
                <w:sz w:val="20"/>
                <w:szCs w:val="20"/>
              </w:rPr>
              <w:t>plicable in connection with use in severe chronic neutropenia patients or in in normal donors. This is reflected in the following safety concern wordings:</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cs="SymbolMT"/>
                <w:i/>
                <w:sz w:val="20"/>
                <w:szCs w:val="20"/>
              </w:rPr>
              <w:t xml:space="preserve">•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Malignant cell growth (haematological malignancy and myelodysplastic syndrome) in patients with severe chronic neutropenia.</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 </w:t>
            </w:r>
            <w:proofErr w:type="spellStart"/>
            <w:r w:rsidRPr="005F1809">
              <w:rPr>
                <w:rFonts w:asciiTheme="minorHAnsi" w:eastAsiaTheme="minorHAnsi" w:hAnsiTheme="minorHAnsi"/>
                <w:i/>
                <w:sz w:val="20"/>
                <w:szCs w:val="20"/>
              </w:rPr>
              <w:t>AusPAR</w:t>
            </w:r>
            <w:proofErr w:type="spellEnd"/>
            <w:r w:rsidRPr="005F1809">
              <w:rPr>
                <w:rFonts w:asciiTheme="minorHAnsi" w:eastAsiaTheme="minorHAnsi" w:hAnsiTheme="minorHAnsi"/>
                <w:i/>
                <w:sz w:val="20"/>
                <w:szCs w:val="20"/>
              </w:rPr>
              <w:t xml:space="preserve">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w:t>
            </w:r>
            <w:proofErr w:type="spellStart"/>
            <w:r w:rsidRPr="005F1809">
              <w:rPr>
                <w:rFonts w:asciiTheme="minorHAnsi" w:eastAsiaTheme="minorHAnsi" w:hAnsiTheme="minorHAnsi"/>
                <w:i/>
                <w:sz w:val="20"/>
                <w:szCs w:val="20"/>
              </w:rPr>
              <w:t>Nivestim</w:t>
            </w:r>
            <w:proofErr w:type="spellEnd"/>
            <w:r w:rsidRPr="005F1809">
              <w:rPr>
                <w:rFonts w:asciiTheme="minorHAnsi" w:eastAsiaTheme="minorHAnsi" w:hAnsiTheme="minorHAnsi"/>
                <w:i/>
                <w:sz w:val="20"/>
                <w:szCs w:val="20"/>
              </w:rPr>
              <w:t>, January 2011, page 55)</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cs="SymbolMT"/>
                <w:i/>
                <w:sz w:val="20"/>
                <w:szCs w:val="20"/>
              </w:rPr>
              <w:t xml:space="preserve">•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Haematological and lymphoid malignancy in normal donors</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w:t>
            </w:r>
            <w:proofErr w:type="spellStart"/>
            <w:r w:rsidRPr="005F1809">
              <w:rPr>
                <w:rFonts w:asciiTheme="minorHAnsi" w:eastAsiaTheme="minorHAnsi" w:hAnsiTheme="minorHAnsi"/>
                <w:i/>
                <w:sz w:val="20"/>
                <w:szCs w:val="20"/>
              </w:rPr>
              <w:t>AusPAR</w:t>
            </w:r>
            <w:proofErr w:type="spellEnd"/>
            <w:r w:rsidRPr="005F1809">
              <w:rPr>
                <w:rFonts w:asciiTheme="minorHAnsi" w:eastAsiaTheme="minorHAnsi" w:hAnsiTheme="minorHAnsi"/>
                <w:i/>
                <w:sz w:val="20"/>
                <w:szCs w:val="20"/>
              </w:rPr>
              <w:t xml:space="preserve">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w:t>
            </w:r>
            <w:proofErr w:type="spellStart"/>
            <w:r w:rsidRPr="005F1809">
              <w:rPr>
                <w:rFonts w:asciiTheme="minorHAnsi" w:eastAsiaTheme="minorHAnsi" w:hAnsiTheme="minorHAnsi"/>
                <w:i/>
                <w:sz w:val="20"/>
                <w:szCs w:val="20"/>
              </w:rPr>
              <w:t>Zarzio</w:t>
            </w:r>
            <w:proofErr w:type="spellEnd"/>
            <w:r w:rsidRPr="005F1809">
              <w:rPr>
                <w:rFonts w:asciiTheme="minorHAnsi" w:eastAsiaTheme="minorHAnsi" w:hAnsiTheme="minorHAnsi"/>
                <w:i/>
                <w:sz w:val="20"/>
                <w:szCs w:val="20"/>
              </w:rPr>
              <w:t>, October 2013, page 24)</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This is relevant for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 xml:space="preserve"> (</w:t>
            </w:r>
            <w:proofErr w:type="spellStart"/>
            <w:r w:rsidRPr="005F1809">
              <w:rPr>
                <w:rFonts w:asciiTheme="minorHAnsi" w:eastAsiaTheme="minorHAnsi" w:hAnsiTheme="minorHAnsi"/>
                <w:i/>
                <w:sz w:val="20"/>
                <w:szCs w:val="20"/>
              </w:rPr>
              <w:t>rbe</w:t>
            </w:r>
            <w:proofErr w:type="spellEnd"/>
            <w:r w:rsidRPr="005F1809">
              <w:rPr>
                <w:rFonts w:asciiTheme="minorHAnsi" w:eastAsiaTheme="minorHAnsi" w:hAnsiTheme="minorHAnsi"/>
                <w:i/>
                <w:sz w:val="20"/>
                <w:szCs w:val="20"/>
              </w:rPr>
              <w:t>) since it´s approved indication includes</w:t>
            </w:r>
            <w:r w:rsidR="00F50157">
              <w:rPr>
                <w:rFonts w:asciiTheme="minorHAnsi" w:eastAsiaTheme="minorHAnsi" w:hAnsiTheme="minorHAnsi"/>
                <w:i/>
                <w:sz w:val="20"/>
                <w:szCs w:val="20"/>
              </w:rPr>
              <w:t xml:space="preserve"> </w:t>
            </w:r>
            <w:r w:rsidRPr="005F1809">
              <w:rPr>
                <w:rFonts w:asciiTheme="minorHAnsi" w:eastAsiaTheme="minorHAnsi" w:hAnsiTheme="minorHAnsi"/>
                <w:i/>
                <w:sz w:val="20"/>
                <w:szCs w:val="20"/>
              </w:rPr>
              <w:t>- the mobilisation of peripheral blood progenitor cells, in normal volunteers, for use in allogeneic peripheral blood progenitor cell transplantation.</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 </w:t>
            </w:r>
            <w:proofErr w:type="gramStart"/>
            <w:r w:rsidRPr="005F1809">
              <w:rPr>
                <w:rFonts w:asciiTheme="minorHAnsi" w:eastAsiaTheme="minorHAnsi" w:hAnsiTheme="minorHAnsi"/>
                <w:i/>
                <w:sz w:val="20"/>
                <w:szCs w:val="20"/>
              </w:rPr>
              <w:t>chronic</w:t>
            </w:r>
            <w:proofErr w:type="gramEnd"/>
            <w:r w:rsidRPr="005F1809">
              <w:rPr>
                <w:rFonts w:asciiTheme="minorHAnsi" w:eastAsiaTheme="minorHAnsi" w:hAnsiTheme="minorHAnsi"/>
                <w:i/>
                <w:sz w:val="20"/>
                <w:szCs w:val="20"/>
              </w:rPr>
              <w:t xml:space="preserve"> administration to increase neutrophil counts and to reduce the incidence and duration of infections in patients with severe chronic neutropenia.</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However, the applicant does not seek approval for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xml:space="preserve"> in these indications.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Risks in off-label use</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are included in the </w:t>
            </w:r>
            <w:proofErr w:type="spellStart"/>
            <w:r w:rsidRPr="005F1809">
              <w:rPr>
                <w:rFonts w:asciiTheme="minorHAnsi" w:eastAsiaTheme="minorHAnsi" w:hAnsiTheme="minorHAnsi"/>
                <w:i/>
                <w:sz w:val="20"/>
                <w:szCs w:val="20"/>
              </w:rPr>
              <w:t>Lonquex</w:t>
            </w:r>
            <w:proofErr w:type="spellEnd"/>
            <w:r w:rsidRPr="005F1809">
              <w:rPr>
                <w:rFonts w:asciiTheme="minorHAnsi" w:eastAsiaTheme="minorHAnsi" w:hAnsiTheme="minorHAnsi"/>
                <w:i/>
                <w:sz w:val="20"/>
                <w:szCs w:val="20"/>
              </w:rPr>
              <w:t xml:space="preserve"> RMP as an important potential risk. However, as per current guidelines the RMP should not explicitly list individual risks that can be connected with off-label use.</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c. The applicant is not aware of carcinogenicity as being as safety concern of any G-CSF.</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Carcinogenicity studies with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xml:space="preserve"> were not performed as there is no evidence for a genotoxic effect of these cytokines. There is no indication for a potential carcinogenicity of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xml:space="preserve"> from chronic toxicity studies.</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d. Exacerbation of rheumatoid </w:t>
            </w:r>
            <w:r w:rsidRPr="005F1809">
              <w:rPr>
                <w:rFonts w:asciiTheme="minorHAnsi" w:eastAsiaTheme="minorHAnsi" w:hAnsiTheme="minorHAnsi"/>
                <w:i/>
                <w:sz w:val="20"/>
                <w:szCs w:val="20"/>
              </w:rPr>
              <w:lastRenderedPageBreak/>
              <w:t xml:space="preserve">arthritis was not observed in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xml:space="preserve"> studies. In clinical </w:t>
            </w:r>
            <w:r w:rsidR="00F50157">
              <w:rPr>
                <w:rFonts w:asciiTheme="minorHAnsi" w:eastAsiaTheme="minorHAnsi" w:hAnsiTheme="minorHAnsi"/>
                <w:i/>
                <w:sz w:val="20"/>
                <w:szCs w:val="20"/>
              </w:rPr>
              <w:t>S</w:t>
            </w:r>
            <w:r w:rsidRPr="005F1809">
              <w:rPr>
                <w:rFonts w:asciiTheme="minorHAnsi" w:eastAsiaTheme="minorHAnsi" w:hAnsiTheme="minorHAnsi"/>
                <w:i/>
                <w:sz w:val="20"/>
                <w:szCs w:val="20"/>
              </w:rPr>
              <w:t xml:space="preserve">tudies XM22-02, XM22-03 and XM22-04 no cases of </w:t>
            </w:r>
            <w:proofErr w:type="spellStart"/>
            <w:r w:rsidRPr="005F1809">
              <w:rPr>
                <w:rFonts w:asciiTheme="minorHAnsi" w:eastAsiaTheme="minorHAnsi" w:hAnsiTheme="minorHAnsi"/>
                <w:i/>
                <w:sz w:val="20"/>
                <w:szCs w:val="20"/>
              </w:rPr>
              <w:t>MedDRA</w:t>
            </w:r>
            <w:proofErr w:type="spellEnd"/>
            <w:r w:rsidRPr="005F1809">
              <w:rPr>
                <w:rFonts w:asciiTheme="minorHAnsi" w:eastAsiaTheme="minorHAnsi" w:hAnsiTheme="minorHAnsi"/>
                <w:i/>
                <w:sz w:val="20"/>
                <w:szCs w:val="20"/>
              </w:rPr>
              <w:t xml:space="preserve"> PT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rheumatoid arthritis</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(includes, amongst others, the LLTs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progression of rheumatoid arthritis</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rheumatoid arthritis aggravated</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or </w:t>
            </w:r>
            <w:proofErr w:type="spellStart"/>
            <w:r w:rsidRPr="005F1809">
              <w:rPr>
                <w:rFonts w:asciiTheme="minorHAnsi" w:eastAsiaTheme="minorHAnsi" w:hAnsiTheme="minorHAnsi"/>
                <w:i/>
                <w:sz w:val="20"/>
                <w:szCs w:val="20"/>
              </w:rPr>
              <w:t>MedDRA</w:t>
            </w:r>
            <w:proofErr w:type="spellEnd"/>
            <w:r w:rsidRPr="005F1809">
              <w:rPr>
                <w:rFonts w:asciiTheme="minorHAnsi" w:eastAsiaTheme="minorHAnsi" w:hAnsiTheme="minorHAnsi"/>
                <w:i/>
                <w:sz w:val="20"/>
                <w:szCs w:val="20"/>
              </w:rPr>
              <w:t xml:space="preserve"> PT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juvenile idiopathic arthritis</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(includes, amongst others, the LLTs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juvenile arthritis aggravated</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juvenile idiopathic arthritis aggravated</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have been seen.</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Exacerbation of rheumatoid arthritis does not appear in the </w:t>
            </w:r>
            <w:proofErr w:type="spellStart"/>
            <w:r w:rsidRPr="005F1809">
              <w:rPr>
                <w:rFonts w:asciiTheme="minorHAnsi" w:eastAsiaTheme="minorHAnsi" w:hAnsiTheme="minorHAnsi"/>
                <w:i/>
                <w:sz w:val="20"/>
                <w:szCs w:val="20"/>
              </w:rPr>
              <w:t>Neulasta</w:t>
            </w:r>
            <w:proofErr w:type="spellEnd"/>
            <w:r w:rsidRPr="005F1809">
              <w:rPr>
                <w:rFonts w:asciiTheme="minorHAnsi" w:eastAsiaTheme="minorHAnsi" w:hAnsiTheme="minorHAnsi"/>
                <w:i/>
                <w:sz w:val="20"/>
                <w:szCs w:val="20"/>
              </w:rPr>
              <w:t xml:space="preserve"> (</w:t>
            </w:r>
            <w:proofErr w:type="spellStart"/>
            <w:r w:rsidRPr="005F1809">
              <w:rPr>
                <w:rFonts w:asciiTheme="minorHAnsi" w:eastAsiaTheme="minorHAnsi" w:hAnsiTheme="minorHAnsi"/>
                <w:i/>
                <w:sz w:val="20"/>
                <w:szCs w:val="20"/>
              </w:rPr>
              <w:t>Pegfilgrastim</w:t>
            </w:r>
            <w:proofErr w:type="spellEnd"/>
            <w:r w:rsidRPr="005F1809">
              <w:rPr>
                <w:rFonts w:asciiTheme="minorHAnsi" w:eastAsiaTheme="minorHAnsi" w:hAnsiTheme="minorHAnsi"/>
                <w:i/>
                <w:sz w:val="20"/>
                <w:szCs w:val="20"/>
              </w:rPr>
              <w:t xml:space="preserve">) European </w:t>
            </w:r>
            <w:proofErr w:type="spellStart"/>
            <w:r w:rsidRPr="005F1809">
              <w:rPr>
                <w:rFonts w:asciiTheme="minorHAnsi" w:eastAsiaTheme="minorHAnsi" w:hAnsiTheme="minorHAnsi"/>
                <w:i/>
                <w:sz w:val="20"/>
                <w:szCs w:val="20"/>
              </w:rPr>
              <w:t>SmPC</w:t>
            </w:r>
            <w:proofErr w:type="spellEnd"/>
            <w:r w:rsidRPr="005F1809">
              <w:rPr>
                <w:rFonts w:asciiTheme="minorHAnsi" w:eastAsiaTheme="minorHAnsi" w:hAnsiTheme="minorHAnsi"/>
                <w:i/>
                <w:sz w:val="20"/>
                <w:szCs w:val="20"/>
              </w:rPr>
              <w:t>.</w:t>
            </w:r>
          </w:p>
          <w:p w:rsidR="007C69F4" w:rsidRPr="005F1809" w:rsidRDefault="007C69F4" w:rsidP="005F1809">
            <w:pPr>
              <w:spacing w:before="0" w:after="0" w:line="240" w:lineRule="auto"/>
              <w:ind w:left="0" w:right="0"/>
              <w:rPr>
                <w:rFonts w:asciiTheme="minorHAnsi" w:eastAsiaTheme="minorHAnsi" w:hAnsiTheme="minorHAnsi"/>
                <w:i/>
                <w:sz w:val="20"/>
                <w:szCs w:val="20"/>
              </w:rPr>
            </w:pPr>
            <w:r w:rsidRPr="005F1809">
              <w:rPr>
                <w:rFonts w:asciiTheme="minorHAnsi" w:eastAsiaTheme="minorHAnsi" w:hAnsiTheme="minorHAnsi"/>
                <w:i/>
                <w:sz w:val="20"/>
                <w:szCs w:val="20"/>
              </w:rPr>
              <w:t xml:space="preserve">The reports concerning cases of exacerbation of rheumatoid arthritis following G-CSF therapy refer to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 given to rheumatoid arthriti</w:t>
            </w:r>
            <w:r w:rsidR="00F50157">
              <w:rPr>
                <w:rFonts w:asciiTheme="minorHAnsi" w:eastAsiaTheme="minorHAnsi" w:hAnsiTheme="minorHAnsi"/>
                <w:i/>
                <w:sz w:val="20"/>
                <w:szCs w:val="20"/>
              </w:rPr>
              <w:t>s patients for stem cell mobilis</w:t>
            </w:r>
            <w:r w:rsidRPr="005F1809">
              <w:rPr>
                <w:rFonts w:asciiTheme="minorHAnsi" w:eastAsiaTheme="minorHAnsi" w:hAnsiTheme="minorHAnsi"/>
                <w:i/>
                <w:sz w:val="20"/>
                <w:szCs w:val="20"/>
              </w:rPr>
              <w:t xml:space="preserve">ation as a preparation for autologous </w:t>
            </w:r>
            <w:proofErr w:type="spellStart"/>
            <w:r w:rsidRPr="005F1809">
              <w:rPr>
                <w:rFonts w:asciiTheme="minorHAnsi" w:eastAsiaTheme="minorHAnsi" w:hAnsiTheme="minorHAnsi"/>
                <w:i/>
                <w:sz w:val="20"/>
                <w:szCs w:val="20"/>
              </w:rPr>
              <w:t>haemopoietic</w:t>
            </w:r>
            <w:proofErr w:type="spellEnd"/>
            <w:r w:rsidRPr="005F1809">
              <w:rPr>
                <w:rFonts w:asciiTheme="minorHAnsi" w:eastAsiaTheme="minorHAnsi" w:hAnsiTheme="minorHAnsi"/>
                <w:i/>
                <w:sz w:val="20"/>
                <w:szCs w:val="20"/>
              </w:rPr>
              <w:t xml:space="preserve"> stem cell transplantation</w:t>
            </w:r>
            <w:r w:rsidR="00F653F4">
              <w:rPr>
                <w:rFonts w:asciiTheme="minorHAnsi" w:eastAsiaTheme="minorHAnsi" w:hAnsiTheme="minorHAnsi"/>
                <w:i/>
                <w:sz w:val="20"/>
                <w:szCs w:val="20"/>
              </w:rPr>
              <w:t>.</w:t>
            </w:r>
            <w:r w:rsidR="00F653F4">
              <w:rPr>
                <w:rStyle w:val="FootnoteReference"/>
                <w:rFonts w:asciiTheme="minorHAnsi" w:eastAsiaTheme="minorHAnsi" w:hAnsiTheme="minorHAnsi"/>
                <w:i/>
                <w:sz w:val="20"/>
                <w:szCs w:val="20"/>
              </w:rPr>
              <w:footnoteReference w:id="5"/>
            </w:r>
            <w:r w:rsidRPr="005F1809">
              <w:rPr>
                <w:rFonts w:asciiTheme="minorHAnsi" w:eastAsiaTheme="minorHAnsi" w:hAnsiTheme="minorHAnsi"/>
                <w:i/>
                <w:sz w:val="20"/>
                <w:szCs w:val="20"/>
              </w:rPr>
              <w:t xml:space="preserve"> The population in this report (non-cancer patients) is different than that of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as is the indication (stem cell mobili</w:t>
            </w:r>
            <w:r w:rsidR="00F50157">
              <w:rPr>
                <w:rFonts w:asciiTheme="minorHAnsi" w:eastAsiaTheme="minorHAnsi" w:hAnsiTheme="minorHAnsi"/>
                <w:i/>
                <w:sz w:val="20"/>
                <w:szCs w:val="20"/>
              </w:rPr>
              <w:t>s</w:t>
            </w:r>
            <w:r w:rsidRPr="005F1809">
              <w:rPr>
                <w:rFonts w:asciiTheme="minorHAnsi" w:eastAsiaTheme="minorHAnsi" w:hAnsiTheme="minorHAnsi"/>
                <w:i/>
                <w:sz w:val="20"/>
                <w:szCs w:val="20"/>
              </w:rPr>
              <w:t>ation) which is not labe</w:t>
            </w:r>
            <w:r w:rsidR="00F50157">
              <w:rPr>
                <w:rFonts w:asciiTheme="minorHAnsi" w:eastAsiaTheme="minorHAnsi" w:hAnsiTheme="minorHAnsi"/>
                <w:i/>
                <w:sz w:val="20"/>
                <w:szCs w:val="20"/>
              </w:rPr>
              <w:t>l</w:t>
            </w:r>
            <w:r w:rsidRPr="005F1809">
              <w:rPr>
                <w:rFonts w:asciiTheme="minorHAnsi" w:eastAsiaTheme="minorHAnsi" w:hAnsiTheme="minorHAnsi"/>
                <w:i/>
                <w:sz w:val="20"/>
                <w:szCs w:val="20"/>
              </w:rPr>
              <w:t xml:space="preserve">led for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xml:space="preserve">. Therefore, the applicant regards that risk as non-relevant to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and do not see it necessary to include it within its list of safety concerns.</w:t>
            </w:r>
          </w:p>
          <w:p w:rsidR="007C69F4" w:rsidRPr="005F1809" w:rsidRDefault="007C69F4" w:rsidP="00F50157">
            <w:pPr>
              <w:spacing w:before="0" w:after="0" w:line="240" w:lineRule="auto"/>
              <w:ind w:left="0" w:right="0"/>
              <w:rPr>
                <w:rFonts w:asciiTheme="minorHAnsi" w:eastAsia="MS Mincho" w:hAnsiTheme="minorHAnsi"/>
                <w:i/>
                <w:sz w:val="20"/>
                <w:szCs w:val="20"/>
                <w:highlight w:val="yellow"/>
              </w:rPr>
            </w:pPr>
            <w:r w:rsidRPr="005F1809">
              <w:rPr>
                <w:rFonts w:asciiTheme="minorHAnsi" w:eastAsiaTheme="minorHAnsi" w:hAnsiTheme="minorHAnsi"/>
                <w:i/>
                <w:sz w:val="20"/>
                <w:szCs w:val="20"/>
              </w:rPr>
              <w:t xml:space="preserve">e. Cases of decreased bone density and osteoporosis have been reported commonly in children with Severe Chronic Neutropenia (SCN) receiving chronic treatment with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 xml:space="preserve">. Decreased bone mineral density has been attributed primarily to the underlying disease. However, chronic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 xml:space="preserve"> treatment may further accelerate bone loss.</w:t>
            </w:r>
            <w:r w:rsidR="00F50157">
              <w:rPr>
                <w:rFonts w:asciiTheme="minorHAnsi" w:eastAsiaTheme="minorHAnsi" w:hAnsiTheme="minorHAnsi"/>
                <w:i/>
                <w:sz w:val="20"/>
                <w:szCs w:val="20"/>
              </w:rPr>
              <w:t xml:space="preserve"> </w:t>
            </w:r>
            <w:r w:rsidRPr="005F1809">
              <w:rPr>
                <w:rFonts w:asciiTheme="minorHAnsi" w:eastAsiaTheme="minorHAnsi" w:hAnsiTheme="minorHAnsi"/>
                <w:i/>
                <w:sz w:val="20"/>
                <w:szCs w:val="20"/>
              </w:rPr>
              <w:t xml:space="preserve">This is relevant for </w:t>
            </w:r>
            <w:proofErr w:type="spellStart"/>
            <w:r w:rsidRPr="005F1809">
              <w:rPr>
                <w:rFonts w:asciiTheme="minorHAnsi" w:eastAsiaTheme="minorHAnsi" w:hAnsiTheme="minorHAnsi"/>
                <w:i/>
                <w:sz w:val="20"/>
                <w:szCs w:val="20"/>
              </w:rPr>
              <w:t>filgrastim</w:t>
            </w:r>
            <w:proofErr w:type="spellEnd"/>
            <w:r w:rsidRPr="005F1809">
              <w:rPr>
                <w:rFonts w:asciiTheme="minorHAnsi" w:eastAsiaTheme="minorHAnsi" w:hAnsiTheme="minorHAnsi"/>
                <w:i/>
                <w:sz w:val="20"/>
                <w:szCs w:val="20"/>
              </w:rPr>
              <w:t xml:space="preserve"> (</w:t>
            </w:r>
            <w:proofErr w:type="spellStart"/>
            <w:r w:rsidRPr="005F1809">
              <w:rPr>
                <w:rFonts w:asciiTheme="minorHAnsi" w:eastAsiaTheme="minorHAnsi" w:hAnsiTheme="minorHAnsi"/>
                <w:i/>
                <w:sz w:val="20"/>
                <w:szCs w:val="20"/>
              </w:rPr>
              <w:t>rbe</w:t>
            </w:r>
            <w:proofErr w:type="spellEnd"/>
            <w:r w:rsidRPr="005F1809">
              <w:rPr>
                <w:rFonts w:asciiTheme="minorHAnsi" w:eastAsiaTheme="minorHAnsi" w:hAnsiTheme="minorHAnsi"/>
                <w:i/>
                <w:sz w:val="20"/>
                <w:szCs w:val="20"/>
              </w:rPr>
              <w:t>) since it is indicated for chronic administration to increase neutrophil counts and to reduce the incidence and duration of infections in patients with SCN.</w:t>
            </w:r>
            <w:r w:rsidR="00F50157">
              <w:rPr>
                <w:rFonts w:asciiTheme="minorHAnsi" w:eastAsiaTheme="minorHAnsi" w:hAnsiTheme="minorHAnsi"/>
                <w:i/>
                <w:sz w:val="20"/>
                <w:szCs w:val="20"/>
              </w:rPr>
              <w:t xml:space="preserve"> </w:t>
            </w:r>
            <w:r w:rsidRPr="005F1809">
              <w:rPr>
                <w:rFonts w:asciiTheme="minorHAnsi" w:eastAsiaTheme="minorHAnsi" w:hAnsiTheme="minorHAnsi"/>
                <w:i/>
                <w:sz w:val="20"/>
                <w:szCs w:val="20"/>
              </w:rPr>
              <w:t xml:space="preserve">However, the applicant does not seek approval for </w:t>
            </w:r>
            <w:proofErr w:type="spellStart"/>
            <w:r w:rsidRPr="005F1809">
              <w:rPr>
                <w:rFonts w:asciiTheme="minorHAnsi" w:eastAsiaTheme="minorHAnsi" w:hAnsiTheme="minorHAnsi"/>
                <w:i/>
                <w:sz w:val="20"/>
                <w:szCs w:val="20"/>
              </w:rPr>
              <w:t>lipegfilgrastim</w:t>
            </w:r>
            <w:proofErr w:type="spellEnd"/>
            <w:r w:rsidRPr="005F1809">
              <w:rPr>
                <w:rFonts w:asciiTheme="minorHAnsi" w:eastAsiaTheme="minorHAnsi" w:hAnsiTheme="minorHAnsi"/>
                <w:i/>
                <w:sz w:val="20"/>
                <w:szCs w:val="20"/>
              </w:rPr>
              <w:t xml:space="preserve"> in this indication. </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Risks in off-label use</w:t>
            </w:r>
            <w:r w:rsidR="00F26F05" w:rsidRPr="005F1809">
              <w:rPr>
                <w:rFonts w:asciiTheme="minorHAnsi" w:eastAsiaTheme="minorHAnsi" w:hAnsiTheme="minorHAnsi"/>
                <w:i/>
                <w:sz w:val="20"/>
                <w:szCs w:val="20"/>
              </w:rPr>
              <w:t>’</w:t>
            </w:r>
            <w:r w:rsidRPr="005F1809">
              <w:rPr>
                <w:rFonts w:asciiTheme="minorHAnsi" w:eastAsiaTheme="minorHAnsi" w:hAnsiTheme="minorHAnsi"/>
                <w:i/>
                <w:sz w:val="20"/>
                <w:szCs w:val="20"/>
              </w:rPr>
              <w:t xml:space="preserve"> are included in the </w:t>
            </w:r>
            <w:proofErr w:type="spellStart"/>
            <w:r w:rsidRPr="005F1809">
              <w:rPr>
                <w:rFonts w:asciiTheme="minorHAnsi" w:eastAsiaTheme="minorHAnsi" w:hAnsiTheme="minorHAnsi"/>
                <w:i/>
                <w:sz w:val="20"/>
                <w:szCs w:val="20"/>
              </w:rPr>
              <w:t>Lonquex</w:t>
            </w:r>
            <w:proofErr w:type="spellEnd"/>
            <w:r w:rsidRPr="005F1809">
              <w:rPr>
                <w:rFonts w:asciiTheme="minorHAnsi" w:eastAsiaTheme="minorHAnsi" w:hAnsiTheme="minorHAnsi"/>
                <w:i/>
                <w:sz w:val="20"/>
                <w:szCs w:val="20"/>
              </w:rPr>
              <w:t xml:space="preserve"> RMP as an important potential risk. However, </w:t>
            </w:r>
            <w:r w:rsidRPr="005F1809">
              <w:rPr>
                <w:rFonts w:asciiTheme="minorHAnsi" w:eastAsiaTheme="minorHAnsi" w:hAnsiTheme="minorHAnsi"/>
                <w:i/>
                <w:sz w:val="20"/>
                <w:szCs w:val="20"/>
              </w:rPr>
              <w:lastRenderedPageBreak/>
              <w:t>as per current guidelines the RMP should not explicitly list individual risks that can be connected with off-label use.</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lastRenderedPageBreak/>
              <w:t>The sponsor’s response is acceptable. If future application to extend the indication is sought, risks relevant to the indications should be included in the RMP.</w:t>
            </w:r>
            <w:r w:rsidR="009801DD" w:rsidRPr="005F1809">
              <w:rPr>
                <w:rFonts w:asciiTheme="minorHAnsi" w:hAnsiTheme="minorHAnsi"/>
                <w:sz w:val="20"/>
                <w:szCs w:val="20"/>
              </w:rPr>
              <w:t xml:space="preserve"> </w:t>
            </w:r>
            <w:r w:rsidRPr="005F1809">
              <w:rPr>
                <w:rFonts w:asciiTheme="minorHAnsi" w:hAnsiTheme="minorHAnsi"/>
                <w:sz w:val="20"/>
                <w:szCs w:val="20"/>
              </w:rPr>
              <w:t xml:space="preserve"> </w:t>
            </w:r>
          </w:p>
        </w:tc>
      </w:tr>
      <w:tr w:rsidR="007C69F4" w:rsidTr="00B12A95">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3F6741" w:rsidP="005F1809">
            <w:pPr>
              <w:spacing w:before="0" w:after="0" w:line="240" w:lineRule="auto"/>
              <w:ind w:left="0" w:right="0"/>
              <w:rPr>
                <w:rFonts w:asciiTheme="minorHAnsi" w:eastAsia="MS Mincho" w:hAnsiTheme="minorHAnsi"/>
                <w:sz w:val="20"/>
                <w:szCs w:val="20"/>
              </w:rPr>
            </w:pPr>
            <w:r>
              <w:rPr>
                <w:rFonts w:asciiTheme="minorHAnsi" w:hAnsiTheme="minorHAnsi"/>
                <w:sz w:val="20"/>
                <w:szCs w:val="20"/>
              </w:rPr>
              <w:lastRenderedPageBreak/>
              <w:t xml:space="preserve">4. </w:t>
            </w:r>
            <w:r w:rsidR="007C69F4" w:rsidRPr="005F1809">
              <w:rPr>
                <w:rFonts w:asciiTheme="minorHAnsi" w:hAnsiTheme="minorHAnsi"/>
                <w:sz w:val="20"/>
                <w:szCs w:val="20"/>
              </w:rPr>
              <w:t xml:space="preserve">Study XM22-07 is an open-label study to assess the pharmacokinetics, pharmacodynamics, efficacy, safety, tolerability and immunogenicity of </w:t>
            </w:r>
            <w:proofErr w:type="spellStart"/>
            <w:r w:rsidR="007C69F4" w:rsidRPr="005F1809">
              <w:rPr>
                <w:rFonts w:asciiTheme="minorHAnsi" w:hAnsiTheme="minorHAnsi"/>
                <w:sz w:val="20"/>
                <w:szCs w:val="20"/>
              </w:rPr>
              <w:t>lipegfilgrastim</w:t>
            </w:r>
            <w:proofErr w:type="spellEnd"/>
            <w:r w:rsidR="007C69F4" w:rsidRPr="005F1809">
              <w:rPr>
                <w:rFonts w:asciiTheme="minorHAnsi" w:hAnsiTheme="minorHAnsi"/>
                <w:sz w:val="20"/>
                <w:szCs w:val="20"/>
              </w:rPr>
              <w:t xml:space="preserve"> (</w:t>
            </w:r>
            <w:proofErr w:type="spellStart"/>
            <w:r w:rsidR="007C69F4" w:rsidRPr="005F1809">
              <w:rPr>
                <w:rFonts w:asciiTheme="minorHAnsi" w:hAnsiTheme="minorHAnsi"/>
                <w:sz w:val="20"/>
                <w:szCs w:val="20"/>
              </w:rPr>
              <w:t>rbe</w:t>
            </w:r>
            <w:proofErr w:type="spellEnd"/>
            <w:r w:rsidR="007C69F4" w:rsidRPr="005F1809">
              <w:rPr>
                <w:rFonts w:asciiTheme="minorHAnsi" w:hAnsiTheme="minorHAnsi"/>
                <w:sz w:val="20"/>
                <w:szCs w:val="20"/>
              </w:rPr>
              <w:t>) in children with Ewing Family of Tumour or rhabdomyosarcoma. Final data was scheduled to be submitted in October 2014. The sponsor should provide a brief update on significant safety findings from this study.</w:t>
            </w:r>
            <w:r w:rsidR="009801DD" w:rsidRPr="005F1809">
              <w:rPr>
                <w:rFonts w:asciiTheme="minorHAnsi" w:hAnsiTheme="minorHAnsi"/>
                <w:sz w:val="20"/>
                <w:szCs w:val="20"/>
              </w:rPr>
              <w:t xml:space="preserve">  </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t xml:space="preserve">The EU paediatric investigation plan consists of two studies in paediatric cancer patients with CTX-induced neutropenia. The first </w:t>
            </w:r>
            <w:r w:rsidR="00F50157">
              <w:rPr>
                <w:rFonts w:asciiTheme="minorHAnsi" w:hAnsiTheme="minorHAnsi"/>
                <w:i/>
                <w:sz w:val="20"/>
                <w:szCs w:val="20"/>
              </w:rPr>
              <w:t>S</w:t>
            </w:r>
            <w:r w:rsidRPr="005F1809">
              <w:rPr>
                <w:rFonts w:asciiTheme="minorHAnsi" w:hAnsiTheme="minorHAnsi"/>
                <w:i/>
                <w:sz w:val="20"/>
                <w:szCs w:val="20"/>
              </w:rPr>
              <w:t>tudy XM22-07 (</w:t>
            </w:r>
            <w:r w:rsidR="00127BB7" w:rsidRPr="005F1809">
              <w:rPr>
                <w:rFonts w:asciiTheme="minorHAnsi" w:hAnsiTheme="minorHAnsi"/>
                <w:i/>
                <w:sz w:val="20"/>
                <w:szCs w:val="20"/>
              </w:rPr>
              <w:t>Phase I</w:t>
            </w:r>
            <w:r w:rsidRPr="005F1809">
              <w:rPr>
                <w:rFonts w:asciiTheme="minorHAnsi" w:hAnsiTheme="minorHAnsi"/>
                <w:i/>
                <w:sz w:val="20"/>
                <w:szCs w:val="20"/>
              </w:rPr>
              <w:t xml:space="preserve"> study, investigating the pharmacokinetics of a single dose of XM22) is completed (except for follow-up data) and the study report for the treatment period was submitted to EMA in December 2014. The report for Study XM22-07 is included with this response. Follow-up data for the study, including results of immunogenicity testing, survival status, and G-CSF therapy will be summarised in a separate addendum report.</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21 paediatric patients (aged 2</w:t>
            </w:r>
            <w:r w:rsidR="00F50157">
              <w:rPr>
                <w:rFonts w:asciiTheme="minorHAnsi" w:hAnsiTheme="minorHAnsi"/>
                <w:i/>
                <w:sz w:val="20"/>
                <w:szCs w:val="20"/>
              </w:rPr>
              <w:t xml:space="preserve"> to </w:t>
            </w:r>
            <w:r w:rsidRPr="005F1809">
              <w:rPr>
                <w:rFonts w:asciiTheme="minorHAnsi" w:hAnsiTheme="minorHAnsi"/>
                <w:i/>
                <w:sz w:val="20"/>
                <w:szCs w:val="20"/>
              </w:rPr>
              <w:t xml:space="preserve">16 years) were treated with a single dose of XM22 in this study. The doses were weight-adjusted for each patient (100 </w:t>
            </w:r>
            <w:proofErr w:type="spellStart"/>
            <w:r w:rsidRPr="005F1809">
              <w:rPr>
                <w:rFonts w:asciiTheme="minorHAnsi" w:hAnsiTheme="minorHAnsi"/>
                <w:i/>
                <w:sz w:val="20"/>
                <w:szCs w:val="20"/>
              </w:rPr>
              <w:t>μg</w:t>
            </w:r>
            <w:proofErr w:type="spellEnd"/>
            <w:r w:rsidRPr="005F1809">
              <w:rPr>
                <w:rFonts w:asciiTheme="minorHAnsi" w:hAnsiTheme="minorHAnsi"/>
                <w:i/>
                <w:sz w:val="20"/>
                <w:szCs w:val="20"/>
              </w:rPr>
              <w:t>/kg body weight).</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Brief summary of results:</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The primary objective of evaluating pharmacokinetic endpoints was met and the results raised no concerns regarding the pharmacokinetic, efficacy, or safety profile of XM22. The evaluations indicated a safety profile consistent with that seen in adult trials of XM22.</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This summary is included in section III.3 of the latest EU RMP Version 8.2 (sign off date 30 April 2015).</w:t>
            </w:r>
          </w:p>
          <w:p w:rsidR="007C69F4" w:rsidRPr="005F1809" w:rsidRDefault="007C69F4" w:rsidP="005F1809">
            <w:pPr>
              <w:spacing w:before="0" w:after="0" w:line="240" w:lineRule="auto"/>
              <w:ind w:left="0" w:right="0"/>
              <w:rPr>
                <w:rFonts w:asciiTheme="minorHAnsi" w:hAnsiTheme="minorHAnsi"/>
                <w:i/>
                <w:sz w:val="20"/>
                <w:szCs w:val="20"/>
              </w:rPr>
            </w:pPr>
            <w:r w:rsidRPr="005F1809">
              <w:rPr>
                <w:rFonts w:asciiTheme="minorHAnsi" w:hAnsiTheme="minorHAnsi"/>
                <w:i/>
                <w:sz w:val="20"/>
                <w:szCs w:val="20"/>
              </w:rPr>
              <w:t>A synopsis of the study is available in Annex 9 of the EU RMP Version 8.2.</w:t>
            </w:r>
          </w:p>
          <w:p w:rsidR="007C69F4" w:rsidRPr="005F1809" w:rsidRDefault="007C69F4" w:rsidP="00F50157">
            <w:pPr>
              <w:spacing w:before="0" w:after="0" w:line="240" w:lineRule="auto"/>
              <w:rPr>
                <w:rFonts w:asciiTheme="minorHAnsi" w:eastAsia="MS Mincho" w:hAnsiTheme="minorHAnsi"/>
                <w:i/>
                <w:sz w:val="20"/>
                <w:szCs w:val="20"/>
              </w:rPr>
            </w:pPr>
            <w:r w:rsidRPr="005F1809">
              <w:rPr>
                <w:rFonts w:asciiTheme="minorHAnsi" w:hAnsiTheme="minorHAnsi"/>
                <w:i/>
                <w:sz w:val="20"/>
                <w:szCs w:val="20"/>
              </w:rPr>
              <w:t xml:space="preserve">Whilst </w:t>
            </w:r>
            <w:r w:rsidR="00F50157">
              <w:rPr>
                <w:rFonts w:asciiTheme="minorHAnsi" w:hAnsiTheme="minorHAnsi"/>
                <w:i/>
                <w:sz w:val="20"/>
                <w:szCs w:val="20"/>
              </w:rPr>
              <w:t>the sponsor</w:t>
            </w:r>
            <w:r w:rsidRPr="005F1809">
              <w:rPr>
                <w:rFonts w:asciiTheme="minorHAnsi" w:hAnsiTheme="minorHAnsi"/>
                <w:i/>
                <w:sz w:val="20"/>
                <w:szCs w:val="20"/>
              </w:rPr>
              <w:t xml:space="preserve"> acknowledge</w:t>
            </w:r>
            <w:r w:rsidR="00F50157">
              <w:rPr>
                <w:rFonts w:asciiTheme="minorHAnsi" w:hAnsiTheme="minorHAnsi"/>
                <w:i/>
                <w:sz w:val="20"/>
                <w:szCs w:val="20"/>
              </w:rPr>
              <w:t>s</w:t>
            </w:r>
            <w:r w:rsidRPr="005F1809">
              <w:rPr>
                <w:rFonts w:asciiTheme="minorHAnsi" w:hAnsiTheme="minorHAnsi"/>
                <w:i/>
                <w:sz w:val="20"/>
                <w:szCs w:val="20"/>
              </w:rPr>
              <w:t xml:space="preserve"> that a separate application will be required in Australia in order to have these data reported in the Product Information, for </w:t>
            </w:r>
            <w:r w:rsidR="00F50157">
              <w:rPr>
                <w:rFonts w:asciiTheme="minorHAnsi" w:hAnsiTheme="minorHAnsi"/>
                <w:i/>
                <w:sz w:val="20"/>
                <w:szCs w:val="20"/>
              </w:rPr>
              <w:t>the TGA’s</w:t>
            </w:r>
            <w:r w:rsidRPr="005F1809">
              <w:rPr>
                <w:rFonts w:asciiTheme="minorHAnsi" w:hAnsiTheme="minorHAnsi"/>
                <w:i/>
                <w:sz w:val="20"/>
                <w:szCs w:val="20"/>
              </w:rPr>
              <w:t xml:space="preserve"> reference </w:t>
            </w:r>
            <w:r w:rsidR="00F50157">
              <w:rPr>
                <w:rFonts w:asciiTheme="minorHAnsi" w:hAnsiTheme="minorHAnsi"/>
                <w:i/>
                <w:sz w:val="20"/>
                <w:szCs w:val="20"/>
              </w:rPr>
              <w:t>the sponsor detailed</w:t>
            </w:r>
            <w:r w:rsidRPr="005F1809">
              <w:rPr>
                <w:rFonts w:asciiTheme="minorHAnsi" w:hAnsiTheme="minorHAnsi"/>
                <w:i/>
                <w:sz w:val="20"/>
                <w:szCs w:val="20"/>
              </w:rPr>
              <w:t xml:space="preserve"> the </w:t>
            </w:r>
            <w:proofErr w:type="spellStart"/>
            <w:r w:rsidRPr="005F1809">
              <w:rPr>
                <w:rFonts w:asciiTheme="minorHAnsi" w:hAnsiTheme="minorHAnsi"/>
                <w:i/>
                <w:sz w:val="20"/>
                <w:szCs w:val="20"/>
              </w:rPr>
              <w:t>SmPC</w:t>
            </w:r>
            <w:proofErr w:type="spellEnd"/>
            <w:r w:rsidRPr="005F1809">
              <w:rPr>
                <w:rFonts w:asciiTheme="minorHAnsi" w:hAnsiTheme="minorHAnsi"/>
                <w:i/>
                <w:sz w:val="20"/>
                <w:szCs w:val="20"/>
              </w:rPr>
              <w:t xml:space="preserve"> revisions recently agreed with the EMA following their evaluation of the XM22-07 Phase </w:t>
            </w:r>
            <w:r w:rsidR="00F50157">
              <w:rPr>
                <w:rFonts w:asciiTheme="minorHAnsi" w:hAnsiTheme="minorHAnsi"/>
                <w:i/>
                <w:sz w:val="20"/>
                <w:szCs w:val="20"/>
              </w:rPr>
              <w:t>I</w:t>
            </w:r>
            <w:r w:rsidRPr="005F1809">
              <w:rPr>
                <w:rFonts w:asciiTheme="minorHAnsi" w:hAnsiTheme="minorHAnsi"/>
                <w:i/>
                <w:sz w:val="20"/>
                <w:szCs w:val="20"/>
              </w:rPr>
              <w:t xml:space="preserve"> findings </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The sponsor’s response is satisfactory. </w:t>
            </w:r>
          </w:p>
        </w:tc>
      </w:tr>
      <w:tr w:rsidR="007C69F4" w:rsidTr="00B12A95">
        <w:trPr>
          <w:cantSplit/>
        </w:trPr>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F50157" w:rsidRDefault="003F6741" w:rsidP="00F50157">
            <w:pPr>
              <w:spacing w:before="0" w:after="0" w:line="240" w:lineRule="auto"/>
              <w:ind w:left="0" w:right="0"/>
              <w:rPr>
                <w:rFonts w:asciiTheme="minorHAnsi" w:eastAsia="MS Mincho" w:hAnsiTheme="minorHAnsi"/>
                <w:sz w:val="20"/>
                <w:szCs w:val="20"/>
              </w:rPr>
            </w:pPr>
            <w:r>
              <w:rPr>
                <w:rFonts w:asciiTheme="minorHAnsi" w:hAnsiTheme="minorHAnsi"/>
                <w:sz w:val="20"/>
                <w:szCs w:val="20"/>
              </w:rPr>
              <w:lastRenderedPageBreak/>
              <w:t xml:space="preserve">5. </w:t>
            </w:r>
            <w:r w:rsidR="007C69F4" w:rsidRPr="00F50157">
              <w:rPr>
                <w:rFonts w:asciiTheme="minorHAnsi" w:hAnsiTheme="minorHAnsi"/>
                <w:sz w:val="20"/>
                <w:szCs w:val="20"/>
              </w:rPr>
              <w:t xml:space="preserve">Benefit-risk assessment is beyond </w:t>
            </w:r>
            <w:r w:rsidR="007C69F4" w:rsidRPr="00F50157">
              <w:rPr>
                <w:sz w:val="20"/>
                <w:szCs w:val="20"/>
              </w:rPr>
              <w:t xml:space="preserve">the scope of the RMP evaluation. As a </w:t>
            </w:r>
            <w:r w:rsidR="00F50157" w:rsidRPr="00F50157">
              <w:rPr>
                <w:sz w:val="20"/>
                <w:szCs w:val="20"/>
              </w:rPr>
              <w:t>post-authorisation safety study (</w:t>
            </w:r>
            <w:r w:rsidR="007C69F4" w:rsidRPr="00F50157">
              <w:rPr>
                <w:sz w:val="20"/>
                <w:szCs w:val="20"/>
              </w:rPr>
              <w:t>PASS</w:t>
            </w:r>
            <w:r w:rsidR="00F50157" w:rsidRPr="00F50157">
              <w:rPr>
                <w:sz w:val="20"/>
                <w:szCs w:val="20"/>
              </w:rPr>
              <w:t>)</w:t>
            </w:r>
            <w:r w:rsidR="007C69F4" w:rsidRPr="00F50157">
              <w:rPr>
                <w:sz w:val="20"/>
                <w:szCs w:val="20"/>
              </w:rPr>
              <w:t xml:space="preserve"> has been planned to monitor the risk of ‘progression</w:t>
            </w:r>
            <w:r w:rsidR="007C69F4" w:rsidRPr="00F50157">
              <w:rPr>
                <w:rFonts w:asciiTheme="minorHAnsi" w:hAnsiTheme="minorHAnsi"/>
                <w:sz w:val="20"/>
                <w:szCs w:val="20"/>
              </w:rPr>
              <w:t xml:space="preserve"> of underlying malignancy’, the sponsor’s pharmacovigilance plan is considered adequate. The sponsor should undertake to report any significant safety findings from the PASS to the TGA. </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i/>
                <w:noProof/>
                <w:sz w:val="20"/>
                <w:szCs w:val="20"/>
              </w:rPr>
            </w:pPr>
            <w:r w:rsidRPr="005F1809">
              <w:rPr>
                <w:rFonts w:asciiTheme="minorHAnsi" w:hAnsiTheme="minorHAnsi"/>
                <w:i/>
                <w:noProof/>
                <w:sz w:val="20"/>
                <w:szCs w:val="20"/>
              </w:rPr>
              <w:t>TEVA confim that the sponsor will report any significant safety findings from the PASS study to the TGA.</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The sponsor’s response is satisfactory. </w:t>
            </w:r>
          </w:p>
        </w:tc>
      </w:tr>
      <w:tr w:rsidR="007C69F4" w:rsidTr="00B12A95">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3F6741" w:rsidP="005F1809">
            <w:pPr>
              <w:spacing w:before="0" w:after="0" w:line="240" w:lineRule="auto"/>
              <w:ind w:left="0" w:right="0"/>
              <w:rPr>
                <w:rFonts w:asciiTheme="minorHAnsi" w:eastAsia="MS Mincho" w:hAnsiTheme="minorHAnsi"/>
                <w:sz w:val="20"/>
                <w:szCs w:val="20"/>
              </w:rPr>
            </w:pPr>
            <w:r>
              <w:rPr>
                <w:rFonts w:asciiTheme="minorHAnsi" w:hAnsiTheme="minorHAnsi"/>
                <w:sz w:val="20"/>
                <w:szCs w:val="20"/>
              </w:rPr>
              <w:t xml:space="preserve">6. </w:t>
            </w:r>
            <w:r w:rsidR="007C69F4" w:rsidRPr="005F1809">
              <w:rPr>
                <w:rFonts w:asciiTheme="minorHAnsi" w:hAnsiTheme="minorHAnsi"/>
                <w:sz w:val="20"/>
                <w:szCs w:val="20"/>
              </w:rPr>
              <w:t xml:space="preserve">In regard to the proposed routine risk minimisation activities, it is recommended to the Delegate that the draft </w:t>
            </w:r>
            <w:r w:rsidR="00F50157">
              <w:rPr>
                <w:rFonts w:asciiTheme="minorHAnsi" w:hAnsiTheme="minorHAnsi"/>
                <w:sz w:val="20"/>
                <w:szCs w:val="20"/>
              </w:rPr>
              <w:t>PI</w:t>
            </w:r>
            <w:r w:rsidR="007C69F4" w:rsidRPr="005F1809">
              <w:rPr>
                <w:rFonts w:asciiTheme="minorHAnsi" w:hAnsiTheme="minorHAnsi"/>
                <w:sz w:val="20"/>
                <w:szCs w:val="20"/>
              </w:rPr>
              <w:t xml:space="preserve"> be revised as follows:</w:t>
            </w:r>
          </w:p>
          <w:p w:rsidR="007C69F4" w:rsidRPr="005F1809" w:rsidRDefault="007C69F4" w:rsidP="00F50157">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Use in paediatric patients: the sponsor states: ‘The safety and efficacy of </w:t>
            </w:r>
            <w:proofErr w:type="spellStart"/>
            <w:r w:rsidRPr="005F1809">
              <w:rPr>
                <w:rFonts w:asciiTheme="minorHAnsi" w:hAnsiTheme="minorHAnsi"/>
                <w:sz w:val="20"/>
                <w:szCs w:val="20"/>
              </w:rPr>
              <w:t>Lonquex</w:t>
            </w:r>
            <w:proofErr w:type="spellEnd"/>
            <w:r w:rsidRPr="005F1809">
              <w:rPr>
                <w:rFonts w:asciiTheme="minorHAnsi" w:hAnsiTheme="minorHAnsi"/>
                <w:sz w:val="20"/>
                <w:szCs w:val="20"/>
              </w:rPr>
              <w:t>® in children and adolescents aged up to 17 years have not yet been established. No data are available.’ It is recommended that the Delegate considers adding a statement ‘treatment in this patient group is not recommended’.</w:t>
            </w:r>
            <w:r w:rsidR="00F50157">
              <w:rPr>
                <w:rFonts w:asciiTheme="minorHAnsi" w:hAnsiTheme="minorHAnsi"/>
                <w:sz w:val="20"/>
                <w:szCs w:val="20"/>
              </w:rPr>
              <w:t xml:space="preserve"> </w:t>
            </w:r>
            <w:r w:rsidRPr="005F1809">
              <w:rPr>
                <w:rFonts w:asciiTheme="minorHAnsi" w:hAnsiTheme="minorHAnsi"/>
                <w:sz w:val="20"/>
                <w:szCs w:val="20"/>
              </w:rPr>
              <w:t xml:space="preserve">Myeloid leukaemia and Myelodysplastic syndrome: the sponsor has advised in the Australian PI that patients with these conditions should not use </w:t>
            </w:r>
            <w:proofErr w:type="spellStart"/>
            <w:r w:rsidRPr="005F1809">
              <w:rPr>
                <w:rFonts w:asciiTheme="minorHAnsi" w:hAnsiTheme="minorHAnsi"/>
                <w:sz w:val="20"/>
                <w:szCs w:val="20"/>
              </w:rPr>
              <w:t>lipegfilgrastim</w:t>
            </w:r>
            <w:proofErr w:type="spellEnd"/>
            <w:r w:rsidRPr="005F1809">
              <w:rPr>
                <w:rFonts w:asciiTheme="minorHAnsi" w:hAnsiTheme="minorHAnsi"/>
                <w:sz w:val="20"/>
                <w:szCs w:val="20"/>
              </w:rPr>
              <w:t xml:space="preserve">. This advice is provided under ‘Precaution’ in the middle of a long paragraph. In comparison, the same advice is included under ‘indication’ in the approved </w:t>
            </w:r>
            <w:proofErr w:type="spellStart"/>
            <w:r w:rsidRPr="005F1809">
              <w:rPr>
                <w:rFonts w:asciiTheme="minorHAnsi" w:hAnsiTheme="minorHAnsi"/>
                <w:sz w:val="20"/>
                <w:szCs w:val="20"/>
              </w:rPr>
              <w:t>S</w:t>
            </w:r>
            <w:r w:rsidR="00F50157">
              <w:rPr>
                <w:rFonts w:asciiTheme="minorHAnsi" w:hAnsiTheme="minorHAnsi"/>
                <w:sz w:val="20"/>
                <w:szCs w:val="20"/>
              </w:rPr>
              <w:t>m</w:t>
            </w:r>
            <w:r w:rsidRPr="005F1809">
              <w:rPr>
                <w:rFonts w:asciiTheme="minorHAnsi" w:hAnsiTheme="minorHAnsi"/>
                <w:sz w:val="20"/>
                <w:szCs w:val="20"/>
              </w:rPr>
              <w:t>PC</w:t>
            </w:r>
            <w:proofErr w:type="spellEnd"/>
            <w:r w:rsidRPr="005F1809">
              <w:rPr>
                <w:rFonts w:asciiTheme="minorHAnsi" w:hAnsiTheme="minorHAnsi"/>
                <w:sz w:val="20"/>
                <w:szCs w:val="20"/>
              </w:rPr>
              <w:t xml:space="preserve">. It is recommended that this advice is included under ‘indication’ in the PI to ensure healthcare professionals’ awareness. </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F50157">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t xml:space="preserve">The recommendations of the RMP Evaluator in relation to the draft PI are noted. The </w:t>
            </w:r>
            <w:r w:rsidR="00F50157">
              <w:rPr>
                <w:rFonts w:asciiTheme="minorHAnsi" w:hAnsiTheme="minorHAnsi"/>
                <w:i/>
                <w:sz w:val="20"/>
                <w:szCs w:val="20"/>
              </w:rPr>
              <w:t>s</w:t>
            </w:r>
            <w:r w:rsidRPr="005F1809">
              <w:rPr>
                <w:rFonts w:asciiTheme="minorHAnsi" w:hAnsiTheme="minorHAnsi"/>
                <w:i/>
                <w:sz w:val="20"/>
                <w:szCs w:val="20"/>
              </w:rPr>
              <w:t>ponsor commits to working with the Delegate to ensure that the PI effectively communicates important safety information.</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F50157">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The sponsor’s response is satisfactory. It is noted that the </w:t>
            </w:r>
            <w:r w:rsidR="00F50157">
              <w:rPr>
                <w:rFonts w:asciiTheme="minorHAnsi" w:hAnsiTheme="minorHAnsi"/>
                <w:sz w:val="20"/>
                <w:szCs w:val="20"/>
              </w:rPr>
              <w:t>TGA’s Advisory Committee on Safety of Medicines (</w:t>
            </w:r>
            <w:r w:rsidRPr="005F1809">
              <w:rPr>
                <w:rFonts w:asciiTheme="minorHAnsi" w:hAnsiTheme="minorHAnsi"/>
                <w:sz w:val="20"/>
                <w:szCs w:val="20"/>
              </w:rPr>
              <w:t>ACSOM</w:t>
            </w:r>
            <w:r w:rsidR="00F50157">
              <w:rPr>
                <w:rFonts w:asciiTheme="minorHAnsi" w:hAnsiTheme="minorHAnsi"/>
                <w:sz w:val="20"/>
                <w:szCs w:val="20"/>
              </w:rPr>
              <w:t>)</w:t>
            </w:r>
            <w:r w:rsidRPr="005F1809">
              <w:rPr>
                <w:rFonts w:asciiTheme="minorHAnsi" w:hAnsiTheme="minorHAnsi"/>
                <w:sz w:val="20"/>
                <w:szCs w:val="20"/>
              </w:rPr>
              <w:t xml:space="preserve"> advice supports the recommendations. The recommendations on PI remain for consideration by the Delegate. </w:t>
            </w:r>
          </w:p>
        </w:tc>
      </w:tr>
      <w:tr w:rsidR="007C69F4" w:rsidTr="00B12A95">
        <w:trPr>
          <w:cantSplit/>
        </w:trPr>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3F6741" w:rsidP="005F1809">
            <w:pPr>
              <w:spacing w:before="0" w:after="0" w:line="240" w:lineRule="auto"/>
              <w:ind w:left="0" w:right="0"/>
              <w:rPr>
                <w:rFonts w:asciiTheme="minorHAnsi" w:eastAsia="MS Mincho" w:hAnsiTheme="minorHAnsi"/>
                <w:sz w:val="20"/>
                <w:szCs w:val="20"/>
              </w:rPr>
            </w:pPr>
            <w:r>
              <w:rPr>
                <w:rFonts w:asciiTheme="minorHAnsi" w:hAnsiTheme="minorHAnsi"/>
                <w:sz w:val="20"/>
                <w:szCs w:val="20"/>
              </w:rPr>
              <w:t xml:space="preserve">7. </w:t>
            </w:r>
            <w:r w:rsidR="007C69F4" w:rsidRPr="005F1809">
              <w:rPr>
                <w:rFonts w:asciiTheme="minorHAnsi" w:hAnsiTheme="minorHAnsi"/>
                <w:sz w:val="20"/>
                <w:szCs w:val="20"/>
              </w:rPr>
              <w:t xml:space="preserve">In regard to the proposed routine risk minimisation activities, it is recommended to the Delegate that the incorrect reference to </w:t>
            </w:r>
            <w:proofErr w:type="spellStart"/>
            <w:r w:rsidR="007C69F4" w:rsidRPr="005F1809">
              <w:rPr>
                <w:rFonts w:asciiTheme="minorHAnsi" w:hAnsiTheme="minorHAnsi"/>
                <w:sz w:val="20"/>
                <w:szCs w:val="20"/>
              </w:rPr>
              <w:t>Neulasta</w:t>
            </w:r>
            <w:proofErr w:type="spellEnd"/>
            <w:r w:rsidR="007C69F4" w:rsidRPr="005F1809">
              <w:rPr>
                <w:rFonts w:asciiTheme="minorHAnsi" w:hAnsiTheme="minorHAnsi"/>
                <w:sz w:val="20"/>
                <w:szCs w:val="20"/>
              </w:rPr>
              <w:t xml:space="preserve"> in the draft consumer medicine information </w:t>
            </w:r>
            <w:r w:rsidR="00F50157">
              <w:rPr>
                <w:rFonts w:asciiTheme="minorHAnsi" w:hAnsiTheme="minorHAnsi"/>
                <w:sz w:val="20"/>
                <w:szCs w:val="20"/>
              </w:rPr>
              <w:t xml:space="preserve">(CMI) </w:t>
            </w:r>
            <w:r w:rsidR="007C69F4" w:rsidRPr="005F1809">
              <w:rPr>
                <w:rFonts w:asciiTheme="minorHAnsi" w:hAnsiTheme="minorHAnsi"/>
                <w:sz w:val="20"/>
                <w:szCs w:val="20"/>
              </w:rPr>
              <w:t>document be revised.</w:t>
            </w:r>
            <w:r w:rsidR="009801DD" w:rsidRPr="005F1809">
              <w:rPr>
                <w:rFonts w:asciiTheme="minorHAnsi" w:hAnsiTheme="minorHAnsi"/>
                <w:sz w:val="20"/>
                <w:szCs w:val="20"/>
              </w:rPr>
              <w:t xml:space="preserve"> </w:t>
            </w:r>
          </w:p>
        </w:tc>
        <w:tc>
          <w:tcPr>
            <w:tcW w:w="1839"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F50157">
            <w:pPr>
              <w:spacing w:before="0" w:after="0" w:line="240" w:lineRule="auto"/>
              <w:ind w:left="0" w:right="0"/>
              <w:rPr>
                <w:rFonts w:asciiTheme="minorHAnsi" w:eastAsia="MS Mincho" w:hAnsiTheme="minorHAnsi"/>
                <w:i/>
                <w:sz w:val="20"/>
                <w:szCs w:val="20"/>
              </w:rPr>
            </w:pPr>
            <w:r w:rsidRPr="005F1809">
              <w:rPr>
                <w:rFonts w:asciiTheme="minorHAnsi" w:hAnsiTheme="minorHAnsi"/>
                <w:i/>
                <w:sz w:val="20"/>
                <w:szCs w:val="20"/>
              </w:rPr>
              <w:t xml:space="preserve">The recommendations of the RMP Evaluator in relation to the Consumer Medicine Information (CMI) document are noted. The </w:t>
            </w:r>
            <w:r w:rsidR="00F50157">
              <w:rPr>
                <w:rFonts w:asciiTheme="minorHAnsi" w:hAnsiTheme="minorHAnsi"/>
                <w:i/>
                <w:sz w:val="20"/>
                <w:szCs w:val="20"/>
              </w:rPr>
              <w:t>s</w:t>
            </w:r>
            <w:r w:rsidRPr="005F1809">
              <w:rPr>
                <w:rFonts w:asciiTheme="minorHAnsi" w:hAnsiTheme="minorHAnsi"/>
                <w:i/>
                <w:sz w:val="20"/>
                <w:szCs w:val="20"/>
              </w:rPr>
              <w:t xml:space="preserve">ponsor has revised the CMI to remove references to </w:t>
            </w:r>
            <w:proofErr w:type="spellStart"/>
            <w:r w:rsidRPr="005F1809">
              <w:rPr>
                <w:rFonts w:asciiTheme="minorHAnsi" w:hAnsiTheme="minorHAnsi"/>
                <w:i/>
                <w:sz w:val="20"/>
                <w:szCs w:val="20"/>
              </w:rPr>
              <w:t>Neulasta</w:t>
            </w:r>
            <w:proofErr w:type="spellEnd"/>
            <w:r w:rsidRPr="005F1809">
              <w:rPr>
                <w:rFonts w:asciiTheme="minorHAnsi" w:hAnsiTheme="minorHAnsi"/>
                <w:i/>
                <w:sz w:val="20"/>
                <w:szCs w:val="20"/>
              </w:rPr>
              <w:t xml:space="preserve"> as requested. The updated CMI (clean and tracked copies) are presented with this response.</w:t>
            </w:r>
          </w:p>
        </w:tc>
        <w:tc>
          <w:tcPr>
            <w:tcW w:w="1322"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hideMark/>
          </w:tcPr>
          <w:p w:rsidR="007C69F4" w:rsidRPr="005F1809" w:rsidRDefault="007C69F4" w:rsidP="005F1809">
            <w:pPr>
              <w:spacing w:before="0" w:after="0" w:line="240" w:lineRule="auto"/>
              <w:ind w:left="0" w:right="0"/>
              <w:rPr>
                <w:rFonts w:asciiTheme="minorHAnsi" w:eastAsia="MS Mincho" w:hAnsiTheme="minorHAnsi"/>
                <w:sz w:val="20"/>
                <w:szCs w:val="20"/>
              </w:rPr>
            </w:pPr>
            <w:r w:rsidRPr="005F1809">
              <w:rPr>
                <w:rFonts w:asciiTheme="minorHAnsi" w:hAnsiTheme="minorHAnsi"/>
                <w:sz w:val="20"/>
                <w:szCs w:val="20"/>
              </w:rPr>
              <w:t xml:space="preserve">The sponsor’s response is satisfactory. </w:t>
            </w:r>
          </w:p>
        </w:tc>
      </w:tr>
    </w:tbl>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F50157" w:rsidRPr="00F50157" w:rsidRDefault="00F50157" w:rsidP="00F50157">
      <w:pPr>
        <w:rPr>
          <w:lang w:eastAsia="en-AU"/>
        </w:rPr>
      </w:pPr>
      <w:r>
        <w:t>It is considered that the sponsor’s response to the TGA has adequately addressed most of the issues identified in the RMP evaluation report. Outstanding issues are discussed below.</w:t>
      </w:r>
    </w:p>
    <w:p w:rsidR="007C69F4" w:rsidRDefault="007C69F4" w:rsidP="00F50157">
      <w:pPr>
        <w:pStyle w:val="Heading5"/>
      </w:pPr>
      <w:bookmarkStart w:id="190" w:name="_Toc314842510"/>
      <w:r>
        <w:lastRenderedPageBreak/>
        <w:t>Outstanding issues</w:t>
      </w:r>
    </w:p>
    <w:p w:rsidR="007C69F4" w:rsidRDefault="007C69F4" w:rsidP="00F50157">
      <w:pPr>
        <w:pStyle w:val="Heading6"/>
      </w:pPr>
      <w:r>
        <w:t xml:space="preserve">Issues in relation to the RMP </w:t>
      </w:r>
    </w:p>
    <w:p w:rsidR="00B56A57" w:rsidRDefault="007C69F4" w:rsidP="00B12A95">
      <w:r>
        <w:t xml:space="preserve">Details on the sponsor’s response to the RMP evaluation report are in </w:t>
      </w:r>
      <w:r w:rsidR="00F50157">
        <w:t xml:space="preserve">Table 11, </w:t>
      </w:r>
      <w:r>
        <w:t>Reconciliation of issues outlined in the RMP Evaluation Report</w:t>
      </w:r>
      <w:r w:rsidR="00B56A57">
        <w:t>.</w:t>
      </w:r>
    </w:p>
    <w:p w:rsidR="007C69F4" w:rsidRDefault="007C69F4" w:rsidP="003F6741">
      <w:pPr>
        <w:pStyle w:val="Heading5"/>
      </w:pPr>
      <w:r>
        <w:t>Additional recommendations</w:t>
      </w:r>
    </w:p>
    <w:p w:rsidR="007C69F4" w:rsidRPr="003F6741" w:rsidRDefault="007C69F4" w:rsidP="003F6741">
      <w:pPr>
        <w:pStyle w:val="ListBullet"/>
      </w:pPr>
      <w:r w:rsidRPr="003F6741">
        <w:t xml:space="preserve">ACSOM Recommendation 4: (see </w:t>
      </w:r>
      <w:r w:rsidR="003F6741" w:rsidRPr="003F6741">
        <w:t>below)</w:t>
      </w:r>
    </w:p>
    <w:p w:rsidR="007C69F4" w:rsidRPr="003F6741" w:rsidRDefault="007C69F4" w:rsidP="003F6741">
      <w:pPr>
        <w:pStyle w:val="ListBullet"/>
      </w:pPr>
      <w:r w:rsidRPr="003F6741">
        <w:t>Study XM22-04 should be included in the Product Information (PI) as a Precaution to notify clinicians of a biologically plausible mortality signal that is being investigated via further study.</w:t>
      </w:r>
    </w:p>
    <w:p w:rsidR="00B56A57" w:rsidRDefault="007C69F4" w:rsidP="003F6741">
      <w:pPr>
        <w:pStyle w:val="ListBullet"/>
      </w:pPr>
      <w:r w:rsidRPr="003F6741">
        <w:t>Nonclinical evaluator’s recommendation</w:t>
      </w:r>
      <w:r w:rsidR="003F6741" w:rsidRPr="003F6741">
        <w:t>s</w:t>
      </w:r>
      <w:r w:rsidR="00B56A57">
        <w:t>.</w:t>
      </w:r>
    </w:p>
    <w:p w:rsidR="007C69F4" w:rsidRDefault="007C69F4" w:rsidP="00B12A95">
      <w:r w:rsidRPr="003F6741">
        <w:t>Results and conclusions drawn from the nonclinical program</w:t>
      </w:r>
      <w:r>
        <w:t xml:space="preserve"> for </w:t>
      </w:r>
      <w:proofErr w:type="spellStart"/>
      <w:r>
        <w:t>lipegfilgrastim</w:t>
      </w:r>
      <w:proofErr w:type="spellEnd"/>
      <w:r>
        <w:t xml:space="preserve"> detailed in the sponsor’s draft Risk Management Plan are in general concordance with those of the </w:t>
      </w:r>
      <w:r w:rsidR="003F6741">
        <w:t>n</w:t>
      </w:r>
      <w:r>
        <w:t xml:space="preserve">onclinical </w:t>
      </w:r>
      <w:r w:rsidR="003F6741">
        <w:t>e</w:t>
      </w:r>
      <w:r>
        <w:t>valuator. Minor differences should be corrected:</w:t>
      </w:r>
    </w:p>
    <w:p w:rsidR="00B56A57" w:rsidRDefault="007C69F4" w:rsidP="00AA55A3">
      <w:pPr>
        <w:pStyle w:val="Numberbullet0"/>
        <w:numPr>
          <w:ilvl w:val="0"/>
          <w:numId w:val="17"/>
        </w:numPr>
      </w:pPr>
      <w:r>
        <w:t xml:space="preserve">Decreased </w:t>
      </w:r>
      <w:r w:rsidR="003F6741">
        <w:t>red blood cells (</w:t>
      </w:r>
      <w:r>
        <w:t>RBC</w:t>
      </w:r>
      <w:r w:rsidR="003F6741">
        <w:t>)</w:t>
      </w:r>
      <w:r>
        <w:t xml:space="preserve"> (and </w:t>
      </w:r>
      <w:r w:rsidR="003F6741">
        <w:t>haematocrit (</w:t>
      </w:r>
      <w:proofErr w:type="spellStart"/>
      <w:r>
        <w:t>Hct</w:t>
      </w:r>
      <w:proofErr w:type="spellEnd"/>
      <w:r w:rsidR="003F6741">
        <w:t>)</w:t>
      </w:r>
      <w:r>
        <w:t xml:space="preserve"> and/or </w:t>
      </w:r>
      <w:r w:rsidR="003F6741">
        <w:t>haemoglobin (</w:t>
      </w:r>
      <w:proofErr w:type="spellStart"/>
      <w:r>
        <w:t>Hb</w:t>
      </w:r>
      <w:proofErr w:type="spellEnd"/>
      <w:r w:rsidR="003F6741">
        <w:t>)</w:t>
      </w:r>
      <w:r>
        <w:t xml:space="preserve">) was observed throughout the 26-week study in rats. Thus </w:t>
      </w:r>
      <w:r w:rsidR="00F26F05">
        <w:t>‘</w:t>
      </w:r>
      <w:r>
        <w:t>a transient decrease in red blood cells</w:t>
      </w:r>
      <w:r w:rsidR="00F26F05">
        <w:t>’</w:t>
      </w:r>
      <w:r>
        <w:t xml:space="preserve"> described by the sponsor is not correct. However, the decreases in RBC and related parameters were reversible after cessation of dosing</w:t>
      </w:r>
      <w:r w:rsidR="00B56A57">
        <w:t>.</w:t>
      </w:r>
    </w:p>
    <w:p w:rsidR="007C69F4" w:rsidRDefault="007C69F4" w:rsidP="00AA55A3">
      <w:pPr>
        <w:pStyle w:val="Numberbullet0"/>
        <w:numPr>
          <w:ilvl w:val="0"/>
          <w:numId w:val="17"/>
        </w:numPr>
      </w:pPr>
      <w:r>
        <w:t xml:space="preserve">Atrophy of trabecular bone </w:t>
      </w:r>
      <w:r w:rsidR="003F6741">
        <w:t xml:space="preserve">in rats was seen in both the 13 </w:t>
      </w:r>
      <w:r>
        <w:t>week and 26</w:t>
      </w:r>
      <w:r w:rsidR="003F6741">
        <w:t xml:space="preserve"> </w:t>
      </w:r>
      <w:r>
        <w:t>week studies.’</w:t>
      </w:r>
    </w:p>
    <w:p w:rsidR="007C69F4" w:rsidRDefault="00B12A95" w:rsidP="003F6741">
      <w:pPr>
        <w:pStyle w:val="Heading5"/>
      </w:pPr>
      <w:r>
        <w:t>A</w:t>
      </w:r>
      <w:r w:rsidR="007C69F4">
        <w:t>dvice from the Advisory Committee on the Safety of Medicines (ACSOM)</w:t>
      </w:r>
    </w:p>
    <w:p w:rsidR="007C69F4" w:rsidRDefault="007C69F4" w:rsidP="00B12A95">
      <w:r w:rsidRPr="003F6741">
        <w:rPr>
          <w:i/>
        </w:rPr>
        <w:t>ACSOM Recommendation 1</w:t>
      </w:r>
      <w:r>
        <w:t xml:space="preserve">: The committee advised that the safety concern list provided by the sponsor could not be considered adequate until it incorporated safety issues that have been identified for </w:t>
      </w:r>
      <w:proofErr w:type="spellStart"/>
      <w:r>
        <w:t>filgrastim</w:t>
      </w:r>
      <w:proofErr w:type="spellEnd"/>
      <w:r>
        <w:t>: immune system disorders (acute and chronic Graft versus Host Disease including transformation to leukaemia or myelodysplastic syndrome); haematological malignancy; carcinogenicity; exacerbation of rheumatoid arthritis; and osteoporosis in severe chronic neutropenia patients.</w:t>
      </w:r>
    </w:p>
    <w:p w:rsidR="007C69F4" w:rsidRDefault="007C69F4" w:rsidP="00B12A95">
      <w:r w:rsidRPr="003F6741">
        <w:rPr>
          <w:i/>
        </w:rPr>
        <w:t>RMP evaluator comment</w:t>
      </w:r>
      <w:r>
        <w:t xml:space="preserve">: The sponsor has provided justification to why some risks related to </w:t>
      </w:r>
      <w:proofErr w:type="spellStart"/>
      <w:r>
        <w:t>filgrastim</w:t>
      </w:r>
      <w:proofErr w:type="spellEnd"/>
      <w:r>
        <w:t xml:space="preserve"> are not included in the current RMP (see sponsor’s response to Recommendation 3</w:t>
      </w:r>
      <w:r w:rsidR="003F6741">
        <w:t xml:space="preserve"> in Table 11</w:t>
      </w:r>
      <w:r>
        <w:t>). This is acceptable. If future application to extend the indication is sought, risks relevant to the indications should be included in the RMP.</w:t>
      </w:r>
      <w:r w:rsidR="009801DD">
        <w:t xml:space="preserve"> </w:t>
      </w:r>
      <w:r>
        <w:t xml:space="preserve"> </w:t>
      </w:r>
    </w:p>
    <w:p w:rsidR="007C69F4" w:rsidRDefault="007C69F4" w:rsidP="00B12A95">
      <w:r w:rsidRPr="003F6741">
        <w:rPr>
          <w:i/>
        </w:rPr>
        <w:t>ACSOM Recommendation 2:</w:t>
      </w:r>
      <w:r>
        <w:t xml:space="preserve"> The committee advised that routine pharmacovigilance was appropriate for the remaining issues. However, it was noted that as the proposed indications in Australia are wider than the indications approved by the EMA, the Australian Annex to the RMP and its pharmacovigilance plans needs to address these additional indications (chronic myeloid leukaemia and myelodysplastic syndromes) and include a drug utilisation study relevant to the wider Australian indications.</w:t>
      </w:r>
    </w:p>
    <w:p w:rsidR="00B56A57" w:rsidRDefault="007C69F4" w:rsidP="00B12A95">
      <w:r w:rsidRPr="003F6741">
        <w:rPr>
          <w:i/>
        </w:rPr>
        <w:t>RMP evaluator comment</w:t>
      </w:r>
      <w:r>
        <w:t>: In the updated ASA submitted with the sponsor’s response, the sponsor states</w:t>
      </w:r>
      <w:r w:rsidR="00B56A57">
        <w:t>:</w:t>
      </w:r>
    </w:p>
    <w:p w:rsidR="007C69F4" w:rsidRPr="003F6741" w:rsidRDefault="007C69F4" w:rsidP="003F6741">
      <w:pPr>
        <w:ind w:left="720"/>
        <w:rPr>
          <w:i/>
        </w:rPr>
      </w:pPr>
      <w:r w:rsidRPr="003F6741">
        <w:rPr>
          <w:i/>
        </w:rPr>
        <w:t xml:space="preserve">In contrast to the indication for </w:t>
      </w:r>
      <w:proofErr w:type="spellStart"/>
      <w:r w:rsidRPr="003F6741">
        <w:rPr>
          <w:i/>
        </w:rPr>
        <w:t>Lonquex</w:t>
      </w:r>
      <w:proofErr w:type="spellEnd"/>
      <w:r w:rsidRPr="003F6741">
        <w:rPr>
          <w:i/>
        </w:rPr>
        <w:t xml:space="preserve">® in the EU, the proposed indication for </w:t>
      </w:r>
      <w:proofErr w:type="spellStart"/>
      <w:r w:rsidRPr="003F6741">
        <w:rPr>
          <w:i/>
        </w:rPr>
        <w:t>Lonquex</w:t>
      </w:r>
      <w:proofErr w:type="spellEnd"/>
      <w:r w:rsidRPr="003F6741">
        <w:rPr>
          <w:i/>
        </w:rPr>
        <w:t xml:space="preserve">® in Australia does not specifically exclude chronic myeloid leukaemia and myelodysplastic syndromes. However, the proposed product </w:t>
      </w:r>
      <w:proofErr w:type="gramStart"/>
      <w:r w:rsidRPr="003F6741">
        <w:rPr>
          <w:i/>
        </w:rPr>
        <w:t>Prescribing</w:t>
      </w:r>
      <w:proofErr w:type="gramEnd"/>
      <w:r w:rsidRPr="003F6741">
        <w:rPr>
          <w:i/>
        </w:rPr>
        <w:t xml:space="preserve"> Information (Pl) (PRECAUTIONS) states that 'the safety and efficacy of </w:t>
      </w:r>
      <w:proofErr w:type="spellStart"/>
      <w:r w:rsidRPr="003F6741">
        <w:rPr>
          <w:i/>
        </w:rPr>
        <w:t>Lonquex</w:t>
      </w:r>
      <w:proofErr w:type="spellEnd"/>
      <w:r w:rsidRPr="003F6741">
        <w:rPr>
          <w:i/>
        </w:rPr>
        <w:t>® administration in patients with myelodysplasia or chronic myeloid leukaemia have not been established'. This is consistent with the Australian prescribing information for other PEGylated recombinant human N-</w:t>
      </w:r>
      <w:proofErr w:type="spellStart"/>
      <w:r w:rsidRPr="003F6741">
        <w:rPr>
          <w:i/>
        </w:rPr>
        <w:t>methionyl</w:t>
      </w:r>
      <w:proofErr w:type="spellEnd"/>
      <w:r w:rsidRPr="003F6741">
        <w:rPr>
          <w:i/>
        </w:rPr>
        <w:t xml:space="preserve"> granulocyte-colony stimulating factors (G-CSFs) including </w:t>
      </w:r>
      <w:proofErr w:type="spellStart"/>
      <w:r w:rsidR="00F653F4" w:rsidRPr="00F653F4">
        <w:t>pegfilgrastim</w:t>
      </w:r>
      <w:proofErr w:type="spellEnd"/>
      <w:r w:rsidRPr="003F6741">
        <w:rPr>
          <w:i/>
        </w:rPr>
        <w:t xml:space="preserve"> (</w:t>
      </w:r>
      <w:proofErr w:type="spellStart"/>
      <w:r w:rsidRPr="003F6741">
        <w:rPr>
          <w:i/>
        </w:rPr>
        <w:t>Neulasta</w:t>
      </w:r>
      <w:proofErr w:type="spellEnd"/>
      <w:r w:rsidRPr="003F6741">
        <w:rPr>
          <w:i/>
        </w:rPr>
        <w:t>®, market</w:t>
      </w:r>
      <w:r w:rsidR="003F6741">
        <w:rPr>
          <w:i/>
        </w:rPr>
        <w:t>ed by Amgen Australia Pty Ltd).</w:t>
      </w:r>
    </w:p>
    <w:p w:rsidR="00B56A57" w:rsidRDefault="007C69F4" w:rsidP="00B12A95">
      <w:r>
        <w:t>This is acceptable in the context of risk minimisation</w:t>
      </w:r>
      <w:r w:rsidR="00B56A57">
        <w:t>.</w:t>
      </w:r>
    </w:p>
    <w:p w:rsidR="007C69F4" w:rsidRDefault="007C69F4" w:rsidP="00B12A95">
      <w:r w:rsidRPr="003F6741">
        <w:rPr>
          <w:i/>
        </w:rPr>
        <w:lastRenderedPageBreak/>
        <w:t>ACSOM Recommendation 3</w:t>
      </w:r>
      <w:r>
        <w:t xml:space="preserve">: Noting that </w:t>
      </w:r>
      <w:proofErr w:type="spellStart"/>
      <w:r>
        <w:t>lipegfilgrastim</w:t>
      </w:r>
      <w:proofErr w:type="spellEnd"/>
      <w:r>
        <w:t xml:space="preserve"> is not distributed beyond the lymphatic/vascular system, there was no a priori evidence that different doses should be needed based on body weight. Investigation of a potential reduced pharmacodynamics effect in patients &gt; 95 kg body weight via routine pharmacovigilance including a follow up questionnaire, as prescribed in the EU RMP, was sufficient.</w:t>
      </w:r>
    </w:p>
    <w:p w:rsidR="00B56A57" w:rsidRDefault="007C69F4" w:rsidP="00B12A95">
      <w:pPr>
        <w:rPr>
          <w:i/>
        </w:rPr>
      </w:pPr>
      <w:r w:rsidRPr="003F6741">
        <w:rPr>
          <w:i/>
        </w:rPr>
        <w:t>ACSOM Recommendation 4</w:t>
      </w:r>
      <w:r w:rsidR="00B56A57">
        <w:rPr>
          <w:i/>
        </w:rPr>
        <w:t>:</w:t>
      </w:r>
    </w:p>
    <w:p w:rsidR="00B56A57" w:rsidRDefault="007C69F4" w:rsidP="003F6741">
      <w:pPr>
        <w:pStyle w:val="Numberbullet2"/>
      </w:pPr>
      <w:r>
        <w:t>In the absence of paediatric data, use in the paediatric population was not appropriate. Data from XM22-07 should be considered before any use in children (&lt;</w:t>
      </w:r>
      <w:r w:rsidR="003F6741">
        <w:t xml:space="preserve"> </w:t>
      </w:r>
      <w:r>
        <w:t>18 years) could be acceptable</w:t>
      </w:r>
      <w:r w:rsidR="00B56A57">
        <w:t>.</w:t>
      </w:r>
    </w:p>
    <w:p w:rsidR="00B56A57" w:rsidRDefault="007C69F4" w:rsidP="003F6741">
      <w:pPr>
        <w:pStyle w:val="Numberbullet2"/>
      </w:pPr>
      <w:r>
        <w:t>It would also be prudent if ‘use only in adults’ (or non-use in children) was specified in the approved Indications, to assist side-by-side comparisons with the use of other G-CSF molecules</w:t>
      </w:r>
      <w:r w:rsidR="00B56A57">
        <w:t>.</w:t>
      </w:r>
    </w:p>
    <w:p w:rsidR="007C69F4" w:rsidRDefault="007C69F4" w:rsidP="003F6741">
      <w:pPr>
        <w:pStyle w:val="Numberbullet2"/>
      </w:pPr>
      <w:r>
        <w:t xml:space="preserve">It would also be useful if, like in the European Union (EU), the exclusion of patients with chronic myeloid </w:t>
      </w:r>
      <w:proofErr w:type="spellStart"/>
      <w:r>
        <w:t>leukemia</w:t>
      </w:r>
      <w:proofErr w:type="spellEnd"/>
      <w:r>
        <w:t xml:space="preserve"> and myelodysplastic syndromes was addressed explicitly in the approved indications as well as in the Precautions.</w:t>
      </w:r>
    </w:p>
    <w:p w:rsidR="007C69F4" w:rsidRDefault="007C69F4" w:rsidP="003F6741">
      <w:pPr>
        <w:pStyle w:val="Numberbullet2"/>
      </w:pPr>
      <w:r>
        <w:t>Study XM22-04 should be included in the Product Information (PI) as a Precaution to notify clinicians of a biologically plausible mortality signal that is being investigated via further study.</w:t>
      </w:r>
    </w:p>
    <w:p w:rsidR="00B56A57" w:rsidRDefault="007C69F4" w:rsidP="00B12A95">
      <w:r w:rsidRPr="003F6741">
        <w:rPr>
          <w:i/>
        </w:rPr>
        <w:t>RMP evaluator comment</w:t>
      </w:r>
      <w:r>
        <w:t>: As requested, the sponsor has provi</w:t>
      </w:r>
      <w:r w:rsidR="003F6741">
        <w:t>ded an update on findings from S</w:t>
      </w:r>
      <w:r>
        <w:t>tudy XM22-07 (see sponsor</w:t>
      </w:r>
      <w:r w:rsidR="003F6741">
        <w:t>’s response to Recommendation 4 in Table 11</w:t>
      </w:r>
      <w:r>
        <w:t>)</w:t>
      </w:r>
      <w:r w:rsidR="00B56A57">
        <w:t>.</w:t>
      </w:r>
    </w:p>
    <w:p w:rsidR="00B56A57" w:rsidRDefault="007C69F4" w:rsidP="00B12A95">
      <w:r>
        <w:t>In addition, the sponsor states in the updated ASA</w:t>
      </w:r>
      <w:r w:rsidR="00B56A57">
        <w:t>:</w:t>
      </w:r>
    </w:p>
    <w:p w:rsidR="007C69F4" w:rsidRDefault="007C69F4" w:rsidP="003F6741">
      <w:pPr>
        <w:ind w:left="720"/>
      </w:pPr>
      <w:r w:rsidRPr="003F6741">
        <w:rPr>
          <w:i/>
        </w:rPr>
        <w:t xml:space="preserve">Whilst the proposed indication for </w:t>
      </w:r>
      <w:proofErr w:type="spellStart"/>
      <w:r w:rsidRPr="003F6741">
        <w:rPr>
          <w:i/>
        </w:rPr>
        <w:t>Lonquex</w:t>
      </w:r>
      <w:proofErr w:type="spellEnd"/>
      <w:r w:rsidRPr="003F6741">
        <w:rPr>
          <w:i/>
        </w:rPr>
        <w:t xml:space="preserve">® in Australia is not specifically limited to adult patients, the section on Paediatric Use in the proposed Pl (PRECAUTIONS) does preclude use in paediatric patients since the safety and efficacy of </w:t>
      </w:r>
      <w:proofErr w:type="spellStart"/>
      <w:r w:rsidRPr="003F6741">
        <w:rPr>
          <w:i/>
        </w:rPr>
        <w:t>Lonquex</w:t>
      </w:r>
      <w:proofErr w:type="spellEnd"/>
      <w:r w:rsidRPr="003F6741">
        <w:rPr>
          <w:i/>
        </w:rPr>
        <w:t>® in children and adolescents up to 17 years have not yet been established. As noted in the Clinical Overview, paediatric studies (Studies XM22-07 and XM22-08) are initiated as part of the XM22 Paediatric Investigation Plan (PIP), approved by the EU Paediatric Committee on the 6th May 2011. It is therefore expected that following submission of the paediatric studies to the TGA, the Australian Pl will be updated in due to course</w:t>
      </w:r>
      <w:r>
        <w:t>.</w:t>
      </w:r>
    </w:p>
    <w:p w:rsidR="00B56A57" w:rsidRDefault="007C69F4" w:rsidP="003F6741">
      <w:pPr>
        <w:pStyle w:val="Numberbullet0"/>
        <w:numPr>
          <w:ilvl w:val="0"/>
          <w:numId w:val="0"/>
        </w:numPr>
        <w:adjustRightInd w:val="0"/>
        <w:snapToGrid w:val="0"/>
        <w:spacing w:after="180"/>
      </w:pPr>
      <w:r>
        <w:t>The recommendations on PI appear to support the recommendations made by the RMP evaluator for consideration by the Delegate (see Recommendation 6</w:t>
      </w:r>
      <w:r w:rsidR="003F6741">
        <w:t xml:space="preserve"> in Table 11</w:t>
      </w:r>
      <w:r>
        <w:t>)</w:t>
      </w:r>
      <w:r w:rsidR="00B56A57">
        <w:t>.</w:t>
      </w:r>
    </w:p>
    <w:p w:rsidR="007C69F4" w:rsidRDefault="007C69F4" w:rsidP="00B12A95">
      <w:pPr>
        <w:pStyle w:val="Heading5"/>
      </w:pPr>
      <w:r>
        <w:t xml:space="preserve">Key changes to the updated RMP </w:t>
      </w:r>
    </w:p>
    <w:p w:rsidR="007C69F4" w:rsidRDefault="007C69F4" w:rsidP="007C69F4">
      <w:pPr>
        <w:spacing w:before="100" w:beforeAutospacing="1" w:after="100" w:afterAutospacing="1"/>
        <w:rPr>
          <w:rFonts w:asciiTheme="minorHAnsi" w:hAnsiTheme="minorHAnsi"/>
        </w:rPr>
      </w:pPr>
      <w:r>
        <w:rPr>
          <w:rFonts w:asciiTheme="minorHAnsi" w:hAnsiTheme="minorHAnsi"/>
        </w:rPr>
        <w:t xml:space="preserve">In their response to the TGA the sponsor provided updated EU-RMP version 8.2 dated 30 April 2015 (data lock point 25 January 2015) with the Australian Specific Annex dated 26 June 2015. Key changes from the version evaluated </w:t>
      </w:r>
      <w:r w:rsidR="00477752">
        <w:rPr>
          <w:rFonts w:asciiTheme="minorHAnsi" w:hAnsiTheme="minorHAnsi"/>
        </w:rPr>
        <w:t>in the</w:t>
      </w:r>
      <w:r>
        <w:rPr>
          <w:rFonts w:asciiTheme="minorHAnsi" w:hAnsiTheme="minorHAnsi"/>
        </w:rPr>
        <w:t xml:space="preserve"> </w:t>
      </w:r>
      <w:r w:rsidR="003F6741">
        <w:rPr>
          <w:rFonts w:asciiTheme="minorHAnsi" w:hAnsiTheme="minorHAnsi"/>
        </w:rPr>
        <w:t>first round evaluation are summarised below.</w:t>
      </w:r>
    </w:p>
    <w:p w:rsidR="003F6741" w:rsidRDefault="003F6741" w:rsidP="003F6741">
      <w:pPr>
        <w:pStyle w:val="TableTitle"/>
        <w:rPr>
          <w:sz w:val="23"/>
        </w:rPr>
      </w:pPr>
      <w:r>
        <w:lastRenderedPageBreak/>
        <w:t>Table 12: Key changes to the EU-RMP and ASA</w:t>
      </w:r>
    </w:p>
    <w:tbl>
      <w:tblPr>
        <w:tblStyle w:val="TableTGAblue1"/>
        <w:tblW w:w="0" w:type="auto"/>
        <w:tblInd w:w="0" w:type="dxa"/>
        <w:tblLook w:val="04A0" w:firstRow="1" w:lastRow="0" w:firstColumn="1" w:lastColumn="0" w:noHBand="0" w:noVBand="1"/>
      </w:tblPr>
      <w:tblGrid>
        <w:gridCol w:w="2223"/>
        <w:gridCol w:w="2997"/>
        <w:gridCol w:w="1720"/>
        <w:gridCol w:w="1780"/>
      </w:tblGrid>
      <w:tr w:rsidR="007C69F4" w:rsidTr="007C69F4">
        <w:trPr>
          <w:cnfStyle w:val="100000000000" w:firstRow="1" w:lastRow="0" w:firstColumn="0" w:lastColumn="0" w:oddVBand="0" w:evenVBand="0" w:oddHBand="0" w:evenHBand="0" w:firstRowFirstColumn="0" w:firstRowLastColumn="0" w:lastRowFirstColumn="0" w:lastRowLastColumn="0"/>
          <w:cantSplit/>
          <w:trHeight w:val="536"/>
          <w:tblHeader/>
        </w:trPr>
        <w:tc>
          <w:tcPr>
            <w:tcW w:w="2240" w:type="dxa"/>
          </w:tcPr>
          <w:p w:rsidR="007C69F4" w:rsidRPr="003F6741" w:rsidRDefault="007C69F4" w:rsidP="003F6741">
            <w:pPr>
              <w:keepNext/>
              <w:rPr>
                <w:sz w:val="20"/>
                <w:szCs w:val="20"/>
                <w:lang w:eastAsia="en-AU"/>
              </w:rPr>
            </w:pPr>
          </w:p>
        </w:tc>
        <w:tc>
          <w:tcPr>
            <w:tcW w:w="3136" w:type="dxa"/>
          </w:tcPr>
          <w:p w:rsidR="007C69F4" w:rsidRPr="003F6741" w:rsidRDefault="008B7E46" w:rsidP="003F6741">
            <w:pPr>
              <w:keepNext/>
              <w:rPr>
                <w:sz w:val="20"/>
                <w:szCs w:val="20"/>
                <w:lang w:eastAsia="en-AU"/>
              </w:rPr>
            </w:pPr>
            <w:r>
              <w:rPr>
                <w:sz w:val="20"/>
                <w:szCs w:val="20"/>
                <w:lang w:eastAsia="en-AU"/>
              </w:rPr>
              <w:t>Key change</w:t>
            </w:r>
          </w:p>
        </w:tc>
        <w:tc>
          <w:tcPr>
            <w:tcW w:w="1822" w:type="dxa"/>
          </w:tcPr>
          <w:p w:rsidR="007C69F4" w:rsidRPr="003F6741" w:rsidRDefault="007C69F4" w:rsidP="003F6741">
            <w:pPr>
              <w:keepNext/>
              <w:rPr>
                <w:sz w:val="20"/>
                <w:szCs w:val="20"/>
                <w:lang w:eastAsia="en-AU"/>
              </w:rPr>
            </w:pPr>
          </w:p>
        </w:tc>
        <w:tc>
          <w:tcPr>
            <w:tcW w:w="1886" w:type="dxa"/>
          </w:tcPr>
          <w:p w:rsidR="007C69F4" w:rsidRPr="003F6741" w:rsidRDefault="007C69F4" w:rsidP="003F6741">
            <w:pPr>
              <w:keepNext/>
              <w:rPr>
                <w:sz w:val="20"/>
                <w:szCs w:val="20"/>
                <w:lang w:eastAsia="en-AU"/>
              </w:rPr>
            </w:pPr>
          </w:p>
        </w:tc>
      </w:tr>
      <w:tr w:rsidR="007C69F4" w:rsidTr="007C69F4">
        <w:trPr>
          <w:cantSplit/>
          <w:trHeight w:val="270"/>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C69F4" w:rsidRPr="00477752" w:rsidRDefault="007C69F4" w:rsidP="003F6741">
            <w:pPr>
              <w:keepNext/>
              <w:rPr>
                <w:b/>
                <w:sz w:val="20"/>
                <w:szCs w:val="20"/>
                <w:lang w:eastAsia="en-AU"/>
              </w:rPr>
            </w:pPr>
            <w:r w:rsidRPr="00477752">
              <w:rPr>
                <w:b/>
                <w:sz w:val="20"/>
                <w:szCs w:val="20"/>
                <w:lang w:eastAsia="en-AU"/>
              </w:rPr>
              <w:t>Safety specification</w:t>
            </w:r>
          </w:p>
        </w:tc>
        <w:tc>
          <w:tcPr>
            <w:tcW w:w="684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56A57" w:rsidRDefault="007C69F4" w:rsidP="003F6741">
            <w:pPr>
              <w:keepNext/>
              <w:rPr>
                <w:sz w:val="20"/>
                <w:szCs w:val="20"/>
              </w:rPr>
            </w:pPr>
            <w:r w:rsidRPr="003F6741">
              <w:rPr>
                <w:sz w:val="20"/>
                <w:szCs w:val="20"/>
              </w:rPr>
              <w:t>Capillary leak syndrome has been upgraded from ‘important potential risk’ to ‘important identified risk’</w:t>
            </w:r>
            <w:r w:rsidR="00B56A57">
              <w:rPr>
                <w:sz w:val="20"/>
                <w:szCs w:val="20"/>
              </w:rPr>
              <w:t>;</w:t>
            </w:r>
          </w:p>
          <w:p w:rsidR="007C69F4" w:rsidRPr="003F6741" w:rsidRDefault="007C69F4" w:rsidP="003F6741">
            <w:pPr>
              <w:keepNext/>
              <w:rPr>
                <w:sz w:val="20"/>
                <w:szCs w:val="20"/>
              </w:rPr>
            </w:pPr>
            <w:r w:rsidRPr="003F6741">
              <w:rPr>
                <w:sz w:val="20"/>
                <w:szCs w:val="20"/>
              </w:rPr>
              <w:t>Cytokine release syndrome and extra-medullary haematopoiesis have been added as ‘important potential risks’.</w:t>
            </w:r>
            <w:r w:rsidR="009801DD" w:rsidRPr="003F6741">
              <w:rPr>
                <w:sz w:val="20"/>
                <w:szCs w:val="20"/>
              </w:rPr>
              <w:t xml:space="preserve"> </w:t>
            </w:r>
          </w:p>
        </w:tc>
      </w:tr>
      <w:tr w:rsidR="007C69F4" w:rsidTr="007C69F4">
        <w:trPr>
          <w:cantSplit/>
          <w:trHeight w:val="524"/>
        </w:trPr>
        <w:tc>
          <w:tcPr>
            <w:tcW w:w="2240"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C69F4" w:rsidRPr="00477752" w:rsidRDefault="007C69F4" w:rsidP="003F6741">
            <w:pPr>
              <w:rPr>
                <w:b/>
                <w:sz w:val="20"/>
                <w:szCs w:val="20"/>
                <w:lang w:eastAsia="en-AU"/>
              </w:rPr>
            </w:pPr>
            <w:r w:rsidRPr="00477752">
              <w:rPr>
                <w:b/>
                <w:sz w:val="20"/>
                <w:szCs w:val="20"/>
                <w:lang w:eastAsia="en-AU"/>
              </w:rPr>
              <w:t>Pharmacovigilance activities</w:t>
            </w:r>
          </w:p>
        </w:tc>
        <w:tc>
          <w:tcPr>
            <w:tcW w:w="6844"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B56A57" w:rsidRDefault="007C69F4" w:rsidP="003F6741">
            <w:pPr>
              <w:rPr>
                <w:sz w:val="20"/>
                <w:szCs w:val="20"/>
                <w:lang w:eastAsia="en-AU"/>
              </w:rPr>
            </w:pPr>
            <w:r w:rsidRPr="003F6741">
              <w:rPr>
                <w:sz w:val="20"/>
                <w:szCs w:val="20"/>
                <w:lang w:eastAsia="en-AU"/>
              </w:rPr>
              <w:t>Targeted follow-up questionnaires have been added to monitor the following</w:t>
            </w:r>
            <w:r w:rsidR="00B56A57">
              <w:rPr>
                <w:sz w:val="20"/>
                <w:szCs w:val="20"/>
                <w:lang w:eastAsia="en-AU"/>
              </w:rPr>
              <w:t>:</w:t>
            </w:r>
          </w:p>
          <w:p w:rsidR="007C69F4" w:rsidRPr="003F6741" w:rsidRDefault="007C69F4" w:rsidP="003F6741">
            <w:pPr>
              <w:rPr>
                <w:sz w:val="20"/>
                <w:szCs w:val="20"/>
              </w:rPr>
            </w:pPr>
            <w:r w:rsidRPr="003F6741">
              <w:rPr>
                <w:sz w:val="20"/>
                <w:szCs w:val="20"/>
              </w:rPr>
              <w:t xml:space="preserve">Important identified risk: capillary leak syndrome </w:t>
            </w:r>
          </w:p>
          <w:p w:rsidR="007C69F4" w:rsidRPr="003F6741" w:rsidRDefault="007C69F4" w:rsidP="003F6741">
            <w:pPr>
              <w:rPr>
                <w:sz w:val="20"/>
                <w:szCs w:val="20"/>
              </w:rPr>
            </w:pPr>
            <w:r w:rsidRPr="003F6741">
              <w:rPr>
                <w:sz w:val="20"/>
                <w:szCs w:val="20"/>
              </w:rPr>
              <w:t>Important potential risk: immunogenicity which may manifest as lack of effect, cytokine release syndrome and extra-medullary haematopoiesis.</w:t>
            </w:r>
            <w:r w:rsidR="009801DD" w:rsidRPr="003F6741">
              <w:rPr>
                <w:sz w:val="20"/>
                <w:szCs w:val="20"/>
              </w:rPr>
              <w:t xml:space="preserve"> </w:t>
            </w:r>
            <w:r w:rsidRPr="003F6741">
              <w:rPr>
                <w:sz w:val="20"/>
                <w:szCs w:val="20"/>
              </w:rPr>
              <w:t xml:space="preserve"> </w:t>
            </w:r>
          </w:p>
        </w:tc>
      </w:tr>
    </w:tbl>
    <w:p w:rsidR="007C69F4" w:rsidRDefault="007C69F4" w:rsidP="007C69F4">
      <w:pPr>
        <w:spacing w:before="100" w:beforeAutospacing="1" w:after="100" w:afterAutospacing="1"/>
        <w:rPr>
          <w:rFonts w:asciiTheme="minorHAnsi" w:hAnsiTheme="minorHAnsi"/>
        </w:rPr>
      </w:pPr>
      <w:r w:rsidRPr="003F6741">
        <w:rPr>
          <w:rFonts w:asciiTheme="minorHAnsi" w:hAnsiTheme="minorHAnsi"/>
          <w:i/>
        </w:rPr>
        <w:t>RMP evaluator’s comments:</w:t>
      </w:r>
      <w:r w:rsidR="003F6741">
        <w:rPr>
          <w:rFonts w:asciiTheme="minorHAnsi" w:hAnsiTheme="minorHAnsi"/>
        </w:rPr>
        <w:t xml:space="preserve"> </w:t>
      </w:r>
      <w:r>
        <w:rPr>
          <w:rFonts w:asciiTheme="minorHAnsi" w:hAnsiTheme="minorHAnsi"/>
        </w:rPr>
        <w:t>The evaluator has no objection to the above changes and recommends to the Delegate that the updated version is implemented (see below).</w:t>
      </w:r>
    </w:p>
    <w:p w:rsidR="007C69F4" w:rsidRPr="007C69F4" w:rsidRDefault="007C69F4" w:rsidP="003F6741">
      <w:pPr>
        <w:pStyle w:val="Heading5"/>
      </w:pPr>
      <w:r w:rsidRPr="007C69F4">
        <w:t xml:space="preserve">Suggested wording for conditions of registration </w:t>
      </w:r>
    </w:p>
    <w:p w:rsidR="007C69F4" w:rsidRPr="007C69F4" w:rsidRDefault="007C69F4" w:rsidP="003F6741">
      <w:pPr>
        <w:pStyle w:val="Heading6"/>
      </w:pPr>
      <w:r w:rsidRPr="007C69F4">
        <w:t>RMP</w:t>
      </w:r>
    </w:p>
    <w:p w:rsidR="007C69F4" w:rsidRPr="007C69F4" w:rsidRDefault="007C69F4" w:rsidP="003F6741">
      <w:r w:rsidRPr="007C69F4">
        <w:t>Any changes to which the sponsor agreed become part of the risk management system, whether they are included in the currently available version of the RMP document, or not included, inadvertently or otherwise.</w:t>
      </w:r>
    </w:p>
    <w:p w:rsidR="007C69F4" w:rsidRPr="007C69F4" w:rsidRDefault="007C69F4" w:rsidP="003F6741">
      <w:r w:rsidRPr="007C69F4">
        <w:t>The suggested wording is:</w:t>
      </w:r>
    </w:p>
    <w:p w:rsidR="007C69F4" w:rsidRPr="003F6741" w:rsidRDefault="007C69F4" w:rsidP="003F6741">
      <w:pPr>
        <w:pStyle w:val="ListBullet"/>
        <w:numPr>
          <w:ilvl w:val="0"/>
          <w:numId w:val="0"/>
        </w:numPr>
        <w:ind w:left="720"/>
        <w:rPr>
          <w:i/>
        </w:rPr>
      </w:pPr>
      <w:r w:rsidRPr="003F6741">
        <w:rPr>
          <w:i/>
        </w:rPr>
        <w:t>Implement EU-RMP version 8.2 dated 30 April 2015 (data lock point 25 January 2015), Australian Specific Annex dated 26 June 2015 and any future updates as a condition of registration.</w:t>
      </w:r>
    </w:p>
    <w:p w:rsidR="008E7846" w:rsidRPr="00792A32" w:rsidRDefault="008E7846" w:rsidP="007C69F4">
      <w:pPr>
        <w:pStyle w:val="Heading2"/>
      </w:pPr>
      <w:bookmarkStart w:id="191" w:name="_Toc445210975"/>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127"/>
      <w:bookmarkEnd w:id="189"/>
      <w:bookmarkEnd w:id="190"/>
      <w:bookmarkEnd w:id="191"/>
    </w:p>
    <w:p w:rsidR="008E7846" w:rsidRDefault="008E7846" w:rsidP="008E7846">
      <w:bookmarkStart w:id="192"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93" w:name="_Toc314842511"/>
      <w:bookmarkStart w:id="194" w:name="_Toc445210976"/>
      <w:r>
        <w:t>Quality</w:t>
      </w:r>
      <w:bookmarkEnd w:id="192"/>
      <w:bookmarkEnd w:id="193"/>
      <w:bookmarkEnd w:id="194"/>
    </w:p>
    <w:p w:rsidR="007C69F4" w:rsidRDefault="007C69F4" w:rsidP="00B12A95">
      <w:pPr>
        <w:rPr>
          <w:rFonts w:asciiTheme="minorHAnsi" w:hAnsiTheme="minorHAnsi"/>
        </w:rPr>
      </w:pPr>
      <w:bookmarkStart w:id="195" w:name="_Toc314842512"/>
      <w:r>
        <w:rPr>
          <w:rFonts w:asciiTheme="minorHAnsi" w:hAnsiTheme="minorHAnsi"/>
        </w:rPr>
        <w:t>There was outstanding GMP clearance for three of the four manufacturing sites at the time of the second round chemistry evaluation (24</w:t>
      </w:r>
      <w:r w:rsidR="00477752">
        <w:rPr>
          <w:rFonts w:asciiTheme="minorHAnsi" w:hAnsiTheme="minorHAnsi"/>
        </w:rPr>
        <w:t xml:space="preserve"> July 2015</w:t>
      </w:r>
      <w:r>
        <w:rPr>
          <w:rFonts w:asciiTheme="minorHAnsi" w:hAnsiTheme="minorHAnsi"/>
        </w:rPr>
        <w:t>).</w:t>
      </w:r>
      <w:r w:rsidR="00477752">
        <w:rPr>
          <w:rFonts w:asciiTheme="minorHAnsi" w:hAnsiTheme="minorHAnsi"/>
        </w:rPr>
        <w:t xml:space="preserve"> </w:t>
      </w:r>
      <w:r>
        <w:rPr>
          <w:rFonts w:asciiTheme="minorHAnsi" w:hAnsiTheme="minorHAnsi"/>
        </w:rPr>
        <w:t>There were no other objections to registration.</w:t>
      </w:r>
    </w:p>
    <w:p w:rsidR="008E7846" w:rsidRDefault="008E7846" w:rsidP="008E7846">
      <w:pPr>
        <w:pStyle w:val="Heading3"/>
      </w:pPr>
      <w:bookmarkStart w:id="196" w:name="_Toc445210977"/>
      <w:r>
        <w:t>Nonclinical</w:t>
      </w:r>
      <w:bookmarkEnd w:id="195"/>
      <w:bookmarkEnd w:id="196"/>
    </w:p>
    <w:p w:rsidR="007C69F4" w:rsidRDefault="007C69F4" w:rsidP="00B12A95">
      <w:bookmarkStart w:id="197" w:name="_Toc247691530"/>
      <w:bookmarkStart w:id="198" w:name="_Toc314842513"/>
      <w:r>
        <w:t xml:space="preserve">The nonclinical evaluator did not object to registration; the PI changes recommended at </w:t>
      </w:r>
      <w:r w:rsidR="00477752">
        <w:t xml:space="preserve">in the first </w:t>
      </w:r>
      <w:r>
        <w:t xml:space="preserve">round </w:t>
      </w:r>
      <w:r w:rsidR="00477752">
        <w:t xml:space="preserve">evaluation </w:t>
      </w:r>
      <w:r>
        <w:t>report were satisfactorily resolved.</w:t>
      </w:r>
    </w:p>
    <w:p w:rsidR="008E7846" w:rsidRDefault="008E7846" w:rsidP="008E7846">
      <w:pPr>
        <w:pStyle w:val="Heading3"/>
      </w:pPr>
      <w:bookmarkStart w:id="199" w:name="_Toc445210978"/>
      <w:r>
        <w:t>Clinical</w:t>
      </w:r>
      <w:bookmarkEnd w:id="197"/>
      <w:bookmarkEnd w:id="198"/>
      <w:bookmarkEnd w:id="199"/>
    </w:p>
    <w:p w:rsidR="007C69F4" w:rsidRDefault="007C69F4" w:rsidP="00477752">
      <w:pPr>
        <w:rPr>
          <w:rFonts w:asciiTheme="minorHAnsi" w:hAnsiTheme="minorHAnsi"/>
        </w:rPr>
      </w:pPr>
      <w:bookmarkStart w:id="200" w:name="_Toc314842514"/>
      <w:r>
        <w:t xml:space="preserve">The sponsor states that the dossier presented to the TGA is identical to that presented to the EMA on 20 November 2011, with the exception of updates, addressing issues during </w:t>
      </w:r>
      <w:r>
        <w:lastRenderedPageBreak/>
        <w:t>the EU evaluation and the pre-submission meeting with the TGA.</w:t>
      </w:r>
      <w:r w:rsidR="00477752">
        <w:t xml:space="preserve"> </w:t>
      </w:r>
      <w:r>
        <w:rPr>
          <w:rFonts w:asciiTheme="minorHAnsi" w:hAnsiTheme="minorHAnsi"/>
        </w:rPr>
        <w:t xml:space="preserve">Overview of submitted clinical studies of </w:t>
      </w:r>
      <w:proofErr w:type="spellStart"/>
      <w:r>
        <w:rPr>
          <w:rFonts w:asciiTheme="minorHAnsi" w:hAnsiTheme="minorHAnsi"/>
        </w:rPr>
        <w:t>lipegfilgrastim</w:t>
      </w:r>
      <w:proofErr w:type="spellEnd"/>
      <w:r>
        <w:rPr>
          <w:rFonts w:asciiTheme="minorHAnsi" w:hAnsiTheme="minorHAnsi"/>
        </w:rPr>
        <w:t xml:space="preserve"> </w:t>
      </w:r>
      <w:r w:rsidR="00477752">
        <w:rPr>
          <w:rFonts w:asciiTheme="minorHAnsi" w:hAnsiTheme="minorHAnsi"/>
        </w:rPr>
        <w:t>and</w:t>
      </w:r>
      <w:r>
        <w:rPr>
          <w:rFonts w:asciiTheme="minorHAnsi" w:hAnsiTheme="minorHAnsi"/>
        </w:rPr>
        <w:t xml:space="preserve"> post-marketing reports </w:t>
      </w:r>
    </w:p>
    <w:p w:rsidR="00477752" w:rsidRDefault="00477752" w:rsidP="00477752">
      <w:pPr>
        <w:pStyle w:val="TableTitle"/>
      </w:pPr>
      <w:r>
        <w:t>Table 13: Details of clinical studies and post-marketing reports submitted</w:t>
      </w:r>
    </w:p>
    <w:tbl>
      <w:tblPr>
        <w:tblStyle w:val="TableTGAblue"/>
        <w:tblW w:w="0" w:type="auto"/>
        <w:tblLook w:val="04A0" w:firstRow="1" w:lastRow="0" w:firstColumn="1" w:lastColumn="0" w:noHBand="0" w:noVBand="1"/>
      </w:tblPr>
      <w:tblGrid>
        <w:gridCol w:w="2029"/>
        <w:gridCol w:w="2029"/>
        <w:gridCol w:w="2029"/>
        <w:gridCol w:w="2029"/>
        <w:gridCol w:w="72"/>
      </w:tblGrid>
      <w:tr w:rsidR="007C69F4" w:rsidTr="008C5E81">
        <w:trPr>
          <w:gridAfter w:val="1"/>
          <w:cnfStyle w:val="100000000000" w:firstRow="1" w:lastRow="0" w:firstColumn="0" w:lastColumn="0" w:oddVBand="0" w:evenVBand="0" w:oddHBand="0" w:evenHBand="0" w:firstRowFirstColumn="0" w:firstRowLastColumn="0" w:lastRowFirstColumn="0" w:lastRowLastColumn="0"/>
          <w:wAfter w:w="72" w:type="dxa"/>
          <w:trHeight w:val="283"/>
        </w:trPr>
        <w:tc>
          <w:tcPr>
            <w:tcW w:w="2029" w:type="dxa"/>
            <w:shd w:val="clear" w:color="auto" w:fill="0070C0"/>
            <w:hideMark/>
          </w:tcPr>
          <w:p w:rsidR="007C69F4" w:rsidRPr="00477752" w:rsidRDefault="007C69F4" w:rsidP="00477752">
            <w:pPr>
              <w:spacing w:before="0" w:after="0" w:line="240" w:lineRule="auto"/>
              <w:ind w:left="0" w:right="0"/>
              <w:rPr>
                <w:sz w:val="20"/>
                <w:szCs w:val="20"/>
              </w:rPr>
            </w:pPr>
            <w:r w:rsidRPr="00477752">
              <w:rPr>
                <w:sz w:val="20"/>
                <w:szCs w:val="20"/>
              </w:rPr>
              <w:t xml:space="preserve">Study No. </w:t>
            </w:r>
          </w:p>
        </w:tc>
        <w:tc>
          <w:tcPr>
            <w:tcW w:w="2029" w:type="dxa"/>
            <w:shd w:val="clear" w:color="auto" w:fill="0070C0"/>
            <w:hideMark/>
          </w:tcPr>
          <w:p w:rsidR="007C69F4" w:rsidRPr="00477752" w:rsidRDefault="007C69F4" w:rsidP="00477752">
            <w:pPr>
              <w:spacing w:before="0" w:after="0" w:line="240" w:lineRule="auto"/>
              <w:ind w:left="0" w:right="0"/>
              <w:rPr>
                <w:sz w:val="20"/>
                <w:szCs w:val="20"/>
              </w:rPr>
            </w:pPr>
            <w:r w:rsidRPr="00477752">
              <w:rPr>
                <w:sz w:val="20"/>
                <w:szCs w:val="20"/>
              </w:rPr>
              <w:t xml:space="preserve">Type of study </w:t>
            </w:r>
          </w:p>
        </w:tc>
        <w:tc>
          <w:tcPr>
            <w:tcW w:w="2029" w:type="dxa"/>
            <w:shd w:val="clear" w:color="auto" w:fill="0070C0"/>
            <w:hideMark/>
          </w:tcPr>
          <w:p w:rsidR="007C69F4" w:rsidRPr="00477752" w:rsidRDefault="007C69F4" w:rsidP="00477752">
            <w:pPr>
              <w:spacing w:before="0" w:after="0" w:line="240" w:lineRule="auto"/>
              <w:ind w:left="0" w:right="0"/>
              <w:rPr>
                <w:sz w:val="20"/>
                <w:szCs w:val="20"/>
              </w:rPr>
            </w:pPr>
            <w:r w:rsidRPr="00477752">
              <w:rPr>
                <w:sz w:val="20"/>
                <w:szCs w:val="20"/>
              </w:rPr>
              <w:t xml:space="preserve">Design </w:t>
            </w:r>
          </w:p>
        </w:tc>
        <w:tc>
          <w:tcPr>
            <w:tcW w:w="2029" w:type="dxa"/>
            <w:shd w:val="clear" w:color="auto" w:fill="0070C0"/>
            <w:hideMark/>
          </w:tcPr>
          <w:p w:rsidR="007C69F4" w:rsidRPr="00477752" w:rsidRDefault="007C69F4" w:rsidP="00477752">
            <w:pPr>
              <w:spacing w:before="0" w:after="0" w:line="240" w:lineRule="auto"/>
              <w:ind w:left="0" w:right="0"/>
              <w:rPr>
                <w:sz w:val="20"/>
                <w:szCs w:val="20"/>
              </w:rPr>
            </w:pPr>
            <w:r w:rsidRPr="00477752">
              <w:rPr>
                <w:sz w:val="20"/>
                <w:szCs w:val="20"/>
              </w:rPr>
              <w:t xml:space="preserve">Dosage regimen </w:t>
            </w:r>
          </w:p>
        </w:tc>
      </w:tr>
      <w:tr w:rsidR="007C69F4" w:rsidTr="00B12A95">
        <w:trPr>
          <w:gridAfter w:val="1"/>
          <w:wAfter w:w="72" w:type="dxa"/>
          <w:trHeight w:val="749"/>
        </w:trPr>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XM22-01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PK, PD and safety, Healthy subjects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Phase I, single-centre, single-blind, randomised dose escalation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Pilot cohort: single </w:t>
            </w:r>
            <w:r w:rsidR="00477752">
              <w:rPr>
                <w:sz w:val="20"/>
                <w:szCs w:val="20"/>
              </w:rPr>
              <w:t>SC</w:t>
            </w:r>
            <w:r w:rsidRPr="00477752">
              <w:rPr>
                <w:sz w:val="20"/>
                <w:szCs w:val="20"/>
              </w:rPr>
              <w:t xml:space="preserve"> dose of 25 </w:t>
            </w:r>
            <w:proofErr w:type="spellStart"/>
            <w:r w:rsidRPr="00477752">
              <w:rPr>
                <w:sz w:val="20"/>
                <w:szCs w:val="20"/>
              </w:rPr>
              <w:t>μg</w:t>
            </w:r>
            <w:proofErr w:type="spellEnd"/>
            <w:r w:rsidRPr="00477752">
              <w:rPr>
                <w:sz w:val="20"/>
                <w:szCs w:val="20"/>
              </w:rPr>
              <w:t xml:space="preserve">/kg </w:t>
            </w:r>
            <w:proofErr w:type="spellStart"/>
            <w:r w:rsidRPr="00477752">
              <w:rPr>
                <w:sz w:val="20"/>
                <w:szCs w:val="20"/>
              </w:rPr>
              <w:t>Lonquex</w:t>
            </w:r>
            <w:proofErr w:type="spellEnd"/>
            <w:r w:rsidRPr="00477752">
              <w:rPr>
                <w:sz w:val="20"/>
                <w:szCs w:val="20"/>
              </w:rPr>
              <w:t xml:space="preserve"> Main study: single </w:t>
            </w:r>
            <w:r w:rsidR="00477752">
              <w:rPr>
                <w:sz w:val="20"/>
                <w:szCs w:val="20"/>
              </w:rPr>
              <w:t>SC</w:t>
            </w:r>
            <w:r w:rsidR="00477752" w:rsidRPr="00477752">
              <w:rPr>
                <w:sz w:val="20"/>
                <w:szCs w:val="20"/>
              </w:rPr>
              <w:t xml:space="preserve"> </w:t>
            </w:r>
            <w:r w:rsidRPr="00477752">
              <w:rPr>
                <w:sz w:val="20"/>
                <w:szCs w:val="20"/>
              </w:rPr>
              <w:t xml:space="preserve">dose of 50 or 100 </w:t>
            </w:r>
            <w:proofErr w:type="spellStart"/>
            <w:r w:rsidRPr="00477752">
              <w:rPr>
                <w:sz w:val="20"/>
                <w:szCs w:val="20"/>
              </w:rPr>
              <w:t>μg</w:t>
            </w:r>
            <w:proofErr w:type="spellEnd"/>
            <w:r w:rsidRPr="00477752">
              <w:rPr>
                <w:sz w:val="20"/>
                <w:szCs w:val="20"/>
              </w:rPr>
              <w:t xml:space="preserve">/kg </w:t>
            </w:r>
            <w:proofErr w:type="spellStart"/>
            <w:r w:rsidRPr="00477752">
              <w:rPr>
                <w:sz w:val="20"/>
                <w:szCs w:val="20"/>
              </w:rPr>
              <w:t>Lonquex</w:t>
            </w:r>
            <w:proofErr w:type="spellEnd"/>
            <w:r w:rsidRPr="00477752">
              <w:rPr>
                <w:sz w:val="20"/>
                <w:szCs w:val="20"/>
              </w:rPr>
              <w:t xml:space="preserve"> or 100 </w:t>
            </w:r>
            <w:proofErr w:type="spellStart"/>
            <w:r w:rsidRPr="00477752">
              <w:rPr>
                <w:sz w:val="20"/>
                <w:szCs w:val="20"/>
              </w:rPr>
              <w:t>μg</w:t>
            </w:r>
            <w:proofErr w:type="spellEnd"/>
            <w:r w:rsidRPr="00477752">
              <w:rPr>
                <w:sz w:val="20"/>
                <w:szCs w:val="20"/>
              </w:rPr>
              <w:t xml:space="preserve">/kg </w:t>
            </w:r>
            <w:proofErr w:type="spellStart"/>
            <w:r w:rsidRPr="00477752">
              <w:rPr>
                <w:sz w:val="20"/>
                <w:szCs w:val="20"/>
              </w:rPr>
              <w:t>pegfilgrastim</w:t>
            </w:r>
            <w:proofErr w:type="spellEnd"/>
            <w:r w:rsidRPr="00477752">
              <w:rPr>
                <w:sz w:val="20"/>
                <w:szCs w:val="20"/>
              </w:rPr>
              <w:t xml:space="preserve"> </w:t>
            </w:r>
          </w:p>
        </w:tc>
      </w:tr>
      <w:tr w:rsidR="007C69F4" w:rsidTr="00B12A95">
        <w:trPr>
          <w:gridAfter w:val="1"/>
          <w:wAfter w:w="72" w:type="dxa"/>
          <w:trHeight w:val="881"/>
        </w:trPr>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XM22-05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PK, PD and safety, Healthy subjects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Phase I, single-centre, single-blind, randomised, parallel-group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Single </w:t>
            </w:r>
            <w:r w:rsidR="00477752">
              <w:rPr>
                <w:sz w:val="20"/>
                <w:szCs w:val="20"/>
              </w:rPr>
              <w:t>SC</w:t>
            </w:r>
            <w:r w:rsidR="00477752" w:rsidRPr="00477752">
              <w:rPr>
                <w:sz w:val="20"/>
                <w:szCs w:val="20"/>
              </w:rPr>
              <w:t xml:space="preserve"> </w:t>
            </w:r>
            <w:r w:rsidRPr="00477752">
              <w:rPr>
                <w:sz w:val="20"/>
                <w:szCs w:val="20"/>
              </w:rPr>
              <w:t xml:space="preserve">dose of 6 mg </w:t>
            </w:r>
            <w:proofErr w:type="spellStart"/>
            <w:r w:rsidRPr="00477752">
              <w:rPr>
                <w:sz w:val="20"/>
                <w:szCs w:val="20"/>
              </w:rPr>
              <w:t>Lonquex</w:t>
            </w:r>
            <w:proofErr w:type="spellEnd"/>
            <w:r w:rsidRPr="00477752">
              <w:rPr>
                <w:sz w:val="20"/>
                <w:szCs w:val="20"/>
              </w:rPr>
              <w:t xml:space="preserve"> or 6 mg </w:t>
            </w:r>
            <w:proofErr w:type="spellStart"/>
            <w:r w:rsidRPr="00477752">
              <w:rPr>
                <w:sz w:val="20"/>
                <w:szCs w:val="20"/>
              </w:rPr>
              <w:t>pegfilgrastim</w:t>
            </w:r>
            <w:proofErr w:type="spellEnd"/>
            <w:r w:rsidRPr="00477752">
              <w:rPr>
                <w:sz w:val="20"/>
                <w:szCs w:val="20"/>
              </w:rPr>
              <w:t xml:space="preserve"> </w:t>
            </w:r>
          </w:p>
        </w:tc>
      </w:tr>
      <w:tr w:rsidR="007C69F4" w:rsidTr="00B12A95">
        <w:trPr>
          <w:gridAfter w:val="1"/>
          <w:wAfter w:w="72" w:type="dxa"/>
          <w:trHeight w:val="1248"/>
        </w:trPr>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XM22-06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PK, PD and safety, Healthy subjects, Three different injection sites tested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Phase I, single-centre, open-label, randomised, three-way crossover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Single </w:t>
            </w:r>
            <w:r w:rsidR="00477752">
              <w:rPr>
                <w:sz w:val="20"/>
                <w:szCs w:val="20"/>
              </w:rPr>
              <w:t>SC</w:t>
            </w:r>
            <w:r w:rsidR="00477752" w:rsidRPr="00477752">
              <w:rPr>
                <w:sz w:val="20"/>
                <w:szCs w:val="20"/>
              </w:rPr>
              <w:t xml:space="preserve"> </w:t>
            </w:r>
            <w:r w:rsidRPr="00477752">
              <w:rPr>
                <w:sz w:val="20"/>
                <w:szCs w:val="20"/>
              </w:rPr>
              <w:t xml:space="preserve">dose of 6 mg </w:t>
            </w:r>
            <w:proofErr w:type="spellStart"/>
            <w:r w:rsidRPr="00477752">
              <w:rPr>
                <w:sz w:val="20"/>
                <w:szCs w:val="20"/>
              </w:rPr>
              <w:t>Lonquex</w:t>
            </w:r>
            <w:proofErr w:type="spellEnd"/>
            <w:r w:rsidRPr="00477752">
              <w:rPr>
                <w:sz w:val="20"/>
                <w:szCs w:val="20"/>
              </w:rPr>
              <w:t xml:space="preserve"> at 3 different injection sites (upper arm, abdomen, thigh), separated by 3-week washout </w:t>
            </w:r>
          </w:p>
        </w:tc>
      </w:tr>
      <w:tr w:rsidR="007C69F4" w:rsidTr="00B12A95">
        <w:trPr>
          <w:gridAfter w:val="1"/>
          <w:wAfter w:w="72" w:type="dxa"/>
          <w:trHeight w:val="1248"/>
        </w:trPr>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XM22-02-INT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Efficacy, PK, PD and safety, Breast cancer patients, Dose finding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Phase II, multinational, multicentre, randomised, double-blind, parallel-group, active-controlled, dose finding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Single </w:t>
            </w:r>
            <w:r w:rsidR="00477752">
              <w:rPr>
                <w:sz w:val="20"/>
                <w:szCs w:val="20"/>
              </w:rPr>
              <w:t>SC</w:t>
            </w:r>
            <w:r w:rsidR="00477752" w:rsidRPr="00477752">
              <w:rPr>
                <w:sz w:val="20"/>
                <w:szCs w:val="20"/>
              </w:rPr>
              <w:t xml:space="preserve"> </w:t>
            </w:r>
            <w:r w:rsidRPr="00477752">
              <w:rPr>
                <w:sz w:val="20"/>
                <w:szCs w:val="20"/>
              </w:rPr>
              <w:t xml:space="preserve">injection of 3 mg, 4.5 mg or 6 mg </w:t>
            </w:r>
            <w:proofErr w:type="spellStart"/>
            <w:r w:rsidRPr="00477752">
              <w:rPr>
                <w:sz w:val="20"/>
                <w:szCs w:val="20"/>
              </w:rPr>
              <w:t>Lonquex</w:t>
            </w:r>
            <w:proofErr w:type="spellEnd"/>
            <w:r w:rsidRPr="00477752">
              <w:rPr>
                <w:sz w:val="20"/>
                <w:szCs w:val="20"/>
              </w:rPr>
              <w:t xml:space="preserve"> or 6 mg </w:t>
            </w:r>
            <w:proofErr w:type="spellStart"/>
            <w:r w:rsidRPr="00477752">
              <w:rPr>
                <w:sz w:val="20"/>
                <w:szCs w:val="20"/>
              </w:rPr>
              <w:t>pegfilgrastim</w:t>
            </w:r>
            <w:proofErr w:type="spellEnd"/>
            <w:r w:rsidRPr="00477752">
              <w:rPr>
                <w:sz w:val="20"/>
                <w:szCs w:val="20"/>
              </w:rPr>
              <w:t xml:space="preserve"> on day 2 of each chemotherapy cycle </w:t>
            </w:r>
          </w:p>
        </w:tc>
      </w:tr>
      <w:tr w:rsidR="007C69F4" w:rsidTr="00B12A95">
        <w:trPr>
          <w:gridAfter w:val="1"/>
          <w:wAfter w:w="72" w:type="dxa"/>
          <w:trHeight w:val="1077"/>
        </w:trPr>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XM22-03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Efficacy, PK, PD and safety, Breast cancer patients, Active-controlled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Phase III, multinational, multicentre, randomised, double-blind, parallel-group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Single </w:t>
            </w:r>
            <w:r w:rsidR="00477752">
              <w:rPr>
                <w:sz w:val="20"/>
                <w:szCs w:val="20"/>
              </w:rPr>
              <w:t>SC</w:t>
            </w:r>
            <w:r w:rsidRPr="00477752">
              <w:rPr>
                <w:sz w:val="20"/>
                <w:szCs w:val="20"/>
              </w:rPr>
              <w:t xml:space="preserve"> injection of 6 mg </w:t>
            </w:r>
            <w:proofErr w:type="spellStart"/>
            <w:r w:rsidRPr="00477752">
              <w:rPr>
                <w:sz w:val="20"/>
                <w:szCs w:val="20"/>
              </w:rPr>
              <w:t>Lonquex</w:t>
            </w:r>
            <w:proofErr w:type="spellEnd"/>
            <w:r w:rsidRPr="00477752">
              <w:rPr>
                <w:sz w:val="20"/>
                <w:szCs w:val="20"/>
              </w:rPr>
              <w:t xml:space="preserve"> or 6 mg </w:t>
            </w:r>
            <w:proofErr w:type="spellStart"/>
            <w:r w:rsidRPr="00477752">
              <w:rPr>
                <w:sz w:val="20"/>
                <w:szCs w:val="20"/>
              </w:rPr>
              <w:t>pegfilgrastim</w:t>
            </w:r>
            <w:proofErr w:type="spellEnd"/>
            <w:r w:rsidRPr="00477752">
              <w:rPr>
                <w:sz w:val="20"/>
                <w:szCs w:val="20"/>
              </w:rPr>
              <w:t xml:space="preserve"> on day 2 of each chemotherapy cycle </w:t>
            </w:r>
          </w:p>
        </w:tc>
      </w:tr>
      <w:tr w:rsidR="007C69F4" w:rsidTr="00B12A95">
        <w:trPr>
          <w:gridAfter w:val="1"/>
          <w:wAfter w:w="72" w:type="dxa"/>
          <w:trHeight w:val="682"/>
        </w:trPr>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XM22-04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Efficacy, PK, PD and safety, NSCLC patients, Placebo-controlled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Phase III, multinational, multicentre, randomised, double-blind, parallel-group study </w:t>
            </w:r>
          </w:p>
        </w:tc>
        <w:tc>
          <w:tcPr>
            <w:tcW w:w="2029" w:type="dxa"/>
            <w:hideMark/>
          </w:tcPr>
          <w:p w:rsidR="007C69F4" w:rsidRPr="00477752" w:rsidRDefault="007C69F4" w:rsidP="00477752">
            <w:pPr>
              <w:spacing w:before="0" w:after="0" w:line="240" w:lineRule="auto"/>
              <w:ind w:left="0" w:right="0"/>
              <w:rPr>
                <w:sz w:val="20"/>
                <w:szCs w:val="20"/>
              </w:rPr>
            </w:pPr>
            <w:r w:rsidRPr="00477752">
              <w:rPr>
                <w:sz w:val="20"/>
                <w:szCs w:val="20"/>
              </w:rPr>
              <w:t xml:space="preserve">Single </w:t>
            </w:r>
            <w:r w:rsidR="00477752">
              <w:rPr>
                <w:sz w:val="20"/>
                <w:szCs w:val="20"/>
              </w:rPr>
              <w:t>SC</w:t>
            </w:r>
            <w:r w:rsidR="00477752" w:rsidRPr="00477752">
              <w:rPr>
                <w:sz w:val="20"/>
                <w:szCs w:val="20"/>
              </w:rPr>
              <w:t xml:space="preserve"> </w:t>
            </w:r>
            <w:r w:rsidRPr="00477752">
              <w:rPr>
                <w:sz w:val="20"/>
                <w:szCs w:val="20"/>
              </w:rPr>
              <w:t xml:space="preserve">injection of 6 mg </w:t>
            </w:r>
            <w:proofErr w:type="spellStart"/>
            <w:r w:rsidRPr="00477752">
              <w:rPr>
                <w:sz w:val="20"/>
                <w:szCs w:val="20"/>
              </w:rPr>
              <w:t>Lonquex</w:t>
            </w:r>
            <w:proofErr w:type="spellEnd"/>
            <w:r w:rsidRPr="00477752">
              <w:rPr>
                <w:sz w:val="20"/>
                <w:szCs w:val="20"/>
              </w:rPr>
              <w:t xml:space="preserve"> or placebo on day 4 of each chemotherapy cycle </w:t>
            </w:r>
          </w:p>
        </w:tc>
      </w:tr>
      <w:tr w:rsidR="007C69F4" w:rsidTr="008B7E46">
        <w:trPr>
          <w:cantSplit/>
          <w:trHeight w:val="340"/>
        </w:trPr>
        <w:tc>
          <w:tcPr>
            <w:tcW w:w="4058" w:type="dxa"/>
            <w:gridSpan w:val="2"/>
            <w:shd w:val="clear" w:color="auto" w:fill="0070C0"/>
            <w:hideMark/>
          </w:tcPr>
          <w:p w:rsidR="007C69F4" w:rsidRPr="00477752" w:rsidRDefault="007C69F4" w:rsidP="00477752">
            <w:pPr>
              <w:spacing w:before="0" w:after="0" w:line="240" w:lineRule="auto"/>
              <w:ind w:left="0" w:right="0"/>
              <w:rPr>
                <w:rFonts w:eastAsia="MS Mincho"/>
                <w:b/>
                <w:color w:val="FFFFFF" w:themeColor="background1"/>
                <w:sz w:val="20"/>
                <w:szCs w:val="20"/>
                <w:lang w:eastAsia="ja-JP"/>
              </w:rPr>
            </w:pPr>
            <w:r w:rsidRPr="00477752">
              <w:rPr>
                <w:b/>
                <w:color w:val="FFFFFF" w:themeColor="background1"/>
                <w:sz w:val="20"/>
                <w:szCs w:val="20"/>
              </w:rPr>
              <w:t xml:space="preserve">PSUR </w:t>
            </w:r>
          </w:p>
        </w:tc>
        <w:tc>
          <w:tcPr>
            <w:tcW w:w="4130" w:type="dxa"/>
            <w:gridSpan w:val="3"/>
            <w:shd w:val="clear" w:color="auto" w:fill="0070C0"/>
            <w:hideMark/>
          </w:tcPr>
          <w:p w:rsidR="007C69F4" w:rsidRPr="00477752" w:rsidRDefault="007C69F4" w:rsidP="00477752">
            <w:pPr>
              <w:spacing w:before="0" w:after="0" w:line="240" w:lineRule="auto"/>
              <w:ind w:left="0" w:right="0"/>
              <w:rPr>
                <w:rFonts w:eastAsia="MS Mincho"/>
                <w:b/>
                <w:color w:val="FFFFFF" w:themeColor="background1"/>
                <w:sz w:val="20"/>
                <w:szCs w:val="20"/>
                <w:lang w:eastAsia="ja-JP"/>
              </w:rPr>
            </w:pPr>
            <w:r w:rsidRPr="00477752">
              <w:rPr>
                <w:b/>
                <w:color w:val="FFFFFF" w:themeColor="background1"/>
                <w:sz w:val="20"/>
                <w:szCs w:val="20"/>
              </w:rPr>
              <w:t>Pertains to use between</w:t>
            </w:r>
          </w:p>
        </w:tc>
      </w:tr>
      <w:tr w:rsidR="007C69F4" w:rsidTr="008B7E46">
        <w:trPr>
          <w:cantSplit/>
        </w:trPr>
        <w:tc>
          <w:tcPr>
            <w:tcW w:w="405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C69F4" w:rsidRPr="00477752" w:rsidRDefault="007C69F4" w:rsidP="00F653F4">
            <w:pPr>
              <w:spacing w:before="0" w:after="0" w:line="240" w:lineRule="auto"/>
              <w:ind w:left="0" w:right="0"/>
              <w:rPr>
                <w:rFonts w:eastAsia="MS Mincho"/>
                <w:sz w:val="20"/>
                <w:szCs w:val="20"/>
                <w:lang w:eastAsia="ja-JP"/>
              </w:rPr>
            </w:pPr>
            <w:r w:rsidRPr="00477752">
              <w:rPr>
                <w:sz w:val="20"/>
                <w:szCs w:val="20"/>
              </w:rPr>
              <w:t>P</w:t>
            </w:r>
            <w:r w:rsidR="00F653F4">
              <w:rPr>
                <w:sz w:val="20"/>
                <w:szCs w:val="20"/>
              </w:rPr>
              <w:t>SUR</w:t>
            </w:r>
            <w:r w:rsidRPr="00477752">
              <w:rPr>
                <w:sz w:val="20"/>
                <w:szCs w:val="20"/>
              </w:rPr>
              <w:t>-765-02-14</w:t>
            </w:r>
          </w:p>
        </w:tc>
        <w:tc>
          <w:tcPr>
            <w:tcW w:w="413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C69F4" w:rsidRPr="00477752" w:rsidRDefault="007C69F4" w:rsidP="00477752">
            <w:pPr>
              <w:spacing w:before="0" w:after="0" w:line="240" w:lineRule="auto"/>
              <w:ind w:left="0" w:right="0"/>
              <w:rPr>
                <w:rFonts w:eastAsia="MS Mincho"/>
                <w:sz w:val="20"/>
                <w:szCs w:val="20"/>
                <w:lang w:eastAsia="ja-JP"/>
              </w:rPr>
            </w:pPr>
            <w:r w:rsidRPr="00477752">
              <w:rPr>
                <w:sz w:val="20"/>
                <w:szCs w:val="20"/>
              </w:rPr>
              <w:t>25 July 2013- 25 January 2014</w:t>
            </w:r>
          </w:p>
        </w:tc>
      </w:tr>
      <w:tr w:rsidR="007C69F4" w:rsidTr="008B7E46">
        <w:trPr>
          <w:cantSplit/>
        </w:trPr>
        <w:tc>
          <w:tcPr>
            <w:tcW w:w="4058" w:type="dxa"/>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C69F4" w:rsidRPr="00477752" w:rsidRDefault="007C69F4" w:rsidP="00F653F4">
            <w:pPr>
              <w:spacing w:before="0" w:after="0" w:line="240" w:lineRule="auto"/>
              <w:ind w:left="0" w:right="0"/>
              <w:rPr>
                <w:rFonts w:eastAsia="MS Mincho"/>
                <w:sz w:val="20"/>
                <w:szCs w:val="20"/>
                <w:lang w:eastAsia="ja-JP"/>
              </w:rPr>
            </w:pPr>
            <w:r w:rsidRPr="00477752">
              <w:rPr>
                <w:sz w:val="20"/>
                <w:szCs w:val="20"/>
              </w:rPr>
              <w:t>P</w:t>
            </w:r>
            <w:r w:rsidR="00F653F4">
              <w:rPr>
                <w:sz w:val="20"/>
                <w:szCs w:val="20"/>
              </w:rPr>
              <w:t>SUR</w:t>
            </w:r>
            <w:r w:rsidRPr="00477752">
              <w:rPr>
                <w:sz w:val="20"/>
                <w:szCs w:val="20"/>
              </w:rPr>
              <w:t>-765-08-14</w:t>
            </w:r>
          </w:p>
        </w:tc>
        <w:tc>
          <w:tcPr>
            <w:tcW w:w="4130"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7C69F4" w:rsidRPr="00477752" w:rsidRDefault="007C69F4" w:rsidP="00477752">
            <w:pPr>
              <w:spacing w:before="0" w:after="0" w:line="240" w:lineRule="auto"/>
              <w:ind w:left="0" w:right="0"/>
              <w:rPr>
                <w:rFonts w:eastAsia="MS Mincho"/>
                <w:sz w:val="20"/>
                <w:szCs w:val="20"/>
                <w:lang w:eastAsia="ja-JP"/>
              </w:rPr>
            </w:pPr>
            <w:r w:rsidRPr="00477752">
              <w:rPr>
                <w:sz w:val="20"/>
                <w:szCs w:val="20"/>
              </w:rPr>
              <w:t>26 January 2014-25 July 2014</w:t>
            </w:r>
          </w:p>
        </w:tc>
      </w:tr>
    </w:tbl>
    <w:p w:rsidR="007C69F4" w:rsidRDefault="007C69F4" w:rsidP="00B12A95">
      <w:pPr>
        <w:pStyle w:val="Heading4"/>
      </w:pPr>
      <w:r>
        <w:t>Pharmacology</w:t>
      </w:r>
    </w:p>
    <w:p w:rsidR="007C69F4" w:rsidRDefault="007C69F4" w:rsidP="00B12A95">
      <w:r>
        <w:t xml:space="preserve">Three </w:t>
      </w:r>
      <w:r w:rsidR="00127BB7">
        <w:t>Phase I</w:t>
      </w:r>
      <w:r>
        <w:t xml:space="preserve"> studies of PK in healthy subjects were presented in the CER</w:t>
      </w:r>
      <w:r w:rsidR="00477752">
        <w:t xml:space="preserve"> (Attachment 2)</w:t>
      </w:r>
      <w:r>
        <w:t>.</w:t>
      </w:r>
    </w:p>
    <w:p w:rsidR="007C69F4" w:rsidRDefault="007C69F4" w:rsidP="00B12A95">
      <w:pPr>
        <w:pStyle w:val="Heading5"/>
      </w:pPr>
      <w:r>
        <w:t>Absorption</w:t>
      </w:r>
    </w:p>
    <w:p w:rsidR="007C69F4" w:rsidRDefault="007C69F4" w:rsidP="007C69F4">
      <w:pPr>
        <w:spacing w:before="0" w:after="0" w:line="240" w:lineRule="auto"/>
        <w:jc w:val="both"/>
        <w:rPr>
          <w:rFonts w:asciiTheme="minorHAnsi" w:hAnsiTheme="minorHAnsi"/>
        </w:rPr>
      </w:pPr>
      <w:r>
        <w:rPr>
          <w:rFonts w:asciiTheme="minorHAnsi" w:hAnsiTheme="minorHAnsi"/>
        </w:rPr>
        <w:t xml:space="preserve">A single formulation of </w:t>
      </w:r>
      <w:proofErr w:type="spellStart"/>
      <w:r>
        <w:rPr>
          <w:rFonts w:asciiTheme="minorHAnsi" w:hAnsiTheme="minorHAnsi"/>
        </w:rPr>
        <w:t>lipegfilgrastim</w:t>
      </w:r>
      <w:proofErr w:type="spellEnd"/>
      <w:r>
        <w:rPr>
          <w:rFonts w:asciiTheme="minorHAnsi" w:hAnsiTheme="minorHAnsi"/>
        </w:rPr>
        <w:t xml:space="preserve"> is presented for </w:t>
      </w:r>
      <w:r w:rsidR="00477752">
        <w:rPr>
          <w:rFonts w:asciiTheme="minorHAnsi" w:hAnsiTheme="minorHAnsi"/>
        </w:rPr>
        <w:t>SC</w:t>
      </w:r>
      <w:r>
        <w:rPr>
          <w:rFonts w:asciiTheme="minorHAnsi" w:hAnsiTheme="minorHAnsi"/>
        </w:rPr>
        <w:t xml:space="preserve"> use only.</w:t>
      </w:r>
    </w:p>
    <w:p w:rsidR="00B56A57" w:rsidRDefault="007C69F4" w:rsidP="00B12A95">
      <w:r>
        <w:t xml:space="preserve">In healthy volunteers, maximal serum concentration after a single dose was observed at </w:t>
      </w:r>
      <w:r w:rsidR="00477752">
        <w:t>approximately</w:t>
      </w:r>
      <w:r>
        <w:t xml:space="preserve">35 hours after administration. By contrast, after repeat dosing of 4 cycles maximal concentration in healthy subjects was achieved between 8 </w:t>
      </w:r>
      <w:r w:rsidR="00477752">
        <w:t>and</w:t>
      </w:r>
      <w:r>
        <w:t xml:space="preserve"> 24 hours</w:t>
      </w:r>
      <w:r w:rsidR="00B56A57">
        <w:t>.</w:t>
      </w:r>
    </w:p>
    <w:p w:rsidR="007C69F4" w:rsidRDefault="007C69F4" w:rsidP="00B12A95">
      <w:r>
        <w:lastRenderedPageBreak/>
        <w:t xml:space="preserve">In the </w:t>
      </w:r>
      <w:r w:rsidR="00127BB7">
        <w:t>Phase I</w:t>
      </w:r>
      <w:r>
        <w:t xml:space="preserve">I </w:t>
      </w:r>
      <w:r w:rsidR="00477752">
        <w:t>S</w:t>
      </w:r>
      <w:r>
        <w:t xml:space="preserve">tudy XM22-02, 3 mg, 4.5 mg and 6 mg </w:t>
      </w:r>
      <w:proofErr w:type="spellStart"/>
      <w:r>
        <w:t>Lonquex</w:t>
      </w:r>
      <w:proofErr w:type="spellEnd"/>
      <w:r>
        <w:t xml:space="preserve"> or 6 mg </w:t>
      </w:r>
      <w:proofErr w:type="spellStart"/>
      <w:r>
        <w:t>Neulasta</w:t>
      </w:r>
      <w:proofErr w:type="spellEnd"/>
      <w:r>
        <w:t xml:space="preserve"> was </w:t>
      </w:r>
      <w:r w:rsidR="00477752">
        <w:t>SC</w:t>
      </w:r>
      <w:r>
        <w:t xml:space="preserve"> administered to patients with breast cancer receiving cancer chemotherapy. In </w:t>
      </w:r>
      <w:r w:rsidR="00477752">
        <w:t>C</w:t>
      </w:r>
      <w:r>
        <w:t xml:space="preserve">ycle 1, </w:t>
      </w:r>
      <w:proofErr w:type="spellStart"/>
      <w:r>
        <w:t>lipegfilgrastim</w:t>
      </w:r>
      <w:proofErr w:type="spellEnd"/>
      <w:r>
        <w:t xml:space="preserve"> or </w:t>
      </w:r>
      <w:proofErr w:type="spellStart"/>
      <w:r>
        <w:t>pegfilgrastim</w:t>
      </w:r>
      <w:proofErr w:type="spellEnd"/>
      <w:r>
        <w:t xml:space="preserve"> serum concentrations rose to a transient maximum and returned to pre-dose values by 240 h. In the </w:t>
      </w:r>
      <w:proofErr w:type="spellStart"/>
      <w:r>
        <w:t>Lonquex</w:t>
      </w:r>
      <w:proofErr w:type="spellEnd"/>
      <w:r>
        <w:t xml:space="preserve"> groups, the peak serum concentrations occurred around 46 </w:t>
      </w:r>
      <w:r w:rsidR="00477752">
        <w:t>to</w:t>
      </w:r>
      <w:r>
        <w:t xml:space="preserve"> 48 h after dosing and were elevated with increasing </w:t>
      </w:r>
      <w:proofErr w:type="spellStart"/>
      <w:r>
        <w:t>Lonquex</w:t>
      </w:r>
      <w:proofErr w:type="spellEnd"/>
      <w:r>
        <w:t xml:space="preserve"> dose in a roughly dose-dependent manner. In </w:t>
      </w:r>
      <w:r w:rsidR="00477752">
        <w:t>C</w:t>
      </w:r>
      <w:r>
        <w:t xml:space="preserve">ycle 4, </w:t>
      </w:r>
      <w:proofErr w:type="spellStart"/>
      <w:r>
        <w:t>lipegfilgrastim</w:t>
      </w:r>
      <w:proofErr w:type="spellEnd"/>
      <w:r>
        <w:t xml:space="preserve"> and </w:t>
      </w:r>
      <w:proofErr w:type="spellStart"/>
      <w:r>
        <w:t>pegfilgrastim</w:t>
      </w:r>
      <w:proofErr w:type="spellEnd"/>
      <w:r>
        <w:t xml:space="preserve"> serum concentrations reached a maximum between 8 to 16 h after dosing, and returned to pre-dose values by 240 h. Overall, mean serum concent</w:t>
      </w:r>
      <w:r w:rsidR="00F5048C">
        <w:t>rations were markedly lower in C</w:t>
      </w:r>
      <w:r>
        <w:t xml:space="preserve">ycle 4 than in </w:t>
      </w:r>
      <w:r w:rsidR="00F5048C">
        <w:t>C</w:t>
      </w:r>
      <w:r>
        <w:t>ycle 1 for all treatment groups.</w:t>
      </w:r>
    </w:p>
    <w:p w:rsidR="007C69F4" w:rsidRDefault="007C69F4" w:rsidP="00B12A95">
      <w:r>
        <w:t xml:space="preserve">In the both the </w:t>
      </w:r>
      <w:r w:rsidR="00127BB7">
        <w:t>Phase I</w:t>
      </w:r>
      <w:r>
        <w:t xml:space="preserve">II studies in patients with breast cancer (XM22-03) and lung carcinoma study (XM22-04), in </w:t>
      </w:r>
      <w:r w:rsidR="00F5048C">
        <w:t>C</w:t>
      </w:r>
      <w:r>
        <w:t xml:space="preserve">ycle 1, mean serum concentrations of </w:t>
      </w:r>
      <w:proofErr w:type="spellStart"/>
      <w:r>
        <w:t>Lonquex</w:t>
      </w:r>
      <w:proofErr w:type="spellEnd"/>
      <w:r>
        <w:t xml:space="preserve"> and reached a maximum between 24 and 48 h after dosing and returned to approximately pre-dose values by 240 h.</w:t>
      </w:r>
    </w:p>
    <w:p w:rsidR="007C69F4" w:rsidRDefault="007C69F4" w:rsidP="00B12A95">
      <w:pPr>
        <w:pStyle w:val="Heading5"/>
      </w:pPr>
      <w:r>
        <w:t>Bioavailability</w:t>
      </w:r>
    </w:p>
    <w:p w:rsidR="007C69F4" w:rsidRDefault="007C69F4" w:rsidP="00B12A95">
      <w:r>
        <w:t xml:space="preserve">Absolute bioavailability was not assessed given that the </w:t>
      </w:r>
      <w:r w:rsidR="00F5048C">
        <w:t>SC</w:t>
      </w:r>
      <w:r>
        <w:t xml:space="preserve"> route of administration is the only one proposed.</w:t>
      </w:r>
    </w:p>
    <w:p w:rsidR="007C69F4" w:rsidRDefault="007C69F4" w:rsidP="00B12A95">
      <w:r>
        <w:t xml:space="preserve">Relative bioavailability between </w:t>
      </w:r>
      <w:r w:rsidR="00F5048C">
        <w:t>SC</w:t>
      </w:r>
      <w:r>
        <w:t xml:space="preserve"> injections in upper arm, abdomen and thigh was assessed in </w:t>
      </w:r>
      <w:r w:rsidR="00F5048C">
        <w:t>S</w:t>
      </w:r>
      <w:r>
        <w:t xml:space="preserve">tudy XM-22-06. The evaluator states </w:t>
      </w:r>
      <w:r w:rsidR="00F26F05">
        <w:t>‘</w:t>
      </w:r>
      <w:r w:rsidRPr="00F5048C">
        <w:rPr>
          <w:i/>
        </w:rPr>
        <w:t>no clinically relevant differences in PD parameters were observed between dosing at the three different administration sites</w:t>
      </w:r>
      <w:r w:rsidR="00F26F05" w:rsidRPr="00F5048C">
        <w:rPr>
          <w:i/>
        </w:rPr>
        <w:t>’</w:t>
      </w:r>
      <w:r>
        <w:t>.</w:t>
      </w:r>
    </w:p>
    <w:p w:rsidR="007C69F4" w:rsidRDefault="007C69F4" w:rsidP="00B12A95">
      <w:pPr>
        <w:pStyle w:val="Heading5"/>
      </w:pPr>
      <w:r>
        <w:t>Distribution</w:t>
      </w:r>
    </w:p>
    <w:p w:rsidR="00B56A57" w:rsidRDefault="007C69F4" w:rsidP="00B12A95">
      <w:proofErr w:type="spellStart"/>
      <w:r>
        <w:t>Lonquex</w:t>
      </w:r>
      <w:proofErr w:type="spellEnd"/>
      <w:r>
        <w:t xml:space="preserve"> has a volume of distribution of 70mL/kg, approximating to the lymphatic and blood volume</w:t>
      </w:r>
      <w:r w:rsidR="00B56A57">
        <w:t>.</w:t>
      </w:r>
    </w:p>
    <w:p w:rsidR="007C69F4" w:rsidRDefault="007C69F4" w:rsidP="00B12A95">
      <w:r>
        <w:t>No data was presented on plasma protein binding, erythrocyte distribution or tissue distribution.</w:t>
      </w:r>
    </w:p>
    <w:p w:rsidR="007C69F4" w:rsidRDefault="007C69F4" w:rsidP="00B12A95">
      <w:r>
        <w:t>Effect of body</w:t>
      </w:r>
      <w:r w:rsidR="00F5048C">
        <w:t xml:space="preserve"> </w:t>
      </w:r>
      <w:r>
        <w:t>weight</w:t>
      </w:r>
      <w:r w:rsidR="00F5048C">
        <w:t>:</w:t>
      </w:r>
      <w:r>
        <w:t xml:space="preserve"> for categories of body</w:t>
      </w:r>
      <w:r w:rsidR="00F5048C">
        <w:t xml:space="preserve"> </w:t>
      </w:r>
      <w:r>
        <w:t>weight dichotomised as &lt;</w:t>
      </w:r>
      <w:r w:rsidR="00F5048C">
        <w:t xml:space="preserve"> </w:t>
      </w:r>
      <w:r>
        <w:t>60kg or &gt;</w:t>
      </w:r>
      <w:r w:rsidR="00F5048C">
        <w:t xml:space="preserve"> </w:t>
      </w:r>
      <w:r>
        <w:t xml:space="preserve">80kg, there was a decrease in exposure of approximately 30% from the lowest to highest weight groups. There was no difference in </w:t>
      </w:r>
      <w:proofErr w:type="spellStart"/>
      <w:r>
        <w:t>pharmacodynamic</w:t>
      </w:r>
      <w:proofErr w:type="spellEnd"/>
      <w:r>
        <w:t xml:space="preserve"> effect for patients did not show a difference across patients according to weight &lt;60, 6</w:t>
      </w:r>
      <w:r w:rsidR="00F5048C">
        <w:t>0 to</w:t>
      </w:r>
      <w:r>
        <w:t>80 or &gt;80 kg.</w:t>
      </w:r>
    </w:p>
    <w:p w:rsidR="007C69F4" w:rsidRDefault="007C69F4" w:rsidP="00B12A95">
      <w:pPr>
        <w:pStyle w:val="Heading5"/>
      </w:pPr>
      <w:r>
        <w:t>Metabolism</w:t>
      </w:r>
    </w:p>
    <w:p w:rsidR="007C69F4" w:rsidRDefault="007C69F4" w:rsidP="00B12A95">
      <w:proofErr w:type="spellStart"/>
      <w:r>
        <w:t>Lipegfilgrastim</w:t>
      </w:r>
      <w:proofErr w:type="spellEnd"/>
      <w:r>
        <w:t xml:space="preserve"> is metabolised via intra or extracellular degradation by proteolytic enzymes. </w:t>
      </w:r>
      <w:proofErr w:type="spellStart"/>
      <w:r>
        <w:t>Lipegfilgrastim</w:t>
      </w:r>
      <w:proofErr w:type="spellEnd"/>
      <w:r>
        <w:t xml:space="preserve"> is internalised by neutrophils (non-linear process), then degraded within the cell by endogenous proteolytic enzymes. This pathway is dependent upon the absolute neutrophil count and is saturable during the nadir of ANC count associated with cytotoxic chemotherapy.</w:t>
      </w:r>
    </w:p>
    <w:p w:rsidR="00B56A57" w:rsidRDefault="007C69F4" w:rsidP="00B12A95">
      <w:r>
        <w:t>Extracellular protein degradation pathway is likely due to by neutrophil elastase and other plasma proteases, which is linear</w:t>
      </w:r>
      <w:r w:rsidR="00B56A57">
        <w:t>.</w:t>
      </w:r>
    </w:p>
    <w:p w:rsidR="007C69F4" w:rsidRDefault="007C69F4" w:rsidP="00B12A95">
      <w:r>
        <w:t xml:space="preserve">Longer terminal half-lives and mean residence times were seen for </w:t>
      </w:r>
      <w:proofErr w:type="spellStart"/>
      <w:r>
        <w:t>lipegfilgrastim</w:t>
      </w:r>
      <w:proofErr w:type="spellEnd"/>
      <w:r>
        <w:t xml:space="preserve"> than </w:t>
      </w:r>
      <w:proofErr w:type="spellStart"/>
      <w:r>
        <w:t>pegfilgrastim</w:t>
      </w:r>
      <w:proofErr w:type="spellEnd"/>
      <w:r>
        <w:t xml:space="preserve">, indicating that metabolism and clearance were significantly slower for </w:t>
      </w:r>
      <w:proofErr w:type="spellStart"/>
      <w:r>
        <w:t>lipegfilgrastim</w:t>
      </w:r>
      <w:proofErr w:type="spellEnd"/>
      <w:r>
        <w:t>.</w:t>
      </w:r>
    </w:p>
    <w:p w:rsidR="007C69F4" w:rsidRDefault="007C69F4" w:rsidP="00B12A95">
      <w:pPr>
        <w:pStyle w:val="Heading5"/>
      </w:pPr>
      <w:r>
        <w:t>Excretion</w:t>
      </w:r>
    </w:p>
    <w:p w:rsidR="007C69F4" w:rsidRDefault="007C69F4" w:rsidP="00B12A95">
      <w:r>
        <w:t>Excretion is via the mechanisms of metabolism described above.</w:t>
      </w:r>
    </w:p>
    <w:p w:rsidR="007C69F4" w:rsidRDefault="007C69F4" w:rsidP="00B12A95">
      <w:pPr>
        <w:pStyle w:val="Heading5"/>
      </w:pPr>
      <w:r>
        <w:t>Special populations</w:t>
      </w:r>
    </w:p>
    <w:p w:rsidR="007C69F4" w:rsidRDefault="007C69F4" w:rsidP="00B12A95">
      <w:r>
        <w:t>Paediatric population</w:t>
      </w:r>
      <w:r w:rsidR="00F5048C">
        <w:t xml:space="preserve">: </w:t>
      </w:r>
      <w:r>
        <w:t xml:space="preserve">the </w:t>
      </w:r>
      <w:r w:rsidR="00F5048C">
        <w:t>sponsor’s</w:t>
      </w:r>
      <w:r>
        <w:t xml:space="preserve"> response </w:t>
      </w:r>
      <w:r w:rsidR="00F5048C">
        <w:t xml:space="preserve">to TGA’s request for further information </w:t>
      </w:r>
      <w:r>
        <w:t xml:space="preserve">contained the clinical study report for a </w:t>
      </w:r>
      <w:r w:rsidR="00127BB7">
        <w:t>Phase I</w:t>
      </w:r>
      <w:r>
        <w:t xml:space="preserve"> PK study in 21 children, with secondary end-points of safety and efficacy. This study represents only part of the paediatric development program and does not provide sufficient evidence to satisfactorily demonstrate the safety and efficacy of </w:t>
      </w:r>
      <w:proofErr w:type="spellStart"/>
      <w:r>
        <w:t>lipegfilgrastim</w:t>
      </w:r>
      <w:proofErr w:type="spellEnd"/>
      <w:r>
        <w:t xml:space="preserve"> in such patients. The restriction of </w:t>
      </w:r>
      <w:r>
        <w:lastRenderedPageBreak/>
        <w:t>use to adults should remain until the sponsor submits a full application for use in this population.</w:t>
      </w:r>
    </w:p>
    <w:p w:rsidR="007C69F4" w:rsidRPr="00F5048C" w:rsidRDefault="007C69F4" w:rsidP="00B12A95">
      <w:r>
        <w:t>No separate studies in hepatic impairment were submitted. The effect of hepatic impairment in cancer patients has not been studied</w:t>
      </w:r>
      <w:r w:rsidR="00F5048C">
        <w:t xml:space="preserve"> and</w:t>
      </w:r>
      <w:r>
        <w:t xml:space="preserve"> this is documented in </w:t>
      </w:r>
      <w:r w:rsidRPr="00F5048C">
        <w:t>the PI.</w:t>
      </w:r>
    </w:p>
    <w:p w:rsidR="007C69F4" w:rsidRDefault="007C69F4" w:rsidP="00B12A95">
      <w:r>
        <w:t>No separate studies in renal impairment were submitted.</w:t>
      </w:r>
    </w:p>
    <w:p w:rsidR="007C69F4" w:rsidRDefault="007C69F4" w:rsidP="00B12A95">
      <w:r>
        <w:t>The effect of renal impairment was reported in the pop</w:t>
      </w:r>
      <w:r w:rsidR="00F5048C">
        <w:t xml:space="preserve">ulation </w:t>
      </w:r>
      <w:r>
        <w:t>PK modelling, with</w:t>
      </w:r>
      <w:r w:rsidR="00F5048C">
        <w:t xml:space="preserve"> </w:t>
      </w:r>
      <w:r>
        <w:t xml:space="preserve">31 patients with normal renal function, 20 patients having mild renal impairment and 2 having moderate renal impairment. The PI appropriately states (page 6) that: </w:t>
      </w:r>
      <w:r w:rsidR="00F26F05">
        <w:t>‘</w:t>
      </w:r>
      <w:r w:rsidRPr="00F5048C">
        <w:rPr>
          <w:i/>
        </w:rPr>
        <w:t>There was no meaningful effect of mild renal impairment (</w:t>
      </w:r>
      <w:proofErr w:type="spellStart"/>
      <w:r w:rsidRPr="00F5048C">
        <w:rPr>
          <w:i/>
        </w:rPr>
        <w:t>CrCl</w:t>
      </w:r>
      <w:proofErr w:type="spellEnd"/>
      <w:r w:rsidRPr="00F5048C">
        <w:rPr>
          <w:i/>
        </w:rPr>
        <w:t xml:space="preserve">: 62-87 mL/min; n=20) on the pharmacokinetics of </w:t>
      </w:r>
      <w:proofErr w:type="spellStart"/>
      <w:r w:rsidRPr="00F5048C">
        <w:rPr>
          <w:i/>
        </w:rPr>
        <w:t>lipegfilgrastim</w:t>
      </w:r>
      <w:proofErr w:type="spellEnd"/>
      <w:r w:rsidRPr="00F5048C">
        <w:rPr>
          <w:i/>
        </w:rPr>
        <w:t xml:space="preserve"> in cancer patients</w:t>
      </w:r>
      <w:r>
        <w:t>.</w:t>
      </w:r>
      <w:r w:rsidR="00F26F05">
        <w:t>’</w:t>
      </w:r>
    </w:p>
    <w:p w:rsidR="007C69F4" w:rsidRDefault="007C69F4" w:rsidP="00B12A95">
      <w:r>
        <w:t>The PI states that the impact of moderate or severe renal impairment has not been studied.</w:t>
      </w:r>
    </w:p>
    <w:p w:rsidR="007C69F4" w:rsidRDefault="007C69F4" w:rsidP="00B12A95">
      <w:r>
        <w:t xml:space="preserve">Patient data was only available for those aged &lt;75 years. The lack of data available for patients </w:t>
      </w:r>
      <w:r w:rsidR="00216F4E">
        <w:t>that are ≥</w:t>
      </w:r>
      <w:r>
        <w:t>75 years of age is documented in the PI.</w:t>
      </w:r>
    </w:p>
    <w:p w:rsidR="00B56A57" w:rsidRDefault="007C69F4" w:rsidP="00B12A95">
      <w:r>
        <w:t>Very limited data was available for non-Caucasian patients, which precludes any specific dosing advice</w:t>
      </w:r>
      <w:r w:rsidR="00B56A57">
        <w:t>.</w:t>
      </w:r>
    </w:p>
    <w:p w:rsidR="007C69F4" w:rsidRDefault="007C69F4" w:rsidP="00B12A95">
      <w:pPr>
        <w:pStyle w:val="Heading4"/>
      </w:pPr>
      <w:r>
        <w:t>Pharmacodynamics</w:t>
      </w:r>
    </w:p>
    <w:p w:rsidR="007C69F4" w:rsidRDefault="007C69F4" w:rsidP="00B12A95">
      <w:r>
        <w:t xml:space="preserve">The studies providing </w:t>
      </w:r>
      <w:proofErr w:type="spellStart"/>
      <w:r>
        <w:t>pharmacodynamic</w:t>
      </w:r>
      <w:proofErr w:type="spellEnd"/>
      <w:r>
        <w:t xml:space="preserve"> data are </w:t>
      </w:r>
      <w:r w:rsidR="00F5048C">
        <w:t>summarised in the</w:t>
      </w:r>
      <w:r>
        <w:t xml:space="preserve"> CER</w:t>
      </w:r>
      <w:r w:rsidR="00F5048C">
        <w:t xml:space="preserve"> (Attachment 2)</w:t>
      </w:r>
      <w:r>
        <w:t>.</w:t>
      </w:r>
    </w:p>
    <w:p w:rsidR="007C69F4" w:rsidRDefault="007C69F4" w:rsidP="00B12A95">
      <w:r>
        <w:t xml:space="preserve">The primary </w:t>
      </w:r>
      <w:proofErr w:type="spellStart"/>
      <w:r>
        <w:t>pharmacodynamic</w:t>
      </w:r>
      <w:proofErr w:type="spellEnd"/>
      <w:r>
        <w:t xml:space="preserve"> effect was maximum ANC count</w:t>
      </w:r>
    </w:p>
    <w:p w:rsidR="007C69F4" w:rsidRDefault="007C69F4" w:rsidP="00B12A95">
      <w:pPr>
        <w:pStyle w:val="Heading4"/>
      </w:pPr>
      <w:r>
        <w:t>Choice of drug dose</w:t>
      </w:r>
    </w:p>
    <w:p w:rsidR="007C69F4" w:rsidRDefault="007C69F4" w:rsidP="00B12A95">
      <w:r>
        <w:t>Weight</w:t>
      </w:r>
      <w:r w:rsidR="00F5048C">
        <w:t xml:space="preserve"> </w:t>
      </w:r>
      <w:r>
        <w:t xml:space="preserve">based dosing of </w:t>
      </w:r>
      <w:proofErr w:type="spellStart"/>
      <w:r>
        <w:t>lipegfilgrastim</w:t>
      </w:r>
      <w:proofErr w:type="spellEnd"/>
      <w:r>
        <w:t xml:space="preserve"> and </w:t>
      </w:r>
      <w:proofErr w:type="spellStart"/>
      <w:r>
        <w:t>pegfilgrastim</w:t>
      </w:r>
      <w:proofErr w:type="spellEnd"/>
      <w:r>
        <w:t xml:space="preserve"> was compared in XM-22-01; doses of 100</w:t>
      </w:r>
      <w:r w:rsidR="00F5048C">
        <w:t xml:space="preserve"> µg</w:t>
      </w:r>
      <w:r>
        <w:t>/kg of each yielded comparable concentration-time profiles.</w:t>
      </w:r>
    </w:p>
    <w:p w:rsidR="007C69F4" w:rsidRDefault="007C69F4" w:rsidP="00B12A95">
      <w:r>
        <w:t xml:space="preserve">Study XM-22-02 compared three fixed-doses doses of </w:t>
      </w:r>
      <w:proofErr w:type="spellStart"/>
      <w:r>
        <w:t>lipegfilgrastim</w:t>
      </w:r>
      <w:proofErr w:type="spellEnd"/>
      <w:r>
        <w:t xml:space="preserve"> (3</w:t>
      </w:r>
      <w:r w:rsidR="00F5048C">
        <w:t xml:space="preserve"> </w:t>
      </w:r>
      <w:r>
        <w:t>mg, 4.5</w:t>
      </w:r>
      <w:r w:rsidR="00F5048C">
        <w:t xml:space="preserve"> </w:t>
      </w:r>
      <w:r>
        <w:t>mg and 6</w:t>
      </w:r>
      <w:r w:rsidR="00F5048C">
        <w:t xml:space="preserve"> </w:t>
      </w:r>
      <w:r>
        <w:t>mg) in patients with breast cancer receiving 4 cycles of chemotherapy.</w:t>
      </w:r>
      <w:r w:rsidR="009801DD">
        <w:t xml:space="preserve"> </w:t>
      </w:r>
      <w:r>
        <w:t>Although a difference in concentration-time profile was observed between 6</w:t>
      </w:r>
      <w:r w:rsidR="00F5048C">
        <w:t xml:space="preserve"> </w:t>
      </w:r>
      <w:r>
        <w:t xml:space="preserve">mg </w:t>
      </w:r>
      <w:proofErr w:type="spellStart"/>
      <w:r>
        <w:t>pegfilgrastim</w:t>
      </w:r>
      <w:proofErr w:type="spellEnd"/>
      <w:r>
        <w:t xml:space="preserve"> and 6</w:t>
      </w:r>
      <w:r w:rsidR="00F5048C">
        <w:t xml:space="preserve"> </w:t>
      </w:r>
      <w:r>
        <w:t xml:space="preserve">mg </w:t>
      </w:r>
      <w:proofErr w:type="spellStart"/>
      <w:r>
        <w:t>lipegfilgrastim</w:t>
      </w:r>
      <w:proofErr w:type="spellEnd"/>
      <w:r>
        <w:t xml:space="preserve">, with </w:t>
      </w:r>
      <w:proofErr w:type="spellStart"/>
      <w:r>
        <w:t>C</w:t>
      </w:r>
      <w:r w:rsidRPr="00F5048C">
        <w:rPr>
          <w:vertAlign w:val="subscript"/>
        </w:rPr>
        <w:t>max</w:t>
      </w:r>
      <w:proofErr w:type="spellEnd"/>
      <w:r>
        <w:t xml:space="preserve"> being approximately 30% higher for </w:t>
      </w:r>
      <w:proofErr w:type="spellStart"/>
      <w:r>
        <w:t>lipegfilgrastim</w:t>
      </w:r>
      <w:proofErr w:type="spellEnd"/>
      <w:r>
        <w:t xml:space="preserve">, the observed </w:t>
      </w:r>
      <w:proofErr w:type="spellStart"/>
      <w:r>
        <w:t>pharmacodynamic</w:t>
      </w:r>
      <w:proofErr w:type="spellEnd"/>
      <w:r>
        <w:t xml:space="preserve"> effect on time-course of ANC count was similar.</w:t>
      </w:r>
    </w:p>
    <w:p w:rsidR="007C69F4" w:rsidRPr="00F5048C" w:rsidRDefault="00F5048C" w:rsidP="00F5048C">
      <w:pPr>
        <w:pStyle w:val="Heading4"/>
      </w:pPr>
      <w:r w:rsidRPr="00F5048C">
        <w:t>Efficacy</w:t>
      </w:r>
    </w:p>
    <w:p w:rsidR="007C69F4" w:rsidRDefault="007C69F4" w:rsidP="00B12A95">
      <w:r>
        <w:t xml:space="preserve">The clinical evaluator </w:t>
      </w:r>
      <w:r w:rsidR="00F5048C">
        <w:t>did not recommend registration in</w:t>
      </w:r>
      <w:r>
        <w:t xml:space="preserve"> the </w:t>
      </w:r>
      <w:r w:rsidR="00F5048C">
        <w:t xml:space="preserve">first </w:t>
      </w:r>
      <w:r>
        <w:t xml:space="preserve">round evaluation, but did so following the </w:t>
      </w:r>
      <w:r w:rsidR="00F5048C">
        <w:t xml:space="preserve">second </w:t>
      </w:r>
      <w:r>
        <w:t>round evaluation.</w:t>
      </w:r>
    </w:p>
    <w:p w:rsidR="007C69F4" w:rsidRDefault="007C69F4" w:rsidP="00B12A95">
      <w:r>
        <w:t>One dose-finding and two randomised controlled studies of efficacy were presented for evaluation.</w:t>
      </w:r>
    </w:p>
    <w:p w:rsidR="00B56A57" w:rsidRDefault="007C69F4" w:rsidP="00B12A95">
      <w:r>
        <w:t xml:space="preserve">Study XM22-03 was </w:t>
      </w:r>
      <w:proofErr w:type="gramStart"/>
      <w:r>
        <w:t xml:space="preserve">a </w:t>
      </w:r>
      <w:r w:rsidR="00127BB7">
        <w:t>Phase</w:t>
      </w:r>
      <w:proofErr w:type="gramEnd"/>
      <w:r w:rsidR="00127BB7">
        <w:t xml:space="preserve"> I</w:t>
      </w:r>
      <w:r>
        <w:t xml:space="preserve">II non-inferiority </w:t>
      </w:r>
      <w:r w:rsidR="00F5048C">
        <w:t>S</w:t>
      </w:r>
      <w:r>
        <w:t>tudy XM22-03 with active</w:t>
      </w:r>
      <w:r w:rsidR="00F5048C">
        <w:t xml:space="preserve"> </w:t>
      </w:r>
      <w:r>
        <w:t xml:space="preserve">control in 202 patients with </w:t>
      </w:r>
      <w:r w:rsidR="0045520D">
        <w:t>Stage I</w:t>
      </w:r>
      <w:r>
        <w:t>I</w:t>
      </w:r>
      <w:r w:rsidR="00F5048C">
        <w:t xml:space="preserve"> to </w:t>
      </w:r>
      <w:r>
        <w:t>IV breast cancer receiving up to 4 cycles of chemotherapy consisting of doxorubicin and docetaxel.</w:t>
      </w:r>
      <w:r w:rsidR="00F5048C">
        <w:t xml:space="preserve"> </w:t>
      </w:r>
      <w:r>
        <w:t xml:space="preserve">Patients were randomised 1:1 to receive 6 mg </w:t>
      </w:r>
      <w:proofErr w:type="spellStart"/>
      <w:r>
        <w:t>lipegfilgrastim</w:t>
      </w:r>
      <w:proofErr w:type="spellEnd"/>
      <w:r>
        <w:t xml:space="preserve"> or 6 mg </w:t>
      </w:r>
      <w:proofErr w:type="spellStart"/>
      <w:r>
        <w:t>pegfilgrastim</w:t>
      </w:r>
      <w:proofErr w:type="spellEnd"/>
      <w:r w:rsidR="00B56A57">
        <w:t>.</w:t>
      </w:r>
    </w:p>
    <w:p w:rsidR="00B56A57" w:rsidRDefault="007C69F4" w:rsidP="00B12A95">
      <w:r>
        <w:t xml:space="preserve">On an intention to treat analysis, this study showed non-inferiority of 6 mg </w:t>
      </w:r>
      <w:proofErr w:type="spellStart"/>
      <w:r>
        <w:t>Lonquex</w:t>
      </w:r>
      <w:proofErr w:type="spellEnd"/>
      <w:r>
        <w:t xml:space="preserve">® to 6 mg </w:t>
      </w:r>
      <w:proofErr w:type="spellStart"/>
      <w:r>
        <w:t>pegfilgrastim</w:t>
      </w:r>
      <w:proofErr w:type="spellEnd"/>
      <w:r>
        <w:t xml:space="preserve"> for the primary endpoint, duration of severe neutropenia (DSN) in the first cycle of chemotherapy</w:t>
      </w:r>
      <w:r w:rsidR="00B56A57">
        <w:t>.</w:t>
      </w:r>
    </w:p>
    <w:p w:rsidR="00B56A57" w:rsidRDefault="007C69F4" w:rsidP="00B12A95">
      <w:r>
        <w:t>The depth o</w:t>
      </w:r>
      <w:r w:rsidR="00F5048C">
        <w:t>f ANC nadir was comparable for C</w:t>
      </w:r>
      <w:r>
        <w:t xml:space="preserve">ycle 1 but higher for the </w:t>
      </w:r>
      <w:proofErr w:type="spellStart"/>
      <w:r>
        <w:t>lipegfilgrastim</w:t>
      </w:r>
      <w:proofErr w:type="spellEnd"/>
      <w:r>
        <w:t xml:space="preserve"> arm in subsequent cycles</w:t>
      </w:r>
      <w:r w:rsidR="00B56A57">
        <w:t>.</w:t>
      </w:r>
    </w:p>
    <w:p w:rsidR="007C69F4" w:rsidRDefault="007C69F4" w:rsidP="00B12A95">
      <w:r>
        <w:t xml:space="preserve">The incidence of very severe </w:t>
      </w:r>
      <w:proofErr w:type="spellStart"/>
      <w:r>
        <w:t>neutropaenia</w:t>
      </w:r>
      <w:proofErr w:type="spellEnd"/>
      <w:r>
        <w:t xml:space="preserve"> was not different between the treatment arms (11.4% </w:t>
      </w:r>
      <w:proofErr w:type="spellStart"/>
      <w:r>
        <w:t>pegfilgrastim</w:t>
      </w:r>
      <w:proofErr w:type="spellEnd"/>
      <w:r>
        <w:t xml:space="preserve"> v</w:t>
      </w:r>
      <w:r w:rsidR="00F5048C">
        <w:t>ersu</w:t>
      </w:r>
      <w:r>
        <w:t xml:space="preserve">s 6.4% </w:t>
      </w:r>
      <w:proofErr w:type="spellStart"/>
      <w:r>
        <w:t>lipegfilgrastim</w:t>
      </w:r>
      <w:proofErr w:type="spellEnd"/>
      <w:r>
        <w:t>, p=0.21).</w:t>
      </w:r>
    </w:p>
    <w:p w:rsidR="007C69F4" w:rsidRDefault="007C69F4" w:rsidP="00B12A95">
      <w:r>
        <w:lastRenderedPageBreak/>
        <w:t xml:space="preserve">The incidence of febrile </w:t>
      </w:r>
      <w:proofErr w:type="spellStart"/>
      <w:r>
        <w:t>neutropaenia</w:t>
      </w:r>
      <w:proofErr w:type="spellEnd"/>
      <w:r>
        <w:t xml:space="preserve"> was low in both treatment arms.</w:t>
      </w:r>
    </w:p>
    <w:p w:rsidR="007C69F4" w:rsidRDefault="007C69F4" w:rsidP="00B12A95">
      <w:r>
        <w:t>Study XM-22-04 was a placebo-controlled superiority study in 375 non-small cell lung cancer patients receiving up to 4 cycles of chemotherapy consisting of cisplatin and etoposide.</w:t>
      </w:r>
    </w:p>
    <w:p w:rsidR="007C69F4" w:rsidRDefault="007C69F4" w:rsidP="00B12A95">
      <w:r>
        <w:t>This combination of chemotherapy is associated with a low risk of requiring G-CSF administration. The primary end</w:t>
      </w:r>
      <w:r w:rsidR="00F5048C">
        <w:t xml:space="preserve"> </w:t>
      </w:r>
      <w:r>
        <w:t xml:space="preserve">point of the ability of this study </w:t>
      </w:r>
      <w:r w:rsidR="00F5048C">
        <w:t>(</w:t>
      </w:r>
      <w:r>
        <w:t xml:space="preserve">to assess superiority of </w:t>
      </w:r>
      <w:proofErr w:type="spellStart"/>
      <w:r>
        <w:t>lipegfilgrastim</w:t>
      </w:r>
      <w:proofErr w:type="spellEnd"/>
      <w:r>
        <w:t xml:space="preserve"> over placebo</w:t>
      </w:r>
      <w:r w:rsidR="00F5048C">
        <w:t>)</w:t>
      </w:r>
      <w:r>
        <w:t xml:space="preserve"> was predicated upon an assumed background incidence of febrile </w:t>
      </w:r>
      <w:proofErr w:type="spellStart"/>
      <w:r>
        <w:t>neutropaenia</w:t>
      </w:r>
      <w:proofErr w:type="spellEnd"/>
      <w:r>
        <w:t xml:space="preserve"> of 7</w:t>
      </w:r>
      <w:r w:rsidR="00F5048C">
        <w:t xml:space="preserve"> to </w:t>
      </w:r>
      <w:r>
        <w:t>10% in the placebo arm.</w:t>
      </w:r>
    </w:p>
    <w:p w:rsidR="007C69F4" w:rsidRDefault="007C69F4" w:rsidP="00B12A95">
      <w:r>
        <w:t xml:space="preserve">Patients were randomised 2:1 to receive either 6 mg </w:t>
      </w:r>
      <w:proofErr w:type="spellStart"/>
      <w:r>
        <w:t>Lonquex</w:t>
      </w:r>
      <w:proofErr w:type="spellEnd"/>
      <w:r>
        <w:t>® or placebo. The primary end</w:t>
      </w:r>
      <w:r w:rsidR="00F5048C">
        <w:t xml:space="preserve"> </w:t>
      </w:r>
      <w:r>
        <w:t xml:space="preserve">point was the incidence of febrile </w:t>
      </w:r>
      <w:proofErr w:type="spellStart"/>
      <w:r>
        <w:t>neutropaenia</w:t>
      </w:r>
      <w:proofErr w:type="spellEnd"/>
      <w:r>
        <w:t xml:space="preserve">. Randomisation yielded comparable baseline demographic characteristics, stage of disease and median duration since first diagnosis. More than 85% of both arms had </w:t>
      </w:r>
      <w:r w:rsidR="00F5048C">
        <w:rPr>
          <w:lang w:val="en-US"/>
        </w:rPr>
        <w:t xml:space="preserve">the Eastern Cooperative Oncology Group (ECOG) </w:t>
      </w:r>
      <w:r>
        <w:t>status 0 or 1.</w:t>
      </w:r>
      <w:r w:rsidR="00F5048C">
        <w:rPr>
          <w:rStyle w:val="FootnoteReference"/>
        </w:rPr>
        <w:footnoteReference w:id="6"/>
      </w:r>
      <w:r>
        <w:t xml:space="preserve"> There was, however, an imbalance in the proportion of patients across tumour histological type:</w:t>
      </w:r>
    </w:p>
    <w:p w:rsidR="007C69F4" w:rsidRDefault="00F5048C" w:rsidP="00F5048C">
      <w:pPr>
        <w:pStyle w:val="TableTitle"/>
      </w:pPr>
      <w:r>
        <w:t xml:space="preserve">Table 14: </w:t>
      </w:r>
      <w:r w:rsidR="007C69F4">
        <w:t xml:space="preserve">Baseline disease characteristics </w:t>
      </w:r>
    </w:p>
    <w:p w:rsidR="007C69F4" w:rsidRDefault="007C69F4" w:rsidP="007C69F4">
      <w:pPr>
        <w:spacing w:before="0" w:after="0" w:line="240" w:lineRule="auto"/>
        <w:jc w:val="both"/>
        <w:rPr>
          <w:rFonts w:asciiTheme="minorHAnsi" w:hAnsiTheme="minorHAnsi"/>
        </w:rPr>
      </w:pPr>
      <w:r>
        <w:rPr>
          <w:rFonts w:asciiTheme="minorHAnsi" w:hAnsiTheme="minorHAnsi"/>
          <w:noProof/>
          <w:lang w:eastAsia="en-AU"/>
        </w:rPr>
        <w:drawing>
          <wp:inline distT="0" distB="0" distL="0" distR="0" wp14:anchorId="44686BA9" wp14:editId="74F70C88">
            <wp:extent cx="4245809" cy="2808514"/>
            <wp:effectExtent l="0" t="0" r="2540" b="0"/>
            <wp:docPr id="13" name="Picture 13" descr="Table 14: Baseline disease characteristic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4247151" cy="2809402"/>
                    </a:xfrm>
                    <a:prstGeom prst="rect">
                      <a:avLst/>
                    </a:prstGeom>
                    <a:noFill/>
                    <a:ln>
                      <a:noFill/>
                    </a:ln>
                  </pic:spPr>
                </pic:pic>
              </a:graphicData>
            </a:graphic>
          </wp:inline>
        </w:drawing>
      </w:r>
    </w:p>
    <w:p w:rsidR="007C69F4" w:rsidRDefault="007C69F4" w:rsidP="00B12A95">
      <w:r w:rsidRPr="00F5048C">
        <w:rPr>
          <w:i/>
        </w:rPr>
        <w:t>This study did not meet its primary end</w:t>
      </w:r>
      <w:r w:rsidR="00F5048C">
        <w:rPr>
          <w:i/>
        </w:rPr>
        <w:t xml:space="preserve"> </w:t>
      </w:r>
      <w:r w:rsidRPr="00F5048C">
        <w:rPr>
          <w:i/>
        </w:rPr>
        <w:t>point</w:t>
      </w:r>
      <w:r w:rsidR="00F5048C">
        <w:t xml:space="preserve">; </w:t>
      </w:r>
      <w:r>
        <w:t xml:space="preserve">the incidence of febrile </w:t>
      </w:r>
      <w:proofErr w:type="spellStart"/>
      <w:r>
        <w:t>neutropaenia</w:t>
      </w:r>
      <w:proofErr w:type="spellEnd"/>
      <w:r>
        <w:t xml:space="preserve"> was not different between the placebo and </w:t>
      </w:r>
      <w:proofErr w:type="spellStart"/>
      <w:r>
        <w:t>lipegfilgrastim</w:t>
      </w:r>
      <w:proofErr w:type="spellEnd"/>
      <w:r>
        <w:t xml:space="preserve"> arms (odds ratio 0.39, 95% CI 0.121, 1.260, p=0.115). The incidence of febrile </w:t>
      </w:r>
      <w:proofErr w:type="spellStart"/>
      <w:r>
        <w:t>neutropaenia</w:t>
      </w:r>
      <w:proofErr w:type="spellEnd"/>
      <w:r>
        <w:t xml:space="preserve"> was not different between the treatment arms for </w:t>
      </w:r>
      <w:r w:rsidR="00F5048C">
        <w:t>C</w:t>
      </w:r>
      <w:r>
        <w:t>ycles 2 to 4.</w:t>
      </w:r>
    </w:p>
    <w:p w:rsidR="007C69F4" w:rsidRDefault="007C69F4" w:rsidP="00B12A95">
      <w:r>
        <w:t xml:space="preserve">However, the secondary outcomes of the study </w:t>
      </w:r>
      <w:r w:rsidR="00F5048C">
        <w:t>(</w:t>
      </w:r>
      <w:r>
        <w:t xml:space="preserve">incidence and duration of severe </w:t>
      </w:r>
      <w:proofErr w:type="spellStart"/>
      <w:r>
        <w:t>neutropaenia</w:t>
      </w:r>
      <w:proofErr w:type="spellEnd"/>
      <w:r w:rsidR="00F5048C">
        <w:t>)</w:t>
      </w:r>
      <w:r>
        <w:t xml:space="preserve"> both favoured the </w:t>
      </w:r>
      <w:proofErr w:type="spellStart"/>
      <w:r>
        <w:t>lipegfilgrastim</w:t>
      </w:r>
      <w:proofErr w:type="spellEnd"/>
      <w:r>
        <w:t xml:space="preserve"> arm.</w:t>
      </w:r>
    </w:p>
    <w:p w:rsidR="007C69F4" w:rsidRDefault="007C69F4" w:rsidP="00B12A95">
      <w:r>
        <w:lastRenderedPageBreak/>
        <w:t xml:space="preserve">Despite the lack of difference in incidence of febrile </w:t>
      </w:r>
      <w:proofErr w:type="spellStart"/>
      <w:r>
        <w:t>neutropaenia</w:t>
      </w:r>
      <w:proofErr w:type="spellEnd"/>
      <w:r>
        <w:t xml:space="preserve"> in this study, the incidence of hospitalisation due to febrile </w:t>
      </w:r>
      <w:proofErr w:type="spellStart"/>
      <w:r>
        <w:t>neutropaenia</w:t>
      </w:r>
      <w:proofErr w:type="spellEnd"/>
      <w:r>
        <w:t xml:space="preserve"> was significantly better in the </w:t>
      </w:r>
      <w:proofErr w:type="spellStart"/>
      <w:r>
        <w:t>lipegfilgrastim</w:t>
      </w:r>
      <w:proofErr w:type="spellEnd"/>
      <w:r>
        <w:t xml:space="preserve"> arm.</w:t>
      </w:r>
    </w:p>
    <w:p w:rsidR="007C69F4" w:rsidRDefault="007C69F4" w:rsidP="00B12A95">
      <w:r>
        <w:t>The secondary end</w:t>
      </w:r>
      <w:r w:rsidR="00F5048C">
        <w:t xml:space="preserve"> </w:t>
      </w:r>
      <w:r>
        <w:t xml:space="preserve">points of chemotherapy dose reduction or omission was not different between the two treatment arms for </w:t>
      </w:r>
      <w:r w:rsidR="00F5048C">
        <w:t>C</w:t>
      </w:r>
      <w:r>
        <w:t>ycles 2</w:t>
      </w:r>
      <w:r w:rsidR="00F5048C">
        <w:t xml:space="preserve"> to </w:t>
      </w:r>
      <w:r>
        <w:t xml:space="preserve">4. However there was a significant reduction in chemotherapy dose delays in the </w:t>
      </w:r>
      <w:proofErr w:type="spellStart"/>
      <w:r>
        <w:t>lipegfilgrastim</w:t>
      </w:r>
      <w:proofErr w:type="spellEnd"/>
      <w:r>
        <w:t xml:space="preserve"> arm for </w:t>
      </w:r>
      <w:r w:rsidR="00F5048C">
        <w:t>C</w:t>
      </w:r>
      <w:r>
        <w:t>ycles 2</w:t>
      </w:r>
      <w:r w:rsidR="00F5048C">
        <w:t xml:space="preserve"> to </w:t>
      </w:r>
      <w:r>
        <w:t>4.</w:t>
      </w:r>
    </w:p>
    <w:p w:rsidR="007C69F4" w:rsidRDefault="00F5048C" w:rsidP="00B12A95">
      <w:pPr>
        <w:pStyle w:val="Heading4"/>
      </w:pPr>
      <w:r>
        <w:t>Safety</w:t>
      </w:r>
    </w:p>
    <w:p w:rsidR="007C69F4" w:rsidRDefault="007C69F4" w:rsidP="00B12A95">
      <w:r>
        <w:t xml:space="preserve">In </w:t>
      </w:r>
      <w:r w:rsidR="00F5048C">
        <w:t>S</w:t>
      </w:r>
      <w:r>
        <w:t xml:space="preserve">tudy XM22-03, the incidence of adverse events was comparable between the patients exposed to </w:t>
      </w:r>
      <w:proofErr w:type="spellStart"/>
      <w:r>
        <w:t>lipegfilgrastim</w:t>
      </w:r>
      <w:proofErr w:type="spellEnd"/>
      <w:r>
        <w:t xml:space="preserve"> and </w:t>
      </w:r>
      <w:proofErr w:type="spellStart"/>
      <w:r>
        <w:t>pegfilgrastim</w:t>
      </w:r>
      <w:proofErr w:type="spellEnd"/>
      <w:r>
        <w:t xml:space="preserve">, with the listing of preferred terms </w:t>
      </w:r>
      <w:r w:rsidR="0088436A">
        <w:t>being comparable between agents (see Table 15 below).</w:t>
      </w:r>
    </w:p>
    <w:p w:rsidR="0088436A" w:rsidRDefault="0088436A" w:rsidP="0088436A">
      <w:pPr>
        <w:pStyle w:val="TableTitle"/>
      </w:pPr>
      <w:r>
        <w:t xml:space="preserve">Table 15: Incidence of adverse events listed by </w:t>
      </w:r>
      <w:proofErr w:type="spellStart"/>
      <w:r>
        <w:t>MedDRA</w:t>
      </w:r>
      <w:proofErr w:type="spellEnd"/>
      <w:r>
        <w:t>* Preferred Term</w:t>
      </w:r>
    </w:p>
    <w:p w:rsidR="007C69F4" w:rsidRDefault="007C69F4" w:rsidP="007C69F4">
      <w:pPr>
        <w:spacing w:before="0" w:after="0" w:line="240" w:lineRule="auto"/>
        <w:jc w:val="both"/>
        <w:rPr>
          <w:rFonts w:asciiTheme="minorHAnsi" w:hAnsiTheme="minorHAnsi"/>
        </w:rPr>
      </w:pPr>
      <w:r>
        <w:rPr>
          <w:rFonts w:eastAsia="Times New Roman"/>
          <w:noProof/>
          <w:kern w:val="16"/>
          <w:szCs w:val="24"/>
          <w:lang w:eastAsia="en-AU"/>
        </w:rPr>
        <w:drawing>
          <wp:inline distT="0" distB="0" distL="0" distR="0" wp14:anchorId="44A8AAF4" wp14:editId="15B31B8C">
            <wp:extent cx="3860800" cy="2318023"/>
            <wp:effectExtent l="0" t="0" r="6350" b="6350"/>
            <wp:docPr id="12" name="Picture 12" descr="Table 15: Incidence of adverse events listed by MedDRA* preferred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59612" cy="2317310"/>
                    </a:xfrm>
                    <a:prstGeom prst="rect">
                      <a:avLst/>
                    </a:prstGeom>
                    <a:noFill/>
                    <a:ln>
                      <a:noFill/>
                    </a:ln>
                  </pic:spPr>
                </pic:pic>
              </a:graphicData>
            </a:graphic>
          </wp:inline>
        </w:drawing>
      </w:r>
    </w:p>
    <w:p w:rsidR="0088436A" w:rsidRPr="0088436A" w:rsidRDefault="0088436A" w:rsidP="0088436A">
      <w:pPr>
        <w:pStyle w:val="TableDescription"/>
        <w:rPr>
          <w:rFonts w:asciiTheme="minorHAnsi" w:hAnsiTheme="minorHAnsi"/>
        </w:rPr>
      </w:pPr>
      <w:r>
        <w:rPr>
          <w:bCs/>
          <w:lang w:val="en"/>
        </w:rPr>
        <w:t>*</w:t>
      </w:r>
      <w:proofErr w:type="spellStart"/>
      <w:r w:rsidRPr="0088436A">
        <w:rPr>
          <w:bCs/>
          <w:lang w:val="en"/>
        </w:rPr>
        <w:t>MedDRA</w:t>
      </w:r>
      <w:proofErr w:type="spellEnd"/>
      <w:r w:rsidRPr="0088436A">
        <w:rPr>
          <w:lang w:val="en"/>
        </w:rPr>
        <w:t xml:space="preserve"> or </w:t>
      </w:r>
      <w:r w:rsidRPr="0088436A">
        <w:rPr>
          <w:bCs/>
          <w:lang w:val="en"/>
        </w:rPr>
        <w:t>Medical Dictionary for Regulatory Activities</w:t>
      </w:r>
      <w:r w:rsidRPr="0088436A">
        <w:rPr>
          <w:lang w:val="en"/>
        </w:rPr>
        <w:t xml:space="preserve"> is a clinically validated international </w:t>
      </w:r>
      <w:hyperlink r:id="rId32" w:tooltip="Medical terminology" w:history="1">
        <w:r w:rsidRPr="0088436A">
          <w:rPr>
            <w:rStyle w:val="Hyperlink"/>
            <w:color w:val="auto"/>
            <w:u w:val="none"/>
            <w:lang w:val="en"/>
          </w:rPr>
          <w:t>medical terminology</w:t>
        </w:r>
      </w:hyperlink>
      <w:r w:rsidRPr="0088436A">
        <w:rPr>
          <w:lang w:val="en"/>
        </w:rPr>
        <w:t xml:space="preserve"> dictionary (and </w:t>
      </w:r>
      <w:hyperlink r:id="rId33" w:tooltip="Thesaurus" w:history="1">
        <w:r w:rsidRPr="0088436A">
          <w:rPr>
            <w:rStyle w:val="Hyperlink"/>
            <w:color w:val="auto"/>
            <w:u w:val="none"/>
            <w:lang w:val="en"/>
          </w:rPr>
          <w:t>thesaurus</w:t>
        </w:r>
      </w:hyperlink>
      <w:r w:rsidRPr="0088436A">
        <w:rPr>
          <w:lang w:val="en"/>
        </w:rPr>
        <w:t xml:space="preserve">) used by regulatory authorities in the pharmaceutical industry during the regulatory process, from pre-marketing to post-marketing activities, and for data entry, retrieval, evaluation, and presentation. In addition, it is the </w:t>
      </w:r>
      <w:hyperlink r:id="rId34" w:tooltip="Adverse event" w:history="1">
        <w:r w:rsidRPr="0088436A">
          <w:rPr>
            <w:rStyle w:val="Hyperlink"/>
            <w:color w:val="auto"/>
            <w:u w:val="none"/>
            <w:lang w:val="en"/>
          </w:rPr>
          <w:t>adverse event</w:t>
        </w:r>
      </w:hyperlink>
      <w:r w:rsidRPr="0088436A">
        <w:rPr>
          <w:lang w:val="en"/>
        </w:rPr>
        <w:t xml:space="preserve"> classification dictionary endorsed by the </w:t>
      </w:r>
      <w:hyperlink r:id="rId35" w:tooltip="International Conference on Harmonisation of Technical Requirements for Registration of Pharmaceuticals for Human Use" w:history="1">
        <w:r w:rsidRPr="0088436A">
          <w:rPr>
            <w:rStyle w:val="Hyperlink"/>
            <w:color w:val="auto"/>
            <w:u w:val="none"/>
            <w:lang w:val="en"/>
          </w:rPr>
          <w:t xml:space="preserve">International Conference on </w:t>
        </w:r>
        <w:r w:rsidR="00216F4E" w:rsidRPr="0088436A">
          <w:rPr>
            <w:rStyle w:val="Hyperlink"/>
            <w:color w:val="auto"/>
            <w:u w:val="none"/>
            <w:lang w:val="en"/>
          </w:rPr>
          <w:t>Harmonization</w:t>
        </w:r>
        <w:r w:rsidRPr="0088436A">
          <w:rPr>
            <w:rStyle w:val="Hyperlink"/>
            <w:color w:val="auto"/>
            <w:u w:val="none"/>
            <w:lang w:val="en"/>
          </w:rPr>
          <w:t xml:space="preserve"> of Technical Requirements for Registration of Pharmaceuticals for Human Use</w:t>
        </w:r>
      </w:hyperlink>
      <w:r w:rsidRPr="0088436A">
        <w:rPr>
          <w:lang w:val="en"/>
        </w:rPr>
        <w:t xml:space="preserve"> (ICH).</w:t>
      </w:r>
    </w:p>
    <w:p w:rsidR="007C69F4" w:rsidRDefault="007C69F4" w:rsidP="00B12A95">
      <w:r>
        <w:t xml:space="preserve">In the placebo-controlled </w:t>
      </w:r>
      <w:r w:rsidR="0088436A">
        <w:t>S</w:t>
      </w:r>
      <w:r>
        <w:t xml:space="preserve">tudy XM22-04, treatment-emergent AEs of alopecia, anaemia, hypokalaemia, fatigue and pain were reported in the </w:t>
      </w:r>
      <w:proofErr w:type="spellStart"/>
      <w:r>
        <w:t>lipegfilgrastim</w:t>
      </w:r>
      <w:proofErr w:type="spellEnd"/>
      <w:r>
        <w:t xml:space="preserve"> arm.</w:t>
      </w:r>
    </w:p>
    <w:p w:rsidR="0088436A" w:rsidRDefault="0088436A" w:rsidP="0088436A">
      <w:pPr>
        <w:pStyle w:val="TableTitle"/>
      </w:pPr>
      <w:r>
        <w:lastRenderedPageBreak/>
        <w:t>Table 16: Study XM22-04, treatment-emergent AEs</w:t>
      </w:r>
    </w:p>
    <w:p w:rsidR="0088436A" w:rsidRDefault="0088436A" w:rsidP="0088436A">
      <w:pPr>
        <w:pStyle w:val="TableTitle"/>
      </w:pPr>
      <w:r>
        <w:rPr>
          <w:noProof/>
          <w:lang w:eastAsia="en-AU"/>
        </w:rPr>
        <w:drawing>
          <wp:inline distT="0" distB="0" distL="0" distR="0" wp14:anchorId="13349996" wp14:editId="63F4CD28">
            <wp:extent cx="3672115" cy="4390571"/>
            <wp:effectExtent l="19050" t="19050" r="24130" b="10160"/>
            <wp:docPr id="17" name="Picture 17" descr="Table 16: Study XM22-04, treatment-emergent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extLst>
                        <a:ext uri="{BEBA8EAE-BF5A-486C-A8C5-ECC9F3942E4B}">
                          <a14:imgProps xmlns:a14="http://schemas.microsoft.com/office/drawing/2010/main">
                            <a14:imgLayer r:embed="rId37">
                              <a14:imgEffect>
                                <a14:sharpenSoften amount="50000"/>
                              </a14:imgEffect>
                            </a14:imgLayer>
                          </a14:imgProps>
                        </a:ext>
                      </a:extLst>
                    </a:blip>
                    <a:srcRect l="965" t="982" r="3192"/>
                    <a:stretch/>
                  </pic:blipFill>
                  <pic:spPr bwMode="auto">
                    <a:xfrm>
                      <a:off x="0" y="0"/>
                      <a:ext cx="3673165" cy="4391827"/>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rsidR="007C69F4" w:rsidRDefault="007C69F4" w:rsidP="00B12A95">
      <w:pPr>
        <w:pStyle w:val="Heading5"/>
      </w:pPr>
      <w:r>
        <w:t>Deaths</w:t>
      </w:r>
    </w:p>
    <w:p w:rsidR="00B56A57" w:rsidRDefault="007C69F4" w:rsidP="00B12A95">
      <w:r>
        <w:t xml:space="preserve">In XM22-04, there was an imbalance in mortality during the treatment-emergent phase of the study, however as discussed above, there was an imbalance at baseline in tumour histology type between the treatment arms, with neither survival nor disease progression being assessed </w:t>
      </w:r>
      <w:r w:rsidRPr="0088436A">
        <w:t>a priori</w:t>
      </w:r>
      <w:r>
        <w:t>. The sponsors responses</w:t>
      </w:r>
      <w:r w:rsidR="009801DD">
        <w:t xml:space="preserve"> </w:t>
      </w:r>
      <w:r>
        <w:t>demonstrated that no deaths in this study were assessed as being ‘likely’ to be related to study medication, but were due to either the underlying disease or associated morbidity</w:t>
      </w:r>
      <w:r w:rsidR="00B56A57">
        <w:t>.</w:t>
      </w:r>
    </w:p>
    <w:p w:rsidR="007C69F4" w:rsidRDefault="007C69F4" w:rsidP="00B12A95">
      <w:r>
        <w:t xml:space="preserve">Mortality was not statistically significantly worse for the </w:t>
      </w:r>
      <w:proofErr w:type="spellStart"/>
      <w:r>
        <w:t>lipegfilgrastim</w:t>
      </w:r>
      <w:proofErr w:type="spellEnd"/>
      <w:r>
        <w:t xml:space="preserve"> arm during the period of administration, as demonstrated in the explorative survival analysis, with one year follow-up. The 95% confidence intervals of hazard of death for each treatment arm do not separate</w:t>
      </w:r>
      <w:r w:rsidR="0088436A">
        <w:t xml:space="preserve"> (Figure 9).</w:t>
      </w:r>
    </w:p>
    <w:p w:rsidR="0088436A" w:rsidRDefault="0088436A" w:rsidP="0088436A">
      <w:pPr>
        <w:pStyle w:val="FigureTitle"/>
      </w:pPr>
      <w:r>
        <w:lastRenderedPageBreak/>
        <w:t>Figure 9: Kaplan-Meier plot of survival probability versus day after Cycle 1 Day 1</w:t>
      </w:r>
    </w:p>
    <w:p w:rsidR="007C69F4" w:rsidRDefault="007C69F4" w:rsidP="007C69F4">
      <w:pPr>
        <w:spacing w:before="0" w:after="0" w:line="240" w:lineRule="auto"/>
        <w:jc w:val="both"/>
        <w:rPr>
          <w:rFonts w:asciiTheme="minorHAnsi" w:hAnsiTheme="minorHAnsi"/>
        </w:rPr>
      </w:pPr>
      <w:r>
        <w:rPr>
          <w:rFonts w:asciiTheme="minorHAnsi" w:hAnsiTheme="minorHAnsi"/>
          <w:noProof/>
          <w:lang w:eastAsia="en-AU"/>
        </w:rPr>
        <w:drawing>
          <wp:inline distT="0" distB="0" distL="0" distR="0" wp14:anchorId="416F642D" wp14:editId="6962FAB8">
            <wp:extent cx="3348928" cy="2489200"/>
            <wp:effectExtent l="0" t="0" r="4445" b="6350"/>
            <wp:docPr id="9" name="Picture 9" descr="Figure 9: Kaplan-Meier plot of survival probability versus day after Cycle 1 Da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lum bright="-20000" contrast="40000"/>
                      <a:extLst>
                        <a:ext uri="{28A0092B-C50C-407E-A947-70E740481C1C}">
                          <a14:useLocalDpi xmlns:a14="http://schemas.microsoft.com/office/drawing/2010/main" val="0"/>
                        </a:ext>
                      </a:extLst>
                    </a:blip>
                    <a:srcRect/>
                    <a:stretch>
                      <a:fillRect/>
                    </a:stretch>
                  </pic:blipFill>
                  <pic:spPr bwMode="auto">
                    <a:xfrm>
                      <a:off x="0" y="0"/>
                      <a:ext cx="3351751" cy="2491298"/>
                    </a:xfrm>
                    <a:prstGeom prst="rect">
                      <a:avLst/>
                    </a:prstGeom>
                    <a:noFill/>
                    <a:ln>
                      <a:noFill/>
                    </a:ln>
                  </pic:spPr>
                </pic:pic>
              </a:graphicData>
            </a:graphic>
          </wp:inline>
        </w:drawing>
      </w:r>
    </w:p>
    <w:p w:rsidR="007C69F4" w:rsidRDefault="007C69F4" w:rsidP="00B12A95">
      <w:r>
        <w:t>Furthermore, data requested at the pre-submission meeting of hazard of survival split at treatment cycle demonstrates that the 95% CI of the hazard ratios for each treatment arm do not separate across each of the four cycles. This additional analysis is supportive of registration.</w:t>
      </w:r>
    </w:p>
    <w:p w:rsidR="007C69F4" w:rsidRDefault="007C69F4" w:rsidP="00B12A95">
      <w:r>
        <w:t xml:space="preserve">One death occurred in </w:t>
      </w:r>
      <w:r w:rsidR="0088436A">
        <w:t>S</w:t>
      </w:r>
      <w:r>
        <w:t xml:space="preserve">tudy XM22-03 as a result of enterocolitis but was considered not related to </w:t>
      </w:r>
      <w:proofErr w:type="spellStart"/>
      <w:r>
        <w:t>lipegfilgrastim</w:t>
      </w:r>
      <w:proofErr w:type="spellEnd"/>
      <w:r>
        <w:t xml:space="preserve"> exposure.</w:t>
      </w:r>
    </w:p>
    <w:p w:rsidR="007C69F4" w:rsidRPr="0088436A" w:rsidRDefault="007C69F4" w:rsidP="0088436A">
      <w:pPr>
        <w:pStyle w:val="Heading5"/>
      </w:pPr>
      <w:r>
        <w:t>Discontinuations</w:t>
      </w:r>
    </w:p>
    <w:p w:rsidR="007C69F4" w:rsidRDefault="007C69F4" w:rsidP="00B12A95">
      <w:r>
        <w:t xml:space="preserve">Among the patients in XM22-03, there was a comparable, low incidence of premature discontinuation for patients exposed to </w:t>
      </w:r>
      <w:proofErr w:type="spellStart"/>
      <w:r>
        <w:t>lipegfilgrastim</w:t>
      </w:r>
      <w:proofErr w:type="spellEnd"/>
      <w:r>
        <w:t xml:space="preserve"> and placebo.</w:t>
      </w:r>
    </w:p>
    <w:p w:rsidR="007C69F4" w:rsidRDefault="007C69F4" w:rsidP="00B12A95">
      <w:r>
        <w:t xml:space="preserve">In </w:t>
      </w:r>
      <w:r w:rsidR="0088436A">
        <w:t>S</w:t>
      </w:r>
      <w:r>
        <w:t xml:space="preserve">tudy XM22-04, the proportion of patients discontinuing due to adverse events were comparable between placebo and </w:t>
      </w:r>
      <w:proofErr w:type="spellStart"/>
      <w:r>
        <w:t>lipegfilgrastim</w:t>
      </w:r>
      <w:proofErr w:type="spellEnd"/>
      <w:r>
        <w:t>.</w:t>
      </w:r>
    </w:p>
    <w:p w:rsidR="007C69F4" w:rsidRDefault="0088436A" w:rsidP="00B12A95">
      <w:r>
        <w:t>With respect to l</w:t>
      </w:r>
      <w:r w:rsidR="007C69F4">
        <w:t>aboratory tests</w:t>
      </w:r>
      <w:r>
        <w:t xml:space="preserve">, </w:t>
      </w:r>
      <w:r w:rsidR="007C69F4">
        <w:t xml:space="preserve">there were no reported significant changes in liver or renal function across </w:t>
      </w:r>
      <w:r>
        <w:t>the</w:t>
      </w:r>
      <w:r w:rsidR="007C69F4">
        <w:t xml:space="preserve"> studies.</w:t>
      </w:r>
    </w:p>
    <w:p w:rsidR="007C69F4" w:rsidRDefault="007C69F4" w:rsidP="005E2AA3">
      <w:pPr>
        <w:pStyle w:val="Heading5"/>
      </w:pPr>
      <w:r w:rsidRPr="005E2AA3">
        <w:t>Immunogenicity</w:t>
      </w:r>
    </w:p>
    <w:p w:rsidR="007C69F4" w:rsidRDefault="007C69F4" w:rsidP="00B12A95">
      <w:r>
        <w:t xml:space="preserve">The evaluator states that </w:t>
      </w:r>
      <w:r w:rsidR="00F26F05">
        <w:t>‘</w:t>
      </w:r>
      <w:r w:rsidRPr="0088436A">
        <w:rPr>
          <w:i/>
        </w:rPr>
        <w:t>there were no significant issues within the studies</w:t>
      </w:r>
      <w:r w:rsidR="00F26F05" w:rsidRPr="0088436A">
        <w:rPr>
          <w:i/>
        </w:rPr>
        <w:t>’</w:t>
      </w:r>
      <w:r>
        <w:t>. The PI reports a risk of ‘skin reactions’, ‘rash’ and ‘injection site reactions’, which are consistent with the class of medicine.</w:t>
      </w:r>
    </w:p>
    <w:p w:rsidR="007C69F4" w:rsidRPr="005E2AA3" w:rsidRDefault="007C69F4" w:rsidP="005E2AA3">
      <w:pPr>
        <w:pStyle w:val="Heading5"/>
      </w:pPr>
      <w:proofErr w:type="spellStart"/>
      <w:r>
        <w:t>Leukocytosis</w:t>
      </w:r>
      <w:proofErr w:type="spellEnd"/>
    </w:p>
    <w:p w:rsidR="00B56A57" w:rsidRDefault="007C69F4" w:rsidP="00B12A95">
      <w:r>
        <w:t xml:space="preserve">Three patients were identified as experiencing the </w:t>
      </w:r>
      <w:proofErr w:type="spellStart"/>
      <w:r>
        <w:t>MedDRA</w:t>
      </w:r>
      <w:proofErr w:type="spellEnd"/>
      <w:r>
        <w:t xml:space="preserve"> term leucocytosis</w:t>
      </w:r>
      <w:r w:rsidR="0088436A">
        <w:t>;</w:t>
      </w:r>
      <w:r>
        <w:t xml:space="preserve"> two patients had </w:t>
      </w:r>
      <w:r w:rsidR="0088436A">
        <w:t>Grade II and one G</w:t>
      </w:r>
      <w:r>
        <w:t xml:space="preserve">rade I </w:t>
      </w:r>
      <w:r w:rsidR="0088436A">
        <w:t>and</w:t>
      </w:r>
      <w:r>
        <w:t xml:space="preserve"> all events resolved</w:t>
      </w:r>
      <w:r w:rsidR="00B56A57">
        <w:t>.</w:t>
      </w:r>
    </w:p>
    <w:p w:rsidR="007C69F4" w:rsidRDefault="007C69F4" w:rsidP="00B12A95">
      <w:r>
        <w:t>The reported incidence of leucocytosis &gt;100x10</w:t>
      </w:r>
      <w:r w:rsidRPr="0088436A">
        <w:rPr>
          <w:vertAlign w:val="superscript"/>
        </w:rPr>
        <w:t>9</w:t>
      </w:r>
      <w:r>
        <w:t xml:space="preserve">/L from </w:t>
      </w:r>
      <w:proofErr w:type="spellStart"/>
      <w:r>
        <w:t>pegfilgrastim</w:t>
      </w:r>
      <w:proofErr w:type="spellEnd"/>
      <w:r>
        <w:t xml:space="preserve"> exposure (as per the currently approved PI) is &lt;0.5%. No patients experienced a white cell count &gt;100x10</w:t>
      </w:r>
      <w:r w:rsidRPr="0088436A">
        <w:rPr>
          <w:vertAlign w:val="superscript"/>
        </w:rPr>
        <w:t>9</w:t>
      </w:r>
      <w:r>
        <w:t xml:space="preserve">/L with </w:t>
      </w:r>
      <w:proofErr w:type="spellStart"/>
      <w:r>
        <w:t>lipegfilgrastim</w:t>
      </w:r>
      <w:proofErr w:type="spellEnd"/>
      <w:r>
        <w:t xml:space="preserve"> exposure.</w:t>
      </w:r>
    </w:p>
    <w:p w:rsidR="00B56A57" w:rsidRDefault="007C69F4" w:rsidP="00B12A95">
      <w:r>
        <w:t>Ten patients were identified as experiencing a white cell count &gt;50x10</w:t>
      </w:r>
      <w:r w:rsidRPr="005E2AA3">
        <w:rPr>
          <w:vertAlign w:val="superscript"/>
        </w:rPr>
        <w:t>9</w:t>
      </w:r>
      <w:r>
        <w:t>/L, an incidence of 10/785 (1.3%)</w:t>
      </w:r>
      <w:r w:rsidR="005E2AA3">
        <w:t>:</w:t>
      </w:r>
      <w:r>
        <w:t xml:space="preserve"> nine were exposed to </w:t>
      </w:r>
      <w:proofErr w:type="spellStart"/>
      <w:r>
        <w:t>lipegfilgrastim</w:t>
      </w:r>
      <w:proofErr w:type="spellEnd"/>
      <w:r>
        <w:t xml:space="preserve"> and one to placebo</w:t>
      </w:r>
      <w:r w:rsidR="00B56A57">
        <w:t>.</w:t>
      </w:r>
    </w:p>
    <w:p w:rsidR="007C69F4" w:rsidRDefault="007C69F4" w:rsidP="00B12A95">
      <w:r>
        <w:t xml:space="preserve">No subjects were reported as experiencing </w:t>
      </w:r>
      <w:proofErr w:type="spellStart"/>
      <w:r>
        <w:t>leukostasis</w:t>
      </w:r>
      <w:proofErr w:type="spellEnd"/>
      <w:r>
        <w:t xml:space="preserve"> syndrome.</w:t>
      </w:r>
    </w:p>
    <w:p w:rsidR="007C69F4" w:rsidRPr="005E2AA3" w:rsidRDefault="007C69F4" w:rsidP="005E2AA3">
      <w:pPr>
        <w:pStyle w:val="Heading5"/>
      </w:pPr>
      <w:r>
        <w:lastRenderedPageBreak/>
        <w:t>ECG changes</w:t>
      </w:r>
    </w:p>
    <w:p w:rsidR="00B56A57" w:rsidRDefault="007C69F4" w:rsidP="00B12A95">
      <w:r>
        <w:t xml:space="preserve">In </w:t>
      </w:r>
      <w:r w:rsidR="005E2AA3">
        <w:t>S</w:t>
      </w:r>
      <w:r>
        <w:t xml:space="preserve">tudy XM22-03, the incidence of ST-T wave changes and increases in </w:t>
      </w:r>
      <w:proofErr w:type="spellStart"/>
      <w:r>
        <w:t>QTcF</w:t>
      </w:r>
      <w:proofErr w:type="spellEnd"/>
      <w:r>
        <w:t xml:space="preserve"> duration</w:t>
      </w:r>
      <w:r w:rsidR="005E2AA3">
        <w:rPr>
          <w:rStyle w:val="FootnoteReference"/>
        </w:rPr>
        <w:footnoteReference w:id="7"/>
      </w:r>
      <w:r>
        <w:t xml:space="preserve"> were seen in similar proportions of the </w:t>
      </w:r>
      <w:proofErr w:type="spellStart"/>
      <w:r>
        <w:t>lipegfilgrastim</w:t>
      </w:r>
      <w:proofErr w:type="spellEnd"/>
      <w:r>
        <w:t xml:space="preserve"> and </w:t>
      </w:r>
      <w:proofErr w:type="spellStart"/>
      <w:r>
        <w:t>pegfilgrastim</w:t>
      </w:r>
      <w:proofErr w:type="spellEnd"/>
      <w:r>
        <w:t xml:space="preserve"> arms</w:t>
      </w:r>
      <w:r w:rsidR="00B56A57">
        <w:t>.</w:t>
      </w:r>
    </w:p>
    <w:p w:rsidR="008E7846" w:rsidRDefault="00386150" w:rsidP="007B6132">
      <w:pPr>
        <w:pStyle w:val="Heading3"/>
        <w:rPr>
          <w:lang w:eastAsia="en-AU"/>
        </w:rPr>
      </w:pPr>
      <w:bookmarkStart w:id="201" w:name="_Toc445210979"/>
      <w:r>
        <w:rPr>
          <w:lang w:eastAsia="en-AU"/>
        </w:rPr>
        <w:t>Risk m</w:t>
      </w:r>
      <w:r w:rsidR="008E7846">
        <w:rPr>
          <w:lang w:eastAsia="en-AU"/>
        </w:rPr>
        <w:t xml:space="preserve">anagement </w:t>
      </w:r>
      <w:r>
        <w:rPr>
          <w:lang w:eastAsia="en-AU"/>
        </w:rPr>
        <w:t>p</w:t>
      </w:r>
      <w:r w:rsidR="008E7846">
        <w:rPr>
          <w:lang w:eastAsia="en-AU"/>
        </w:rPr>
        <w:t>lan</w:t>
      </w:r>
      <w:bookmarkEnd w:id="200"/>
      <w:bookmarkEnd w:id="201"/>
    </w:p>
    <w:p w:rsidR="00AA55A3" w:rsidRDefault="00AA55A3" w:rsidP="00AA55A3">
      <w:pPr>
        <w:spacing w:before="0" w:after="0" w:line="240" w:lineRule="auto"/>
        <w:jc w:val="both"/>
        <w:rPr>
          <w:rFonts w:asciiTheme="minorHAnsi" w:hAnsiTheme="minorHAnsi"/>
        </w:rPr>
      </w:pPr>
      <w:r>
        <w:rPr>
          <w:rFonts w:asciiTheme="minorHAnsi" w:hAnsiTheme="minorHAnsi"/>
        </w:rPr>
        <w:t xml:space="preserve">The second round </w:t>
      </w:r>
      <w:r w:rsidR="005E2AA3">
        <w:rPr>
          <w:rFonts w:asciiTheme="minorHAnsi" w:hAnsiTheme="minorHAnsi"/>
        </w:rPr>
        <w:t xml:space="preserve">RMP </w:t>
      </w:r>
      <w:r>
        <w:rPr>
          <w:rFonts w:asciiTheme="minorHAnsi" w:hAnsiTheme="minorHAnsi"/>
        </w:rPr>
        <w:t>evaluation was supportive of registration. The evaluator suggested PI amendments to the Delegate:</w:t>
      </w:r>
    </w:p>
    <w:p w:rsidR="00AA55A3" w:rsidRPr="005E2AA3" w:rsidRDefault="00AA55A3" w:rsidP="005E2AA3">
      <w:pPr>
        <w:pStyle w:val="Numberbullet0"/>
        <w:numPr>
          <w:ilvl w:val="0"/>
          <w:numId w:val="18"/>
        </w:numPr>
      </w:pPr>
      <w:r w:rsidRPr="005E2AA3">
        <w:t>Regarding use in children, it is recommended that the Delegate considers adding a statement ‘treatment in this patient group is not recommended.</w:t>
      </w:r>
      <w:r w:rsidR="00F26F05" w:rsidRPr="005E2AA3">
        <w:t>’</w:t>
      </w:r>
      <w:r w:rsidRPr="005E2AA3">
        <w:t xml:space="preserve"> The Delegate agrees with this advice</w:t>
      </w:r>
      <w:r w:rsidR="005E2AA3">
        <w:t>.</w:t>
      </w:r>
    </w:p>
    <w:p w:rsidR="00AA55A3" w:rsidRPr="005E2AA3" w:rsidRDefault="00AA55A3" w:rsidP="005E2AA3">
      <w:pPr>
        <w:pStyle w:val="Numberbullet0"/>
      </w:pPr>
      <w:r w:rsidRPr="005E2AA3">
        <w:t xml:space="preserve">The indication should reflect that of the </w:t>
      </w:r>
      <w:proofErr w:type="spellStart"/>
      <w:r w:rsidRPr="005E2AA3">
        <w:t>S</w:t>
      </w:r>
      <w:r w:rsidR="005E2AA3">
        <w:t>m</w:t>
      </w:r>
      <w:r w:rsidRPr="005E2AA3">
        <w:t>PC</w:t>
      </w:r>
      <w:proofErr w:type="spellEnd"/>
      <w:r w:rsidRPr="005E2AA3">
        <w:t xml:space="preserve">, in that patients with </w:t>
      </w:r>
      <w:proofErr w:type="gramStart"/>
      <w:r w:rsidRPr="005E2AA3">
        <w:t>Myeloid</w:t>
      </w:r>
      <w:proofErr w:type="gramEnd"/>
      <w:r w:rsidRPr="005E2AA3">
        <w:t xml:space="preserve"> leukaemia or myelodysplastic syndrome should not be treated, and reflected in the indication. The Delegate agrees with this advice</w:t>
      </w:r>
      <w:r w:rsidR="005E2AA3">
        <w:t xml:space="preserve"> (</w:t>
      </w:r>
      <w:r w:rsidRPr="005E2AA3">
        <w:t>see below</w:t>
      </w:r>
      <w:r w:rsidR="005E2AA3">
        <w:t>).</w:t>
      </w:r>
    </w:p>
    <w:p w:rsidR="008E7846" w:rsidRDefault="00AA0ED0" w:rsidP="008E7846">
      <w:pPr>
        <w:pStyle w:val="Heading3"/>
      </w:pPr>
      <w:bookmarkStart w:id="202" w:name="_Toc247691531"/>
      <w:bookmarkStart w:id="203" w:name="_Toc314842515"/>
      <w:bookmarkStart w:id="204" w:name="_Toc196046505"/>
      <w:bookmarkStart w:id="205" w:name="_Toc196046949"/>
      <w:bookmarkStart w:id="206" w:name="_Toc445210980"/>
      <w:r>
        <w:t>Risk-benefit a</w:t>
      </w:r>
      <w:r w:rsidR="008E7846">
        <w:t>nalysis</w:t>
      </w:r>
      <w:bookmarkEnd w:id="202"/>
      <w:bookmarkEnd w:id="203"/>
      <w:bookmarkEnd w:id="206"/>
    </w:p>
    <w:p w:rsidR="00D23139" w:rsidRDefault="00D23139" w:rsidP="00D23139">
      <w:pPr>
        <w:pStyle w:val="Heading4"/>
      </w:pPr>
      <w:r w:rsidRPr="00D23139">
        <w:t xml:space="preserve">Delegate’s considerations </w:t>
      </w:r>
    </w:p>
    <w:p w:rsidR="007C69F4" w:rsidRDefault="007C69F4" w:rsidP="00B12A95">
      <w:r>
        <w:t xml:space="preserve">In Australia, the currently approved products </w:t>
      </w:r>
      <w:proofErr w:type="spellStart"/>
      <w:r>
        <w:t>filgrastim</w:t>
      </w:r>
      <w:proofErr w:type="spellEnd"/>
      <w:r>
        <w:t xml:space="preserve"> and </w:t>
      </w:r>
      <w:proofErr w:type="spellStart"/>
      <w:r>
        <w:t>pegfilgrastim</w:t>
      </w:r>
      <w:proofErr w:type="spellEnd"/>
      <w:r>
        <w:t xml:space="preserve"> are the standard of care for patients requiring treatment for the </w:t>
      </w:r>
      <w:proofErr w:type="spellStart"/>
      <w:r>
        <w:t>myelosuppressive</w:t>
      </w:r>
      <w:proofErr w:type="spellEnd"/>
      <w:r>
        <w:t xml:space="preserve"> effects of cytotoxic chemotherapy. Given the clinical experience of use of </w:t>
      </w:r>
      <w:proofErr w:type="spellStart"/>
      <w:r>
        <w:t>filgrastim</w:t>
      </w:r>
      <w:proofErr w:type="spellEnd"/>
      <w:r>
        <w:t xml:space="preserve"> and </w:t>
      </w:r>
      <w:proofErr w:type="spellStart"/>
      <w:r>
        <w:t>pegfilgrastim</w:t>
      </w:r>
      <w:proofErr w:type="spellEnd"/>
      <w:r>
        <w:t xml:space="preserve">, with the benefit of the safety and efficacy of </w:t>
      </w:r>
      <w:proofErr w:type="spellStart"/>
      <w:r>
        <w:t>lipegfilgrastim</w:t>
      </w:r>
      <w:proofErr w:type="spellEnd"/>
      <w:r>
        <w:t xml:space="preserve"> has to be measured against these currently approved therapies.</w:t>
      </w:r>
    </w:p>
    <w:p w:rsidR="007C69F4" w:rsidRDefault="007C69F4" w:rsidP="00B12A95">
      <w:pPr>
        <w:pStyle w:val="Heading5"/>
      </w:pPr>
      <w:r>
        <w:t>Efficacy</w:t>
      </w:r>
    </w:p>
    <w:p w:rsidR="007C69F4" w:rsidRDefault="007C69F4" w:rsidP="00B12A95">
      <w:r>
        <w:t xml:space="preserve">The totality of evidence presented favours the registration of </w:t>
      </w:r>
      <w:proofErr w:type="spellStart"/>
      <w:r>
        <w:t>lipegfilgrastim</w:t>
      </w:r>
      <w:proofErr w:type="spellEnd"/>
      <w:r>
        <w:t>.</w:t>
      </w:r>
    </w:p>
    <w:p w:rsidR="007C69F4" w:rsidRDefault="007C69F4" w:rsidP="00B12A95">
      <w:r>
        <w:t xml:space="preserve">The observed incidence of febrile </w:t>
      </w:r>
      <w:proofErr w:type="spellStart"/>
      <w:r>
        <w:t>neutropaenia</w:t>
      </w:r>
      <w:proofErr w:type="spellEnd"/>
      <w:r>
        <w:t xml:space="preserve"> in </w:t>
      </w:r>
      <w:r w:rsidR="005E2AA3">
        <w:t>S</w:t>
      </w:r>
      <w:r>
        <w:t>tudy XM22-04 was lower (1%) than was anticipated in the statistical analysis plan (7</w:t>
      </w:r>
      <w:r w:rsidR="005E2AA3">
        <w:t xml:space="preserve"> to </w:t>
      </w:r>
      <w:r>
        <w:t xml:space="preserve">10%), precluding the study from being able to satisfactorily assess a difference in incidence of febrile </w:t>
      </w:r>
      <w:proofErr w:type="spellStart"/>
      <w:r>
        <w:t>neutropaenia</w:t>
      </w:r>
      <w:proofErr w:type="spellEnd"/>
      <w:r>
        <w:t xml:space="preserve">. However, the secondary end-points of this study were supportive of the efficacy benefit of </w:t>
      </w:r>
      <w:proofErr w:type="spellStart"/>
      <w:r>
        <w:t>lipegfilgrastim</w:t>
      </w:r>
      <w:proofErr w:type="spellEnd"/>
      <w:r>
        <w:t xml:space="preserve">. Study XM22-03 demonstrated non-inferiority of </w:t>
      </w:r>
      <w:proofErr w:type="spellStart"/>
      <w:r>
        <w:t>lipegfilgrastim</w:t>
      </w:r>
      <w:proofErr w:type="spellEnd"/>
      <w:r>
        <w:t xml:space="preserve"> to </w:t>
      </w:r>
      <w:proofErr w:type="spellStart"/>
      <w:r>
        <w:t>pegfilgrastim</w:t>
      </w:r>
      <w:proofErr w:type="spellEnd"/>
      <w:r>
        <w:t>.</w:t>
      </w:r>
    </w:p>
    <w:p w:rsidR="007C69F4" w:rsidRDefault="007C69F4" w:rsidP="00B12A95">
      <w:r>
        <w:t xml:space="preserve">The sponsor confirms in their response to </w:t>
      </w:r>
      <w:r w:rsidR="005E2AA3">
        <w:t>clinical Q</w:t>
      </w:r>
      <w:r>
        <w:t xml:space="preserve">uestion 4 that no efficacy data exists for the use of </w:t>
      </w:r>
      <w:proofErr w:type="spellStart"/>
      <w:r>
        <w:t>lipegfilgrastim</w:t>
      </w:r>
      <w:proofErr w:type="spellEnd"/>
      <w:r>
        <w:t xml:space="preserve"> when used in more than four consecutive cycles of cytotoxic chemotherapy.</w:t>
      </w:r>
    </w:p>
    <w:p w:rsidR="007C69F4" w:rsidRDefault="007C69F4" w:rsidP="00B12A95">
      <w:r>
        <w:t xml:space="preserve">The reports of post-marketing efficacy experience of </w:t>
      </w:r>
      <w:proofErr w:type="spellStart"/>
      <w:r>
        <w:t>lipegfilgrastim</w:t>
      </w:r>
      <w:proofErr w:type="spellEnd"/>
      <w:r>
        <w:t xml:space="preserve"> in the EU did not yield any new concerns for efficacy.</w:t>
      </w:r>
    </w:p>
    <w:p w:rsidR="007C69F4" w:rsidRDefault="007C69F4" w:rsidP="00B12A95">
      <w:pPr>
        <w:pStyle w:val="Heading5"/>
      </w:pPr>
      <w:r>
        <w:t>Safety</w:t>
      </w:r>
    </w:p>
    <w:p w:rsidR="00B56A57" w:rsidRDefault="007C69F4" w:rsidP="005E2AA3">
      <w:r>
        <w:t>In regard to the imbalance in mortality during the placebo</w:t>
      </w:r>
      <w:r w:rsidR="005E2AA3">
        <w:t xml:space="preserve"> </w:t>
      </w:r>
      <w:r>
        <w:t xml:space="preserve">controlled period of the randomised controlled </w:t>
      </w:r>
      <w:r w:rsidR="005E2AA3">
        <w:t>Study</w:t>
      </w:r>
      <w:r>
        <w:t xml:space="preserve"> XM22-04, the sponsor sates in their response to </w:t>
      </w:r>
      <w:r w:rsidR="005E2AA3">
        <w:t>clinical</w:t>
      </w:r>
      <w:r>
        <w:t xml:space="preserve"> </w:t>
      </w:r>
      <w:r w:rsidR="005E2AA3">
        <w:t>Q</w:t>
      </w:r>
      <w:r>
        <w:t xml:space="preserve">uestion 9 that despite randomisation </w:t>
      </w:r>
      <w:r w:rsidR="00F26F05">
        <w:t>‘</w:t>
      </w:r>
      <w:r w:rsidRPr="005E2AA3">
        <w:rPr>
          <w:i/>
        </w:rPr>
        <w:t>unfavourable prognostic factors, risk factors and baseline covariate were not necessarily equally distributed between the two treatment groups</w:t>
      </w:r>
      <w:r w:rsidR="00F26F05">
        <w:t>’</w:t>
      </w:r>
      <w:r>
        <w:t xml:space="preserve">. This study neither assessed survival nor disease progression as a primary </w:t>
      </w:r>
      <w:r w:rsidRPr="005E2AA3">
        <w:lastRenderedPageBreak/>
        <w:t xml:space="preserve">outcome measure and thus any observed differences are not necessarily due solely to the difference in effect of </w:t>
      </w:r>
      <w:proofErr w:type="spellStart"/>
      <w:r w:rsidRPr="005E2AA3">
        <w:t>lipegfilgrastim</w:t>
      </w:r>
      <w:proofErr w:type="spellEnd"/>
      <w:r w:rsidRPr="005E2AA3">
        <w:t xml:space="preserve"> and placebo</w:t>
      </w:r>
      <w:r w:rsidR="00B56A57">
        <w:t>.</w:t>
      </w:r>
    </w:p>
    <w:p w:rsidR="007C69F4" w:rsidRPr="005E2AA3" w:rsidRDefault="007C69F4" w:rsidP="005E2AA3">
      <w:proofErr w:type="spellStart"/>
      <w:r w:rsidRPr="005E2AA3">
        <w:t>Lipegfilgrastim</w:t>
      </w:r>
      <w:proofErr w:type="spellEnd"/>
      <w:r w:rsidRPr="005E2AA3">
        <w:t xml:space="preserve"> and </w:t>
      </w:r>
      <w:proofErr w:type="spellStart"/>
      <w:r w:rsidRPr="005E2AA3">
        <w:t>pegfilgrastim</w:t>
      </w:r>
      <w:proofErr w:type="spellEnd"/>
      <w:r w:rsidRPr="005E2AA3">
        <w:t xml:space="preserve"> both contain the parent molecule </w:t>
      </w:r>
      <w:proofErr w:type="spellStart"/>
      <w:r w:rsidRPr="005E2AA3">
        <w:t>filgrastim</w:t>
      </w:r>
      <w:proofErr w:type="spellEnd"/>
      <w:r w:rsidRPr="005E2AA3">
        <w:t xml:space="preserve">. According to their respective product information documents, for patients who develop hypersensitivity to either </w:t>
      </w:r>
      <w:proofErr w:type="spellStart"/>
      <w:r w:rsidRPr="005E2AA3">
        <w:t>filgrastim</w:t>
      </w:r>
      <w:proofErr w:type="spellEnd"/>
      <w:r w:rsidRPr="005E2AA3">
        <w:t xml:space="preserve"> or </w:t>
      </w:r>
      <w:proofErr w:type="spellStart"/>
      <w:r w:rsidRPr="005E2AA3">
        <w:t>pegfilgrastim</w:t>
      </w:r>
      <w:proofErr w:type="spellEnd"/>
      <w:r w:rsidRPr="005E2AA3">
        <w:t xml:space="preserve">, cessation of the drug is mandated; these patients with hypersensitivity cannot be subsequently treated with </w:t>
      </w:r>
      <w:proofErr w:type="spellStart"/>
      <w:r w:rsidRPr="005E2AA3">
        <w:t>lipegfilgrastim</w:t>
      </w:r>
      <w:proofErr w:type="spellEnd"/>
      <w:r w:rsidRPr="005E2AA3">
        <w:t xml:space="preserve"> (as per the proposed PI) and as such this product does not offer a new therapeutic option to them.</w:t>
      </w:r>
    </w:p>
    <w:p w:rsidR="007C69F4" w:rsidRPr="005E2AA3" w:rsidRDefault="007C69F4" w:rsidP="005E2AA3">
      <w:r w:rsidRPr="005E2AA3">
        <w:t xml:space="preserve">The sponsor confirms in their response to </w:t>
      </w:r>
      <w:r w:rsidR="005E2AA3">
        <w:t>clinical Q</w:t>
      </w:r>
      <w:r w:rsidRPr="005E2AA3">
        <w:t xml:space="preserve">uestion 4 that no safety data exists for the use of </w:t>
      </w:r>
      <w:proofErr w:type="spellStart"/>
      <w:r w:rsidRPr="005E2AA3">
        <w:t>lipegfilgrastim</w:t>
      </w:r>
      <w:proofErr w:type="spellEnd"/>
      <w:r w:rsidRPr="005E2AA3">
        <w:t xml:space="preserve"> when used in more than four consecutive cycles of cytotoxic chemotherapy. The safety data presented in the two </w:t>
      </w:r>
      <w:r w:rsidR="005E2AA3">
        <w:t>Periodic Safety Update Reports (</w:t>
      </w:r>
      <w:r w:rsidRPr="005E2AA3">
        <w:t>PSURs</w:t>
      </w:r>
      <w:r w:rsidR="005E2AA3">
        <w:t>)</w:t>
      </w:r>
      <w:r w:rsidRPr="005E2AA3">
        <w:t xml:space="preserve"> were supportive of registration.</w:t>
      </w:r>
    </w:p>
    <w:p w:rsidR="007C69F4" w:rsidRDefault="00AA55A3" w:rsidP="00AA55A3">
      <w:pPr>
        <w:pStyle w:val="Heading5"/>
      </w:pPr>
      <w:r>
        <w:t>Indication</w:t>
      </w:r>
    </w:p>
    <w:p w:rsidR="00B56A57" w:rsidRDefault="007C69F4" w:rsidP="00AA55A3">
      <w:r>
        <w:t xml:space="preserve">The proposed indication is </w:t>
      </w:r>
      <w:r w:rsidRPr="005E2AA3">
        <w:rPr>
          <w:i/>
        </w:rPr>
        <w:t>dissimilar</w:t>
      </w:r>
      <w:r>
        <w:t xml:space="preserve"> to that is approved in all other jurisdictions</w:t>
      </w:r>
      <w:r w:rsidR="00B56A57">
        <w:t>.</w:t>
      </w:r>
    </w:p>
    <w:p w:rsidR="007C69F4" w:rsidRDefault="007C69F4" w:rsidP="00AA55A3">
      <w:r>
        <w:t xml:space="preserve">The </w:t>
      </w:r>
      <w:r w:rsidR="005E2AA3">
        <w:t>TGA’s Pharmaceutical Subcommittee (</w:t>
      </w:r>
      <w:r>
        <w:t>PSC</w:t>
      </w:r>
      <w:r w:rsidR="005E2AA3">
        <w:t>)</w:t>
      </w:r>
      <w:r>
        <w:t xml:space="preserve"> advised that (in the event of registration) the wording of the proposed Australian indication should include the exception of use in patients with CML and myelodysplastic syndromes as included in the EU indication.</w:t>
      </w:r>
    </w:p>
    <w:p w:rsidR="007C69F4" w:rsidRDefault="007C69F4" w:rsidP="00AA55A3">
      <w:pPr>
        <w:pStyle w:val="Heading6"/>
      </w:pPr>
      <w:r>
        <w:t>The Delegate considers the appropriate indication to be:</w:t>
      </w:r>
    </w:p>
    <w:p w:rsidR="007C69F4" w:rsidRPr="005E2AA3" w:rsidRDefault="007C69F4" w:rsidP="007C69F4">
      <w:pPr>
        <w:spacing w:before="0" w:after="0" w:line="240" w:lineRule="auto"/>
        <w:rPr>
          <w:rFonts w:asciiTheme="minorHAnsi" w:hAnsiTheme="minorHAnsi"/>
          <w:i/>
        </w:rPr>
      </w:pPr>
      <w:r>
        <w:rPr>
          <w:rFonts w:asciiTheme="minorHAnsi" w:hAnsiTheme="minorHAnsi"/>
        </w:rPr>
        <w:t xml:space="preserve"> </w:t>
      </w:r>
      <w:r w:rsidR="00F26F05">
        <w:rPr>
          <w:rFonts w:asciiTheme="minorHAnsi" w:hAnsiTheme="minorHAnsi"/>
        </w:rPr>
        <w:t>‘</w:t>
      </w:r>
      <w:proofErr w:type="spellStart"/>
      <w:r w:rsidRPr="005E2AA3">
        <w:rPr>
          <w:rFonts w:asciiTheme="minorHAnsi" w:hAnsiTheme="minorHAnsi"/>
          <w:i/>
        </w:rPr>
        <w:t>Lonquex</w:t>
      </w:r>
      <w:proofErr w:type="spellEnd"/>
      <w:r w:rsidRPr="005E2AA3">
        <w:rPr>
          <w:rFonts w:asciiTheme="minorHAnsi" w:hAnsiTheme="minorHAnsi"/>
          <w:i/>
        </w:rPr>
        <w:t xml:space="preserve"> is indicated for:</w:t>
      </w:r>
    </w:p>
    <w:p w:rsidR="007C69F4" w:rsidRDefault="007C69F4" w:rsidP="007C69F4">
      <w:pPr>
        <w:spacing w:before="0" w:after="0" w:line="240" w:lineRule="auto"/>
        <w:rPr>
          <w:rFonts w:asciiTheme="minorHAnsi" w:hAnsiTheme="minorHAnsi"/>
        </w:rPr>
      </w:pPr>
      <w:r w:rsidRPr="005E2AA3">
        <w:rPr>
          <w:rFonts w:asciiTheme="minorHAnsi" w:hAnsiTheme="minorHAnsi"/>
          <w:i/>
        </w:rPr>
        <w:t>The reduction in the duration of neutropenia and the incidence of febrile neutropenia in adult patients treated with cytotoxic chemotherapy for malignancy (with the exception of chronic myeloid leukaemia and myelodysplastic syndromes).</w:t>
      </w:r>
      <w:r w:rsidR="00F26F05">
        <w:rPr>
          <w:rFonts w:asciiTheme="minorHAnsi" w:hAnsiTheme="minorHAnsi"/>
        </w:rPr>
        <w:t>’</w:t>
      </w:r>
    </w:p>
    <w:p w:rsidR="007C69F4" w:rsidRDefault="007C69F4" w:rsidP="00AA55A3">
      <w:pPr>
        <w:pStyle w:val="Heading5"/>
      </w:pPr>
      <w:r>
        <w:t>Deficiencies of the data</w:t>
      </w:r>
    </w:p>
    <w:p w:rsidR="007C69F4" w:rsidRDefault="007C69F4" w:rsidP="00AA55A3">
      <w:r>
        <w:t xml:space="preserve">The safety and efficacy of </w:t>
      </w:r>
      <w:proofErr w:type="spellStart"/>
      <w:r>
        <w:t>lipegfilgrastim</w:t>
      </w:r>
      <w:proofErr w:type="spellEnd"/>
      <w:r>
        <w:t xml:space="preserve"> in patients treated in the studies presented for evaluation were for a maximum of four cycles (</w:t>
      </w:r>
      <w:r w:rsidR="00494687">
        <w:t>that is,</w:t>
      </w:r>
      <w:r>
        <w:t xml:space="preserve"> four doses of study drug). In </w:t>
      </w:r>
      <w:r w:rsidR="00494687">
        <w:t>the sponsor’s</w:t>
      </w:r>
      <w:r>
        <w:t xml:space="preserve"> response to </w:t>
      </w:r>
      <w:r w:rsidR="00494687">
        <w:t>clinical Q</w:t>
      </w:r>
      <w:r>
        <w:t xml:space="preserve">uestion 4, the sponsor states that </w:t>
      </w:r>
      <w:r w:rsidR="00F26F05">
        <w:t>‘</w:t>
      </w:r>
      <w:r w:rsidRPr="00494687">
        <w:rPr>
          <w:i/>
        </w:rPr>
        <w:t>no data are available for higher number of injections</w:t>
      </w:r>
      <w:r w:rsidR="00F26F05">
        <w:t>’</w:t>
      </w:r>
      <w:r>
        <w:t>.</w:t>
      </w:r>
    </w:p>
    <w:p w:rsidR="007C69F4" w:rsidRDefault="007C69F4" w:rsidP="00AA55A3">
      <w:r>
        <w:t xml:space="preserve">The data as presented in clinical trials section of the PI contains biologically implausible values for the duration of severe </w:t>
      </w:r>
      <w:proofErr w:type="spellStart"/>
      <w:r>
        <w:t>neutropaenia</w:t>
      </w:r>
      <w:proofErr w:type="spellEnd"/>
      <w:r>
        <w:t xml:space="preserve">. The data for duration of severe </w:t>
      </w:r>
      <w:proofErr w:type="spellStart"/>
      <w:r>
        <w:t>neutropaenia</w:t>
      </w:r>
      <w:proofErr w:type="spellEnd"/>
      <w:r>
        <w:t xml:space="preserve"> in </w:t>
      </w:r>
      <w:r w:rsidR="00494687">
        <w:t>T</w:t>
      </w:r>
      <w:r>
        <w:t>able</w:t>
      </w:r>
      <w:r w:rsidR="00494687">
        <w:t>s</w:t>
      </w:r>
      <w:r>
        <w:t xml:space="preserve"> 1 </w:t>
      </w:r>
      <w:r w:rsidR="00494687">
        <w:t>and</w:t>
      </w:r>
      <w:r>
        <w:t xml:space="preserve"> 2 </w:t>
      </w:r>
      <w:r w:rsidR="00494687">
        <w:t xml:space="preserve">[of PI] </w:t>
      </w:r>
      <w:r>
        <w:t>reports the mean ± SD for data which is non-normally distributed, leading to a negative 95% confidence interval. The appropriate measure of spread of data should be used.</w:t>
      </w:r>
    </w:p>
    <w:p w:rsidR="007C69F4" w:rsidRDefault="007C69F4" w:rsidP="00AA55A3">
      <w:r>
        <w:t xml:space="preserve">The effect of moderate and severe renal impairment on PK of </w:t>
      </w:r>
      <w:proofErr w:type="spellStart"/>
      <w:r>
        <w:t>lipegfilgrastim</w:t>
      </w:r>
      <w:proofErr w:type="spellEnd"/>
      <w:r>
        <w:t xml:space="preserve"> has not been studied.</w:t>
      </w:r>
    </w:p>
    <w:p w:rsidR="007C69F4" w:rsidRDefault="007C69F4" w:rsidP="00AA55A3">
      <w:r>
        <w:t xml:space="preserve">The effect of hepatic impairment on PK of </w:t>
      </w:r>
      <w:proofErr w:type="spellStart"/>
      <w:r>
        <w:t>lipegfilgrastim</w:t>
      </w:r>
      <w:proofErr w:type="spellEnd"/>
      <w:r>
        <w:t xml:space="preserve"> has not been studied.</w:t>
      </w:r>
    </w:p>
    <w:p w:rsidR="007C69F4" w:rsidRDefault="007C69F4" w:rsidP="00AA55A3">
      <w:r>
        <w:t>No studies of pharmacokinetic interactions were submitted.</w:t>
      </w:r>
    </w:p>
    <w:p w:rsidR="007C69F4" w:rsidRDefault="007C69F4" w:rsidP="00AA55A3">
      <w:r>
        <w:t xml:space="preserve">The effect on the PK of </w:t>
      </w:r>
      <w:proofErr w:type="spellStart"/>
      <w:r>
        <w:t>lipegfilgrastim</w:t>
      </w:r>
      <w:proofErr w:type="spellEnd"/>
      <w:r>
        <w:t xml:space="preserve"> in patients &gt;</w:t>
      </w:r>
      <w:r w:rsidR="00494687">
        <w:t xml:space="preserve"> </w:t>
      </w:r>
      <w:r>
        <w:t>95kg compared to those below this weight has not yet been established.</w:t>
      </w:r>
    </w:p>
    <w:p w:rsidR="00AA55A3" w:rsidRDefault="00AA55A3" w:rsidP="00494687">
      <w:pPr>
        <w:pStyle w:val="Heading4"/>
      </w:pPr>
      <w:r>
        <w:t>Summary of Issues</w:t>
      </w:r>
    </w:p>
    <w:p w:rsidR="00AA55A3" w:rsidRDefault="00AA55A3" w:rsidP="00AA55A3">
      <w:pPr>
        <w:jc w:val="both"/>
        <w:rPr>
          <w:rFonts w:asciiTheme="minorHAnsi" w:eastAsia="MS Mincho" w:hAnsiTheme="minorHAnsi"/>
          <w:lang w:eastAsia="ja-JP"/>
        </w:rPr>
      </w:pPr>
      <w:r>
        <w:rPr>
          <w:rFonts w:asciiTheme="minorHAnsi" w:hAnsiTheme="minorHAnsi"/>
        </w:rPr>
        <w:t>The Delegate disagrees with wording of the sponsors’ proposed indication</w:t>
      </w:r>
      <w:r w:rsidR="00494687">
        <w:rPr>
          <w:rFonts w:asciiTheme="minorHAnsi" w:hAnsiTheme="minorHAnsi"/>
        </w:rPr>
        <w:t>.</w:t>
      </w:r>
    </w:p>
    <w:p w:rsidR="00AA55A3" w:rsidRDefault="00AA55A3" w:rsidP="00AA55A3">
      <w:pPr>
        <w:jc w:val="both"/>
        <w:rPr>
          <w:rFonts w:asciiTheme="minorHAnsi" w:hAnsiTheme="minorHAnsi"/>
        </w:rPr>
      </w:pPr>
      <w:r>
        <w:rPr>
          <w:rFonts w:asciiTheme="minorHAnsi" w:hAnsiTheme="minorHAnsi"/>
        </w:rPr>
        <w:t xml:space="preserve">The maximum dosage of </w:t>
      </w:r>
      <w:proofErr w:type="spellStart"/>
      <w:r>
        <w:rPr>
          <w:rFonts w:asciiTheme="minorHAnsi" w:hAnsiTheme="minorHAnsi"/>
        </w:rPr>
        <w:t>Lonquex</w:t>
      </w:r>
      <w:proofErr w:type="spellEnd"/>
      <w:r>
        <w:rPr>
          <w:rFonts w:asciiTheme="minorHAnsi" w:hAnsiTheme="minorHAnsi"/>
        </w:rPr>
        <w:t xml:space="preserve"> that can be safely administered has not been established (4 cycles are the maximum studied)</w:t>
      </w:r>
    </w:p>
    <w:p w:rsidR="007C69F4" w:rsidRDefault="00AA55A3" w:rsidP="007C69F4">
      <w:pPr>
        <w:spacing w:before="0" w:after="0" w:line="240" w:lineRule="auto"/>
        <w:rPr>
          <w:rFonts w:asciiTheme="minorHAnsi" w:hAnsiTheme="minorHAnsi"/>
          <w:b/>
        </w:rPr>
      </w:pPr>
      <w:r>
        <w:rPr>
          <w:rFonts w:asciiTheme="minorHAnsi" w:hAnsiTheme="minorHAnsi"/>
        </w:rPr>
        <w:t>The effects of moderate or severe renal impairment or any degree of liver impairment have not been studied</w:t>
      </w:r>
    </w:p>
    <w:p w:rsidR="007C69F4" w:rsidRDefault="007C69F4" w:rsidP="00494687">
      <w:pPr>
        <w:pStyle w:val="Heading4"/>
      </w:pPr>
      <w:r>
        <w:lastRenderedPageBreak/>
        <w:t>Proposed regulatory action</w:t>
      </w:r>
    </w:p>
    <w:p w:rsidR="007C69F4" w:rsidRDefault="007C69F4" w:rsidP="00AA55A3">
      <w:r>
        <w:t xml:space="preserve">The Delegate considers that given the data presented in the </w:t>
      </w:r>
      <w:r w:rsidR="00494687">
        <w:t>d</w:t>
      </w:r>
      <w:r>
        <w:t xml:space="preserve">ossier and in response to the </w:t>
      </w:r>
      <w:r w:rsidR="00494687">
        <w:t>TGA’s</w:t>
      </w:r>
      <w:r>
        <w:t xml:space="preserve"> questions, there is sufficient evidence that the safety and efficacy of </w:t>
      </w:r>
      <w:proofErr w:type="spellStart"/>
      <w:r>
        <w:t>lipegfilgrastim</w:t>
      </w:r>
      <w:proofErr w:type="spellEnd"/>
      <w:r>
        <w:t xml:space="preserve"> has been satisfactorily established for registration to proceed.</w:t>
      </w:r>
    </w:p>
    <w:p w:rsidR="00494687" w:rsidRDefault="00494687" w:rsidP="00494687">
      <w:r>
        <w:t>Therefore, the Delegate had no reason to say, at this time, that the application for the product should not be approved for registration.</w:t>
      </w:r>
    </w:p>
    <w:p w:rsidR="007C69F4" w:rsidRDefault="007C69F4" w:rsidP="00AA55A3">
      <w:pPr>
        <w:pStyle w:val="Heading5"/>
      </w:pPr>
      <w:r>
        <w:t>Conditions of Registration</w:t>
      </w:r>
    </w:p>
    <w:p w:rsidR="007C69F4" w:rsidRDefault="007C69F4" w:rsidP="007C69F4">
      <w:pPr>
        <w:spacing w:before="0" w:after="0" w:line="240" w:lineRule="auto"/>
        <w:jc w:val="both"/>
        <w:rPr>
          <w:rFonts w:asciiTheme="minorHAnsi" w:hAnsiTheme="minorHAnsi"/>
        </w:rPr>
      </w:pPr>
      <w:r>
        <w:rPr>
          <w:rFonts w:asciiTheme="minorHAnsi" w:hAnsiTheme="minorHAnsi"/>
        </w:rPr>
        <w:t>Consistent with the action of the sponsor in agreeing to provide the results of PASS studies to the EMA and Israeli regulator, these studies should be submitted for evaluation to the TGA when available.</w:t>
      </w:r>
    </w:p>
    <w:p w:rsidR="007C69F4" w:rsidRDefault="00D23139" w:rsidP="00AA55A3">
      <w:pPr>
        <w:pStyle w:val="Heading5"/>
        <w:rPr>
          <w:rFonts w:asciiTheme="minorHAnsi" w:hAnsiTheme="minorHAnsi"/>
        </w:rPr>
      </w:pPr>
      <w:r w:rsidRPr="00D23139">
        <w:t>Request for ACPM advice</w:t>
      </w:r>
      <w:r w:rsidR="007C69F4" w:rsidRPr="007C69F4">
        <w:rPr>
          <w:rFonts w:asciiTheme="minorHAnsi" w:hAnsiTheme="minorHAnsi"/>
        </w:rPr>
        <w:t xml:space="preserve"> </w:t>
      </w:r>
    </w:p>
    <w:p w:rsidR="007C69F4" w:rsidRDefault="007C69F4" w:rsidP="00AA55A3">
      <w:pPr>
        <w:rPr>
          <w:b/>
        </w:rPr>
      </w:pPr>
      <w:r>
        <w:t>The committee is requested to provide advice on any issues that it thinks may be relevant to a decision on whether or not to approve this application.</w:t>
      </w:r>
    </w:p>
    <w:p w:rsidR="00D23139" w:rsidRDefault="00D23139" w:rsidP="00D23139">
      <w:pPr>
        <w:pStyle w:val="Heading4"/>
      </w:pPr>
      <w:r w:rsidRPr="00D23139">
        <w:t xml:space="preserve">Response from </w:t>
      </w:r>
      <w:r w:rsidR="00635832">
        <w:t>s</w:t>
      </w:r>
      <w:r w:rsidRPr="00D23139">
        <w:t xml:space="preserve">ponsor </w:t>
      </w:r>
    </w:p>
    <w:p w:rsidR="00D10D71" w:rsidRDefault="00494687" w:rsidP="00C710F2">
      <w:r>
        <w:t xml:space="preserve">The main part of the sponsor’s Pre-Advisory Committee on prescription Medicines (ACPM) response dealt with the TGA’s </w:t>
      </w:r>
      <w:r w:rsidR="00C710F2">
        <w:t xml:space="preserve">comments on the </w:t>
      </w:r>
      <w:r>
        <w:t>PI</w:t>
      </w:r>
      <w:r w:rsidR="00C710F2">
        <w:t xml:space="preserve"> documentation</w:t>
      </w:r>
      <w:r>
        <w:t>.</w:t>
      </w:r>
    </w:p>
    <w:p w:rsidR="00494687" w:rsidRDefault="00D10D71" w:rsidP="00AA55A3">
      <w:r w:rsidRPr="00494687">
        <w:rPr>
          <w:rStyle w:val="Heading5Char"/>
          <w:rFonts w:eastAsia="Cambria"/>
        </w:rPr>
        <w:t>Indications</w:t>
      </w:r>
      <w:r w:rsidRPr="00AA55A3">
        <w:t xml:space="preserve"> </w:t>
      </w:r>
    </w:p>
    <w:p w:rsidR="00D10D71" w:rsidRPr="00AA55A3" w:rsidRDefault="00494687" w:rsidP="00AA55A3">
      <w:r>
        <w:t>T</w:t>
      </w:r>
      <w:r w:rsidR="00D10D71" w:rsidRPr="00AA55A3">
        <w:t xml:space="preserve">he </w:t>
      </w:r>
      <w:r>
        <w:t xml:space="preserve">clinical </w:t>
      </w:r>
      <w:r w:rsidR="00D10D71" w:rsidRPr="00AA55A3">
        <w:t xml:space="preserve">evaluator does not support the wording of the proposed indication. The </w:t>
      </w:r>
      <w:r>
        <w:t xml:space="preserve">clinical </w:t>
      </w:r>
      <w:r w:rsidR="00D10D71" w:rsidRPr="00AA55A3">
        <w:t>evaluator</w:t>
      </w:r>
      <w:r w:rsidR="00AA55A3" w:rsidRPr="00AA55A3">
        <w:t xml:space="preserve"> </w:t>
      </w:r>
      <w:r w:rsidR="00D10D71" w:rsidRPr="00AA55A3">
        <w:t>recommends to the Delegate that the wording of the EU indication is appropriate.</w:t>
      </w:r>
    </w:p>
    <w:p w:rsidR="00D10D71" w:rsidRPr="00AA55A3" w:rsidRDefault="00DB41B3" w:rsidP="00494687">
      <w:pPr>
        <w:pStyle w:val="Heading6"/>
      </w:pPr>
      <w:r>
        <w:t>Sponsor’s</w:t>
      </w:r>
      <w:r w:rsidR="00D10D71" w:rsidRPr="00AA55A3">
        <w:t xml:space="preserve"> response (17 August 2015):</w:t>
      </w:r>
    </w:p>
    <w:p w:rsidR="00D10D71" w:rsidRPr="00AA55A3" w:rsidRDefault="00D10D71" w:rsidP="00AA55A3">
      <w:r w:rsidRPr="00AA55A3">
        <w:t>The applicant has amended the indication as follows:</w:t>
      </w:r>
    </w:p>
    <w:p w:rsidR="00D10D71" w:rsidRPr="00494687" w:rsidRDefault="00D10D71" w:rsidP="00494687">
      <w:pPr>
        <w:ind w:left="720"/>
        <w:rPr>
          <w:i/>
        </w:rPr>
      </w:pPr>
      <w:proofErr w:type="spellStart"/>
      <w:r w:rsidRPr="00494687">
        <w:rPr>
          <w:i/>
        </w:rPr>
        <w:t>Lonquex</w:t>
      </w:r>
      <w:proofErr w:type="spellEnd"/>
      <w:r w:rsidRPr="00494687">
        <w:rPr>
          <w:i/>
        </w:rPr>
        <w:t>® is indicated for reduction in the duration of neutropenia and the incidence of febrile</w:t>
      </w:r>
      <w:r w:rsidR="00AA55A3" w:rsidRPr="00494687">
        <w:rPr>
          <w:i/>
        </w:rPr>
        <w:t xml:space="preserve"> </w:t>
      </w:r>
      <w:r w:rsidRPr="00494687">
        <w:rPr>
          <w:i/>
        </w:rPr>
        <w:t>neutropenia in patients treated with cytotoxic chemotherapy for malignancy (with the exception of</w:t>
      </w:r>
      <w:r w:rsidR="00AA55A3" w:rsidRPr="00494687">
        <w:rPr>
          <w:i/>
        </w:rPr>
        <w:t xml:space="preserve"> </w:t>
      </w:r>
      <w:r w:rsidRPr="00494687">
        <w:rPr>
          <w:i/>
        </w:rPr>
        <w:t>chronic myeloid leukaemia and myelodysplastic syndromes)</w:t>
      </w:r>
    </w:p>
    <w:p w:rsidR="00B56A57" w:rsidRDefault="00D10D71" w:rsidP="00AA55A3">
      <w:r w:rsidRPr="00AA55A3">
        <w:t xml:space="preserve">This is identical to the wording used in the current </w:t>
      </w:r>
      <w:r w:rsidR="00494687">
        <w:t xml:space="preserve">EU </w:t>
      </w:r>
      <w:proofErr w:type="spellStart"/>
      <w:r w:rsidR="00494687">
        <w:t>SmPC</w:t>
      </w:r>
      <w:proofErr w:type="spellEnd"/>
      <w:r w:rsidR="00AA55A3" w:rsidRPr="00AA55A3">
        <w:t xml:space="preserve"> </w:t>
      </w:r>
      <w:r w:rsidRPr="00AA55A3">
        <w:t xml:space="preserve">(16 June 2015) with one exception: the indication in the EU </w:t>
      </w:r>
      <w:proofErr w:type="spellStart"/>
      <w:r w:rsidRPr="00AA55A3">
        <w:t>SmPC</w:t>
      </w:r>
      <w:proofErr w:type="spellEnd"/>
      <w:r w:rsidRPr="00AA55A3">
        <w:t xml:space="preserve"> specifies ‘adult patients’</w:t>
      </w:r>
      <w:r w:rsidR="00AA55A3" w:rsidRPr="00AA55A3">
        <w:t xml:space="preserve"> </w:t>
      </w:r>
      <w:r w:rsidRPr="00AA55A3">
        <w:t>whereas this limitation is addressed under ‘</w:t>
      </w:r>
      <w:r w:rsidR="00DB41B3" w:rsidRPr="00AA55A3">
        <w:t>Precautions</w:t>
      </w:r>
      <w:r w:rsidRPr="00AA55A3">
        <w:t>, Paediatric use’ in the proposed</w:t>
      </w:r>
      <w:r w:rsidR="00AA55A3" w:rsidRPr="00AA55A3">
        <w:t xml:space="preserve"> </w:t>
      </w:r>
      <w:r w:rsidRPr="00AA55A3">
        <w:t xml:space="preserve">Australian PI. In the </w:t>
      </w:r>
      <w:r w:rsidR="00DB41B3">
        <w:t>sponsor’s</w:t>
      </w:r>
      <w:r w:rsidRPr="00AA55A3">
        <w:t xml:space="preserve"> response to the RMP Evaluation Report, the evaluator</w:t>
      </w:r>
      <w:r w:rsidR="00AA55A3" w:rsidRPr="00AA55A3">
        <w:t xml:space="preserve"> </w:t>
      </w:r>
      <w:r w:rsidRPr="00AA55A3">
        <w:t>acknowledged that paediatric studies (Studies XM22‐07 and XM22‐08) are initiated as part of the</w:t>
      </w:r>
      <w:r w:rsidR="00AA55A3" w:rsidRPr="00AA55A3">
        <w:t xml:space="preserve"> </w:t>
      </w:r>
      <w:r w:rsidRPr="00AA55A3">
        <w:t>XM22 Paediatric Investigation Plan (PIP), approved by the EU Paediatric Committee on the 6</w:t>
      </w:r>
      <w:r w:rsidR="00AA55A3" w:rsidRPr="00AA55A3">
        <w:t xml:space="preserve"> </w:t>
      </w:r>
      <w:r w:rsidRPr="00AA55A3">
        <w:t xml:space="preserve">May 2011. Furthermore the results of Study XM22-07 were included with the </w:t>
      </w:r>
      <w:r w:rsidR="00DB41B3">
        <w:t>sponsor’s</w:t>
      </w:r>
      <w:r w:rsidRPr="00AA55A3">
        <w:t xml:space="preserve"> response</w:t>
      </w:r>
      <w:r w:rsidR="00AA55A3" w:rsidRPr="00AA55A3">
        <w:t xml:space="preserve"> </w:t>
      </w:r>
      <w:r w:rsidRPr="00AA55A3">
        <w:t xml:space="preserve">(except for follow-up data) along with the revisions to the EU </w:t>
      </w:r>
      <w:proofErr w:type="spellStart"/>
      <w:r w:rsidRPr="00AA55A3">
        <w:t>SmPC</w:t>
      </w:r>
      <w:proofErr w:type="spellEnd"/>
      <w:r w:rsidRPr="00AA55A3">
        <w:t xml:space="preserve"> agreed with the EMA to</w:t>
      </w:r>
      <w:r w:rsidR="00AA55A3" w:rsidRPr="00AA55A3">
        <w:t xml:space="preserve"> </w:t>
      </w:r>
      <w:r w:rsidRPr="00AA55A3">
        <w:t>include the paediatric population following their evaluation of this study. The applicant</w:t>
      </w:r>
      <w:r w:rsidR="00AA55A3" w:rsidRPr="00AA55A3">
        <w:t xml:space="preserve"> </w:t>
      </w:r>
      <w:r w:rsidRPr="00AA55A3">
        <w:t>acknowledges that a separate post-approval variation application will be required in Australia in</w:t>
      </w:r>
      <w:r w:rsidR="00AA55A3" w:rsidRPr="00AA55A3">
        <w:t xml:space="preserve"> </w:t>
      </w:r>
      <w:r w:rsidRPr="00AA55A3">
        <w:t xml:space="preserve">order to have these data reported in the </w:t>
      </w:r>
      <w:r w:rsidR="00DB41B3">
        <w:t>PI</w:t>
      </w:r>
      <w:r w:rsidRPr="00AA55A3">
        <w:t>. However, the applicant considers</w:t>
      </w:r>
      <w:r w:rsidR="00AA55A3" w:rsidRPr="00AA55A3">
        <w:t xml:space="preserve"> </w:t>
      </w:r>
      <w:r w:rsidRPr="00AA55A3">
        <w:t>that the proposed text in the proposed PI explicitly excludes paediatric use and adequately</w:t>
      </w:r>
      <w:r w:rsidR="00DB41B3">
        <w:t xml:space="preserve"> </w:t>
      </w:r>
      <w:r w:rsidRPr="00AA55A3">
        <w:t>minimi</w:t>
      </w:r>
      <w:r w:rsidR="00DB41B3">
        <w:t>s</w:t>
      </w:r>
      <w:r w:rsidRPr="00AA55A3">
        <w:t>es the potential for off-label use in this population</w:t>
      </w:r>
      <w:r w:rsidR="00B56A57">
        <w:t>.</w:t>
      </w:r>
    </w:p>
    <w:p w:rsidR="00D10D71" w:rsidRPr="00AA55A3" w:rsidRDefault="00DB41B3" w:rsidP="00DB41B3">
      <w:pPr>
        <w:pStyle w:val="Heading6"/>
      </w:pPr>
      <w:r>
        <w:t>Sponsor’s</w:t>
      </w:r>
      <w:r w:rsidR="00D10D71" w:rsidRPr="00AA55A3">
        <w:t xml:space="preserve"> response (9 September 2015):</w:t>
      </w:r>
    </w:p>
    <w:p w:rsidR="00D10D71" w:rsidRPr="00AA55A3" w:rsidRDefault="00D10D71" w:rsidP="00AA55A3">
      <w:r w:rsidRPr="00AA55A3">
        <w:t xml:space="preserve">Further to the response provided with our submission on the 17 August, the </w:t>
      </w:r>
      <w:r w:rsidR="00DB41B3">
        <w:t>sponsor</w:t>
      </w:r>
      <w:r w:rsidRPr="00AA55A3">
        <w:t xml:space="preserve"> agrees to</w:t>
      </w:r>
      <w:r w:rsidR="00AA55A3" w:rsidRPr="00AA55A3">
        <w:t xml:space="preserve"> </w:t>
      </w:r>
      <w:r w:rsidRPr="00AA55A3">
        <w:t>adopt identical wording of the EU indication (</w:t>
      </w:r>
      <w:r w:rsidR="00DB41B3">
        <w:t>that is,</w:t>
      </w:r>
      <w:r w:rsidRPr="00AA55A3">
        <w:t xml:space="preserve"> restricted to ‘adult’ patients, should this be the</w:t>
      </w:r>
      <w:r w:rsidR="00AA55A3" w:rsidRPr="00AA55A3">
        <w:t xml:space="preserve"> </w:t>
      </w:r>
      <w:r w:rsidRPr="00AA55A3">
        <w:t>Delegate's preferred approach to identifying the data limitations in children). The</w:t>
      </w:r>
      <w:r w:rsidR="00AA55A3" w:rsidRPr="00AA55A3">
        <w:t xml:space="preserve"> </w:t>
      </w:r>
      <w:r w:rsidRPr="00AA55A3">
        <w:t>indication has been amended as follows:</w:t>
      </w:r>
    </w:p>
    <w:p w:rsidR="00D10D71" w:rsidRPr="00DB41B3" w:rsidRDefault="00D10D71" w:rsidP="00DB41B3">
      <w:pPr>
        <w:ind w:left="720"/>
        <w:rPr>
          <w:i/>
        </w:rPr>
      </w:pPr>
      <w:proofErr w:type="spellStart"/>
      <w:r w:rsidRPr="00DB41B3">
        <w:rPr>
          <w:i/>
        </w:rPr>
        <w:lastRenderedPageBreak/>
        <w:t>Lonquex</w:t>
      </w:r>
      <w:proofErr w:type="spellEnd"/>
      <w:r w:rsidRPr="00DB41B3">
        <w:rPr>
          <w:i/>
        </w:rPr>
        <w:t>® is indicated for reduction in the duration of neutropenia and the incidence of febrile</w:t>
      </w:r>
      <w:r w:rsidR="00AA55A3" w:rsidRPr="00DB41B3">
        <w:rPr>
          <w:i/>
        </w:rPr>
        <w:t xml:space="preserve"> </w:t>
      </w:r>
      <w:r w:rsidRPr="00DB41B3">
        <w:rPr>
          <w:i/>
        </w:rPr>
        <w:t>neutropenia in adult patients treated with cytotoxic chemotherapy for malignancy (with the exception</w:t>
      </w:r>
      <w:r w:rsidR="00AA55A3" w:rsidRPr="00DB41B3">
        <w:rPr>
          <w:i/>
        </w:rPr>
        <w:t xml:space="preserve"> </w:t>
      </w:r>
      <w:r w:rsidRPr="00DB41B3">
        <w:rPr>
          <w:i/>
        </w:rPr>
        <w:t>of chronic myeloid leukaemia and myelodysplastic syndromes)</w:t>
      </w:r>
    </w:p>
    <w:p w:rsidR="008E7846" w:rsidRDefault="008E7846" w:rsidP="00D10D71">
      <w:pPr>
        <w:pStyle w:val="Heading4"/>
      </w:pPr>
      <w:r>
        <w:t>Advisory Committee Considerations</w:t>
      </w:r>
    </w:p>
    <w:p w:rsidR="008E7846" w:rsidRDefault="00D23139" w:rsidP="008E7846">
      <w:pPr>
        <w:rPr>
          <w:bCs/>
        </w:rPr>
      </w:pPr>
      <w:r w:rsidRPr="00D23139">
        <w:rPr>
          <w:bCs/>
        </w:rPr>
        <w:t>The Advisory Committee on Prescription Medicines (ACPM), having considered the evaluations and the Delegate’s overview, as well as the sponsor’s response to these documents, advised the following:</w:t>
      </w:r>
    </w:p>
    <w:p w:rsidR="00B56A57" w:rsidRDefault="009647F9" w:rsidP="009647F9">
      <w:pPr>
        <w:spacing w:line="240" w:lineRule="auto"/>
        <w:rPr>
          <w:rFonts w:eastAsia="Times New Roman" w:cs="Arial"/>
          <w:lang w:eastAsia="en-AU"/>
        </w:rPr>
      </w:pPr>
      <w:r w:rsidRPr="000A6C7C">
        <w:rPr>
          <w:rFonts w:eastAsia="Times New Roman" w:cs="Arial"/>
          <w:lang w:eastAsia="en-AU"/>
        </w:rPr>
        <w:t>The ACPM resolved to recommend to the TGA Delegate of the Minister and Secretary that</w:t>
      </w:r>
      <w:r w:rsidR="00B56A57">
        <w:rPr>
          <w:rFonts w:eastAsia="Times New Roman" w:cs="Arial"/>
          <w:lang w:eastAsia="en-AU"/>
        </w:rPr>
        <w:t>:</w:t>
      </w:r>
    </w:p>
    <w:p w:rsidR="009647F9" w:rsidRPr="000A6C7C" w:rsidRDefault="009647F9" w:rsidP="009647F9">
      <w:pPr>
        <w:rPr>
          <w:rFonts w:cs="Calibri"/>
          <w:b/>
        </w:rPr>
      </w:pPr>
      <w:r w:rsidRPr="000A6C7C">
        <w:rPr>
          <w:rFonts w:cs="Calibri"/>
        </w:rPr>
        <w:t xml:space="preserve">The ACPM, taking into account the submitted evidence of efficacy, safety and quality, considered </w:t>
      </w:r>
      <w:proofErr w:type="spellStart"/>
      <w:r w:rsidR="00DB41B3" w:rsidRPr="000A6C7C">
        <w:rPr>
          <w:bCs/>
        </w:rPr>
        <w:t>Lonquex</w:t>
      </w:r>
      <w:proofErr w:type="spellEnd"/>
      <w:r w:rsidR="00DB41B3" w:rsidRPr="000A6C7C">
        <w:t xml:space="preserve"> </w:t>
      </w:r>
      <w:r w:rsidRPr="000A6C7C">
        <w:rPr>
          <w:bCs/>
        </w:rPr>
        <w:t>solution for injection containing 6 mg/0.6 m</w:t>
      </w:r>
      <w:r w:rsidR="00DB41B3">
        <w:rPr>
          <w:bCs/>
        </w:rPr>
        <w:t>L</w:t>
      </w:r>
      <w:r w:rsidRPr="000A6C7C">
        <w:rPr>
          <w:bCs/>
        </w:rPr>
        <w:t xml:space="preserve"> of </w:t>
      </w:r>
      <w:proofErr w:type="spellStart"/>
      <w:r w:rsidRPr="000A6C7C">
        <w:rPr>
          <w:bCs/>
        </w:rPr>
        <w:t>lipegfilgrastim</w:t>
      </w:r>
      <w:proofErr w:type="spellEnd"/>
      <w:r w:rsidRPr="000A6C7C">
        <w:rPr>
          <w:b/>
          <w:bCs/>
        </w:rPr>
        <w:t xml:space="preserve"> </w:t>
      </w:r>
      <w:r w:rsidRPr="000A6C7C">
        <w:rPr>
          <w:rFonts w:cs="Calibri"/>
        </w:rPr>
        <w:t>to have an overall positive benefit–risk profile for the amended indication</w:t>
      </w:r>
      <w:r w:rsidR="00DB41B3">
        <w:rPr>
          <w:rFonts w:cs="Calibri"/>
        </w:rPr>
        <w:t>;</w:t>
      </w:r>
    </w:p>
    <w:p w:rsidR="009647F9" w:rsidRPr="00AA55A3" w:rsidRDefault="009647F9" w:rsidP="00AA55A3">
      <w:pPr>
        <w:ind w:left="720"/>
        <w:rPr>
          <w:i/>
        </w:rPr>
      </w:pPr>
      <w:proofErr w:type="spellStart"/>
      <w:r w:rsidRPr="00AA55A3">
        <w:rPr>
          <w:i/>
        </w:rPr>
        <w:t>Lonquex</w:t>
      </w:r>
      <w:proofErr w:type="spellEnd"/>
      <w:r w:rsidRPr="00AA55A3">
        <w:rPr>
          <w:i/>
        </w:rPr>
        <w:t xml:space="preserve"> is indicated for the reduction in the duration of neutropenia in adult patients with malignancy (except chronic myeloid leukaemia and myelodysplastic syndromes) treated with cytotoxic chemotherapy regimens determined to be of significant risk of prolonged neutropenia and infection or when individual patient risk factors justify its use.</w:t>
      </w:r>
    </w:p>
    <w:p w:rsidR="00B56A57" w:rsidRDefault="009647F9" w:rsidP="009647F9">
      <w:pPr>
        <w:spacing w:after="0"/>
        <w:rPr>
          <w:bCs/>
          <w:iCs/>
        </w:rPr>
      </w:pPr>
      <w:r w:rsidRPr="000A6C7C">
        <w:rPr>
          <w:bCs/>
          <w:iCs/>
        </w:rPr>
        <w:t>In making this recommendation the ACPM</w:t>
      </w:r>
      <w:r w:rsidR="00B56A57">
        <w:rPr>
          <w:bCs/>
          <w:iCs/>
        </w:rPr>
        <w:t>;</w:t>
      </w:r>
    </w:p>
    <w:p w:rsidR="009647F9" w:rsidRPr="000A6C7C" w:rsidRDefault="009647F9" w:rsidP="00AA55A3">
      <w:pPr>
        <w:pStyle w:val="ListBullet"/>
        <w:rPr>
          <w:lang w:val="en-GB"/>
        </w:rPr>
      </w:pPr>
      <w:r w:rsidRPr="000A6C7C">
        <w:rPr>
          <w:lang w:val="en-GB"/>
        </w:rPr>
        <w:t>Was of the view that the indication should not include ‘reduction of febrile neutropenia’ reflecting the results of Study XM-22-04, where the primary endpoint, incidence of febrile neutropenia, was not met.</w:t>
      </w:r>
    </w:p>
    <w:p w:rsidR="009647F9" w:rsidRPr="000A6C7C" w:rsidRDefault="009647F9" w:rsidP="00AA55A3">
      <w:pPr>
        <w:pStyle w:val="ListBullet"/>
        <w:rPr>
          <w:lang w:val="en-GB"/>
        </w:rPr>
      </w:pPr>
      <w:r w:rsidRPr="000A6C7C">
        <w:rPr>
          <w:lang w:val="en-GB"/>
        </w:rPr>
        <w:t xml:space="preserve">Advised that limiting the indication to adults was appropriate as there were </w:t>
      </w:r>
      <w:r>
        <w:rPr>
          <w:lang w:val="en-GB"/>
        </w:rPr>
        <w:t>limited</w:t>
      </w:r>
      <w:r w:rsidRPr="000A6C7C">
        <w:rPr>
          <w:lang w:val="en-GB"/>
        </w:rPr>
        <w:t xml:space="preserve"> data for use in the paediatric population.</w:t>
      </w:r>
    </w:p>
    <w:p w:rsidR="009647F9" w:rsidRPr="000A6C7C" w:rsidRDefault="009647F9" w:rsidP="009647F9">
      <w:pPr>
        <w:spacing w:after="0"/>
        <w:rPr>
          <w:b/>
          <w:bCs/>
          <w:i/>
        </w:rPr>
      </w:pPr>
      <w:r w:rsidRPr="000A6C7C">
        <w:rPr>
          <w:b/>
          <w:bCs/>
          <w:i/>
        </w:rPr>
        <w:t>Proposed conditions of registration</w:t>
      </w:r>
    </w:p>
    <w:p w:rsidR="00B56A57" w:rsidRDefault="009647F9" w:rsidP="009647F9">
      <w:pPr>
        <w:rPr>
          <w:bCs/>
        </w:rPr>
      </w:pPr>
      <w:r w:rsidRPr="000A6C7C">
        <w:rPr>
          <w:bCs/>
        </w:rPr>
        <w:t>The ACPM agreed with the Delegate on the proposed conditions of registration</w:t>
      </w:r>
      <w:r w:rsidR="00B56A57">
        <w:rPr>
          <w:bCs/>
        </w:rPr>
        <w:t>.</w:t>
      </w:r>
    </w:p>
    <w:p w:rsidR="009647F9" w:rsidRPr="000A6C7C" w:rsidRDefault="009647F9" w:rsidP="009647F9">
      <w:pPr>
        <w:spacing w:after="0"/>
        <w:rPr>
          <w:b/>
          <w:bCs/>
          <w:i/>
          <w:u w:val="single"/>
        </w:rPr>
      </w:pPr>
      <w:r w:rsidRPr="000A6C7C">
        <w:rPr>
          <w:b/>
          <w:bCs/>
          <w:i/>
        </w:rPr>
        <w:t>Proposed Product Information (PI)/Consumer Medicine Information (CMI) amendments</w:t>
      </w:r>
    </w:p>
    <w:p w:rsidR="00B56A57" w:rsidRDefault="009647F9" w:rsidP="009647F9">
      <w:pPr>
        <w:rPr>
          <w:bCs/>
        </w:rPr>
      </w:pPr>
      <w:r w:rsidRPr="000A6C7C">
        <w:rPr>
          <w:bCs/>
        </w:rPr>
        <w:t>The ACPM agreed with the Delegate to the proposed amendments to the Product Information (PI) and Consumer Medicine Information (CMI) and specifically advised on the inclusion of the following</w:t>
      </w:r>
      <w:r w:rsidR="00B56A57">
        <w:rPr>
          <w:bCs/>
        </w:rPr>
        <w:t>:</w:t>
      </w:r>
    </w:p>
    <w:p w:rsidR="009647F9" w:rsidRPr="000A6C7C" w:rsidRDefault="009647F9" w:rsidP="00AA55A3">
      <w:pPr>
        <w:pStyle w:val="ListBullet"/>
        <w:rPr>
          <w:lang w:val="en-GB"/>
        </w:rPr>
      </w:pPr>
      <w:r w:rsidRPr="000A6C7C">
        <w:rPr>
          <w:lang w:val="en-GB"/>
        </w:rPr>
        <w:t xml:space="preserve">Under </w:t>
      </w:r>
      <w:r w:rsidR="00DB41B3" w:rsidRPr="000A6C7C">
        <w:rPr>
          <w:lang w:val="en-GB"/>
        </w:rPr>
        <w:t>Pharmacokinetics</w:t>
      </w:r>
      <w:r w:rsidRPr="000A6C7C">
        <w:rPr>
          <w:lang w:val="en-GB"/>
        </w:rPr>
        <w:t xml:space="preserve">: </w:t>
      </w:r>
      <w:r w:rsidRPr="000A6C7C">
        <w:rPr>
          <w:i/>
          <w:lang w:val="en-GB"/>
        </w:rPr>
        <w:t>Absorption</w:t>
      </w:r>
      <w:r w:rsidRPr="000A6C7C">
        <w:rPr>
          <w:lang w:val="en-GB"/>
        </w:rPr>
        <w:t>, clarify whether the repeated administr</w:t>
      </w:r>
      <w:r w:rsidR="00DB41B3">
        <w:rPr>
          <w:lang w:val="en-GB"/>
        </w:rPr>
        <w:t>ation (C</w:t>
      </w:r>
      <w:r w:rsidRPr="000A6C7C">
        <w:rPr>
          <w:lang w:val="en-GB"/>
        </w:rPr>
        <w:t>ycle 4) information relates to healthy subjects or patients.</w:t>
      </w:r>
    </w:p>
    <w:p w:rsidR="009647F9" w:rsidRPr="000A6C7C" w:rsidRDefault="009647F9" w:rsidP="00AA55A3">
      <w:pPr>
        <w:pStyle w:val="ListBullet"/>
        <w:rPr>
          <w:lang w:val="en-GB"/>
        </w:rPr>
      </w:pPr>
      <w:r w:rsidRPr="000A6C7C">
        <w:rPr>
          <w:lang w:val="en-GB"/>
        </w:rPr>
        <w:t xml:space="preserve">Review the placement of Figure 1, as it comes under the title of </w:t>
      </w:r>
      <w:r w:rsidRPr="000A6C7C">
        <w:rPr>
          <w:i/>
          <w:lang w:val="en-GB"/>
        </w:rPr>
        <w:t>‘Patients with renal or hepatic impairment’</w:t>
      </w:r>
      <w:r w:rsidRPr="000A6C7C">
        <w:rPr>
          <w:lang w:val="en-GB"/>
        </w:rPr>
        <w:t xml:space="preserve"> which is confusing.</w:t>
      </w:r>
    </w:p>
    <w:p w:rsidR="009647F9" w:rsidRPr="000A6C7C" w:rsidRDefault="009647F9" w:rsidP="00AA55A3">
      <w:pPr>
        <w:pStyle w:val="ListBullet"/>
        <w:rPr>
          <w:lang w:val="en-GB"/>
        </w:rPr>
      </w:pPr>
      <w:r w:rsidRPr="000A6C7C">
        <w:rPr>
          <w:lang w:val="en-GB"/>
        </w:rPr>
        <w:t>In the CMI:</w:t>
      </w:r>
    </w:p>
    <w:p w:rsidR="009647F9" w:rsidRPr="000A6C7C" w:rsidRDefault="009647F9" w:rsidP="00AA55A3">
      <w:pPr>
        <w:pStyle w:val="ListBullet2"/>
        <w:rPr>
          <w:lang w:val="en-GB"/>
        </w:rPr>
      </w:pPr>
      <w:r w:rsidRPr="000A6C7C">
        <w:rPr>
          <w:lang w:val="en-GB"/>
        </w:rPr>
        <w:t xml:space="preserve">Under ‘What is </w:t>
      </w:r>
      <w:proofErr w:type="spellStart"/>
      <w:r w:rsidR="00DB41B3" w:rsidRPr="000A6C7C">
        <w:rPr>
          <w:lang w:val="en-GB"/>
        </w:rPr>
        <w:t>Lonquex</w:t>
      </w:r>
      <w:proofErr w:type="spellEnd"/>
      <w:r w:rsidR="00DB41B3" w:rsidRPr="000A6C7C">
        <w:rPr>
          <w:lang w:val="en-GB"/>
        </w:rPr>
        <w:t xml:space="preserve"> </w:t>
      </w:r>
      <w:r w:rsidRPr="000A6C7C">
        <w:rPr>
          <w:lang w:val="en-GB"/>
        </w:rPr>
        <w:t xml:space="preserve">used for’ change ‘….and this will reduce your chance of developing infections’ to ‘…and this </w:t>
      </w:r>
      <w:r w:rsidRPr="00DB41B3">
        <w:rPr>
          <w:i/>
          <w:lang w:val="en-GB"/>
        </w:rPr>
        <w:t>may</w:t>
      </w:r>
      <w:r w:rsidRPr="000A6C7C">
        <w:rPr>
          <w:lang w:val="en-GB"/>
        </w:rPr>
        <w:t xml:space="preserve"> reduce your chance of developing infections’.</w:t>
      </w:r>
    </w:p>
    <w:p w:rsidR="009647F9" w:rsidRPr="000A6C7C" w:rsidRDefault="009647F9" w:rsidP="00AA55A3">
      <w:pPr>
        <w:pStyle w:val="ListBullet2"/>
        <w:rPr>
          <w:lang w:val="en-GB"/>
        </w:rPr>
      </w:pPr>
      <w:r w:rsidRPr="000A6C7C">
        <w:rPr>
          <w:lang w:val="en-GB"/>
        </w:rPr>
        <w:t xml:space="preserve">Under ‘When you must not use it’ remove ‘any other substances, such as foods, preservatives or dyes’ after the wording ‘If you have </w:t>
      </w:r>
      <w:proofErr w:type="gramStart"/>
      <w:r w:rsidRPr="00DB41B3">
        <w:rPr>
          <w:i/>
          <w:lang w:val="en-GB"/>
        </w:rPr>
        <w:t>an allergies</w:t>
      </w:r>
      <w:proofErr w:type="gramEnd"/>
      <w:r w:rsidRPr="000A6C7C">
        <w:rPr>
          <w:lang w:val="en-GB"/>
        </w:rPr>
        <w:t xml:space="preserve"> to…’</w:t>
      </w:r>
    </w:p>
    <w:p w:rsidR="009647F9" w:rsidRPr="000A6C7C" w:rsidRDefault="009647F9" w:rsidP="009647F9">
      <w:pPr>
        <w:pStyle w:val="ListParagraph"/>
        <w:ind w:left="0"/>
        <w:contextualSpacing w:val="0"/>
        <w:rPr>
          <w:b/>
          <w:bCs/>
          <w:i/>
          <w:iCs/>
          <w:szCs w:val="22"/>
          <w:highlight w:val="yellow"/>
          <w:lang w:val="en-GB"/>
        </w:rPr>
      </w:pPr>
      <w:r w:rsidRPr="000A6C7C">
        <w:rPr>
          <w:b/>
          <w:bCs/>
          <w:i/>
          <w:iCs/>
          <w:lang w:val="en-GB"/>
        </w:rPr>
        <w:t>Specific Advice</w:t>
      </w:r>
    </w:p>
    <w:p w:rsidR="009647F9" w:rsidRPr="000A6C7C" w:rsidRDefault="009647F9" w:rsidP="009647F9">
      <w:pPr>
        <w:rPr>
          <w:b/>
          <w:bCs/>
          <w:iCs/>
          <w:highlight w:val="yellow"/>
        </w:rPr>
      </w:pPr>
      <w:r w:rsidRPr="000A6C7C">
        <w:rPr>
          <w:rFonts w:cs="Arial"/>
        </w:rPr>
        <w:t>The ACPM advised the following in response to the Delegate’s specific questions on this submission:</w:t>
      </w:r>
    </w:p>
    <w:p w:rsidR="009647F9" w:rsidRPr="00DB41B3" w:rsidRDefault="009647F9" w:rsidP="00DB41B3">
      <w:pPr>
        <w:pStyle w:val="Numberbullet0"/>
        <w:numPr>
          <w:ilvl w:val="0"/>
          <w:numId w:val="19"/>
        </w:numPr>
        <w:rPr>
          <w:lang w:val="en-GB"/>
        </w:rPr>
      </w:pPr>
      <w:r w:rsidRPr="00DB41B3">
        <w:rPr>
          <w:lang w:val="en-GB"/>
        </w:rPr>
        <w:lastRenderedPageBreak/>
        <w:t>The committee is requested to provide advice on any issues that it thinks may be relevant to a decision on whether or not to approve this application.</w:t>
      </w:r>
    </w:p>
    <w:p w:rsidR="009647F9" w:rsidRPr="000A6C7C" w:rsidRDefault="009647F9" w:rsidP="00AA55A3">
      <w:r w:rsidRPr="000A6C7C">
        <w:t xml:space="preserve">The ACPM had some concerns regarding the pharmacokinetic data and the dose selected and queried whether the 6 mg dose was the most appropriate dose for </w:t>
      </w:r>
      <w:proofErr w:type="spellStart"/>
      <w:r w:rsidRPr="000A6C7C">
        <w:t>lipegfilgrastim</w:t>
      </w:r>
      <w:proofErr w:type="spellEnd"/>
      <w:r w:rsidRPr="000A6C7C">
        <w:t>.</w:t>
      </w:r>
    </w:p>
    <w:p w:rsidR="009647F9" w:rsidRPr="000A6C7C" w:rsidRDefault="009647F9" w:rsidP="00AA55A3">
      <w:r w:rsidRPr="000A6C7C">
        <w:t xml:space="preserve">The ACPM was concerned that the efficacy data did not strictly support the indication. The ACPM noted that the primary endpoint of </w:t>
      </w:r>
      <w:r w:rsidR="00DB41B3">
        <w:t>S</w:t>
      </w:r>
      <w:r w:rsidRPr="000A6C7C">
        <w:t xml:space="preserve">tudy XM-22-04, the incidence of febrile neutropenia, was not met. However, the secondary outcomes, the incidence and duration of severe neutropenia, were met. The ACPM also noted that the chemotherapy used in this study did not normally require the administration of G-CSF. Study XM-22-03, where the primary endpoint, duration of severe neutropenia, </w:t>
      </w:r>
      <w:proofErr w:type="spellStart"/>
      <w:r w:rsidRPr="000A6C7C">
        <w:t>lipegfilgrastim</w:t>
      </w:r>
      <w:proofErr w:type="spellEnd"/>
      <w:r w:rsidRPr="000A6C7C">
        <w:t xml:space="preserve"> </w:t>
      </w:r>
      <w:r>
        <w:t>demonstrated</w:t>
      </w:r>
      <w:r w:rsidRPr="000A6C7C">
        <w:t xml:space="preserve"> non-inferiority to </w:t>
      </w:r>
      <w:proofErr w:type="spellStart"/>
      <w:r w:rsidR="00216F4E" w:rsidRPr="000A6C7C">
        <w:t>pegfilgrastim</w:t>
      </w:r>
      <w:proofErr w:type="spellEnd"/>
      <w:r w:rsidRPr="000A6C7C">
        <w:t xml:space="preserve">. The ACPM advised that the indication should be modified to better reflect the results of the clinical trials and suggested removal of </w:t>
      </w:r>
      <w:r w:rsidRPr="000A6C7C">
        <w:rPr>
          <w:i/>
        </w:rPr>
        <w:t>‘…incidence of febrile neutropenia’</w:t>
      </w:r>
      <w:r w:rsidRPr="000A6C7C">
        <w:t>.</w:t>
      </w:r>
    </w:p>
    <w:p w:rsidR="009647F9" w:rsidRPr="000A6C7C" w:rsidRDefault="009647F9" w:rsidP="00AA55A3">
      <w:r w:rsidRPr="000A6C7C">
        <w:t xml:space="preserve">The ACPM was of the view that use of </w:t>
      </w:r>
      <w:proofErr w:type="spellStart"/>
      <w:r w:rsidRPr="000A6C7C">
        <w:t>lipegfilgrastim</w:t>
      </w:r>
      <w:proofErr w:type="spellEnd"/>
      <w:r w:rsidRPr="000A6C7C">
        <w:t xml:space="preserve"> should be limited to use in adults as </w:t>
      </w:r>
      <w:r>
        <w:t>insufficient</w:t>
      </w:r>
      <w:r w:rsidRPr="000A6C7C">
        <w:t xml:space="preserve"> data were presented for use in the paediatric population.</w:t>
      </w:r>
    </w:p>
    <w:p w:rsidR="00B56A57" w:rsidRDefault="009647F9" w:rsidP="00AA55A3">
      <w:r w:rsidRPr="000A6C7C">
        <w:t>The ACPM advised that implementation by the sponsor of the recommendations outlined above to the satisfaction of the TGA, in addition to the evidence of efficacy and safety provided would support the safe and effective use of this product</w:t>
      </w:r>
      <w:r w:rsidR="00B56A57">
        <w:t>.</w:t>
      </w:r>
    </w:p>
    <w:p w:rsidR="008E7846" w:rsidRPr="002E238E" w:rsidRDefault="008E7846" w:rsidP="008E7846">
      <w:pPr>
        <w:pStyle w:val="Heading3"/>
      </w:pPr>
      <w:bookmarkStart w:id="207" w:name="_Toc247691532"/>
      <w:bookmarkStart w:id="208" w:name="_Toc314842516"/>
      <w:bookmarkStart w:id="209" w:name="_Toc445210981"/>
      <w:bookmarkEnd w:id="128"/>
      <w:bookmarkEnd w:id="204"/>
      <w:bookmarkEnd w:id="205"/>
      <w:r>
        <w:t>Outcome</w:t>
      </w:r>
      <w:bookmarkEnd w:id="207"/>
      <w:bookmarkEnd w:id="208"/>
      <w:bookmarkEnd w:id="209"/>
    </w:p>
    <w:p w:rsidR="00D23139" w:rsidRPr="00CE1F05" w:rsidRDefault="00D23139" w:rsidP="00D23139">
      <w:bookmarkStart w:id="210" w:name="_Toc247691533"/>
      <w:bookmarkStart w:id="211" w:name="_Toc314842517"/>
      <w:r w:rsidRPr="00D23139">
        <w:t xml:space="preserve">Based on a review of quality, safety and </w:t>
      </w:r>
      <w:r w:rsidRPr="00CE1F05">
        <w:t xml:space="preserve">efficacy, TGA approved the registration of </w:t>
      </w:r>
      <w:proofErr w:type="spellStart"/>
      <w:r w:rsidR="00AA55A3" w:rsidRPr="00CE1F05">
        <w:t>Lonquex</w:t>
      </w:r>
      <w:proofErr w:type="spellEnd"/>
      <w:r w:rsidR="00AA55A3" w:rsidRPr="00CE1F05">
        <w:t xml:space="preserve"> </w:t>
      </w:r>
      <w:r w:rsidR="00CE1F05" w:rsidRPr="00CE1F05">
        <w:t xml:space="preserve">solution for injection, prefilled syringe containing </w:t>
      </w:r>
      <w:proofErr w:type="spellStart"/>
      <w:r w:rsidR="00CE1F05" w:rsidRPr="00CE1F05">
        <w:t>lipegfilgrastim</w:t>
      </w:r>
      <w:proofErr w:type="spellEnd"/>
      <w:r w:rsidR="00CE1F05" w:rsidRPr="00CE1F05">
        <w:t xml:space="preserve"> </w:t>
      </w:r>
      <w:proofErr w:type="spellStart"/>
      <w:proofErr w:type="gramStart"/>
      <w:r w:rsidR="00CE1F05" w:rsidRPr="00CE1F05">
        <w:t>rbe</w:t>
      </w:r>
      <w:proofErr w:type="spellEnd"/>
      <w:proofErr w:type="gramEnd"/>
      <w:r w:rsidR="00CE1F05" w:rsidRPr="00CE1F05">
        <w:t xml:space="preserve"> 6</w:t>
      </w:r>
      <w:r w:rsidR="007577CC">
        <w:t> </w:t>
      </w:r>
      <w:r w:rsidR="00CE1F05" w:rsidRPr="00CE1F05">
        <w:t>mg/0.6</w:t>
      </w:r>
      <w:r w:rsidR="007577CC">
        <w:t> </w:t>
      </w:r>
      <w:r w:rsidR="00CE1F05" w:rsidRPr="00CE1F05">
        <w:t>mL</w:t>
      </w:r>
      <w:r w:rsidRPr="00CE1F05">
        <w:t>, indicated for:</w:t>
      </w:r>
    </w:p>
    <w:p w:rsidR="00B56A57" w:rsidRDefault="00AA55A3" w:rsidP="00CE1F05">
      <w:pPr>
        <w:ind w:left="720"/>
        <w:rPr>
          <w:i/>
        </w:rPr>
      </w:pPr>
      <w:r>
        <w:rPr>
          <w:i/>
        </w:rPr>
        <w:t>F</w:t>
      </w:r>
      <w:r w:rsidR="00CE1F05" w:rsidRPr="00CE1F05">
        <w:rPr>
          <w:i/>
        </w:rPr>
        <w:t>or reduction in the duration of neutropenia and the incidence of febrile neutropenia in adult patients treated with cytotoxic chemotherapy for malignancy (with the exception of chronic myeloid leukaemia and myelodysplastic syndromes)</w:t>
      </w:r>
      <w:r w:rsidR="00B56A57">
        <w:rPr>
          <w:i/>
        </w:rPr>
        <w:t>.</w:t>
      </w:r>
    </w:p>
    <w:p w:rsidR="00D23139" w:rsidRPr="00D23139" w:rsidRDefault="00D23139" w:rsidP="00D23139">
      <w:pPr>
        <w:pStyle w:val="Heading4"/>
      </w:pPr>
      <w:r w:rsidRPr="00D23139">
        <w:t>Specific conditions of registration applying to these goods</w:t>
      </w:r>
    </w:p>
    <w:p w:rsidR="00D23139" w:rsidRPr="009647F9" w:rsidRDefault="009647F9" w:rsidP="00AA55A3">
      <w:pPr>
        <w:pStyle w:val="Numberbullet0"/>
        <w:numPr>
          <w:ilvl w:val="0"/>
          <w:numId w:val="10"/>
        </w:numPr>
      </w:pPr>
      <w:r w:rsidRPr="009647F9">
        <w:t xml:space="preserve">The </w:t>
      </w:r>
      <w:proofErr w:type="spellStart"/>
      <w:r w:rsidRPr="009647F9">
        <w:t>Lonquex</w:t>
      </w:r>
      <w:proofErr w:type="spellEnd"/>
      <w:r w:rsidRPr="009647F9">
        <w:t xml:space="preserve"> EU-RMP version 8.2 dated 30</w:t>
      </w:r>
      <w:r w:rsidR="00AA55A3">
        <w:t xml:space="preserve"> April</w:t>
      </w:r>
      <w:r w:rsidR="007577CC">
        <w:t xml:space="preserve"> </w:t>
      </w:r>
      <w:r w:rsidR="00AA55A3">
        <w:t>2015 (data lock point 25 J</w:t>
      </w:r>
      <w:r w:rsidRPr="009647F9">
        <w:t>anuary</w:t>
      </w:r>
      <w:r>
        <w:t xml:space="preserve"> </w:t>
      </w:r>
      <w:r w:rsidRPr="009647F9">
        <w:t>2015), Aust</w:t>
      </w:r>
      <w:r w:rsidR="007577CC">
        <w:t>ralian Specific Annex dated 26 J</w:t>
      </w:r>
      <w:r w:rsidRPr="009647F9">
        <w:t>une 2015, and any subsequent revisions, as agreed with the TGA will be implemented in Australia.</w:t>
      </w:r>
    </w:p>
    <w:p w:rsidR="00B56A57" w:rsidRDefault="009647F9" w:rsidP="00AA55A3">
      <w:pPr>
        <w:pStyle w:val="Numberbullet0"/>
        <w:numPr>
          <w:ilvl w:val="0"/>
          <w:numId w:val="10"/>
        </w:numPr>
      </w:pPr>
      <w:r w:rsidRPr="009647F9">
        <w:t xml:space="preserve">It is a condition of registration that, as a minimum, the first five independent batches of </w:t>
      </w:r>
      <w:proofErr w:type="spellStart"/>
      <w:r w:rsidR="00AA55A3" w:rsidRPr="009647F9">
        <w:t>Lonquex</w:t>
      </w:r>
      <w:proofErr w:type="spellEnd"/>
      <w:r w:rsidR="00AA55A3" w:rsidRPr="009647F9">
        <w:t xml:space="preserve"> </w:t>
      </w:r>
      <w:proofErr w:type="spellStart"/>
      <w:r w:rsidRPr="009647F9">
        <w:t>lipegfilgrastim</w:t>
      </w:r>
      <w:proofErr w:type="spellEnd"/>
      <w:r w:rsidRPr="009647F9">
        <w:t xml:space="preserve"> (</w:t>
      </w:r>
      <w:proofErr w:type="spellStart"/>
      <w:r w:rsidRPr="009647F9">
        <w:t>rbe</w:t>
      </w:r>
      <w:proofErr w:type="spellEnd"/>
      <w:r w:rsidRPr="009647F9">
        <w:t>) 6 mg/0.6 mL solution for injection, prefilled syringe</w:t>
      </w:r>
      <w:r>
        <w:t xml:space="preserve"> </w:t>
      </w:r>
      <w:r w:rsidRPr="009647F9">
        <w:t>imported into Australia are not released for sale until samples and/or the manufacturer’s release data have been assessed and endorsed for release by the TGA Office of Laboratories and Scientific Services (OLSS)</w:t>
      </w:r>
      <w:r w:rsidR="00B56A57">
        <w:t>.</w:t>
      </w:r>
    </w:p>
    <w:p w:rsidR="008E7846" w:rsidRDefault="00A80B5B" w:rsidP="00D23139">
      <w:pPr>
        <w:pStyle w:val="Heading2"/>
      </w:pPr>
      <w:bookmarkStart w:id="212" w:name="_Toc445210982"/>
      <w:proofErr w:type="gramStart"/>
      <w:r>
        <w:t>Attachment 1.</w:t>
      </w:r>
      <w:proofErr w:type="gramEnd"/>
      <w:r>
        <w:t xml:space="preserve"> </w:t>
      </w:r>
      <w:r w:rsidR="008E7846">
        <w:t xml:space="preserve">Product </w:t>
      </w:r>
      <w:r w:rsidR="00AA0ED0">
        <w:t>I</w:t>
      </w:r>
      <w:r w:rsidR="008E7846">
        <w:t>nformation</w:t>
      </w:r>
      <w:bookmarkEnd w:id="210"/>
      <w:bookmarkEnd w:id="211"/>
      <w:bookmarkEnd w:id="212"/>
    </w:p>
    <w:p w:rsidR="00B56A57" w:rsidRDefault="002B3624" w:rsidP="00C80137">
      <w:r w:rsidRPr="002B3624">
        <w:t xml:space="preserve">The </w:t>
      </w:r>
      <w:r w:rsidR="00133A1B">
        <w:t>PI</w:t>
      </w:r>
      <w:r w:rsidRPr="002B3624">
        <w:t xml:space="preserve"> approved for </w:t>
      </w:r>
      <w:proofErr w:type="spellStart"/>
      <w:r w:rsidR="009647F9">
        <w:t>Longquex</w:t>
      </w:r>
      <w:proofErr w:type="spellEnd"/>
      <w:r w:rsidR="009647F9">
        <w:t xml:space="preserve"> </w:t>
      </w:r>
      <w:r w:rsidRPr="002B3624">
        <w:t xml:space="preserve">at the time this </w:t>
      </w:r>
      <w:proofErr w:type="spellStart"/>
      <w:r w:rsidRPr="002B3624">
        <w:t>AusPAR</w:t>
      </w:r>
      <w:proofErr w:type="spellEnd"/>
      <w:r w:rsidRPr="002B3624">
        <w:t xml:space="preserve"> was published is at Attachment 1. For the most recent </w:t>
      </w:r>
      <w:r w:rsidR="00133A1B">
        <w:t>PI,</w:t>
      </w:r>
      <w:r w:rsidRPr="002B3624">
        <w:t xml:space="preserve"> please refer to the </w:t>
      </w:r>
      <w:r w:rsidR="007C6B9B" w:rsidRPr="007C6B9B">
        <w:t>TGA website at &lt;</w:t>
      </w:r>
      <w:hyperlink r:id="rId39" w:history="1">
        <w:r w:rsidR="007C6B9B" w:rsidRPr="007C6B9B">
          <w:rPr>
            <w:rStyle w:val="Hyperlink"/>
          </w:rPr>
          <w:t>https://www.tga.gov.au/product-information-pi</w:t>
        </w:r>
      </w:hyperlink>
      <w:r w:rsidR="007C6B9B" w:rsidRPr="007C6B9B">
        <w:t>&gt;</w:t>
      </w:r>
      <w:r w:rsidR="00B56A57">
        <w:t>.</w:t>
      </w:r>
    </w:p>
    <w:p w:rsidR="00C80137" w:rsidRDefault="00C80137" w:rsidP="00C80137">
      <w:pPr>
        <w:pStyle w:val="Heading2"/>
        <w:rPr>
          <w:lang w:eastAsia="en-AU"/>
        </w:rPr>
      </w:pPr>
      <w:bookmarkStart w:id="213" w:name="_Toc445210983"/>
      <w:proofErr w:type="gramStart"/>
      <w:r>
        <w:rPr>
          <w:lang w:eastAsia="en-AU"/>
        </w:rPr>
        <w:t>Attachment 2.</w:t>
      </w:r>
      <w:proofErr w:type="gramEnd"/>
      <w:r w:rsidR="00A80B5B">
        <w:rPr>
          <w:lang w:eastAsia="en-AU"/>
        </w:rPr>
        <w:t xml:space="preserve"> </w:t>
      </w:r>
      <w:r>
        <w:rPr>
          <w:lang w:eastAsia="en-AU"/>
        </w:rPr>
        <w:t>Extract from the Clinical Evaluation Report</w:t>
      </w:r>
      <w:bookmarkEnd w:id="213"/>
    </w:p>
    <w:p w:rsidR="00291957" w:rsidRDefault="00AD0083" w:rsidP="00291957">
      <w:pPr>
        <w:rPr>
          <w:lang w:eastAsia="ja-JP"/>
        </w:rPr>
      </w:pPr>
      <w:r>
        <w:rPr>
          <w:lang w:eastAsia="ja-JP"/>
        </w:rPr>
        <w:t xml:space="preserve"> </w:t>
      </w:r>
    </w:p>
    <w:p w:rsidR="00C80137" w:rsidRPr="001D043B" w:rsidRDefault="00C80137" w:rsidP="003A7F6C">
      <w:pPr>
        <w:pStyle w:val="TableTitle"/>
        <w:sectPr w:rsidR="00C80137" w:rsidRPr="001D043B"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44" w:history="1">
              <w:r w:rsidRPr="004C239D">
                <w:rPr>
                  <w:rStyle w:val="Hyperlink"/>
                </w:rPr>
                <w:t>info@tga.gov.au</w:t>
              </w:r>
            </w:hyperlink>
            <w:r w:rsidR="009801DD">
              <w:t xml:space="preserve"> </w:t>
            </w:r>
            <w:r w:rsidRPr="00487162">
              <w:t>Phone: 1800 020 653</w:t>
            </w:r>
            <w:r w:rsidR="009801DD">
              <w:t xml:space="preserve"> </w:t>
            </w:r>
            <w:r w:rsidRPr="00487162">
              <w:t>Fax: 02 6232 8605</w:t>
            </w:r>
          </w:p>
          <w:p w:rsidR="001C32CD" w:rsidRPr="004C239D" w:rsidRDefault="009972EC" w:rsidP="00A05FA4">
            <w:pPr>
              <w:pStyle w:val="Address"/>
              <w:spacing w:line="260" w:lineRule="atLeast"/>
              <w:rPr>
                <w:b/>
                <w:color w:val="0000FF"/>
                <w:u w:val="single"/>
              </w:rPr>
            </w:pPr>
            <w:hyperlink r:id="rId45"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6A57" w:rsidRDefault="00B56A57" w:rsidP="00C40A36">
      <w:pPr>
        <w:spacing w:after="0"/>
      </w:pPr>
      <w:r>
        <w:separator/>
      </w:r>
    </w:p>
  </w:endnote>
  <w:endnote w:type="continuationSeparator" w:id="0">
    <w:p w:rsidR="00B56A57" w:rsidRDefault="00B56A57"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HelveticaNeue-Roman">
    <w:panose1 w:val="00000000000000000000"/>
    <w:charset w:val="00"/>
    <w:family w:val="swiss"/>
    <w:notTrueType/>
    <w:pitch w:val="default"/>
    <w:sig w:usb0="00000003" w:usb1="00000000" w:usb2="00000000" w:usb3="00000000" w:csb0="00000001" w:csb1="00000000"/>
  </w:font>
  <w:font w:name="AdvPSHEL-B">
    <w:panose1 w:val="00000000000000000000"/>
    <w:charset w:val="00"/>
    <w:family w:val="swiss"/>
    <w:notTrueType/>
    <w:pitch w:val="default"/>
    <w:sig w:usb0="00000003" w:usb1="00000000" w:usb2="00000000" w:usb3="00000000" w:csb0="00000001" w:csb1="00000000"/>
  </w:font>
  <w:font w:name="AdvPS7DED">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4D"/>
    <w:family w:val="swiss"/>
    <w:notTrueType/>
    <w:pitch w:val="default"/>
    <w:sig w:usb0="00000003" w:usb1="08070000" w:usb2="00000010" w:usb3="00000000" w:csb0="00020001" w:csb1="00000000"/>
  </w:font>
  <w:font w:name="ArialMT">
    <w:altName w:val="Arial"/>
    <w:panose1 w:val="00000000000000000000"/>
    <w:charset w:val="00"/>
    <w:family w:val="swiss"/>
    <w:notTrueType/>
    <w:pitch w:val="default"/>
    <w:sig w:usb0="00000003" w:usb1="08070000" w:usb2="00000010" w:usb3="00000000" w:csb0="00020009"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B56A57" w:rsidRPr="00487162" w:rsidTr="00DB750B">
      <w:trPr>
        <w:trHeight w:val="269"/>
      </w:trPr>
      <w:tc>
        <w:tcPr>
          <w:tcW w:w="7371" w:type="dxa"/>
          <w:tcMar>
            <w:top w:w="142" w:type="dxa"/>
            <w:bottom w:w="0" w:type="dxa"/>
          </w:tcMar>
        </w:tcPr>
        <w:p w:rsidR="00B56A57" w:rsidRDefault="00B56A57" w:rsidP="00635832">
          <w:pPr>
            <w:pStyle w:val="Default"/>
            <w:rPr>
              <w:rFonts w:asciiTheme="minorHAnsi" w:hAnsiTheme="minorHAnsi" w:cs="Cambria"/>
              <w:sz w:val="17"/>
              <w:szCs w:val="17"/>
            </w:rPr>
          </w:pPr>
          <w:proofErr w:type="spellStart"/>
          <w:r w:rsidRPr="0093190D">
            <w:rPr>
              <w:rFonts w:asciiTheme="minorHAnsi" w:hAnsiTheme="minorHAnsi"/>
              <w:sz w:val="17"/>
              <w:szCs w:val="17"/>
            </w:rPr>
            <w:t>AusPAR</w:t>
          </w:r>
          <w:proofErr w:type="spellEnd"/>
          <w:r w:rsidRPr="0093190D">
            <w:rPr>
              <w:rFonts w:asciiTheme="minorHAnsi" w:hAnsiTheme="minorHAnsi"/>
              <w:sz w:val="17"/>
              <w:szCs w:val="17"/>
            </w:rPr>
            <w:t xml:space="preserve"> </w:t>
          </w:r>
          <w:proofErr w:type="spellStart"/>
          <w:r w:rsidRPr="0093190D">
            <w:rPr>
              <w:rFonts w:asciiTheme="minorHAnsi" w:hAnsiTheme="minorHAnsi"/>
              <w:sz w:val="17"/>
              <w:szCs w:val="17"/>
            </w:rPr>
            <w:t>Lonqu</w:t>
          </w:r>
          <w:r>
            <w:rPr>
              <w:rFonts w:asciiTheme="minorHAnsi" w:hAnsiTheme="minorHAnsi"/>
              <w:sz w:val="17"/>
              <w:szCs w:val="17"/>
            </w:rPr>
            <w:t>e</w:t>
          </w:r>
          <w:r w:rsidRPr="0093190D">
            <w:rPr>
              <w:rFonts w:asciiTheme="minorHAnsi" w:hAnsiTheme="minorHAnsi"/>
              <w:sz w:val="17"/>
              <w:szCs w:val="17"/>
            </w:rPr>
            <w:t>x</w:t>
          </w:r>
          <w:proofErr w:type="spellEnd"/>
          <w:r w:rsidRPr="0093190D">
            <w:rPr>
              <w:rFonts w:asciiTheme="minorHAnsi" w:hAnsiTheme="minorHAnsi"/>
              <w:sz w:val="17"/>
              <w:szCs w:val="17"/>
            </w:rPr>
            <w:t xml:space="preserve"> </w:t>
          </w:r>
          <w:proofErr w:type="spellStart"/>
          <w:r w:rsidRPr="0093190D">
            <w:rPr>
              <w:rFonts w:asciiTheme="minorHAnsi" w:hAnsiTheme="minorHAnsi"/>
              <w:sz w:val="17"/>
              <w:szCs w:val="17"/>
            </w:rPr>
            <w:t>Lipegfilgrastim</w:t>
          </w:r>
          <w:proofErr w:type="spellEnd"/>
          <w:r w:rsidRPr="0093190D">
            <w:rPr>
              <w:rFonts w:asciiTheme="minorHAnsi" w:hAnsiTheme="minorHAnsi"/>
              <w:sz w:val="17"/>
              <w:szCs w:val="17"/>
            </w:rPr>
            <w:t xml:space="preserve"> (</w:t>
          </w:r>
          <w:proofErr w:type="spellStart"/>
          <w:r w:rsidRPr="0093190D">
            <w:rPr>
              <w:rFonts w:asciiTheme="minorHAnsi" w:hAnsiTheme="minorHAnsi"/>
              <w:sz w:val="17"/>
              <w:szCs w:val="17"/>
            </w:rPr>
            <w:t>rbe</w:t>
          </w:r>
          <w:proofErr w:type="spellEnd"/>
          <w:r w:rsidRPr="0093190D">
            <w:rPr>
              <w:rFonts w:asciiTheme="minorHAnsi" w:hAnsiTheme="minorHAnsi"/>
              <w:sz w:val="17"/>
              <w:szCs w:val="17"/>
            </w:rPr>
            <w:t xml:space="preserve">) </w:t>
          </w:r>
          <w:proofErr w:type="spellStart"/>
          <w:r w:rsidRPr="0093190D">
            <w:rPr>
              <w:rFonts w:asciiTheme="minorHAnsi" w:hAnsiTheme="minorHAnsi"/>
              <w:sz w:val="17"/>
              <w:szCs w:val="17"/>
            </w:rPr>
            <w:t>Teva</w:t>
          </w:r>
          <w:proofErr w:type="spellEnd"/>
          <w:r w:rsidRPr="0093190D">
            <w:rPr>
              <w:rFonts w:asciiTheme="minorHAnsi" w:hAnsiTheme="minorHAnsi"/>
              <w:sz w:val="17"/>
              <w:szCs w:val="17"/>
            </w:rPr>
            <w:t xml:space="preserve"> Pharma Australia Pty Ltd, PM-</w:t>
          </w:r>
          <w:r w:rsidRPr="0093190D">
            <w:rPr>
              <w:rFonts w:asciiTheme="minorHAnsi" w:hAnsiTheme="minorHAnsi" w:cs="Cambria"/>
              <w:sz w:val="17"/>
              <w:szCs w:val="17"/>
            </w:rPr>
            <w:t xml:space="preserve"> 2014-03142-1-4 </w:t>
          </w:r>
        </w:p>
        <w:p w:rsidR="00B56A57" w:rsidRPr="0093190D" w:rsidRDefault="00B56A57" w:rsidP="00635832">
          <w:pPr>
            <w:pStyle w:val="Default"/>
            <w:rPr>
              <w:sz w:val="17"/>
              <w:szCs w:val="17"/>
            </w:rPr>
          </w:pPr>
          <w:r>
            <w:rPr>
              <w:rFonts w:asciiTheme="minorHAnsi" w:hAnsiTheme="minorHAnsi"/>
              <w:sz w:val="17"/>
              <w:szCs w:val="17"/>
            </w:rPr>
            <w:t>Final 23 February 2016</w:t>
          </w:r>
          <w:r w:rsidRPr="0093190D">
            <w:rPr>
              <w:rFonts w:asciiTheme="minorHAnsi" w:hAnsiTheme="minorHAnsi"/>
              <w:sz w:val="17"/>
              <w:szCs w:val="17"/>
            </w:rPr>
            <w:t xml:space="preserve"> </w:t>
          </w:r>
        </w:p>
      </w:tc>
      <w:tc>
        <w:tcPr>
          <w:tcW w:w="1490" w:type="dxa"/>
          <w:tcMar>
            <w:top w:w="142" w:type="dxa"/>
            <w:bottom w:w="0" w:type="dxa"/>
          </w:tcMar>
        </w:tcPr>
        <w:p w:rsidR="00B56A57" w:rsidRPr="00487162" w:rsidRDefault="00B56A57" w:rsidP="00DB750B">
          <w:pPr>
            <w:pStyle w:val="Footer"/>
            <w:jc w:val="right"/>
          </w:pPr>
          <w:r w:rsidRPr="00487162">
            <w:t xml:space="preserve">Page </w:t>
          </w:r>
          <w:r>
            <w:fldChar w:fldCharType="begin"/>
          </w:r>
          <w:r>
            <w:instrText xml:space="preserve"> PAGE  \* Arabic </w:instrText>
          </w:r>
          <w:r>
            <w:fldChar w:fldCharType="separate"/>
          </w:r>
          <w:r w:rsidR="009972EC">
            <w:rPr>
              <w:noProof/>
            </w:rPr>
            <w:t>3</w:t>
          </w:r>
          <w:r>
            <w:fldChar w:fldCharType="end"/>
          </w:r>
          <w:r w:rsidRPr="00487162">
            <w:t xml:space="preserve"> of </w:t>
          </w:r>
          <w:r w:rsidR="009972EC">
            <w:fldChar w:fldCharType="begin"/>
          </w:r>
          <w:r w:rsidR="009972EC">
            <w:instrText xml:space="preserve"> NUMPAGES  \* Arabic </w:instrText>
          </w:r>
          <w:r w:rsidR="009972EC">
            <w:fldChar w:fldCharType="separate"/>
          </w:r>
          <w:r w:rsidR="009972EC">
            <w:rPr>
              <w:noProof/>
            </w:rPr>
            <w:t>60</w:t>
          </w:r>
          <w:r w:rsidR="009972EC">
            <w:rPr>
              <w:noProof/>
            </w:rPr>
            <w:fldChar w:fldCharType="end"/>
          </w:r>
        </w:p>
      </w:tc>
    </w:tr>
  </w:tbl>
  <w:p w:rsidR="00B56A57" w:rsidRDefault="00B56A57"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56A57" w:rsidRPr="00487162" w:rsidTr="00E45619">
      <w:trPr>
        <w:trHeight w:val="269"/>
      </w:trPr>
      <w:tc>
        <w:tcPr>
          <w:tcW w:w="4519" w:type="dxa"/>
          <w:tcBorders>
            <w:top w:val="single" w:sz="4" w:space="0" w:color="auto"/>
          </w:tcBorders>
          <w:tcMar>
            <w:top w:w="142" w:type="dxa"/>
            <w:bottom w:w="0" w:type="dxa"/>
          </w:tcMar>
        </w:tcPr>
        <w:p w:rsidR="00B56A57" w:rsidRPr="00487162" w:rsidRDefault="00B56A57" w:rsidP="00FE1DEE">
          <w:pPr>
            <w:pStyle w:val="Footer"/>
          </w:pPr>
          <w:r w:rsidRPr="00487162">
            <w:t>Document title, Part #, Section # - Section title</w:t>
          </w:r>
        </w:p>
        <w:p w:rsidR="00B56A57" w:rsidRPr="00487162" w:rsidRDefault="00B56A57" w:rsidP="00FE1DEE">
          <w:pPr>
            <w:pStyle w:val="Footer"/>
          </w:pPr>
          <w:r w:rsidRPr="00487162">
            <w:t>V1.0 October 2010</w:t>
          </w:r>
        </w:p>
      </w:tc>
      <w:tc>
        <w:tcPr>
          <w:tcW w:w="4342" w:type="dxa"/>
          <w:tcBorders>
            <w:top w:val="single" w:sz="4" w:space="0" w:color="auto"/>
          </w:tcBorders>
          <w:tcMar>
            <w:top w:w="142" w:type="dxa"/>
            <w:bottom w:w="0" w:type="dxa"/>
          </w:tcMar>
        </w:tcPr>
        <w:p w:rsidR="00B56A57" w:rsidRPr="00487162" w:rsidRDefault="00B56A57"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9972EC">
            <w:fldChar w:fldCharType="begin"/>
          </w:r>
          <w:r w:rsidR="009972EC">
            <w:instrText xml:space="preserve"> NUMPAGES  </w:instrText>
          </w:r>
          <w:r w:rsidR="009972EC">
            <w:fldChar w:fldCharType="separate"/>
          </w:r>
          <w:r>
            <w:rPr>
              <w:noProof/>
            </w:rPr>
            <w:t>59</w:t>
          </w:r>
          <w:r w:rsidR="009972EC">
            <w:rPr>
              <w:noProof/>
            </w:rPr>
            <w:fldChar w:fldCharType="end"/>
          </w:r>
        </w:p>
      </w:tc>
    </w:tr>
  </w:tbl>
  <w:p w:rsidR="00B56A57" w:rsidRDefault="00B56A5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Pr="001C32CD" w:rsidRDefault="00B56A57"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56A57" w:rsidTr="0010601F">
      <w:trPr>
        <w:trHeight w:val="108"/>
      </w:trPr>
      <w:tc>
        <w:tcPr>
          <w:tcW w:w="8875" w:type="dxa"/>
          <w:gridSpan w:val="2"/>
          <w:tcBorders>
            <w:bottom w:val="single" w:sz="4" w:space="0" w:color="auto"/>
          </w:tcBorders>
          <w:tcMar>
            <w:right w:w="284" w:type="dxa"/>
          </w:tcMar>
        </w:tcPr>
        <w:p w:rsidR="00B56A57" w:rsidRDefault="00B56A57" w:rsidP="006E08B3">
          <w:pPr>
            <w:pStyle w:val="Heading3"/>
          </w:pPr>
          <w:r>
            <w:t>Copyright</w:t>
          </w:r>
        </w:p>
        <w:p w:rsidR="00B56A57" w:rsidRDefault="00B56A57" w:rsidP="006E08B3">
          <w:r>
            <w:rPr>
              <w:rFonts w:cs="Arial"/>
            </w:rPr>
            <w:t>©</w:t>
          </w:r>
          <w:r>
            <w:t xml:space="preserve"> Commonwealth of Australia [add year]</w:t>
          </w:r>
        </w:p>
        <w:p w:rsidR="00B56A57" w:rsidRDefault="00B56A57" w:rsidP="006E08B3"/>
        <w:p w:rsidR="00B56A57" w:rsidRDefault="00B56A5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B56A57" w:rsidRDefault="00B56A57" w:rsidP="006E08B3"/>
        <w:p w:rsidR="00B56A57" w:rsidRDefault="00B56A57" w:rsidP="006E08B3">
          <w:pPr>
            <w:pStyle w:val="Heading3"/>
          </w:pPr>
          <w:r>
            <w:t>Confidentiality</w:t>
          </w:r>
        </w:p>
        <w:p w:rsidR="00B56A57" w:rsidRDefault="00B56A5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B56A57" w:rsidRDefault="00B56A57" w:rsidP="006E08B3"/>
        <w:p w:rsidR="00B56A57" w:rsidRDefault="00B56A57" w:rsidP="006E08B3">
          <w:r>
            <w:t>For submission made by individuals, all personal details, other than your name, will be removed from your submission before it is published on the TGA’s Internet site.</w:t>
          </w:r>
        </w:p>
        <w:p w:rsidR="00B56A57" w:rsidRDefault="00B56A57" w:rsidP="006E08B3"/>
        <w:p w:rsidR="00B56A57" w:rsidRDefault="00B56A57"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56A57" w:rsidTr="0010601F">
      <w:trPr>
        <w:trHeight w:val="417"/>
      </w:trPr>
      <w:tc>
        <w:tcPr>
          <w:tcW w:w="4519" w:type="dxa"/>
          <w:tcBorders>
            <w:top w:val="single" w:sz="4" w:space="0" w:color="auto"/>
          </w:tcBorders>
          <w:tcMar>
            <w:top w:w="142" w:type="dxa"/>
            <w:bottom w:w="0" w:type="dxa"/>
          </w:tcMar>
        </w:tcPr>
        <w:p w:rsidR="00B56A57" w:rsidRDefault="00B56A57" w:rsidP="006E08B3">
          <w:r>
            <w:t>Document title, Part #, Section # - Section title</w:t>
          </w:r>
        </w:p>
        <w:p w:rsidR="00B56A57" w:rsidRDefault="00B56A57" w:rsidP="006E08B3">
          <w:r>
            <w:t>V1.0 October 2010</w:t>
          </w:r>
        </w:p>
      </w:tc>
      <w:tc>
        <w:tcPr>
          <w:tcW w:w="4356" w:type="dxa"/>
          <w:tcBorders>
            <w:top w:val="single" w:sz="4" w:space="0" w:color="auto"/>
          </w:tcBorders>
          <w:tcMar>
            <w:top w:w="142" w:type="dxa"/>
            <w:bottom w:w="0" w:type="dxa"/>
          </w:tcMar>
        </w:tcPr>
        <w:p w:rsidR="00B56A57" w:rsidRDefault="00B56A57"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9972EC">
            <w:fldChar w:fldCharType="begin"/>
          </w:r>
          <w:r w:rsidR="009972EC">
            <w:instrText xml:space="preserve"> NUMPAGES  \* Arabic </w:instrText>
          </w:r>
          <w:r w:rsidR="009972EC">
            <w:fldChar w:fldCharType="separate"/>
          </w:r>
          <w:r>
            <w:rPr>
              <w:noProof/>
            </w:rPr>
            <w:t>59</w:t>
          </w:r>
          <w:r w:rsidR="009972EC">
            <w:rPr>
              <w:noProof/>
            </w:rPr>
            <w:fldChar w:fldCharType="end"/>
          </w:r>
          <w:r>
            <w:t xml:space="preserve"> </w:t>
          </w:r>
        </w:p>
      </w:tc>
    </w:tr>
  </w:tbl>
  <w:p w:rsidR="00B56A57" w:rsidRDefault="00B56A5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6A57" w:rsidRDefault="00B56A57" w:rsidP="00C40A36">
      <w:pPr>
        <w:spacing w:after="0"/>
      </w:pPr>
      <w:r>
        <w:separator/>
      </w:r>
    </w:p>
  </w:footnote>
  <w:footnote w:type="continuationSeparator" w:id="0">
    <w:p w:rsidR="00B56A57" w:rsidRDefault="00B56A57" w:rsidP="00C40A36">
      <w:pPr>
        <w:spacing w:after="0"/>
      </w:pPr>
      <w:r>
        <w:continuationSeparator/>
      </w:r>
    </w:p>
  </w:footnote>
  <w:footnote w:id="1">
    <w:p w:rsidR="00B56A57" w:rsidRPr="008B7E46" w:rsidRDefault="00B56A57" w:rsidP="00F467F5">
      <w:pPr>
        <w:autoSpaceDE w:val="0"/>
        <w:autoSpaceDN w:val="0"/>
        <w:adjustRightInd w:val="0"/>
        <w:rPr>
          <w:rFonts w:eastAsia="Times New Roman"/>
          <w:sz w:val="18"/>
          <w:szCs w:val="18"/>
        </w:rPr>
      </w:pPr>
      <w:r w:rsidRPr="008B7E46">
        <w:rPr>
          <w:rStyle w:val="FootnoteReference"/>
          <w:sz w:val="18"/>
          <w:szCs w:val="18"/>
        </w:rPr>
        <w:footnoteRef/>
      </w:r>
      <w:r w:rsidRPr="008B7E46">
        <w:rPr>
          <w:sz w:val="18"/>
          <w:szCs w:val="18"/>
        </w:rPr>
        <w:t xml:space="preserve"> </w:t>
      </w:r>
      <w:proofErr w:type="spellStart"/>
      <w:proofErr w:type="gramStart"/>
      <w:r w:rsidRPr="008B7E46">
        <w:rPr>
          <w:rFonts w:eastAsia="SimSun"/>
          <w:sz w:val="18"/>
          <w:szCs w:val="18"/>
          <w:lang w:eastAsia="zh-CN"/>
        </w:rPr>
        <w:t>Okasaki</w:t>
      </w:r>
      <w:proofErr w:type="spellEnd"/>
      <w:r w:rsidRPr="008B7E46">
        <w:rPr>
          <w:rFonts w:eastAsia="SimSun"/>
          <w:sz w:val="18"/>
          <w:szCs w:val="18"/>
          <w:lang w:eastAsia="zh-CN"/>
        </w:rPr>
        <w:t xml:space="preserve"> K., </w:t>
      </w:r>
      <w:proofErr w:type="spellStart"/>
      <w:r w:rsidRPr="008B7E46">
        <w:rPr>
          <w:sz w:val="18"/>
          <w:szCs w:val="18"/>
          <w:lang w:eastAsia="zh-CN"/>
        </w:rPr>
        <w:t>Funato</w:t>
      </w:r>
      <w:proofErr w:type="spellEnd"/>
      <w:r w:rsidRPr="008B7E46">
        <w:rPr>
          <w:sz w:val="18"/>
          <w:szCs w:val="18"/>
          <w:lang w:eastAsia="zh-CN"/>
        </w:rPr>
        <w:t xml:space="preserve"> M., Kashima M., </w:t>
      </w:r>
      <w:proofErr w:type="spellStart"/>
      <w:r w:rsidRPr="008B7E46">
        <w:rPr>
          <w:sz w:val="18"/>
          <w:szCs w:val="18"/>
          <w:lang w:eastAsia="zh-CN"/>
        </w:rPr>
        <w:t>Nakama</w:t>
      </w:r>
      <w:proofErr w:type="spellEnd"/>
      <w:r w:rsidRPr="008B7E46">
        <w:rPr>
          <w:sz w:val="18"/>
          <w:szCs w:val="18"/>
          <w:lang w:eastAsia="zh-CN"/>
        </w:rPr>
        <w:t xml:space="preserve"> K., Inoue T., </w:t>
      </w:r>
      <w:proofErr w:type="spellStart"/>
      <w:r w:rsidRPr="008B7E46">
        <w:rPr>
          <w:sz w:val="18"/>
          <w:szCs w:val="18"/>
          <w:lang w:eastAsia="zh-CN"/>
        </w:rPr>
        <w:t>Hiura</w:t>
      </w:r>
      <w:proofErr w:type="spellEnd"/>
      <w:r w:rsidRPr="008B7E46">
        <w:rPr>
          <w:sz w:val="18"/>
          <w:szCs w:val="18"/>
          <w:lang w:eastAsia="zh-CN"/>
        </w:rPr>
        <w:t xml:space="preserve"> M., Kato Y. and </w:t>
      </w:r>
      <w:proofErr w:type="spellStart"/>
      <w:r w:rsidRPr="008B7E46">
        <w:rPr>
          <w:sz w:val="18"/>
          <w:szCs w:val="18"/>
          <w:lang w:eastAsia="zh-CN"/>
        </w:rPr>
        <w:t>NagataR</w:t>
      </w:r>
      <w:proofErr w:type="spellEnd"/>
      <w:r w:rsidRPr="008B7E46">
        <w:rPr>
          <w:sz w:val="18"/>
          <w:szCs w:val="18"/>
          <w:lang w:eastAsia="zh-CN"/>
        </w:rPr>
        <w:t>.</w:t>
      </w:r>
      <w:proofErr w:type="gramEnd"/>
      <w:r w:rsidRPr="008B7E46">
        <w:rPr>
          <w:sz w:val="18"/>
          <w:szCs w:val="18"/>
          <w:lang w:eastAsia="zh-CN"/>
        </w:rPr>
        <w:t xml:space="preserve"> </w:t>
      </w:r>
      <w:proofErr w:type="gramStart"/>
      <w:r w:rsidRPr="008B7E46">
        <w:rPr>
          <w:rFonts w:cs="HelveticaNeue-Roman"/>
          <w:i/>
          <w:sz w:val="18"/>
          <w:szCs w:val="18"/>
          <w:lang w:eastAsia="zh-CN"/>
        </w:rPr>
        <w:t>Twenty-six-week repeat-dose toxicity study of a recombinant human granulocyte colony-stimulating factor derivative (</w:t>
      </w:r>
      <w:proofErr w:type="spellStart"/>
      <w:r w:rsidRPr="008B7E46">
        <w:rPr>
          <w:rFonts w:cs="HelveticaNeue-Roman"/>
          <w:i/>
          <w:sz w:val="18"/>
          <w:szCs w:val="18"/>
          <w:lang w:eastAsia="zh-CN"/>
        </w:rPr>
        <w:t>Nartograstim</w:t>
      </w:r>
      <w:proofErr w:type="spellEnd"/>
      <w:r w:rsidRPr="008B7E46">
        <w:rPr>
          <w:rFonts w:cs="HelveticaNeue-Roman"/>
          <w:i/>
          <w:sz w:val="18"/>
          <w:szCs w:val="18"/>
          <w:lang w:eastAsia="zh-CN"/>
        </w:rPr>
        <w:t xml:space="preserve">) in </w:t>
      </w:r>
      <w:proofErr w:type="spellStart"/>
      <w:r w:rsidRPr="008B7E46">
        <w:rPr>
          <w:rFonts w:cs="HelveticaNeue-Roman"/>
          <w:i/>
          <w:sz w:val="18"/>
          <w:szCs w:val="18"/>
          <w:lang w:eastAsia="zh-CN"/>
        </w:rPr>
        <w:t>Cynomolgus</w:t>
      </w:r>
      <w:proofErr w:type="spellEnd"/>
      <w:r w:rsidRPr="008B7E46">
        <w:rPr>
          <w:rFonts w:cs="HelveticaNeue-Roman"/>
          <w:i/>
          <w:sz w:val="18"/>
          <w:szCs w:val="18"/>
          <w:lang w:eastAsia="zh-CN"/>
        </w:rPr>
        <w:t xml:space="preserve"> monkeys.</w:t>
      </w:r>
      <w:proofErr w:type="gramEnd"/>
      <w:r w:rsidRPr="008B7E46">
        <w:rPr>
          <w:rFonts w:eastAsia="SimSun"/>
          <w:sz w:val="18"/>
          <w:szCs w:val="18"/>
          <w:lang w:eastAsia="zh-CN"/>
        </w:rPr>
        <w:t xml:space="preserve"> </w:t>
      </w:r>
      <w:proofErr w:type="gramStart"/>
      <w:r w:rsidRPr="008B7E46">
        <w:rPr>
          <w:rFonts w:eastAsia="SimSun"/>
          <w:sz w:val="18"/>
          <w:szCs w:val="18"/>
          <w:lang w:eastAsia="zh-CN"/>
        </w:rPr>
        <w:t>Toxicological Sciences.</w:t>
      </w:r>
      <w:proofErr w:type="gramEnd"/>
      <w:r w:rsidRPr="008B7E46">
        <w:rPr>
          <w:rFonts w:eastAsia="SimSun"/>
          <w:sz w:val="18"/>
          <w:szCs w:val="18"/>
          <w:lang w:eastAsia="zh-CN"/>
        </w:rPr>
        <w:t xml:space="preserve"> 2002</w:t>
      </w:r>
      <w:proofErr w:type="gramStart"/>
      <w:r w:rsidRPr="008B7E46">
        <w:rPr>
          <w:rFonts w:eastAsia="SimSun"/>
          <w:sz w:val="18"/>
          <w:szCs w:val="18"/>
          <w:lang w:eastAsia="zh-CN"/>
        </w:rPr>
        <w:t>;65:246</w:t>
      </w:r>
      <w:proofErr w:type="gramEnd"/>
      <w:r w:rsidRPr="008B7E46">
        <w:rPr>
          <w:rFonts w:eastAsia="SimSun"/>
          <w:sz w:val="18"/>
          <w:szCs w:val="18"/>
          <w:lang w:eastAsia="zh-CN"/>
        </w:rPr>
        <w:t>-255.</w:t>
      </w:r>
    </w:p>
  </w:footnote>
  <w:footnote w:id="2">
    <w:p w:rsidR="00B56A57" w:rsidRPr="008B7E46" w:rsidRDefault="00B56A57" w:rsidP="00191BC5">
      <w:pPr>
        <w:autoSpaceDE w:val="0"/>
        <w:autoSpaceDN w:val="0"/>
        <w:adjustRightInd w:val="0"/>
        <w:rPr>
          <w:rFonts w:asciiTheme="minorHAnsi" w:eastAsia="Times New Roman" w:hAnsiTheme="minorHAnsi"/>
          <w:sz w:val="18"/>
          <w:szCs w:val="18"/>
        </w:rPr>
      </w:pPr>
      <w:r w:rsidRPr="008B7E46">
        <w:rPr>
          <w:rStyle w:val="FootnoteReference"/>
          <w:sz w:val="18"/>
          <w:szCs w:val="18"/>
        </w:rPr>
        <w:footnoteRef/>
      </w:r>
      <w:r w:rsidRPr="008B7E46">
        <w:rPr>
          <w:sz w:val="18"/>
          <w:szCs w:val="18"/>
        </w:rPr>
        <w:t xml:space="preserve"> Keller</w:t>
      </w:r>
      <w:r w:rsidRPr="008B7E46">
        <w:rPr>
          <w:rFonts w:asciiTheme="minorHAnsi" w:hAnsiTheme="minorHAnsi"/>
          <w:sz w:val="18"/>
          <w:szCs w:val="18"/>
        </w:rPr>
        <w:t xml:space="preserve"> P. and Smalling R. </w:t>
      </w:r>
      <w:r w:rsidRPr="008B7E46">
        <w:rPr>
          <w:rFonts w:asciiTheme="minorHAnsi" w:hAnsiTheme="minorHAnsi"/>
          <w:i/>
          <w:sz w:val="18"/>
          <w:szCs w:val="18"/>
        </w:rPr>
        <w:t xml:space="preserve">Granulocyte colony stimulating </w:t>
      </w:r>
      <w:proofErr w:type="spellStart"/>
      <w:r w:rsidRPr="008B7E46">
        <w:rPr>
          <w:rFonts w:asciiTheme="minorHAnsi" w:hAnsiTheme="minorHAnsi"/>
          <w:i/>
          <w:sz w:val="18"/>
          <w:szCs w:val="18"/>
        </w:rPr>
        <w:t>faator</w:t>
      </w:r>
      <w:proofErr w:type="spellEnd"/>
      <w:r w:rsidRPr="008B7E46">
        <w:rPr>
          <w:rFonts w:asciiTheme="minorHAnsi" w:hAnsiTheme="minorHAnsi"/>
          <w:i/>
          <w:sz w:val="18"/>
          <w:szCs w:val="18"/>
        </w:rPr>
        <w:t xml:space="preserve">: Animal studies for risk assessment. </w:t>
      </w:r>
      <w:proofErr w:type="gramStart"/>
      <w:r w:rsidRPr="008B7E46">
        <w:rPr>
          <w:rFonts w:asciiTheme="minorHAnsi" w:hAnsiTheme="minorHAnsi"/>
          <w:sz w:val="18"/>
          <w:szCs w:val="18"/>
        </w:rPr>
        <w:t xml:space="preserve">International Review of </w:t>
      </w:r>
      <w:proofErr w:type="spellStart"/>
      <w:r w:rsidRPr="008B7E46">
        <w:rPr>
          <w:rFonts w:asciiTheme="minorHAnsi" w:hAnsiTheme="minorHAnsi"/>
          <w:sz w:val="18"/>
          <w:szCs w:val="18"/>
        </w:rPr>
        <w:t>Eperimental</w:t>
      </w:r>
      <w:proofErr w:type="spellEnd"/>
      <w:r w:rsidRPr="008B7E46">
        <w:rPr>
          <w:rFonts w:asciiTheme="minorHAnsi" w:hAnsiTheme="minorHAnsi"/>
          <w:sz w:val="18"/>
          <w:szCs w:val="18"/>
        </w:rPr>
        <w:t xml:space="preserve"> Pathology.</w:t>
      </w:r>
      <w:proofErr w:type="gramEnd"/>
      <w:r w:rsidRPr="008B7E46">
        <w:rPr>
          <w:rFonts w:asciiTheme="minorHAnsi" w:hAnsiTheme="minorHAnsi"/>
          <w:sz w:val="18"/>
          <w:szCs w:val="18"/>
        </w:rPr>
        <w:t xml:space="preserve"> 1993</w:t>
      </w:r>
      <w:proofErr w:type="gramStart"/>
      <w:r w:rsidRPr="008B7E46">
        <w:rPr>
          <w:rFonts w:asciiTheme="minorHAnsi" w:hAnsiTheme="minorHAnsi"/>
          <w:sz w:val="18"/>
          <w:szCs w:val="18"/>
        </w:rPr>
        <w:t>;34A:173</w:t>
      </w:r>
      <w:proofErr w:type="gramEnd"/>
      <w:r w:rsidRPr="008B7E46">
        <w:rPr>
          <w:rFonts w:asciiTheme="minorHAnsi" w:hAnsiTheme="minorHAnsi"/>
          <w:sz w:val="18"/>
          <w:szCs w:val="18"/>
        </w:rPr>
        <w:t xml:space="preserve">-188; </w:t>
      </w:r>
      <w:proofErr w:type="spellStart"/>
      <w:r w:rsidRPr="008B7E46">
        <w:rPr>
          <w:rFonts w:asciiTheme="minorHAnsi" w:hAnsiTheme="minorHAnsi"/>
          <w:sz w:val="18"/>
          <w:szCs w:val="18"/>
        </w:rPr>
        <w:t>Okasaki</w:t>
      </w:r>
      <w:proofErr w:type="spellEnd"/>
      <w:r w:rsidRPr="008B7E46">
        <w:rPr>
          <w:rFonts w:asciiTheme="minorHAnsi" w:hAnsiTheme="minorHAnsi"/>
          <w:sz w:val="18"/>
          <w:szCs w:val="18"/>
        </w:rPr>
        <w:t xml:space="preserve"> K., </w:t>
      </w:r>
      <w:proofErr w:type="spellStart"/>
      <w:r w:rsidRPr="008B7E46">
        <w:rPr>
          <w:rFonts w:asciiTheme="minorHAnsi" w:hAnsiTheme="minorHAnsi"/>
          <w:sz w:val="18"/>
          <w:szCs w:val="18"/>
        </w:rPr>
        <w:t>Funato</w:t>
      </w:r>
      <w:proofErr w:type="spellEnd"/>
      <w:r w:rsidRPr="008B7E46">
        <w:rPr>
          <w:rFonts w:asciiTheme="minorHAnsi" w:hAnsiTheme="minorHAnsi"/>
          <w:sz w:val="18"/>
          <w:szCs w:val="18"/>
        </w:rPr>
        <w:t xml:space="preserve"> M., Kashima M., </w:t>
      </w:r>
      <w:proofErr w:type="spellStart"/>
      <w:r w:rsidRPr="008B7E46">
        <w:rPr>
          <w:rFonts w:asciiTheme="minorHAnsi" w:hAnsiTheme="minorHAnsi"/>
          <w:sz w:val="18"/>
          <w:szCs w:val="18"/>
        </w:rPr>
        <w:t>Nakama</w:t>
      </w:r>
      <w:proofErr w:type="spellEnd"/>
      <w:r w:rsidRPr="008B7E46">
        <w:rPr>
          <w:rFonts w:asciiTheme="minorHAnsi" w:hAnsiTheme="minorHAnsi"/>
          <w:sz w:val="18"/>
          <w:szCs w:val="18"/>
        </w:rPr>
        <w:t xml:space="preserve"> K., Inoue T., </w:t>
      </w:r>
      <w:proofErr w:type="spellStart"/>
      <w:r w:rsidRPr="008B7E46">
        <w:rPr>
          <w:rFonts w:asciiTheme="minorHAnsi" w:hAnsiTheme="minorHAnsi"/>
          <w:sz w:val="18"/>
          <w:szCs w:val="18"/>
        </w:rPr>
        <w:t>Hiura</w:t>
      </w:r>
      <w:proofErr w:type="spellEnd"/>
      <w:r w:rsidRPr="008B7E46">
        <w:rPr>
          <w:rFonts w:asciiTheme="minorHAnsi" w:hAnsiTheme="minorHAnsi"/>
          <w:sz w:val="18"/>
          <w:szCs w:val="18"/>
        </w:rPr>
        <w:t xml:space="preserve"> M., Kato Y. and </w:t>
      </w:r>
      <w:proofErr w:type="spellStart"/>
      <w:r w:rsidRPr="008B7E46">
        <w:rPr>
          <w:rFonts w:asciiTheme="minorHAnsi" w:hAnsiTheme="minorHAnsi"/>
          <w:sz w:val="18"/>
          <w:szCs w:val="18"/>
        </w:rPr>
        <w:t>NagataR</w:t>
      </w:r>
      <w:proofErr w:type="spellEnd"/>
      <w:r w:rsidRPr="008B7E46">
        <w:rPr>
          <w:rFonts w:asciiTheme="minorHAnsi" w:hAnsiTheme="minorHAnsi"/>
          <w:sz w:val="18"/>
          <w:szCs w:val="18"/>
        </w:rPr>
        <w:t xml:space="preserve">. </w:t>
      </w:r>
      <w:proofErr w:type="gramStart"/>
      <w:r w:rsidRPr="008B7E46">
        <w:rPr>
          <w:rFonts w:asciiTheme="minorHAnsi" w:hAnsiTheme="minorHAnsi" w:cs="HelveticaNeue-Roman"/>
          <w:i/>
          <w:sz w:val="18"/>
          <w:szCs w:val="18"/>
        </w:rPr>
        <w:t xml:space="preserve">Twenty-six-week repeat-dose toxicity study of a recombinant human granulocyte colony-stimulating factor derivative </w:t>
      </w:r>
      <w:r w:rsidRPr="008B7E46">
        <w:rPr>
          <w:rFonts w:cs="HelveticaNeue-Roman"/>
          <w:i/>
          <w:sz w:val="18"/>
          <w:szCs w:val="18"/>
        </w:rPr>
        <w:t>(</w:t>
      </w:r>
      <w:proofErr w:type="spellStart"/>
      <w:r w:rsidRPr="008B7E46">
        <w:rPr>
          <w:rFonts w:cs="HelveticaNeue-Roman"/>
          <w:i/>
          <w:sz w:val="18"/>
          <w:szCs w:val="18"/>
        </w:rPr>
        <w:t>Nartograstim</w:t>
      </w:r>
      <w:proofErr w:type="spellEnd"/>
      <w:r w:rsidRPr="008B7E46">
        <w:rPr>
          <w:rFonts w:cs="HelveticaNeue-Roman"/>
          <w:i/>
          <w:sz w:val="18"/>
          <w:szCs w:val="18"/>
        </w:rPr>
        <w:t xml:space="preserve">) in </w:t>
      </w:r>
      <w:proofErr w:type="spellStart"/>
      <w:r w:rsidRPr="008B7E46">
        <w:rPr>
          <w:rFonts w:cs="HelveticaNeue-Roman"/>
          <w:i/>
          <w:sz w:val="18"/>
          <w:szCs w:val="18"/>
        </w:rPr>
        <w:t>Cynomolgus</w:t>
      </w:r>
      <w:proofErr w:type="spellEnd"/>
      <w:r w:rsidRPr="008B7E46">
        <w:rPr>
          <w:rFonts w:cs="HelveticaNeue-Roman"/>
          <w:i/>
          <w:sz w:val="18"/>
          <w:szCs w:val="18"/>
        </w:rPr>
        <w:t xml:space="preserve"> monkeys.</w:t>
      </w:r>
      <w:proofErr w:type="gramEnd"/>
      <w:r w:rsidRPr="008B7E46">
        <w:rPr>
          <w:sz w:val="18"/>
          <w:szCs w:val="18"/>
        </w:rPr>
        <w:t xml:space="preserve"> </w:t>
      </w:r>
      <w:proofErr w:type="gramStart"/>
      <w:r w:rsidRPr="008B7E46">
        <w:rPr>
          <w:sz w:val="18"/>
          <w:szCs w:val="18"/>
        </w:rPr>
        <w:t>Toxicological Sciences.</w:t>
      </w:r>
      <w:proofErr w:type="gramEnd"/>
      <w:r w:rsidRPr="008B7E46">
        <w:rPr>
          <w:sz w:val="18"/>
          <w:szCs w:val="18"/>
        </w:rPr>
        <w:t xml:space="preserve"> 2002</w:t>
      </w:r>
      <w:proofErr w:type="gramStart"/>
      <w:r w:rsidRPr="008B7E46">
        <w:rPr>
          <w:sz w:val="18"/>
          <w:szCs w:val="18"/>
        </w:rPr>
        <w:t>;65:246</w:t>
      </w:r>
      <w:proofErr w:type="gramEnd"/>
      <w:r w:rsidRPr="008B7E46">
        <w:rPr>
          <w:sz w:val="18"/>
          <w:szCs w:val="18"/>
        </w:rPr>
        <w:t>-255.</w:t>
      </w:r>
    </w:p>
  </w:footnote>
  <w:footnote w:id="3">
    <w:p w:rsidR="00B56A57" w:rsidRPr="008B7E46" w:rsidRDefault="00B56A57" w:rsidP="00660BC2">
      <w:pPr>
        <w:autoSpaceDE w:val="0"/>
        <w:autoSpaceDN w:val="0"/>
        <w:adjustRightInd w:val="0"/>
        <w:rPr>
          <w:rFonts w:eastAsia="MS Mincho" w:cstheme="minorBidi"/>
          <w:sz w:val="18"/>
          <w:szCs w:val="18"/>
        </w:rPr>
      </w:pPr>
      <w:r w:rsidRPr="008B7E46">
        <w:rPr>
          <w:rStyle w:val="FootnoteReference"/>
          <w:sz w:val="18"/>
          <w:szCs w:val="18"/>
        </w:rPr>
        <w:footnoteRef/>
      </w:r>
      <w:r w:rsidRPr="008B7E46">
        <w:rPr>
          <w:sz w:val="18"/>
          <w:szCs w:val="18"/>
        </w:rPr>
        <w:t xml:space="preserve"> </w:t>
      </w:r>
      <w:proofErr w:type="spellStart"/>
      <w:r w:rsidRPr="008B7E46">
        <w:rPr>
          <w:rFonts w:asciiTheme="minorHAnsi" w:hAnsiTheme="minorHAnsi"/>
          <w:sz w:val="18"/>
          <w:szCs w:val="18"/>
        </w:rPr>
        <w:t>Okasaki</w:t>
      </w:r>
      <w:proofErr w:type="spellEnd"/>
      <w:r w:rsidRPr="008B7E46">
        <w:rPr>
          <w:rFonts w:asciiTheme="minorHAnsi" w:hAnsiTheme="minorHAnsi"/>
          <w:sz w:val="18"/>
          <w:szCs w:val="18"/>
        </w:rPr>
        <w:t xml:space="preserve"> K., </w:t>
      </w:r>
      <w:proofErr w:type="spellStart"/>
      <w:r w:rsidRPr="008B7E46">
        <w:rPr>
          <w:rFonts w:asciiTheme="minorHAnsi" w:hAnsiTheme="minorHAnsi"/>
          <w:sz w:val="18"/>
          <w:szCs w:val="18"/>
        </w:rPr>
        <w:t>Ebihara</w:t>
      </w:r>
      <w:proofErr w:type="spellEnd"/>
      <w:r w:rsidRPr="008B7E46">
        <w:rPr>
          <w:rFonts w:asciiTheme="minorHAnsi" w:hAnsiTheme="minorHAnsi"/>
          <w:sz w:val="18"/>
          <w:szCs w:val="18"/>
        </w:rPr>
        <w:t xml:space="preserve"> S., Asada M., Kanda A., Sasaki H. and </w:t>
      </w:r>
      <w:proofErr w:type="spellStart"/>
      <w:r w:rsidRPr="008B7E46">
        <w:rPr>
          <w:rFonts w:asciiTheme="minorHAnsi" w:hAnsiTheme="minorHAnsi"/>
          <w:sz w:val="18"/>
          <w:szCs w:val="18"/>
        </w:rPr>
        <w:t>Yamaya</w:t>
      </w:r>
      <w:proofErr w:type="spellEnd"/>
      <w:r w:rsidRPr="008B7E46">
        <w:rPr>
          <w:rFonts w:asciiTheme="minorHAnsi" w:hAnsiTheme="minorHAnsi"/>
          <w:sz w:val="18"/>
          <w:szCs w:val="18"/>
        </w:rPr>
        <w:t xml:space="preserve"> M. </w:t>
      </w:r>
      <w:r w:rsidRPr="008B7E46">
        <w:rPr>
          <w:rFonts w:asciiTheme="minorHAnsi" w:eastAsiaTheme="minorEastAsia" w:hAnsiTheme="minorHAnsi" w:cs="AdvPSHEL-B"/>
          <w:i/>
          <w:sz w:val="18"/>
          <w:szCs w:val="18"/>
        </w:rPr>
        <w:t xml:space="preserve">Granulocyte colony-stimulating factor promotes </w:t>
      </w:r>
      <w:proofErr w:type="spellStart"/>
      <w:r w:rsidRPr="008B7E46">
        <w:rPr>
          <w:rFonts w:asciiTheme="minorHAnsi" w:eastAsiaTheme="minorEastAsia" w:hAnsiTheme="minorHAnsi" w:cs="AdvPSHEL-B"/>
          <w:i/>
          <w:sz w:val="18"/>
          <w:szCs w:val="18"/>
        </w:rPr>
        <w:t>tumor</w:t>
      </w:r>
      <w:proofErr w:type="spellEnd"/>
      <w:r w:rsidRPr="008B7E46">
        <w:rPr>
          <w:rFonts w:asciiTheme="minorHAnsi" w:eastAsiaTheme="minorEastAsia" w:hAnsiTheme="minorHAnsi" w:cs="AdvPSHEL-B"/>
          <w:i/>
          <w:sz w:val="18"/>
          <w:szCs w:val="18"/>
        </w:rPr>
        <w:t xml:space="preserve"> angiogenesis via increasing circulating endothelial progenitor cells and Gr1</w:t>
      </w:r>
      <w:r w:rsidRPr="008B7E46">
        <w:rPr>
          <w:rFonts w:asciiTheme="minorHAnsi" w:eastAsiaTheme="minorEastAsia" w:hAnsiTheme="minorHAnsi" w:cs="AdvPS7DED"/>
          <w:i/>
          <w:sz w:val="18"/>
          <w:szCs w:val="18"/>
        </w:rPr>
        <w:t>+</w:t>
      </w:r>
      <w:r w:rsidRPr="008B7E46">
        <w:rPr>
          <w:rFonts w:asciiTheme="minorHAnsi" w:eastAsiaTheme="minorEastAsia" w:hAnsiTheme="minorHAnsi" w:cs="AdvPSHEL-B"/>
          <w:i/>
          <w:sz w:val="18"/>
          <w:szCs w:val="18"/>
        </w:rPr>
        <w:t>CD11b</w:t>
      </w:r>
      <w:r w:rsidRPr="008B7E46">
        <w:rPr>
          <w:rFonts w:asciiTheme="minorHAnsi" w:eastAsiaTheme="minorEastAsia" w:hAnsiTheme="minorHAnsi" w:cs="AdvPS7DED"/>
          <w:i/>
          <w:sz w:val="18"/>
          <w:szCs w:val="18"/>
        </w:rPr>
        <w:t xml:space="preserve">+ </w:t>
      </w:r>
      <w:r w:rsidRPr="008B7E46">
        <w:rPr>
          <w:rFonts w:asciiTheme="minorHAnsi" w:eastAsiaTheme="minorEastAsia" w:hAnsiTheme="minorHAnsi" w:cs="AdvPSHEL-B"/>
          <w:i/>
          <w:sz w:val="18"/>
          <w:szCs w:val="18"/>
        </w:rPr>
        <w:t>cells in cancer animal models</w:t>
      </w:r>
      <w:r w:rsidRPr="008B7E46">
        <w:rPr>
          <w:rFonts w:asciiTheme="minorHAnsi" w:hAnsiTheme="minorHAnsi" w:cs="HelveticaNeue-Roman"/>
          <w:i/>
          <w:sz w:val="18"/>
          <w:szCs w:val="18"/>
        </w:rPr>
        <w:t>.</w:t>
      </w:r>
      <w:r w:rsidRPr="008B7E46">
        <w:rPr>
          <w:rFonts w:asciiTheme="minorHAnsi" w:hAnsiTheme="minorHAnsi"/>
          <w:sz w:val="18"/>
          <w:szCs w:val="18"/>
        </w:rPr>
        <w:t xml:space="preserve"> </w:t>
      </w:r>
      <w:proofErr w:type="gramStart"/>
      <w:r w:rsidRPr="008B7E46">
        <w:rPr>
          <w:rFonts w:asciiTheme="minorHAnsi" w:hAnsiTheme="minorHAnsi"/>
          <w:sz w:val="18"/>
          <w:szCs w:val="18"/>
        </w:rPr>
        <w:t>International Immunology.</w:t>
      </w:r>
      <w:proofErr w:type="gramEnd"/>
      <w:r w:rsidRPr="008B7E46">
        <w:rPr>
          <w:rFonts w:asciiTheme="minorHAnsi" w:hAnsiTheme="minorHAnsi"/>
          <w:sz w:val="18"/>
          <w:szCs w:val="18"/>
        </w:rPr>
        <w:t xml:space="preserve"> 2005</w:t>
      </w:r>
      <w:proofErr w:type="gramStart"/>
      <w:r w:rsidRPr="008B7E46">
        <w:rPr>
          <w:rFonts w:asciiTheme="minorHAnsi" w:hAnsiTheme="minorHAnsi"/>
          <w:sz w:val="18"/>
          <w:szCs w:val="18"/>
        </w:rPr>
        <w:t>;18:1</w:t>
      </w:r>
      <w:proofErr w:type="gramEnd"/>
      <w:r w:rsidRPr="008B7E46">
        <w:rPr>
          <w:rFonts w:asciiTheme="minorHAnsi" w:hAnsiTheme="minorHAnsi"/>
          <w:sz w:val="18"/>
          <w:szCs w:val="18"/>
        </w:rPr>
        <w:t>-9.</w:t>
      </w:r>
    </w:p>
  </w:footnote>
  <w:footnote w:id="4">
    <w:p w:rsidR="00B56A57" w:rsidRPr="006E11FD" w:rsidRDefault="00B56A57" w:rsidP="006E11FD">
      <w:pPr>
        <w:spacing w:before="0" w:after="0" w:line="240" w:lineRule="auto"/>
        <w:rPr>
          <w:sz w:val="18"/>
          <w:szCs w:val="18"/>
          <w:lang w:val="en"/>
        </w:rPr>
      </w:pPr>
      <w:r w:rsidRPr="006E11FD">
        <w:rPr>
          <w:rStyle w:val="FootnoteReference"/>
          <w:sz w:val="18"/>
          <w:szCs w:val="18"/>
        </w:rPr>
        <w:footnoteRef/>
      </w:r>
      <w:r w:rsidRPr="006E11FD">
        <w:rPr>
          <w:sz w:val="18"/>
          <w:szCs w:val="18"/>
        </w:rPr>
        <w:t xml:space="preserve"> </w:t>
      </w:r>
      <w:r>
        <w:rPr>
          <w:sz w:val="18"/>
          <w:szCs w:val="18"/>
        </w:rPr>
        <w:t xml:space="preserve">Pregnancy </w:t>
      </w:r>
      <w:r w:rsidRPr="006E11FD">
        <w:rPr>
          <w:sz w:val="18"/>
          <w:szCs w:val="18"/>
          <w:lang w:val="en"/>
        </w:rPr>
        <w:t>Category B3: Drugs which have been taken by only a limited number of pregnant women and women of childbearing age, without an increase in the frequency of malformation or other direct or indirect harmful effects on the human fetus having been observed.</w:t>
      </w:r>
    </w:p>
    <w:p w:rsidR="00B56A57" w:rsidRPr="006E11FD" w:rsidRDefault="00B56A57" w:rsidP="006E11FD">
      <w:pPr>
        <w:spacing w:before="0" w:after="0" w:line="240" w:lineRule="auto"/>
        <w:rPr>
          <w:sz w:val="18"/>
          <w:szCs w:val="18"/>
          <w:lang w:val="en"/>
        </w:rPr>
      </w:pPr>
      <w:r w:rsidRPr="006E11FD">
        <w:rPr>
          <w:sz w:val="18"/>
          <w:szCs w:val="18"/>
          <w:lang w:val="en"/>
        </w:rPr>
        <w:t>Studies in animals have shown evidence of an increased occurrence of fetal damage, the significance of which is considered uncertain in humans.</w:t>
      </w:r>
    </w:p>
    <w:p w:rsidR="00B56A57" w:rsidRDefault="00B56A57">
      <w:pPr>
        <w:pStyle w:val="FootnoteText"/>
      </w:pPr>
    </w:p>
  </w:footnote>
  <w:footnote w:id="5">
    <w:p w:rsidR="00B56A57" w:rsidRDefault="00B56A57">
      <w:pPr>
        <w:pStyle w:val="FootnoteText"/>
      </w:pPr>
      <w:r>
        <w:rPr>
          <w:rStyle w:val="FootnoteReference"/>
        </w:rPr>
        <w:footnoteRef/>
      </w:r>
      <w:r>
        <w:t xml:space="preserve"> </w:t>
      </w:r>
      <w:r w:rsidRPr="00635832">
        <w:rPr>
          <w:rFonts w:asciiTheme="minorHAnsi" w:eastAsiaTheme="minorHAnsi" w:hAnsiTheme="minorHAnsi"/>
          <w:iCs/>
          <w:sz w:val="20"/>
        </w:rPr>
        <w:t>Snowden et al</w:t>
      </w:r>
      <w:r w:rsidRPr="00635832">
        <w:rPr>
          <w:rFonts w:asciiTheme="minorHAnsi" w:eastAsiaTheme="minorHAnsi" w:hAnsiTheme="minorHAnsi"/>
          <w:sz w:val="20"/>
        </w:rPr>
        <w:t>,</w:t>
      </w:r>
      <w:r w:rsidRPr="00B76061">
        <w:rPr>
          <w:rFonts w:asciiTheme="minorHAnsi" w:eastAsiaTheme="minorHAnsi" w:hAnsiTheme="minorHAnsi"/>
          <w:i/>
          <w:sz w:val="20"/>
        </w:rPr>
        <w:t xml:space="preserve"> </w:t>
      </w:r>
      <w:r w:rsidRPr="00635832">
        <w:rPr>
          <w:rFonts w:asciiTheme="minorHAnsi" w:eastAsiaTheme="minorHAnsi" w:hAnsiTheme="minorHAnsi"/>
          <w:sz w:val="20"/>
        </w:rPr>
        <w:t>(1998)</w:t>
      </w:r>
      <w:r>
        <w:rPr>
          <w:rFonts w:asciiTheme="minorHAnsi" w:eastAsiaTheme="minorHAnsi" w:hAnsiTheme="minorHAnsi"/>
          <w:i/>
          <w:sz w:val="20"/>
        </w:rPr>
        <w:t xml:space="preserve"> </w:t>
      </w:r>
      <w:r w:rsidRPr="00B76061">
        <w:rPr>
          <w:rFonts w:asciiTheme="minorHAnsi" w:eastAsiaTheme="minorHAnsi" w:hAnsiTheme="minorHAnsi"/>
          <w:i/>
          <w:sz w:val="20"/>
        </w:rPr>
        <w:t xml:space="preserve">Bone Marrow Transplantation </w:t>
      </w:r>
      <w:r w:rsidRPr="00635832">
        <w:rPr>
          <w:rFonts w:asciiTheme="minorHAnsi" w:eastAsiaTheme="minorHAnsi" w:hAnsiTheme="minorHAnsi"/>
          <w:sz w:val="20"/>
        </w:rPr>
        <w:t xml:space="preserve"> 22 (11): 1035-41</w:t>
      </w:r>
    </w:p>
  </w:footnote>
  <w:footnote w:id="6">
    <w:p w:rsidR="00B56A57" w:rsidRDefault="00B56A57">
      <w:pPr>
        <w:pStyle w:val="FootnoteText"/>
      </w:pPr>
      <w:r>
        <w:rPr>
          <w:rStyle w:val="FootnoteReference"/>
        </w:rPr>
        <w:footnoteRef/>
      </w:r>
      <w:r>
        <w:t xml:space="preserve"> </w:t>
      </w:r>
      <w:r>
        <w:rPr>
          <w:noProof/>
          <w:lang w:eastAsia="en-AU"/>
        </w:rPr>
        <w:drawing>
          <wp:inline distT="0" distB="0" distL="0" distR="0" wp14:anchorId="1B01A779" wp14:editId="2982914B">
            <wp:extent cx="2728686" cy="1747117"/>
            <wp:effectExtent l="0" t="0" r="0" b="5715"/>
            <wp:docPr id="15" name="Picture 15" descr="Table: ECOG performance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BEBA8EAE-BF5A-486C-A8C5-ECC9F3942E4B}">
                          <a14:imgProps xmlns:a14="http://schemas.microsoft.com/office/drawing/2010/main">
                            <a14:imgLayer r:embed="rId2">
                              <a14:imgEffect>
                                <a14:sharpenSoften amount="50000"/>
                              </a14:imgEffect>
                            </a14:imgLayer>
                          </a14:imgProps>
                        </a:ext>
                      </a:extLst>
                    </a:blip>
                    <a:stretch>
                      <a:fillRect/>
                    </a:stretch>
                  </pic:blipFill>
                  <pic:spPr>
                    <a:xfrm>
                      <a:off x="0" y="0"/>
                      <a:ext cx="2731155" cy="1748698"/>
                    </a:xfrm>
                    <a:prstGeom prst="rect">
                      <a:avLst/>
                    </a:prstGeom>
                  </pic:spPr>
                </pic:pic>
              </a:graphicData>
            </a:graphic>
          </wp:inline>
        </w:drawing>
      </w:r>
    </w:p>
  </w:footnote>
  <w:footnote w:id="7">
    <w:p w:rsidR="00B56A57" w:rsidRPr="005E2AA3" w:rsidRDefault="00B56A57">
      <w:pPr>
        <w:pStyle w:val="FootnoteText"/>
      </w:pPr>
      <w:r w:rsidRPr="005E2AA3">
        <w:rPr>
          <w:rStyle w:val="FootnoteReference"/>
        </w:rPr>
        <w:footnoteRef/>
      </w:r>
      <w:r w:rsidRPr="005E2AA3">
        <w:rPr>
          <w:lang w:val="en"/>
        </w:rPr>
        <w:t xml:space="preserve">In </w:t>
      </w:r>
      <w:hyperlink r:id="rId3" w:tooltip="Cardiology" w:history="1">
        <w:r w:rsidRPr="005E2AA3">
          <w:rPr>
            <w:rStyle w:val="Hyperlink"/>
            <w:color w:val="auto"/>
            <w:u w:val="none"/>
            <w:lang w:val="en"/>
          </w:rPr>
          <w:t>cardiology</w:t>
        </w:r>
      </w:hyperlink>
      <w:r w:rsidRPr="005E2AA3">
        <w:rPr>
          <w:lang w:val="en"/>
        </w:rPr>
        <w:t xml:space="preserve">, the </w:t>
      </w:r>
      <w:r w:rsidRPr="005E2AA3">
        <w:rPr>
          <w:bCs/>
          <w:lang w:val="en"/>
        </w:rPr>
        <w:t>QT interval</w:t>
      </w:r>
      <w:r w:rsidRPr="005E2AA3">
        <w:rPr>
          <w:lang w:val="en"/>
        </w:rPr>
        <w:t xml:space="preserve"> is a measure of the time between the start of the </w:t>
      </w:r>
      <w:r w:rsidRPr="005E2AA3">
        <w:rPr>
          <w:bCs/>
          <w:lang w:val="en"/>
        </w:rPr>
        <w:t>Q wave</w:t>
      </w:r>
      <w:r w:rsidRPr="005E2AA3">
        <w:rPr>
          <w:lang w:val="en"/>
        </w:rPr>
        <w:t xml:space="preserve"> and the end of the </w:t>
      </w:r>
      <w:r w:rsidRPr="005E2AA3">
        <w:rPr>
          <w:bCs/>
          <w:lang w:val="en"/>
        </w:rPr>
        <w:t>T wave</w:t>
      </w:r>
      <w:r w:rsidRPr="005E2AA3">
        <w:rPr>
          <w:lang w:val="en"/>
        </w:rPr>
        <w:t xml:space="preserve"> in the heart's </w:t>
      </w:r>
      <w:hyperlink r:id="rId4" w:tooltip="Electrical conduction system of the heart" w:history="1">
        <w:r w:rsidRPr="005E2AA3">
          <w:rPr>
            <w:rStyle w:val="Hyperlink"/>
            <w:color w:val="auto"/>
            <w:u w:val="none"/>
            <w:lang w:val="en"/>
          </w:rPr>
          <w:t>electrical cycle</w:t>
        </w:r>
      </w:hyperlink>
      <w:r w:rsidRPr="005E2AA3">
        <w:rPr>
          <w:lang w:val="en"/>
        </w:rPr>
        <w:t xml:space="preserve">. The QT interval represents electrical </w:t>
      </w:r>
      <w:hyperlink r:id="rId5" w:anchor="Conduction_pathway" w:tooltip="Electrical conduction system of the heart" w:history="1">
        <w:proofErr w:type="spellStart"/>
        <w:r w:rsidRPr="005E2AA3">
          <w:rPr>
            <w:rStyle w:val="Hyperlink"/>
            <w:color w:val="auto"/>
            <w:u w:val="none"/>
            <w:lang w:val="en"/>
          </w:rPr>
          <w:t>depolarisation</w:t>
        </w:r>
        <w:proofErr w:type="spellEnd"/>
        <w:r w:rsidRPr="005E2AA3">
          <w:rPr>
            <w:rStyle w:val="Hyperlink"/>
            <w:color w:val="auto"/>
            <w:u w:val="none"/>
            <w:lang w:val="en"/>
          </w:rPr>
          <w:t xml:space="preserve"> and </w:t>
        </w:r>
        <w:proofErr w:type="spellStart"/>
        <w:r w:rsidRPr="005E2AA3">
          <w:rPr>
            <w:rStyle w:val="Hyperlink"/>
            <w:color w:val="auto"/>
            <w:u w:val="none"/>
            <w:lang w:val="en"/>
          </w:rPr>
          <w:t>repolarisation</w:t>
        </w:r>
        <w:proofErr w:type="spellEnd"/>
        <w:r w:rsidRPr="005E2AA3">
          <w:rPr>
            <w:rStyle w:val="Hyperlink"/>
            <w:color w:val="auto"/>
            <w:u w:val="none"/>
            <w:lang w:val="en"/>
          </w:rPr>
          <w:t xml:space="preserve"> of the ventricles</w:t>
        </w:r>
      </w:hyperlink>
      <w:r w:rsidRPr="005E2AA3">
        <w:rPr>
          <w:lang w:val="en"/>
        </w:rPr>
        <w:t xml:space="preserve">. A lengthened QT interval is a marker for the potential of ventricular </w:t>
      </w:r>
      <w:proofErr w:type="spellStart"/>
      <w:r w:rsidRPr="005E2AA3">
        <w:rPr>
          <w:lang w:val="en"/>
        </w:rPr>
        <w:t>tachyarrhythmias</w:t>
      </w:r>
      <w:proofErr w:type="spellEnd"/>
      <w:r w:rsidRPr="005E2AA3">
        <w:rPr>
          <w:lang w:val="en"/>
        </w:rPr>
        <w:t xml:space="preserve"> like </w:t>
      </w:r>
      <w:hyperlink r:id="rId6" w:tooltip="Torsades de pointes" w:history="1">
        <w:proofErr w:type="spellStart"/>
        <w:r w:rsidRPr="005E2AA3">
          <w:rPr>
            <w:rStyle w:val="Hyperlink"/>
            <w:color w:val="auto"/>
            <w:u w:val="none"/>
            <w:lang w:val="en"/>
          </w:rPr>
          <w:t>torsades</w:t>
        </w:r>
        <w:proofErr w:type="spellEnd"/>
        <w:r w:rsidRPr="005E2AA3">
          <w:rPr>
            <w:rStyle w:val="Hyperlink"/>
            <w:color w:val="auto"/>
            <w:u w:val="none"/>
            <w:lang w:val="en"/>
          </w:rPr>
          <w:t xml:space="preserve"> de pointes</w:t>
        </w:r>
      </w:hyperlink>
      <w:r w:rsidRPr="005E2AA3">
        <w:rPr>
          <w:lang w:val="en"/>
        </w:rPr>
        <w:t xml:space="preserve"> and a risk factor for sudden death.</w:t>
      </w:r>
      <w:r>
        <w:rPr>
          <w:lang w:val="en"/>
        </w:rPr>
        <w:t xml:space="preserve"> The QT interval is dependent </w:t>
      </w:r>
      <w:r w:rsidRPr="005E2AA3">
        <w:rPr>
          <w:lang w:val="en"/>
        </w:rPr>
        <w:t xml:space="preserve">on the </w:t>
      </w:r>
      <w:hyperlink r:id="rId7" w:tooltip="Heart rate" w:history="1">
        <w:r w:rsidRPr="005E2AA3">
          <w:rPr>
            <w:rStyle w:val="Hyperlink"/>
            <w:color w:val="auto"/>
            <w:u w:val="none"/>
            <w:lang w:val="en"/>
          </w:rPr>
          <w:t>heart rate</w:t>
        </w:r>
      </w:hyperlink>
      <w:r w:rsidRPr="005E2AA3">
        <w:rPr>
          <w:lang w:val="en"/>
        </w:rPr>
        <w:t xml:space="preserve"> (the </w:t>
      </w:r>
      <w:r>
        <w:rPr>
          <w:lang w:val="en"/>
        </w:rPr>
        <w:t>faster the heart rate the shorter the R-R Interval and QT interval) and may be adjusted (</w:t>
      </w:r>
      <w:proofErr w:type="spellStart"/>
      <w:r>
        <w:rPr>
          <w:lang w:val="en"/>
        </w:rPr>
        <w:t>QTcF</w:t>
      </w:r>
      <w:proofErr w:type="spellEnd"/>
      <w:r>
        <w:rPr>
          <w:lang w:val="en"/>
        </w:rPr>
        <w:t>) to improve the detection of patients at increased risk of ventricular arrhythmia.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pPr>
      <w:rPr>
        <w:noProof/>
        <w:lang w:eastAsia="en-AU"/>
      </w:rPr>
    </w:pPr>
    <w:r w:rsidRPr="00347824">
      <w:rPr>
        <w:noProof/>
        <w:lang w:eastAsia="en-AU"/>
      </w:rPr>
      <w:drawing>
        <wp:anchor distT="0" distB="0" distL="114300" distR="114300" simplePos="0" relativeHeight="251659264" behindDoc="1" locked="0" layoutInCell="1" allowOverlap="1" wp14:anchorId="5FC3ECD0" wp14:editId="7A60CDB0">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B56A57" w:rsidRDefault="00B56A57" w:rsidP="00593AD1">
    <w:pPr>
      <w:pStyle w:val="HeaderNoLine"/>
    </w:pPr>
    <w:r>
      <w:rPr>
        <w:noProof/>
        <w:lang w:eastAsia="en-AU"/>
      </w:rPr>
      <w:drawing>
        <wp:inline distT="0" distB="0" distL="0" distR="0" wp14:anchorId="6EBFC8E1" wp14:editId="4E8A47D0">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A57" w:rsidRDefault="00B56A57" w:rsidP="006E08B3">
    <w:r>
      <w:t>Therapeutic Goods Administration</w:t>
    </w:r>
  </w:p>
  <w:p w:rsidR="00B56A57" w:rsidRDefault="00B56A57"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9B249F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D8A4DF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1D86E48"/>
    <w:lvl w:ilvl="0">
      <w:start w:val="1"/>
      <w:numFmt w:val="decimal"/>
      <w:pStyle w:val="ListNumber3"/>
      <w:lvlText w:val="%1."/>
      <w:lvlJc w:val="left"/>
      <w:pPr>
        <w:tabs>
          <w:tab w:val="num" w:pos="926"/>
        </w:tabs>
        <w:ind w:left="926" w:hanging="360"/>
      </w:pPr>
    </w:lvl>
  </w:abstractNum>
  <w:abstractNum w:abstractNumId="3">
    <w:nsid w:val="FFFFFF7F"/>
    <w:multiLevelType w:val="singleLevel"/>
    <w:tmpl w:val="A68CBAAC"/>
    <w:lvl w:ilvl="0">
      <w:start w:val="1"/>
      <w:numFmt w:val="decimal"/>
      <w:pStyle w:val="ListNumber2"/>
      <w:lvlText w:val="%1."/>
      <w:lvlJc w:val="left"/>
      <w:pPr>
        <w:tabs>
          <w:tab w:val="num" w:pos="643"/>
        </w:tabs>
        <w:ind w:left="643" w:hanging="360"/>
      </w:pPr>
    </w:lvl>
  </w:abstractNum>
  <w:abstractNum w:abstractNumId="4">
    <w:nsid w:val="FFFFFF80"/>
    <w:multiLevelType w:val="singleLevel"/>
    <w:tmpl w:val="5EB6FC7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13A9A7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8"/>
    <w:multiLevelType w:val="singleLevel"/>
    <w:tmpl w:val="4D5C12CC"/>
    <w:lvl w:ilvl="0">
      <w:start w:val="1"/>
      <w:numFmt w:val="decimal"/>
      <w:pStyle w:val="ListNumber"/>
      <w:lvlText w:val="%1."/>
      <w:lvlJc w:val="left"/>
      <w:pPr>
        <w:tabs>
          <w:tab w:val="num" w:pos="360"/>
        </w:tabs>
        <w:ind w:left="360" w:hanging="360"/>
      </w:pPr>
    </w:lvl>
  </w:abstractNum>
  <w:abstractNum w:abstractNumId="7">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2BCF57AC"/>
    <w:multiLevelType w:val="hybridMultilevel"/>
    <w:tmpl w:val="4FA6E7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0">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1">
    <w:nsid w:val="33B2668A"/>
    <w:multiLevelType w:val="hybridMultilevel"/>
    <w:tmpl w:val="823221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3">
    <w:nsid w:val="4BE67E9C"/>
    <w:multiLevelType w:val="hybridMultilevel"/>
    <w:tmpl w:val="56D45E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620F1A83"/>
    <w:multiLevelType w:val="hybridMultilevel"/>
    <w:tmpl w:val="8160B402"/>
    <w:lvl w:ilvl="0" w:tplc="43F2302A">
      <w:start w:val="1"/>
      <w:numFmt w:val="bullet"/>
      <w:lvlText w:val=""/>
      <w:lvlJc w:val="left"/>
      <w:pPr>
        <w:ind w:left="862" w:hanging="360"/>
      </w:pPr>
      <w:rPr>
        <w:rFonts w:ascii="Symbol" w:hAnsi="Symbol" w:hint="default"/>
        <w:color w:val="auto"/>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num w:numId="1">
    <w:abstractNumId w:val="8"/>
  </w:num>
  <w:num w:numId="2">
    <w:abstractNumId w:val="7"/>
  </w:num>
  <w:num w:numId="3">
    <w:abstractNumId w:val="8"/>
  </w:num>
  <w:num w:numId="4">
    <w:abstractNumId w:val="7"/>
  </w:num>
  <w:num w:numId="5">
    <w:abstractNumId w:val="10"/>
  </w:num>
  <w:num w:numId="6">
    <w:abstractNumId w:val="12"/>
  </w:num>
  <w:num w:numId="7">
    <w:abstractNumId w:val="13"/>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4"/>
  </w:num>
  <w:num w:numId="22">
    <w:abstractNumId w:val="6"/>
  </w:num>
  <w:num w:numId="23">
    <w:abstractNumId w:val="3"/>
  </w:num>
  <w:num w:numId="24">
    <w:abstractNumId w:val="2"/>
  </w:num>
  <w:num w:numId="25">
    <w:abstractNumId w:val="1"/>
  </w:num>
  <w:num w:numId="26">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0BC2"/>
    <w:rsid w:val="00002031"/>
    <w:rsid w:val="00004734"/>
    <w:rsid w:val="00006B22"/>
    <w:rsid w:val="0001276A"/>
    <w:rsid w:val="000246AE"/>
    <w:rsid w:val="00025C67"/>
    <w:rsid w:val="00044772"/>
    <w:rsid w:val="0005060C"/>
    <w:rsid w:val="0005559E"/>
    <w:rsid w:val="000604D6"/>
    <w:rsid w:val="000734D8"/>
    <w:rsid w:val="00077775"/>
    <w:rsid w:val="00090471"/>
    <w:rsid w:val="00096AA7"/>
    <w:rsid w:val="000A3AED"/>
    <w:rsid w:val="000A631D"/>
    <w:rsid w:val="000B3532"/>
    <w:rsid w:val="000B3A75"/>
    <w:rsid w:val="000C00C2"/>
    <w:rsid w:val="000C690F"/>
    <w:rsid w:val="000D1295"/>
    <w:rsid w:val="000D1A06"/>
    <w:rsid w:val="000D391B"/>
    <w:rsid w:val="000D3D6D"/>
    <w:rsid w:val="000D4FC7"/>
    <w:rsid w:val="000E6196"/>
    <w:rsid w:val="000F4869"/>
    <w:rsid w:val="000F5B42"/>
    <w:rsid w:val="000F6E6F"/>
    <w:rsid w:val="0010601F"/>
    <w:rsid w:val="0010788A"/>
    <w:rsid w:val="00107A31"/>
    <w:rsid w:val="00110EA5"/>
    <w:rsid w:val="00112F56"/>
    <w:rsid w:val="00125318"/>
    <w:rsid w:val="00127BB7"/>
    <w:rsid w:val="001305A2"/>
    <w:rsid w:val="00133238"/>
    <w:rsid w:val="00133A1B"/>
    <w:rsid w:val="0014197B"/>
    <w:rsid w:val="001447CD"/>
    <w:rsid w:val="001516B1"/>
    <w:rsid w:val="00154EBB"/>
    <w:rsid w:val="00156316"/>
    <w:rsid w:val="00161181"/>
    <w:rsid w:val="00162D14"/>
    <w:rsid w:val="00165389"/>
    <w:rsid w:val="0017693F"/>
    <w:rsid w:val="0018110E"/>
    <w:rsid w:val="00181684"/>
    <w:rsid w:val="001843C6"/>
    <w:rsid w:val="001850E0"/>
    <w:rsid w:val="00191BC5"/>
    <w:rsid w:val="001A2158"/>
    <w:rsid w:val="001A525F"/>
    <w:rsid w:val="001B09F9"/>
    <w:rsid w:val="001B5C90"/>
    <w:rsid w:val="001B6448"/>
    <w:rsid w:val="001C0E5A"/>
    <w:rsid w:val="001C32CD"/>
    <w:rsid w:val="001D2984"/>
    <w:rsid w:val="001D53AB"/>
    <w:rsid w:val="001E07CF"/>
    <w:rsid w:val="001E59F1"/>
    <w:rsid w:val="001F2CEE"/>
    <w:rsid w:val="001F49EB"/>
    <w:rsid w:val="001F6CBA"/>
    <w:rsid w:val="00201D4E"/>
    <w:rsid w:val="002076C9"/>
    <w:rsid w:val="00216F4E"/>
    <w:rsid w:val="00220B8A"/>
    <w:rsid w:val="002257F3"/>
    <w:rsid w:val="00233456"/>
    <w:rsid w:val="002339A5"/>
    <w:rsid w:val="00257848"/>
    <w:rsid w:val="0027084A"/>
    <w:rsid w:val="00286434"/>
    <w:rsid w:val="00286C59"/>
    <w:rsid w:val="002909C9"/>
    <w:rsid w:val="00291957"/>
    <w:rsid w:val="002942D1"/>
    <w:rsid w:val="0029501A"/>
    <w:rsid w:val="002A3721"/>
    <w:rsid w:val="002B1638"/>
    <w:rsid w:val="002B3624"/>
    <w:rsid w:val="002D0952"/>
    <w:rsid w:val="002E40B3"/>
    <w:rsid w:val="002E4C9A"/>
    <w:rsid w:val="002F11F8"/>
    <w:rsid w:val="002F3F56"/>
    <w:rsid w:val="002F44B5"/>
    <w:rsid w:val="00311AC0"/>
    <w:rsid w:val="0032583B"/>
    <w:rsid w:val="00327883"/>
    <w:rsid w:val="00335504"/>
    <w:rsid w:val="00335B49"/>
    <w:rsid w:val="003365C8"/>
    <w:rsid w:val="00340C18"/>
    <w:rsid w:val="00341F20"/>
    <w:rsid w:val="003442FD"/>
    <w:rsid w:val="00347824"/>
    <w:rsid w:val="00350567"/>
    <w:rsid w:val="003521E8"/>
    <w:rsid w:val="00370CE3"/>
    <w:rsid w:val="003728F3"/>
    <w:rsid w:val="0037496E"/>
    <w:rsid w:val="00383221"/>
    <w:rsid w:val="00386150"/>
    <w:rsid w:val="003874CE"/>
    <w:rsid w:val="00390900"/>
    <w:rsid w:val="00392541"/>
    <w:rsid w:val="003A7F6C"/>
    <w:rsid w:val="003B4D60"/>
    <w:rsid w:val="003B7E39"/>
    <w:rsid w:val="003C58DC"/>
    <w:rsid w:val="003D1E62"/>
    <w:rsid w:val="003E0B99"/>
    <w:rsid w:val="003E2486"/>
    <w:rsid w:val="003E3208"/>
    <w:rsid w:val="003F0B04"/>
    <w:rsid w:val="003F103E"/>
    <w:rsid w:val="003F6741"/>
    <w:rsid w:val="0040134E"/>
    <w:rsid w:val="004334C7"/>
    <w:rsid w:val="00440A2D"/>
    <w:rsid w:val="00441C3F"/>
    <w:rsid w:val="00443267"/>
    <w:rsid w:val="0045520D"/>
    <w:rsid w:val="004564A7"/>
    <w:rsid w:val="004617BF"/>
    <w:rsid w:val="00463658"/>
    <w:rsid w:val="004637A0"/>
    <w:rsid w:val="004722CC"/>
    <w:rsid w:val="00477752"/>
    <w:rsid w:val="0048323F"/>
    <w:rsid w:val="004936E4"/>
    <w:rsid w:val="00494687"/>
    <w:rsid w:val="00494E60"/>
    <w:rsid w:val="00497487"/>
    <w:rsid w:val="004A6189"/>
    <w:rsid w:val="004A7390"/>
    <w:rsid w:val="004B7B76"/>
    <w:rsid w:val="004C239D"/>
    <w:rsid w:val="004C2DCA"/>
    <w:rsid w:val="004C521B"/>
    <w:rsid w:val="004C61D2"/>
    <w:rsid w:val="004D6FEB"/>
    <w:rsid w:val="004F0C4A"/>
    <w:rsid w:val="004F0F38"/>
    <w:rsid w:val="004F47D6"/>
    <w:rsid w:val="00501921"/>
    <w:rsid w:val="00526656"/>
    <w:rsid w:val="00530354"/>
    <w:rsid w:val="00534ECE"/>
    <w:rsid w:val="0053625B"/>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C5570"/>
    <w:rsid w:val="005C79A4"/>
    <w:rsid w:val="005D5442"/>
    <w:rsid w:val="005E2AA3"/>
    <w:rsid w:val="005F1809"/>
    <w:rsid w:val="00603F32"/>
    <w:rsid w:val="00605AD4"/>
    <w:rsid w:val="00625A6E"/>
    <w:rsid w:val="00632398"/>
    <w:rsid w:val="00635832"/>
    <w:rsid w:val="00640CC3"/>
    <w:rsid w:val="00640FC3"/>
    <w:rsid w:val="00642020"/>
    <w:rsid w:val="00643B32"/>
    <w:rsid w:val="0065337B"/>
    <w:rsid w:val="0065419D"/>
    <w:rsid w:val="006604D8"/>
    <w:rsid w:val="00660BC2"/>
    <w:rsid w:val="00664A5B"/>
    <w:rsid w:val="0066735C"/>
    <w:rsid w:val="006763D2"/>
    <w:rsid w:val="00680C08"/>
    <w:rsid w:val="006916A0"/>
    <w:rsid w:val="006931B1"/>
    <w:rsid w:val="006A15C0"/>
    <w:rsid w:val="006C3E2A"/>
    <w:rsid w:val="006C642F"/>
    <w:rsid w:val="006D03E5"/>
    <w:rsid w:val="006D5D3E"/>
    <w:rsid w:val="006E08B3"/>
    <w:rsid w:val="006E11FD"/>
    <w:rsid w:val="006E3D5C"/>
    <w:rsid w:val="006F17AC"/>
    <w:rsid w:val="006F25B8"/>
    <w:rsid w:val="006F572E"/>
    <w:rsid w:val="007046D6"/>
    <w:rsid w:val="00705DB0"/>
    <w:rsid w:val="00705FDE"/>
    <w:rsid w:val="00722B57"/>
    <w:rsid w:val="00730F8A"/>
    <w:rsid w:val="00735A8C"/>
    <w:rsid w:val="0074253D"/>
    <w:rsid w:val="0074429B"/>
    <w:rsid w:val="007577CC"/>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B6132"/>
    <w:rsid w:val="007B6E9F"/>
    <w:rsid w:val="007C1216"/>
    <w:rsid w:val="007C1AF7"/>
    <w:rsid w:val="007C69F4"/>
    <w:rsid w:val="007C6B9B"/>
    <w:rsid w:val="00805D27"/>
    <w:rsid w:val="00806DCB"/>
    <w:rsid w:val="00821776"/>
    <w:rsid w:val="008321F5"/>
    <w:rsid w:val="00832369"/>
    <w:rsid w:val="00834660"/>
    <w:rsid w:val="00836BC2"/>
    <w:rsid w:val="0085156D"/>
    <w:rsid w:val="0085641B"/>
    <w:rsid w:val="00857136"/>
    <w:rsid w:val="00863596"/>
    <w:rsid w:val="00870214"/>
    <w:rsid w:val="0088436A"/>
    <w:rsid w:val="00885B11"/>
    <w:rsid w:val="00886D15"/>
    <w:rsid w:val="00887DD8"/>
    <w:rsid w:val="00891BA9"/>
    <w:rsid w:val="00896018"/>
    <w:rsid w:val="008960DD"/>
    <w:rsid w:val="0089635C"/>
    <w:rsid w:val="008A2B9D"/>
    <w:rsid w:val="008A3D9F"/>
    <w:rsid w:val="008A5E0B"/>
    <w:rsid w:val="008A6D59"/>
    <w:rsid w:val="008B4B03"/>
    <w:rsid w:val="008B596F"/>
    <w:rsid w:val="008B7E46"/>
    <w:rsid w:val="008C159F"/>
    <w:rsid w:val="008C1623"/>
    <w:rsid w:val="008C1850"/>
    <w:rsid w:val="008C51A9"/>
    <w:rsid w:val="008C5E81"/>
    <w:rsid w:val="008E7846"/>
    <w:rsid w:val="008F02E5"/>
    <w:rsid w:val="008F1CCC"/>
    <w:rsid w:val="008F2967"/>
    <w:rsid w:val="008F6943"/>
    <w:rsid w:val="00902A21"/>
    <w:rsid w:val="00920330"/>
    <w:rsid w:val="009219D7"/>
    <w:rsid w:val="00922D53"/>
    <w:rsid w:val="00923B70"/>
    <w:rsid w:val="00924482"/>
    <w:rsid w:val="00930237"/>
    <w:rsid w:val="0093190D"/>
    <w:rsid w:val="00937C17"/>
    <w:rsid w:val="00940A89"/>
    <w:rsid w:val="00943BA9"/>
    <w:rsid w:val="00946EA5"/>
    <w:rsid w:val="00963C08"/>
    <w:rsid w:val="009647F9"/>
    <w:rsid w:val="009752A5"/>
    <w:rsid w:val="009801DD"/>
    <w:rsid w:val="0098585A"/>
    <w:rsid w:val="009972EC"/>
    <w:rsid w:val="009A4CED"/>
    <w:rsid w:val="009A690D"/>
    <w:rsid w:val="009B1D12"/>
    <w:rsid w:val="009B416B"/>
    <w:rsid w:val="009C4BD5"/>
    <w:rsid w:val="009D7B77"/>
    <w:rsid w:val="009E0BB0"/>
    <w:rsid w:val="009E3FBB"/>
    <w:rsid w:val="009F0649"/>
    <w:rsid w:val="009F7353"/>
    <w:rsid w:val="00A04F85"/>
    <w:rsid w:val="00A05FA4"/>
    <w:rsid w:val="00A102E4"/>
    <w:rsid w:val="00A12C42"/>
    <w:rsid w:val="00A14DF7"/>
    <w:rsid w:val="00A25040"/>
    <w:rsid w:val="00A3246D"/>
    <w:rsid w:val="00A36FA7"/>
    <w:rsid w:val="00A44DDB"/>
    <w:rsid w:val="00A475B7"/>
    <w:rsid w:val="00A47AF7"/>
    <w:rsid w:val="00A47C3E"/>
    <w:rsid w:val="00A50226"/>
    <w:rsid w:val="00A60BAD"/>
    <w:rsid w:val="00A80B5B"/>
    <w:rsid w:val="00A84E36"/>
    <w:rsid w:val="00A86F5A"/>
    <w:rsid w:val="00A964D1"/>
    <w:rsid w:val="00AA0ED0"/>
    <w:rsid w:val="00AA55A3"/>
    <w:rsid w:val="00AC2B40"/>
    <w:rsid w:val="00AC2BB2"/>
    <w:rsid w:val="00AC2C3C"/>
    <w:rsid w:val="00AC512D"/>
    <w:rsid w:val="00AD0083"/>
    <w:rsid w:val="00AD3935"/>
    <w:rsid w:val="00AE65EB"/>
    <w:rsid w:val="00AE67A7"/>
    <w:rsid w:val="00AF1D94"/>
    <w:rsid w:val="00AF60C5"/>
    <w:rsid w:val="00B009C6"/>
    <w:rsid w:val="00B01548"/>
    <w:rsid w:val="00B12A95"/>
    <w:rsid w:val="00B13EBD"/>
    <w:rsid w:val="00B21D29"/>
    <w:rsid w:val="00B25034"/>
    <w:rsid w:val="00B33588"/>
    <w:rsid w:val="00B33863"/>
    <w:rsid w:val="00B37D17"/>
    <w:rsid w:val="00B4175E"/>
    <w:rsid w:val="00B452CE"/>
    <w:rsid w:val="00B54C25"/>
    <w:rsid w:val="00B56A57"/>
    <w:rsid w:val="00B76B91"/>
    <w:rsid w:val="00B77E77"/>
    <w:rsid w:val="00B77EB1"/>
    <w:rsid w:val="00B811C6"/>
    <w:rsid w:val="00B83571"/>
    <w:rsid w:val="00B855B0"/>
    <w:rsid w:val="00B92E08"/>
    <w:rsid w:val="00BC622A"/>
    <w:rsid w:val="00BE0A78"/>
    <w:rsid w:val="00BE79F0"/>
    <w:rsid w:val="00BF046D"/>
    <w:rsid w:val="00BF1190"/>
    <w:rsid w:val="00BF5D04"/>
    <w:rsid w:val="00C009AA"/>
    <w:rsid w:val="00C1164D"/>
    <w:rsid w:val="00C16861"/>
    <w:rsid w:val="00C346AB"/>
    <w:rsid w:val="00C404A6"/>
    <w:rsid w:val="00C40A36"/>
    <w:rsid w:val="00C44419"/>
    <w:rsid w:val="00C45E7B"/>
    <w:rsid w:val="00C471B1"/>
    <w:rsid w:val="00C53C4C"/>
    <w:rsid w:val="00C6316B"/>
    <w:rsid w:val="00C634A9"/>
    <w:rsid w:val="00C64586"/>
    <w:rsid w:val="00C70D53"/>
    <w:rsid w:val="00C710F2"/>
    <w:rsid w:val="00C73D0B"/>
    <w:rsid w:val="00C772FF"/>
    <w:rsid w:val="00C80137"/>
    <w:rsid w:val="00C801AF"/>
    <w:rsid w:val="00C80256"/>
    <w:rsid w:val="00C839C5"/>
    <w:rsid w:val="00C94CD4"/>
    <w:rsid w:val="00C9747E"/>
    <w:rsid w:val="00CB6BC0"/>
    <w:rsid w:val="00CC1B7C"/>
    <w:rsid w:val="00CC35F6"/>
    <w:rsid w:val="00CC727F"/>
    <w:rsid w:val="00CE1F05"/>
    <w:rsid w:val="00CF15C3"/>
    <w:rsid w:val="00CF2B6F"/>
    <w:rsid w:val="00CF2F3E"/>
    <w:rsid w:val="00CF58B6"/>
    <w:rsid w:val="00D0062D"/>
    <w:rsid w:val="00D017ED"/>
    <w:rsid w:val="00D040D3"/>
    <w:rsid w:val="00D04C65"/>
    <w:rsid w:val="00D10CCF"/>
    <w:rsid w:val="00D10D71"/>
    <w:rsid w:val="00D201D2"/>
    <w:rsid w:val="00D223A0"/>
    <w:rsid w:val="00D224FE"/>
    <w:rsid w:val="00D23139"/>
    <w:rsid w:val="00D23866"/>
    <w:rsid w:val="00D425BB"/>
    <w:rsid w:val="00D6493E"/>
    <w:rsid w:val="00D7195D"/>
    <w:rsid w:val="00D7301E"/>
    <w:rsid w:val="00D83AE1"/>
    <w:rsid w:val="00D855D4"/>
    <w:rsid w:val="00D902C9"/>
    <w:rsid w:val="00D93466"/>
    <w:rsid w:val="00DA1124"/>
    <w:rsid w:val="00DB41B3"/>
    <w:rsid w:val="00DB6124"/>
    <w:rsid w:val="00DB750B"/>
    <w:rsid w:val="00DB75B7"/>
    <w:rsid w:val="00DC6E02"/>
    <w:rsid w:val="00DD28CD"/>
    <w:rsid w:val="00DE02AE"/>
    <w:rsid w:val="00DF1D7F"/>
    <w:rsid w:val="00DF49F5"/>
    <w:rsid w:val="00DF4BE4"/>
    <w:rsid w:val="00E02FB4"/>
    <w:rsid w:val="00E13FC7"/>
    <w:rsid w:val="00E20571"/>
    <w:rsid w:val="00E235F7"/>
    <w:rsid w:val="00E23659"/>
    <w:rsid w:val="00E239D4"/>
    <w:rsid w:val="00E26130"/>
    <w:rsid w:val="00E40B22"/>
    <w:rsid w:val="00E44ED1"/>
    <w:rsid w:val="00E45619"/>
    <w:rsid w:val="00E4588F"/>
    <w:rsid w:val="00E46DA3"/>
    <w:rsid w:val="00E51BB1"/>
    <w:rsid w:val="00E624A5"/>
    <w:rsid w:val="00E64BA4"/>
    <w:rsid w:val="00E7344E"/>
    <w:rsid w:val="00E82665"/>
    <w:rsid w:val="00EB0798"/>
    <w:rsid w:val="00EB40AD"/>
    <w:rsid w:val="00EB586E"/>
    <w:rsid w:val="00EB5FC8"/>
    <w:rsid w:val="00EC463D"/>
    <w:rsid w:val="00EC7A85"/>
    <w:rsid w:val="00ED2922"/>
    <w:rsid w:val="00ED3CAD"/>
    <w:rsid w:val="00ED5A41"/>
    <w:rsid w:val="00EE1DE8"/>
    <w:rsid w:val="00EE27C2"/>
    <w:rsid w:val="00EF3192"/>
    <w:rsid w:val="00EF4BAD"/>
    <w:rsid w:val="00F033EC"/>
    <w:rsid w:val="00F04F68"/>
    <w:rsid w:val="00F12670"/>
    <w:rsid w:val="00F14B27"/>
    <w:rsid w:val="00F2095B"/>
    <w:rsid w:val="00F26F05"/>
    <w:rsid w:val="00F3148D"/>
    <w:rsid w:val="00F325C5"/>
    <w:rsid w:val="00F32FE0"/>
    <w:rsid w:val="00F35298"/>
    <w:rsid w:val="00F467F5"/>
    <w:rsid w:val="00F47333"/>
    <w:rsid w:val="00F47E37"/>
    <w:rsid w:val="00F50157"/>
    <w:rsid w:val="00F5048C"/>
    <w:rsid w:val="00F53C07"/>
    <w:rsid w:val="00F54B65"/>
    <w:rsid w:val="00F640B6"/>
    <w:rsid w:val="00F653F4"/>
    <w:rsid w:val="00F66DF2"/>
    <w:rsid w:val="00F80E40"/>
    <w:rsid w:val="00F848D9"/>
    <w:rsid w:val="00FA5B82"/>
    <w:rsid w:val="00FA639E"/>
    <w:rsid w:val="00FC1FCA"/>
    <w:rsid w:val="00FC25E4"/>
    <w:rsid w:val="00FC4EF7"/>
    <w:rsid w:val="00FD0824"/>
    <w:rsid w:val="00FD119B"/>
    <w:rsid w:val="00FD1EDC"/>
    <w:rsid w:val="00FD2193"/>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E3D5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7C69F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72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semiHidden/>
    <w:unhideWhenUsed/>
    <w:rsid w:val="00EC463D"/>
    <w:pPr>
      <w:spacing w:line="240" w:lineRule="auto"/>
    </w:pPr>
    <w:rPr>
      <w:sz w:val="20"/>
      <w:szCs w:val="20"/>
    </w:rPr>
  </w:style>
  <w:style w:type="character" w:customStyle="1" w:styleId="CommentTextChar">
    <w:name w:val="Comment Text Char"/>
    <w:basedOn w:val="DefaultParagraphFont"/>
    <w:link w:val="CommentText"/>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basedOn w:val="DefaultParagraphFont"/>
    <w:link w:val="Standard1"/>
    <w:locked/>
    <w:rsid w:val="00660BC2"/>
    <w:rPr>
      <w:rFonts w:ascii="Cambria" w:eastAsia="Times New Roman" w:hAnsi="Cambria" w:cs="Times New Roman"/>
      <w:kern w:val="16"/>
      <w:szCs w:val="24"/>
    </w:rPr>
  </w:style>
  <w:style w:type="paragraph" w:customStyle="1" w:styleId="Standard1">
    <w:name w:val="Standard1"/>
    <w:basedOn w:val="Normal"/>
    <w:link w:val="StandardChar"/>
    <w:rsid w:val="00660BC2"/>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1"/>
    <w:rsid w:val="00660BC2"/>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1"/>
    <w:next w:val="Standard1"/>
    <w:rsid w:val="00660BC2"/>
    <w:pPr>
      <w:keepNext/>
      <w:spacing w:after="110"/>
      <w:outlineLvl w:val="2"/>
    </w:pPr>
    <w:rPr>
      <w:b/>
      <w:i/>
    </w:rPr>
  </w:style>
  <w:style w:type="paragraph" w:customStyle="1" w:styleId="AssessmentSubsection2">
    <w:name w:val="Assessment Subsection 2"/>
    <w:basedOn w:val="AssessmentSubsection"/>
    <w:next w:val="Standard1"/>
    <w:rsid w:val="00660BC2"/>
    <w:pPr>
      <w:outlineLvl w:val="3"/>
    </w:pPr>
    <w:rPr>
      <w:b w:val="0"/>
    </w:rPr>
  </w:style>
  <w:style w:type="paragraph" w:customStyle="1" w:styleId="Bullet1">
    <w:name w:val="Bullet 1"/>
    <w:basedOn w:val="Normal"/>
    <w:rsid w:val="00660BC2"/>
    <w:pPr>
      <w:numPr>
        <w:numId w:val="5"/>
      </w:numPr>
      <w:spacing w:after="0" w:line="240" w:lineRule="auto"/>
    </w:pPr>
    <w:rPr>
      <w:rFonts w:eastAsia="Times New Roman"/>
      <w:kern w:val="24"/>
      <w:szCs w:val="24"/>
      <w:lang w:eastAsia="en-AU"/>
    </w:rPr>
  </w:style>
  <w:style w:type="paragraph" w:customStyle="1" w:styleId="Bullet2">
    <w:name w:val="Bullet 2"/>
    <w:basedOn w:val="Bullet1"/>
    <w:rsid w:val="00660BC2"/>
    <w:pPr>
      <w:numPr>
        <w:numId w:val="6"/>
      </w:numPr>
    </w:pPr>
  </w:style>
  <w:style w:type="paragraph" w:styleId="ListParagraph">
    <w:name w:val="List Paragraph"/>
    <w:basedOn w:val="Normal"/>
    <w:uiPriority w:val="34"/>
    <w:qFormat/>
    <w:rsid w:val="00660B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7C69F4"/>
    <w:rPr>
      <w:rFonts w:asciiTheme="majorHAnsi" w:eastAsiaTheme="majorEastAsia" w:hAnsiTheme="majorHAnsi" w:cstheme="majorBidi"/>
      <w:color w:val="404040" w:themeColor="text1" w:themeTint="BF"/>
      <w:sz w:val="20"/>
      <w:szCs w:val="20"/>
    </w:rPr>
  </w:style>
  <w:style w:type="paragraph" w:customStyle="1" w:styleId="Heading0inTOC">
    <w:name w:val="Heading 0 (in TOC)"/>
    <w:basedOn w:val="Heading1"/>
    <w:next w:val="Normal"/>
    <w:rsid w:val="007C69F4"/>
    <w:pPr>
      <w:keepLines w:val="0"/>
      <w:spacing w:before="0" w:after="120" w:line="240" w:lineRule="auto"/>
    </w:pPr>
    <w:rPr>
      <w:rFonts w:ascii="Arial" w:hAnsi="Arial" w:cs="Times New Roman"/>
      <w:bCs w:val="0"/>
      <w:kern w:val="16"/>
      <w:sz w:val="28"/>
      <w:szCs w:val="24"/>
      <w:lang w:eastAsia="en-AU"/>
    </w:rPr>
  </w:style>
  <w:style w:type="table" w:customStyle="1" w:styleId="TableTGAblue1">
    <w:name w:val="Table TGA blue1"/>
    <w:basedOn w:val="TableNormal"/>
    <w:uiPriority w:val="99"/>
    <w:qFormat/>
    <w:rsid w:val="007C69F4"/>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7C69F4"/>
    <w:pPr>
      <w:autoSpaceDE w:val="0"/>
      <w:autoSpaceDN w:val="0"/>
      <w:adjustRightInd w:val="0"/>
      <w:spacing w:after="0" w:line="240" w:lineRule="auto"/>
    </w:pPr>
    <w:rPr>
      <w:rFonts w:ascii="Verdana" w:hAnsi="Verdana" w:cs="Verdana"/>
      <w:color w:val="000000"/>
      <w:sz w:val="24"/>
      <w:szCs w:val="24"/>
    </w:rPr>
  </w:style>
  <w:style w:type="character" w:customStyle="1" w:styleId="st1">
    <w:name w:val="st1"/>
    <w:basedOn w:val="DefaultParagraphFont"/>
    <w:rsid w:val="00705FDE"/>
  </w:style>
  <w:style w:type="character" w:styleId="Emphasis">
    <w:name w:val="Emphasis"/>
    <w:basedOn w:val="DefaultParagraphFont"/>
    <w:uiPriority w:val="20"/>
    <w:qFormat/>
    <w:rsid w:val="009801DD"/>
    <w:rPr>
      <w:b/>
      <w:bCs/>
      <w:i w:val="0"/>
      <w:iCs w:val="0"/>
    </w:rPr>
  </w:style>
  <w:style w:type="paragraph" w:styleId="NormalWeb">
    <w:name w:val="Normal (Web)"/>
    <w:basedOn w:val="Normal"/>
    <w:uiPriority w:val="99"/>
    <w:semiHidden/>
    <w:unhideWhenUsed/>
    <w:rsid w:val="006E11FD"/>
    <w:pPr>
      <w:spacing w:before="240" w:after="240" w:line="240" w:lineRule="auto"/>
    </w:pPr>
    <w:rPr>
      <w:rFonts w:ascii="Times New Roman" w:eastAsia="Times New Roman" w:hAnsi="Times New Roman"/>
      <w:sz w:val="24"/>
      <w:szCs w:val="24"/>
      <w:lang w:eastAsia="en-AU"/>
    </w:rPr>
  </w:style>
  <w:style w:type="paragraph" w:styleId="Bibliography">
    <w:name w:val="Bibliography"/>
    <w:basedOn w:val="Normal"/>
    <w:next w:val="Normal"/>
    <w:uiPriority w:val="37"/>
    <w:semiHidden/>
    <w:unhideWhenUsed/>
    <w:rsid w:val="009972EC"/>
  </w:style>
  <w:style w:type="paragraph" w:styleId="BlockText">
    <w:name w:val="Block Text"/>
    <w:basedOn w:val="Normal"/>
    <w:uiPriority w:val="99"/>
    <w:semiHidden/>
    <w:unhideWhenUsed/>
    <w:rsid w:val="009972EC"/>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9972EC"/>
  </w:style>
  <w:style w:type="character" w:customStyle="1" w:styleId="BodyTextChar">
    <w:name w:val="Body Text Char"/>
    <w:basedOn w:val="DefaultParagraphFont"/>
    <w:link w:val="BodyText"/>
    <w:uiPriority w:val="99"/>
    <w:semiHidden/>
    <w:rsid w:val="009972EC"/>
    <w:rPr>
      <w:rFonts w:ascii="Cambria" w:eastAsia="Cambria" w:hAnsi="Cambria" w:cs="Times New Roman"/>
    </w:rPr>
  </w:style>
  <w:style w:type="paragraph" w:styleId="BodyText2">
    <w:name w:val="Body Text 2"/>
    <w:basedOn w:val="Normal"/>
    <w:link w:val="BodyText2Char"/>
    <w:uiPriority w:val="99"/>
    <w:semiHidden/>
    <w:unhideWhenUsed/>
    <w:rsid w:val="009972EC"/>
    <w:pPr>
      <w:spacing w:line="480" w:lineRule="auto"/>
    </w:pPr>
  </w:style>
  <w:style w:type="character" w:customStyle="1" w:styleId="BodyText2Char">
    <w:name w:val="Body Text 2 Char"/>
    <w:basedOn w:val="DefaultParagraphFont"/>
    <w:link w:val="BodyText2"/>
    <w:uiPriority w:val="99"/>
    <w:semiHidden/>
    <w:rsid w:val="009972EC"/>
    <w:rPr>
      <w:rFonts w:ascii="Cambria" w:eastAsia="Cambria" w:hAnsi="Cambria" w:cs="Times New Roman"/>
    </w:rPr>
  </w:style>
  <w:style w:type="paragraph" w:styleId="BodyText3">
    <w:name w:val="Body Text 3"/>
    <w:basedOn w:val="Normal"/>
    <w:link w:val="BodyText3Char"/>
    <w:uiPriority w:val="99"/>
    <w:semiHidden/>
    <w:unhideWhenUsed/>
    <w:rsid w:val="009972EC"/>
    <w:rPr>
      <w:sz w:val="16"/>
      <w:szCs w:val="16"/>
    </w:rPr>
  </w:style>
  <w:style w:type="character" w:customStyle="1" w:styleId="BodyText3Char">
    <w:name w:val="Body Text 3 Char"/>
    <w:basedOn w:val="DefaultParagraphFont"/>
    <w:link w:val="BodyText3"/>
    <w:uiPriority w:val="99"/>
    <w:semiHidden/>
    <w:rsid w:val="009972EC"/>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9972EC"/>
    <w:pPr>
      <w:ind w:firstLine="360"/>
    </w:pPr>
  </w:style>
  <w:style w:type="character" w:customStyle="1" w:styleId="BodyTextFirstIndentChar">
    <w:name w:val="Body Text First Indent Char"/>
    <w:basedOn w:val="BodyTextChar"/>
    <w:link w:val="BodyTextFirstIndent"/>
    <w:uiPriority w:val="99"/>
    <w:semiHidden/>
    <w:rsid w:val="009972EC"/>
    <w:rPr>
      <w:rFonts w:ascii="Cambria" w:eastAsia="Cambria" w:hAnsi="Cambria" w:cs="Times New Roman"/>
    </w:rPr>
  </w:style>
  <w:style w:type="paragraph" w:styleId="BodyTextIndent">
    <w:name w:val="Body Text Indent"/>
    <w:basedOn w:val="Normal"/>
    <w:link w:val="BodyTextIndentChar"/>
    <w:uiPriority w:val="99"/>
    <w:semiHidden/>
    <w:unhideWhenUsed/>
    <w:rsid w:val="009972EC"/>
    <w:pPr>
      <w:ind w:left="283"/>
    </w:pPr>
  </w:style>
  <w:style w:type="character" w:customStyle="1" w:styleId="BodyTextIndentChar">
    <w:name w:val="Body Text Indent Char"/>
    <w:basedOn w:val="DefaultParagraphFont"/>
    <w:link w:val="BodyTextIndent"/>
    <w:uiPriority w:val="99"/>
    <w:semiHidden/>
    <w:rsid w:val="009972EC"/>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9972EC"/>
    <w:pPr>
      <w:ind w:left="360" w:firstLine="360"/>
    </w:pPr>
  </w:style>
  <w:style w:type="character" w:customStyle="1" w:styleId="BodyTextFirstIndent2Char">
    <w:name w:val="Body Text First Indent 2 Char"/>
    <w:basedOn w:val="BodyTextIndentChar"/>
    <w:link w:val="BodyTextFirstIndent2"/>
    <w:uiPriority w:val="99"/>
    <w:semiHidden/>
    <w:rsid w:val="009972EC"/>
    <w:rPr>
      <w:rFonts w:ascii="Cambria" w:eastAsia="Cambria" w:hAnsi="Cambria" w:cs="Times New Roman"/>
    </w:rPr>
  </w:style>
  <w:style w:type="paragraph" w:styleId="BodyTextIndent2">
    <w:name w:val="Body Text Indent 2"/>
    <w:basedOn w:val="Normal"/>
    <w:link w:val="BodyTextIndent2Char"/>
    <w:uiPriority w:val="99"/>
    <w:semiHidden/>
    <w:unhideWhenUsed/>
    <w:rsid w:val="009972EC"/>
    <w:pPr>
      <w:spacing w:line="480" w:lineRule="auto"/>
      <w:ind w:left="283"/>
    </w:pPr>
  </w:style>
  <w:style w:type="character" w:customStyle="1" w:styleId="BodyTextIndent2Char">
    <w:name w:val="Body Text Indent 2 Char"/>
    <w:basedOn w:val="DefaultParagraphFont"/>
    <w:link w:val="BodyTextIndent2"/>
    <w:uiPriority w:val="99"/>
    <w:semiHidden/>
    <w:rsid w:val="009972EC"/>
    <w:rPr>
      <w:rFonts w:ascii="Cambria" w:eastAsia="Cambria" w:hAnsi="Cambria" w:cs="Times New Roman"/>
    </w:rPr>
  </w:style>
  <w:style w:type="paragraph" w:styleId="BodyTextIndent3">
    <w:name w:val="Body Text Indent 3"/>
    <w:basedOn w:val="Normal"/>
    <w:link w:val="BodyTextIndent3Char"/>
    <w:uiPriority w:val="99"/>
    <w:semiHidden/>
    <w:unhideWhenUsed/>
    <w:rsid w:val="009972EC"/>
    <w:pPr>
      <w:ind w:left="283"/>
    </w:pPr>
    <w:rPr>
      <w:sz w:val="16"/>
      <w:szCs w:val="16"/>
    </w:rPr>
  </w:style>
  <w:style w:type="character" w:customStyle="1" w:styleId="BodyTextIndent3Char">
    <w:name w:val="Body Text Indent 3 Char"/>
    <w:basedOn w:val="DefaultParagraphFont"/>
    <w:link w:val="BodyTextIndent3"/>
    <w:uiPriority w:val="99"/>
    <w:semiHidden/>
    <w:rsid w:val="009972EC"/>
    <w:rPr>
      <w:rFonts w:ascii="Cambria" w:eastAsia="Cambria" w:hAnsi="Cambria" w:cs="Times New Roman"/>
      <w:sz w:val="16"/>
      <w:szCs w:val="16"/>
    </w:rPr>
  </w:style>
  <w:style w:type="paragraph" w:styleId="Closing">
    <w:name w:val="Closing"/>
    <w:basedOn w:val="Normal"/>
    <w:link w:val="ClosingChar"/>
    <w:uiPriority w:val="99"/>
    <w:semiHidden/>
    <w:unhideWhenUsed/>
    <w:rsid w:val="009972EC"/>
    <w:pPr>
      <w:spacing w:before="0" w:after="0" w:line="240" w:lineRule="auto"/>
      <w:ind w:left="4252"/>
    </w:pPr>
  </w:style>
  <w:style w:type="character" w:customStyle="1" w:styleId="ClosingChar">
    <w:name w:val="Closing Char"/>
    <w:basedOn w:val="DefaultParagraphFont"/>
    <w:link w:val="Closing"/>
    <w:uiPriority w:val="99"/>
    <w:semiHidden/>
    <w:rsid w:val="009972EC"/>
    <w:rPr>
      <w:rFonts w:ascii="Cambria" w:eastAsia="Cambria" w:hAnsi="Cambria" w:cs="Times New Roman"/>
    </w:rPr>
  </w:style>
  <w:style w:type="paragraph" w:styleId="DocumentMap">
    <w:name w:val="Document Map"/>
    <w:basedOn w:val="Normal"/>
    <w:link w:val="DocumentMapChar"/>
    <w:uiPriority w:val="99"/>
    <w:semiHidden/>
    <w:unhideWhenUsed/>
    <w:rsid w:val="009972EC"/>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972EC"/>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9972EC"/>
    <w:pPr>
      <w:spacing w:before="0" w:after="0" w:line="240" w:lineRule="auto"/>
    </w:pPr>
  </w:style>
  <w:style w:type="character" w:customStyle="1" w:styleId="E-mailSignatureChar">
    <w:name w:val="E-mail Signature Char"/>
    <w:basedOn w:val="DefaultParagraphFont"/>
    <w:link w:val="E-mailSignature"/>
    <w:uiPriority w:val="99"/>
    <w:semiHidden/>
    <w:rsid w:val="009972EC"/>
    <w:rPr>
      <w:rFonts w:ascii="Cambria" w:eastAsia="Cambria" w:hAnsi="Cambria" w:cs="Times New Roman"/>
    </w:rPr>
  </w:style>
  <w:style w:type="paragraph" w:styleId="EnvelopeAddress">
    <w:name w:val="envelope address"/>
    <w:basedOn w:val="Normal"/>
    <w:uiPriority w:val="99"/>
    <w:semiHidden/>
    <w:unhideWhenUsed/>
    <w:rsid w:val="009972E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72EC"/>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72E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9972EC"/>
    <w:pPr>
      <w:spacing w:before="0" w:after="0" w:line="240" w:lineRule="auto"/>
    </w:pPr>
    <w:rPr>
      <w:i/>
      <w:iCs/>
    </w:rPr>
  </w:style>
  <w:style w:type="character" w:customStyle="1" w:styleId="HTMLAddressChar">
    <w:name w:val="HTML Address Char"/>
    <w:basedOn w:val="DefaultParagraphFont"/>
    <w:link w:val="HTMLAddress"/>
    <w:uiPriority w:val="99"/>
    <w:semiHidden/>
    <w:rsid w:val="009972EC"/>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9972EC"/>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972EC"/>
    <w:rPr>
      <w:rFonts w:ascii="Consolas" w:eastAsia="Cambria" w:hAnsi="Consolas" w:cs="Consolas"/>
      <w:sz w:val="20"/>
      <w:szCs w:val="20"/>
    </w:rPr>
  </w:style>
  <w:style w:type="paragraph" w:styleId="Index1">
    <w:name w:val="index 1"/>
    <w:basedOn w:val="Normal"/>
    <w:next w:val="Normal"/>
    <w:autoRedefine/>
    <w:uiPriority w:val="99"/>
    <w:semiHidden/>
    <w:unhideWhenUsed/>
    <w:rsid w:val="009972EC"/>
    <w:pPr>
      <w:spacing w:before="0" w:after="0" w:line="240" w:lineRule="auto"/>
      <w:ind w:left="220" w:hanging="220"/>
    </w:pPr>
  </w:style>
  <w:style w:type="paragraph" w:styleId="Index2">
    <w:name w:val="index 2"/>
    <w:basedOn w:val="Normal"/>
    <w:next w:val="Normal"/>
    <w:autoRedefine/>
    <w:uiPriority w:val="99"/>
    <w:semiHidden/>
    <w:unhideWhenUsed/>
    <w:rsid w:val="009972EC"/>
    <w:pPr>
      <w:spacing w:before="0" w:after="0" w:line="240" w:lineRule="auto"/>
      <w:ind w:left="440" w:hanging="220"/>
    </w:pPr>
  </w:style>
  <w:style w:type="paragraph" w:styleId="Index3">
    <w:name w:val="index 3"/>
    <w:basedOn w:val="Normal"/>
    <w:next w:val="Normal"/>
    <w:autoRedefine/>
    <w:uiPriority w:val="99"/>
    <w:semiHidden/>
    <w:unhideWhenUsed/>
    <w:rsid w:val="009972EC"/>
    <w:pPr>
      <w:spacing w:before="0" w:after="0" w:line="240" w:lineRule="auto"/>
      <w:ind w:left="660" w:hanging="220"/>
    </w:pPr>
  </w:style>
  <w:style w:type="paragraph" w:styleId="Index4">
    <w:name w:val="index 4"/>
    <w:basedOn w:val="Normal"/>
    <w:next w:val="Normal"/>
    <w:autoRedefine/>
    <w:uiPriority w:val="99"/>
    <w:semiHidden/>
    <w:unhideWhenUsed/>
    <w:rsid w:val="009972EC"/>
    <w:pPr>
      <w:spacing w:before="0" w:after="0" w:line="240" w:lineRule="auto"/>
      <w:ind w:left="880" w:hanging="220"/>
    </w:pPr>
  </w:style>
  <w:style w:type="paragraph" w:styleId="Index5">
    <w:name w:val="index 5"/>
    <w:basedOn w:val="Normal"/>
    <w:next w:val="Normal"/>
    <w:autoRedefine/>
    <w:uiPriority w:val="99"/>
    <w:semiHidden/>
    <w:unhideWhenUsed/>
    <w:rsid w:val="009972EC"/>
    <w:pPr>
      <w:spacing w:before="0" w:after="0" w:line="240" w:lineRule="auto"/>
      <w:ind w:left="1100" w:hanging="220"/>
    </w:pPr>
  </w:style>
  <w:style w:type="paragraph" w:styleId="Index6">
    <w:name w:val="index 6"/>
    <w:basedOn w:val="Normal"/>
    <w:next w:val="Normal"/>
    <w:autoRedefine/>
    <w:uiPriority w:val="99"/>
    <w:semiHidden/>
    <w:unhideWhenUsed/>
    <w:rsid w:val="009972EC"/>
    <w:pPr>
      <w:spacing w:before="0" w:after="0" w:line="240" w:lineRule="auto"/>
      <w:ind w:left="1320" w:hanging="220"/>
    </w:pPr>
  </w:style>
  <w:style w:type="paragraph" w:styleId="Index7">
    <w:name w:val="index 7"/>
    <w:basedOn w:val="Normal"/>
    <w:next w:val="Normal"/>
    <w:autoRedefine/>
    <w:uiPriority w:val="99"/>
    <w:semiHidden/>
    <w:unhideWhenUsed/>
    <w:rsid w:val="009972EC"/>
    <w:pPr>
      <w:spacing w:before="0" w:after="0" w:line="240" w:lineRule="auto"/>
      <w:ind w:left="1540" w:hanging="220"/>
    </w:pPr>
  </w:style>
  <w:style w:type="paragraph" w:styleId="Index8">
    <w:name w:val="index 8"/>
    <w:basedOn w:val="Normal"/>
    <w:next w:val="Normal"/>
    <w:autoRedefine/>
    <w:uiPriority w:val="99"/>
    <w:semiHidden/>
    <w:unhideWhenUsed/>
    <w:rsid w:val="009972EC"/>
    <w:pPr>
      <w:spacing w:before="0" w:after="0" w:line="240" w:lineRule="auto"/>
      <w:ind w:left="1760" w:hanging="220"/>
    </w:pPr>
  </w:style>
  <w:style w:type="paragraph" w:styleId="Index9">
    <w:name w:val="index 9"/>
    <w:basedOn w:val="Normal"/>
    <w:next w:val="Normal"/>
    <w:autoRedefine/>
    <w:uiPriority w:val="99"/>
    <w:semiHidden/>
    <w:unhideWhenUsed/>
    <w:rsid w:val="009972EC"/>
    <w:pPr>
      <w:spacing w:before="0" w:after="0" w:line="240" w:lineRule="auto"/>
      <w:ind w:left="1980" w:hanging="220"/>
    </w:pPr>
  </w:style>
  <w:style w:type="paragraph" w:styleId="IndexHeading">
    <w:name w:val="index heading"/>
    <w:basedOn w:val="Normal"/>
    <w:next w:val="Index1"/>
    <w:uiPriority w:val="99"/>
    <w:semiHidden/>
    <w:unhideWhenUsed/>
    <w:rsid w:val="009972E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972EC"/>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9972EC"/>
    <w:rPr>
      <w:rFonts w:ascii="Cambria" w:eastAsia="Cambria" w:hAnsi="Cambria" w:cs="Times New Roman"/>
      <w:b/>
      <w:bCs/>
      <w:i/>
      <w:iCs/>
      <w:color w:val="002C47" w:themeColor="accent1"/>
    </w:rPr>
  </w:style>
  <w:style w:type="paragraph" w:styleId="List">
    <w:name w:val="List"/>
    <w:basedOn w:val="Normal"/>
    <w:uiPriority w:val="99"/>
    <w:semiHidden/>
    <w:unhideWhenUsed/>
    <w:rsid w:val="009972EC"/>
    <w:pPr>
      <w:ind w:left="283" w:hanging="283"/>
      <w:contextualSpacing/>
    </w:pPr>
  </w:style>
  <w:style w:type="paragraph" w:styleId="List2">
    <w:name w:val="List 2"/>
    <w:basedOn w:val="Normal"/>
    <w:uiPriority w:val="99"/>
    <w:semiHidden/>
    <w:unhideWhenUsed/>
    <w:rsid w:val="009972EC"/>
    <w:pPr>
      <w:ind w:left="566" w:hanging="283"/>
      <w:contextualSpacing/>
    </w:pPr>
  </w:style>
  <w:style w:type="paragraph" w:styleId="List3">
    <w:name w:val="List 3"/>
    <w:basedOn w:val="Normal"/>
    <w:uiPriority w:val="99"/>
    <w:semiHidden/>
    <w:unhideWhenUsed/>
    <w:rsid w:val="009972EC"/>
    <w:pPr>
      <w:ind w:left="849" w:hanging="283"/>
      <w:contextualSpacing/>
    </w:pPr>
  </w:style>
  <w:style w:type="paragraph" w:styleId="List4">
    <w:name w:val="List 4"/>
    <w:basedOn w:val="Normal"/>
    <w:uiPriority w:val="99"/>
    <w:semiHidden/>
    <w:unhideWhenUsed/>
    <w:rsid w:val="009972EC"/>
    <w:pPr>
      <w:ind w:left="1132" w:hanging="283"/>
      <w:contextualSpacing/>
    </w:pPr>
  </w:style>
  <w:style w:type="paragraph" w:styleId="List5">
    <w:name w:val="List 5"/>
    <w:basedOn w:val="Normal"/>
    <w:uiPriority w:val="99"/>
    <w:semiHidden/>
    <w:unhideWhenUsed/>
    <w:rsid w:val="009972EC"/>
    <w:pPr>
      <w:ind w:left="1415" w:hanging="283"/>
      <w:contextualSpacing/>
    </w:pPr>
  </w:style>
  <w:style w:type="paragraph" w:styleId="ListBullet4">
    <w:name w:val="List Bullet 4"/>
    <w:basedOn w:val="Normal"/>
    <w:uiPriority w:val="99"/>
    <w:semiHidden/>
    <w:unhideWhenUsed/>
    <w:rsid w:val="009972EC"/>
    <w:pPr>
      <w:numPr>
        <w:numId w:val="20"/>
      </w:numPr>
      <w:contextualSpacing/>
    </w:pPr>
  </w:style>
  <w:style w:type="paragraph" w:styleId="ListBullet5">
    <w:name w:val="List Bullet 5"/>
    <w:basedOn w:val="Normal"/>
    <w:uiPriority w:val="99"/>
    <w:semiHidden/>
    <w:unhideWhenUsed/>
    <w:rsid w:val="009972EC"/>
    <w:pPr>
      <w:numPr>
        <w:numId w:val="21"/>
      </w:numPr>
      <w:contextualSpacing/>
    </w:pPr>
  </w:style>
  <w:style w:type="paragraph" w:styleId="ListContinue">
    <w:name w:val="List Continue"/>
    <w:basedOn w:val="Normal"/>
    <w:uiPriority w:val="99"/>
    <w:semiHidden/>
    <w:unhideWhenUsed/>
    <w:rsid w:val="009972EC"/>
    <w:pPr>
      <w:ind w:left="283"/>
      <w:contextualSpacing/>
    </w:pPr>
  </w:style>
  <w:style w:type="paragraph" w:styleId="ListContinue2">
    <w:name w:val="List Continue 2"/>
    <w:basedOn w:val="Normal"/>
    <w:uiPriority w:val="99"/>
    <w:semiHidden/>
    <w:unhideWhenUsed/>
    <w:rsid w:val="009972EC"/>
    <w:pPr>
      <w:ind w:left="566"/>
      <w:contextualSpacing/>
    </w:pPr>
  </w:style>
  <w:style w:type="paragraph" w:styleId="ListContinue3">
    <w:name w:val="List Continue 3"/>
    <w:basedOn w:val="Normal"/>
    <w:uiPriority w:val="99"/>
    <w:semiHidden/>
    <w:unhideWhenUsed/>
    <w:rsid w:val="009972EC"/>
    <w:pPr>
      <w:ind w:left="849"/>
      <w:contextualSpacing/>
    </w:pPr>
  </w:style>
  <w:style w:type="paragraph" w:styleId="ListContinue4">
    <w:name w:val="List Continue 4"/>
    <w:basedOn w:val="Normal"/>
    <w:uiPriority w:val="99"/>
    <w:semiHidden/>
    <w:unhideWhenUsed/>
    <w:rsid w:val="009972EC"/>
    <w:pPr>
      <w:ind w:left="1132"/>
      <w:contextualSpacing/>
    </w:pPr>
  </w:style>
  <w:style w:type="paragraph" w:styleId="ListContinue5">
    <w:name w:val="List Continue 5"/>
    <w:basedOn w:val="Normal"/>
    <w:uiPriority w:val="99"/>
    <w:semiHidden/>
    <w:unhideWhenUsed/>
    <w:rsid w:val="009972EC"/>
    <w:pPr>
      <w:ind w:left="1415"/>
      <w:contextualSpacing/>
    </w:pPr>
  </w:style>
  <w:style w:type="paragraph" w:styleId="ListNumber">
    <w:name w:val="List Number"/>
    <w:basedOn w:val="Normal"/>
    <w:uiPriority w:val="99"/>
    <w:semiHidden/>
    <w:unhideWhenUsed/>
    <w:rsid w:val="009972EC"/>
    <w:pPr>
      <w:numPr>
        <w:numId w:val="22"/>
      </w:numPr>
      <w:contextualSpacing/>
    </w:pPr>
  </w:style>
  <w:style w:type="paragraph" w:styleId="ListNumber2">
    <w:name w:val="List Number 2"/>
    <w:basedOn w:val="Normal"/>
    <w:uiPriority w:val="99"/>
    <w:semiHidden/>
    <w:unhideWhenUsed/>
    <w:rsid w:val="009972EC"/>
    <w:pPr>
      <w:numPr>
        <w:numId w:val="23"/>
      </w:numPr>
      <w:contextualSpacing/>
    </w:pPr>
  </w:style>
  <w:style w:type="paragraph" w:styleId="ListNumber3">
    <w:name w:val="List Number 3"/>
    <w:basedOn w:val="Normal"/>
    <w:uiPriority w:val="99"/>
    <w:semiHidden/>
    <w:unhideWhenUsed/>
    <w:rsid w:val="009972EC"/>
    <w:pPr>
      <w:numPr>
        <w:numId w:val="24"/>
      </w:numPr>
      <w:contextualSpacing/>
    </w:pPr>
  </w:style>
  <w:style w:type="paragraph" w:styleId="ListNumber4">
    <w:name w:val="List Number 4"/>
    <w:basedOn w:val="Normal"/>
    <w:uiPriority w:val="99"/>
    <w:semiHidden/>
    <w:unhideWhenUsed/>
    <w:rsid w:val="009972EC"/>
    <w:pPr>
      <w:numPr>
        <w:numId w:val="25"/>
      </w:numPr>
      <w:contextualSpacing/>
    </w:pPr>
  </w:style>
  <w:style w:type="paragraph" w:styleId="ListNumber5">
    <w:name w:val="List Number 5"/>
    <w:basedOn w:val="Normal"/>
    <w:uiPriority w:val="99"/>
    <w:semiHidden/>
    <w:unhideWhenUsed/>
    <w:rsid w:val="009972EC"/>
    <w:pPr>
      <w:numPr>
        <w:numId w:val="26"/>
      </w:numPr>
      <w:contextualSpacing/>
    </w:pPr>
  </w:style>
  <w:style w:type="paragraph" w:styleId="MacroText">
    <w:name w:val="macro"/>
    <w:link w:val="MacroTextChar"/>
    <w:uiPriority w:val="99"/>
    <w:semiHidden/>
    <w:unhideWhenUsed/>
    <w:rsid w:val="009972EC"/>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9972EC"/>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9972E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72EC"/>
    <w:rPr>
      <w:rFonts w:asciiTheme="majorHAnsi" w:eastAsiaTheme="majorEastAsia" w:hAnsiTheme="majorHAnsi" w:cstheme="majorBidi"/>
      <w:sz w:val="24"/>
      <w:szCs w:val="24"/>
      <w:shd w:val="pct20" w:color="auto" w:fill="auto"/>
    </w:rPr>
  </w:style>
  <w:style w:type="paragraph" w:styleId="NoSpacing">
    <w:name w:val="No Spacing"/>
    <w:uiPriority w:val="1"/>
    <w:rsid w:val="009972EC"/>
    <w:pPr>
      <w:spacing w:after="0" w:line="240" w:lineRule="auto"/>
    </w:pPr>
    <w:rPr>
      <w:rFonts w:ascii="Cambria" w:eastAsia="Cambria" w:hAnsi="Cambria" w:cs="Times New Roman"/>
    </w:rPr>
  </w:style>
  <w:style w:type="paragraph" w:styleId="NormalIndent">
    <w:name w:val="Normal Indent"/>
    <w:basedOn w:val="Normal"/>
    <w:uiPriority w:val="99"/>
    <w:semiHidden/>
    <w:unhideWhenUsed/>
    <w:rsid w:val="009972EC"/>
    <w:pPr>
      <w:ind w:left="720"/>
    </w:pPr>
  </w:style>
  <w:style w:type="paragraph" w:styleId="NoteHeading">
    <w:name w:val="Note Heading"/>
    <w:basedOn w:val="Normal"/>
    <w:next w:val="Normal"/>
    <w:link w:val="NoteHeadingChar"/>
    <w:uiPriority w:val="99"/>
    <w:semiHidden/>
    <w:unhideWhenUsed/>
    <w:rsid w:val="009972EC"/>
    <w:pPr>
      <w:spacing w:before="0" w:after="0" w:line="240" w:lineRule="auto"/>
    </w:pPr>
  </w:style>
  <w:style w:type="character" w:customStyle="1" w:styleId="NoteHeadingChar">
    <w:name w:val="Note Heading Char"/>
    <w:basedOn w:val="DefaultParagraphFont"/>
    <w:link w:val="NoteHeading"/>
    <w:uiPriority w:val="99"/>
    <w:semiHidden/>
    <w:rsid w:val="009972EC"/>
    <w:rPr>
      <w:rFonts w:ascii="Cambria" w:eastAsia="Cambria" w:hAnsi="Cambria" w:cs="Times New Roman"/>
    </w:rPr>
  </w:style>
  <w:style w:type="paragraph" w:styleId="PlainText">
    <w:name w:val="Plain Text"/>
    <w:basedOn w:val="Normal"/>
    <w:link w:val="PlainTextChar"/>
    <w:uiPriority w:val="99"/>
    <w:semiHidden/>
    <w:unhideWhenUsed/>
    <w:rsid w:val="009972EC"/>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972EC"/>
    <w:rPr>
      <w:rFonts w:ascii="Consolas" w:eastAsia="Cambria" w:hAnsi="Consolas" w:cs="Consolas"/>
      <w:sz w:val="21"/>
      <w:szCs w:val="21"/>
    </w:rPr>
  </w:style>
  <w:style w:type="paragraph" w:styleId="Quote">
    <w:name w:val="Quote"/>
    <w:basedOn w:val="Normal"/>
    <w:next w:val="Normal"/>
    <w:link w:val="QuoteChar"/>
    <w:uiPriority w:val="29"/>
    <w:rsid w:val="009972EC"/>
    <w:rPr>
      <w:i/>
      <w:iCs/>
      <w:color w:val="000000" w:themeColor="text1"/>
    </w:rPr>
  </w:style>
  <w:style w:type="character" w:customStyle="1" w:styleId="QuoteChar">
    <w:name w:val="Quote Char"/>
    <w:basedOn w:val="DefaultParagraphFont"/>
    <w:link w:val="Quote"/>
    <w:uiPriority w:val="29"/>
    <w:rsid w:val="009972EC"/>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9972EC"/>
  </w:style>
  <w:style w:type="character" w:customStyle="1" w:styleId="SalutationChar">
    <w:name w:val="Salutation Char"/>
    <w:basedOn w:val="DefaultParagraphFont"/>
    <w:link w:val="Salutation"/>
    <w:uiPriority w:val="99"/>
    <w:semiHidden/>
    <w:rsid w:val="009972EC"/>
    <w:rPr>
      <w:rFonts w:ascii="Cambria" w:eastAsia="Cambria" w:hAnsi="Cambria" w:cs="Times New Roman"/>
    </w:rPr>
  </w:style>
  <w:style w:type="paragraph" w:styleId="Signature">
    <w:name w:val="Signature"/>
    <w:basedOn w:val="Normal"/>
    <w:link w:val="SignatureChar"/>
    <w:uiPriority w:val="99"/>
    <w:semiHidden/>
    <w:unhideWhenUsed/>
    <w:rsid w:val="009972EC"/>
    <w:pPr>
      <w:spacing w:before="0" w:after="0" w:line="240" w:lineRule="auto"/>
      <w:ind w:left="4252"/>
    </w:pPr>
  </w:style>
  <w:style w:type="character" w:customStyle="1" w:styleId="SignatureChar">
    <w:name w:val="Signature Char"/>
    <w:basedOn w:val="DefaultParagraphFont"/>
    <w:link w:val="Signature"/>
    <w:uiPriority w:val="99"/>
    <w:semiHidden/>
    <w:rsid w:val="009972EC"/>
    <w:rPr>
      <w:rFonts w:ascii="Cambria" w:eastAsia="Cambria" w:hAnsi="Cambria" w:cs="Times New Roman"/>
    </w:rPr>
  </w:style>
  <w:style w:type="paragraph" w:styleId="TableofAuthorities">
    <w:name w:val="table of authorities"/>
    <w:basedOn w:val="Normal"/>
    <w:next w:val="Normal"/>
    <w:uiPriority w:val="99"/>
    <w:semiHidden/>
    <w:unhideWhenUsed/>
    <w:rsid w:val="009972EC"/>
    <w:pPr>
      <w:spacing w:after="0"/>
      <w:ind w:left="220" w:hanging="220"/>
    </w:pPr>
  </w:style>
  <w:style w:type="paragraph" w:styleId="TableofFigures">
    <w:name w:val="table of figures"/>
    <w:basedOn w:val="Normal"/>
    <w:next w:val="Normal"/>
    <w:uiPriority w:val="99"/>
    <w:semiHidden/>
    <w:unhideWhenUsed/>
    <w:rsid w:val="009972EC"/>
    <w:pPr>
      <w:spacing w:after="0"/>
    </w:pPr>
  </w:style>
  <w:style w:type="paragraph" w:styleId="TOAHeading">
    <w:name w:val="toa heading"/>
    <w:basedOn w:val="Normal"/>
    <w:next w:val="Normal"/>
    <w:uiPriority w:val="99"/>
    <w:semiHidden/>
    <w:unhideWhenUsed/>
    <w:rsid w:val="009972EC"/>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9972EC"/>
    <w:pPr>
      <w:spacing w:after="100"/>
      <w:ind w:left="660"/>
    </w:pPr>
  </w:style>
  <w:style w:type="paragraph" w:styleId="TOC5">
    <w:name w:val="toc 5"/>
    <w:basedOn w:val="Normal"/>
    <w:next w:val="Normal"/>
    <w:autoRedefine/>
    <w:uiPriority w:val="39"/>
    <w:semiHidden/>
    <w:unhideWhenUsed/>
    <w:rsid w:val="009972EC"/>
    <w:pPr>
      <w:spacing w:after="100"/>
      <w:ind w:left="880"/>
    </w:pPr>
  </w:style>
  <w:style w:type="paragraph" w:styleId="TOC6">
    <w:name w:val="toc 6"/>
    <w:basedOn w:val="Normal"/>
    <w:next w:val="Normal"/>
    <w:autoRedefine/>
    <w:uiPriority w:val="39"/>
    <w:semiHidden/>
    <w:unhideWhenUsed/>
    <w:rsid w:val="009972EC"/>
    <w:pPr>
      <w:spacing w:after="100"/>
      <w:ind w:left="1100"/>
    </w:pPr>
  </w:style>
  <w:style w:type="paragraph" w:styleId="TOC7">
    <w:name w:val="toc 7"/>
    <w:basedOn w:val="Normal"/>
    <w:next w:val="Normal"/>
    <w:autoRedefine/>
    <w:uiPriority w:val="39"/>
    <w:semiHidden/>
    <w:unhideWhenUsed/>
    <w:rsid w:val="009972EC"/>
    <w:pPr>
      <w:spacing w:after="100"/>
      <w:ind w:left="1320"/>
    </w:pPr>
  </w:style>
  <w:style w:type="paragraph" w:styleId="TOC8">
    <w:name w:val="toc 8"/>
    <w:basedOn w:val="Normal"/>
    <w:next w:val="Normal"/>
    <w:autoRedefine/>
    <w:uiPriority w:val="39"/>
    <w:semiHidden/>
    <w:unhideWhenUsed/>
    <w:rsid w:val="009972EC"/>
    <w:pPr>
      <w:spacing w:after="100"/>
      <w:ind w:left="1540"/>
    </w:pPr>
  </w:style>
  <w:style w:type="paragraph" w:styleId="TOC9">
    <w:name w:val="toc 9"/>
    <w:basedOn w:val="Normal"/>
    <w:next w:val="Normal"/>
    <w:autoRedefine/>
    <w:uiPriority w:val="39"/>
    <w:semiHidden/>
    <w:unhideWhenUsed/>
    <w:rsid w:val="009972EC"/>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nhideWhenUsed="0"/>
    <w:lsdException w:name="footer" w:semiHidden="0" w:unhideWhenUsed="0"/>
    <w:lsdException w:name="caption" w:semiHidden="0" w:uiPriority="0" w:unhideWhenUsed="0" w:qFormat="1"/>
    <w:lsdException w:name="annotation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6E3D5C"/>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7C69F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972E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AD3935"/>
    <w:rPr>
      <w:rFonts w:ascii="Arial" w:eastAsia="Times New Roman" w:hAnsi="Arial" w:cs="Times New Roman"/>
      <w:b/>
      <w:bCs/>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semiHidden/>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semiHidden/>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semiHidden/>
    <w:unhideWhenUsed/>
    <w:rsid w:val="00EC463D"/>
    <w:rPr>
      <w:sz w:val="16"/>
      <w:szCs w:val="16"/>
    </w:rPr>
  </w:style>
  <w:style w:type="paragraph" w:styleId="CommentText">
    <w:name w:val="annotation text"/>
    <w:basedOn w:val="Normal"/>
    <w:link w:val="CommentTextChar"/>
    <w:semiHidden/>
    <w:unhideWhenUsed/>
    <w:rsid w:val="00EC463D"/>
    <w:pPr>
      <w:spacing w:line="240" w:lineRule="auto"/>
    </w:pPr>
    <w:rPr>
      <w:sz w:val="20"/>
      <w:szCs w:val="20"/>
    </w:rPr>
  </w:style>
  <w:style w:type="character" w:customStyle="1" w:styleId="CommentTextChar">
    <w:name w:val="Comment Text Char"/>
    <w:basedOn w:val="DefaultParagraphFont"/>
    <w:link w:val="CommentText"/>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basedOn w:val="DefaultParagraphFont"/>
    <w:link w:val="Standard1"/>
    <w:locked/>
    <w:rsid w:val="00660BC2"/>
    <w:rPr>
      <w:rFonts w:ascii="Cambria" w:eastAsia="Times New Roman" w:hAnsi="Cambria" w:cs="Times New Roman"/>
      <w:kern w:val="16"/>
      <w:szCs w:val="24"/>
    </w:rPr>
  </w:style>
  <w:style w:type="paragraph" w:customStyle="1" w:styleId="Standard1">
    <w:name w:val="Standard1"/>
    <w:basedOn w:val="Normal"/>
    <w:link w:val="StandardChar"/>
    <w:rsid w:val="00660BC2"/>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1"/>
    <w:rsid w:val="00660BC2"/>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1"/>
    <w:next w:val="Standard1"/>
    <w:rsid w:val="00660BC2"/>
    <w:pPr>
      <w:keepNext/>
      <w:spacing w:after="110"/>
      <w:outlineLvl w:val="2"/>
    </w:pPr>
    <w:rPr>
      <w:b/>
      <w:i/>
    </w:rPr>
  </w:style>
  <w:style w:type="paragraph" w:customStyle="1" w:styleId="AssessmentSubsection2">
    <w:name w:val="Assessment Subsection 2"/>
    <w:basedOn w:val="AssessmentSubsection"/>
    <w:next w:val="Standard1"/>
    <w:rsid w:val="00660BC2"/>
    <w:pPr>
      <w:outlineLvl w:val="3"/>
    </w:pPr>
    <w:rPr>
      <w:b w:val="0"/>
    </w:rPr>
  </w:style>
  <w:style w:type="paragraph" w:customStyle="1" w:styleId="Bullet1">
    <w:name w:val="Bullet 1"/>
    <w:basedOn w:val="Normal"/>
    <w:rsid w:val="00660BC2"/>
    <w:pPr>
      <w:numPr>
        <w:numId w:val="5"/>
      </w:numPr>
      <w:spacing w:after="0" w:line="240" w:lineRule="auto"/>
    </w:pPr>
    <w:rPr>
      <w:rFonts w:eastAsia="Times New Roman"/>
      <w:kern w:val="24"/>
      <w:szCs w:val="24"/>
      <w:lang w:eastAsia="en-AU"/>
    </w:rPr>
  </w:style>
  <w:style w:type="paragraph" w:customStyle="1" w:styleId="Bullet2">
    <w:name w:val="Bullet 2"/>
    <w:basedOn w:val="Bullet1"/>
    <w:rsid w:val="00660BC2"/>
    <w:pPr>
      <w:numPr>
        <w:numId w:val="6"/>
      </w:numPr>
    </w:pPr>
  </w:style>
  <w:style w:type="paragraph" w:styleId="ListParagraph">
    <w:name w:val="List Paragraph"/>
    <w:basedOn w:val="Normal"/>
    <w:uiPriority w:val="34"/>
    <w:qFormat/>
    <w:rsid w:val="00660BC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customStyle="1" w:styleId="Heading8Char">
    <w:name w:val="Heading 8 Char"/>
    <w:basedOn w:val="DefaultParagraphFont"/>
    <w:link w:val="Heading8"/>
    <w:uiPriority w:val="9"/>
    <w:semiHidden/>
    <w:rsid w:val="007C69F4"/>
    <w:rPr>
      <w:rFonts w:asciiTheme="majorHAnsi" w:eastAsiaTheme="majorEastAsia" w:hAnsiTheme="majorHAnsi" w:cstheme="majorBidi"/>
      <w:color w:val="404040" w:themeColor="text1" w:themeTint="BF"/>
      <w:sz w:val="20"/>
      <w:szCs w:val="20"/>
    </w:rPr>
  </w:style>
  <w:style w:type="paragraph" w:customStyle="1" w:styleId="Heading0inTOC">
    <w:name w:val="Heading 0 (in TOC)"/>
    <w:basedOn w:val="Heading1"/>
    <w:next w:val="Normal"/>
    <w:rsid w:val="007C69F4"/>
    <w:pPr>
      <w:keepLines w:val="0"/>
      <w:spacing w:before="0" w:after="120" w:line="240" w:lineRule="auto"/>
    </w:pPr>
    <w:rPr>
      <w:rFonts w:ascii="Arial" w:hAnsi="Arial" w:cs="Times New Roman"/>
      <w:bCs w:val="0"/>
      <w:kern w:val="16"/>
      <w:sz w:val="28"/>
      <w:szCs w:val="24"/>
      <w:lang w:eastAsia="en-AU"/>
    </w:rPr>
  </w:style>
  <w:style w:type="table" w:customStyle="1" w:styleId="TableTGAblue1">
    <w:name w:val="Table TGA blue1"/>
    <w:basedOn w:val="TableNormal"/>
    <w:uiPriority w:val="99"/>
    <w:qFormat/>
    <w:rsid w:val="007C69F4"/>
    <w:pPr>
      <w:spacing w:after="0" w:line="240" w:lineRule="auto"/>
    </w:pPr>
    <w:rPr>
      <w:rFonts w:ascii="Cambria" w:hAnsi="Cambria" w:cs="Times New Roman"/>
      <w:color w:val="000000"/>
      <w:szCs w:val="21"/>
    </w:rPr>
    <w:tblPr>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wordWrap/>
      </w:pPr>
      <w:rPr>
        <w:rFonts w:ascii="Cambria" w:hAnsi="Cambria" w:hint="default"/>
        <w:b/>
        <w:color w:val="FFFFFF"/>
        <w:sz w:val="22"/>
        <w:szCs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Default">
    <w:name w:val="Default"/>
    <w:rsid w:val="007C69F4"/>
    <w:pPr>
      <w:autoSpaceDE w:val="0"/>
      <w:autoSpaceDN w:val="0"/>
      <w:adjustRightInd w:val="0"/>
      <w:spacing w:after="0" w:line="240" w:lineRule="auto"/>
    </w:pPr>
    <w:rPr>
      <w:rFonts w:ascii="Verdana" w:hAnsi="Verdana" w:cs="Verdana"/>
      <w:color w:val="000000"/>
      <w:sz w:val="24"/>
      <w:szCs w:val="24"/>
    </w:rPr>
  </w:style>
  <w:style w:type="character" w:customStyle="1" w:styleId="st1">
    <w:name w:val="st1"/>
    <w:basedOn w:val="DefaultParagraphFont"/>
    <w:rsid w:val="00705FDE"/>
  </w:style>
  <w:style w:type="character" w:styleId="Emphasis">
    <w:name w:val="Emphasis"/>
    <w:basedOn w:val="DefaultParagraphFont"/>
    <w:uiPriority w:val="20"/>
    <w:qFormat/>
    <w:rsid w:val="009801DD"/>
    <w:rPr>
      <w:b/>
      <w:bCs/>
      <w:i w:val="0"/>
      <w:iCs w:val="0"/>
    </w:rPr>
  </w:style>
  <w:style w:type="paragraph" w:styleId="NormalWeb">
    <w:name w:val="Normal (Web)"/>
    <w:basedOn w:val="Normal"/>
    <w:uiPriority w:val="99"/>
    <w:semiHidden/>
    <w:unhideWhenUsed/>
    <w:rsid w:val="006E11FD"/>
    <w:pPr>
      <w:spacing w:before="240" w:after="240" w:line="240" w:lineRule="auto"/>
    </w:pPr>
    <w:rPr>
      <w:rFonts w:ascii="Times New Roman" w:eastAsia="Times New Roman" w:hAnsi="Times New Roman"/>
      <w:sz w:val="24"/>
      <w:szCs w:val="24"/>
      <w:lang w:eastAsia="en-AU"/>
    </w:rPr>
  </w:style>
  <w:style w:type="paragraph" w:styleId="Bibliography">
    <w:name w:val="Bibliography"/>
    <w:basedOn w:val="Normal"/>
    <w:next w:val="Normal"/>
    <w:uiPriority w:val="37"/>
    <w:semiHidden/>
    <w:unhideWhenUsed/>
    <w:rsid w:val="009972EC"/>
  </w:style>
  <w:style w:type="paragraph" w:styleId="BlockText">
    <w:name w:val="Block Text"/>
    <w:basedOn w:val="Normal"/>
    <w:uiPriority w:val="99"/>
    <w:semiHidden/>
    <w:unhideWhenUsed/>
    <w:rsid w:val="009972EC"/>
    <w:pPr>
      <w:pBdr>
        <w:top w:val="single" w:sz="2" w:space="10" w:color="002C47" w:themeColor="accent1" w:frame="1"/>
        <w:left w:val="single" w:sz="2" w:space="10" w:color="002C47" w:themeColor="accent1" w:frame="1"/>
        <w:bottom w:val="single" w:sz="2" w:space="10" w:color="002C47" w:themeColor="accent1" w:frame="1"/>
        <w:right w:val="single" w:sz="2" w:space="10" w:color="002C47" w:themeColor="accent1" w:frame="1"/>
      </w:pBdr>
      <w:ind w:left="1152" w:right="1152"/>
    </w:pPr>
    <w:rPr>
      <w:rFonts w:asciiTheme="minorHAnsi" w:eastAsiaTheme="minorEastAsia" w:hAnsiTheme="minorHAnsi" w:cstheme="minorBidi"/>
      <w:i/>
      <w:iCs/>
      <w:color w:val="002C47" w:themeColor="accent1"/>
    </w:rPr>
  </w:style>
  <w:style w:type="paragraph" w:styleId="BodyText">
    <w:name w:val="Body Text"/>
    <w:basedOn w:val="Normal"/>
    <w:link w:val="BodyTextChar"/>
    <w:uiPriority w:val="99"/>
    <w:semiHidden/>
    <w:unhideWhenUsed/>
    <w:rsid w:val="009972EC"/>
  </w:style>
  <w:style w:type="character" w:customStyle="1" w:styleId="BodyTextChar">
    <w:name w:val="Body Text Char"/>
    <w:basedOn w:val="DefaultParagraphFont"/>
    <w:link w:val="BodyText"/>
    <w:uiPriority w:val="99"/>
    <w:semiHidden/>
    <w:rsid w:val="009972EC"/>
    <w:rPr>
      <w:rFonts w:ascii="Cambria" w:eastAsia="Cambria" w:hAnsi="Cambria" w:cs="Times New Roman"/>
    </w:rPr>
  </w:style>
  <w:style w:type="paragraph" w:styleId="BodyText2">
    <w:name w:val="Body Text 2"/>
    <w:basedOn w:val="Normal"/>
    <w:link w:val="BodyText2Char"/>
    <w:uiPriority w:val="99"/>
    <w:semiHidden/>
    <w:unhideWhenUsed/>
    <w:rsid w:val="009972EC"/>
    <w:pPr>
      <w:spacing w:line="480" w:lineRule="auto"/>
    </w:pPr>
  </w:style>
  <w:style w:type="character" w:customStyle="1" w:styleId="BodyText2Char">
    <w:name w:val="Body Text 2 Char"/>
    <w:basedOn w:val="DefaultParagraphFont"/>
    <w:link w:val="BodyText2"/>
    <w:uiPriority w:val="99"/>
    <w:semiHidden/>
    <w:rsid w:val="009972EC"/>
    <w:rPr>
      <w:rFonts w:ascii="Cambria" w:eastAsia="Cambria" w:hAnsi="Cambria" w:cs="Times New Roman"/>
    </w:rPr>
  </w:style>
  <w:style w:type="paragraph" w:styleId="BodyText3">
    <w:name w:val="Body Text 3"/>
    <w:basedOn w:val="Normal"/>
    <w:link w:val="BodyText3Char"/>
    <w:uiPriority w:val="99"/>
    <w:semiHidden/>
    <w:unhideWhenUsed/>
    <w:rsid w:val="009972EC"/>
    <w:rPr>
      <w:sz w:val="16"/>
      <w:szCs w:val="16"/>
    </w:rPr>
  </w:style>
  <w:style w:type="character" w:customStyle="1" w:styleId="BodyText3Char">
    <w:name w:val="Body Text 3 Char"/>
    <w:basedOn w:val="DefaultParagraphFont"/>
    <w:link w:val="BodyText3"/>
    <w:uiPriority w:val="99"/>
    <w:semiHidden/>
    <w:rsid w:val="009972EC"/>
    <w:rPr>
      <w:rFonts w:ascii="Cambria" w:eastAsia="Cambria" w:hAnsi="Cambria" w:cs="Times New Roman"/>
      <w:sz w:val="16"/>
      <w:szCs w:val="16"/>
    </w:rPr>
  </w:style>
  <w:style w:type="paragraph" w:styleId="BodyTextFirstIndent">
    <w:name w:val="Body Text First Indent"/>
    <w:basedOn w:val="BodyText"/>
    <w:link w:val="BodyTextFirstIndentChar"/>
    <w:uiPriority w:val="99"/>
    <w:semiHidden/>
    <w:unhideWhenUsed/>
    <w:rsid w:val="009972EC"/>
    <w:pPr>
      <w:ind w:firstLine="360"/>
    </w:pPr>
  </w:style>
  <w:style w:type="character" w:customStyle="1" w:styleId="BodyTextFirstIndentChar">
    <w:name w:val="Body Text First Indent Char"/>
    <w:basedOn w:val="BodyTextChar"/>
    <w:link w:val="BodyTextFirstIndent"/>
    <w:uiPriority w:val="99"/>
    <w:semiHidden/>
    <w:rsid w:val="009972EC"/>
    <w:rPr>
      <w:rFonts w:ascii="Cambria" w:eastAsia="Cambria" w:hAnsi="Cambria" w:cs="Times New Roman"/>
    </w:rPr>
  </w:style>
  <w:style w:type="paragraph" w:styleId="BodyTextIndent">
    <w:name w:val="Body Text Indent"/>
    <w:basedOn w:val="Normal"/>
    <w:link w:val="BodyTextIndentChar"/>
    <w:uiPriority w:val="99"/>
    <w:semiHidden/>
    <w:unhideWhenUsed/>
    <w:rsid w:val="009972EC"/>
    <w:pPr>
      <w:ind w:left="283"/>
    </w:pPr>
  </w:style>
  <w:style w:type="character" w:customStyle="1" w:styleId="BodyTextIndentChar">
    <w:name w:val="Body Text Indent Char"/>
    <w:basedOn w:val="DefaultParagraphFont"/>
    <w:link w:val="BodyTextIndent"/>
    <w:uiPriority w:val="99"/>
    <w:semiHidden/>
    <w:rsid w:val="009972EC"/>
    <w:rPr>
      <w:rFonts w:ascii="Cambria" w:eastAsia="Cambria" w:hAnsi="Cambria" w:cs="Times New Roman"/>
    </w:rPr>
  </w:style>
  <w:style w:type="paragraph" w:styleId="BodyTextFirstIndent2">
    <w:name w:val="Body Text First Indent 2"/>
    <w:basedOn w:val="BodyTextIndent"/>
    <w:link w:val="BodyTextFirstIndent2Char"/>
    <w:uiPriority w:val="99"/>
    <w:semiHidden/>
    <w:unhideWhenUsed/>
    <w:rsid w:val="009972EC"/>
    <w:pPr>
      <w:ind w:left="360" w:firstLine="360"/>
    </w:pPr>
  </w:style>
  <w:style w:type="character" w:customStyle="1" w:styleId="BodyTextFirstIndent2Char">
    <w:name w:val="Body Text First Indent 2 Char"/>
    <w:basedOn w:val="BodyTextIndentChar"/>
    <w:link w:val="BodyTextFirstIndent2"/>
    <w:uiPriority w:val="99"/>
    <w:semiHidden/>
    <w:rsid w:val="009972EC"/>
    <w:rPr>
      <w:rFonts w:ascii="Cambria" w:eastAsia="Cambria" w:hAnsi="Cambria" w:cs="Times New Roman"/>
    </w:rPr>
  </w:style>
  <w:style w:type="paragraph" w:styleId="BodyTextIndent2">
    <w:name w:val="Body Text Indent 2"/>
    <w:basedOn w:val="Normal"/>
    <w:link w:val="BodyTextIndent2Char"/>
    <w:uiPriority w:val="99"/>
    <w:semiHidden/>
    <w:unhideWhenUsed/>
    <w:rsid w:val="009972EC"/>
    <w:pPr>
      <w:spacing w:line="480" w:lineRule="auto"/>
      <w:ind w:left="283"/>
    </w:pPr>
  </w:style>
  <w:style w:type="character" w:customStyle="1" w:styleId="BodyTextIndent2Char">
    <w:name w:val="Body Text Indent 2 Char"/>
    <w:basedOn w:val="DefaultParagraphFont"/>
    <w:link w:val="BodyTextIndent2"/>
    <w:uiPriority w:val="99"/>
    <w:semiHidden/>
    <w:rsid w:val="009972EC"/>
    <w:rPr>
      <w:rFonts w:ascii="Cambria" w:eastAsia="Cambria" w:hAnsi="Cambria" w:cs="Times New Roman"/>
    </w:rPr>
  </w:style>
  <w:style w:type="paragraph" w:styleId="BodyTextIndent3">
    <w:name w:val="Body Text Indent 3"/>
    <w:basedOn w:val="Normal"/>
    <w:link w:val="BodyTextIndent3Char"/>
    <w:uiPriority w:val="99"/>
    <w:semiHidden/>
    <w:unhideWhenUsed/>
    <w:rsid w:val="009972EC"/>
    <w:pPr>
      <w:ind w:left="283"/>
    </w:pPr>
    <w:rPr>
      <w:sz w:val="16"/>
      <w:szCs w:val="16"/>
    </w:rPr>
  </w:style>
  <w:style w:type="character" w:customStyle="1" w:styleId="BodyTextIndent3Char">
    <w:name w:val="Body Text Indent 3 Char"/>
    <w:basedOn w:val="DefaultParagraphFont"/>
    <w:link w:val="BodyTextIndent3"/>
    <w:uiPriority w:val="99"/>
    <w:semiHidden/>
    <w:rsid w:val="009972EC"/>
    <w:rPr>
      <w:rFonts w:ascii="Cambria" w:eastAsia="Cambria" w:hAnsi="Cambria" w:cs="Times New Roman"/>
      <w:sz w:val="16"/>
      <w:szCs w:val="16"/>
    </w:rPr>
  </w:style>
  <w:style w:type="paragraph" w:styleId="Closing">
    <w:name w:val="Closing"/>
    <w:basedOn w:val="Normal"/>
    <w:link w:val="ClosingChar"/>
    <w:uiPriority w:val="99"/>
    <w:semiHidden/>
    <w:unhideWhenUsed/>
    <w:rsid w:val="009972EC"/>
    <w:pPr>
      <w:spacing w:before="0" w:after="0" w:line="240" w:lineRule="auto"/>
      <w:ind w:left="4252"/>
    </w:pPr>
  </w:style>
  <w:style w:type="character" w:customStyle="1" w:styleId="ClosingChar">
    <w:name w:val="Closing Char"/>
    <w:basedOn w:val="DefaultParagraphFont"/>
    <w:link w:val="Closing"/>
    <w:uiPriority w:val="99"/>
    <w:semiHidden/>
    <w:rsid w:val="009972EC"/>
    <w:rPr>
      <w:rFonts w:ascii="Cambria" w:eastAsia="Cambria" w:hAnsi="Cambria" w:cs="Times New Roman"/>
    </w:rPr>
  </w:style>
  <w:style w:type="paragraph" w:styleId="DocumentMap">
    <w:name w:val="Document Map"/>
    <w:basedOn w:val="Normal"/>
    <w:link w:val="DocumentMapChar"/>
    <w:uiPriority w:val="99"/>
    <w:semiHidden/>
    <w:unhideWhenUsed/>
    <w:rsid w:val="009972EC"/>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972EC"/>
    <w:rPr>
      <w:rFonts w:ascii="Tahoma" w:eastAsia="Cambria" w:hAnsi="Tahoma" w:cs="Tahoma"/>
      <w:sz w:val="16"/>
      <w:szCs w:val="16"/>
    </w:rPr>
  </w:style>
  <w:style w:type="paragraph" w:styleId="E-mailSignature">
    <w:name w:val="E-mail Signature"/>
    <w:basedOn w:val="Normal"/>
    <w:link w:val="E-mailSignatureChar"/>
    <w:uiPriority w:val="99"/>
    <w:semiHidden/>
    <w:unhideWhenUsed/>
    <w:rsid w:val="009972EC"/>
    <w:pPr>
      <w:spacing w:before="0" w:after="0" w:line="240" w:lineRule="auto"/>
    </w:pPr>
  </w:style>
  <w:style w:type="character" w:customStyle="1" w:styleId="E-mailSignatureChar">
    <w:name w:val="E-mail Signature Char"/>
    <w:basedOn w:val="DefaultParagraphFont"/>
    <w:link w:val="E-mailSignature"/>
    <w:uiPriority w:val="99"/>
    <w:semiHidden/>
    <w:rsid w:val="009972EC"/>
    <w:rPr>
      <w:rFonts w:ascii="Cambria" w:eastAsia="Cambria" w:hAnsi="Cambria" w:cs="Times New Roman"/>
    </w:rPr>
  </w:style>
  <w:style w:type="paragraph" w:styleId="EnvelopeAddress">
    <w:name w:val="envelope address"/>
    <w:basedOn w:val="Normal"/>
    <w:uiPriority w:val="99"/>
    <w:semiHidden/>
    <w:unhideWhenUsed/>
    <w:rsid w:val="009972EC"/>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72EC"/>
    <w:pPr>
      <w:spacing w:before="0" w:after="0" w:line="240" w:lineRule="auto"/>
    </w:pPr>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972E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9972EC"/>
    <w:pPr>
      <w:spacing w:before="0" w:after="0" w:line="240" w:lineRule="auto"/>
    </w:pPr>
    <w:rPr>
      <w:i/>
      <w:iCs/>
    </w:rPr>
  </w:style>
  <w:style w:type="character" w:customStyle="1" w:styleId="HTMLAddressChar">
    <w:name w:val="HTML Address Char"/>
    <w:basedOn w:val="DefaultParagraphFont"/>
    <w:link w:val="HTMLAddress"/>
    <w:uiPriority w:val="99"/>
    <w:semiHidden/>
    <w:rsid w:val="009972EC"/>
    <w:rPr>
      <w:rFonts w:ascii="Cambria" w:eastAsia="Cambria" w:hAnsi="Cambria" w:cs="Times New Roman"/>
      <w:i/>
      <w:iCs/>
    </w:rPr>
  </w:style>
  <w:style w:type="paragraph" w:styleId="HTMLPreformatted">
    <w:name w:val="HTML Preformatted"/>
    <w:basedOn w:val="Normal"/>
    <w:link w:val="HTMLPreformattedChar"/>
    <w:uiPriority w:val="99"/>
    <w:semiHidden/>
    <w:unhideWhenUsed/>
    <w:rsid w:val="009972EC"/>
    <w:pPr>
      <w:spacing w:before="0"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9972EC"/>
    <w:rPr>
      <w:rFonts w:ascii="Consolas" w:eastAsia="Cambria" w:hAnsi="Consolas" w:cs="Consolas"/>
      <w:sz w:val="20"/>
      <w:szCs w:val="20"/>
    </w:rPr>
  </w:style>
  <w:style w:type="paragraph" w:styleId="Index1">
    <w:name w:val="index 1"/>
    <w:basedOn w:val="Normal"/>
    <w:next w:val="Normal"/>
    <w:autoRedefine/>
    <w:uiPriority w:val="99"/>
    <w:semiHidden/>
    <w:unhideWhenUsed/>
    <w:rsid w:val="009972EC"/>
    <w:pPr>
      <w:spacing w:before="0" w:after="0" w:line="240" w:lineRule="auto"/>
      <w:ind w:left="220" w:hanging="220"/>
    </w:pPr>
  </w:style>
  <w:style w:type="paragraph" w:styleId="Index2">
    <w:name w:val="index 2"/>
    <w:basedOn w:val="Normal"/>
    <w:next w:val="Normal"/>
    <w:autoRedefine/>
    <w:uiPriority w:val="99"/>
    <w:semiHidden/>
    <w:unhideWhenUsed/>
    <w:rsid w:val="009972EC"/>
    <w:pPr>
      <w:spacing w:before="0" w:after="0" w:line="240" w:lineRule="auto"/>
      <w:ind w:left="440" w:hanging="220"/>
    </w:pPr>
  </w:style>
  <w:style w:type="paragraph" w:styleId="Index3">
    <w:name w:val="index 3"/>
    <w:basedOn w:val="Normal"/>
    <w:next w:val="Normal"/>
    <w:autoRedefine/>
    <w:uiPriority w:val="99"/>
    <w:semiHidden/>
    <w:unhideWhenUsed/>
    <w:rsid w:val="009972EC"/>
    <w:pPr>
      <w:spacing w:before="0" w:after="0" w:line="240" w:lineRule="auto"/>
      <w:ind w:left="660" w:hanging="220"/>
    </w:pPr>
  </w:style>
  <w:style w:type="paragraph" w:styleId="Index4">
    <w:name w:val="index 4"/>
    <w:basedOn w:val="Normal"/>
    <w:next w:val="Normal"/>
    <w:autoRedefine/>
    <w:uiPriority w:val="99"/>
    <w:semiHidden/>
    <w:unhideWhenUsed/>
    <w:rsid w:val="009972EC"/>
    <w:pPr>
      <w:spacing w:before="0" w:after="0" w:line="240" w:lineRule="auto"/>
      <w:ind w:left="880" w:hanging="220"/>
    </w:pPr>
  </w:style>
  <w:style w:type="paragraph" w:styleId="Index5">
    <w:name w:val="index 5"/>
    <w:basedOn w:val="Normal"/>
    <w:next w:val="Normal"/>
    <w:autoRedefine/>
    <w:uiPriority w:val="99"/>
    <w:semiHidden/>
    <w:unhideWhenUsed/>
    <w:rsid w:val="009972EC"/>
    <w:pPr>
      <w:spacing w:before="0" w:after="0" w:line="240" w:lineRule="auto"/>
      <w:ind w:left="1100" w:hanging="220"/>
    </w:pPr>
  </w:style>
  <w:style w:type="paragraph" w:styleId="Index6">
    <w:name w:val="index 6"/>
    <w:basedOn w:val="Normal"/>
    <w:next w:val="Normal"/>
    <w:autoRedefine/>
    <w:uiPriority w:val="99"/>
    <w:semiHidden/>
    <w:unhideWhenUsed/>
    <w:rsid w:val="009972EC"/>
    <w:pPr>
      <w:spacing w:before="0" w:after="0" w:line="240" w:lineRule="auto"/>
      <w:ind w:left="1320" w:hanging="220"/>
    </w:pPr>
  </w:style>
  <w:style w:type="paragraph" w:styleId="Index7">
    <w:name w:val="index 7"/>
    <w:basedOn w:val="Normal"/>
    <w:next w:val="Normal"/>
    <w:autoRedefine/>
    <w:uiPriority w:val="99"/>
    <w:semiHidden/>
    <w:unhideWhenUsed/>
    <w:rsid w:val="009972EC"/>
    <w:pPr>
      <w:spacing w:before="0" w:after="0" w:line="240" w:lineRule="auto"/>
      <w:ind w:left="1540" w:hanging="220"/>
    </w:pPr>
  </w:style>
  <w:style w:type="paragraph" w:styleId="Index8">
    <w:name w:val="index 8"/>
    <w:basedOn w:val="Normal"/>
    <w:next w:val="Normal"/>
    <w:autoRedefine/>
    <w:uiPriority w:val="99"/>
    <w:semiHidden/>
    <w:unhideWhenUsed/>
    <w:rsid w:val="009972EC"/>
    <w:pPr>
      <w:spacing w:before="0" w:after="0" w:line="240" w:lineRule="auto"/>
      <w:ind w:left="1760" w:hanging="220"/>
    </w:pPr>
  </w:style>
  <w:style w:type="paragraph" w:styleId="Index9">
    <w:name w:val="index 9"/>
    <w:basedOn w:val="Normal"/>
    <w:next w:val="Normal"/>
    <w:autoRedefine/>
    <w:uiPriority w:val="99"/>
    <w:semiHidden/>
    <w:unhideWhenUsed/>
    <w:rsid w:val="009972EC"/>
    <w:pPr>
      <w:spacing w:before="0" w:after="0" w:line="240" w:lineRule="auto"/>
      <w:ind w:left="1980" w:hanging="220"/>
    </w:pPr>
  </w:style>
  <w:style w:type="paragraph" w:styleId="IndexHeading">
    <w:name w:val="index heading"/>
    <w:basedOn w:val="Normal"/>
    <w:next w:val="Index1"/>
    <w:uiPriority w:val="99"/>
    <w:semiHidden/>
    <w:unhideWhenUsed/>
    <w:rsid w:val="009972EC"/>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9972EC"/>
    <w:pPr>
      <w:pBdr>
        <w:bottom w:val="single" w:sz="4" w:space="4" w:color="002C47" w:themeColor="accent1"/>
      </w:pBdr>
      <w:spacing w:before="200" w:after="280"/>
      <w:ind w:left="936" w:right="936"/>
    </w:pPr>
    <w:rPr>
      <w:b/>
      <w:bCs/>
      <w:i/>
      <w:iCs/>
      <w:color w:val="002C47" w:themeColor="accent1"/>
    </w:rPr>
  </w:style>
  <w:style w:type="character" w:customStyle="1" w:styleId="IntenseQuoteChar">
    <w:name w:val="Intense Quote Char"/>
    <w:basedOn w:val="DefaultParagraphFont"/>
    <w:link w:val="IntenseQuote"/>
    <w:uiPriority w:val="30"/>
    <w:rsid w:val="009972EC"/>
    <w:rPr>
      <w:rFonts w:ascii="Cambria" w:eastAsia="Cambria" w:hAnsi="Cambria" w:cs="Times New Roman"/>
      <w:b/>
      <w:bCs/>
      <w:i/>
      <w:iCs/>
      <w:color w:val="002C47" w:themeColor="accent1"/>
    </w:rPr>
  </w:style>
  <w:style w:type="paragraph" w:styleId="List">
    <w:name w:val="List"/>
    <w:basedOn w:val="Normal"/>
    <w:uiPriority w:val="99"/>
    <w:semiHidden/>
    <w:unhideWhenUsed/>
    <w:rsid w:val="009972EC"/>
    <w:pPr>
      <w:ind w:left="283" w:hanging="283"/>
      <w:contextualSpacing/>
    </w:pPr>
  </w:style>
  <w:style w:type="paragraph" w:styleId="List2">
    <w:name w:val="List 2"/>
    <w:basedOn w:val="Normal"/>
    <w:uiPriority w:val="99"/>
    <w:semiHidden/>
    <w:unhideWhenUsed/>
    <w:rsid w:val="009972EC"/>
    <w:pPr>
      <w:ind w:left="566" w:hanging="283"/>
      <w:contextualSpacing/>
    </w:pPr>
  </w:style>
  <w:style w:type="paragraph" w:styleId="List3">
    <w:name w:val="List 3"/>
    <w:basedOn w:val="Normal"/>
    <w:uiPriority w:val="99"/>
    <w:semiHidden/>
    <w:unhideWhenUsed/>
    <w:rsid w:val="009972EC"/>
    <w:pPr>
      <w:ind w:left="849" w:hanging="283"/>
      <w:contextualSpacing/>
    </w:pPr>
  </w:style>
  <w:style w:type="paragraph" w:styleId="List4">
    <w:name w:val="List 4"/>
    <w:basedOn w:val="Normal"/>
    <w:uiPriority w:val="99"/>
    <w:semiHidden/>
    <w:unhideWhenUsed/>
    <w:rsid w:val="009972EC"/>
    <w:pPr>
      <w:ind w:left="1132" w:hanging="283"/>
      <w:contextualSpacing/>
    </w:pPr>
  </w:style>
  <w:style w:type="paragraph" w:styleId="List5">
    <w:name w:val="List 5"/>
    <w:basedOn w:val="Normal"/>
    <w:uiPriority w:val="99"/>
    <w:semiHidden/>
    <w:unhideWhenUsed/>
    <w:rsid w:val="009972EC"/>
    <w:pPr>
      <w:ind w:left="1415" w:hanging="283"/>
      <w:contextualSpacing/>
    </w:pPr>
  </w:style>
  <w:style w:type="paragraph" w:styleId="ListBullet4">
    <w:name w:val="List Bullet 4"/>
    <w:basedOn w:val="Normal"/>
    <w:uiPriority w:val="99"/>
    <w:semiHidden/>
    <w:unhideWhenUsed/>
    <w:rsid w:val="009972EC"/>
    <w:pPr>
      <w:numPr>
        <w:numId w:val="20"/>
      </w:numPr>
      <w:contextualSpacing/>
    </w:pPr>
  </w:style>
  <w:style w:type="paragraph" w:styleId="ListBullet5">
    <w:name w:val="List Bullet 5"/>
    <w:basedOn w:val="Normal"/>
    <w:uiPriority w:val="99"/>
    <w:semiHidden/>
    <w:unhideWhenUsed/>
    <w:rsid w:val="009972EC"/>
    <w:pPr>
      <w:numPr>
        <w:numId w:val="21"/>
      </w:numPr>
      <w:contextualSpacing/>
    </w:pPr>
  </w:style>
  <w:style w:type="paragraph" w:styleId="ListContinue">
    <w:name w:val="List Continue"/>
    <w:basedOn w:val="Normal"/>
    <w:uiPriority w:val="99"/>
    <w:semiHidden/>
    <w:unhideWhenUsed/>
    <w:rsid w:val="009972EC"/>
    <w:pPr>
      <w:ind w:left="283"/>
      <w:contextualSpacing/>
    </w:pPr>
  </w:style>
  <w:style w:type="paragraph" w:styleId="ListContinue2">
    <w:name w:val="List Continue 2"/>
    <w:basedOn w:val="Normal"/>
    <w:uiPriority w:val="99"/>
    <w:semiHidden/>
    <w:unhideWhenUsed/>
    <w:rsid w:val="009972EC"/>
    <w:pPr>
      <w:ind w:left="566"/>
      <w:contextualSpacing/>
    </w:pPr>
  </w:style>
  <w:style w:type="paragraph" w:styleId="ListContinue3">
    <w:name w:val="List Continue 3"/>
    <w:basedOn w:val="Normal"/>
    <w:uiPriority w:val="99"/>
    <w:semiHidden/>
    <w:unhideWhenUsed/>
    <w:rsid w:val="009972EC"/>
    <w:pPr>
      <w:ind w:left="849"/>
      <w:contextualSpacing/>
    </w:pPr>
  </w:style>
  <w:style w:type="paragraph" w:styleId="ListContinue4">
    <w:name w:val="List Continue 4"/>
    <w:basedOn w:val="Normal"/>
    <w:uiPriority w:val="99"/>
    <w:semiHidden/>
    <w:unhideWhenUsed/>
    <w:rsid w:val="009972EC"/>
    <w:pPr>
      <w:ind w:left="1132"/>
      <w:contextualSpacing/>
    </w:pPr>
  </w:style>
  <w:style w:type="paragraph" w:styleId="ListContinue5">
    <w:name w:val="List Continue 5"/>
    <w:basedOn w:val="Normal"/>
    <w:uiPriority w:val="99"/>
    <w:semiHidden/>
    <w:unhideWhenUsed/>
    <w:rsid w:val="009972EC"/>
    <w:pPr>
      <w:ind w:left="1415"/>
      <w:contextualSpacing/>
    </w:pPr>
  </w:style>
  <w:style w:type="paragraph" w:styleId="ListNumber">
    <w:name w:val="List Number"/>
    <w:basedOn w:val="Normal"/>
    <w:uiPriority w:val="99"/>
    <w:semiHidden/>
    <w:unhideWhenUsed/>
    <w:rsid w:val="009972EC"/>
    <w:pPr>
      <w:numPr>
        <w:numId w:val="22"/>
      </w:numPr>
      <w:contextualSpacing/>
    </w:pPr>
  </w:style>
  <w:style w:type="paragraph" w:styleId="ListNumber2">
    <w:name w:val="List Number 2"/>
    <w:basedOn w:val="Normal"/>
    <w:uiPriority w:val="99"/>
    <w:semiHidden/>
    <w:unhideWhenUsed/>
    <w:rsid w:val="009972EC"/>
    <w:pPr>
      <w:numPr>
        <w:numId w:val="23"/>
      </w:numPr>
      <w:contextualSpacing/>
    </w:pPr>
  </w:style>
  <w:style w:type="paragraph" w:styleId="ListNumber3">
    <w:name w:val="List Number 3"/>
    <w:basedOn w:val="Normal"/>
    <w:uiPriority w:val="99"/>
    <w:semiHidden/>
    <w:unhideWhenUsed/>
    <w:rsid w:val="009972EC"/>
    <w:pPr>
      <w:numPr>
        <w:numId w:val="24"/>
      </w:numPr>
      <w:contextualSpacing/>
    </w:pPr>
  </w:style>
  <w:style w:type="paragraph" w:styleId="ListNumber4">
    <w:name w:val="List Number 4"/>
    <w:basedOn w:val="Normal"/>
    <w:uiPriority w:val="99"/>
    <w:semiHidden/>
    <w:unhideWhenUsed/>
    <w:rsid w:val="009972EC"/>
    <w:pPr>
      <w:numPr>
        <w:numId w:val="25"/>
      </w:numPr>
      <w:contextualSpacing/>
    </w:pPr>
  </w:style>
  <w:style w:type="paragraph" w:styleId="ListNumber5">
    <w:name w:val="List Number 5"/>
    <w:basedOn w:val="Normal"/>
    <w:uiPriority w:val="99"/>
    <w:semiHidden/>
    <w:unhideWhenUsed/>
    <w:rsid w:val="009972EC"/>
    <w:pPr>
      <w:numPr>
        <w:numId w:val="26"/>
      </w:numPr>
      <w:contextualSpacing/>
    </w:pPr>
  </w:style>
  <w:style w:type="paragraph" w:styleId="MacroText">
    <w:name w:val="macro"/>
    <w:link w:val="MacroTextChar"/>
    <w:uiPriority w:val="99"/>
    <w:semiHidden/>
    <w:unhideWhenUsed/>
    <w:rsid w:val="009972EC"/>
    <w:pPr>
      <w:tabs>
        <w:tab w:val="left" w:pos="480"/>
        <w:tab w:val="left" w:pos="960"/>
        <w:tab w:val="left" w:pos="1440"/>
        <w:tab w:val="left" w:pos="1920"/>
        <w:tab w:val="left" w:pos="2400"/>
        <w:tab w:val="left" w:pos="2880"/>
        <w:tab w:val="left" w:pos="3360"/>
        <w:tab w:val="left" w:pos="3840"/>
        <w:tab w:val="left" w:pos="4320"/>
      </w:tabs>
      <w:spacing w:before="120" w:after="0" w:line="240" w:lineRule="atLeast"/>
    </w:pPr>
    <w:rPr>
      <w:rFonts w:ascii="Consolas" w:eastAsia="Cambria" w:hAnsi="Consolas" w:cs="Consolas"/>
      <w:sz w:val="20"/>
      <w:szCs w:val="20"/>
    </w:rPr>
  </w:style>
  <w:style w:type="character" w:customStyle="1" w:styleId="MacroTextChar">
    <w:name w:val="Macro Text Char"/>
    <w:basedOn w:val="DefaultParagraphFont"/>
    <w:link w:val="MacroText"/>
    <w:uiPriority w:val="99"/>
    <w:semiHidden/>
    <w:rsid w:val="009972EC"/>
    <w:rPr>
      <w:rFonts w:ascii="Consolas" w:eastAsia="Cambria" w:hAnsi="Consolas" w:cs="Consolas"/>
      <w:sz w:val="20"/>
      <w:szCs w:val="20"/>
    </w:rPr>
  </w:style>
  <w:style w:type="paragraph" w:styleId="MessageHeader">
    <w:name w:val="Message Header"/>
    <w:basedOn w:val="Normal"/>
    <w:link w:val="MessageHeaderChar"/>
    <w:uiPriority w:val="99"/>
    <w:semiHidden/>
    <w:unhideWhenUsed/>
    <w:rsid w:val="009972E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72EC"/>
    <w:rPr>
      <w:rFonts w:asciiTheme="majorHAnsi" w:eastAsiaTheme="majorEastAsia" w:hAnsiTheme="majorHAnsi" w:cstheme="majorBidi"/>
      <w:sz w:val="24"/>
      <w:szCs w:val="24"/>
      <w:shd w:val="pct20" w:color="auto" w:fill="auto"/>
    </w:rPr>
  </w:style>
  <w:style w:type="paragraph" w:styleId="NoSpacing">
    <w:name w:val="No Spacing"/>
    <w:uiPriority w:val="1"/>
    <w:rsid w:val="009972EC"/>
    <w:pPr>
      <w:spacing w:after="0" w:line="240" w:lineRule="auto"/>
    </w:pPr>
    <w:rPr>
      <w:rFonts w:ascii="Cambria" w:eastAsia="Cambria" w:hAnsi="Cambria" w:cs="Times New Roman"/>
    </w:rPr>
  </w:style>
  <w:style w:type="paragraph" w:styleId="NormalIndent">
    <w:name w:val="Normal Indent"/>
    <w:basedOn w:val="Normal"/>
    <w:uiPriority w:val="99"/>
    <w:semiHidden/>
    <w:unhideWhenUsed/>
    <w:rsid w:val="009972EC"/>
    <w:pPr>
      <w:ind w:left="720"/>
    </w:pPr>
  </w:style>
  <w:style w:type="paragraph" w:styleId="NoteHeading">
    <w:name w:val="Note Heading"/>
    <w:basedOn w:val="Normal"/>
    <w:next w:val="Normal"/>
    <w:link w:val="NoteHeadingChar"/>
    <w:uiPriority w:val="99"/>
    <w:semiHidden/>
    <w:unhideWhenUsed/>
    <w:rsid w:val="009972EC"/>
    <w:pPr>
      <w:spacing w:before="0" w:after="0" w:line="240" w:lineRule="auto"/>
    </w:pPr>
  </w:style>
  <w:style w:type="character" w:customStyle="1" w:styleId="NoteHeadingChar">
    <w:name w:val="Note Heading Char"/>
    <w:basedOn w:val="DefaultParagraphFont"/>
    <w:link w:val="NoteHeading"/>
    <w:uiPriority w:val="99"/>
    <w:semiHidden/>
    <w:rsid w:val="009972EC"/>
    <w:rPr>
      <w:rFonts w:ascii="Cambria" w:eastAsia="Cambria" w:hAnsi="Cambria" w:cs="Times New Roman"/>
    </w:rPr>
  </w:style>
  <w:style w:type="paragraph" w:styleId="PlainText">
    <w:name w:val="Plain Text"/>
    <w:basedOn w:val="Normal"/>
    <w:link w:val="PlainTextChar"/>
    <w:uiPriority w:val="99"/>
    <w:semiHidden/>
    <w:unhideWhenUsed/>
    <w:rsid w:val="009972EC"/>
    <w:pPr>
      <w:spacing w:before="0"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9972EC"/>
    <w:rPr>
      <w:rFonts w:ascii="Consolas" w:eastAsia="Cambria" w:hAnsi="Consolas" w:cs="Consolas"/>
      <w:sz w:val="21"/>
      <w:szCs w:val="21"/>
    </w:rPr>
  </w:style>
  <w:style w:type="paragraph" w:styleId="Quote">
    <w:name w:val="Quote"/>
    <w:basedOn w:val="Normal"/>
    <w:next w:val="Normal"/>
    <w:link w:val="QuoteChar"/>
    <w:uiPriority w:val="29"/>
    <w:rsid w:val="009972EC"/>
    <w:rPr>
      <w:i/>
      <w:iCs/>
      <w:color w:val="000000" w:themeColor="text1"/>
    </w:rPr>
  </w:style>
  <w:style w:type="character" w:customStyle="1" w:styleId="QuoteChar">
    <w:name w:val="Quote Char"/>
    <w:basedOn w:val="DefaultParagraphFont"/>
    <w:link w:val="Quote"/>
    <w:uiPriority w:val="29"/>
    <w:rsid w:val="009972EC"/>
    <w:rPr>
      <w:rFonts w:ascii="Cambria" w:eastAsia="Cambria" w:hAnsi="Cambria" w:cs="Times New Roman"/>
      <w:i/>
      <w:iCs/>
      <w:color w:val="000000" w:themeColor="text1"/>
    </w:rPr>
  </w:style>
  <w:style w:type="paragraph" w:styleId="Salutation">
    <w:name w:val="Salutation"/>
    <w:basedOn w:val="Normal"/>
    <w:next w:val="Normal"/>
    <w:link w:val="SalutationChar"/>
    <w:uiPriority w:val="99"/>
    <w:semiHidden/>
    <w:unhideWhenUsed/>
    <w:rsid w:val="009972EC"/>
  </w:style>
  <w:style w:type="character" w:customStyle="1" w:styleId="SalutationChar">
    <w:name w:val="Salutation Char"/>
    <w:basedOn w:val="DefaultParagraphFont"/>
    <w:link w:val="Salutation"/>
    <w:uiPriority w:val="99"/>
    <w:semiHidden/>
    <w:rsid w:val="009972EC"/>
    <w:rPr>
      <w:rFonts w:ascii="Cambria" w:eastAsia="Cambria" w:hAnsi="Cambria" w:cs="Times New Roman"/>
    </w:rPr>
  </w:style>
  <w:style w:type="paragraph" w:styleId="Signature">
    <w:name w:val="Signature"/>
    <w:basedOn w:val="Normal"/>
    <w:link w:val="SignatureChar"/>
    <w:uiPriority w:val="99"/>
    <w:semiHidden/>
    <w:unhideWhenUsed/>
    <w:rsid w:val="009972EC"/>
    <w:pPr>
      <w:spacing w:before="0" w:after="0" w:line="240" w:lineRule="auto"/>
      <w:ind w:left="4252"/>
    </w:pPr>
  </w:style>
  <w:style w:type="character" w:customStyle="1" w:styleId="SignatureChar">
    <w:name w:val="Signature Char"/>
    <w:basedOn w:val="DefaultParagraphFont"/>
    <w:link w:val="Signature"/>
    <w:uiPriority w:val="99"/>
    <w:semiHidden/>
    <w:rsid w:val="009972EC"/>
    <w:rPr>
      <w:rFonts w:ascii="Cambria" w:eastAsia="Cambria" w:hAnsi="Cambria" w:cs="Times New Roman"/>
    </w:rPr>
  </w:style>
  <w:style w:type="paragraph" w:styleId="TableofAuthorities">
    <w:name w:val="table of authorities"/>
    <w:basedOn w:val="Normal"/>
    <w:next w:val="Normal"/>
    <w:uiPriority w:val="99"/>
    <w:semiHidden/>
    <w:unhideWhenUsed/>
    <w:rsid w:val="009972EC"/>
    <w:pPr>
      <w:spacing w:after="0"/>
      <w:ind w:left="220" w:hanging="220"/>
    </w:pPr>
  </w:style>
  <w:style w:type="paragraph" w:styleId="TableofFigures">
    <w:name w:val="table of figures"/>
    <w:basedOn w:val="Normal"/>
    <w:next w:val="Normal"/>
    <w:uiPriority w:val="99"/>
    <w:semiHidden/>
    <w:unhideWhenUsed/>
    <w:rsid w:val="009972EC"/>
    <w:pPr>
      <w:spacing w:after="0"/>
    </w:pPr>
  </w:style>
  <w:style w:type="paragraph" w:styleId="TOAHeading">
    <w:name w:val="toa heading"/>
    <w:basedOn w:val="Normal"/>
    <w:next w:val="Normal"/>
    <w:uiPriority w:val="99"/>
    <w:semiHidden/>
    <w:unhideWhenUsed/>
    <w:rsid w:val="009972EC"/>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9972EC"/>
    <w:pPr>
      <w:spacing w:after="100"/>
      <w:ind w:left="660"/>
    </w:pPr>
  </w:style>
  <w:style w:type="paragraph" w:styleId="TOC5">
    <w:name w:val="toc 5"/>
    <w:basedOn w:val="Normal"/>
    <w:next w:val="Normal"/>
    <w:autoRedefine/>
    <w:uiPriority w:val="39"/>
    <w:semiHidden/>
    <w:unhideWhenUsed/>
    <w:rsid w:val="009972EC"/>
    <w:pPr>
      <w:spacing w:after="100"/>
      <w:ind w:left="880"/>
    </w:pPr>
  </w:style>
  <w:style w:type="paragraph" w:styleId="TOC6">
    <w:name w:val="toc 6"/>
    <w:basedOn w:val="Normal"/>
    <w:next w:val="Normal"/>
    <w:autoRedefine/>
    <w:uiPriority w:val="39"/>
    <w:semiHidden/>
    <w:unhideWhenUsed/>
    <w:rsid w:val="009972EC"/>
    <w:pPr>
      <w:spacing w:after="100"/>
      <w:ind w:left="1100"/>
    </w:pPr>
  </w:style>
  <w:style w:type="paragraph" w:styleId="TOC7">
    <w:name w:val="toc 7"/>
    <w:basedOn w:val="Normal"/>
    <w:next w:val="Normal"/>
    <w:autoRedefine/>
    <w:uiPriority w:val="39"/>
    <w:semiHidden/>
    <w:unhideWhenUsed/>
    <w:rsid w:val="009972EC"/>
    <w:pPr>
      <w:spacing w:after="100"/>
      <w:ind w:left="1320"/>
    </w:pPr>
  </w:style>
  <w:style w:type="paragraph" w:styleId="TOC8">
    <w:name w:val="toc 8"/>
    <w:basedOn w:val="Normal"/>
    <w:next w:val="Normal"/>
    <w:autoRedefine/>
    <w:uiPriority w:val="39"/>
    <w:semiHidden/>
    <w:unhideWhenUsed/>
    <w:rsid w:val="009972EC"/>
    <w:pPr>
      <w:spacing w:after="100"/>
      <w:ind w:left="1540"/>
    </w:pPr>
  </w:style>
  <w:style w:type="paragraph" w:styleId="TOC9">
    <w:name w:val="toc 9"/>
    <w:basedOn w:val="Normal"/>
    <w:next w:val="Normal"/>
    <w:autoRedefine/>
    <w:uiPriority w:val="39"/>
    <w:semiHidden/>
    <w:unhideWhenUsed/>
    <w:rsid w:val="009972EC"/>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10407">
      <w:bodyDiv w:val="1"/>
      <w:marLeft w:val="0"/>
      <w:marRight w:val="0"/>
      <w:marTop w:val="0"/>
      <w:marBottom w:val="0"/>
      <w:divBdr>
        <w:top w:val="none" w:sz="0" w:space="0" w:color="auto"/>
        <w:left w:val="none" w:sz="0" w:space="0" w:color="auto"/>
        <w:bottom w:val="none" w:sz="0" w:space="0" w:color="auto"/>
        <w:right w:val="none" w:sz="0" w:space="0" w:color="auto"/>
      </w:divBdr>
    </w:div>
    <w:div w:id="116413958">
      <w:bodyDiv w:val="1"/>
      <w:marLeft w:val="0"/>
      <w:marRight w:val="0"/>
      <w:marTop w:val="0"/>
      <w:marBottom w:val="0"/>
      <w:divBdr>
        <w:top w:val="none" w:sz="0" w:space="0" w:color="auto"/>
        <w:left w:val="none" w:sz="0" w:space="0" w:color="auto"/>
        <w:bottom w:val="none" w:sz="0" w:space="0" w:color="auto"/>
        <w:right w:val="none" w:sz="0" w:space="0" w:color="auto"/>
      </w:divBdr>
    </w:div>
    <w:div w:id="177936992">
      <w:bodyDiv w:val="1"/>
      <w:marLeft w:val="0"/>
      <w:marRight w:val="0"/>
      <w:marTop w:val="0"/>
      <w:marBottom w:val="0"/>
      <w:divBdr>
        <w:top w:val="none" w:sz="0" w:space="0" w:color="auto"/>
        <w:left w:val="none" w:sz="0" w:space="0" w:color="auto"/>
        <w:bottom w:val="none" w:sz="0" w:space="0" w:color="auto"/>
        <w:right w:val="none" w:sz="0" w:space="0" w:color="auto"/>
      </w:divBdr>
    </w:div>
    <w:div w:id="199711803">
      <w:bodyDiv w:val="1"/>
      <w:marLeft w:val="0"/>
      <w:marRight w:val="0"/>
      <w:marTop w:val="0"/>
      <w:marBottom w:val="0"/>
      <w:divBdr>
        <w:top w:val="none" w:sz="0" w:space="0" w:color="auto"/>
        <w:left w:val="none" w:sz="0" w:space="0" w:color="auto"/>
        <w:bottom w:val="none" w:sz="0" w:space="0" w:color="auto"/>
        <w:right w:val="none" w:sz="0" w:space="0" w:color="auto"/>
      </w:divBdr>
    </w:div>
    <w:div w:id="201600141">
      <w:bodyDiv w:val="1"/>
      <w:marLeft w:val="0"/>
      <w:marRight w:val="0"/>
      <w:marTop w:val="0"/>
      <w:marBottom w:val="0"/>
      <w:divBdr>
        <w:top w:val="none" w:sz="0" w:space="0" w:color="auto"/>
        <w:left w:val="none" w:sz="0" w:space="0" w:color="auto"/>
        <w:bottom w:val="none" w:sz="0" w:space="0" w:color="auto"/>
        <w:right w:val="none" w:sz="0" w:space="0" w:color="auto"/>
      </w:divBdr>
    </w:div>
    <w:div w:id="279729437">
      <w:bodyDiv w:val="1"/>
      <w:marLeft w:val="0"/>
      <w:marRight w:val="0"/>
      <w:marTop w:val="0"/>
      <w:marBottom w:val="0"/>
      <w:divBdr>
        <w:top w:val="none" w:sz="0" w:space="0" w:color="auto"/>
        <w:left w:val="none" w:sz="0" w:space="0" w:color="auto"/>
        <w:bottom w:val="none" w:sz="0" w:space="0" w:color="auto"/>
        <w:right w:val="none" w:sz="0" w:space="0" w:color="auto"/>
      </w:divBdr>
    </w:div>
    <w:div w:id="390351960">
      <w:bodyDiv w:val="1"/>
      <w:marLeft w:val="0"/>
      <w:marRight w:val="0"/>
      <w:marTop w:val="0"/>
      <w:marBottom w:val="0"/>
      <w:divBdr>
        <w:top w:val="none" w:sz="0" w:space="0" w:color="auto"/>
        <w:left w:val="none" w:sz="0" w:space="0" w:color="auto"/>
        <w:bottom w:val="none" w:sz="0" w:space="0" w:color="auto"/>
        <w:right w:val="none" w:sz="0" w:space="0" w:color="auto"/>
      </w:divBdr>
    </w:div>
    <w:div w:id="393816275">
      <w:bodyDiv w:val="1"/>
      <w:marLeft w:val="0"/>
      <w:marRight w:val="0"/>
      <w:marTop w:val="0"/>
      <w:marBottom w:val="0"/>
      <w:divBdr>
        <w:top w:val="none" w:sz="0" w:space="0" w:color="auto"/>
        <w:left w:val="none" w:sz="0" w:space="0" w:color="auto"/>
        <w:bottom w:val="none" w:sz="0" w:space="0" w:color="auto"/>
        <w:right w:val="none" w:sz="0" w:space="0" w:color="auto"/>
      </w:divBdr>
    </w:div>
    <w:div w:id="527184352">
      <w:bodyDiv w:val="1"/>
      <w:marLeft w:val="0"/>
      <w:marRight w:val="0"/>
      <w:marTop w:val="0"/>
      <w:marBottom w:val="0"/>
      <w:divBdr>
        <w:top w:val="none" w:sz="0" w:space="0" w:color="auto"/>
        <w:left w:val="none" w:sz="0" w:space="0" w:color="auto"/>
        <w:bottom w:val="none" w:sz="0" w:space="0" w:color="auto"/>
        <w:right w:val="none" w:sz="0" w:space="0" w:color="auto"/>
      </w:divBdr>
    </w:div>
    <w:div w:id="553855138">
      <w:bodyDiv w:val="1"/>
      <w:marLeft w:val="0"/>
      <w:marRight w:val="0"/>
      <w:marTop w:val="0"/>
      <w:marBottom w:val="0"/>
      <w:divBdr>
        <w:top w:val="none" w:sz="0" w:space="0" w:color="auto"/>
        <w:left w:val="none" w:sz="0" w:space="0" w:color="auto"/>
        <w:bottom w:val="none" w:sz="0" w:space="0" w:color="auto"/>
        <w:right w:val="none" w:sz="0" w:space="0" w:color="auto"/>
      </w:divBdr>
    </w:div>
    <w:div w:id="584995107">
      <w:bodyDiv w:val="1"/>
      <w:marLeft w:val="0"/>
      <w:marRight w:val="0"/>
      <w:marTop w:val="0"/>
      <w:marBottom w:val="0"/>
      <w:divBdr>
        <w:top w:val="none" w:sz="0" w:space="0" w:color="auto"/>
        <w:left w:val="none" w:sz="0" w:space="0" w:color="auto"/>
        <w:bottom w:val="none" w:sz="0" w:space="0" w:color="auto"/>
        <w:right w:val="none" w:sz="0" w:space="0" w:color="auto"/>
      </w:divBdr>
    </w:div>
    <w:div w:id="586040755">
      <w:bodyDiv w:val="1"/>
      <w:marLeft w:val="0"/>
      <w:marRight w:val="0"/>
      <w:marTop w:val="0"/>
      <w:marBottom w:val="0"/>
      <w:divBdr>
        <w:top w:val="none" w:sz="0" w:space="0" w:color="auto"/>
        <w:left w:val="none" w:sz="0" w:space="0" w:color="auto"/>
        <w:bottom w:val="none" w:sz="0" w:space="0" w:color="auto"/>
        <w:right w:val="none" w:sz="0" w:space="0" w:color="auto"/>
      </w:divBdr>
    </w:div>
    <w:div w:id="646741768">
      <w:bodyDiv w:val="1"/>
      <w:marLeft w:val="0"/>
      <w:marRight w:val="0"/>
      <w:marTop w:val="0"/>
      <w:marBottom w:val="0"/>
      <w:divBdr>
        <w:top w:val="none" w:sz="0" w:space="0" w:color="auto"/>
        <w:left w:val="none" w:sz="0" w:space="0" w:color="auto"/>
        <w:bottom w:val="none" w:sz="0" w:space="0" w:color="auto"/>
        <w:right w:val="none" w:sz="0" w:space="0" w:color="auto"/>
      </w:divBdr>
    </w:div>
    <w:div w:id="750153036">
      <w:bodyDiv w:val="1"/>
      <w:marLeft w:val="0"/>
      <w:marRight w:val="0"/>
      <w:marTop w:val="0"/>
      <w:marBottom w:val="0"/>
      <w:divBdr>
        <w:top w:val="none" w:sz="0" w:space="0" w:color="auto"/>
        <w:left w:val="none" w:sz="0" w:space="0" w:color="auto"/>
        <w:bottom w:val="none" w:sz="0" w:space="0" w:color="auto"/>
        <w:right w:val="none" w:sz="0" w:space="0" w:color="auto"/>
      </w:divBdr>
    </w:div>
    <w:div w:id="762534529">
      <w:bodyDiv w:val="1"/>
      <w:marLeft w:val="0"/>
      <w:marRight w:val="0"/>
      <w:marTop w:val="0"/>
      <w:marBottom w:val="0"/>
      <w:divBdr>
        <w:top w:val="none" w:sz="0" w:space="0" w:color="auto"/>
        <w:left w:val="none" w:sz="0" w:space="0" w:color="auto"/>
        <w:bottom w:val="none" w:sz="0" w:space="0" w:color="auto"/>
        <w:right w:val="none" w:sz="0" w:space="0" w:color="auto"/>
      </w:divBdr>
    </w:div>
    <w:div w:id="767312411">
      <w:bodyDiv w:val="1"/>
      <w:marLeft w:val="0"/>
      <w:marRight w:val="0"/>
      <w:marTop w:val="0"/>
      <w:marBottom w:val="0"/>
      <w:divBdr>
        <w:top w:val="none" w:sz="0" w:space="0" w:color="auto"/>
        <w:left w:val="none" w:sz="0" w:space="0" w:color="auto"/>
        <w:bottom w:val="none" w:sz="0" w:space="0" w:color="auto"/>
        <w:right w:val="none" w:sz="0" w:space="0" w:color="auto"/>
      </w:divBdr>
    </w:div>
    <w:div w:id="869412416">
      <w:bodyDiv w:val="1"/>
      <w:marLeft w:val="0"/>
      <w:marRight w:val="0"/>
      <w:marTop w:val="0"/>
      <w:marBottom w:val="0"/>
      <w:divBdr>
        <w:top w:val="none" w:sz="0" w:space="0" w:color="auto"/>
        <w:left w:val="none" w:sz="0" w:space="0" w:color="auto"/>
        <w:bottom w:val="none" w:sz="0" w:space="0" w:color="auto"/>
        <w:right w:val="none" w:sz="0" w:space="0" w:color="auto"/>
      </w:divBdr>
    </w:div>
    <w:div w:id="896625743">
      <w:bodyDiv w:val="1"/>
      <w:marLeft w:val="0"/>
      <w:marRight w:val="0"/>
      <w:marTop w:val="0"/>
      <w:marBottom w:val="0"/>
      <w:divBdr>
        <w:top w:val="none" w:sz="0" w:space="0" w:color="auto"/>
        <w:left w:val="none" w:sz="0" w:space="0" w:color="auto"/>
        <w:bottom w:val="none" w:sz="0" w:space="0" w:color="auto"/>
        <w:right w:val="none" w:sz="0" w:space="0" w:color="auto"/>
      </w:divBdr>
    </w:div>
    <w:div w:id="924606491">
      <w:bodyDiv w:val="1"/>
      <w:marLeft w:val="0"/>
      <w:marRight w:val="0"/>
      <w:marTop w:val="0"/>
      <w:marBottom w:val="0"/>
      <w:divBdr>
        <w:top w:val="none" w:sz="0" w:space="0" w:color="auto"/>
        <w:left w:val="none" w:sz="0" w:space="0" w:color="auto"/>
        <w:bottom w:val="none" w:sz="0" w:space="0" w:color="auto"/>
        <w:right w:val="none" w:sz="0" w:space="0" w:color="auto"/>
      </w:divBdr>
    </w:div>
    <w:div w:id="927621235">
      <w:bodyDiv w:val="1"/>
      <w:marLeft w:val="0"/>
      <w:marRight w:val="0"/>
      <w:marTop w:val="0"/>
      <w:marBottom w:val="0"/>
      <w:divBdr>
        <w:top w:val="none" w:sz="0" w:space="0" w:color="auto"/>
        <w:left w:val="none" w:sz="0" w:space="0" w:color="auto"/>
        <w:bottom w:val="none" w:sz="0" w:space="0" w:color="auto"/>
        <w:right w:val="none" w:sz="0" w:space="0" w:color="auto"/>
      </w:divBdr>
    </w:div>
    <w:div w:id="968364311">
      <w:bodyDiv w:val="1"/>
      <w:marLeft w:val="0"/>
      <w:marRight w:val="0"/>
      <w:marTop w:val="0"/>
      <w:marBottom w:val="0"/>
      <w:divBdr>
        <w:top w:val="none" w:sz="0" w:space="0" w:color="auto"/>
        <w:left w:val="none" w:sz="0" w:space="0" w:color="auto"/>
        <w:bottom w:val="none" w:sz="0" w:space="0" w:color="auto"/>
        <w:right w:val="none" w:sz="0" w:space="0" w:color="auto"/>
      </w:divBdr>
    </w:div>
    <w:div w:id="976108430">
      <w:bodyDiv w:val="1"/>
      <w:marLeft w:val="0"/>
      <w:marRight w:val="0"/>
      <w:marTop w:val="0"/>
      <w:marBottom w:val="0"/>
      <w:divBdr>
        <w:top w:val="none" w:sz="0" w:space="0" w:color="auto"/>
        <w:left w:val="none" w:sz="0" w:space="0" w:color="auto"/>
        <w:bottom w:val="none" w:sz="0" w:space="0" w:color="auto"/>
        <w:right w:val="none" w:sz="0" w:space="0" w:color="auto"/>
      </w:divBdr>
    </w:div>
    <w:div w:id="990712885">
      <w:bodyDiv w:val="1"/>
      <w:marLeft w:val="0"/>
      <w:marRight w:val="0"/>
      <w:marTop w:val="0"/>
      <w:marBottom w:val="0"/>
      <w:divBdr>
        <w:top w:val="none" w:sz="0" w:space="0" w:color="auto"/>
        <w:left w:val="none" w:sz="0" w:space="0" w:color="auto"/>
        <w:bottom w:val="none" w:sz="0" w:space="0" w:color="auto"/>
        <w:right w:val="none" w:sz="0" w:space="0" w:color="auto"/>
      </w:divBdr>
    </w:div>
    <w:div w:id="1013993633">
      <w:bodyDiv w:val="1"/>
      <w:marLeft w:val="0"/>
      <w:marRight w:val="0"/>
      <w:marTop w:val="0"/>
      <w:marBottom w:val="0"/>
      <w:divBdr>
        <w:top w:val="none" w:sz="0" w:space="0" w:color="auto"/>
        <w:left w:val="none" w:sz="0" w:space="0" w:color="auto"/>
        <w:bottom w:val="none" w:sz="0" w:space="0" w:color="auto"/>
        <w:right w:val="none" w:sz="0" w:space="0" w:color="auto"/>
      </w:divBdr>
      <w:divsChild>
        <w:div w:id="1961376827">
          <w:marLeft w:val="0"/>
          <w:marRight w:val="0"/>
          <w:marTop w:val="0"/>
          <w:marBottom w:val="0"/>
          <w:divBdr>
            <w:top w:val="none" w:sz="0" w:space="0" w:color="auto"/>
            <w:left w:val="none" w:sz="0" w:space="0" w:color="auto"/>
            <w:bottom w:val="none" w:sz="0" w:space="0" w:color="auto"/>
            <w:right w:val="none" w:sz="0" w:space="0" w:color="auto"/>
          </w:divBdr>
          <w:divsChild>
            <w:div w:id="1272282434">
              <w:marLeft w:val="0"/>
              <w:marRight w:val="0"/>
              <w:marTop w:val="0"/>
              <w:marBottom w:val="0"/>
              <w:divBdr>
                <w:top w:val="none" w:sz="0" w:space="0" w:color="auto"/>
                <w:left w:val="none" w:sz="0" w:space="0" w:color="auto"/>
                <w:bottom w:val="none" w:sz="0" w:space="0" w:color="auto"/>
                <w:right w:val="none" w:sz="0" w:space="0" w:color="auto"/>
              </w:divBdr>
              <w:divsChild>
                <w:div w:id="610164584">
                  <w:marLeft w:val="0"/>
                  <w:marRight w:val="0"/>
                  <w:marTop w:val="0"/>
                  <w:marBottom w:val="0"/>
                  <w:divBdr>
                    <w:top w:val="none" w:sz="0" w:space="0" w:color="auto"/>
                    <w:left w:val="none" w:sz="0" w:space="0" w:color="auto"/>
                    <w:bottom w:val="none" w:sz="0" w:space="0" w:color="auto"/>
                    <w:right w:val="none" w:sz="0" w:space="0" w:color="auto"/>
                  </w:divBdr>
                  <w:divsChild>
                    <w:div w:id="1648435076">
                      <w:marLeft w:val="0"/>
                      <w:marRight w:val="0"/>
                      <w:marTop w:val="0"/>
                      <w:marBottom w:val="0"/>
                      <w:divBdr>
                        <w:top w:val="none" w:sz="0" w:space="0" w:color="auto"/>
                        <w:left w:val="none" w:sz="0" w:space="0" w:color="auto"/>
                        <w:bottom w:val="none" w:sz="0" w:space="0" w:color="auto"/>
                        <w:right w:val="none" w:sz="0" w:space="0" w:color="auto"/>
                      </w:divBdr>
                      <w:divsChild>
                        <w:div w:id="25909727">
                          <w:marLeft w:val="0"/>
                          <w:marRight w:val="0"/>
                          <w:marTop w:val="0"/>
                          <w:marBottom w:val="0"/>
                          <w:divBdr>
                            <w:top w:val="none" w:sz="0" w:space="0" w:color="auto"/>
                            <w:left w:val="none" w:sz="0" w:space="0" w:color="auto"/>
                            <w:bottom w:val="none" w:sz="0" w:space="0" w:color="auto"/>
                            <w:right w:val="none" w:sz="0" w:space="0" w:color="auto"/>
                          </w:divBdr>
                          <w:divsChild>
                            <w:div w:id="2029024231">
                              <w:marLeft w:val="0"/>
                              <w:marRight w:val="0"/>
                              <w:marTop w:val="0"/>
                              <w:marBottom w:val="0"/>
                              <w:divBdr>
                                <w:top w:val="none" w:sz="0" w:space="0" w:color="auto"/>
                                <w:left w:val="none" w:sz="0" w:space="0" w:color="auto"/>
                                <w:bottom w:val="none" w:sz="0" w:space="0" w:color="auto"/>
                                <w:right w:val="none" w:sz="0" w:space="0" w:color="auto"/>
                              </w:divBdr>
                              <w:divsChild>
                                <w:div w:id="1691296553">
                                  <w:marLeft w:val="0"/>
                                  <w:marRight w:val="0"/>
                                  <w:marTop w:val="0"/>
                                  <w:marBottom w:val="0"/>
                                  <w:divBdr>
                                    <w:top w:val="none" w:sz="0" w:space="0" w:color="auto"/>
                                    <w:left w:val="none" w:sz="0" w:space="0" w:color="auto"/>
                                    <w:bottom w:val="none" w:sz="0" w:space="0" w:color="auto"/>
                                    <w:right w:val="none" w:sz="0" w:space="0" w:color="auto"/>
                                  </w:divBdr>
                                  <w:divsChild>
                                    <w:div w:id="1832214370">
                                      <w:marLeft w:val="0"/>
                                      <w:marRight w:val="0"/>
                                      <w:marTop w:val="0"/>
                                      <w:marBottom w:val="0"/>
                                      <w:divBdr>
                                        <w:top w:val="none" w:sz="0" w:space="0" w:color="auto"/>
                                        <w:left w:val="none" w:sz="0" w:space="0" w:color="auto"/>
                                        <w:bottom w:val="none" w:sz="0" w:space="0" w:color="auto"/>
                                        <w:right w:val="none" w:sz="0" w:space="0" w:color="auto"/>
                                      </w:divBdr>
                                      <w:divsChild>
                                        <w:div w:id="157538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1977769">
      <w:bodyDiv w:val="1"/>
      <w:marLeft w:val="0"/>
      <w:marRight w:val="0"/>
      <w:marTop w:val="0"/>
      <w:marBottom w:val="0"/>
      <w:divBdr>
        <w:top w:val="none" w:sz="0" w:space="0" w:color="auto"/>
        <w:left w:val="none" w:sz="0" w:space="0" w:color="auto"/>
        <w:bottom w:val="none" w:sz="0" w:space="0" w:color="auto"/>
        <w:right w:val="none" w:sz="0" w:space="0" w:color="auto"/>
      </w:divBdr>
    </w:div>
    <w:div w:id="1061363543">
      <w:bodyDiv w:val="1"/>
      <w:marLeft w:val="0"/>
      <w:marRight w:val="0"/>
      <w:marTop w:val="0"/>
      <w:marBottom w:val="0"/>
      <w:divBdr>
        <w:top w:val="none" w:sz="0" w:space="0" w:color="auto"/>
        <w:left w:val="none" w:sz="0" w:space="0" w:color="auto"/>
        <w:bottom w:val="none" w:sz="0" w:space="0" w:color="auto"/>
        <w:right w:val="none" w:sz="0" w:space="0" w:color="auto"/>
      </w:divBdr>
    </w:div>
    <w:div w:id="1087192919">
      <w:bodyDiv w:val="1"/>
      <w:marLeft w:val="0"/>
      <w:marRight w:val="0"/>
      <w:marTop w:val="0"/>
      <w:marBottom w:val="0"/>
      <w:divBdr>
        <w:top w:val="none" w:sz="0" w:space="0" w:color="auto"/>
        <w:left w:val="none" w:sz="0" w:space="0" w:color="auto"/>
        <w:bottom w:val="none" w:sz="0" w:space="0" w:color="auto"/>
        <w:right w:val="none" w:sz="0" w:space="0" w:color="auto"/>
      </w:divBdr>
    </w:div>
    <w:div w:id="1123113433">
      <w:bodyDiv w:val="1"/>
      <w:marLeft w:val="0"/>
      <w:marRight w:val="0"/>
      <w:marTop w:val="0"/>
      <w:marBottom w:val="0"/>
      <w:divBdr>
        <w:top w:val="none" w:sz="0" w:space="0" w:color="auto"/>
        <w:left w:val="none" w:sz="0" w:space="0" w:color="auto"/>
        <w:bottom w:val="none" w:sz="0" w:space="0" w:color="auto"/>
        <w:right w:val="none" w:sz="0" w:space="0" w:color="auto"/>
      </w:divBdr>
    </w:div>
    <w:div w:id="1128862347">
      <w:bodyDiv w:val="1"/>
      <w:marLeft w:val="0"/>
      <w:marRight w:val="0"/>
      <w:marTop w:val="0"/>
      <w:marBottom w:val="0"/>
      <w:divBdr>
        <w:top w:val="none" w:sz="0" w:space="0" w:color="auto"/>
        <w:left w:val="none" w:sz="0" w:space="0" w:color="auto"/>
        <w:bottom w:val="none" w:sz="0" w:space="0" w:color="auto"/>
        <w:right w:val="none" w:sz="0" w:space="0" w:color="auto"/>
      </w:divBdr>
    </w:div>
    <w:div w:id="1148861690">
      <w:bodyDiv w:val="1"/>
      <w:marLeft w:val="0"/>
      <w:marRight w:val="0"/>
      <w:marTop w:val="0"/>
      <w:marBottom w:val="0"/>
      <w:divBdr>
        <w:top w:val="none" w:sz="0" w:space="0" w:color="auto"/>
        <w:left w:val="none" w:sz="0" w:space="0" w:color="auto"/>
        <w:bottom w:val="none" w:sz="0" w:space="0" w:color="auto"/>
        <w:right w:val="none" w:sz="0" w:space="0" w:color="auto"/>
      </w:divBdr>
    </w:div>
    <w:div w:id="1172253902">
      <w:bodyDiv w:val="1"/>
      <w:marLeft w:val="0"/>
      <w:marRight w:val="0"/>
      <w:marTop w:val="0"/>
      <w:marBottom w:val="0"/>
      <w:divBdr>
        <w:top w:val="none" w:sz="0" w:space="0" w:color="auto"/>
        <w:left w:val="none" w:sz="0" w:space="0" w:color="auto"/>
        <w:bottom w:val="none" w:sz="0" w:space="0" w:color="auto"/>
        <w:right w:val="none" w:sz="0" w:space="0" w:color="auto"/>
      </w:divBdr>
    </w:div>
    <w:div w:id="1185366847">
      <w:bodyDiv w:val="1"/>
      <w:marLeft w:val="0"/>
      <w:marRight w:val="0"/>
      <w:marTop w:val="0"/>
      <w:marBottom w:val="0"/>
      <w:divBdr>
        <w:top w:val="none" w:sz="0" w:space="0" w:color="auto"/>
        <w:left w:val="none" w:sz="0" w:space="0" w:color="auto"/>
        <w:bottom w:val="none" w:sz="0" w:space="0" w:color="auto"/>
        <w:right w:val="none" w:sz="0" w:space="0" w:color="auto"/>
      </w:divBdr>
    </w:div>
    <w:div w:id="1221674018">
      <w:bodyDiv w:val="1"/>
      <w:marLeft w:val="0"/>
      <w:marRight w:val="0"/>
      <w:marTop w:val="0"/>
      <w:marBottom w:val="0"/>
      <w:divBdr>
        <w:top w:val="none" w:sz="0" w:space="0" w:color="auto"/>
        <w:left w:val="none" w:sz="0" w:space="0" w:color="auto"/>
        <w:bottom w:val="none" w:sz="0" w:space="0" w:color="auto"/>
        <w:right w:val="none" w:sz="0" w:space="0" w:color="auto"/>
      </w:divBdr>
    </w:div>
    <w:div w:id="1277298696">
      <w:bodyDiv w:val="1"/>
      <w:marLeft w:val="0"/>
      <w:marRight w:val="0"/>
      <w:marTop w:val="0"/>
      <w:marBottom w:val="0"/>
      <w:divBdr>
        <w:top w:val="none" w:sz="0" w:space="0" w:color="auto"/>
        <w:left w:val="none" w:sz="0" w:space="0" w:color="auto"/>
        <w:bottom w:val="none" w:sz="0" w:space="0" w:color="auto"/>
        <w:right w:val="none" w:sz="0" w:space="0" w:color="auto"/>
      </w:divBdr>
    </w:div>
    <w:div w:id="1406029988">
      <w:bodyDiv w:val="1"/>
      <w:marLeft w:val="0"/>
      <w:marRight w:val="0"/>
      <w:marTop w:val="0"/>
      <w:marBottom w:val="0"/>
      <w:divBdr>
        <w:top w:val="none" w:sz="0" w:space="0" w:color="auto"/>
        <w:left w:val="none" w:sz="0" w:space="0" w:color="auto"/>
        <w:bottom w:val="none" w:sz="0" w:space="0" w:color="auto"/>
        <w:right w:val="none" w:sz="0" w:space="0" w:color="auto"/>
      </w:divBdr>
    </w:div>
    <w:div w:id="1511873848">
      <w:bodyDiv w:val="1"/>
      <w:marLeft w:val="0"/>
      <w:marRight w:val="0"/>
      <w:marTop w:val="0"/>
      <w:marBottom w:val="0"/>
      <w:divBdr>
        <w:top w:val="none" w:sz="0" w:space="0" w:color="auto"/>
        <w:left w:val="none" w:sz="0" w:space="0" w:color="auto"/>
        <w:bottom w:val="none" w:sz="0" w:space="0" w:color="auto"/>
        <w:right w:val="none" w:sz="0" w:space="0" w:color="auto"/>
      </w:divBdr>
    </w:div>
    <w:div w:id="1533030486">
      <w:bodyDiv w:val="1"/>
      <w:marLeft w:val="0"/>
      <w:marRight w:val="0"/>
      <w:marTop w:val="0"/>
      <w:marBottom w:val="0"/>
      <w:divBdr>
        <w:top w:val="none" w:sz="0" w:space="0" w:color="auto"/>
        <w:left w:val="none" w:sz="0" w:space="0" w:color="auto"/>
        <w:bottom w:val="none" w:sz="0" w:space="0" w:color="auto"/>
        <w:right w:val="none" w:sz="0" w:space="0" w:color="auto"/>
      </w:divBdr>
    </w:div>
    <w:div w:id="1563443612">
      <w:bodyDiv w:val="1"/>
      <w:marLeft w:val="0"/>
      <w:marRight w:val="0"/>
      <w:marTop w:val="0"/>
      <w:marBottom w:val="0"/>
      <w:divBdr>
        <w:top w:val="none" w:sz="0" w:space="0" w:color="auto"/>
        <w:left w:val="none" w:sz="0" w:space="0" w:color="auto"/>
        <w:bottom w:val="none" w:sz="0" w:space="0" w:color="auto"/>
        <w:right w:val="none" w:sz="0" w:space="0" w:color="auto"/>
      </w:divBdr>
    </w:div>
    <w:div w:id="1633825909">
      <w:bodyDiv w:val="1"/>
      <w:marLeft w:val="0"/>
      <w:marRight w:val="0"/>
      <w:marTop w:val="0"/>
      <w:marBottom w:val="0"/>
      <w:divBdr>
        <w:top w:val="none" w:sz="0" w:space="0" w:color="auto"/>
        <w:left w:val="none" w:sz="0" w:space="0" w:color="auto"/>
        <w:bottom w:val="none" w:sz="0" w:space="0" w:color="auto"/>
        <w:right w:val="none" w:sz="0" w:space="0" w:color="auto"/>
      </w:divBdr>
    </w:div>
    <w:div w:id="1682121436">
      <w:bodyDiv w:val="1"/>
      <w:marLeft w:val="0"/>
      <w:marRight w:val="0"/>
      <w:marTop w:val="0"/>
      <w:marBottom w:val="0"/>
      <w:divBdr>
        <w:top w:val="none" w:sz="0" w:space="0" w:color="auto"/>
        <w:left w:val="none" w:sz="0" w:space="0" w:color="auto"/>
        <w:bottom w:val="none" w:sz="0" w:space="0" w:color="auto"/>
        <w:right w:val="none" w:sz="0" w:space="0" w:color="auto"/>
      </w:divBdr>
    </w:div>
    <w:div w:id="1703893500">
      <w:bodyDiv w:val="1"/>
      <w:marLeft w:val="0"/>
      <w:marRight w:val="0"/>
      <w:marTop w:val="0"/>
      <w:marBottom w:val="0"/>
      <w:divBdr>
        <w:top w:val="none" w:sz="0" w:space="0" w:color="auto"/>
        <w:left w:val="none" w:sz="0" w:space="0" w:color="auto"/>
        <w:bottom w:val="none" w:sz="0" w:space="0" w:color="auto"/>
        <w:right w:val="none" w:sz="0" w:space="0" w:color="auto"/>
      </w:divBdr>
    </w:div>
    <w:div w:id="1720012051">
      <w:bodyDiv w:val="1"/>
      <w:marLeft w:val="0"/>
      <w:marRight w:val="0"/>
      <w:marTop w:val="0"/>
      <w:marBottom w:val="0"/>
      <w:divBdr>
        <w:top w:val="none" w:sz="0" w:space="0" w:color="auto"/>
        <w:left w:val="none" w:sz="0" w:space="0" w:color="auto"/>
        <w:bottom w:val="none" w:sz="0" w:space="0" w:color="auto"/>
        <w:right w:val="none" w:sz="0" w:space="0" w:color="auto"/>
      </w:divBdr>
    </w:div>
    <w:div w:id="1757823198">
      <w:bodyDiv w:val="1"/>
      <w:marLeft w:val="0"/>
      <w:marRight w:val="0"/>
      <w:marTop w:val="0"/>
      <w:marBottom w:val="0"/>
      <w:divBdr>
        <w:top w:val="none" w:sz="0" w:space="0" w:color="auto"/>
        <w:left w:val="none" w:sz="0" w:space="0" w:color="auto"/>
        <w:bottom w:val="none" w:sz="0" w:space="0" w:color="auto"/>
        <w:right w:val="none" w:sz="0" w:space="0" w:color="auto"/>
      </w:divBdr>
    </w:div>
    <w:div w:id="1793746187">
      <w:bodyDiv w:val="1"/>
      <w:marLeft w:val="0"/>
      <w:marRight w:val="0"/>
      <w:marTop w:val="0"/>
      <w:marBottom w:val="0"/>
      <w:divBdr>
        <w:top w:val="none" w:sz="0" w:space="0" w:color="auto"/>
        <w:left w:val="none" w:sz="0" w:space="0" w:color="auto"/>
        <w:bottom w:val="none" w:sz="0" w:space="0" w:color="auto"/>
        <w:right w:val="none" w:sz="0" w:space="0" w:color="auto"/>
      </w:divBdr>
    </w:div>
    <w:div w:id="1803767856">
      <w:bodyDiv w:val="1"/>
      <w:marLeft w:val="0"/>
      <w:marRight w:val="0"/>
      <w:marTop w:val="0"/>
      <w:marBottom w:val="0"/>
      <w:divBdr>
        <w:top w:val="none" w:sz="0" w:space="0" w:color="auto"/>
        <w:left w:val="none" w:sz="0" w:space="0" w:color="auto"/>
        <w:bottom w:val="none" w:sz="0" w:space="0" w:color="auto"/>
        <w:right w:val="none" w:sz="0" w:space="0" w:color="auto"/>
      </w:divBdr>
    </w:div>
    <w:div w:id="1810704782">
      <w:bodyDiv w:val="1"/>
      <w:marLeft w:val="0"/>
      <w:marRight w:val="0"/>
      <w:marTop w:val="0"/>
      <w:marBottom w:val="0"/>
      <w:divBdr>
        <w:top w:val="none" w:sz="0" w:space="0" w:color="auto"/>
        <w:left w:val="none" w:sz="0" w:space="0" w:color="auto"/>
        <w:bottom w:val="none" w:sz="0" w:space="0" w:color="auto"/>
        <w:right w:val="none" w:sz="0" w:space="0" w:color="auto"/>
      </w:divBdr>
    </w:div>
    <w:div w:id="1868104353">
      <w:bodyDiv w:val="1"/>
      <w:marLeft w:val="0"/>
      <w:marRight w:val="0"/>
      <w:marTop w:val="0"/>
      <w:marBottom w:val="0"/>
      <w:divBdr>
        <w:top w:val="none" w:sz="0" w:space="0" w:color="auto"/>
        <w:left w:val="none" w:sz="0" w:space="0" w:color="auto"/>
        <w:bottom w:val="none" w:sz="0" w:space="0" w:color="auto"/>
        <w:right w:val="none" w:sz="0" w:space="0" w:color="auto"/>
      </w:divBdr>
    </w:div>
    <w:div w:id="1934313751">
      <w:bodyDiv w:val="1"/>
      <w:marLeft w:val="0"/>
      <w:marRight w:val="0"/>
      <w:marTop w:val="0"/>
      <w:marBottom w:val="0"/>
      <w:divBdr>
        <w:top w:val="none" w:sz="0" w:space="0" w:color="auto"/>
        <w:left w:val="none" w:sz="0" w:space="0" w:color="auto"/>
        <w:bottom w:val="none" w:sz="0" w:space="0" w:color="auto"/>
        <w:right w:val="none" w:sz="0" w:space="0" w:color="auto"/>
      </w:divBdr>
    </w:div>
    <w:div w:id="1964378938">
      <w:bodyDiv w:val="1"/>
      <w:marLeft w:val="0"/>
      <w:marRight w:val="0"/>
      <w:marTop w:val="0"/>
      <w:marBottom w:val="0"/>
      <w:divBdr>
        <w:top w:val="none" w:sz="0" w:space="0" w:color="auto"/>
        <w:left w:val="none" w:sz="0" w:space="0" w:color="auto"/>
        <w:bottom w:val="none" w:sz="0" w:space="0" w:color="auto"/>
        <w:right w:val="none" w:sz="0" w:space="0" w:color="auto"/>
      </w:divBdr>
    </w:div>
    <w:div w:id="1966502235">
      <w:bodyDiv w:val="1"/>
      <w:marLeft w:val="0"/>
      <w:marRight w:val="0"/>
      <w:marTop w:val="0"/>
      <w:marBottom w:val="0"/>
      <w:divBdr>
        <w:top w:val="none" w:sz="0" w:space="0" w:color="auto"/>
        <w:left w:val="none" w:sz="0" w:space="0" w:color="auto"/>
        <w:bottom w:val="none" w:sz="0" w:space="0" w:color="auto"/>
        <w:right w:val="none" w:sz="0" w:space="0" w:color="auto"/>
      </w:divBdr>
    </w:div>
    <w:div w:id="1997414109">
      <w:bodyDiv w:val="1"/>
      <w:marLeft w:val="0"/>
      <w:marRight w:val="0"/>
      <w:marTop w:val="0"/>
      <w:marBottom w:val="0"/>
      <w:divBdr>
        <w:top w:val="none" w:sz="0" w:space="0" w:color="auto"/>
        <w:left w:val="none" w:sz="0" w:space="0" w:color="auto"/>
        <w:bottom w:val="none" w:sz="0" w:space="0" w:color="auto"/>
        <w:right w:val="none" w:sz="0" w:space="0" w:color="auto"/>
      </w:divBdr>
    </w:div>
    <w:div w:id="2061509745">
      <w:bodyDiv w:val="1"/>
      <w:marLeft w:val="0"/>
      <w:marRight w:val="0"/>
      <w:marTop w:val="0"/>
      <w:marBottom w:val="0"/>
      <w:divBdr>
        <w:top w:val="none" w:sz="0" w:space="0" w:color="auto"/>
        <w:left w:val="none" w:sz="0" w:space="0" w:color="auto"/>
        <w:bottom w:val="none" w:sz="0" w:space="0" w:color="auto"/>
        <w:right w:val="none" w:sz="0" w:space="0" w:color="auto"/>
      </w:divBdr>
    </w:div>
    <w:div w:id="2094007357">
      <w:bodyDiv w:val="1"/>
      <w:marLeft w:val="0"/>
      <w:marRight w:val="0"/>
      <w:marTop w:val="0"/>
      <w:marBottom w:val="0"/>
      <w:divBdr>
        <w:top w:val="none" w:sz="0" w:space="0" w:color="auto"/>
        <w:left w:val="none" w:sz="0" w:space="0" w:color="auto"/>
        <w:bottom w:val="none" w:sz="0" w:space="0" w:color="auto"/>
        <w:right w:val="none" w:sz="0" w:space="0" w:color="auto"/>
      </w:divBdr>
    </w:div>
    <w:div w:id="2096120872">
      <w:bodyDiv w:val="1"/>
      <w:marLeft w:val="0"/>
      <w:marRight w:val="0"/>
      <w:marTop w:val="0"/>
      <w:marBottom w:val="0"/>
      <w:divBdr>
        <w:top w:val="none" w:sz="0" w:space="0" w:color="auto"/>
        <w:left w:val="none" w:sz="0" w:space="0" w:color="auto"/>
        <w:bottom w:val="none" w:sz="0" w:space="0" w:color="auto"/>
        <w:right w:val="none" w:sz="0" w:space="0" w:color="auto"/>
      </w:divBdr>
    </w:div>
    <w:div w:id="2107336681">
      <w:bodyDiv w:val="1"/>
      <w:marLeft w:val="0"/>
      <w:marRight w:val="0"/>
      <w:marTop w:val="0"/>
      <w:marBottom w:val="0"/>
      <w:divBdr>
        <w:top w:val="none" w:sz="0" w:space="0" w:color="auto"/>
        <w:left w:val="none" w:sz="0" w:space="0" w:color="auto"/>
        <w:bottom w:val="none" w:sz="0" w:space="0" w:color="auto"/>
        <w:right w:val="none" w:sz="0" w:space="0" w:color="auto"/>
      </w:divBdr>
    </w:div>
    <w:div w:id="2123919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tga.gov.au/product-information-pi" TargetMode="External"/><Relationship Id="rId3" Type="http://schemas.openxmlformats.org/officeDocument/2006/relationships/styles" Target="styles.xml"/><Relationship Id="rId21" Type="http://schemas.microsoft.com/office/2007/relationships/hdphoto" Target="media/hdphoto2.wdp"/><Relationship Id="rId34" Type="http://schemas.openxmlformats.org/officeDocument/2006/relationships/hyperlink" Target="https://en.wikipedia.org/wiki/Adverse_event" TargetMode="External"/><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hyperlink" Target="https://en.wikipedia.org/wiki/Thesaurus" TargetMode="External"/><Relationship Id="rId38" Type="http://schemas.openxmlformats.org/officeDocument/2006/relationships/image" Target="media/image17.emf"/><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microsoft.com/office/2007/relationships/hdphoto" Target="media/hdphoto5.wdp"/><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en.wikipedia.org/wiki/Medical_terminology" TargetMode="External"/><Relationship Id="rId37" Type="http://schemas.microsoft.com/office/2007/relationships/hdphoto" Target="media/hdphoto7.wdp"/><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settings" Target="settings.xml"/><Relationship Id="rId15" Type="http://schemas.openxmlformats.org/officeDocument/2006/relationships/image" Target="media/image3.emf"/><Relationship Id="rId23" Type="http://schemas.microsoft.com/office/2007/relationships/hdphoto" Target="media/hdphoto3.wdp"/><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image" Target="media/image15.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openxmlformats.org/officeDocument/2006/relationships/image" Target="media/image8.png"/><Relationship Id="rId27" Type="http://schemas.microsoft.com/office/2007/relationships/hdphoto" Target="media/hdphoto4.wdp"/><Relationship Id="rId30" Type="http://schemas.openxmlformats.org/officeDocument/2006/relationships/image" Target="media/image14.emf"/><Relationship Id="rId35" Type="http://schemas.openxmlformats.org/officeDocument/2006/relationships/hyperlink" Target="https://en.wikipedia.org/wiki/International_Conference_on_Harmonisation_of_Technical_Requirements_for_Registration_of_Pharmaceuticals_for_Human_Use" TargetMode="External"/><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en.wikipedia.org/wiki/Cardiology" TargetMode="External"/><Relationship Id="rId7" Type="http://schemas.openxmlformats.org/officeDocument/2006/relationships/hyperlink" Target="https://en.wikipedia.org/wiki/Heart_rate" TargetMode="External"/><Relationship Id="rId2" Type="http://schemas.microsoft.com/office/2007/relationships/hdphoto" Target="media/hdphoto6.wdp"/><Relationship Id="rId1" Type="http://schemas.openxmlformats.org/officeDocument/2006/relationships/image" Target="media/image13.png"/><Relationship Id="rId6" Type="http://schemas.openxmlformats.org/officeDocument/2006/relationships/hyperlink" Target="https://en.wikipedia.org/wiki/Torsades_de_pointes" TargetMode="External"/><Relationship Id="rId5" Type="http://schemas.openxmlformats.org/officeDocument/2006/relationships/hyperlink" Target="https://en.wikipedia.org/wiki/Electrical_conduction_system_of_the_heart" TargetMode="External"/><Relationship Id="rId4" Type="http://schemas.openxmlformats.org/officeDocument/2006/relationships/hyperlink" Target="https://en.wikipedia.org/wiki/Electrical_conduction_system_of_the_hear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17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1483A70A-7B63-4786-A16C-69FDC3CC2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Template>
  <TotalTime>55</TotalTime>
  <Pages>60</Pages>
  <Words>19543</Words>
  <Characters>111401</Characters>
  <Application>Microsoft Office Word</Application>
  <DocSecurity>0</DocSecurity>
  <Lines>928</Lines>
  <Paragraphs>261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Australian public assessment for Lipegfilgrastim (rbe)</vt:lpstr>
      <vt:lpstr>Australian public assessment for...</vt:lpstr>
    </vt:vector>
  </TitlesOfParts>
  <Company>Department of Health Therapeutic Goods Administration</Company>
  <LinksUpToDate>false</LinksUpToDate>
  <CharactersWithSpaces>130683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Lipegfilgrastim (rbe)</dc:title>
  <dc:subject>prescription medicine regulation</dc:subject>
  <dc:creator>Therapeutic Goods Administration</dc:creator>
  <cp:keywords>AusPARs</cp:keywords>
  <cp:lastModifiedBy>Schilg, Cassie</cp:lastModifiedBy>
  <cp:revision>6</cp:revision>
  <cp:lastPrinted>2015-12-22T02:12:00Z</cp:lastPrinted>
  <dcterms:created xsi:type="dcterms:W3CDTF">2016-02-22T23:44:00Z</dcterms:created>
  <dcterms:modified xsi:type="dcterms:W3CDTF">2016-03-08T03:33:00Z</dcterms:modified>
  <cp:category/>
</cp:coreProperties>
</file>