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EC757" w14:textId="400E6469" w:rsidR="004032BD" w:rsidRPr="00717E34" w:rsidRDefault="00D86276" w:rsidP="00024098">
      <w:pPr>
        <w:pStyle w:val="Heading1"/>
        <w:keepNext w:val="0"/>
        <w:pageBreakBefore w:val="0"/>
        <w:numPr>
          <w:ilvl w:val="0"/>
          <w:numId w:val="0"/>
        </w:numPr>
        <w:spacing w:after="240"/>
        <w:rPr>
          <w:rFonts w:eastAsia="SimSun"/>
          <w:lang w:val="en-AU"/>
        </w:rPr>
      </w:pPr>
      <w:bookmarkStart w:id="0" w:name="_GoBack"/>
      <w:bookmarkEnd w:id="0"/>
      <w:r>
        <w:rPr>
          <w:rFonts w:eastAsia="SimSun"/>
          <w:lang w:val="en-AU"/>
        </w:rPr>
        <w:t xml:space="preserve">Australian product </w:t>
      </w:r>
      <w:r w:rsidR="004032BD" w:rsidRPr="00717E34">
        <w:rPr>
          <w:rFonts w:eastAsia="SimSun"/>
          <w:lang w:val="en-AU"/>
        </w:rPr>
        <w:t>I</w:t>
      </w:r>
      <w:r>
        <w:rPr>
          <w:rFonts w:eastAsia="SimSun"/>
          <w:lang w:val="en-AU"/>
        </w:rPr>
        <w:t>nformation</w:t>
      </w:r>
      <w:r w:rsidR="004032BD" w:rsidRPr="00717E34">
        <w:rPr>
          <w:rFonts w:eastAsia="SimSun"/>
          <w:lang w:val="en-AU"/>
        </w:rPr>
        <w:t xml:space="preserve"> –</w:t>
      </w:r>
      <w:r w:rsidR="00E53688">
        <w:rPr>
          <w:rFonts w:eastAsia="SimSun"/>
          <w:lang w:val="en-AU"/>
        </w:rPr>
        <w:t xml:space="preserve"> </w:t>
      </w:r>
      <w:r w:rsidR="00CF2D86">
        <w:rPr>
          <w:rFonts w:eastAsia="SimSun"/>
          <w:lang w:val="en-AU"/>
        </w:rPr>
        <w:t>DENGVAXIA</w:t>
      </w:r>
      <w:r w:rsidR="00CF2D86" w:rsidRPr="00CF2D86">
        <w:rPr>
          <w:rFonts w:eastAsia="SimSun"/>
          <w:vertAlign w:val="superscript"/>
          <w:lang w:val="en-AU"/>
        </w:rPr>
        <w:t>®</w:t>
      </w:r>
      <w:r w:rsidR="00E53688" w:rsidRPr="00E53688">
        <w:rPr>
          <w:rFonts w:eastAsia="SimSun"/>
          <w:lang w:val="en-AU"/>
        </w:rPr>
        <w:t xml:space="preserve"> </w:t>
      </w:r>
      <w:r w:rsidR="00AE7FA7" w:rsidRPr="00AE7FA7">
        <w:rPr>
          <w:rFonts w:eastAsia="SimSun"/>
          <w:lang w:val="en-AU"/>
        </w:rPr>
        <w:t xml:space="preserve">Powder and diluent for suspension for injection </w:t>
      </w:r>
      <w:r w:rsidR="00E53688" w:rsidRPr="00E53688">
        <w:rPr>
          <w:rFonts w:eastAsia="SimSun"/>
          <w:lang w:val="en-AU"/>
        </w:rPr>
        <w:t>(</w:t>
      </w:r>
      <w:r w:rsidR="00CF2D86" w:rsidRPr="00CF2D86">
        <w:rPr>
          <w:rFonts w:eastAsia="SimSun"/>
          <w:lang w:val="en-AU"/>
        </w:rPr>
        <w:t>Dengue tetravalent vaccine (live, attenuated)</w:t>
      </w:r>
      <w:r w:rsidR="00E53688" w:rsidRPr="00E53688">
        <w:rPr>
          <w:rFonts w:eastAsia="SimSun"/>
          <w:lang w:val="en-AU"/>
        </w:rPr>
        <w:t>)</w:t>
      </w:r>
    </w:p>
    <w:p w14:paraId="2ACDBD1B" w14:textId="77777777" w:rsidR="001A3992" w:rsidRPr="00717E34" w:rsidRDefault="001A3992" w:rsidP="00301E6D">
      <w:pPr>
        <w:pStyle w:val="Heading1"/>
        <w:pageBreakBefore w:val="0"/>
        <w:rPr>
          <w:lang w:val="en-AU"/>
        </w:rPr>
      </w:pPr>
      <w:r w:rsidRPr="00717E34">
        <w:rPr>
          <w:lang w:val="en-AU"/>
        </w:rPr>
        <w:t>Name of the medicine</w:t>
      </w:r>
    </w:p>
    <w:p w14:paraId="120D2A32" w14:textId="77777777" w:rsidR="00EA21BA" w:rsidRPr="00F60E93" w:rsidRDefault="00EA21BA" w:rsidP="00EA21BA">
      <w:pPr>
        <w:rPr>
          <w:lang w:val="en-AU"/>
        </w:rPr>
      </w:pPr>
      <w:r w:rsidRPr="00AB51C4">
        <w:rPr>
          <w:b/>
          <w:lang w:val="en-AU"/>
        </w:rPr>
        <w:t>Dengvaxia</w:t>
      </w:r>
      <w:r w:rsidRPr="00AB51C4">
        <w:rPr>
          <w:vertAlign w:val="superscript"/>
          <w:lang w:val="en-AU"/>
        </w:rPr>
        <w:t>®</w:t>
      </w:r>
    </w:p>
    <w:p w14:paraId="708AFF53" w14:textId="1EF09664" w:rsidR="00292D82" w:rsidRPr="00717E34" w:rsidRDefault="00CF2D86" w:rsidP="00301E6D">
      <w:pPr>
        <w:rPr>
          <w:lang w:val="en-AU"/>
        </w:rPr>
      </w:pPr>
      <w:r w:rsidRPr="00F60E93">
        <w:rPr>
          <w:lang w:val="en-AU"/>
        </w:rPr>
        <w:t>Dengue tetravalent vaccine (live, attenuated)</w:t>
      </w:r>
    </w:p>
    <w:p w14:paraId="1F721202" w14:textId="77777777" w:rsidR="001A3992" w:rsidRPr="00717E34" w:rsidRDefault="001A3992" w:rsidP="00301E6D">
      <w:pPr>
        <w:pStyle w:val="Heading1"/>
        <w:pageBreakBefore w:val="0"/>
        <w:rPr>
          <w:lang w:val="en-AU"/>
        </w:rPr>
      </w:pPr>
      <w:r w:rsidRPr="00717E34">
        <w:rPr>
          <w:lang w:val="en-AU"/>
        </w:rPr>
        <w:t>Qualitative and quantitative composition</w:t>
      </w:r>
    </w:p>
    <w:p w14:paraId="2753120C" w14:textId="77777777" w:rsidR="00C32EE3" w:rsidRPr="00FF1143" w:rsidRDefault="00A8114B" w:rsidP="00C32EE3">
      <w:pPr>
        <w:rPr>
          <w:lang w:val="en-AU"/>
        </w:rPr>
      </w:pPr>
      <w:r w:rsidRPr="00F60E93">
        <w:rPr>
          <w:lang w:val="en-AU"/>
        </w:rPr>
        <w:t xml:space="preserve">Dengvaxia is a prophylactic, tetravalent, live attenuated viral vaccine. </w:t>
      </w:r>
      <w:r w:rsidR="00C32EE3" w:rsidRPr="00F60E93">
        <w:rPr>
          <w:lang w:val="en-AU"/>
        </w:rPr>
        <w:t>Each of the four CYD dengue viruses in the vaccine was obtained separately via recombinant DNA technology. The viruses were constructed by replacing the sequences encoding the pre-membrane (</w:t>
      </w:r>
      <w:proofErr w:type="spellStart"/>
      <w:r w:rsidR="00C32EE3" w:rsidRPr="00F60E93">
        <w:rPr>
          <w:lang w:val="en-AU"/>
        </w:rPr>
        <w:t>prM</w:t>
      </w:r>
      <w:proofErr w:type="spellEnd"/>
      <w:r w:rsidR="00C32EE3" w:rsidRPr="00F60E93">
        <w:rPr>
          <w:lang w:val="en-AU"/>
        </w:rPr>
        <w:t xml:space="preserve">) and envelope proteins (E) of the structural proteins in the yellow fever (YF) 17D204 virus genome by those encoding for the homologous sequences of the four wild-type dengue serotypes 1 (PUO 359/TVP 1140), 2 (PUO 218), 3 (PaH881/88), and 4 (1228 – TVP 980). The immunising antigens are the </w:t>
      </w:r>
      <w:proofErr w:type="spellStart"/>
      <w:r w:rsidR="00C32EE3" w:rsidRPr="00F60E93">
        <w:rPr>
          <w:lang w:val="en-AU"/>
        </w:rPr>
        <w:t>prM</w:t>
      </w:r>
      <w:proofErr w:type="spellEnd"/>
      <w:r w:rsidR="00C32EE3" w:rsidRPr="00F60E93">
        <w:rPr>
          <w:lang w:val="en-AU"/>
        </w:rPr>
        <w:t xml:space="preserve"> and E proteins from dengue virus serotypes 1 to 4.</w:t>
      </w:r>
    </w:p>
    <w:p w14:paraId="35A45C2A" w14:textId="77777777" w:rsidR="00A8114B" w:rsidRPr="001A2C91" w:rsidRDefault="00A8114B" w:rsidP="00A8114B">
      <w:pPr>
        <w:rPr>
          <w:lang w:val="en-AU"/>
        </w:rPr>
      </w:pPr>
      <w:r w:rsidRPr="001A2C91">
        <w:rPr>
          <w:lang w:val="en-AU"/>
        </w:rPr>
        <w:t>After reconstitution, one dose (0.5 mL) contains 4.5 - 6.0 log</w:t>
      </w:r>
      <w:r w:rsidRPr="001A2C91">
        <w:rPr>
          <w:vertAlign w:val="subscript"/>
          <w:lang w:val="en-AU"/>
        </w:rPr>
        <w:t>10</w:t>
      </w:r>
      <w:r w:rsidRPr="001A2C91">
        <w:rPr>
          <w:lang w:val="en-AU"/>
        </w:rPr>
        <w:t xml:space="preserve"> CCID</w:t>
      </w:r>
      <w:r w:rsidRPr="001A2C91">
        <w:rPr>
          <w:vertAlign w:val="subscript"/>
          <w:lang w:val="en-AU"/>
        </w:rPr>
        <w:t>50</w:t>
      </w:r>
      <w:r w:rsidRPr="001A2C91">
        <w:rPr>
          <w:lang w:val="en-AU"/>
        </w:rPr>
        <w:t xml:space="preserve">* of each serotype </w:t>
      </w:r>
      <w:r w:rsidRPr="00771A6D">
        <w:rPr>
          <w:color w:val="auto"/>
          <w:lang w:val="en-AU"/>
        </w:rPr>
        <w:t>of</w:t>
      </w:r>
      <w:r>
        <w:rPr>
          <w:color w:val="auto"/>
          <w:lang w:val="en-AU"/>
        </w:rPr>
        <w:t xml:space="preserve"> </w:t>
      </w:r>
      <w:r w:rsidRPr="001A2C91">
        <w:rPr>
          <w:lang w:val="en-AU"/>
        </w:rPr>
        <w:t xml:space="preserve">chimeric </w:t>
      </w:r>
      <w:r w:rsidRPr="00771A6D">
        <w:t>yellow fever</w:t>
      </w:r>
      <w:r>
        <w:rPr>
          <w:lang w:val="en-AU"/>
        </w:rPr>
        <w:t xml:space="preserve"> </w:t>
      </w:r>
      <w:r w:rsidRPr="001A2C91">
        <w:rPr>
          <w:lang w:val="en-AU"/>
        </w:rPr>
        <w:t>dengue virus** (1, 2, 3 and 4).</w:t>
      </w:r>
    </w:p>
    <w:p w14:paraId="7D707A9D" w14:textId="77777777" w:rsidR="00A8114B" w:rsidRPr="001A2C91" w:rsidRDefault="00A8114B" w:rsidP="00A8114B">
      <w:pPr>
        <w:spacing w:before="120"/>
        <w:rPr>
          <w:sz w:val="20"/>
          <w:szCs w:val="20"/>
          <w:lang w:val="en-AU"/>
        </w:rPr>
      </w:pPr>
      <w:r w:rsidRPr="001A2C91">
        <w:rPr>
          <w:sz w:val="20"/>
          <w:szCs w:val="20"/>
          <w:lang w:val="en-AU"/>
        </w:rPr>
        <w:t>*</w:t>
      </w:r>
      <w:r w:rsidRPr="001A2C91">
        <w:rPr>
          <w:sz w:val="20"/>
          <w:szCs w:val="20"/>
          <w:lang w:val="en-AU"/>
        </w:rPr>
        <w:tab/>
        <w:t>CCID</w:t>
      </w:r>
      <w:r w:rsidRPr="001A2C91">
        <w:rPr>
          <w:sz w:val="20"/>
          <w:szCs w:val="20"/>
          <w:vertAlign w:val="subscript"/>
          <w:lang w:val="en-AU"/>
        </w:rPr>
        <w:t>50</w:t>
      </w:r>
      <w:r w:rsidRPr="001A2C91">
        <w:rPr>
          <w:sz w:val="20"/>
          <w:szCs w:val="20"/>
          <w:lang w:val="en-AU"/>
        </w:rPr>
        <w:t>: 50% Cell Culture Infectious Dose</w:t>
      </w:r>
    </w:p>
    <w:p w14:paraId="5F1CE48D" w14:textId="6970FA3B" w:rsidR="00A8114B" w:rsidRPr="00F60E93" w:rsidRDefault="00A8114B" w:rsidP="00A8114B">
      <w:pPr>
        <w:spacing w:before="0"/>
        <w:rPr>
          <w:sz w:val="20"/>
          <w:szCs w:val="20"/>
          <w:lang w:val="en-AU"/>
        </w:rPr>
      </w:pPr>
      <w:r w:rsidRPr="001A2C91">
        <w:rPr>
          <w:sz w:val="20"/>
          <w:szCs w:val="20"/>
          <w:lang w:val="en-AU"/>
        </w:rPr>
        <w:t>**</w:t>
      </w:r>
      <w:r w:rsidRPr="001A2C91">
        <w:rPr>
          <w:sz w:val="20"/>
          <w:szCs w:val="20"/>
          <w:lang w:val="en-AU"/>
        </w:rPr>
        <w:tab/>
        <w:t>Produced in serum-free Vero cells by recombinant DNA technology</w:t>
      </w:r>
    </w:p>
    <w:p w14:paraId="177733D7" w14:textId="59A59AEE" w:rsidR="00A2729D" w:rsidRPr="00B05491" w:rsidRDefault="00A7598B" w:rsidP="00B05491">
      <w:proofErr w:type="gramStart"/>
      <w:r w:rsidRPr="00B05491">
        <w:t>Contains phenylalanine.</w:t>
      </w:r>
      <w:proofErr w:type="gramEnd"/>
      <w:r w:rsidRPr="00B05491">
        <w:t xml:space="preserve"> </w:t>
      </w:r>
      <w:r w:rsidR="006128BA" w:rsidRPr="00B05491">
        <w:t xml:space="preserve">For the full list of excipients, see Section </w:t>
      </w:r>
      <w:r w:rsidR="006128BA" w:rsidRPr="00B05491">
        <w:fldChar w:fldCharType="begin"/>
      </w:r>
      <w:r w:rsidR="006128BA" w:rsidRPr="00B05491">
        <w:instrText xml:space="preserve"> REF _Ref500843904 \r \h  \* MERGEFORMAT </w:instrText>
      </w:r>
      <w:r w:rsidR="006128BA" w:rsidRPr="00B05491">
        <w:fldChar w:fldCharType="separate"/>
      </w:r>
      <w:r w:rsidR="00C16A62" w:rsidRPr="00B05491">
        <w:t>6.1</w:t>
      </w:r>
      <w:r w:rsidR="006128BA" w:rsidRPr="00B05491">
        <w:fldChar w:fldCharType="end"/>
      </w:r>
      <w:r w:rsidR="006128BA" w:rsidRPr="00B05491">
        <w:t xml:space="preserve"> </w:t>
      </w:r>
      <w:r w:rsidR="00EB2FA7" w:rsidRPr="00B05491">
        <w:t xml:space="preserve">List of excipients. </w:t>
      </w:r>
    </w:p>
    <w:p w14:paraId="20EE5C01" w14:textId="7BD78E33" w:rsidR="00A8114B" w:rsidRPr="00FD4041" w:rsidRDefault="00A8114B" w:rsidP="00FD4041">
      <w:r w:rsidRPr="00FD4041">
        <w:t>No adjuvants and no preservatives are added.</w:t>
      </w:r>
    </w:p>
    <w:p w14:paraId="4FE69D5D" w14:textId="77777777" w:rsidR="001A3992" w:rsidRDefault="001A3992" w:rsidP="0072593C">
      <w:pPr>
        <w:pStyle w:val="Heading1"/>
        <w:pageBreakBefore w:val="0"/>
        <w:rPr>
          <w:lang w:val="en-AU"/>
        </w:rPr>
      </w:pPr>
      <w:r w:rsidRPr="00717E34">
        <w:rPr>
          <w:lang w:val="en-AU"/>
        </w:rPr>
        <w:t>Pharmaceutical form</w:t>
      </w:r>
    </w:p>
    <w:p w14:paraId="3AF2CDE9" w14:textId="485A6316" w:rsidR="00FD4041" w:rsidRPr="00FD4041" w:rsidRDefault="00FD4041" w:rsidP="00FD4041">
      <w:bookmarkStart w:id="1" w:name="_Hlk500849707"/>
      <w:r w:rsidRPr="00FD4041">
        <w:t>Powder and diluent for suspension for injection</w:t>
      </w:r>
    </w:p>
    <w:bookmarkEnd w:id="1"/>
    <w:p w14:paraId="1F645951" w14:textId="77777777" w:rsidR="00FD4041" w:rsidRDefault="00A8114B" w:rsidP="00A8114B">
      <w:pPr>
        <w:rPr>
          <w:lang w:val="en-AU"/>
        </w:rPr>
      </w:pPr>
      <w:r w:rsidRPr="007120C0">
        <w:rPr>
          <w:lang w:val="en-AU"/>
        </w:rPr>
        <w:t>Before reconstitution,</w:t>
      </w:r>
      <w:r>
        <w:rPr>
          <w:lang w:val="en-AU"/>
        </w:rPr>
        <w:t xml:space="preserve"> t</w:t>
      </w:r>
      <w:r w:rsidRPr="00F60E93">
        <w:rPr>
          <w:lang w:val="en-AU"/>
        </w:rPr>
        <w:t xml:space="preserve">he </w:t>
      </w:r>
      <w:r>
        <w:rPr>
          <w:lang w:val="en-AU"/>
        </w:rPr>
        <w:t>vaccine</w:t>
      </w:r>
      <w:r w:rsidRPr="00F60E93">
        <w:rPr>
          <w:lang w:val="en-AU"/>
        </w:rPr>
        <w:t xml:space="preserve"> is a white, homogenous, freeze dried powder with possible retraction at the base, and may form a ring shaped cake.</w:t>
      </w:r>
    </w:p>
    <w:p w14:paraId="7A0C5A92" w14:textId="77777777" w:rsidR="00FD4041" w:rsidRDefault="00A8114B" w:rsidP="00A8114B">
      <w:pPr>
        <w:rPr>
          <w:lang w:val="en-AU"/>
        </w:rPr>
      </w:pPr>
      <w:r w:rsidRPr="00F60E93">
        <w:rPr>
          <w:lang w:val="en-AU"/>
        </w:rPr>
        <w:t>The diluent is a clear, colourless liquid.</w:t>
      </w:r>
    </w:p>
    <w:p w14:paraId="5D2FD804" w14:textId="101B1549" w:rsidR="00A8114B" w:rsidRPr="00A8114B" w:rsidRDefault="00A8114B" w:rsidP="00A8114B">
      <w:pPr>
        <w:rPr>
          <w:lang w:val="en-AU"/>
        </w:rPr>
      </w:pPr>
      <w:r w:rsidRPr="00F60E93">
        <w:rPr>
          <w:lang w:val="en-AU"/>
        </w:rPr>
        <w:t>After reconstitution, Dengvaxia is a clear, colourless liquid with the possible presence of white to translucent particles.</w:t>
      </w:r>
    </w:p>
    <w:p w14:paraId="180ED4A1" w14:textId="77777777" w:rsidR="001A3992" w:rsidRPr="00717E34" w:rsidRDefault="001A3992" w:rsidP="0072593C">
      <w:pPr>
        <w:pStyle w:val="Heading1"/>
        <w:pageBreakBefore w:val="0"/>
        <w:rPr>
          <w:lang w:val="en-AU"/>
        </w:rPr>
      </w:pPr>
      <w:r w:rsidRPr="00717E34">
        <w:rPr>
          <w:lang w:val="en-AU"/>
        </w:rPr>
        <w:lastRenderedPageBreak/>
        <w:t>Clinical particulars</w:t>
      </w:r>
    </w:p>
    <w:p w14:paraId="0BFFE754" w14:textId="77777777" w:rsidR="001A3992" w:rsidRDefault="001A3992" w:rsidP="00E52CA8">
      <w:pPr>
        <w:pStyle w:val="Heading2"/>
        <w:rPr>
          <w:lang w:val="en-AU"/>
        </w:rPr>
      </w:pPr>
      <w:r w:rsidRPr="00717E34">
        <w:rPr>
          <w:lang w:val="en-AU"/>
        </w:rPr>
        <w:t>Therapeutic indications</w:t>
      </w:r>
    </w:p>
    <w:p w14:paraId="467D788F" w14:textId="77777777" w:rsidR="00492CC0" w:rsidRDefault="00A8114B" w:rsidP="00A8114B">
      <w:pPr>
        <w:rPr>
          <w:color w:val="auto"/>
          <w:lang w:val="en-AU"/>
        </w:rPr>
      </w:pPr>
      <w:r w:rsidRPr="00F60E93">
        <w:rPr>
          <w:lang w:val="en-AU"/>
        </w:rPr>
        <w:t xml:space="preserve">Dengvaxia is indicated for the prevention of dengue disease caused by dengue virus serotypes 1, 2, 3 and 4 in individuals 9 through </w:t>
      </w:r>
      <w:r>
        <w:rPr>
          <w:lang w:val="en-AU"/>
        </w:rPr>
        <w:t>45</w:t>
      </w:r>
      <w:r w:rsidRPr="00F60E93">
        <w:rPr>
          <w:lang w:val="en-AU"/>
        </w:rPr>
        <w:t xml:space="preserve"> years of age</w:t>
      </w:r>
      <w:r w:rsidR="00492CC0" w:rsidRPr="00492CC0">
        <w:rPr>
          <w:color w:val="auto"/>
          <w:lang w:val="en-AU"/>
        </w:rPr>
        <w:t xml:space="preserve"> with previous dengue infection and</w:t>
      </w:r>
      <w:r w:rsidRPr="00492CC0">
        <w:rPr>
          <w:color w:val="auto"/>
          <w:lang w:val="en-AU"/>
        </w:rPr>
        <w:t xml:space="preserve"> </w:t>
      </w:r>
      <w:r>
        <w:rPr>
          <w:lang w:val="en-AU"/>
        </w:rPr>
        <w:t>living in endemic areas</w:t>
      </w:r>
      <w:r w:rsidR="003D7723">
        <w:rPr>
          <w:lang w:val="en-AU"/>
        </w:rPr>
        <w:t>.</w:t>
      </w:r>
      <w:r w:rsidRPr="0087286A">
        <w:rPr>
          <w:color w:val="auto"/>
          <w:lang w:val="en-AU"/>
        </w:rPr>
        <w:t xml:space="preserve"> </w:t>
      </w:r>
    </w:p>
    <w:p w14:paraId="735A35E3" w14:textId="2426A808" w:rsidR="00A8114B" w:rsidRPr="00492CC0" w:rsidRDefault="00A8114B" w:rsidP="00A8114B">
      <w:pPr>
        <w:rPr>
          <w:lang w:val="en-AU"/>
        </w:rPr>
      </w:pPr>
      <w:r w:rsidRPr="0087286A">
        <w:rPr>
          <w:color w:val="auto"/>
          <w:lang w:val="en-AU"/>
        </w:rPr>
        <w:t>Use should be in accordance with official guidelines</w:t>
      </w:r>
      <w:r w:rsidRPr="00B02FC6">
        <w:t>.</w:t>
      </w:r>
      <w:r w:rsidR="00492CC0">
        <w:t xml:space="preserve"> </w:t>
      </w:r>
      <w:r w:rsidR="00492CC0" w:rsidRPr="00492CC0">
        <w:rPr>
          <w:lang w:val="en-AU"/>
        </w:rPr>
        <w:t xml:space="preserve">Previous dengue infection must be demonstrated by history of laboratory-confirmed dengue infection or </w:t>
      </w:r>
      <w:proofErr w:type="spellStart"/>
      <w:r w:rsidR="00492CC0" w:rsidRPr="00492CC0">
        <w:rPr>
          <w:lang w:val="en-AU"/>
        </w:rPr>
        <w:t>serotesting</w:t>
      </w:r>
      <w:proofErr w:type="spellEnd"/>
      <w:r w:rsidR="00492CC0" w:rsidRPr="00492CC0">
        <w:rPr>
          <w:lang w:val="en-AU"/>
        </w:rPr>
        <w:t xml:space="preserve"> according to local official recommendations.  </w:t>
      </w:r>
    </w:p>
    <w:p w14:paraId="66D24464" w14:textId="77777777" w:rsidR="001A3992" w:rsidRPr="00717E34" w:rsidRDefault="001A3992" w:rsidP="00E52CA8">
      <w:pPr>
        <w:pStyle w:val="Heading2"/>
        <w:rPr>
          <w:lang w:val="en-AU"/>
        </w:rPr>
      </w:pPr>
      <w:bookmarkStart w:id="2" w:name="_Ref500840904"/>
      <w:r w:rsidRPr="00717E34">
        <w:rPr>
          <w:lang w:val="en-AU"/>
        </w:rPr>
        <w:t>Dose and method of administration</w:t>
      </w:r>
      <w:bookmarkEnd w:id="2"/>
      <w:r w:rsidRPr="00717E34">
        <w:rPr>
          <w:lang w:val="en-AU"/>
        </w:rPr>
        <w:t xml:space="preserve"> </w:t>
      </w:r>
    </w:p>
    <w:p w14:paraId="2B96A525" w14:textId="77777777" w:rsidR="00A8114B" w:rsidRPr="008B5D2B" w:rsidRDefault="00A8114B" w:rsidP="00A8114B">
      <w:pPr>
        <w:pStyle w:val="Heading3"/>
        <w:numPr>
          <w:ilvl w:val="0"/>
          <w:numId w:val="0"/>
        </w:numPr>
        <w:rPr>
          <w:lang w:val="en-AU"/>
        </w:rPr>
      </w:pPr>
      <w:r w:rsidRPr="004271D1">
        <w:rPr>
          <w:lang w:val="en-AU"/>
        </w:rPr>
        <w:t>Dosage</w:t>
      </w:r>
    </w:p>
    <w:p w14:paraId="4D4A36BC" w14:textId="77777777" w:rsidR="00A8114B" w:rsidRPr="00F60E93" w:rsidRDefault="00A8114B" w:rsidP="00A8114B">
      <w:pPr>
        <w:rPr>
          <w:lang w:val="en-AU"/>
        </w:rPr>
      </w:pPr>
      <w:r w:rsidRPr="00F60E93">
        <w:rPr>
          <w:lang w:val="en-AU"/>
        </w:rPr>
        <w:t xml:space="preserve">The primary vaccination schedule consists of 3 injections of 0.5 mL to be administered </w:t>
      </w:r>
      <w:r>
        <w:rPr>
          <w:lang w:val="en-AU"/>
        </w:rPr>
        <w:t xml:space="preserve">by subcutaneous injection </w:t>
      </w:r>
      <w:r w:rsidRPr="00F60E93">
        <w:rPr>
          <w:lang w:val="en-AU"/>
        </w:rPr>
        <w:t>at 6 month intervals.</w:t>
      </w:r>
    </w:p>
    <w:p w14:paraId="3322B046" w14:textId="77777777" w:rsidR="00A8114B" w:rsidRDefault="00A8114B" w:rsidP="00A8114B">
      <w:pPr>
        <w:rPr>
          <w:lang w:val="en-AU"/>
        </w:rPr>
      </w:pPr>
      <w:r w:rsidRPr="00F60E93">
        <w:rPr>
          <w:lang w:val="en-AU"/>
        </w:rPr>
        <w:t>If flexibility in the vaccination schedule is necessary, a time window of +/- 20 days is acceptable.</w:t>
      </w:r>
    </w:p>
    <w:p w14:paraId="6C587364" w14:textId="77777777" w:rsidR="00C42DCC" w:rsidRDefault="00A8114B" w:rsidP="00A8114B">
      <w:pPr>
        <w:rPr>
          <w:color w:val="auto"/>
          <w:lang w:val="en-AU"/>
        </w:rPr>
      </w:pPr>
      <w:r w:rsidRPr="00D15CFD">
        <w:rPr>
          <w:color w:val="auto"/>
        </w:rPr>
        <w:t>The vaccine must be used according to official guidelines</w:t>
      </w:r>
      <w:r w:rsidR="00C42DCC">
        <w:rPr>
          <w:color w:val="auto"/>
        </w:rPr>
        <w:t xml:space="preserve">. </w:t>
      </w:r>
      <w:r w:rsidR="003D7723" w:rsidRPr="00C42DCC">
        <w:rPr>
          <w:color w:val="auto"/>
          <w:lang w:val="en-AU"/>
        </w:rPr>
        <w:t>F</w:t>
      </w:r>
      <w:r w:rsidR="0009265C" w:rsidRPr="00C42DCC">
        <w:rPr>
          <w:color w:val="auto"/>
          <w:lang w:val="en-AU"/>
        </w:rPr>
        <w:t>or countries considering vaccination as part of their dengue control program,</w:t>
      </w:r>
      <w:r w:rsidR="003D7723" w:rsidRPr="00C42DCC">
        <w:rPr>
          <w:color w:val="auto"/>
          <w:lang w:val="en-AU"/>
        </w:rPr>
        <w:t xml:space="preserve"> WHO have recommended</w:t>
      </w:r>
      <w:r w:rsidR="0088392B" w:rsidRPr="00C42DCC">
        <w:rPr>
          <w:color w:val="auto"/>
          <w:lang w:val="en-AU"/>
        </w:rPr>
        <w:t xml:space="preserve"> </w:t>
      </w:r>
      <w:r w:rsidR="0009265C" w:rsidRPr="00C42DCC">
        <w:rPr>
          <w:color w:val="auto"/>
          <w:lang w:val="en-AU"/>
        </w:rPr>
        <w:t>a ‘pre-vaccination screening strategy’</w:t>
      </w:r>
      <w:r w:rsidR="003D7723" w:rsidRPr="00C42DCC">
        <w:rPr>
          <w:color w:val="auto"/>
          <w:lang w:val="en-AU"/>
        </w:rPr>
        <w:t xml:space="preserve"> as </w:t>
      </w:r>
      <w:r w:rsidR="0009265C" w:rsidRPr="00C42DCC">
        <w:rPr>
          <w:color w:val="auto"/>
          <w:lang w:val="en-AU"/>
        </w:rPr>
        <w:t>the preferred option, in which only dengue-seropositive</w:t>
      </w:r>
      <w:r w:rsidR="003D7723" w:rsidRPr="00C42DCC">
        <w:rPr>
          <w:color w:val="auto"/>
          <w:lang w:val="en-AU"/>
        </w:rPr>
        <w:t xml:space="preserve"> individuals </w:t>
      </w:r>
      <w:r w:rsidR="0009265C" w:rsidRPr="00C42DCC">
        <w:rPr>
          <w:color w:val="auto"/>
          <w:lang w:val="en-AU"/>
        </w:rPr>
        <w:t>are vaccinated</w:t>
      </w:r>
      <w:r w:rsidR="001733CE" w:rsidRPr="00C42DCC">
        <w:rPr>
          <w:color w:val="auto"/>
          <w:lang w:val="en-AU"/>
        </w:rPr>
        <w:t xml:space="preserve"> (</w:t>
      </w:r>
      <w:r w:rsidR="007421C8" w:rsidRPr="00C42DCC">
        <w:rPr>
          <w:color w:val="auto"/>
          <w:lang w:val="en-AU"/>
        </w:rPr>
        <w:t>see S</w:t>
      </w:r>
      <w:r w:rsidR="001733CE" w:rsidRPr="00C42DCC">
        <w:rPr>
          <w:color w:val="auto"/>
          <w:lang w:val="en-AU"/>
        </w:rPr>
        <w:t>ection 4.4</w:t>
      </w:r>
      <w:r w:rsidR="009F2E1F" w:rsidRPr="00C42DCC">
        <w:rPr>
          <w:color w:val="auto"/>
          <w:lang w:val="en-AU"/>
        </w:rPr>
        <w:t xml:space="preserve"> Special warning and precautions for use</w:t>
      </w:r>
      <w:r w:rsidR="001733CE" w:rsidRPr="00C42DCC">
        <w:rPr>
          <w:color w:val="auto"/>
          <w:lang w:val="en-AU"/>
        </w:rPr>
        <w:t>)</w:t>
      </w:r>
      <w:r w:rsidR="0009265C" w:rsidRPr="00C42DCC">
        <w:rPr>
          <w:color w:val="auto"/>
          <w:lang w:val="en-AU"/>
        </w:rPr>
        <w:t xml:space="preserve">. </w:t>
      </w:r>
    </w:p>
    <w:p w14:paraId="7CE145A3" w14:textId="184FACE8" w:rsidR="00A8114B" w:rsidRPr="00F60E93" w:rsidRDefault="00A8114B" w:rsidP="00A8114B">
      <w:pPr>
        <w:rPr>
          <w:lang w:val="en-AU"/>
        </w:rPr>
      </w:pPr>
      <w:r w:rsidRPr="00F60E93">
        <w:rPr>
          <w:lang w:val="en-AU"/>
        </w:rPr>
        <w:t>The need for a booster after primary vaccination with Dengvaxia has not been determined.</w:t>
      </w:r>
    </w:p>
    <w:p w14:paraId="69398921" w14:textId="77777777" w:rsidR="00A8114B" w:rsidRPr="004271D1" w:rsidRDefault="00A8114B" w:rsidP="00A8114B">
      <w:pPr>
        <w:pStyle w:val="Heading3"/>
        <w:numPr>
          <w:ilvl w:val="0"/>
          <w:numId w:val="0"/>
        </w:numPr>
        <w:rPr>
          <w:lang w:val="en-AU"/>
        </w:rPr>
      </w:pPr>
      <w:r w:rsidRPr="004271D1">
        <w:rPr>
          <w:lang w:val="en-AU"/>
        </w:rPr>
        <w:t>Administration</w:t>
      </w:r>
    </w:p>
    <w:p w14:paraId="5F4EAE33" w14:textId="77777777" w:rsidR="00A8114B" w:rsidRPr="004271D1" w:rsidRDefault="00A8114B" w:rsidP="00A8114B">
      <w:pPr>
        <w:pStyle w:val="ListNumbered"/>
        <w:rPr>
          <w:lang w:val="en-AU"/>
        </w:rPr>
      </w:pPr>
      <w:r w:rsidRPr="004271D1">
        <w:rPr>
          <w:lang w:val="en-AU"/>
        </w:rPr>
        <w:t xml:space="preserve">Attach </w:t>
      </w:r>
      <w:r w:rsidRPr="00911DF3">
        <w:rPr>
          <w:lang w:val="en-AU"/>
        </w:rPr>
        <w:t>the 23G x 1” (25mm) sterile</w:t>
      </w:r>
      <w:r w:rsidRPr="004271D1">
        <w:rPr>
          <w:lang w:val="en-AU"/>
        </w:rPr>
        <w:t xml:space="preserve"> needle provided to the pre-filled diluent syringe.</w:t>
      </w:r>
    </w:p>
    <w:p w14:paraId="687DB3FD" w14:textId="77777777" w:rsidR="00A8114B" w:rsidRPr="00911DF3" w:rsidRDefault="00A8114B" w:rsidP="00A8114B">
      <w:pPr>
        <w:pStyle w:val="ListNumbered"/>
        <w:rPr>
          <w:lang w:val="en-AU"/>
        </w:rPr>
      </w:pPr>
      <w:r w:rsidRPr="004271D1">
        <w:t xml:space="preserve">Reconstitute by transferring all of the </w:t>
      </w:r>
      <w:r w:rsidRPr="00911DF3">
        <w:t xml:space="preserve">diluent in the blue-labelled pre-filled syringe (0.4% sodium chloride solution) into the vial of freeze dried powder with a yellowish green flip-off cap. </w:t>
      </w:r>
    </w:p>
    <w:p w14:paraId="396EEC78" w14:textId="77777777" w:rsidR="00A8114B" w:rsidRPr="00911DF3" w:rsidRDefault="00A8114B" w:rsidP="00A8114B">
      <w:pPr>
        <w:pStyle w:val="ListNumbered"/>
        <w:rPr>
          <w:lang w:val="en-AU"/>
        </w:rPr>
      </w:pPr>
      <w:r w:rsidRPr="00911DF3">
        <w:rPr>
          <w:lang w:val="en-AU"/>
        </w:rPr>
        <w:t xml:space="preserve">Gently swirl the vial. </w:t>
      </w:r>
    </w:p>
    <w:p w14:paraId="6F727F39" w14:textId="77777777" w:rsidR="00A8114B" w:rsidRPr="00911DF3" w:rsidRDefault="00A8114B" w:rsidP="00A8114B">
      <w:pPr>
        <w:pStyle w:val="ListNumbered"/>
        <w:rPr>
          <w:lang w:val="en-AU"/>
        </w:rPr>
      </w:pPr>
      <w:r w:rsidRPr="00911DF3">
        <w:rPr>
          <w:lang w:val="en-AU"/>
        </w:rPr>
        <w:t xml:space="preserve">After complete dissolution, a 0.5 mL dose of the reconstituted suspension is withdrawn into the same syringe. </w:t>
      </w:r>
    </w:p>
    <w:p w14:paraId="1687A06D" w14:textId="77777777" w:rsidR="00A8114B" w:rsidRPr="00911DF3" w:rsidRDefault="00A8114B" w:rsidP="00A8114B">
      <w:pPr>
        <w:pStyle w:val="ListNumbered"/>
        <w:rPr>
          <w:lang w:val="en-AU"/>
        </w:rPr>
      </w:pPr>
      <w:r w:rsidRPr="00911DF3">
        <w:rPr>
          <w:lang w:val="en-AU"/>
        </w:rPr>
        <w:t xml:space="preserve">For injection, replace the 23G x 1” (25mm) needle with the 25G x 5/8” (16mm) sterile needle provided.  </w:t>
      </w:r>
    </w:p>
    <w:p w14:paraId="6C222CAB" w14:textId="77777777" w:rsidR="00A8114B" w:rsidRPr="004271D1" w:rsidRDefault="00A8114B" w:rsidP="00A8114B">
      <w:pPr>
        <w:pStyle w:val="ListNumbered"/>
        <w:rPr>
          <w:lang w:val="en-AU"/>
        </w:rPr>
      </w:pPr>
      <w:r w:rsidRPr="004271D1">
        <w:rPr>
          <w:lang w:val="en-AU"/>
        </w:rPr>
        <w:t xml:space="preserve">Administer by the subcutaneous injection. The recommended injection site is the deltoid region. </w:t>
      </w:r>
    </w:p>
    <w:p w14:paraId="265AAEB2" w14:textId="77777777" w:rsidR="00A8114B" w:rsidRPr="00F60E93" w:rsidRDefault="00A8114B" w:rsidP="00A8114B">
      <w:pPr>
        <w:rPr>
          <w:lang w:val="en-AU"/>
        </w:rPr>
      </w:pPr>
      <w:r w:rsidRPr="00F60E93">
        <w:rPr>
          <w:lang w:val="en-AU"/>
        </w:rPr>
        <w:t>Do not administer by intravascular injection.</w:t>
      </w:r>
    </w:p>
    <w:p w14:paraId="7FECAA84" w14:textId="77777777" w:rsidR="00A8114B" w:rsidRPr="00F60E93" w:rsidRDefault="00A8114B" w:rsidP="00A8114B">
      <w:pPr>
        <w:rPr>
          <w:lang w:val="en-AU"/>
        </w:rPr>
      </w:pPr>
      <w:r w:rsidRPr="00F60E93">
        <w:rPr>
          <w:lang w:val="en-AU"/>
        </w:rPr>
        <w:lastRenderedPageBreak/>
        <w:t>Dengvaxia must not be mixed with any other injectable vaccine(s) or medicinal product(s).</w:t>
      </w:r>
    </w:p>
    <w:p w14:paraId="35569193" w14:textId="77777777" w:rsidR="00A8114B" w:rsidRPr="00F60E93" w:rsidRDefault="00A8114B" w:rsidP="00A8114B">
      <w:pPr>
        <w:rPr>
          <w:lang w:val="en-AU"/>
        </w:rPr>
      </w:pPr>
      <w:r w:rsidRPr="00F60E93">
        <w:rPr>
          <w:lang w:val="en-AU"/>
        </w:rPr>
        <w:t>Separate syringes and needles, separate injection sites and preferably separate limbs must be used if any other vaccine(s) or medicinal product(s) is/are concomitantly administered.</w:t>
      </w:r>
    </w:p>
    <w:p w14:paraId="551B858C" w14:textId="77777777" w:rsidR="00A8114B" w:rsidRPr="00F60E93" w:rsidRDefault="00A8114B" w:rsidP="00A8114B">
      <w:pPr>
        <w:rPr>
          <w:lang w:val="en-AU"/>
        </w:rPr>
      </w:pPr>
      <w:r w:rsidRPr="00F60E93">
        <w:rPr>
          <w:lang w:val="en-AU"/>
        </w:rPr>
        <w:t>Contact with disinfectants is to be avoided since they may inactivate the vaccine viruses.</w:t>
      </w:r>
    </w:p>
    <w:p w14:paraId="1BDF4133" w14:textId="77777777" w:rsidR="004F0E4A" w:rsidRPr="00717E34" w:rsidRDefault="00A8114B" w:rsidP="004F0E4A">
      <w:pPr>
        <w:rPr>
          <w:lang w:val="en-AU"/>
        </w:rPr>
      </w:pPr>
      <w:r w:rsidRPr="00F60E93">
        <w:rPr>
          <w:lang w:val="en-AU"/>
        </w:rPr>
        <w:t>Dengvaxia is for single use only and must not be used in more than one individual. Discard any remaining unused contents.</w:t>
      </w:r>
    </w:p>
    <w:p w14:paraId="5ED5063C" w14:textId="77777777" w:rsidR="001A3992" w:rsidRPr="00717E34" w:rsidRDefault="001A3992" w:rsidP="00E52CA8">
      <w:pPr>
        <w:pStyle w:val="Heading2"/>
        <w:rPr>
          <w:lang w:val="en-AU"/>
        </w:rPr>
      </w:pPr>
      <w:bookmarkStart w:id="3" w:name="_Ref500841945"/>
      <w:r w:rsidRPr="00717E34">
        <w:rPr>
          <w:lang w:val="en-AU"/>
        </w:rPr>
        <w:t>Contraindications</w:t>
      </w:r>
      <w:bookmarkEnd w:id="3"/>
    </w:p>
    <w:p w14:paraId="2D5D1B4B" w14:textId="77777777" w:rsidR="00A8114B" w:rsidRPr="001A2C91" w:rsidRDefault="00A8114B" w:rsidP="00A8114B">
      <w:pPr>
        <w:rPr>
          <w:lang w:val="en-AU"/>
        </w:rPr>
      </w:pPr>
      <w:r w:rsidRPr="001A2C91">
        <w:rPr>
          <w:lang w:val="en-AU"/>
        </w:rPr>
        <w:t xml:space="preserve">Dengvaxia must not be administered to individuals with </w:t>
      </w:r>
      <w:r w:rsidRPr="00911DF3">
        <w:rPr>
          <w:lang w:val="en-AU"/>
        </w:rPr>
        <w:t>a history of severe</w:t>
      </w:r>
      <w:r w:rsidRPr="001A2C91">
        <w:rPr>
          <w:lang w:val="en-AU"/>
        </w:rPr>
        <w:t xml:space="preserve"> allergic reaction to any component of Dengvaxia or a vaccine containing the same components.</w:t>
      </w:r>
    </w:p>
    <w:p w14:paraId="67ECCA82" w14:textId="77777777" w:rsidR="00A8114B" w:rsidRPr="00F60E93" w:rsidRDefault="00A8114B" w:rsidP="00A8114B">
      <w:pPr>
        <w:rPr>
          <w:lang w:val="en-AU"/>
        </w:rPr>
      </w:pPr>
      <w:r w:rsidRPr="001A2C91">
        <w:rPr>
          <w:lang w:val="en-AU"/>
        </w:rPr>
        <w:t>Dengvaxia must not be administered to individuals with a history of severe allergic reaction after prior administration of Dengvaxia.</w:t>
      </w:r>
    </w:p>
    <w:p w14:paraId="0221DB43" w14:textId="77777777" w:rsidR="00A8114B" w:rsidRPr="00F60E93" w:rsidRDefault="00A8114B" w:rsidP="00A8114B">
      <w:pPr>
        <w:rPr>
          <w:lang w:val="en-AU"/>
        </w:rPr>
      </w:pPr>
      <w:r w:rsidRPr="00F60E93">
        <w:rPr>
          <w:lang w:val="en-AU"/>
        </w:rPr>
        <w:t>Administration of Dengvaxia must be postponed in individuals suffering from moderate to severe febrile or acute disease.</w:t>
      </w:r>
    </w:p>
    <w:p w14:paraId="67E53A62" w14:textId="038BBC08" w:rsidR="00A8114B" w:rsidRPr="00B02FC6" w:rsidRDefault="00A8114B" w:rsidP="00A8114B">
      <w:r w:rsidRPr="00F60E93">
        <w:rPr>
          <w:lang w:val="en-AU"/>
        </w:rPr>
        <w:t>Dengvaxia must not be administered to individuals with congenital or acquired immune deficiency that impairs cell-mediated immunity</w:t>
      </w:r>
      <w:r>
        <w:rPr>
          <w:lang w:val="en-AU"/>
        </w:rPr>
        <w:t xml:space="preserve">. This </w:t>
      </w:r>
      <w:r w:rsidRPr="00F60E93">
        <w:rPr>
          <w:lang w:val="en-AU"/>
        </w:rPr>
        <w:t>includ</w:t>
      </w:r>
      <w:r>
        <w:rPr>
          <w:lang w:val="en-AU"/>
        </w:rPr>
        <w:t>es</w:t>
      </w:r>
      <w:r w:rsidRPr="00F60E93">
        <w:rPr>
          <w:lang w:val="en-AU"/>
        </w:rPr>
        <w:t xml:space="preserve"> </w:t>
      </w:r>
      <w:r>
        <w:rPr>
          <w:lang w:val="en-AU"/>
        </w:rPr>
        <w:t xml:space="preserve">individuals receiving </w:t>
      </w:r>
      <w:r w:rsidRPr="00F60E93">
        <w:rPr>
          <w:lang w:val="en-AU"/>
        </w:rPr>
        <w:t>immunosuppressive therapies such as chemotherapy or high doses of systemic corticosteroids generally given for 2 weeks or more</w:t>
      </w:r>
      <w:r>
        <w:rPr>
          <w:lang w:val="en-AU"/>
        </w:rPr>
        <w:t xml:space="preserve"> </w:t>
      </w:r>
      <w:r w:rsidRPr="000F1E15">
        <w:t>or other immunosuppressive agents</w:t>
      </w:r>
      <w:r w:rsidRPr="00F60E93">
        <w:rPr>
          <w:lang w:val="en-AU"/>
        </w:rPr>
        <w:t xml:space="preserve"> (see </w:t>
      </w:r>
      <w:r w:rsidRPr="00B02FC6">
        <w:t xml:space="preserve">Section </w:t>
      </w:r>
      <w:r w:rsidRPr="00B02FC6">
        <w:fldChar w:fldCharType="begin"/>
      </w:r>
      <w:r w:rsidRPr="00B02FC6">
        <w:instrText xml:space="preserve"> REF _Ref500841082 \r \h  \* MERGEFORMAT </w:instrText>
      </w:r>
      <w:r w:rsidRPr="00B02FC6">
        <w:fldChar w:fldCharType="separate"/>
      </w:r>
      <w:r w:rsidR="00C16A62" w:rsidRPr="00B02FC6">
        <w:t>4.4</w:t>
      </w:r>
      <w:r w:rsidRPr="00B02FC6">
        <w:fldChar w:fldCharType="end"/>
      </w:r>
      <w:r w:rsidRPr="00B02FC6">
        <w:t xml:space="preserve"> </w:t>
      </w:r>
      <w:r w:rsidR="00EB2FA7" w:rsidRPr="00B02FC6">
        <w:t>Special warnings and precautions for use</w:t>
      </w:r>
      <w:r w:rsidRPr="00B02FC6">
        <w:t>).</w:t>
      </w:r>
    </w:p>
    <w:p w14:paraId="5FFD9F6A" w14:textId="77777777" w:rsidR="00A8114B" w:rsidRPr="00F60E93" w:rsidRDefault="00A8114B" w:rsidP="00A8114B">
      <w:pPr>
        <w:rPr>
          <w:lang w:val="en-AU"/>
        </w:rPr>
      </w:pPr>
      <w:r w:rsidRPr="00F60E93">
        <w:rPr>
          <w:lang w:val="en-AU"/>
        </w:rPr>
        <w:t>Dengvaxia must not be administered to individuals with symptomatic Human Immunodeficiency Virus (HIV) infection or with asymptomatic HIV infection when accompanied by evidence of impaired immune function.</w:t>
      </w:r>
    </w:p>
    <w:p w14:paraId="1FD97FE0" w14:textId="47AC9CB8" w:rsidR="00A8114B" w:rsidRPr="00B02FC6" w:rsidRDefault="00A8114B" w:rsidP="00A8114B">
      <w:proofErr w:type="spellStart"/>
      <w:r w:rsidRPr="00F60E93">
        <w:rPr>
          <w:lang w:val="en-AU"/>
        </w:rPr>
        <w:t>Dengvaxia</w:t>
      </w:r>
      <w:proofErr w:type="spellEnd"/>
      <w:r w:rsidRPr="00F60E93">
        <w:rPr>
          <w:lang w:val="en-AU"/>
        </w:rPr>
        <w:t xml:space="preserve"> must not be administered to pregnant women (see</w:t>
      </w:r>
      <w:r w:rsidRPr="00F60E93">
        <w:rPr>
          <w:rFonts w:ascii="Times New Roman Bold" w:hAnsi="Times New Roman Bold"/>
          <w:b/>
          <w:lang w:val="en-AU"/>
        </w:rPr>
        <w:t xml:space="preserve"> </w:t>
      </w:r>
      <w:r>
        <w:rPr>
          <w:lang w:val="en-AU"/>
        </w:rPr>
        <w:t>Section</w:t>
      </w:r>
      <w:r w:rsidRPr="00B02FC6">
        <w:t xml:space="preserve"> </w:t>
      </w:r>
      <w:r w:rsidRPr="00B02FC6">
        <w:fldChar w:fldCharType="begin"/>
      </w:r>
      <w:r w:rsidRPr="00B02FC6">
        <w:instrText xml:space="preserve"> REF _Ref500841082 \r \h  \* MERGEFORMAT </w:instrText>
      </w:r>
      <w:r w:rsidRPr="00B02FC6">
        <w:fldChar w:fldCharType="separate"/>
      </w:r>
      <w:r w:rsidR="00C16A62" w:rsidRPr="00B02FC6">
        <w:t>4.4</w:t>
      </w:r>
      <w:r w:rsidRPr="00B02FC6">
        <w:fldChar w:fldCharType="end"/>
      </w:r>
      <w:r w:rsidRPr="00B02FC6">
        <w:t xml:space="preserve"> </w:t>
      </w:r>
      <w:r w:rsidR="00EB2FA7" w:rsidRPr="00B02FC6">
        <w:t>Special warnings and precautions for use</w:t>
      </w:r>
      <w:r w:rsidRPr="00B02FC6">
        <w:t>).</w:t>
      </w:r>
    </w:p>
    <w:p w14:paraId="760B6A18" w14:textId="7D7499CB" w:rsidR="00292D82" w:rsidRPr="00B02FC6" w:rsidRDefault="00A8114B" w:rsidP="00A8114B">
      <w:r w:rsidRPr="00F60E93">
        <w:rPr>
          <w:lang w:val="en-AU"/>
        </w:rPr>
        <w:t>Dengvaxia must not be administered to breastfeeding women (see</w:t>
      </w:r>
      <w:r w:rsidRPr="00F60E93">
        <w:rPr>
          <w:rFonts w:ascii="Times New Roman Bold" w:hAnsi="Times New Roman Bold"/>
          <w:b/>
          <w:lang w:val="en-AU"/>
        </w:rPr>
        <w:t xml:space="preserve"> </w:t>
      </w:r>
      <w:r w:rsidRPr="00B02FC6">
        <w:t xml:space="preserve">Section </w:t>
      </w:r>
      <w:r w:rsidRPr="00B02FC6">
        <w:fldChar w:fldCharType="begin"/>
      </w:r>
      <w:r w:rsidRPr="00B02FC6">
        <w:instrText xml:space="preserve"> REF _Ref500841082 \r \h  \* MERGEFORMAT </w:instrText>
      </w:r>
      <w:r w:rsidRPr="00B02FC6">
        <w:fldChar w:fldCharType="separate"/>
      </w:r>
      <w:r w:rsidR="00C16A62" w:rsidRPr="00B02FC6">
        <w:t>4.4</w:t>
      </w:r>
      <w:r w:rsidRPr="00B02FC6">
        <w:fldChar w:fldCharType="end"/>
      </w:r>
      <w:r w:rsidRPr="00B02FC6">
        <w:t xml:space="preserve"> </w:t>
      </w:r>
      <w:r w:rsidR="00EB2FA7" w:rsidRPr="00B02FC6">
        <w:t>Special warnings and precautions for use</w:t>
      </w:r>
      <w:r w:rsidRPr="00B02FC6">
        <w:t>).</w:t>
      </w:r>
    </w:p>
    <w:p w14:paraId="2EF223FD" w14:textId="77777777" w:rsidR="001A3992" w:rsidRPr="00717E34" w:rsidRDefault="00E74A56" w:rsidP="00E52CA8">
      <w:pPr>
        <w:pStyle w:val="Heading2"/>
        <w:rPr>
          <w:lang w:val="en-AU"/>
        </w:rPr>
      </w:pPr>
      <w:bookmarkStart w:id="4" w:name="_Ref500841082"/>
      <w:r w:rsidRPr="00717E34">
        <w:rPr>
          <w:lang w:val="en-AU"/>
        </w:rPr>
        <w:t>Special warnings and p</w:t>
      </w:r>
      <w:r w:rsidR="001A3992" w:rsidRPr="00717E34">
        <w:rPr>
          <w:lang w:val="en-AU"/>
        </w:rPr>
        <w:t xml:space="preserve">recautions </w:t>
      </w:r>
      <w:r w:rsidRPr="00717E34">
        <w:rPr>
          <w:lang w:val="en-AU"/>
        </w:rPr>
        <w:t>for use</w:t>
      </w:r>
      <w:bookmarkEnd w:id="4"/>
    </w:p>
    <w:p w14:paraId="1A5B71C3" w14:textId="77777777" w:rsidR="005A37E7" w:rsidRDefault="005A37E7" w:rsidP="00201B71">
      <w:pPr>
        <w:pStyle w:val="Heading3"/>
        <w:numPr>
          <w:ilvl w:val="0"/>
          <w:numId w:val="0"/>
        </w:numPr>
        <w:rPr>
          <w:lang w:val="en-AU"/>
        </w:rPr>
      </w:pPr>
      <w:r w:rsidRPr="001A2C91">
        <w:rPr>
          <w:lang w:val="en-AU"/>
        </w:rPr>
        <w:t>Prior to vaccination</w:t>
      </w:r>
    </w:p>
    <w:p w14:paraId="4127F8F1" w14:textId="77777777" w:rsidR="005A37E7" w:rsidRPr="0087286A" w:rsidRDefault="005A37E7" w:rsidP="005A37E7">
      <w:pPr>
        <w:rPr>
          <w:color w:val="auto"/>
          <w:lang w:val="en-AU"/>
        </w:rPr>
      </w:pPr>
      <w:r w:rsidRPr="0087286A">
        <w:rPr>
          <w:color w:val="auto"/>
          <w:lang w:val="en-AU"/>
        </w:rPr>
        <w:t>Individuals living in non-endemic areas and visiting endemic areas should not receive the vaccine because available clinical data are not sufficient to conclude on the benefit/risk of vaccination in such individuals.</w:t>
      </w:r>
    </w:p>
    <w:p w14:paraId="35860ABF" w14:textId="77777777" w:rsidR="005A37E7" w:rsidRPr="0087286A" w:rsidRDefault="005A37E7" w:rsidP="005A37E7">
      <w:pPr>
        <w:rPr>
          <w:color w:val="auto"/>
          <w:lang w:val="en-AU"/>
        </w:rPr>
      </w:pPr>
      <w:r w:rsidRPr="0087286A">
        <w:rPr>
          <w:color w:val="auto"/>
          <w:lang w:val="en-AU"/>
        </w:rPr>
        <w:t xml:space="preserve">In individuals who are not immune to dengue (who have never been infected by any of the dengue virus serotype), a potential risk of virologically-confirmed dengue requiring </w:t>
      </w:r>
      <w:r w:rsidRPr="0087286A">
        <w:rPr>
          <w:color w:val="auto"/>
          <w:lang w:val="en-AU"/>
        </w:rPr>
        <w:lastRenderedPageBreak/>
        <w:t>hospitalisation might be considered. However, current available clinical data are not sufficient to conclude on this potential risk in such individuals.</w:t>
      </w:r>
    </w:p>
    <w:p w14:paraId="72570904" w14:textId="77777777" w:rsidR="005A37E7" w:rsidRPr="002939AA" w:rsidRDefault="005A37E7" w:rsidP="005A37E7">
      <w:pPr>
        <w:rPr>
          <w:lang w:val="en-AU"/>
        </w:rPr>
      </w:pPr>
      <w:r w:rsidRPr="002939AA">
        <w:rPr>
          <w:lang w:val="en-AU"/>
        </w:rPr>
        <w:t>In individuals who have a history of serious or severe reaction within 48 hours after a prior administration of Dengvaxia or of a vaccine containing similar components, the risks and benefits of vaccination must be carefully considered.</w:t>
      </w:r>
    </w:p>
    <w:p w14:paraId="1001D12C" w14:textId="77777777" w:rsidR="005A37E7" w:rsidRPr="002939AA" w:rsidRDefault="005A37E7" w:rsidP="005A37E7">
      <w:pPr>
        <w:rPr>
          <w:lang w:val="en-AU"/>
        </w:rPr>
      </w:pPr>
      <w:r w:rsidRPr="002939AA">
        <w:rPr>
          <w:lang w:val="en-AU"/>
        </w:rPr>
        <w:t>Before administering any biological, the person responsible for administration must take all precautions to prevent allergic or other reactions. As with all injectable vaccines, appropriate medical treatment and supervision must always be readily available in the event of an anaphylactic reaction following administration of Dengvaxia. Adrenaline (1:1000) and other appropriate agents used to control immediate allergic reactions must be available to treat unexpected events such as anaphylaxis.</w:t>
      </w:r>
    </w:p>
    <w:p w14:paraId="30C23C0F" w14:textId="77777777" w:rsidR="005A37E7" w:rsidRDefault="005A37E7" w:rsidP="005A37E7">
      <w:pPr>
        <w:rPr>
          <w:lang w:val="en-AU"/>
        </w:rPr>
      </w:pPr>
      <w:r w:rsidRPr="002939AA">
        <w:rPr>
          <w:lang w:val="en-AU"/>
        </w:rPr>
        <w:t>Syncope (fainting) can occur following, or even before, any vaccination as a psychogenic response to injection with a needle. Procedures should be in place to prevent injury from falling and to manage syncopal reactions.</w:t>
      </w:r>
    </w:p>
    <w:p w14:paraId="2686D255" w14:textId="51E0E3E3" w:rsidR="005A37E7" w:rsidRDefault="005A37E7" w:rsidP="005A37E7">
      <w:pPr>
        <w:rPr>
          <w:lang w:val="en-AU"/>
        </w:rPr>
      </w:pPr>
      <w:r w:rsidRPr="002939AA">
        <w:rPr>
          <w:lang w:val="en-AU"/>
        </w:rPr>
        <w:t>Do not administer Dengvaxia by intravascular injection.</w:t>
      </w:r>
    </w:p>
    <w:p w14:paraId="1D3FDA47" w14:textId="77777777" w:rsidR="005A37E7" w:rsidRPr="00F60E93" w:rsidRDefault="005A37E7" w:rsidP="00FF1143">
      <w:pPr>
        <w:pStyle w:val="Heading3"/>
        <w:numPr>
          <w:ilvl w:val="0"/>
          <w:numId w:val="0"/>
        </w:numPr>
        <w:rPr>
          <w:lang w:val="en-AU"/>
        </w:rPr>
      </w:pPr>
      <w:r w:rsidRPr="000A7E00">
        <w:rPr>
          <w:lang w:val="en-AU"/>
        </w:rPr>
        <w:t>Protection</w:t>
      </w:r>
    </w:p>
    <w:p w14:paraId="0D9A3795" w14:textId="1365538A" w:rsidR="006D0FCD" w:rsidRDefault="005A37E7" w:rsidP="006D0FCD">
      <w:r w:rsidRPr="00F60E93">
        <w:rPr>
          <w:lang w:val="en-AU"/>
        </w:rPr>
        <w:t>As with any vaccine, vaccination with Dengvaxia may not protect 100% of vaccinated individuals. It is recommended to continue personal protection measures against mosquito bites after vaccination.</w:t>
      </w:r>
    </w:p>
    <w:p w14:paraId="35A58FA3" w14:textId="7B23189A" w:rsidR="005A37E7" w:rsidRPr="00D537AC" w:rsidRDefault="006D0FCD" w:rsidP="005A37E7">
      <w:pPr>
        <w:rPr>
          <w:color w:val="auto"/>
          <w:lang w:val="en-AU"/>
        </w:rPr>
      </w:pPr>
      <w:r w:rsidRPr="00D537AC">
        <w:rPr>
          <w:color w:val="auto"/>
          <w:lang w:val="en-AU"/>
        </w:rPr>
        <w:t xml:space="preserve">As a precaution, healthcare professionals should follow-up and appropriately manage any </w:t>
      </w:r>
      <w:r w:rsidR="00A848AC" w:rsidRPr="00D537AC">
        <w:rPr>
          <w:color w:val="auto"/>
          <w:lang w:val="en-AU"/>
        </w:rPr>
        <w:t xml:space="preserve">vaccinated individuals </w:t>
      </w:r>
      <w:r w:rsidRPr="00D537AC">
        <w:rPr>
          <w:color w:val="auto"/>
          <w:lang w:val="en-AU"/>
        </w:rPr>
        <w:t>with signs and symptoms of dengue fever, with particular attention to dengue warning signs (e.g., high fever, severe abdominal pain or tenderness, persistent vomiting, mucosal bleeding, somnolence and hyperactivity according to WHO guidelines 2009).</w:t>
      </w:r>
    </w:p>
    <w:p w14:paraId="7C81021F" w14:textId="2265AE51" w:rsidR="006D0FCD" w:rsidRPr="00D537AC" w:rsidRDefault="006D0FCD" w:rsidP="006D0FCD">
      <w:pPr>
        <w:rPr>
          <w:color w:val="auto"/>
          <w:lang w:val="en-AU"/>
        </w:rPr>
      </w:pPr>
      <w:r w:rsidRPr="00D537AC">
        <w:rPr>
          <w:i/>
          <w:color w:val="auto"/>
          <w:lang w:val="en-AU"/>
        </w:rPr>
        <w:t>Individuals who have not been previously infected by dengue virus or for whom this information is unknown</w:t>
      </w:r>
      <w:r w:rsidR="00D537AC">
        <w:rPr>
          <w:i/>
          <w:color w:val="auto"/>
          <w:lang w:val="en-AU"/>
        </w:rPr>
        <w:t>;</w:t>
      </w:r>
      <w:r w:rsidR="00D537AC" w:rsidRPr="00D537AC">
        <w:rPr>
          <w:color w:val="auto"/>
          <w:lang w:val="en-AU"/>
        </w:rPr>
        <w:t xml:space="preserve"> i</w:t>
      </w:r>
      <w:r w:rsidRPr="00D537AC">
        <w:rPr>
          <w:color w:val="auto"/>
          <w:lang w:val="en-AU"/>
        </w:rPr>
        <w:t>n individuals who have not been previously infected by the dengue virus, an increased risk of hospitali</w:t>
      </w:r>
      <w:r w:rsidR="00BA3C35" w:rsidRPr="00D537AC">
        <w:rPr>
          <w:color w:val="auto"/>
          <w:lang w:val="en-AU"/>
        </w:rPr>
        <w:t>s</w:t>
      </w:r>
      <w:r w:rsidRPr="00D537AC">
        <w:rPr>
          <w:color w:val="auto"/>
          <w:lang w:val="en-AU"/>
        </w:rPr>
        <w:t xml:space="preserve">ation for dengue and clinically severe dengue (predominantly grade 1 or 2 Dengue </w:t>
      </w:r>
      <w:proofErr w:type="spellStart"/>
      <w:r w:rsidRPr="00D537AC">
        <w:rPr>
          <w:color w:val="auto"/>
          <w:lang w:val="en-AU"/>
        </w:rPr>
        <w:t>Hemorrhagic</w:t>
      </w:r>
      <w:proofErr w:type="spellEnd"/>
      <w:r w:rsidRPr="00D537AC">
        <w:rPr>
          <w:color w:val="auto"/>
          <w:lang w:val="en-AU"/>
        </w:rPr>
        <w:t xml:space="preserve"> Fever [WHO 1997]) has been observed in the long-term follow up of clinical trials.</w:t>
      </w:r>
    </w:p>
    <w:p w14:paraId="7F6FA3C2" w14:textId="71D81FA4" w:rsidR="006D0FCD" w:rsidRPr="00D537AC" w:rsidRDefault="006D0FCD" w:rsidP="006D0FCD">
      <w:pPr>
        <w:rPr>
          <w:rFonts w:eastAsiaTheme="minorEastAsia"/>
          <w:color w:val="auto"/>
          <w:lang w:val="en-AU" w:eastAsia="ko-KR"/>
        </w:rPr>
      </w:pPr>
      <w:r w:rsidRPr="00D537AC">
        <w:rPr>
          <w:color w:val="auto"/>
          <w:lang w:val="en-AU"/>
        </w:rPr>
        <w:t xml:space="preserve">Vaccination should only be recommended when the potential benefits outweigh the potential risks (for those living in areas with a high dengue </w:t>
      </w:r>
      <w:proofErr w:type="spellStart"/>
      <w:r w:rsidRPr="00D537AC">
        <w:rPr>
          <w:color w:val="auto"/>
          <w:lang w:val="en-AU"/>
        </w:rPr>
        <w:t>seroprevalence</w:t>
      </w:r>
      <w:proofErr w:type="spellEnd"/>
      <w:r w:rsidRPr="00D537AC">
        <w:rPr>
          <w:color w:val="auto"/>
          <w:lang w:val="en-AU"/>
        </w:rPr>
        <w:t xml:space="preserve"> or where epidemiological data indicate a high burden of dengue disease).</w:t>
      </w:r>
      <w:r w:rsidR="0053486E" w:rsidRPr="00D537AC">
        <w:rPr>
          <w:color w:val="auto"/>
          <w:lang w:val="en-AU"/>
        </w:rPr>
        <w:t xml:space="preserve"> </w:t>
      </w:r>
      <w:r w:rsidR="00F455AA" w:rsidRPr="00D537AC">
        <w:rPr>
          <w:color w:val="auto"/>
          <w:lang w:val="en-AU"/>
        </w:rPr>
        <w:t xml:space="preserve">According to WHO, in high </w:t>
      </w:r>
      <w:proofErr w:type="spellStart"/>
      <w:r w:rsidR="00F455AA" w:rsidRPr="00D537AC">
        <w:rPr>
          <w:color w:val="auto"/>
          <w:lang w:val="en-AU"/>
        </w:rPr>
        <w:t>seroprevalence</w:t>
      </w:r>
      <w:proofErr w:type="spellEnd"/>
      <w:r w:rsidR="00F455AA" w:rsidRPr="00D537AC">
        <w:rPr>
          <w:color w:val="auto"/>
          <w:lang w:val="en-AU"/>
        </w:rPr>
        <w:t xml:space="preserve"> settings (&gt; 80%) vaccination regardless of serostatus has an overall population benefit despite an increased risk for seronegative</w:t>
      </w:r>
      <w:r w:rsidR="0094099A" w:rsidRPr="00D537AC">
        <w:rPr>
          <w:color w:val="auto"/>
          <w:lang w:val="en-AU"/>
        </w:rPr>
        <w:t xml:space="preserve"> </w:t>
      </w:r>
      <w:proofErr w:type="gramStart"/>
      <w:r w:rsidR="0094099A" w:rsidRPr="00D537AC">
        <w:rPr>
          <w:color w:val="auto"/>
          <w:lang w:val="en-AU"/>
        </w:rPr>
        <w:t>individuals.</w:t>
      </w:r>
      <w:proofErr w:type="gramEnd"/>
      <w:r w:rsidR="0094099A" w:rsidRPr="00D537AC">
        <w:rPr>
          <w:color w:val="auto"/>
          <w:lang w:val="en-AU"/>
        </w:rPr>
        <w:t xml:space="preserve"> </w:t>
      </w:r>
      <w:r w:rsidRPr="00D537AC">
        <w:rPr>
          <w:color w:val="auto"/>
          <w:lang w:val="en-AU"/>
        </w:rPr>
        <w:t>Healthcare professionals would need to assess the likelihood of prior dengue infection in individuals</w:t>
      </w:r>
      <w:r w:rsidR="00F455AA" w:rsidRPr="00D537AC">
        <w:rPr>
          <w:color w:val="auto"/>
          <w:lang w:val="en-AU"/>
        </w:rPr>
        <w:t xml:space="preserve"> living in those areas</w:t>
      </w:r>
      <w:r w:rsidRPr="00D537AC">
        <w:rPr>
          <w:color w:val="auto"/>
          <w:lang w:val="en-AU"/>
        </w:rPr>
        <w:t xml:space="preserve"> before vaccinating. For individuals who have not been previously infected by dengue virus, vaccination should not be recommended. Previous infection by dengue virus </w:t>
      </w:r>
      <w:r w:rsidR="00492CC0">
        <w:rPr>
          <w:color w:val="auto"/>
          <w:lang w:val="en-AU"/>
        </w:rPr>
        <w:t>has to</w:t>
      </w:r>
      <w:r w:rsidR="008A3704" w:rsidRPr="00D537AC">
        <w:rPr>
          <w:color w:val="auto"/>
          <w:lang w:val="en-AU"/>
        </w:rPr>
        <w:t xml:space="preserve"> </w:t>
      </w:r>
      <w:r w:rsidRPr="00D537AC">
        <w:rPr>
          <w:color w:val="auto"/>
          <w:lang w:val="en-AU"/>
        </w:rPr>
        <w:t xml:space="preserve">be substantiated through </w:t>
      </w:r>
      <w:proofErr w:type="spellStart"/>
      <w:r w:rsidRPr="00D537AC">
        <w:rPr>
          <w:color w:val="auto"/>
          <w:lang w:val="en-AU"/>
        </w:rPr>
        <w:t>serotesting</w:t>
      </w:r>
      <w:proofErr w:type="spellEnd"/>
      <w:r w:rsidRPr="00D537AC">
        <w:rPr>
          <w:color w:val="auto"/>
          <w:lang w:val="en-AU"/>
        </w:rPr>
        <w:t xml:space="preserve"> where available.</w:t>
      </w:r>
      <w:r w:rsidR="008A3704" w:rsidRPr="00D537AC">
        <w:rPr>
          <w:rFonts w:eastAsiaTheme="minorEastAsia" w:hint="eastAsia"/>
          <w:color w:val="auto"/>
          <w:lang w:val="en-AU" w:eastAsia="ko-KR"/>
        </w:rPr>
        <w:t xml:space="preserve"> </w:t>
      </w:r>
    </w:p>
    <w:p w14:paraId="694A2885" w14:textId="18CC6293" w:rsidR="00C41A5C" w:rsidRDefault="00294243" w:rsidP="006D0FCD">
      <w:pPr>
        <w:rPr>
          <w:strike/>
          <w:color w:val="auto"/>
          <w:lang w:val="en-AU"/>
        </w:rPr>
      </w:pPr>
      <w:r w:rsidRPr="00D537AC">
        <w:rPr>
          <w:color w:val="auto"/>
          <w:lang w:val="en-AU"/>
        </w:rPr>
        <w:lastRenderedPageBreak/>
        <w:t xml:space="preserve">In the context of </w:t>
      </w:r>
      <w:proofErr w:type="gramStart"/>
      <w:r w:rsidR="004258A9" w:rsidRPr="00D537AC">
        <w:rPr>
          <w:color w:val="auto"/>
          <w:lang w:val="en-AU"/>
        </w:rPr>
        <w:t>WHO</w:t>
      </w:r>
      <w:proofErr w:type="gramEnd"/>
      <w:r w:rsidR="004258A9" w:rsidRPr="00D537AC">
        <w:rPr>
          <w:color w:val="auto"/>
          <w:lang w:val="en-AU"/>
        </w:rPr>
        <w:t xml:space="preserve"> recommendations, i</w:t>
      </w:r>
      <w:r w:rsidR="00172805" w:rsidRPr="00D537AC">
        <w:rPr>
          <w:color w:val="auto"/>
          <w:lang w:val="en-AU"/>
        </w:rPr>
        <w:t>n</w:t>
      </w:r>
      <w:r w:rsidR="00126F68" w:rsidRPr="00D537AC">
        <w:rPr>
          <w:color w:val="auto"/>
          <w:lang w:val="en-AU"/>
        </w:rPr>
        <w:t xml:space="preserve"> any future potential vaccination campaign in Australia, a ‘pre-vaccination screening strategy’ would be recommended, in which only </w:t>
      </w:r>
      <w:r w:rsidR="00DF381F" w:rsidRPr="00D537AC">
        <w:rPr>
          <w:color w:val="auto"/>
          <w:lang w:val="en-AU"/>
        </w:rPr>
        <w:t>dengue-</w:t>
      </w:r>
      <w:r w:rsidR="004258A9" w:rsidRPr="00D537AC">
        <w:rPr>
          <w:color w:val="auto"/>
          <w:lang w:val="en-AU"/>
        </w:rPr>
        <w:t xml:space="preserve">seropositive </w:t>
      </w:r>
      <w:r w:rsidR="00126F68" w:rsidRPr="00D537AC">
        <w:rPr>
          <w:color w:val="auto"/>
          <w:lang w:val="en-AU"/>
        </w:rPr>
        <w:t>individuals</w:t>
      </w:r>
      <w:r w:rsidR="00335B55" w:rsidRPr="00D537AC">
        <w:rPr>
          <w:color w:val="auto"/>
          <w:lang w:val="en-AU"/>
        </w:rPr>
        <w:t xml:space="preserve"> </w:t>
      </w:r>
      <w:r w:rsidR="00126F68" w:rsidRPr="00D537AC">
        <w:rPr>
          <w:color w:val="auto"/>
          <w:lang w:val="en-AU"/>
        </w:rPr>
        <w:t xml:space="preserve">should be vaccinated. </w:t>
      </w:r>
      <w:r w:rsidR="00172805" w:rsidRPr="00D537AC">
        <w:rPr>
          <w:strike/>
          <w:color w:val="auto"/>
          <w:lang w:val="en-AU"/>
        </w:rPr>
        <w:t xml:space="preserve"> </w:t>
      </w:r>
    </w:p>
    <w:p w14:paraId="6A89318A" w14:textId="77777777" w:rsidR="00492CC0" w:rsidRPr="00492CC0" w:rsidRDefault="00492CC0" w:rsidP="00492CC0">
      <w:pPr>
        <w:rPr>
          <w:lang w:val="en-AU"/>
        </w:rPr>
      </w:pPr>
      <w:r w:rsidRPr="00492CC0">
        <w:rPr>
          <w:i/>
          <w:lang w:val="en-AU"/>
        </w:rPr>
        <w:t xml:space="preserve">Individuals who intend to reside in high dengue prevalence areas: </w:t>
      </w:r>
      <w:r w:rsidRPr="00492CC0">
        <w:rPr>
          <w:lang w:val="en-AU"/>
        </w:rPr>
        <w:t xml:space="preserve">Vaccination can be considered in individuals 9 through 45 years of age with laboratory-confirmed past dengue infection </w:t>
      </w:r>
      <w:proofErr w:type="gramStart"/>
      <w:r w:rsidRPr="00492CC0">
        <w:rPr>
          <w:lang w:val="en-AU"/>
        </w:rPr>
        <w:t>who</w:t>
      </w:r>
      <w:proofErr w:type="gramEnd"/>
      <w:r w:rsidRPr="00492CC0">
        <w:rPr>
          <w:lang w:val="en-AU"/>
        </w:rPr>
        <w:t xml:space="preserve"> can complete the full vaccination schedule over 12 months. </w:t>
      </w:r>
    </w:p>
    <w:p w14:paraId="2C3E7D36" w14:textId="3B4B391F" w:rsidR="00492CC0" w:rsidRPr="00492CC0" w:rsidRDefault="00492CC0" w:rsidP="00492CC0">
      <w:pPr>
        <w:rPr>
          <w:lang w:val="en-AU"/>
        </w:rPr>
      </w:pPr>
      <w:r w:rsidRPr="00492CC0">
        <w:rPr>
          <w:i/>
          <w:lang w:val="en-AU"/>
        </w:rPr>
        <w:t xml:space="preserve">Travellers: </w:t>
      </w:r>
      <w:r w:rsidRPr="00492CC0">
        <w:rPr>
          <w:lang w:val="en-AU"/>
        </w:rPr>
        <w:t>Vaccination is not recommended for individuals living in non-endemic areas and travelling short term to endemic areas.</w:t>
      </w:r>
    </w:p>
    <w:p w14:paraId="06E32240" w14:textId="4E08AC14" w:rsidR="006D0FCD" w:rsidRDefault="005A37E7" w:rsidP="006D0FCD">
      <w:pPr>
        <w:rPr>
          <w:lang w:val="en-AU"/>
        </w:rPr>
      </w:pPr>
      <w:r w:rsidRPr="001A2C91">
        <w:rPr>
          <w:i/>
          <w:lang w:val="en-AU"/>
        </w:rPr>
        <w:t>Immunosuppression</w:t>
      </w:r>
      <w:r w:rsidRPr="001A2C91">
        <w:rPr>
          <w:lang w:val="en-AU"/>
        </w:rPr>
        <w:t>; for patients receiving treatment with high doses of systemic corticosteroids given for 2 weeks or more (daily receipt of prednisone or equivalent 20 mg or 2 mg/kg body weight is considered as a substantially immunosuppressive dose), it is advisable to wait until immune function has recovered, i.e., for at least 4 weeks after stopping treatment, before administering Dengvaxia.</w:t>
      </w:r>
    </w:p>
    <w:p w14:paraId="2DDC732F" w14:textId="77777777" w:rsidR="005A37E7" w:rsidRPr="001A2C91" w:rsidRDefault="005A37E7" w:rsidP="005A37E7">
      <w:pPr>
        <w:rPr>
          <w:lang w:val="en-AU"/>
        </w:rPr>
      </w:pPr>
      <w:r w:rsidRPr="001A2C91">
        <w:rPr>
          <w:i/>
          <w:lang w:val="en-AU"/>
        </w:rPr>
        <w:t>Phenylketonuria</w:t>
      </w:r>
      <w:r w:rsidRPr="001A2C91">
        <w:rPr>
          <w:lang w:val="en-AU"/>
        </w:rPr>
        <w:t xml:space="preserve">; Dengvaxia contains phenylalanine. It may be harmful for patients with phenylketonuria. </w:t>
      </w:r>
    </w:p>
    <w:p w14:paraId="7D3BA564" w14:textId="77777777" w:rsidR="005A37E7" w:rsidRDefault="005A37E7" w:rsidP="005A37E7">
      <w:pPr>
        <w:rPr>
          <w:lang w:val="en-AU"/>
        </w:rPr>
      </w:pPr>
      <w:r w:rsidRPr="001A2C91">
        <w:rPr>
          <w:i/>
          <w:lang w:val="en-AU"/>
        </w:rPr>
        <w:t>Fructose intolerance</w:t>
      </w:r>
      <w:r w:rsidRPr="001A2C91">
        <w:rPr>
          <w:lang w:val="en-AU"/>
        </w:rPr>
        <w:t>; Dengvaxia contains sorbitol. Patients with rare hereditary problems of fructose intolerance should not be given this vaccine.</w:t>
      </w:r>
    </w:p>
    <w:p w14:paraId="7444ECEE" w14:textId="77777777" w:rsidR="001A3992" w:rsidRDefault="001A3992" w:rsidP="00FF1143">
      <w:pPr>
        <w:pStyle w:val="Heading3"/>
        <w:numPr>
          <w:ilvl w:val="0"/>
          <w:numId w:val="0"/>
        </w:numPr>
        <w:rPr>
          <w:lang w:val="en-AU"/>
        </w:rPr>
      </w:pPr>
      <w:r w:rsidRPr="00717E34">
        <w:rPr>
          <w:lang w:val="en-AU"/>
        </w:rPr>
        <w:t>Use in the elderly</w:t>
      </w:r>
    </w:p>
    <w:p w14:paraId="13424D31" w14:textId="77777777" w:rsidR="005A37E7" w:rsidRPr="001A2C91" w:rsidRDefault="005A37E7" w:rsidP="005A37E7">
      <w:pPr>
        <w:rPr>
          <w:color w:val="auto"/>
          <w:lang w:val="en-AU"/>
        </w:rPr>
      </w:pPr>
      <w:r w:rsidRPr="001A2C91">
        <w:rPr>
          <w:color w:val="auto"/>
          <w:lang w:val="en-AU"/>
        </w:rPr>
        <w:t xml:space="preserve">Dengvaxia has not been evaluated in individuals older than 60 years of age.  </w:t>
      </w:r>
    </w:p>
    <w:p w14:paraId="71980579" w14:textId="77777777" w:rsidR="001A3992" w:rsidRDefault="001A3992" w:rsidP="00FF1143">
      <w:pPr>
        <w:pStyle w:val="Heading3"/>
        <w:numPr>
          <w:ilvl w:val="0"/>
          <w:numId w:val="0"/>
        </w:numPr>
        <w:rPr>
          <w:lang w:val="en-AU"/>
        </w:rPr>
      </w:pPr>
      <w:r w:rsidRPr="00717E34">
        <w:rPr>
          <w:lang w:val="en-AU"/>
        </w:rPr>
        <w:t>Paediatric use</w:t>
      </w:r>
    </w:p>
    <w:p w14:paraId="7016E765" w14:textId="551F09AD" w:rsidR="005A37E7" w:rsidRPr="00AB4B92" w:rsidRDefault="005A37E7" w:rsidP="005A37E7">
      <w:pPr>
        <w:rPr>
          <w:color w:val="auto"/>
          <w:lang w:val="en-AU"/>
        </w:rPr>
      </w:pPr>
      <w:r w:rsidRPr="001A2C91">
        <w:rPr>
          <w:lang w:val="en-AU"/>
        </w:rPr>
        <w:t>Dengvaxia should not be administered in individuals less than 9 years of age</w:t>
      </w:r>
      <w:r>
        <w:rPr>
          <w:lang w:val="en-AU"/>
        </w:rPr>
        <w:t xml:space="preserve"> </w:t>
      </w:r>
      <w:r w:rsidRPr="00A63B36">
        <w:rPr>
          <w:color w:val="auto"/>
          <w:lang w:val="en-AU"/>
        </w:rPr>
        <w:t>because of concerns observed in subjects 2 to 5 years of age in the Phase III efficacy studies, regarding increased rate in vaccinated subjects of virologically-confirmed dengue disease requiring hospitalisation</w:t>
      </w:r>
      <w:r w:rsidR="00FF581C">
        <w:rPr>
          <w:color w:val="auto"/>
          <w:lang w:val="en-AU"/>
        </w:rPr>
        <w:t xml:space="preserve"> </w:t>
      </w:r>
      <w:r w:rsidR="00FF581C" w:rsidRPr="00AB4B92">
        <w:rPr>
          <w:color w:val="auto"/>
          <w:lang w:val="en-AU"/>
        </w:rPr>
        <w:t xml:space="preserve">including clinically severe dengue in </w:t>
      </w:r>
      <w:r w:rsidR="00A848AC" w:rsidRPr="00AB4B92">
        <w:rPr>
          <w:color w:val="auto"/>
          <w:lang w:val="en-AU"/>
        </w:rPr>
        <w:t xml:space="preserve">subjects </w:t>
      </w:r>
      <w:r w:rsidR="00FF581C" w:rsidRPr="00AB4B92">
        <w:rPr>
          <w:color w:val="auto"/>
          <w:lang w:val="en-AU"/>
        </w:rPr>
        <w:t>with no previous dengue infection</w:t>
      </w:r>
      <w:r w:rsidRPr="00AB4B92">
        <w:rPr>
          <w:color w:val="auto"/>
          <w:lang w:val="en-AU"/>
        </w:rPr>
        <w:t>.</w:t>
      </w:r>
    </w:p>
    <w:p w14:paraId="39B7F205" w14:textId="77777777" w:rsidR="001A3992" w:rsidRPr="00717E34" w:rsidRDefault="001A3992" w:rsidP="00FF1143">
      <w:pPr>
        <w:pStyle w:val="Heading3"/>
        <w:numPr>
          <w:ilvl w:val="0"/>
          <w:numId w:val="0"/>
        </w:numPr>
        <w:rPr>
          <w:lang w:val="en-AU"/>
        </w:rPr>
      </w:pPr>
      <w:r w:rsidRPr="00717E34">
        <w:rPr>
          <w:lang w:val="en-AU"/>
        </w:rPr>
        <w:t>Effects on laboratory tests</w:t>
      </w:r>
    </w:p>
    <w:p w14:paraId="60CC8C0C" w14:textId="77777777" w:rsidR="00A62F6D" w:rsidRPr="00717E34" w:rsidRDefault="005A37E7" w:rsidP="00744556">
      <w:pPr>
        <w:rPr>
          <w:lang w:val="en-AU"/>
        </w:rPr>
      </w:pPr>
      <w:r w:rsidRPr="00F60E93">
        <w:rPr>
          <w:lang w:val="en-AU"/>
        </w:rPr>
        <w:t>No studies have been performed on the interference of Dengvaxia with laboratory and/or diagnostic tests.</w:t>
      </w:r>
    </w:p>
    <w:p w14:paraId="22258739" w14:textId="77777777" w:rsidR="001A3992" w:rsidRDefault="001A3992" w:rsidP="00E52CA8">
      <w:pPr>
        <w:pStyle w:val="Heading2"/>
      </w:pPr>
      <w:bookmarkStart w:id="5" w:name="_Ref500842883"/>
      <w:r w:rsidRPr="00E52CA8">
        <w:t>Interactions</w:t>
      </w:r>
      <w:r w:rsidRPr="005A37E7">
        <w:t xml:space="preserve"> with other medicines and other forms of interactions</w:t>
      </w:r>
      <w:bookmarkEnd w:id="5"/>
    </w:p>
    <w:p w14:paraId="14C1478A" w14:textId="77777777" w:rsidR="00F4364C" w:rsidRPr="00F60E93" w:rsidRDefault="00F4364C" w:rsidP="00F4364C">
      <w:pPr>
        <w:pStyle w:val="Heading3"/>
        <w:numPr>
          <w:ilvl w:val="0"/>
          <w:numId w:val="0"/>
        </w:numPr>
        <w:rPr>
          <w:lang w:val="en-AU"/>
        </w:rPr>
      </w:pPr>
      <w:r w:rsidRPr="00F60E93">
        <w:rPr>
          <w:lang w:val="en-AU"/>
        </w:rPr>
        <w:t>Concomitant administration</w:t>
      </w:r>
    </w:p>
    <w:p w14:paraId="55E22497" w14:textId="77777777" w:rsidR="00F4364C" w:rsidRPr="00F60E93" w:rsidRDefault="00F4364C" w:rsidP="00F4364C">
      <w:pPr>
        <w:rPr>
          <w:lang w:val="en-AU"/>
        </w:rPr>
      </w:pPr>
      <w:r w:rsidRPr="00F60E93">
        <w:rPr>
          <w:lang w:val="en-AU"/>
        </w:rPr>
        <w:t>Dengvaxia must not be mixed with any other injectable vaccine(s) or medicinal product(s).</w:t>
      </w:r>
    </w:p>
    <w:p w14:paraId="5FA29C2E" w14:textId="77777777" w:rsidR="00F4364C" w:rsidRPr="00F60E93" w:rsidRDefault="00F4364C" w:rsidP="00F4364C">
      <w:pPr>
        <w:rPr>
          <w:lang w:val="en-AU"/>
        </w:rPr>
      </w:pPr>
      <w:r w:rsidRPr="00F60E93">
        <w:rPr>
          <w:lang w:val="en-AU"/>
        </w:rPr>
        <w:lastRenderedPageBreak/>
        <w:t>Separate syringes and needles, separate injection sites and preferably separate limbs must be used if any other vaccine(s) or medicinal product(s) is/are concomitantly administered.</w:t>
      </w:r>
    </w:p>
    <w:p w14:paraId="7C4E7D0E" w14:textId="77777777" w:rsidR="00F4364C" w:rsidRPr="00F60E93" w:rsidRDefault="00F4364C" w:rsidP="00F4364C">
      <w:pPr>
        <w:rPr>
          <w:lang w:val="en-AU"/>
        </w:rPr>
      </w:pPr>
      <w:r w:rsidRPr="00F60E93">
        <w:rPr>
          <w:lang w:val="en-AU"/>
        </w:rPr>
        <w:t>No specific studies have been performed on concomitant administration of Dengvaxia with any other medicinal product(s) in individuals 9 through 60 years of age living in endemic areas.</w:t>
      </w:r>
    </w:p>
    <w:p w14:paraId="6A2074F3" w14:textId="77777777" w:rsidR="00F4364C" w:rsidRPr="00F60E93" w:rsidRDefault="00F4364C" w:rsidP="00F4364C">
      <w:pPr>
        <w:pStyle w:val="Heading3"/>
        <w:numPr>
          <w:ilvl w:val="0"/>
          <w:numId w:val="0"/>
        </w:numPr>
        <w:rPr>
          <w:lang w:val="en-AU"/>
        </w:rPr>
      </w:pPr>
      <w:r w:rsidRPr="00F60E93">
        <w:rPr>
          <w:lang w:val="en-AU"/>
        </w:rPr>
        <w:t>Vaccine</w:t>
      </w:r>
      <w:r>
        <w:rPr>
          <w:lang w:val="en-AU"/>
        </w:rPr>
        <w:t>-</w:t>
      </w:r>
      <w:r w:rsidRPr="00F60E93">
        <w:rPr>
          <w:lang w:val="en-AU"/>
        </w:rPr>
        <w:t>drug interactions</w:t>
      </w:r>
    </w:p>
    <w:p w14:paraId="7A3379A5" w14:textId="69593ECC" w:rsidR="00F4364C" w:rsidRPr="00B02FC6" w:rsidRDefault="00F4364C" w:rsidP="00F4364C">
      <w:r w:rsidRPr="00F60E93">
        <w:rPr>
          <w:lang w:val="en-AU"/>
        </w:rPr>
        <w:t>For immunosuppressive therapy or corticosteroid therapy, see</w:t>
      </w:r>
      <w:r>
        <w:rPr>
          <w:lang w:val="en-AU"/>
        </w:rPr>
        <w:t xml:space="preserve"> Section</w:t>
      </w:r>
      <w:r w:rsidRPr="00B02FC6">
        <w:t xml:space="preserve"> </w:t>
      </w:r>
      <w:r w:rsidRPr="00B02FC6">
        <w:fldChar w:fldCharType="begin"/>
      </w:r>
      <w:r w:rsidRPr="00B02FC6">
        <w:instrText xml:space="preserve"> REF _Ref500841082 \r \h  \* MERGEFORMAT </w:instrText>
      </w:r>
      <w:r w:rsidRPr="00B02FC6">
        <w:fldChar w:fldCharType="separate"/>
      </w:r>
      <w:r w:rsidR="00C16A62" w:rsidRPr="00B02FC6">
        <w:t>4.4</w:t>
      </w:r>
      <w:r w:rsidRPr="00B02FC6">
        <w:fldChar w:fldCharType="end"/>
      </w:r>
      <w:r w:rsidRPr="00B02FC6">
        <w:t xml:space="preserve"> </w:t>
      </w:r>
      <w:r w:rsidR="00EB2FA7" w:rsidRPr="00B02FC6">
        <w:t>Special warnings and precautions for use</w:t>
      </w:r>
      <w:r w:rsidRPr="00B02FC6">
        <w:t>.</w:t>
      </w:r>
    </w:p>
    <w:p w14:paraId="23CEBA4F" w14:textId="77777777" w:rsidR="00F4364C" w:rsidRPr="00F60E93" w:rsidRDefault="00F4364C" w:rsidP="00F4364C">
      <w:pPr>
        <w:rPr>
          <w:lang w:val="en-AU"/>
        </w:rPr>
      </w:pPr>
      <w:r w:rsidRPr="00F60E93">
        <w:rPr>
          <w:lang w:val="en-AU"/>
        </w:rPr>
        <w:t>For patients receiving treatment with immunoglobulins or blood products containing immunoglobulins, such as blood or plasma, it is advisable to wait for at least 6 weeks, and preferably for 3 months, following the end of treatment before administering Dengvaxia, in order to avoid neutralisation of the attenuated viruses contained in the vaccine.</w:t>
      </w:r>
    </w:p>
    <w:p w14:paraId="4CCE3CD8" w14:textId="77777777" w:rsidR="00F4364C" w:rsidRPr="001A2C91" w:rsidRDefault="00F4364C" w:rsidP="00F4364C">
      <w:pPr>
        <w:pStyle w:val="Heading3"/>
        <w:numPr>
          <w:ilvl w:val="0"/>
          <w:numId w:val="0"/>
        </w:numPr>
        <w:rPr>
          <w:lang w:val="en-AU"/>
        </w:rPr>
      </w:pPr>
      <w:r w:rsidRPr="001A2C91">
        <w:rPr>
          <w:lang w:val="en-AU"/>
        </w:rPr>
        <w:t>Vaccine-vaccine interactions</w:t>
      </w:r>
    </w:p>
    <w:p w14:paraId="1F0103A3" w14:textId="77777777" w:rsidR="00F4364C" w:rsidRPr="001A2C91" w:rsidRDefault="00F4364C" w:rsidP="00F4364C">
      <w:pPr>
        <w:rPr>
          <w:lang w:val="en-AU"/>
        </w:rPr>
      </w:pPr>
      <w:r w:rsidRPr="001A2C91">
        <w:rPr>
          <w:lang w:val="en-AU"/>
        </w:rPr>
        <w:t>Limited clinical data on sequential administration of other vaccines and Dengvaxia were collected in the early development phase. Prior administration of the following vaccines 3 to 4 months before Dengvaxia did not raise any safety concerns;</w:t>
      </w:r>
    </w:p>
    <w:p w14:paraId="04F53D8A" w14:textId="77777777" w:rsidR="00F4364C" w:rsidRPr="001A2C91" w:rsidRDefault="00F4364C" w:rsidP="00F4364C">
      <w:pPr>
        <w:pStyle w:val="ListBulletLevel1"/>
        <w:numPr>
          <w:ilvl w:val="0"/>
          <w:numId w:val="29"/>
        </w:numPr>
        <w:rPr>
          <w:lang w:val="en-AU"/>
        </w:rPr>
      </w:pPr>
      <w:r w:rsidRPr="001A2C91">
        <w:rPr>
          <w:lang w:val="en-AU"/>
        </w:rPr>
        <w:t>Typhoid vaccine (42 subjects 2 through 45 years of age) or</w:t>
      </w:r>
    </w:p>
    <w:p w14:paraId="4F4688E2" w14:textId="77777777" w:rsidR="00F4364C" w:rsidRPr="001A2C91" w:rsidRDefault="00F4364C" w:rsidP="00F4364C">
      <w:pPr>
        <w:pStyle w:val="ListBulletLevel1"/>
        <w:numPr>
          <w:ilvl w:val="0"/>
          <w:numId w:val="29"/>
        </w:numPr>
        <w:rPr>
          <w:lang w:val="en-AU"/>
        </w:rPr>
      </w:pPr>
      <w:r w:rsidRPr="001A2C91">
        <w:rPr>
          <w:lang w:val="en-AU"/>
        </w:rPr>
        <w:t>Inactivated Japanese encephalitis vaccine (32 subjects 18 through 45 years of age) or</w:t>
      </w:r>
    </w:p>
    <w:p w14:paraId="5FFE3751" w14:textId="77777777" w:rsidR="00F4364C" w:rsidRPr="001A2C91" w:rsidRDefault="00F4364C" w:rsidP="00F4364C">
      <w:pPr>
        <w:pStyle w:val="ListBulletLevel1"/>
        <w:numPr>
          <w:ilvl w:val="0"/>
          <w:numId w:val="29"/>
        </w:numPr>
        <w:rPr>
          <w:lang w:val="en-AU"/>
        </w:rPr>
      </w:pPr>
      <w:r w:rsidRPr="001A2C91">
        <w:rPr>
          <w:lang w:val="en-AU"/>
        </w:rPr>
        <w:t xml:space="preserve">Yellow fever vaccine (42 subjects 2 through 45 years of age) </w:t>
      </w:r>
    </w:p>
    <w:p w14:paraId="369D09E0" w14:textId="77777777" w:rsidR="001A3992" w:rsidRPr="00717E34" w:rsidRDefault="001A3992" w:rsidP="00E52CA8">
      <w:pPr>
        <w:pStyle w:val="Heading2"/>
        <w:rPr>
          <w:lang w:val="en-AU"/>
        </w:rPr>
      </w:pPr>
      <w:r w:rsidRPr="00717E34">
        <w:rPr>
          <w:lang w:val="en-AU"/>
        </w:rPr>
        <w:t xml:space="preserve">Fertility, pregnancy and lactation </w:t>
      </w:r>
    </w:p>
    <w:p w14:paraId="41909BFC" w14:textId="77777777" w:rsidR="001A3992" w:rsidRDefault="001A3992" w:rsidP="00FF1143">
      <w:pPr>
        <w:pStyle w:val="Heading3"/>
        <w:numPr>
          <w:ilvl w:val="0"/>
          <w:numId w:val="0"/>
        </w:numPr>
        <w:rPr>
          <w:lang w:val="en-AU"/>
        </w:rPr>
      </w:pPr>
      <w:r w:rsidRPr="00717E34">
        <w:rPr>
          <w:lang w:val="en-AU"/>
        </w:rPr>
        <w:t>Effects on fertility</w:t>
      </w:r>
    </w:p>
    <w:p w14:paraId="63BCE292" w14:textId="77777777" w:rsidR="00F4364C" w:rsidRPr="00F60E93" w:rsidRDefault="00F4364C" w:rsidP="00F4364C">
      <w:pPr>
        <w:rPr>
          <w:lang w:val="en-AU"/>
        </w:rPr>
      </w:pPr>
      <w:r w:rsidRPr="00F60E93">
        <w:rPr>
          <w:lang w:val="en-AU"/>
        </w:rPr>
        <w:t>No specific studies have been performed on fertility.</w:t>
      </w:r>
    </w:p>
    <w:p w14:paraId="604CD494" w14:textId="77777777" w:rsidR="00F4364C" w:rsidRPr="000F1E15" w:rsidRDefault="00F4364C" w:rsidP="00F4364C">
      <w:r w:rsidRPr="000F1E15">
        <w:t xml:space="preserve">Repeated exposure of female rabbits to the clinical dose of Dengvaxia by intravenous injection, 30 and 10 days prior to mating showed no effects on female mating or fertility. </w:t>
      </w:r>
    </w:p>
    <w:p w14:paraId="7E840DED" w14:textId="77777777" w:rsidR="001A3992" w:rsidRDefault="001A3992" w:rsidP="00FF1143">
      <w:pPr>
        <w:pStyle w:val="Heading3"/>
        <w:numPr>
          <w:ilvl w:val="0"/>
          <w:numId w:val="0"/>
        </w:numPr>
        <w:rPr>
          <w:lang w:val="en-AU"/>
        </w:rPr>
      </w:pPr>
      <w:r w:rsidRPr="00717E34">
        <w:rPr>
          <w:lang w:val="en-AU"/>
        </w:rPr>
        <w:t>Use in pregnancy</w:t>
      </w:r>
    </w:p>
    <w:p w14:paraId="2B1726F9" w14:textId="77777777" w:rsidR="00F4364C" w:rsidRPr="00F4364C" w:rsidRDefault="00F4364C" w:rsidP="00F4364C">
      <w:r w:rsidRPr="00F4364C">
        <w:t>Category B2</w:t>
      </w:r>
    </w:p>
    <w:p w14:paraId="323EEB42" w14:textId="07DF1D79" w:rsidR="00F4364C" w:rsidRPr="00B02FC6" w:rsidRDefault="00F4364C" w:rsidP="00F4364C">
      <w:r w:rsidRPr="001A2C91">
        <w:rPr>
          <w:lang w:val="en-AU"/>
        </w:rPr>
        <w:t>Dengvaxia must not be administered to pregnant women</w:t>
      </w:r>
      <w:r w:rsidRPr="004845D7">
        <w:rPr>
          <w:lang w:val="en-AU"/>
        </w:rPr>
        <w:t xml:space="preserve"> </w:t>
      </w:r>
      <w:r w:rsidRPr="00F60E93">
        <w:rPr>
          <w:lang w:val="en-AU"/>
        </w:rPr>
        <w:t>(see</w:t>
      </w:r>
      <w:r>
        <w:rPr>
          <w:lang w:val="en-AU"/>
        </w:rPr>
        <w:t xml:space="preserve"> </w:t>
      </w:r>
      <w:r w:rsidRPr="00B02FC6">
        <w:t xml:space="preserve">Section </w:t>
      </w:r>
      <w:r w:rsidRPr="00B02FC6">
        <w:fldChar w:fldCharType="begin"/>
      </w:r>
      <w:r w:rsidRPr="00B02FC6">
        <w:instrText xml:space="preserve"> REF _Ref500841945 \r \h  \* MERGEFORMAT </w:instrText>
      </w:r>
      <w:r w:rsidRPr="00B02FC6">
        <w:fldChar w:fldCharType="separate"/>
      </w:r>
      <w:r w:rsidR="00C16A62" w:rsidRPr="00B02FC6">
        <w:t>4.3</w:t>
      </w:r>
      <w:r w:rsidRPr="00B02FC6">
        <w:fldChar w:fldCharType="end"/>
      </w:r>
      <w:r w:rsidRPr="00B02FC6">
        <w:t xml:space="preserve"> </w:t>
      </w:r>
      <w:r w:rsidR="00EB2FA7" w:rsidRPr="00B02FC6">
        <w:t>Contraindications</w:t>
      </w:r>
      <w:r w:rsidRPr="00B02FC6">
        <w:t>).</w:t>
      </w:r>
    </w:p>
    <w:p w14:paraId="32D423C9" w14:textId="77777777" w:rsidR="00F4364C" w:rsidRPr="00F60E93" w:rsidRDefault="00F4364C" w:rsidP="00F4364C">
      <w:pPr>
        <w:rPr>
          <w:lang w:val="en-AU"/>
        </w:rPr>
      </w:pPr>
      <w:r w:rsidRPr="00F60E93">
        <w:rPr>
          <w:lang w:val="en-AU"/>
        </w:rPr>
        <w:t>Women of childbearing age should be advised not to become pregnant for 4 weeks after receiving any injection of Dengvaxia.</w:t>
      </w:r>
    </w:p>
    <w:p w14:paraId="0F6DA393" w14:textId="77777777" w:rsidR="00F4364C" w:rsidRDefault="00F4364C" w:rsidP="00F4364C">
      <w:pPr>
        <w:rPr>
          <w:lang w:val="en-AU"/>
        </w:rPr>
      </w:pPr>
      <w:r w:rsidRPr="00F60E93">
        <w:rPr>
          <w:lang w:val="en-AU"/>
        </w:rPr>
        <w:t xml:space="preserve">No specific studies have been performed on the vaccine in pregnant women. </w:t>
      </w:r>
      <w:r w:rsidRPr="00130A7F">
        <w:rPr>
          <w:lang w:val="en-AU"/>
        </w:rPr>
        <w:t xml:space="preserve">Cases of inadvertent exposure during pregnancy were reported during clinical studies. These data are </w:t>
      </w:r>
      <w:r w:rsidRPr="00130A7F">
        <w:rPr>
          <w:lang w:val="en-AU"/>
        </w:rPr>
        <w:lastRenderedPageBreak/>
        <w:t>not sufficient to conclude on the absence of potential effects of Dengvaxia on pregnancy, embryo-fetal development, parturition and post-natal development.</w:t>
      </w:r>
      <w:r>
        <w:rPr>
          <w:lang w:val="en-AU"/>
        </w:rPr>
        <w:t xml:space="preserve"> </w:t>
      </w:r>
    </w:p>
    <w:p w14:paraId="7C28F1CD" w14:textId="77777777" w:rsidR="00F4364C" w:rsidRPr="000F1E15" w:rsidRDefault="00F4364C" w:rsidP="00F4364C">
      <w:r w:rsidRPr="000F1E15">
        <w:t xml:space="preserve">No adverse effects on embryofetal development were observed in female mice injected with the clinical dose of Dengvaxia (approximately 5 log10 CCID50 per serotype) on gestation day 6, 9 or 12. Increases in post-implantation loss, reduced fetal bodyweights, and reduced fetal ossification were observed at a higher dose (approximately 6.5 or 8 log10 CCID50 per serotype) but were associated with maternal toxicity (reduced bodyweight gains and food consumption). Maternal exposure to virus was only detected at the high-dose, none was detected in fetuses. Serum </w:t>
      </w:r>
      <w:proofErr w:type="spellStart"/>
      <w:r w:rsidRPr="000F1E15">
        <w:t>neutralising</w:t>
      </w:r>
      <w:proofErr w:type="spellEnd"/>
      <w:r w:rsidRPr="000F1E15">
        <w:t xml:space="preserve"> antibodies against vaccine serotypes were detected in some dams and pups at all doses.</w:t>
      </w:r>
    </w:p>
    <w:p w14:paraId="49D1368A" w14:textId="77777777" w:rsidR="00F4364C" w:rsidRPr="00F4364C" w:rsidRDefault="00F4364C" w:rsidP="00F4364C">
      <w:pPr>
        <w:rPr>
          <w:lang w:val="en-AU"/>
        </w:rPr>
      </w:pPr>
      <w:r w:rsidRPr="000F1E15">
        <w:t xml:space="preserve">Female New Zealand White rabbits injected intravenously with the clinical dose of Dengvaxia (approximately 5 log10 CCID50 per serotype), 30 and 10 days before mating and on gestation days 6, 12 and 27, showed no adverse effects on embryofetal or postnatal development. </w:t>
      </w:r>
      <w:proofErr w:type="spellStart"/>
      <w:r w:rsidRPr="000F1E15">
        <w:t>Neutralising</w:t>
      </w:r>
      <w:proofErr w:type="spellEnd"/>
      <w:r w:rsidRPr="000F1E15">
        <w:t xml:space="preserve"> antibodies against all vaccine serotypes were detected in all rabbits and were transferred to all fetuses and pups.</w:t>
      </w:r>
    </w:p>
    <w:p w14:paraId="7A2629B7" w14:textId="77777777" w:rsidR="001A3992" w:rsidRDefault="001A3992" w:rsidP="00FF1143">
      <w:pPr>
        <w:pStyle w:val="Heading3"/>
        <w:numPr>
          <w:ilvl w:val="0"/>
          <w:numId w:val="0"/>
        </w:numPr>
        <w:rPr>
          <w:lang w:val="en-AU"/>
        </w:rPr>
      </w:pPr>
      <w:r w:rsidRPr="00717E34">
        <w:rPr>
          <w:lang w:val="en-AU"/>
        </w:rPr>
        <w:t xml:space="preserve">Use in lactation </w:t>
      </w:r>
    </w:p>
    <w:p w14:paraId="251B4CAA" w14:textId="5E97634F" w:rsidR="00F4364C" w:rsidRPr="00B02FC6" w:rsidRDefault="00F4364C" w:rsidP="00F4364C">
      <w:r w:rsidRPr="001A2C91">
        <w:rPr>
          <w:lang w:val="en-AU"/>
        </w:rPr>
        <w:t>Dengvaxia must not be administered to breastfeeding women</w:t>
      </w:r>
      <w:r w:rsidRPr="004845D7">
        <w:rPr>
          <w:lang w:val="en-AU"/>
        </w:rPr>
        <w:t xml:space="preserve"> </w:t>
      </w:r>
      <w:r w:rsidRPr="00F60E93">
        <w:rPr>
          <w:lang w:val="en-AU"/>
        </w:rPr>
        <w:t>(see</w:t>
      </w:r>
      <w:r>
        <w:rPr>
          <w:lang w:val="en-AU"/>
        </w:rPr>
        <w:t xml:space="preserve"> </w:t>
      </w:r>
      <w:r w:rsidRPr="00B02FC6">
        <w:t xml:space="preserve">Section </w:t>
      </w:r>
      <w:r w:rsidRPr="00B02FC6">
        <w:fldChar w:fldCharType="begin"/>
      </w:r>
      <w:r w:rsidRPr="00B02FC6">
        <w:instrText xml:space="preserve"> REF _Ref500841945 \r \h  \* MERGEFORMAT </w:instrText>
      </w:r>
      <w:r w:rsidRPr="00B02FC6">
        <w:fldChar w:fldCharType="separate"/>
      </w:r>
      <w:r w:rsidR="00C16A62" w:rsidRPr="00B02FC6">
        <w:t>4.3</w:t>
      </w:r>
      <w:r w:rsidRPr="00B02FC6">
        <w:fldChar w:fldCharType="end"/>
      </w:r>
      <w:r w:rsidR="00B02FC6">
        <w:t xml:space="preserve"> </w:t>
      </w:r>
      <w:r w:rsidR="00EB2FA7" w:rsidRPr="00B02FC6">
        <w:t>Contraindications</w:t>
      </w:r>
      <w:r w:rsidRPr="00B02FC6">
        <w:t>).</w:t>
      </w:r>
    </w:p>
    <w:p w14:paraId="2358E0EA" w14:textId="77777777" w:rsidR="00F4364C" w:rsidRPr="00F60E93" w:rsidRDefault="00F4364C" w:rsidP="00F4364C">
      <w:pPr>
        <w:rPr>
          <w:lang w:val="en-AU"/>
        </w:rPr>
      </w:pPr>
      <w:r w:rsidRPr="00F60E93">
        <w:rPr>
          <w:lang w:val="en-AU"/>
        </w:rPr>
        <w:t>It is not known whether Dengvaxia is excreted into human milk. No studies have been performed on the effect on breastfed infants of administration of Dengvaxia to their mothers.</w:t>
      </w:r>
    </w:p>
    <w:p w14:paraId="23B92B9B" w14:textId="77777777" w:rsidR="00F4364C" w:rsidRPr="000F1E15" w:rsidRDefault="00F4364C" w:rsidP="00F4364C">
      <w:r w:rsidRPr="000F1E15">
        <w:t>Female mice injected with a single intravenous dose of Dengvaxia (approximately 5, 6.5 or 8 log10 CCID50 per serotype) on day 14 of lactation showed a transient bodyweight loss at the medium- dose and high-dose, but there were no adverse effects on pups. Virus was detected in the serum of a minority of mice at the high-dose only, but was not detected in the milk of lactating mice or in the serum of pups. Dengue virus antibodies were detected in some dams and pups.</w:t>
      </w:r>
    </w:p>
    <w:p w14:paraId="11CA8E70" w14:textId="77777777" w:rsidR="00477BD3" w:rsidRPr="00477BD3" w:rsidRDefault="00F4364C" w:rsidP="00477BD3">
      <w:pPr>
        <w:rPr>
          <w:lang w:val="en-AU"/>
        </w:rPr>
      </w:pPr>
      <w:r w:rsidRPr="000F1E15">
        <w:t xml:space="preserve">Female New Zealand White rabbits were injected intravenously with the clinical dose of Dengvaxia (approximately 5 log10 CCID50 per serotype), 30 and 10 days before mating and on gestation days 6, 12 and 27. There were no adverse effects on the pups. </w:t>
      </w:r>
      <w:proofErr w:type="spellStart"/>
      <w:r w:rsidRPr="000F1E15">
        <w:t>Neutralising</w:t>
      </w:r>
      <w:proofErr w:type="spellEnd"/>
      <w:r w:rsidRPr="000F1E15">
        <w:t xml:space="preserve"> antibodies against all vaccine serotypes were detected in all dams and pups.</w:t>
      </w:r>
    </w:p>
    <w:p w14:paraId="22C709D9" w14:textId="77777777" w:rsidR="001A3992" w:rsidRDefault="001A3992" w:rsidP="00E52CA8">
      <w:pPr>
        <w:pStyle w:val="Heading2"/>
      </w:pPr>
      <w:bookmarkStart w:id="6" w:name="_Hlk501007209"/>
      <w:r w:rsidRPr="005A37E7">
        <w:t>Effects on ability to drive and use machines</w:t>
      </w:r>
    </w:p>
    <w:p w14:paraId="48D19549" w14:textId="649FCDA5" w:rsidR="00F4364C" w:rsidRPr="0083040A" w:rsidRDefault="00F4364C" w:rsidP="0083040A">
      <w:bookmarkStart w:id="7" w:name="_Hlk501014467"/>
      <w:r w:rsidRPr="0083040A">
        <w:t xml:space="preserve">No studies have been performed </w:t>
      </w:r>
      <w:bookmarkEnd w:id="7"/>
      <w:r w:rsidRPr="0083040A">
        <w:t>on the effects of Dengv</w:t>
      </w:r>
      <w:r w:rsidR="00125BD1" w:rsidRPr="0083040A">
        <w:t>a</w:t>
      </w:r>
      <w:r w:rsidRPr="0083040A">
        <w:t>xia on the ability to drive or to use machines.</w:t>
      </w:r>
    </w:p>
    <w:p w14:paraId="2B58E7FD" w14:textId="77777777" w:rsidR="001A3992" w:rsidRPr="00717E34" w:rsidRDefault="001A3992" w:rsidP="00E52CA8">
      <w:pPr>
        <w:pStyle w:val="Heading2"/>
        <w:rPr>
          <w:lang w:val="en-AU"/>
        </w:rPr>
      </w:pPr>
      <w:bookmarkStart w:id="8" w:name="_Hlk501007309"/>
      <w:bookmarkEnd w:id="6"/>
      <w:r w:rsidRPr="00717E34">
        <w:rPr>
          <w:lang w:val="en-AU"/>
        </w:rPr>
        <w:lastRenderedPageBreak/>
        <w:t>Adverse effects (Undesirable effects)</w:t>
      </w:r>
    </w:p>
    <w:p w14:paraId="0CC89FEB" w14:textId="77777777" w:rsidR="00F4364C" w:rsidRPr="00F60E93" w:rsidRDefault="00F4364C" w:rsidP="00F4364C">
      <w:pPr>
        <w:pStyle w:val="Heading3"/>
        <w:numPr>
          <w:ilvl w:val="0"/>
          <w:numId w:val="0"/>
        </w:numPr>
        <w:rPr>
          <w:lang w:val="en-AU"/>
        </w:rPr>
      </w:pPr>
      <w:r w:rsidRPr="00F60E93">
        <w:rPr>
          <w:lang w:val="en-AU"/>
        </w:rPr>
        <w:t>Clinical Trials Experience</w:t>
      </w:r>
    </w:p>
    <w:bookmarkEnd w:id="8"/>
    <w:p w14:paraId="07ABA708" w14:textId="388664E2" w:rsidR="00F4364C" w:rsidRDefault="00F4364C" w:rsidP="00F4364C">
      <w:r w:rsidRPr="00911DF3">
        <w:t>A total of approximately 28,500 subjects 9 months through 60 years of age received at least one injection of the final formulation of Dengvaxia, irrespective of the vaccination schedule, in completed or ongoing Phase I to Phase III clinical studies, including the 2 ongoing large-scale efficacy studies, CYD14 and CYD15.</w:t>
      </w:r>
    </w:p>
    <w:p w14:paraId="16D9099F" w14:textId="4DB47E4C" w:rsidR="005966FA" w:rsidRPr="0083040A" w:rsidRDefault="005966FA" w:rsidP="0083040A">
      <w:pPr>
        <w:pStyle w:val="Heading4"/>
        <w:numPr>
          <w:ilvl w:val="0"/>
          <w:numId w:val="0"/>
        </w:numPr>
        <w:ind w:left="862" w:hanging="862"/>
      </w:pPr>
      <w:bookmarkStart w:id="9" w:name="_Hlk501007294"/>
      <w:r w:rsidRPr="0083040A">
        <w:t>Data in subjects 9 years of age or older</w:t>
      </w:r>
    </w:p>
    <w:bookmarkEnd w:id="9"/>
    <w:p w14:paraId="5F339B45" w14:textId="77777777" w:rsidR="00F4364C" w:rsidRPr="00D65F2E" w:rsidRDefault="00F4364C" w:rsidP="00F4364C">
      <w:r w:rsidRPr="00911DF3">
        <w:t>Among these 28,500 subjects, approximately</w:t>
      </w:r>
      <w:r>
        <w:t xml:space="preserve"> </w:t>
      </w:r>
      <w:r w:rsidRPr="00D65F2E">
        <w:t xml:space="preserve">20,667 subjects </w:t>
      </w:r>
      <w:r>
        <w:t xml:space="preserve">aged </w:t>
      </w:r>
      <w:r w:rsidRPr="00D65F2E">
        <w:t>9 through 60 years received at least one injection of the final formulation of Dengvaxia according to the claimed vaccination schedule in 13 randomised, observer-blinded, placebo-controlled Phase II to Phase III clinical studies.</w:t>
      </w:r>
    </w:p>
    <w:p w14:paraId="59D89D33" w14:textId="77777777" w:rsidR="00F4364C" w:rsidRPr="00F60E93" w:rsidRDefault="00F4364C" w:rsidP="00F4364C">
      <w:pPr>
        <w:rPr>
          <w:lang w:val="en-AU"/>
        </w:rPr>
      </w:pPr>
      <w:r w:rsidRPr="00F60E93">
        <w:rPr>
          <w:lang w:val="en-AU"/>
        </w:rPr>
        <w:t>The safety profile presented below is based on a pooled analysis including a total of 1547 subjects 18 through 60 years of age and 19,120 subjects 9 through 17 years of age. Reactogenicity was assessed in a subset of 4615 subjects, including 1547 subjects 18 through 60 years of age and 3068 subjects 9 through 17 years of age.</w:t>
      </w:r>
    </w:p>
    <w:p w14:paraId="6613A662" w14:textId="77777777" w:rsidR="00F4364C" w:rsidRPr="00F60E93" w:rsidRDefault="00F4364C" w:rsidP="00F4364C">
      <w:pPr>
        <w:pStyle w:val="ListBulletLevel1"/>
        <w:numPr>
          <w:ilvl w:val="0"/>
          <w:numId w:val="0"/>
        </w:numPr>
        <w:rPr>
          <w:lang w:val="en-AU"/>
        </w:rPr>
      </w:pPr>
      <w:r w:rsidRPr="00F60E93">
        <w:rPr>
          <w:lang w:val="en-AU"/>
        </w:rPr>
        <w:t>Safety was monitored during the first 28 days following each injection in the reactogenicity subset, and serious adverse events (SAEs), including dengue cases, were collected throughout the studies in all subjects, up to at least 6 months after the last injection of Dengvaxia.</w:t>
      </w:r>
    </w:p>
    <w:p w14:paraId="1AE2FD48" w14:textId="77777777" w:rsidR="00F4364C" w:rsidRPr="00F60E93" w:rsidRDefault="00F4364C" w:rsidP="00F4364C">
      <w:pPr>
        <w:rPr>
          <w:lang w:val="en-AU"/>
        </w:rPr>
      </w:pPr>
      <w:r w:rsidRPr="00F60E93">
        <w:rPr>
          <w:lang w:val="en-AU"/>
        </w:rPr>
        <w:t xml:space="preserve">In subjects 9 through 60 years of age, the most frequently reported ARs following any injection of Dengvaxia were headache, injection site pain, malaise and myalgia. </w:t>
      </w:r>
    </w:p>
    <w:p w14:paraId="111B7A6B" w14:textId="77777777" w:rsidR="00F4364C" w:rsidRDefault="00F4364C" w:rsidP="00F4364C">
      <w:pPr>
        <w:rPr>
          <w:lang w:val="en-AU"/>
        </w:rPr>
      </w:pPr>
      <w:r w:rsidRPr="00F60E93">
        <w:rPr>
          <w:lang w:val="en-AU"/>
        </w:rPr>
        <w:t xml:space="preserve">The </w:t>
      </w:r>
      <w:r>
        <w:rPr>
          <w:lang w:val="en-AU"/>
        </w:rPr>
        <w:t xml:space="preserve">adverse reactions (ARs) </w:t>
      </w:r>
      <w:r w:rsidRPr="00F60E93">
        <w:rPr>
          <w:lang w:val="en-AU"/>
        </w:rPr>
        <w:t xml:space="preserve">were usually mild to moderate in severity and of short duration (0 to 3 days). Onset was typically observed 0 to 3 days after the injection of </w:t>
      </w:r>
      <w:r>
        <w:rPr>
          <w:lang w:val="en-AU"/>
        </w:rPr>
        <w:t>Dengvaxia</w:t>
      </w:r>
      <w:r w:rsidRPr="00F60E93">
        <w:rPr>
          <w:lang w:val="en-AU"/>
        </w:rPr>
        <w:t>, except for fever which appeared throughout the solicited period, i.e. up to 14 days after the injection.</w:t>
      </w:r>
    </w:p>
    <w:p w14:paraId="66340461" w14:textId="77777777" w:rsidR="00F4364C" w:rsidRPr="00FD4C96" w:rsidRDefault="00F4364C" w:rsidP="00F4364C">
      <w:pPr>
        <w:rPr>
          <w:lang w:val="en-GB"/>
        </w:rPr>
      </w:pPr>
      <w:r w:rsidRPr="00FD4C96">
        <w:rPr>
          <w:lang w:val="en-GB"/>
        </w:rPr>
        <w:t xml:space="preserve">Systemic ARs tended to be less frequent after the second and third injections of </w:t>
      </w:r>
      <w:r>
        <w:rPr>
          <w:lang w:val="en-GB"/>
        </w:rPr>
        <w:t>Dengvaxia</w:t>
      </w:r>
      <w:r w:rsidRPr="00FD4C96">
        <w:rPr>
          <w:lang w:val="en-GB"/>
        </w:rPr>
        <w:t xml:space="preserve"> as compared to the first injection.</w:t>
      </w:r>
    </w:p>
    <w:p w14:paraId="4F724DE7" w14:textId="77777777" w:rsidR="00B631D7" w:rsidRDefault="00F4364C" w:rsidP="00F4364C">
      <w:pPr>
        <w:rPr>
          <w:lang w:val="en-AU"/>
        </w:rPr>
      </w:pPr>
      <w:r w:rsidRPr="001A2C91">
        <w:rPr>
          <w:lang w:val="en-AU"/>
        </w:rPr>
        <w:t>ARs are listed according to the following frequency categories:</w:t>
      </w:r>
    </w:p>
    <w:p w14:paraId="3C64041A" w14:textId="77777777" w:rsidR="00B631D7" w:rsidRDefault="00F4364C" w:rsidP="00B631D7">
      <w:pPr>
        <w:pStyle w:val="ListBulletLevel1"/>
        <w:numPr>
          <w:ilvl w:val="0"/>
          <w:numId w:val="0"/>
        </w:numPr>
        <w:rPr>
          <w:lang w:val="en-AU"/>
        </w:rPr>
      </w:pPr>
      <w:r w:rsidRPr="001A2C91">
        <w:rPr>
          <w:lang w:val="en-AU"/>
        </w:rPr>
        <w:t xml:space="preserve">Very common ≥ 1/10 (≥ 10%), </w:t>
      </w:r>
    </w:p>
    <w:p w14:paraId="14EF1B86" w14:textId="77777777" w:rsidR="00B631D7" w:rsidRDefault="00F4364C" w:rsidP="00B631D7">
      <w:pPr>
        <w:pStyle w:val="ListBulletLevel1"/>
        <w:numPr>
          <w:ilvl w:val="0"/>
          <w:numId w:val="0"/>
        </w:numPr>
        <w:rPr>
          <w:lang w:val="en-AU"/>
        </w:rPr>
      </w:pPr>
      <w:r w:rsidRPr="001A2C91">
        <w:rPr>
          <w:lang w:val="en-AU"/>
        </w:rPr>
        <w:t xml:space="preserve">Common ≥ 1/100 to &lt; 1/10 (≥ 1% and &lt; 10%), </w:t>
      </w:r>
    </w:p>
    <w:p w14:paraId="13CAC77E" w14:textId="0E4F333D" w:rsidR="00B631D7" w:rsidRDefault="00F4364C" w:rsidP="00B631D7">
      <w:pPr>
        <w:pStyle w:val="ListBulletLevel1"/>
        <w:numPr>
          <w:ilvl w:val="0"/>
          <w:numId w:val="0"/>
        </w:numPr>
        <w:rPr>
          <w:lang w:val="en-AU"/>
        </w:rPr>
      </w:pPr>
      <w:r w:rsidRPr="001A2C91">
        <w:rPr>
          <w:lang w:val="en-AU"/>
        </w:rPr>
        <w:t>Uncommon</w:t>
      </w:r>
      <w:r w:rsidR="00B631D7">
        <w:rPr>
          <w:lang w:val="en-AU"/>
        </w:rPr>
        <w:t xml:space="preserve"> </w:t>
      </w:r>
      <w:r w:rsidRPr="001A2C91">
        <w:rPr>
          <w:lang w:val="en-AU"/>
        </w:rPr>
        <w:t xml:space="preserve">≥ 1/1000 to &lt; 1/100 (≥ 0.1% and &lt; 1%), </w:t>
      </w:r>
    </w:p>
    <w:p w14:paraId="3A8908EC" w14:textId="77777777" w:rsidR="00B631D7" w:rsidRDefault="00F4364C" w:rsidP="00B631D7">
      <w:pPr>
        <w:pStyle w:val="ListBulletLevel1"/>
        <w:numPr>
          <w:ilvl w:val="0"/>
          <w:numId w:val="0"/>
        </w:numPr>
        <w:rPr>
          <w:lang w:val="en-AU"/>
        </w:rPr>
      </w:pPr>
      <w:r w:rsidRPr="001A2C91">
        <w:rPr>
          <w:lang w:val="en-AU"/>
        </w:rPr>
        <w:t xml:space="preserve">Rare ≥ 1/10,000 to &lt; 1/1000 (≥ 0.01% and &lt; 0.1%) and </w:t>
      </w:r>
    </w:p>
    <w:p w14:paraId="7498EF34" w14:textId="55AF20C5" w:rsidR="00F4364C" w:rsidRPr="002C22AB" w:rsidRDefault="00F4364C" w:rsidP="00B631D7">
      <w:pPr>
        <w:pStyle w:val="ListBulletLevel1"/>
        <w:numPr>
          <w:ilvl w:val="0"/>
          <w:numId w:val="0"/>
        </w:numPr>
        <w:rPr>
          <w:lang w:val="en-AU"/>
        </w:rPr>
      </w:pPr>
      <w:proofErr w:type="gramStart"/>
      <w:r w:rsidRPr="001A2C91">
        <w:rPr>
          <w:lang w:val="en-AU"/>
        </w:rPr>
        <w:t>Very rare &lt; 1/10,000 (&lt; 0.01%).</w:t>
      </w:r>
      <w:proofErr w:type="gramEnd"/>
    </w:p>
    <w:p w14:paraId="2A1D824C" w14:textId="77777777" w:rsidR="00F4364C" w:rsidRPr="000F1E15" w:rsidRDefault="00F4364C" w:rsidP="00F4364C">
      <w:r w:rsidRPr="000F1E15">
        <w:t>The database allowed for the detection of very common, common and uncommon Adverse Events (AEs).</w:t>
      </w:r>
    </w:p>
    <w:p w14:paraId="60A9F048" w14:textId="240C6E18" w:rsidR="00F4364C" w:rsidRDefault="00AE7FA7" w:rsidP="00AE7FA7">
      <w:r w:rsidRPr="00AE7FA7">
        <w:rPr>
          <w:color w:val="0000FF"/>
        </w:rPr>
        <w:lastRenderedPageBreak/>
        <w:fldChar w:fldCharType="begin"/>
      </w:r>
      <w:r w:rsidRPr="00AE7FA7">
        <w:rPr>
          <w:color w:val="0000FF"/>
        </w:rPr>
        <w:instrText xml:space="preserve"> REF _Ref500849350 \h  \* MERGEFORMAT </w:instrText>
      </w:r>
      <w:r w:rsidRPr="00AE7FA7">
        <w:rPr>
          <w:color w:val="0000FF"/>
        </w:rPr>
      </w:r>
      <w:r w:rsidRPr="00AE7FA7">
        <w:rPr>
          <w:color w:val="0000FF"/>
        </w:rPr>
        <w:fldChar w:fldCharType="separate"/>
      </w:r>
      <w:r w:rsidR="00C16A62" w:rsidRPr="00C16A62">
        <w:rPr>
          <w:color w:val="0000FF"/>
        </w:rPr>
        <w:t>Table 1</w:t>
      </w:r>
      <w:r w:rsidRPr="00AE7FA7">
        <w:rPr>
          <w:color w:val="0000FF"/>
        </w:rPr>
        <w:fldChar w:fldCharType="end"/>
      </w:r>
      <w:r w:rsidR="00F4364C" w:rsidRPr="000F1E15">
        <w:t xml:space="preserve"> (</w:t>
      </w:r>
      <w:r w:rsidR="00F4364C">
        <w:t xml:space="preserve">above </w:t>
      </w:r>
      <w:r w:rsidR="00F4364C" w:rsidRPr="000F1E15">
        <w:t xml:space="preserve">18 years of age) and </w:t>
      </w:r>
      <w:r w:rsidRPr="00AE7FA7">
        <w:rPr>
          <w:color w:val="0000FF"/>
        </w:rPr>
        <w:fldChar w:fldCharType="begin"/>
      </w:r>
      <w:r w:rsidRPr="00AE7FA7">
        <w:rPr>
          <w:color w:val="0000FF"/>
        </w:rPr>
        <w:instrText xml:space="preserve"> REF _Ref500849380 \h  \* MERGEFORMAT </w:instrText>
      </w:r>
      <w:r w:rsidRPr="00AE7FA7">
        <w:rPr>
          <w:color w:val="0000FF"/>
        </w:rPr>
      </w:r>
      <w:r w:rsidRPr="00AE7FA7">
        <w:rPr>
          <w:color w:val="0000FF"/>
        </w:rPr>
        <w:fldChar w:fldCharType="separate"/>
      </w:r>
      <w:r w:rsidR="00C16A62" w:rsidRPr="00C16A62">
        <w:rPr>
          <w:color w:val="0000FF"/>
        </w:rPr>
        <w:t>Table 2</w:t>
      </w:r>
      <w:r w:rsidRPr="00AE7FA7">
        <w:rPr>
          <w:color w:val="0000FF"/>
        </w:rPr>
        <w:fldChar w:fldCharType="end"/>
      </w:r>
      <w:r w:rsidR="00F4364C" w:rsidRPr="000F1E15">
        <w:t xml:space="preserve"> (</w:t>
      </w:r>
      <w:r w:rsidR="00F4364C">
        <w:t xml:space="preserve">below </w:t>
      </w:r>
      <w:r w:rsidR="00F4364C" w:rsidRPr="000F1E15">
        <w:t>1</w:t>
      </w:r>
      <w:r w:rsidR="00F4364C">
        <w:t>8</w:t>
      </w:r>
      <w:r w:rsidR="00F4364C" w:rsidRPr="000F1E15">
        <w:t xml:space="preserve"> years of age) below summarise the AEs reported within 28 days after any injection, with a frequency ≥ 1.0% and which were assessed as having a reasonable possibility that the AE was caused by the product administered during clinical studies (referred to as ‘Related Adverse Events’).</w:t>
      </w:r>
    </w:p>
    <w:p w14:paraId="4DB0B792" w14:textId="255D30BE" w:rsidR="00AE7FA7" w:rsidRPr="00AE7FA7" w:rsidRDefault="00AE7FA7" w:rsidP="00AE7FA7">
      <w:pPr>
        <w:pStyle w:val="Caption"/>
      </w:pPr>
      <w:r>
        <w:t xml:space="preserve"> </w:t>
      </w:r>
      <w:bookmarkStart w:id="10" w:name="_Ref500849350"/>
      <w:r>
        <w:t>Table </w:t>
      </w:r>
      <w:r>
        <w:fldChar w:fldCharType="begin"/>
      </w:r>
      <w:r>
        <w:instrText xml:space="preserve"> SEQ Table \* ARABIC </w:instrText>
      </w:r>
      <w:r>
        <w:fldChar w:fldCharType="separate"/>
      </w:r>
      <w:r w:rsidR="00C16A62">
        <w:rPr>
          <w:noProof/>
        </w:rPr>
        <w:t>1</w:t>
      </w:r>
      <w:r>
        <w:fldChar w:fldCharType="end"/>
      </w:r>
      <w:bookmarkEnd w:id="10"/>
      <w:r>
        <w:t xml:space="preserve"> ­ </w:t>
      </w:r>
      <w:r w:rsidRPr="000F1E15">
        <w:rPr>
          <w:lang w:val="en-AU"/>
        </w:rPr>
        <w:t>Related Adverse Events (≥</w:t>
      </w:r>
      <w:r>
        <w:rPr>
          <w:lang w:val="en-AU"/>
        </w:rPr>
        <w:t xml:space="preserve"> </w:t>
      </w:r>
      <w:r w:rsidRPr="000F1E15">
        <w:rPr>
          <w:lang w:val="en-AU"/>
        </w:rPr>
        <w:t>1.0%) reported within 28 days in adults subjects (</w:t>
      </w:r>
      <w:r>
        <w:rPr>
          <w:lang w:val="en-AU"/>
        </w:rPr>
        <w:t xml:space="preserve">above </w:t>
      </w:r>
      <w:r w:rsidRPr="000F1E15">
        <w:rPr>
          <w:lang w:val="en-AU"/>
        </w:rPr>
        <w:t>18 years of age) after any injection of Dengvaxia or the placebo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788"/>
        <w:gridCol w:w="1788"/>
        <w:gridCol w:w="1788"/>
        <w:gridCol w:w="1788"/>
      </w:tblGrid>
      <w:tr w:rsidR="00F4364C" w:rsidRPr="000F1E15" w14:paraId="3C907F49" w14:textId="77777777" w:rsidTr="00B631D7">
        <w:trPr>
          <w:trHeight w:val="444"/>
          <w:tblHeader/>
        </w:trPr>
        <w:tc>
          <w:tcPr>
            <w:tcW w:w="1788" w:type="dxa"/>
            <w:shd w:val="clear" w:color="auto" w:fill="auto"/>
          </w:tcPr>
          <w:p w14:paraId="7273D6D7" w14:textId="77777777" w:rsidR="00F4364C" w:rsidRPr="000F1E15" w:rsidRDefault="00F4364C" w:rsidP="00B631D7">
            <w:pPr>
              <w:pStyle w:val="wcpTableColHeaderSmall"/>
              <w:rPr>
                <w:lang w:val="en-AU"/>
              </w:rPr>
            </w:pPr>
          </w:p>
        </w:tc>
        <w:tc>
          <w:tcPr>
            <w:tcW w:w="3576" w:type="dxa"/>
            <w:gridSpan w:val="2"/>
            <w:shd w:val="clear" w:color="auto" w:fill="auto"/>
            <w:vAlign w:val="center"/>
          </w:tcPr>
          <w:p w14:paraId="6105EA64" w14:textId="77777777" w:rsidR="00F4364C" w:rsidRPr="000F1E15" w:rsidRDefault="00F4364C" w:rsidP="00B631D7">
            <w:pPr>
              <w:pStyle w:val="wcpTableColHeaderSmall"/>
              <w:rPr>
                <w:lang w:val="en-AU"/>
              </w:rPr>
            </w:pPr>
            <w:r w:rsidRPr="000F1E15">
              <w:rPr>
                <w:lang w:val="en-AU"/>
              </w:rPr>
              <w:t>Dengvaxia</w:t>
            </w:r>
          </w:p>
        </w:tc>
        <w:tc>
          <w:tcPr>
            <w:tcW w:w="3576" w:type="dxa"/>
            <w:gridSpan w:val="2"/>
            <w:shd w:val="clear" w:color="auto" w:fill="auto"/>
            <w:vAlign w:val="center"/>
          </w:tcPr>
          <w:p w14:paraId="3AFDFAEF" w14:textId="77777777" w:rsidR="00F4364C" w:rsidRPr="000F1E15" w:rsidRDefault="00F4364C" w:rsidP="00B631D7">
            <w:pPr>
              <w:pStyle w:val="wcpTableColHeaderSmall"/>
              <w:rPr>
                <w:lang w:val="en-AU"/>
              </w:rPr>
            </w:pPr>
            <w:r w:rsidRPr="000F1E15">
              <w:rPr>
                <w:lang w:val="en-AU"/>
              </w:rPr>
              <w:t>Placebo</w:t>
            </w:r>
          </w:p>
        </w:tc>
      </w:tr>
      <w:tr w:rsidR="00F4364C" w:rsidRPr="000F1E15" w14:paraId="79A8044A" w14:textId="77777777" w:rsidTr="00B631D7">
        <w:trPr>
          <w:trHeight w:val="660"/>
        </w:trPr>
        <w:tc>
          <w:tcPr>
            <w:tcW w:w="1788" w:type="dxa"/>
            <w:shd w:val="clear" w:color="auto" w:fill="auto"/>
            <w:vAlign w:val="center"/>
          </w:tcPr>
          <w:p w14:paraId="0E6FF2E8" w14:textId="77777777" w:rsidR="00F4364C" w:rsidRPr="000F1E15" w:rsidRDefault="00F4364C" w:rsidP="00B631D7">
            <w:pPr>
              <w:pStyle w:val="wcpTableColHeaderSmall"/>
              <w:rPr>
                <w:lang w:val="en-AU"/>
              </w:rPr>
            </w:pPr>
            <w:r w:rsidRPr="000F1E15">
              <w:rPr>
                <w:lang w:val="en-AU"/>
              </w:rPr>
              <w:t>Adverse Events</w:t>
            </w:r>
          </w:p>
        </w:tc>
        <w:tc>
          <w:tcPr>
            <w:tcW w:w="1788" w:type="dxa"/>
            <w:shd w:val="clear" w:color="auto" w:fill="auto"/>
            <w:vAlign w:val="center"/>
          </w:tcPr>
          <w:p w14:paraId="77C66A85" w14:textId="77777777" w:rsidR="00F4364C" w:rsidRPr="000F1E15" w:rsidRDefault="00F4364C" w:rsidP="00B631D7">
            <w:pPr>
              <w:pStyle w:val="wcpTableColHeaderSmall"/>
              <w:rPr>
                <w:lang w:val="en-AU"/>
              </w:rPr>
            </w:pPr>
            <w:r w:rsidRPr="000F1E15">
              <w:rPr>
                <w:lang w:val="en-AU"/>
              </w:rPr>
              <w:t>n/M</w:t>
            </w:r>
          </w:p>
        </w:tc>
        <w:tc>
          <w:tcPr>
            <w:tcW w:w="1788" w:type="dxa"/>
            <w:shd w:val="clear" w:color="auto" w:fill="auto"/>
            <w:vAlign w:val="center"/>
          </w:tcPr>
          <w:p w14:paraId="11F17205" w14:textId="77777777" w:rsidR="00F4364C" w:rsidRPr="000F1E15" w:rsidRDefault="00F4364C" w:rsidP="00B631D7">
            <w:pPr>
              <w:pStyle w:val="wcpTableColHeaderSmall"/>
              <w:rPr>
                <w:lang w:val="en-AU"/>
              </w:rPr>
            </w:pPr>
            <w:r w:rsidRPr="000F1E15">
              <w:rPr>
                <w:lang w:val="en-AU"/>
              </w:rPr>
              <w:t>%</w:t>
            </w:r>
          </w:p>
        </w:tc>
        <w:tc>
          <w:tcPr>
            <w:tcW w:w="1788" w:type="dxa"/>
            <w:shd w:val="clear" w:color="auto" w:fill="auto"/>
            <w:vAlign w:val="center"/>
          </w:tcPr>
          <w:p w14:paraId="76AFED79" w14:textId="77777777" w:rsidR="00F4364C" w:rsidRPr="000F1E15" w:rsidRDefault="00F4364C" w:rsidP="00B631D7">
            <w:pPr>
              <w:pStyle w:val="wcpTableColHeaderSmall"/>
              <w:rPr>
                <w:lang w:val="en-AU"/>
              </w:rPr>
            </w:pPr>
            <w:r w:rsidRPr="000F1E15">
              <w:rPr>
                <w:lang w:val="en-AU"/>
              </w:rPr>
              <w:t>n/M</w:t>
            </w:r>
          </w:p>
        </w:tc>
        <w:tc>
          <w:tcPr>
            <w:tcW w:w="1788" w:type="dxa"/>
            <w:shd w:val="clear" w:color="auto" w:fill="auto"/>
            <w:vAlign w:val="center"/>
          </w:tcPr>
          <w:p w14:paraId="56363BFC" w14:textId="77777777" w:rsidR="00F4364C" w:rsidRPr="000F1E15" w:rsidRDefault="00F4364C" w:rsidP="00B631D7">
            <w:pPr>
              <w:pStyle w:val="wcpTableColHeaderSmall"/>
              <w:rPr>
                <w:lang w:val="en-AU"/>
              </w:rPr>
            </w:pPr>
            <w:r w:rsidRPr="000F1E15">
              <w:rPr>
                <w:lang w:val="en-AU"/>
              </w:rPr>
              <w:t>%</w:t>
            </w:r>
          </w:p>
        </w:tc>
      </w:tr>
      <w:tr w:rsidR="00F4364C" w:rsidRPr="000F1E15" w14:paraId="0B3F2BD8" w14:textId="77777777" w:rsidTr="00B631D7">
        <w:trPr>
          <w:trHeight w:val="444"/>
        </w:trPr>
        <w:tc>
          <w:tcPr>
            <w:tcW w:w="1788" w:type="dxa"/>
            <w:shd w:val="clear" w:color="auto" w:fill="auto"/>
            <w:vAlign w:val="center"/>
          </w:tcPr>
          <w:p w14:paraId="3DB9919B" w14:textId="77777777" w:rsidR="00F4364C" w:rsidRPr="000F1E15" w:rsidRDefault="00F4364C" w:rsidP="00B631D7">
            <w:pPr>
              <w:pStyle w:val="wcpTableColHeaderSmall"/>
              <w:rPr>
                <w:lang w:val="en-AU"/>
              </w:rPr>
            </w:pPr>
            <w:r w:rsidRPr="000F1E15">
              <w:rPr>
                <w:lang w:val="en-AU"/>
              </w:rPr>
              <w:t>Headache</w:t>
            </w:r>
          </w:p>
        </w:tc>
        <w:tc>
          <w:tcPr>
            <w:tcW w:w="1788" w:type="dxa"/>
            <w:shd w:val="clear" w:color="auto" w:fill="auto"/>
            <w:vAlign w:val="center"/>
          </w:tcPr>
          <w:p w14:paraId="1313B191" w14:textId="77777777" w:rsidR="00F4364C" w:rsidRPr="00A847D3" w:rsidRDefault="00F4364C" w:rsidP="00B631D7">
            <w:pPr>
              <w:pStyle w:val="wcpTableColHeaderSmall"/>
              <w:rPr>
                <w:b w:val="0"/>
                <w:lang w:val="en-AU"/>
              </w:rPr>
            </w:pPr>
            <w:r w:rsidRPr="00A847D3">
              <w:rPr>
                <w:b w:val="0"/>
                <w:lang w:val="en-AU"/>
              </w:rPr>
              <w:t>784/1524</w:t>
            </w:r>
          </w:p>
        </w:tc>
        <w:tc>
          <w:tcPr>
            <w:tcW w:w="1788" w:type="dxa"/>
            <w:shd w:val="clear" w:color="auto" w:fill="auto"/>
            <w:vAlign w:val="center"/>
          </w:tcPr>
          <w:p w14:paraId="758FBB60" w14:textId="77777777" w:rsidR="00F4364C" w:rsidRPr="00A847D3" w:rsidRDefault="00F4364C" w:rsidP="00B631D7">
            <w:pPr>
              <w:pStyle w:val="wcpTableColHeaderSmall"/>
              <w:rPr>
                <w:b w:val="0"/>
                <w:lang w:val="en-AU"/>
              </w:rPr>
            </w:pPr>
            <w:r w:rsidRPr="00A847D3">
              <w:rPr>
                <w:b w:val="0"/>
                <w:lang w:val="en-AU"/>
              </w:rPr>
              <w:t>51.4</w:t>
            </w:r>
          </w:p>
        </w:tc>
        <w:tc>
          <w:tcPr>
            <w:tcW w:w="1788" w:type="dxa"/>
            <w:shd w:val="clear" w:color="auto" w:fill="auto"/>
            <w:vAlign w:val="center"/>
          </w:tcPr>
          <w:p w14:paraId="26143874" w14:textId="77777777" w:rsidR="00F4364C" w:rsidRPr="00A847D3" w:rsidRDefault="00F4364C" w:rsidP="00B631D7">
            <w:pPr>
              <w:pStyle w:val="wcpTableColHeaderSmall"/>
              <w:rPr>
                <w:b w:val="0"/>
                <w:lang w:val="en-AU"/>
              </w:rPr>
            </w:pPr>
            <w:r w:rsidRPr="00A847D3">
              <w:rPr>
                <w:b w:val="0"/>
                <w:lang w:val="en-AU"/>
              </w:rPr>
              <w:t>81/299</w:t>
            </w:r>
          </w:p>
        </w:tc>
        <w:tc>
          <w:tcPr>
            <w:tcW w:w="1788" w:type="dxa"/>
            <w:shd w:val="clear" w:color="auto" w:fill="auto"/>
            <w:vAlign w:val="center"/>
          </w:tcPr>
          <w:p w14:paraId="70C6873D" w14:textId="77777777" w:rsidR="00F4364C" w:rsidRPr="00A847D3" w:rsidRDefault="00F4364C" w:rsidP="00B631D7">
            <w:pPr>
              <w:pStyle w:val="wcpTableColHeaderSmall"/>
              <w:rPr>
                <w:b w:val="0"/>
                <w:lang w:val="en-AU"/>
              </w:rPr>
            </w:pPr>
            <w:r w:rsidRPr="00A847D3">
              <w:rPr>
                <w:b w:val="0"/>
                <w:lang w:val="en-AU"/>
              </w:rPr>
              <w:t>27.1</w:t>
            </w:r>
          </w:p>
        </w:tc>
      </w:tr>
      <w:tr w:rsidR="00F4364C" w:rsidRPr="000F1E15" w14:paraId="39FBF112" w14:textId="77777777" w:rsidTr="00B631D7">
        <w:trPr>
          <w:trHeight w:val="660"/>
        </w:trPr>
        <w:tc>
          <w:tcPr>
            <w:tcW w:w="1788" w:type="dxa"/>
            <w:shd w:val="clear" w:color="auto" w:fill="auto"/>
            <w:vAlign w:val="center"/>
          </w:tcPr>
          <w:p w14:paraId="1181BA8A" w14:textId="77777777" w:rsidR="00F4364C" w:rsidRPr="000F1E15" w:rsidRDefault="00F4364C" w:rsidP="00B631D7">
            <w:pPr>
              <w:pStyle w:val="wcpTableColHeaderSmall"/>
              <w:rPr>
                <w:lang w:val="en-AU"/>
              </w:rPr>
            </w:pPr>
            <w:r w:rsidRPr="000F1E15">
              <w:rPr>
                <w:lang w:val="en-AU"/>
              </w:rPr>
              <w:t>Injection site Pain</w:t>
            </w:r>
          </w:p>
        </w:tc>
        <w:tc>
          <w:tcPr>
            <w:tcW w:w="1788" w:type="dxa"/>
            <w:shd w:val="clear" w:color="auto" w:fill="auto"/>
            <w:vAlign w:val="center"/>
          </w:tcPr>
          <w:p w14:paraId="38DDF508" w14:textId="77777777" w:rsidR="00F4364C" w:rsidRPr="00A847D3" w:rsidRDefault="00F4364C" w:rsidP="00B631D7">
            <w:pPr>
              <w:pStyle w:val="wcpTableColHeaderSmall"/>
              <w:rPr>
                <w:b w:val="0"/>
                <w:lang w:val="en-AU"/>
              </w:rPr>
            </w:pPr>
            <w:r w:rsidRPr="00A847D3">
              <w:rPr>
                <w:b w:val="0"/>
                <w:lang w:val="en-AU"/>
              </w:rPr>
              <w:t>689/1524</w:t>
            </w:r>
          </w:p>
        </w:tc>
        <w:tc>
          <w:tcPr>
            <w:tcW w:w="1788" w:type="dxa"/>
            <w:shd w:val="clear" w:color="auto" w:fill="auto"/>
            <w:vAlign w:val="center"/>
          </w:tcPr>
          <w:p w14:paraId="360E16E3" w14:textId="77777777" w:rsidR="00F4364C" w:rsidRPr="00A847D3" w:rsidRDefault="00F4364C" w:rsidP="00B631D7">
            <w:pPr>
              <w:pStyle w:val="wcpTableColHeaderSmall"/>
              <w:rPr>
                <w:b w:val="0"/>
                <w:lang w:val="en-AU"/>
              </w:rPr>
            </w:pPr>
            <w:r w:rsidRPr="00A847D3">
              <w:rPr>
                <w:b w:val="0"/>
                <w:lang w:val="en-AU"/>
              </w:rPr>
              <w:t>45.2</w:t>
            </w:r>
          </w:p>
        </w:tc>
        <w:tc>
          <w:tcPr>
            <w:tcW w:w="1788" w:type="dxa"/>
            <w:shd w:val="clear" w:color="auto" w:fill="auto"/>
            <w:vAlign w:val="center"/>
          </w:tcPr>
          <w:p w14:paraId="5590DA48" w14:textId="77777777" w:rsidR="00F4364C" w:rsidRPr="00A847D3" w:rsidRDefault="00F4364C" w:rsidP="00B631D7">
            <w:pPr>
              <w:pStyle w:val="wcpTableColHeaderSmall"/>
              <w:rPr>
                <w:b w:val="0"/>
                <w:lang w:val="en-AU"/>
              </w:rPr>
            </w:pPr>
            <w:r w:rsidRPr="00A847D3">
              <w:rPr>
                <w:b w:val="0"/>
                <w:lang w:val="en-AU"/>
              </w:rPr>
              <w:t>43/299</w:t>
            </w:r>
          </w:p>
        </w:tc>
        <w:tc>
          <w:tcPr>
            <w:tcW w:w="1788" w:type="dxa"/>
            <w:shd w:val="clear" w:color="auto" w:fill="auto"/>
            <w:vAlign w:val="center"/>
          </w:tcPr>
          <w:p w14:paraId="3112D180" w14:textId="77777777" w:rsidR="00F4364C" w:rsidRPr="00A847D3" w:rsidRDefault="00F4364C" w:rsidP="00B631D7">
            <w:pPr>
              <w:pStyle w:val="wcpTableColHeaderSmall"/>
              <w:rPr>
                <w:b w:val="0"/>
                <w:lang w:val="en-AU"/>
              </w:rPr>
            </w:pPr>
            <w:r w:rsidRPr="00A847D3">
              <w:rPr>
                <w:b w:val="0"/>
                <w:lang w:val="en-AU"/>
              </w:rPr>
              <w:t>14.4</w:t>
            </w:r>
          </w:p>
        </w:tc>
      </w:tr>
      <w:tr w:rsidR="00F4364C" w:rsidRPr="000F1E15" w14:paraId="6F58E4EF" w14:textId="77777777" w:rsidTr="00B631D7">
        <w:trPr>
          <w:trHeight w:val="454"/>
        </w:trPr>
        <w:tc>
          <w:tcPr>
            <w:tcW w:w="1788" w:type="dxa"/>
            <w:shd w:val="clear" w:color="auto" w:fill="auto"/>
            <w:vAlign w:val="center"/>
          </w:tcPr>
          <w:p w14:paraId="115C03A7" w14:textId="77777777" w:rsidR="00F4364C" w:rsidRPr="000F1E15" w:rsidRDefault="00F4364C" w:rsidP="00B631D7">
            <w:pPr>
              <w:pStyle w:val="wcpTableColHeaderSmall"/>
              <w:rPr>
                <w:lang w:val="en-AU"/>
              </w:rPr>
            </w:pPr>
            <w:r w:rsidRPr="000F1E15">
              <w:rPr>
                <w:lang w:val="en-AU"/>
              </w:rPr>
              <w:t>Malaise</w:t>
            </w:r>
          </w:p>
        </w:tc>
        <w:tc>
          <w:tcPr>
            <w:tcW w:w="1788" w:type="dxa"/>
            <w:shd w:val="clear" w:color="auto" w:fill="auto"/>
            <w:vAlign w:val="center"/>
          </w:tcPr>
          <w:p w14:paraId="1204D56B" w14:textId="77777777" w:rsidR="00F4364C" w:rsidRPr="00A847D3" w:rsidRDefault="00F4364C" w:rsidP="00B631D7">
            <w:pPr>
              <w:pStyle w:val="wcpTableColHeaderSmall"/>
              <w:rPr>
                <w:b w:val="0"/>
                <w:lang w:val="en-AU"/>
              </w:rPr>
            </w:pPr>
            <w:r w:rsidRPr="00A847D3">
              <w:rPr>
                <w:b w:val="0"/>
                <w:lang w:val="en-AU"/>
              </w:rPr>
              <w:t>675/1524</w:t>
            </w:r>
          </w:p>
        </w:tc>
        <w:tc>
          <w:tcPr>
            <w:tcW w:w="1788" w:type="dxa"/>
            <w:shd w:val="clear" w:color="auto" w:fill="auto"/>
            <w:vAlign w:val="center"/>
          </w:tcPr>
          <w:p w14:paraId="5E7C22BD" w14:textId="77777777" w:rsidR="00F4364C" w:rsidRPr="00A847D3" w:rsidRDefault="00F4364C" w:rsidP="00B631D7">
            <w:pPr>
              <w:pStyle w:val="wcpTableColHeaderSmall"/>
              <w:rPr>
                <w:b w:val="0"/>
                <w:lang w:val="en-AU"/>
              </w:rPr>
            </w:pPr>
            <w:r w:rsidRPr="00A847D3">
              <w:rPr>
                <w:b w:val="0"/>
                <w:lang w:val="en-AU"/>
              </w:rPr>
              <w:t>44.3</w:t>
            </w:r>
          </w:p>
        </w:tc>
        <w:tc>
          <w:tcPr>
            <w:tcW w:w="1788" w:type="dxa"/>
            <w:shd w:val="clear" w:color="auto" w:fill="auto"/>
            <w:vAlign w:val="center"/>
          </w:tcPr>
          <w:p w14:paraId="5B4DA7B1" w14:textId="77777777" w:rsidR="00F4364C" w:rsidRPr="00A847D3" w:rsidRDefault="00F4364C" w:rsidP="00B631D7">
            <w:pPr>
              <w:pStyle w:val="wcpTableColHeaderSmall"/>
              <w:rPr>
                <w:b w:val="0"/>
                <w:lang w:val="en-AU"/>
              </w:rPr>
            </w:pPr>
            <w:r w:rsidRPr="00A847D3">
              <w:rPr>
                <w:b w:val="0"/>
                <w:lang w:val="en-AU"/>
              </w:rPr>
              <w:t>66/299</w:t>
            </w:r>
          </w:p>
        </w:tc>
        <w:tc>
          <w:tcPr>
            <w:tcW w:w="1788" w:type="dxa"/>
            <w:shd w:val="clear" w:color="auto" w:fill="auto"/>
            <w:vAlign w:val="center"/>
          </w:tcPr>
          <w:p w14:paraId="4D2714E1" w14:textId="77777777" w:rsidR="00F4364C" w:rsidRPr="00A847D3" w:rsidRDefault="00F4364C" w:rsidP="00B631D7">
            <w:pPr>
              <w:pStyle w:val="wcpTableColHeaderSmall"/>
              <w:rPr>
                <w:b w:val="0"/>
                <w:lang w:val="en-AU"/>
              </w:rPr>
            </w:pPr>
            <w:r w:rsidRPr="00A847D3">
              <w:rPr>
                <w:b w:val="0"/>
                <w:lang w:val="en-AU"/>
              </w:rPr>
              <w:t>22.1</w:t>
            </w:r>
          </w:p>
        </w:tc>
      </w:tr>
      <w:tr w:rsidR="00F4364C" w:rsidRPr="000F1E15" w14:paraId="352ADABB" w14:textId="77777777" w:rsidTr="00B631D7">
        <w:trPr>
          <w:trHeight w:val="444"/>
        </w:trPr>
        <w:tc>
          <w:tcPr>
            <w:tcW w:w="1788" w:type="dxa"/>
            <w:shd w:val="clear" w:color="auto" w:fill="auto"/>
            <w:vAlign w:val="center"/>
          </w:tcPr>
          <w:p w14:paraId="4053A5ED" w14:textId="77777777" w:rsidR="00F4364C" w:rsidRPr="000F1E15" w:rsidRDefault="00F4364C" w:rsidP="00B631D7">
            <w:pPr>
              <w:pStyle w:val="wcpTableColHeaderSmall"/>
              <w:rPr>
                <w:lang w:val="en-AU"/>
              </w:rPr>
            </w:pPr>
            <w:r w:rsidRPr="000F1E15">
              <w:rPr>
                <w:lang w:val="en-AU"/>
              </w:rPr>
              <w:t>Myalgia</w:t>
            </w:r>
          </w:p>
        </w:tc>
        <w:tc>
          <w:tcPr>
            <w:tcW w:w="1788" w:type="dxa"/>
            <w:shd w:val="clear" w:color="auto" w:fill="auto"/>
            <w:vAlign w:val="center"/>
          </w:tcPr>
          <w:p w14:paraId="64114DBC" w14:textId="77777777" w:rsidR="00F4364C" w:rsidRPr="00A847D3" w:rsidRDefault="00F4364C" w:rsidP="00B631D7">
            <w:pPr>
              <w:pStyle w:val="wcpTableColHeaderSmall"/>
              <w:rPr>
                <w:b w:val="0"/>
                <w:lang w:val="en-AU"/>
              </w:rPr>
            </w:pPr>
            <w:r w:rsidRPr="00A847D3">
              <w:rPr>
                <w:b w:val="0"/>
                <w:lang w:val="en-AU"/>
              </w:rPr>
              <w:t>643/1524</w:t>
            </w:r>
          </w:p>
        </w:tc>
        <w:tc>
          <w:tcPr>
            <w:tcW w:w="1788" w:type="dxa"/>
            <w:shd w:val="clear" w:color="auto" w:fill="auto"/>
            <w:vAlign w:val="center"/>
          </w:tcPr>
          <w:p w14:paraId="06E020EF" w14:textId="77777777" w:rsidR="00F4364C" w:rsidRPr="00A847D3" w:rsidRDefault="00F4364C" w:rsidP="00B631D7">
            <w:pPr>
              <w:pStyle w:val="wcpTableColHeaderSmall"/>
              <w:rPr>
                <w:b w:val="0"/>
                <w:lang w:val="en-AU"/>
              </w:rPr>
            </w:pPr>
            <w:r w:rsidRPr="00A847D3">
              <w:rPr>
                <w:b w:val="0"/>
                <w:lang w:val="en-AU"/>
              </w:rPr>
              <w:t>42.2</w:t>
            </w:r>
          </w:p>
        </w:tc>
        <w:tc>
          <w:tcPr>
            <w:tcW w:w="1788" w:type="dxa"/>
            <w:shd w:val="clear" w:color="auto" w:fill="auto"/>
            <w:vAlign w:val="center"/>
          </w:tcPr>
          <w:p w14:paraId="5F5C190F" w14:textId="77777777" w:rsidR="00F4364C" w:rsidRPr="00A847D3" w:rsidRDefault="00F4364C" w:rsidP="00B631D7">
            <w:pPr>
              <w:pStyle w:val="wcpTableColHeaderSmall"/>
              <w:rPr>
                <w:b w:val="0"/>
                <w:lang w:val="en-AU"/>
              </w:rPr>
            </w:pPr>
            <w:r w:rsidRPr="00A847D3">
              <w:rPr>
                <w:b w:val="0"/>
                <w:lang w:val="en-AU"/>
              </w:rPr>
              <w:t>58/299</w:t>
            </w:r>
          </w:p>
        </w:tc>
        <w:tc>
          <w:tcPr>
            <w:tcW w:w="1788" w:type="dxa"/>
            <w:shd w:val="clear" w:color="auto" w:fill="auto"/>
            <w:vAlign w:val="center"/>
          </w:tcPr>
          <w:p w14:paraId="6B3A430B" w14:textId="77777777" w:rsidR="00F4364C" w:rsidRPr="00A847D3" w:rsidRDefault="00F4364C" w:rsidP="00B631D7">
            <w:pPr>
              <w:pStyle w:val="wcpTableColHeaderSmall"/>
              <w:rPr>
                <w:b w:val="0"/>
                <w:lang w:val="en-AU"/>
              </w:rPr>
            </w:pPr>
            <w:r w:rsidRPr="00A847D3">
              <w:rPr>
                <w:b w:val="0"/>
                <w:lang w:val="en-AU"/>
              </w:rPr>
              <w:t>19.4</w:t>
            </w:r>
          </w:p>
        </w:tc>
      </w:tr>
      <w:tr w:rsidR="00F4364C" w:rsidRPr="000F1E15" w14:paraId="195B2E29" w14:textId="77777777" w:rsidTr="00B631D7">
        <w:trPr>
          <w:trHeight w:val="454"/>
        </w:trPr>
        <w:tc>
          <w:tcPr>
            <w:tcW w:w="1788" w:type="dxa"/>
            <w:shd w:val="clear" w:color="auto" w:fill="auto"/>
            <w:vAlign w:val="center"/>
          </w:tcPr>
          <w:p w14:paraId="48161AC4" w14:textId="77777777" w:rsidR="00F4364C" w:rsidRPr="000F1E15" w:rsidRDefault="00F4364C" w:rsidP="00B631D7">
            <w:pPr>
              <w:pStyle w:val="wcpTableColHeaderSmall"/>
              <w:rPr>
                <w:lang w:val="en-AU"/>
              </w:rPr>
            </w:pPr>
            <w:r w:rsidRPr="000F1E15">
              <w:rPr>
                <w:lang w:val="en-AU"/>
              </w:rPr>
              <w:t>Asthenia</w:t>
            </w:r>
          </w:p>
        </w:tc>
        <w:tc>
          <w:tcPr>
            <w:tcW w:w="1788" w:type="dxa"/>
            <w:shd w:val="clear" w:color="auto" w:fill="auto"/>
            <w:vAlign w:val="center"/>
          </w:tcPr>
          <w:p w14:paraId="130D9B16" w14:textId="77777777" w:rsidR="00F4364C" w:rsidRPr="00A847D3" w:rsidRDefault="00F4364C" w:rsidP="00B631D7">
            <w:pPr>
              <w:pStyle w:val="wcpTableColHeaderSmall"/>
              <w:rPr>
                <w:b w:val="0"/>
                <w:lang w:val="en-AU"/>
              </w:rPr>
            </w:pPr>
            <w:r w:rsidRPr="00A847D3">
              <w:rPr>
                <w:b w:val="0"/>
                <w:lang w:val="en-AU"/>
              </w:rPr>
              <w:t>432/1524</w:t>
            </w:r>
          </w:p>
        </w:tc>
        <w:tc>
          <w:tcPr>
            <w:tcW w:w="1788" w:type="dxa"/>
            <w:shd w:val="clear" w:color="auto" w:fill="auto"/>
            <w:vAlign w:val="center"/>
          </w:tcPr>
          <w:p w14:paraId="0C035238" w14:textId="77777777" w:rsidR="00F4364C" w:rsidRPr="00A847D3" w:rsidRDefault="00F4364C" w:rsidP="00B631D7">
            <w:pPr>
              <w:pStyle w:val="wcpTableColHeaderSmall"/>
              <w:rPr>
                <w:b w:val="0"/>
                <w:lang w:val="en-AU"/>
              </w:rPr>
            </w:pPr>
            <w:r w:rsidRPr="00A847D3">
              <w:rPr>
                <w:b w:val="0"/>
                <w:lang w:val="en-AU"/>
              </w:rPr>
              <w:t>28.3</w:t>
            </w:r>
          </w:p>
        </w:tc>
        <w:tc>
          <w:tcPr>
            <w:tcW w:w="1788" w:type="dxa"/>
            <w:shd w:val="clear" w:color="auto" w:fill="auto"/>
            <w:vAlign w:val="center"/>
          </w:tcPr>
          <w:p w14:paraId="7675DCCC" w14:textId="77777777" w:rsidR="00F4364C" w:rsidRPr="00A847D3" w:rsidRDefault="00F4364C" w:rsidP="00B631D7">
            <w:pPr>
              <w:pStyle w:val="wcpTableColHeaderSmall"/>
              <w:rPr>
                <w:b w:val="0"/>
                <w:lang w:val="en-AU"/>
              </w:rPr>
            </w:pPr>
            <w:r w:rsidRPr="00A847D3">
              <w:rPr>
                <w:b w:val="0"/>
                <w:lang w:val="en-AU"/>
              </w:rPr>
              <w:t>35/299</w:t>
            </w:r>
          </w:p>
        </w:tc>
        <w:tc>
          <w:tcPr>
            <w:tcW w:w="1788" w:type="dxa"/>
            <w:shd w:val="clear" w:color="auto" w:fill="auto"/>
            <w:vAlign w:val="center"/>
          </w:tcPr>
          <w:p w14:paraId="22A46FA1" w14:textId="77777777" w:rsidR="00F4364C" w:rsidRPr="00A847D3" w:rsidRDefault="00F4364C" w:rsidP="00B631D7">
            <w:pPr>
              <w:pStyle w:val="wcpTableColHeaderSmall"/>
              <w:rPr>
                <w:b w:val="0"/>
                <w:lang w:val="en-AU"/>
              </w:rPr>
            </w:pPr>
            <w:r w:rsidRPr="00A847D3">
              <w:rPr>
                <w:b w:val="0"/>
                <w:lang w:val="en-AU"/>
              </w:rPr>
              <w:t>11.7</w:t>
            </w:r>
          </w:p>
        </w:tc>
      </w:tr>
      <w:tr w:rsidR="00F4364C" w:rsidRPr="000F1E15" w14:paraId="6F807523" w14:textId="77777777" w:rsidTr="00B631D7">
        <w:trPr>
          <w:trHeight w:val="660"/>
        </w:trPr>
        <w:tc>
          <w:tcPr>
            <w:tcW w:w="1788" w:type="dxa"/>
            <w:shd w:val="clear" w:color="auto" w:fill="auto"/>
            <w:vAlign w:val="center"/>
          </w:tcPr>
          <w:p w14:paraId="5A0696FC" w14:textId="77777777" w:rsidR="00F4364C" w:rsidRPr="000F1E15" w:rsidRDefault="00F4364C" w:rsidP="00B631D7">
            <w:pPr>
              <w:pStyle w:val="wcpTableColHeaderSmall"/>
              <w:rPr>
                <w:lang w:val="en-AU"/>
              </w:rPr>
            </w:pPr>
            <w:r w:rsidRPr="000F1E15">
              <w:rPr>
                <w:lang w:val="en-AU"/>
              </w:rPr>
              <w:t>Injection site Erythema</w:t>
            </w:r>
          </w:p>
        </w:tc>
        <w:tc>
          <w:tcPr>
            <w:tcW w:w="1788" w:type="dxa"/>
            <w:shd w:val="clear" w:color="auto" w:fill="auto"/>
            <w:vAlign w:val="center"/>
          </w:tcPr>
          <w:p w14:paraId="49DB3550" w14:textId="77777777" w:rsidR="00F4364C" w:rsidRPr="00A847D3" w:rsidRDefault="00F4364C" w:rsidP="00B631D7">
            <w:pPr>
              <w:pStyle w:val="wcpTableColHeaderSmall"/>
              <w:rPr>
                <w:b w:val="0"/>
                <w:lang w:val="en-AU"/>
              </w:rPr>
            </w:pPr>
            <w:r w:rsidRPr="00A847D3">
              <w:rPr>
                <w:b w:val="0"/>
                <w:lang w:val="en-AU"/>
              </w:rPr>
              <w:t>120/1524</w:t>
            </w:r>
          </w:p>
        </w:tc>
        <w:tc>
          <w:tcPr>
            <w:tcW w:w="1788" w:type="dxa"/>
            <w:shd w:val="clear" w:color="auto" w:fill="auto"/>
            <w:vAlign w:val="center"/>
          </w:tcPr>
          <w:p w14:paraId="799909E3" w14:textId="77777777" w:rsidR="00F4364C" w:rsidRPr="00A847D3" w:rsidRDefault="00F4364C" w:rsidP="00B631D7">
            <w:pPr>
              <w:pStyle w:val="wcpTableColHeaderSmall"/>
              <w:rPr>
                <w:b w:val="0"/>
                <w:lang w:val="en-AU"/>
              </w:rPr>
            </w:pPr>
            <w:r w:rsidRPr="00A847D3">
              <w:rPr>
                <w:b w:val="0"/>
                <w:lang w:val="en-AU"/>
              </w:rPr>
              <w:t>7.9</w:t>
            </w:r>
          </w:p>
        </w:tc>
        <w:tc>
          <w:tcPr>
            <w:tcW w:w="1788" w:type="dxa"/>
            <w:shd w:val="clear" w:color="auto" w:fill="auto"/>
            <w:vAlign w:val="center"/>
          </w:tcPr>
          <w:p w14:paraId="7F1D42C5" w14:textId="77777777" w:rsidR="00F4364C" w:rsidRPr="00A847D3" w:rsidRDefault="00F4364C" w:rsidP="00B631D7">
            <w:pPr>
              <w:pStyle w:val="wcpTableColHeaderSmall"/>
              <w:rPr>
                <w:b w:val="0"/>
                <w:lang w:val="en-AU"/>
              </w:rPr>
            </w:pPr>
            <w:r w:rsidRPr="00A847D3">
              <w:rPr>
                <w:b w:val="0"/>
                <w:lang w:val="en-AU"/>
              </w:rPr>
              <w:t>0/299</w:t>
            </w:r>
          </w:p>
        </w:tc>
        <w:tc>
          <w:tcPr>
            <w:tcW w:w="1788" w:type="dxa"/>
            <w:shd w:val="clear" w:color="auto" w:fill="auto"/>
            <w:vAlign w:val="center"/>
          </w:tcPr>
          <w:p w14:paraId="209782C5" w14:textId="77777777" w:rsidR="00F4364C" w:rsidRPr="00A847D3" w:rsidRDefault="00F4364C" w:rsidP="00B631D7">
            <w:pPr>
              <w:pStyle w:val="wcpTableColHeaderSmall"/>
              <w:rPr>
                <w:b w:val="0"/>
                <w:lang w:val="en-AU"/>
              </w:rPr>
            </w:pPr>
            <w:r w:rsidRPr="00A847D3">
              <w:rPr>
                <w:b w:val="0"/>
                <w:lang w:val="en-AU"/>
              </w:rPr>
              <w:t>0.0</w:t>
            </w:r>
          </w:p>
        </w:tc>
      </w:tr>
      <w:tr w:rsidR="00F4364C" w:rsidRPr="000F1E15" w14:paraId="7914E761" w14:textId="77777777" w:rsidTr="00B631D7">
        <w:trPr>
          <w:trHeight w:val="444"/>
        </w:trPr>
        <w:tc>
          <w:tcPr>
            <w:tcW w:w="1788" w:type="dxa"/>
            <w:shd w:val="clear" w:color="auto" w:fill="auto"/>
            <w:vAlign w:val="center"/>
          </w:tcPr>
          <w:p w14:paraId="2E1ABB0C" w14:textId="77777777" w:rsidR="00F4364C" w:rsidRPr="000F1E15" w:rsidRDefault="00F4364C" w:rsidP="00B631D7">
            <w:pPr>
              <w:pStyle w:val="wcpTableColHeaderSmall"/>
              <w:rPr>
                <w:lang w:val="en-AU"/>
              </w:rPr>
            </w:pPr>
            <w:r w:rsidRPr="000F1E15">
              <w:rPr>
                <w:lang w:val="en-AU"/>
              </w:rPr>
              <w:t>Fever</w:t>
            </w:r>
          </w:p>
        </w:tc>
        <w:tc>
          <w:tcPr>
            <w:tcW w:w="1788" w:type="dxa"/>
            <w:shd w:val="clear" w:color="auto" w:fill="auto"/>
            <w:vAlign w:val="center"/>
          </w:tcPr>
          <w:p w14:paraId="52869499" w14:textId="77777777" w:rsidR="00F4364C" w:rsidRPr="00A847D3" w:rsidRDefault="00F4364C" w:rsidP="00B631D7">
            <w:pPr>
              <w:pStyle w:val="wcpTableColHeaderSmall"/>
              <w:rPr>
                <w:b w:val="0"/>
                <w:lang w:val="en-AU"/>
              </w:rPr>
            </w:pPr>
            <w:r w:rsidRPr="00A847D3">
              <w:rPr>
                <w:b w:val="0"/>
                <w:lang w:val="en-AU"/>
              </w:rPr>
              <w:t>75/1522</w:t>
            </w:r>
          </w:p>
        </w:tc>
        <w:tc>
          <w:tcPr>
            <w:tcW w:w="1788" w:type="dxa"/>
            <w:shd w:val="clear" w:color="auto" w:fill="auto"/>
            <w:vAlign w:val="center"/>
          </w:tcPr>
          <w:p w14:paraId="0FFF983D" w14:textId="77777777" w:rsidR="00F4364C" w:rsidRPr="00A847D3" w:rsidRDefault="00F4364C" w:rsidP="00B631D7">
            <w:pPr>
              <w:pStyle w:val="wcpTableColHeaderSmall"/>
              <w:rPr>
                <w:b w:val="0"/>
                <w:lang w:val="en-AU"/>
              </w:rPr>
            </w:pPr>
            <w:r w:rsidRPr="00A847D3">
              <w:rPr>
                <w:b w:val="0"/>
                <w:lang w:val="en-AU"/>
              </w:rPr>
              <w:t>4.9</w:t>
            </w:r>
          </w:p>
        </w:tc>
        <w:tc>
          <w:tcPr>
            <w:tcW w:w="1788" w:type="dxa"/>
            <w:shd w:val="clear" w:color="auto" w:fill="auto"/>
            <w:vAlign w:val="center"/>
          </w:tcPr>
          <w:p w14:paraId="5B8009CA" w14:textId="77777777" w:rsidR="00F4364C" w:rsidRPr="00A847D3" w:rsidRDefault="00F4364C" w:rsidP="00B631D7">
            <w:pPr>
              <w:pStyle w:val="wcpTableColHeaderSmall"/>
              <w:rPr>
                <w:b w:val="0"/>
                <w:lang w:val="en-AU"/>
              </w:rPr>
            </w:pPr>
            <w:r w:rsidRPr="00A847D3">
              <w:rPr>
                <w:b w:val="0"/>
                <w:lang w:val="en-AU"/>
              </w:rPr>
              <w:t>4/299</w:t>
            </w:r>
          </w:p>
        </w:tc>
        <w:tc>
          <w:tcPr>
            <w:tcW w:w="1788" w:type="dxa"/>
            <w:shd w:val="clear" w:color="auto" w:fill="auto"/>
            <w:vAlign w:val="center"/>
          </w:tcPr>
          <w:p w14:paraId="5A047BF9" w14:textId="77777777" w:rsidR="00F4364C" w:rsidRPr="00A847D3" w:rsidRDefault="00F4364C" w:rsidP="00B631D7">
            <w:pPr>
              <w:pStyle w:val="wcpTableColHeaderSmall"/>
              <w:rPr>
                <w:b w:val="0"/>
                <w:lang w:val="en-AU"/>
              </w:rPr>
            </w:pPr>
            <w:r w:rsidRPr="00A847D3">
              <w:rPr>
                <w:b w:val="0"/>
                <w:lang w:val="en-AU"/>
              </w:rPr>
              <w:t>1.3</w:t>
            </w:r>
          </w:p>
        </w:tc>
      </w:tr>
      <w:tr w:rsidR="00F4364C" w:rsidRPr="000F1E15" w14:paraId="5464CC71" w14:textId="77777777" w:rsidTr="00B631D7">
        <w:trPr>
          <w:trHeight w:val="660"/>
        </w:trPr>
        <w:tc>
          <w:tcPr>
            <w:tcW w:w="1788" w:type="dxa"/>
            <w:shd w:val="clear" w:color="auto" w:fill="auto"/>
            <w:vAlign w:val="center"/>
          </w:tcPr>
          <w:p w14:paraId="31FD71F8" w14:textId="77777777" w:rsidR="00F4364C" w:rsidRPr="000F1E15" w:rsidRDefault="00F4364C" w:rsidP="00B631D7">
            <w:pPr>
              <w:pStyle w:val="wcpTableColHeaderSmall"/>
              <w:rPr>
                <w:lang w:val="en-AU"/>
              </w:rPr>
            </w:pPr>
            <w:r w:rsidRPr="000F1E15">
              <w:rPr>
                <w:lang w:val="en-AU"/>
              </w:rPr>
              <w:t>Injection site swelling</w:t>
            </w:r>
          </w:p>
        </w:tc>
        <w:tc>
          <w:tcPr>
            <w:tcW w:w="1788" w:type="dxa"/>
            <w:shd w:val="clear" w:color="auto" w:fill="auto"/>
            <w:vAlign w:val="center"/>
          </w:tcPr>
          <w:p w14:paraId="630A0923" w14:textId="77777777" w:rsidR="00F4364C" w:rsidRPr="00A847D3" w:rsidRDefault="00F4364C" w:rsidP="00B631D7">
            <w:pPr>
              <w:pStyle w:val="wcpTableColHeaderSmall"/>
              <w:rPr>
                <w:b w:val="0"/>
                <w:lang w:val="en-AU"/>
              </w:rPr>
            </w:pPr>
            <w:r w:rsidRPr="00A847D3">
              <w:rPr>
                <w:b w:val="0"/>
                <w:lang w:val="en-AU"/>
              </w:rPr>
              <w:t>37/1524</w:t>
            </w:r>
          </w:p>
        </w:tc>
        <w:tc>
          <w:tcPr>
            <w:tcW w:w="1788" w:type="dxa"/>
            <w:shd w:val="clear" w:color="auto" w:fill="auto"/>
            <w:vAlign w:val="center"/>
          </w:tcPr>
          <w:p w14:paraId="130D7FF3" w14:textId="77777777" w:rsidR="00F4364C" w:rsidRPr="00A847D3" w:rsidRDefault="00F4364C" w:rsidP="00B631D7">
            <w:pPr>
              <w:pStyle w:val="wcpTableColHeaderSmall"/>
              <w:rPr>
                <w:b w:val="0"/>
                <w:lang w:val="en-AU"/>
              </w:rPr>
            </w:pPr>
            <w:r w:rsidRPr="00A847D3">
              <w:rPr>
                <w:b w:val="0"/>
                <w:lang w:val="en-AU"/>
              </w:rPr>
              <w:t>2.4</w:t>
            </w:r>
          </w:p>
        </w:tc>
        <w:tc>
          <w:tcPr>
            <w:tcW w:w="1788" w:type="dxa"/>
            <w:shd w:val="clear" w:color="auto" w:fill="auto"/>
            <w:vAlign w:val="center"/>
          </w:tcPr>
          <w:p w14:paraId="07F246E7" w14:textId="77777777" w:rsidR="00F4364C" w:rsidRPr="00A847D3" w:rsidRDefault="00F4364C" w:rsidP="00B631D7">
            <w:pPr>
              <w:pStyle w:val="wcpTableColHeaderSmall"/>
              <w:rPr>
                <w:b w:val="0"/>
                <w:lang w:val="en-AU"/>
              </w:rPr>
            </w:pPr>
            <w:r w:rsidRPr="00A847D3">
              <w:rPr>
                <w:b w:val="0"/>
                <w:lang w:val="en-AU"/>
              </w:rPr>
              <w:t>1/299</w:t>
            </w:r>
          </w:p>
        </w:tc>
        <w:tc>
          <w:tcPr>
            <w:tcW w:w="1788" w:type="dxa"/>
            <w:shd w:val="clear" w:color="auto" w:fill="auto"/>
            <w:vAlign w:val="center"/>
          </w:tcPr>
          <w:p w14:paraId="7496B32D" w14:textId="77777777" w:rsidR="00F4364C" w:rsidRPr="00A847D3" w:rsidRDefault="00F4364C" w:rsidP="00B631D7">
            <w:pPr>
              <w:pStyle w:val="wcpTableColHeaderSmall"/>
              <w:rPr>
                <w:b w:val="0"/>
                <w:lang w:val="en-AU"/>
              </w:rPr>
            </w:pPr>
            <w:r w:rsidRPr="00A847D3">
              <w:rPr>
                <w:b w:val="0"/>
                <w:lang w:val="en-AU"/>
              </w:rPr>
              <w:t>0.3</w:t>
            </w:r>
          </w:p>
        </w:tc>
      </w:tr>
      <w:tr w:rsidR="00F4364C" w:rsidRPr="000F1E15" w14:paraId="4C493422" w14:textId="77777777" w:rsidTr="00B631D7">
        <w:trPr>
          <w:trHeight w:val="660"/>
        </w:trPr>
        <w:tc>
          <w:tcPr>
            <w:tcW w:w="1788" w:type="dxa"/>
            <w:shd w:val="clear" w:color="auto" w:fill="auto"/>
            <w:vAlign w:val="center"/>
          </w:tcPr>
          <w:p w14:paraId="3A03F812" w14:textId="77777777" w:rsidR="00F4364C" w:rsidRPr="000F1E15" w:rsidRDefault="00F4364C" w:rsidP="00B631D7">
            <w:pPr>
              <w:pStyle w:val="wcpTableColHeaderSmall"/>
              <w:rPr>
                <w:lang w:val="en-AU"/>
              </w:rPr>
            </w:pPr>
          </w:p>
        </w:tc>
        <w:tc>
          <w:tcPr>
            <w:tcW w:w="1788" w:type="dxa"/>
            <w:shd w:val="clear" w:color="auto" w:fill="auto"/>
            <w:vAlign w:val="center"/>
          </w:tcPr>
          <w:p w14:paraId="4550AF64" w14:textId="77777777" w:rsidR="00F4364C" w:rsidRPr="00A847D3" w:rsidRDefault="00F4364C" w:rsidP="00B631D7">
            <w:pPr>
              <w:pStyle w:val="wcpTableColHeaderSmall"/>
              <w:rPr>
                <w:b w:val="0"/>
                <w:lang w:val="en-AU"/>
              </w:rPr>
            </w:pPr>
            <w:r w:rsidRPr="00A847D3">
              <w:rPr>
                <w:b w:val="0"/>
                <w:lang w:val="en-AU"/>
              </w:rPr>
              <w:t>n/N</w:t>
            </w:r>
          </w:p>
        </w:tc>
        <w:tc>
          <w:tcPr>
            <w:tcW w:w="1788" w:type="dxa"/>
            <w:shd w:val="clear" w:color="auto" w:fill="auto"/>
            <w:vAlign w:val="center"/>
          </w:tcPr>
          <w:p w14:paraId="43657BE6" w14:textId="77777777" w:rsidR="00F4364C" w:rsidRPr="00A847D3" w:rsidRDefault="00F4364C" w:rsidP="00B631D7">
            <w:pPr>
              <w:pStyle w:val="wcpTableColHeaderSmall"/>
              <w:rPr>
                <w:b w:val="0"/>
                <w:lang w:val="en-AU"/>
              </w:rPr>
            </w:pPr>
            <w:r w:rsidRPr="00A847D3">
              <w:rPr>
                <w:b w:val="0"/>
                <w:lang w:val="en-AU"/>
              </w:rPr>
              <w:t>%</w:t>
            </w:r>
          </w:p>
        </w:tc>
        <w:tc>
          <w:tcPr>
            <w:tcW w:w="1788" w:type="dxa"/>
            <w:shd w:val="clear" w:color="auto" w:fill="auto"/>
            <w:vAlign w:val="center"/>
          </w:tcPr>
          <w:p w14:paraId="274F07F7" w14:textId="77777777" w:rsidR="00F4364C" w:rsidRPr="00A847D3" w:rsidRDefault="00F4364C" w:rsidP="00B631D7">
            <w:pPr>
              <w:pStyle w:val="wcpTableColHeaderSmall"/>
              <w:rPr>
                <w:b w:val="0"/>
                <w:lang w:val="en-AU"/>
              </w:rPr>
            </w:pPr>
            <w:r w:rsidRPr="00A847D3">
              <w:rPr>
                <w:b w:val="0"/>
                <w:lang w:val="en-AU"/>
              </w:rPr>
              <w:t>n/N</w:t>
            </w:r>
          </w:p>
        </w:tc>
        <w:tc>
          <w:tcPr>
            <w:tcW w:w="1788" w:type="dxa"/>
            <w:shd w:val="clear" w:color="auto" w:fill="auto"/>
            <w:vAlign w:val="center"/>
          </w:tcPr>
          <w:p w14:paraId="1DF1474E" w14:textId="77777777" w:rsidR="00F4364C" w:rsidRPr="00A847D3" w:rsidRDefault="00F4364C" w:rsidP="00B631D7">
            <w:pPr>
              <w:pStyle w:val="wcpTableColHeaderSmall"/>
              <w:rPr>
                <w:b w:val="0"/>
                <w:lang w:val="en-AU"/>
              </w:rPr>
            </w:pPr>
            <w:r w:rsidRPr="00A847D3">
              <w:rPr>
                <w:b w:val="0"/>
                <w:lang w:val="en-AU"/>
              </w:rPr>
              <w:t>%</w:t>
            </w:r>
          </w:p>
        </w:tc>
      </w:tr>
      <w:tr w:rsidR="00F4364C" w:rsidRPr="000F1E15" w14:paraId="49D2E599" w14:textId="77777777" w:rsidTr="00B631D7">
        <w:trPr>
          <w:trHeight w:val="660"/>
        </w:trPr>
        <w:tc>
          <w:tcPr>
            <w:tcW w:w="1788" w:type="dxa"/>
            <w:shd w:val="clear" w:color="auto" w:fill="auto"/>
            <w:vAlign w:val="center"/>
          </w:tcPr>
          <w:p w14:paraId="2F61CA0E" w14:textId="77777777" w:rsidR="00F4364C" w:rsidRPr="000F1E15" w:rsidRDefault="00F4364C" w:rsidP="00B631D7">
            <w:pPr>
              <w:pStyle w:val="wcpTableColHeaderSmall"/>
              <w:rPr>
                <w:lang w:val="en-AU"/>
              </w:rPr>
            </w:pPr>
            <w:r w:rsidRPr="000F1E15">
              <w:rPr>
                <w:lang w:val="en-AU"/>
              </w:rPr>
              <w:t>Injection site haematoma</w:t>
            </w:r>
          </w:p>
        </w:tc>
        <w:tc>
          <w:tcPr>
            <w:tcW w:w="1788" w:type="dxa"/>
            <w:shd w:val="clear" w:color="auto" w:fill="auto"/>
            <w:vAlign w:val="center"/>
          </w:tcPr>
          <w:p w14:paraId="55913C6C" w14:textId="77777777" w:rsidR="00F4364C" w:rsidRPr="00A847D3" w:rsidRDefault="00F4364C" w:rsidP="00B631D7">
            <w:pPr>
              <w:pStyle w:val="wcpTableColHeaderSmall"/>
              <w:rPr>
                <w:b w:val="0"/>
                <w:lang w:val="en-AU"/>
              </w:rPr>
            </w:pPr>
            <w:r w:rsidRPr="00A847D3">
              <w:rPr>
                <w:b w:val="0"/>
                <w:lang w:val="en-AU"/>
              </w:rPr>
              <w:t>45/1547</w:t>
            </w:r>
          </w:p>
        </w:tc>
        <w:tc>
          <w:tcPr>
            <w:tcW w:w="1788" w:type="dxa"/>
            <w:shd w:val="clear" w:color="auto" w:fill="auto"/>
            <w:vAlign w:val="center"/>
          </w:tcPr>
          <w:p w14:paraId="3FC7E40F" w14:textId="77777777" w:rsidR="00F4364C" w:rsidRPr="00A847D3" w:rsidRDefault="00F4364C" w:rsidP="00B631D7">
            <w:pPr>
              <w:pStyle w:val="wcpTableColHeaderSmall"/>
              <w:rPr>
                <w:b w:val="0"/>
                <w:lang w:val="en-AU"/>
              </w:rPr>
            </w:pPr>
            <w:r w:rsidRPr="00A847D3">
              <w:rPr>
                <w:b w:val="0"/>
                <w:lang w:val="en-AU"/>
              </w:rPr>
              <w:t>2.9</w:t>
            </w:r>
          </w:p>
        </w:tc>
        <w:tc>
          <w:tcPr>
            <w:tcW w:w="1788" w:type="dxa"/>
            <w:shd w:val="clear" w:color="auto" w:fill="auto"/>
            <w:vAlign w:val="center"/>
          </w:tcPr>
          <w:p w14:paraId="7284F1B5" w14:textId="77777777" w:rsidR="00F4364C" w:rsidRPr="00A847D3" w:rsidRDefault="00F4364C" w:rsidP="00B631D7">
            <w:pPr>
              <w:pStyle w:val="wcpTableColHeaderSmall"/>
              <w:rPr>
                <w:b w:val="0"/>
                <w:lang w:val="en-AU"/>
              </w:rPr>
            </w:pPr>
            <w:r w:rsidRPr="00A847D3">
              <w:rPr>
                <w:b w:val="0"/>
                <w:lang w:val="en-AU"/>
              </w:rPr>
              <w:t>6/302</w:t>
            </w:r>
          </w:p>
        </w:tc>
        <w:tc>
          <w:tcPr>
            <w:tcW w:w="1788" w:type="dxa"/>
            <w:shd w:val="clear" w:color="auto" w:fill="auto"/>
            <w:vAlign w:val="center"/>
          </w:tcPr>
          <w:p w14:paraId="713999EC" w14:textId="77777777" w:rsidR="00F4364C" w:rsidRPr="00A847D3" w:rsidRDefault="00F4364C" w:rsidP="00B631D7">
            <w:pPr>
              <w:pStyle w:val="wcpTableColHeaderSmall"/>
              <w:rPr>
                <w:b w:val="0"/>
                <w:lang w:val="en-AU"/>
              </w:rPr>
            </w:pPr>
            <w:r w:rsidRPr="00A847D3">
              <w:rPr>
                <w:b w:val="0"/>
                <w:lang w:val="en-AU"/>
              </w:rPr>
              <w:t>2.0</w:t>
            </w:r>
          </w:p>
        </w:tc>
      </w:tr>
      <w:tr w:rsidR="00F4364C" w:rsidRPr="000F1E15" w14:paraId="71786919" w14:textId="77777777" w:rsidTr="00B631D7">
        <w:trPr>
          <w:trHeight w:val="670"/>
        </w:trPr>
        <w:tc>
          <w:tcPr>
            <w:tcW w:w="1788" w:type="dxa"/>
            <w:shd w:val="clear" w:color="auto" w:fill="auto"/>
            <w:vAlign w:val="center"/>
          </w:tcPr>
          <w:p w14:paraId="3ABF09F4" w14:textId="77777777" w:rsidR="00F4364C" w:rsidRPr="000F1E15" w:rsidRDefault="00F4364C" w:rsidP="00B631D7">
            <w:pPr>
              <w:pStyle w:val="wcpTableColHeaderSmall"/>
              <w:rPr>
                <w:lang w:val="en-AU"/>
              </w:rPr>
            </w:pPr>
            <w:r w:rsidRPr="000F1E15">
              <w:rPr>
                <w:lang w:val="en-AU"/>
              </w:rPr>
              <w:t>Injection site pruritus</w:t>
            </w:r>
          </w:p>
        </w:tc>
        <w:tc>
          <w:tcPr>
            <w:tcW w:w="1788" w:type="dxa"/>
            <w:shd w:val="clear" w:color="auto" w:fill="auto"/>
            <w:vAlign w:val="center"/>
          </w:tcPr>
          <w:p w14:paraId="4DEDBAA5" w14:textId="77777777" w:rsidR="00F4364C" w:rsidRPr="00A847D3" w:rsidRDefault="00F4364C" w:rsidP="00B631D7">
            <w:pPr>
              <w:pStyle w:val="wcpTableColHeaderSmall"/>
              <w:rPr>
                <w:b w:val="0"/>
                <w:lang w:val="en-AU"/>
              </w:rPr>
            </w:pPr>
            <w:r w:rsidRPr="00A847D3">
              <w:rPr>
                <w:b w:val="0"/>
                <w:lang w:val="en-AU"/>
              </w:rPr>
              <w:t>23/1547</w:t>
            </w:r>
          </w:p>
        </w:tc>
        <w:tc>
          <w:tcPr>
            <w:tcW w:w="1788" w:type="dxa"/>
            <w:shd w:val="clear" w:color="auto" w:fill="auto"/>
            <w:vAlign w:val="center"/>
          </w:tcPr>
          <w:p w14:paraId="341E2016" w14:textId="77777777" w:rsidR="00F4364C" w:rsidRPr="00A847D3" w:rsidRDefault="00F4364C" w:rsidP="00B631D7">
            <w:pPr>
              <w:pStyle w:val="wcpTableColHeaderSmall"/>
              <w:rPr>
                <w:b w:val="0"/>
                <w:lang w:val="en-AU"/>
              </w:rPr>
            </w:pPr>
            <w:r w:rsidRPr="00A847D3">
              <w:rPr>
                <w:b w:val="0"/>
                <w:lang w:val="en-AU"/>
              </w:rPr>
              <w:t>1.5</w:t>
            </w:r>
          </w:p>
        </w:tc>
        <w:tc>
          <w:tcPr>
            <w:tcW w:w="1788" w:type="dxa"/>
            <w:shd w:val="clear" w:color="auto" w:fill="auto"/>
            <w:vAlign w:val="center"/>
          </w:tcPr>
          <w:p w14:paraId="02C1C529" w14:textId="77777777" w:rsidR="00F4364C" w:rsidRPr="00A847D3" w:rsidRDefault="00F4364C" w:rsidP="00B631D7">
            <w:pPr>
              <w:pStyle w:val="wcpTableColHeaderSmall"/>
              <w:rPr>
                <w:b w:val="0"/>
                <w:lang w:val="en-AU"/>
              </w:rPr>
            </w:pPr>
            <w:r w:rsidRPr="00A847D3">
              <w:rPr>
                <w:b w:val="0"/>
                <w:lang w:val="en-AU"/>
              </w:rPr>
              <w:t>0/302</w:t>
            </w:r>
          </w:p>
        </w:tc>
        <w:tc>
          <w:tcPr>
            <w:tcW w:w="1788" w:type="dxa"/>
            <w:shd w:val="clear" w:color="auto" w:fill="auto"/>
            <w:vAlign w:val="center"/>
          </w:tcPr>
          <w:p w14:paraId="5EB56F37" w14:textId="77777777" w:rsidR="00F4364C" w:rsidRPr="00A847D3" w:rsidRDefault="00F4364C" w:rsidP="00B631D7">
            <w:pPr>
              <w:pStyle w:val="wcpTableColHeaderSmall"/>
              <w:rPr>
                <w:b w:val="0"/>
                <w:lang w:val="en-AU"/>
              </w:rPr>
            </w:pPr>
            <w:r w:rsidRPr="00A847D3">
              <w:rPr>
                <w:b w:val="0"/>
                <w:lang w:val="en-AU"/>
              </w:rPr>
              <w:t>0.0%</w:t>
            </w:r>
          </w:p>
        </w:tc>
      </w:tr>
    </w:tbl>
    <w:p w14:paraId="3364C5F1" w14:textId="77777777" w:rsidR="00F4364C" w:rsidRPr="000F1E15" w:rsidRDefault="00F4364C" w:rsidP="00F4364C">
      <w:pPr>
        <w:spacing w:before="0"/>
        <w:rPr>
          <w:color w:val="auto"/>
          <w:sz w:val="20"/>
          <w:szCs w:val="20"/>
          <w:lang w:val="en-AU"/>
        </w:rPr>
      </w:pPr>
      <w:proofErr w:type="gramStart"/>
      <w:r w:rsidRPr="000F1E15">
        <w:rPr>
          <w:color w:val="auto"/>
          <w:sz w:val="20"/>
          <w:szCs w:val="20"/>
          <w:lang w:val="en-AU"/>
        </w:rPr>
        <w:t>n</w:t>
      </w:r>
      <w:proofErr w:type="gramEnd"/>
      <w:r w:rsidRPr="000F1E15">
        <w:rPr>
          <w:color w:val="auto"/>
          <w:sz w:val="20"/>
          <w:szCs w:val="20"/>
          <w:lang w:val="en-AU"/>
        </w:rPr>
        <w:t>: number of subjects experiencing the endpoint</w:t>
      </w:r>
    </w:p>
    <w:p w14:paraId="3C0A6AB8" w14:textId="77777777" w:rsidR="00F4364C" w:rsidRPr="000F1E15" w:rsidRDefault="00F4364C" w:rsidP="00F4364C">
      <w:pPr>
        <w:spacing w:before="0"/>
        <w:rPr>
          <w:color w:val="auto"/>
          <w:sz w:val="20"/>
          <w:szCs w:val="20"/>
          <w:lang w:val="en-AU"/>
        </w:rPr>
      </w:pPr>
      <w:r w:rsidRPr="000F1E15">
        <w:rPr>
          <w:color w:val="auto"/>
          <w:sz w:val="20"/>
          <w:szCs w:val="20"/>
          <w:lang w:val="en-AU"/>
        </w:rPr>
        <w:t>N: total number of subjects per dose</w:t>
      </w:r>
    </w:p>
    <w:p w14:paraId="76ACE936" w14:textId="77777777" w:rsidR="00F4364C" w:rsidRPr="000F1E15" w:rsidRDefault="00F4364C" w:rsidP="00F4364C">
      <w:pPr>
        <w:spacing w:before="0"/>
        <w:rPr>
          <w:color w:val="auto"/>
          <w:sz w:val="20"/>
          <w:szCs w:val="20"/>
          <w:lang w:val="en-AU"/>
        </w:rPr>
      </w:pPr>
      <w:r w:rsidRPr="000F1E15">
        <w:rPr>
          <w:color w:val="auto"/>
          <w:sz w:val="20"/>
          <w:szCs w:val="20"/>
          <w:lang w:val="en-AU"/>
        </w:rPr>
        <w:t>M: number of subjects with available data for the relevant endpoint/ solicited adverse events reported within 7 days for injection site reactions and within 14 days for systemic reactions</w:t>
      </w:r>
    </w:p>
    <w:p w14:paraId="3F839E16" w14:textId="77777777" w:rsidR="00F4364C" w:rsidRPr="000F1E15" w:rsidRDefault="00F4364C" w:rsidP="00F4364C"/>
    <w:p w14:paraId="37549486" w14:textId="77777777" w:rsidR="00F4364C" w:rsidRPr="000F1E15" w:rsidRDefault="00F4364C" w:rsidP="00F4364C"/>
    <w:p w14:paraId="42D2AD0D" w14:textId="77777777" w:rsidR="00F4364C" w:rsidRPr="000F1E15" w:rsidRDefault="00F4364C" w:rsidP="00F4364C"/>
    <w:p w14:paraId="2745936E" w14:textId="77777777" w:rsidR="00F4364C" w:rsidRPr="000F1E15" w:rsidRDefault="00F4364C" w:rsidP="00F4364C"/>
    <w:p w14:paraId="3335B648" w14:textId="754F32FC" w:rsidR="00F4364C" w:rsidRPr="000F1E15" w:rsidRDefault="00AE7FA7" w:rsidP="00AE7FA7">
      <w:pPr>
        <w:pStyle w:val="Caption"/>
        <w:rPr>
          <w:lang w:val="en-AU"/>
        </w:rPr>
      </w:pPr>
      <w:r>
        <w:rPr>
          <w:lang w:val="en-AU"/>
        </w:rPr>
        <w:lastRenderedPageBreak/>
        <w:t xml:space="preserve"> </w:t>
      </w:r>
      <w:bookmarkStart w:id="11" w:name="_Ref500849380"/>
      <w:r>
        <w:t>Table </w:t>
      </w:r>
      <w:r>
        <w:fldChar w:fldCharType="begin"/>
      </w:r>
      <w:r>
        <w:instrText xml:space="preserve"> SEQ Table \* ARABIC </w:instrText>
      </w:r>
      <w:r>
        <w:fldChar w:fldCharType="separate"/>
      </w:r>
      <w:r w:rsidR="00C16A62">
        <w:rPr>
          <w:noProof/>
        </w:rPr>
        <w:t>2</w:t>
      </w:r>
      <w:r>
        <w:fldChar w:fldCharType="end"/>
      </w:r>
      <w:bookmarkEnd w:id="11"/>
      <w:r>
        <w:t xml:space="preserve"> ­ </w:t>
      </w:r>
      <w:r w:rsidRPr="000F1E15">
        <w:rPr>
          <w:lang w:val="en-AU"/>
        </w:rPr>
        <w:t>Related Adverse Events (≥</w:t>
      </w:r>
      <w:r>
        <w:rPr>
          <w:lang w:val="en-AU"/>
        </w:rPr>
        <w:t xml:space="preserve"> </w:t>
      </w:r>
      <w:r w:rsidRPr="000F1E15">
        <w:rPr>
          <w:lang w:val="en-AU"/>
        </w:rPr>
        <w:t xml:space="preserve">1.0%) reported within 28 days in paediatric subjects </w:t>
      </w:r>
      <w:r>
        <w:rPr>
          <w:lang w:val="en-AU"/>
        </w:rPr>
        <w:t xml:space="preserve">below </w:t>
      </w:r>
      <w:r w:rsidRPr="000F1E15">
        <w:rPr>
          <w:lang w:val="en-AU"/>
        </w:rPr>
        <w:t>1</w:t>
      </w:r>
      <w:r>
        <w:rPr>
          <w:lang w:val="en-AU"/>
        </w:rPr>
        <w:t>8</w:t>
      </w:r>
      <w:r w:rsidRPr="000F1E15">
        <w:rPr>
          <w:lang w:val="en-AU"/>
        </w:rPr>
        <w:t xml:space="preserve"> years of age after any injection of Dengvaxia or the placebo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794"/>
        <w:gridCol w:w="1794"/>
        <w:gridCol w:w="1794"/>
        <w:gridCol w:w="1794"/>
      </w:tblGrid>
      <w:tr w:rsidR="00F4364C" w:rsidRPr="000F1E15" w14:paraId="05A0BBF6" w14:textId="77777777" w:rsidTr="00B631D7">
        <w:trPr>
          <w:trHeight w:val="452"/>
        </w:trPr>
        <w:tc>
          <w:tcPr>
            <w:tcW w:w="1794" w:type="dxa"/>
            <w:shd w:val="clear" w:color="auto" w:fill="auto"/>
          </w:tcPr>
          <w:p w14:paraId="2E9EC166" w14:textId="77777777" w:rsidR="00F4364C" w:rsidRPr="000F1E15" w:rsidRDefault="00F4364C" w:rsidP="00B631D7">
            <w:pPr>
              <w:pStyle w:val="wcpTableColHeaderSmall"/>
              <w:rPr>
                <w:lang w:val="en-AU"/>
              </w:rPr>
            </w:pPr>
          </w:p>
        </w:tc>
        <w:tc>
          <w:tcPr>
            <w:tcW w:w="3588" w:type="dxa"/>
            <w:gridSpan w:val="2"/>
            <w:shd w:val="clear" w:color="auto" w:fill="auto"/>
            <w:vAlign w:val="center"/>
          </w:tcPr>
          <w:p w14:paraId="1B6E2659" w14:textId="77777777" w:rsidR="00F4364C" w:rsidRPr="000F1E15" w:rsidRDefault="00F4364C" w:rsidP="00B631D7">
            <w:pPr>
              <w:pStyle w:val="wcpTableColHeaderSmall"/>
              <w:rPr>
                <w:lang w:val="en-AU"/>
              </w:rPr>
            </w:pPr>
            <w:r w:rsidRPr="000F1E15">
              <w:rPr>
                <w:lang w:val="en-AU"/>
              </w:rPr>
              <w:t>Dengvaxia</w:t>
            </w:r>
          </w:p>
        </w:tc>
        <w:tc>
          <w:tcPr>
            <w:tcW w:w="3588" w:type="dxa"/>
            <w:gridSpan w:val="2"/>
            <w:shd w:val="clear" w:color="auto" w:fill="auto"/>
            <w:vAlign w:val="center"/>
          </w:tcPr>
          <w:p w14:paraId="6BC1D1F6" w14:textId="77777777" w:rsidR="00F4364C" w:rsidRPr="000F1E15" w:rsidRDefault="00F4364C" w:rsidP="00B631D7">
            <w:pPr>
              <w:pStyle w:val="wcpTableColHeaderSmall"/>
              <w:rPr>
                <w:lang w:val="en-AU"/>
              </w:rPr>
            </w:pPr>
            <w:r w:rsidRPr="000F1E15">
              <w:rPr>
                <w:lang w:val="en-AU"/>
              </w:rPr>
              <w:t>Placebo</w:t>
            </w:r>
          </w:p>
        </w:tc>
      </w:tr>
      <w:tr w:rsidR="00F4364C" w:rsidRPr="000F1E15" w14:paraId="709A0ED1" w14:textId="77777777" w:rsidTr="00B631D7">
        <w:trPr>
          <w:trHeight w:val="647"/>
        </w:trPr>
        <w:tc>
          <w:tcPr>
            <w:tcW w:w="1794" w:type="dxa"/>
            <w:shd w:val="clear" w:color="auto" w:fill="auto"/>
          </w:tcPr>
          <w:p w14:paraId="02578DEF" w14:textId="77777777" w:rsidR="00F4364C" w:rsidRPr="000F1E15" w:rsidRDefault="00F4364C" w:rsidP="00B631D7">
            <w:pPr>
              <w:pStyle w:val="wcpTableColHeaderSmall"/>
              <w:rPr>
                <w:lang w:val="en-AU"/>
              </w:rPr>
            </w:pPr>
            <w:r w:rsidRPr="000F1E15">
              <w:rPr>
                <w:lang w:val="en-AU"/>
              </w:rPr>
              <w:t>Adverse Events</w:t>
            </w:r>
          </w:p>
        </w:tc>
        <w:tc>
          <w:tcPr>
            <w:tcW w:w="1794" w:type="dxa"/>
            <w:shd w:val="clear" w:color="auto" w:fill="auto"/>
            <w:vAlign w:val="center"/>
          </w:tcPr>
          <w:p w14:paraId="73ECBAD3" w14:textId="77777777" w:rsidR="00F4364C" w:rsidRPr="000F1E15" w:rsidRDefault="00F4364C" w:rsidP="00B631D7">
            <w:pPr>
              <w:pStyle w:val="wcpTableColHeaderSmall"/>
              <w:rPr>
                <w:lang w:val="en-AU"/>
              </w:rPr>
            </w:pPr>
            <w:r w:rsidRPr="000F1E15">
              <w:rPr>
                <w:lang w:val="en-AU"/>
              </w:rPr>
              <w:t>n/M</w:t>
            </w:r>
          </w:p>
        </w:tc>
        <w:tc>
          <w:tcPr>
            <w:tcW w:w="1794" w:type="dxa"/>
            <w:shd w:val="clear" w:color="auto" w:fill="auto"/>
            <w:vAlign w:val="center"/>
          </w:tcPr>
          <w:p w14:paraId="5BC828EA" w14:textId="77777777" w:rsidR="00F4364C" w:rsidRPr="000F1E15" w:rsidRDefault="00F4364C" w:rsidP="00B631D7">
            <w:pPr>
              <w:pStyle w:val="wcpTableColHeaderSmall"/>
              <w:rPr>
                <w:lang w:val="en-AU"/>
              </w:rPr>
            </w:pPr>
            <w:r w:rsidRPr="000F1E15">
              <w:rPr>
                <w:lang w:val="en-AU"/>
              </w:rPr>
              <w:t>%</w:t>
            </w:r>
          </w:p>
        </w:tc>
        <w:tc>
          <w:tcPr>
            <w:tcW w:w="1794" w:type="dxa"/>
            <w:shd w:val="clear" w:color="auto" w:fill="auto"/>
            <w:vAlign w:val="center"/>
          </w:tcPr>
          <w:p w14:paraId="28D677F2" w14:textId="77777777" w:rsidR="00F4364C" w:rsidRPr="000F1E15" w:rsidRDefault="00F4364C" w:rsidP="00B631D7">
            <w:pPr>
              <w:pStyle w:val="wcpTableColHeaderSmall"/>
              <w:rPr>
                <w:lang w:val="en-AU"/>
              </w:rPr>
            </w:pPr>
            <w:r w:rsidRPr="000F1E15">
              <w:rPr>
                <w:lang w:val="en-AU"/>
              </w:rPr>
              <w:t>n/M</w:t>
            </w:r>
          </w:p>
        </w:tc>
        <w:tc>
          <w:tcPr>
            <w:tcW w:w="1794" w:type="dxa"/>
            <w:shd w:val="clear" w:color="auto" w:fill="auto"/>
            <w:vAlign w:val="center"/>
          </w:tcPr>
          <w:p w14:paraId="46C437B6" w14:textId="77777777" w:rsidR="00F4364C" w:rsidRPr="000F1E15" w:rsidRDefault="00F4364C" w:rsidP="00B631D7">
            <w:pPr>
              <w:pStyle w:val="wcpTableColHeaderSmall"/>
              <w:rPr>
                <w:lang w:val="en-AU"/>
              </w:rPr>
            </w:pPr>
            <w:r w:rsidRPr="000F1E15">
              <w:rPr>
                <w:lang w:val="en-AU"/>
              </w:rPr>
              <w:t>%</w:t>
            </w:r>
          </w:p>
        </w:tc>
      </w:tr>
      <w:tr w:rsidR="00F4364C" w:rsidRPr="000F1E15" w14:paraId="3AEE2126" w14:textId="77777777" w:rsidTr="00B631D7">
        <w:trPr>
          <w:trHeight w:val="452"/>
        </w:trPr>
        <w:tc>
          <w:tcPr>
            <w:tcW w:w="1794" w:type="dxa"/>
            <w:shd w:val="clear" w:color="auto" w:fill="auto"/>
            <w:vAlign w:val="center"/>
          </w:tcPr>
          <w:p w14:paraId="61374FA0" w14:textId="77777777" w:rsidR="00F4364C" w:rsidRPr="000F1E15" w:rsidRDefault="00F4364C" w:rsidP="00B631D7">
            <w:pPr>
              <w:pStyle w:val="wcpTableColHeaderSmall"/>
              <w:rPr>
                <w:lang w:val="en-AU"/>
              </w:rPr>
            </w:pPr>
            <w:r w:rsidRPr="000F1E15">
              <w:rPr>
                <w:lang w:val="en-AU"/>
              </w:rPr>
              <w:t>Headache</w:t>
            </w:r>
          </w:p>
        </w:tc>
        <w:tc>
          <w:tcPr>
            <w:tcW w:w="1794" w:type="dxa"/>
            <w:shd w:val="clear" w:color="auto" w:fill="auto"/>
            <w:vAlign w:val="center"/>
          </w:tcPr>
          <w:p w14:paraId="21F695F4" w14:textId="77777777" w:rsidR="00F4364C" w:rsidRPr="00A847D3" w:rsidRDefault="00F4364C" w:rsidP="00B631D7">
            <w:pPr>
              <w:pStyle w:val="wcpTableColHeaderSmall"/>
              <w:rPr>
                <w:b w:val="0"/>
                <w:lang w:val="en-AU"/>
              </w:rPr>
            </w:pPr>
            <w:r w:rsidRPr="00A847D3">
              <w:rPr>
                <w:b w:val="0"/>
                <w:lang w:val="en-AU"/>
              </w:rPr>
              <w:t>1649/3048</w:t>
            </w:r>
          </w:p>
        </w:tc>
        <w:tc>
          <w:tcPr>
            <w:tcW w:w="1794" w:type="dxa"/>
            <w:shd w:val="clear" w:color="auto" w:fill="auto"/>
            <w:vAlign w:val="center"/>
          </w:tcPr>
          <w:p w14:paraId="0BE3698A" w14:textId="77777777" w:rsidR="00F4364C" w:rsidRPr="00A847D3" w:rsidRDefault="00F4364C" w:rsidP="00B631D7">
            <w:pPr>
              <w:pStyle w:val="wcpTableColHeaderSmall"/>
              <w:rPr>
                <w:b w:val="0"/>
                <w:lang w:val="en-AU"/>
              </w:rPr>
            </w:pPr>
            <w:r w:rsidRPr="00A847D3">
              <w:rPr>
                <w:b w:val="0"/>
                <w:lang w:val="en-AU"/>
              </w:rPr>
              <w:t>54.1</w:t>
            </w:r>
          </w:p>
        </w:tc>
        <w:tc>
          <w:tcPr>
            <w:tcW w:w="1794" w:type="dxa"/>
            <w:shd w:val="clear" w:color="auto" w:fill="auto"/>
            <w:vAlign w:val="center"/>
          </w:tcPr>
          <w:p w14:paraId="2E5499F1" w14:textId="77777777" w:rsidR="00F4364C" w:rsidRPr="00A847D3" w:rsidRDefault="00F4364C" w:rsidP="00B631D7">
            <w:pPr>
              <w:pStyle w:val="wcpTableColHeaderSmall"/>
              <w:rPr>
                <w:b w:val="0"/>
                <w:lang w:val="en-AU"/>
              </w:rPr>
            </w:pPr>
            <w:r w:rsidRPr="00A847D3">
              <w:rPr>
                <w:b w:val="0"/>
                <w:lang w:val="en-AU"/>
              </w:rPr>
              <w:t>762/1471</w:t>
            </w:r>
          </w:p>
        </w:tc>
        <w:tc>
          <w:tcPr>
            <w:tcW w:w="1794" w:type="dxa"/>
            <w:shd w:val="clear" w:color="auto" w:fill="auto"/>
            <w:vAlign w:val="center"/>
          </w:tcPr>
          <w:p w14:paraId="7EA27EF9" w14:textId="77777777" w:rsidR="00F4364C" w:rsidRPr="00A847D3" w:rsidRDefault="00F4364C" w:rsidP="00B631D7">
            <w:pPr>
              <w:pStyle w:val="wcpTableColHeaderSmall"/>
              <w:rPr>
                <w:b w:val="0"/>
                <w:lang w:val="en-AU"/>
              </w:rPr>
            </w:pPr>
            <w:r w:rsidRPr="00A847D3">
              <w:rPr>
                <w:b w:val="0"/>
                <w:lang w:val="en-AU"/>
              </w:rPr>
              <w:t>51.8</w:t>
            </w:r>
          </w:p>
        </w:tc>
      </w:tr>
      <w:tr w:rsidR="00F4364C" w:rsidRPr="000F1E15" w14:paraId="6908E747" w14:textId="77777777" w:rsidTr="00B631D7">
        <w:trPr>
          <w:trHeight w:val="658"/>
        </w:trPr>
        <w:tc>
          <w:tcPr>
            <w:tcW w:w="1794" w:type="dxa"/>
            <w:shd w:val="clear" w:color="auto" w:fill="auto"/>
            <w:vAlign w:val="center"/>
          </w:tcPr>
          <w:p w14:paraId="5C7A9109" w14:textId="77777777" w:rsidR="00F4364C" w:rsidRPr="000F1E15" w:rsidRDefault="00F4364C" w:rsidP="00B631D7">
            <w:pPr>
              <w:pStyle w:val="wcpTableColHeaderSmall"/>
              <w:rPr>
                <w:lang w:val="en-AU"/>
              </w:rPr>
            </w:pPr>
            <w:r w:rsidRPr="000F1E15">
              <w:rPr>
                <w:lang w:val="en-AU"/>
              </w:rPr>
              <w:t>Injection site Pain</w:t>
            </w:r>
          </w:p>
        </w:tc>
        <w:tc>
          <w:tcPr>
            <w:tcW w:w="1794" w:type="dxa"/>
            <w:shd w:val="clear" w:color="auto" w:fill="auto"/>
            <w:vAlign w:val="center"/>
          </w:tcPr>
          <w:p w14:paraId="651AE520" w14:textId="77777777" w:rsidR="00F4364C" w:rsidRPr="00A847D3" w:rsidRDefault="00F4364C" w:rsidP="00B631D7">
            <w:pPr>
              <w:pStyle w:val="wcpTableColHeaderSmall"/>
              <w:rPr>
                <w:b w:val="0"/>
                <w:lang w:val="en-AU"/>
              </w:rPr>
            </w:pPr>
            <w:r w:rsidRPr="00A847D3">
              <w:rPr>
                <w:b w:val="0"/>
                <w:lang w:val="en-AU"/>
              </w:rPr>
              <w:t>1502/3050</w:t>
            </w:r>
          </w:p>
        </w:tc>
        <w:tc>
          <w:tcPr>
            <w:tcW w:w="1794" w:type="dxa"/>
            <w:shd w:val="clear" w:color="auto" w:fill="auto"/>
            <w:vAlign w:val="center"/>
          </w:tcPr>
          <w:p w14:paraId="53D4FB2E" w14:textId="77777777" w:rsidR="00F4364C" w:rsidRPr="00A847D3" w:rsidRDefault="00F4364C" w:rsidP="00B631D7">
            <w:pPr>
              <w:pStyle w:val="wcpTableColHeaderSmall"/>
              <w:rPr>
                <w:b w:val="0"/>
                <w:lang w:val="en-AU"/>
              </w:rPr>
            </w:pPr>
            <w:r w:rsidRPr="00A847D3">
              <w:rPr>
                <w:b w:val="0"/>
                <w:lang w:val="en-AU"/>
              </w:rPr>
              <w:t>49.2</w:t>
            </w:r>
          </w:p>
        </w:tc>
        <w:tc>
          <w:tcPr>
            <w:tcW w:w="1794" w:type="dxa"/>
            <w:shd w:val="clear" w:color="auto" w:fill="auto"/>
            <w:vAlign w:val="center"/>
          </w:tcPr>
          <w:p w14:paraId="2CB4E589" w14:textId="77777777" w:rsidR="00F4364C" w:rsidRPr="00A847D3" w:rsidRDefault="00F4364C" w:rsidP="00B631D7">
            <w:pPr>
              <w:pStyle w:val="wcpTableColHeaderSmall"/>
              <w:rPr>
                <w:b w:val="0"/>
                <w:lang w:val="en-AU"/>
              </w:rPr>
            </w:pPr>
            <w:r w:rsidRPr="00A847D3">
              <w:rPr>
                <w:b w:val="0"/>
                <w:lang w:val="en-AU"/>
              </w:rPr>
              <w:t>574/1470</w:t>
            </w:r>
          </w:p>
        </w:tc>
        <w:tc>
          <w:tcPr>
            <w:tcW w:w="1794" w:type="dxa"/>
            <w:shd w:val="clear" w:color="auto" w:fill="auto"/>
            <w:vAlign w:val="center"/>
          </w:tcPr>
          <w:p w14:paraId="32D679BC" w14:textId="77777777" w:rsidR="00F4364C" w:rsidRPr="00A847D3" w:rsidRDefault="00F4364C" w:rsidP="00B631D7">
            <w:pPr>
              <w:pStyle w:val="wcpTableColHeaderSmall"/>
              <w:rPr>
                <w:b w:val="0"/>
                <w:lang w:val="en-AU"/>
              </w:rPr>
            </w:pPr>
            <w:r w:rsidRPr="00A847D3">
              <w:rPr>
                <w:b w:val="0"/>
                <w:lang w:val="en-AU"/>
              </w:rPr>
              <w:t>39.0</w:t>
            </w:r>
          </w:p>
        </w:tc>
      </w:tr>
      <w:tr w:rsidR="00F4364C" w:rsidRPr="000F1E15" w14:paraId="2E7415BC" w14:textId="77777777" w:rsidTr="00B631D7">
        <w:trPr>
          <w:trHeight w:val="452"/>
        </w:trPr>
        <w:tc>
          <w:tcPr>
            <w:tcW w:w="1794" w:type="dxa"/>
            <w:shd w:val="clear" w:color="auto" w:fill="auto"/>
            <w:vAlign w:val="center"/>
          </w:tcPr>
          <w:p w14:paraId="159D81A9" w14:textId="77777777" w:rsidR="00F4364C" w:rsidRPr="000F1E15" w:rsidRDefault="00F4364C" w:rsidP="00B631D7">
            <w:pPr>
              <w:pStyle w:val="wcpTableColHeaderSmall"/>
              <w:rPr>
                <w:lang w:val="en-AU"/>
              </w:rPr>
            </w:pPr>
            <w:r w:rsidRPr="000F1E15">
              <w:rPr>
                <w:lang w:val="en-AU"/>
              </w:rPr>
              <w:t>Myalgia</w:t>
            </w:r>
          </w:p>
        </w:tc>
        <w:tc>
          <w:tcPr>
            <w:tcW w:w="1794" w:type="dxa"/>
            <w:shd w:val="clear" w:color="auto" w:fill="auto"/>
            <w:vAlign w:val="center"/>
          </w:tcPr>
          <w:p w14:paraId="5683F554" w14:textId="77777777" w:rsidR="00F4364C" w:rsidRPr="00A847D3" w:rsidRDefault="00F4364C" w:rsidP="00B631D7">
            <w:pPr>
              <w:pStyle w:val="wcpTableColHeaderSmall"/>
              <w:rPr>
                <w:b w:val="0"/>
                <w:lang w:val="en-AU"/>
              </w:rPr>
            </w:pPr>
            <w:r w:rsidRPr="00A847D3">
              <w:rPr>
                <w:b w:val="0"/>
                <w:lang w:val="en-AU"/>
              </w:rPr>
              <w:t>1280/3047</w:t>
            </w:r>
          </w:p>
        </w:tc>
        <w:tc>
          <w:tcPr>
            <w:tcW w:w="1794" w:type="dxa"/>
            <w:shd w:val="clear" w:color="auto" w:fill="auto"/>
            <w:vAlign w:val="center"/>
          </w:tcPr>
          <w:p w14:paraId="1F67758E" w14:textId="77777777" w:rsidR="00F4364C" w:rsidRPr="00A847D3" w:rsidRDefault="00F4364C" w:rsidP="00B631D7">
            <w:pPr>
              <w:pStyle w:val="wcpTableColHeaderSmall"/>
              <w:rPr>
                <w:b w:val="0"/>
                <w:lang w:val="en-AU"/>
              </w:rPr>
            </w:pPr>
            <w:r w:rsidRPr="00A847D3">
              <w:rPr>
                <w:b w:val="0"/>
                <w:lang w:val="en-AU"/>
              </w:rPr>
              <w:t>42.0</w:t>
            </w:r>
          </w:p>
        </w:tc>
        <w:tc>
          <w:tcPr>
            <w:tcW w:w="1794" w:type="dxa"/>
            <w:shd w:val="clear" w:color="auto" w:fill="auto"/>
            <w:vAlign w:val="center"/>
          </w:tcPr>
          <w:p w14:paraId="5F157A7D" w14:textId="77777777" w:rsidR="00F4364C" w:rsidRPr="00A847D3" w:rsidRDefault="00F4364C" w:rsidP="00B631D7">
            <w:pPr>
              <w:pStyle w:val="wcpTableColHeaderSmall"/>
              <w:rPr>
                <w:b w:val="0"/>
                <w:lang w:val="en-AU"/>
              </w:rPr>
            </w:pPr>
            <w:r w:rsidRPr="00A847D3">
              <w:rPr>
                <w:b w:val="0"/>
                <w:lang w:val="en-AU"/>
              </w:rPr>
              <w:t>560/1471</w:t>
            </w:r>
          </w:p>
        </w:tc>
        <w:tc>
          <w:tcPr>
            <w:tcW w:w="1794" w:type="dxa"/>
            <w:shd w:val="clear" w:color="auto" w:fill="auto"/>
            <w:vAlign w:val="center"/>
          </w:tcPr>
          <w:p w14:paraId="5608E633" w14:textId="77777777" w:rsidR="00F4364C" w:rsidRPr="00A847D3" w:rsidRDefault="00F4364C" w:rsidP="00B631D7">
            <w:pPr>
              <w:pStyle w:val="wcpTableColHeaderSmall"/>
              <w:rPr>
                <w:b w:val="0"/>
                <w:lang w:val="en-AU"/>
              </w:rPr>
            </w:pPr>
            <w:r w:rsidRPr="00A847D3">
              <w:rPr>
                <w:b w:val="0"/>
                <w:lang w:val="en-AU"/>
              </w:rPr>
              <w:t>38.1</w:t>
            </w:r>
          </w:p>
        </w:tc>
      </w:tr>
      <w:tr w:rsidR="00F4364C" w:rsidRPr="000F1E15" w14:paraId="6D2C70BB" w14:textId="77777777" w:rsidTr="00B631D7">
        <w:trPr>
          <w:trHeight w:val="442"/>
        </w:trPr>
        <w:tc>
          <w:tcPr>
            <w:tcW w:w="1794" w:type="dxa"/>
            <w:shd w:val="clear" w:color="auto" w:fill="auto"/>
            <w:vAlign w:val="center"/>
          </w:tcPr>
          <w:p w14:paraId="367293A8" w14:textId="77777777" w:rsidR="00F4364C" w:rsidRPr="000F1E15" w:rsidRDefault="00F4364C" w:rsidP="00B631D7">
            <w:pPr>
              <w:pStyle w:val="wcpTableColHeaderSmall"/>
              <w:rPr>
                <w:lang w:val="en-AU"/>
              </w:rPr>
            </w:pPr>
            <w:r w:rsidRPr="000F1E15">
              <w:rPr>
                <w:lang w:val="en-AU"/>
              </w:rPr>
              <w:t>Malaise</w:t>
            </w:r>
          </w:p>
        </w:tc>
        <w:tc>
          <w:tcPr>
            <w:tcW w:w="1794" w:type="dxa"/>
            <w:shd w:val="clear" w:color="auto" w:fill="auto"/>
            <w:vAlign w:val="center"/>
          </w:tcPr>
          <w:p w14:paraId="64975D02" w14:textId="77777777" w:rsidR="00F4364C" w:rsidRPr="00A847D3" w:rsidRDefault="00F4364C" w:rsidP="00B631D7">
            <w:pPr>
              <w:pStyle w:val="wcpTableColHeaderSmall"/>
              <w:rPr>
                <w:b w:val="0"/>
                <w:lang w:val="en-AU"/>
              </w:rPr>
            </w:pPr>
            <w:r w:rsidRPr="00A847D3">
              <w:rPr>
                <w:b w:val="0"/>
                <w:lang w:val="en-AU"/>
              </w:rPr>
              <w:t>1247/3047</w:t>
            </w:r>
          </w:p>
        </w:tc>
        <w:tc>
          <w:tcPr>
            <w:tcW w:w="1794" w:type="dxa"/>
            <w:shd w:val="clear" w:color="auto" w:fill="auto"/>
            <w:vAlign w:val="center"/>
          </w:tcPr>
          <w:p w14:paraId="1DD812C9" w14:textId="77777777" w:rsidR="00F4364C" w:rsidRPr="00A847D3" w:rsidRDefault="00F4364C" w:rsidP="00B631D7">
            <w:pPr>
              <w:pStyle w:val="wcpTableColHeaderSmall"/>
              <w:rPr>
                <w:b w:val="0"/>
                <w:lang w:val="en-AU"/>
              </w:rPr>
            </w:pPr>
            <w:r w:rsidRPr="00A847D3">
              <w:rPr>
                <w:b w:val="0"/>
                <w:lang w:val="en-AU"/>
              </w:rPr>
              <w:t>40.9</w:t>
            </w:r>
          </w:p>
        </w:tc>
        <w:tc>
          <w:tcPr>
            <w:tcW w:w="1794" w:type="dxa"/>
            <w:shd w:val="clear" w:color="auto" w:fill="auto"/>
            <w:vAlign w:val="center"/>
          </w:tcPr>
          <w:p w14:paraId="05556292" w14:textId="77777777" w:rsidR="00F4364C" w:rsidRPr="00A847D3" w:rsidRDefault="00F4364C" w:rsidP="00B631D7">
            <w:pPr>
              <w:pStyle w:val="wcpTableColHeaderSmall"/>
              <w:rPr>
                <w:b w:val="0"/>
                <w:lang w:val="en-AU"/>
              </w:rPr>
            </w:pPr>
            <w:r w:rsidRPr="00A847D3">
              <w:rPr>
                <w:b w:val="0"/>
                <w:lang w:val="en-AU"/>
              </w:rPr>
              <w:t>552/1471</w:t>
            </w:r>
          </w:p>
        </w:tc>
        <w:tc>
          <w:tcPr>
            <w:tcW w:w="1794" w:type="dxa"/>
            <w:shd w:val="clear" w:color="auto" w:fill="auto"/>
            <w:vAlign w:val="center"/>
          </w:tcPr>
          <w:p w14:paraId="37B31B56" w14:textId="77777777" w:rsidR="00F4364C" w:rsidRPr="00A847D3" w:rsidRDefault="00F4364C" w:rsidP="00B631D7">
            <w:pPr>
              <w:pStyle w:val="wcpTableColHeaderSmall"/>
              <w:rPr>
                <w:b w:val="0"/>
                <w:lang w:val="en-AU"/>
              </w:rPr>
            </w:pPr>
            <w:r w:rsidRPr="00A847D3">
              <w:rPr>
                <w:b w:val="0"/>
                <w:lang w:val="en-AU"/>
              </w:rPr>
              <w:t>37.5</w:t>
            </w:r>
          </w:p>
        </w:tc>
      </w:tr>
      <w:tr w:rsidR="00F4364C" w:rsidRPr="000F1E15" w14:paraId="13F1BC4B" w14:textId="77777777" w:rsidTr="00B631D7">
        <w:trPr>
          <w:trHeight w:val="452"/>
        </w:trPr>
        <w:tc>
          <w:tcPr>
            <w:tcW w:w="1794" w:type="dxa"/>
            <w:shd w:val="clear" w:color="auto" w:fill="auto"/>
            <w:vAlign w:val="center"/>
          </w:tcPr>
          <w:p w14:paraId="5CEDA281" w14:textId="77777777" w:rsidR="00F4364C" w:rsidRPr="000F1E15" w:rsidRDefault="00F4364C" w:rsidP="00B631D7">
            <w:pPr>
              <w:pStyle w:val="wcpTableColHeaderSmall"/>
              <w:rPr>
                <w:lang w:val="en-AU"/>
              </w:rPr>
            </w:pPr>
            <w:r w:rsidRPr="000F1E15">
              <w:rPr>
                <w:lang w:val="en-AU"/>
              </w:rPr>
              <w:t>Asthenia</w:t>
            </w:r>
          </w:p>
        </w:tc>
        <w:tc>
          <w:tcPr>
            <w:tcW w:w="1794" w:type="dxa"/>
            <w:shd w:val="clear" w:color="auto" w:fill="auto"/>
            <w:vAlign w:val="center"/>
          </w:tcPr>
          <w:p w14:paraId="23801059" w14:textId="77777777" w:rsidR="00F4364C" w:rsidRPr="00A847D3" w:rsidRDefault="00F4364C" w:rsidP="00B631D7">
            <w:pPr>
              <w:pStyle w:val="wcpTableColHeaderSmall"/>
              <w:rPr>
                <w:b w:val="0"/>
                <w:lang w:val="en-AU"/>
              </w:rPr>
            </w:pPr>
            <w:r w:rsidRPr="00A847D3">
              <w:rPr>
                <w:b w:val="0"/>
                <w:lang w:val="en-AU"/>
              </w:rPr>
              <w:t>1042/3047</w:t>
            </w:r>
          </w:p>
        </w:tc>
        <w:tc>
          <w:tcPr>
            <w:tcW w:w="1794" w:type="dxa"/>
            <w:shd w:val="clear" w:color="auto" w:fill="auto"/>
            <w:vAlign w:val="center"/>
          </w:tcPr>
          <w:p w14:paraId="02FFE5E0" w14:textId="77777777" w:rsidR="00F4364C" w:rsidRPr="00A847D3" w:rsidRDefault="00F4364C" w:rsidP="00B631D7">
            <w:pPr>
              <w:pStyle w:val="wcpTableColHeaderSmall"/>
              <w:rPr>
                <w:b w:val="0"/>
                <w:lang w:val="en-AU"/>
              </w:rPr>
            </w:pPr>
            <w:r w:rsidRPr="00A847D3">
              <w:rPr>
                <w:b w:val="0"/>
                <w:lang w:val="en-AU"/>
              </w:rPr>
              <w:t>34.2</w:t>
            </w:r>
          </w:p>
        </w:tc>
        <w:tc>
          <w:tcPr>
            <w:tcW w:w="1794" w:type="dxa"/>
            <w:shd w:val="clear" w:color="auto" w:fill="auto"/>
            <w:vAlign w:val="center"/>
          </w:tcPr>
          <w:p w14:paraId="2E22770D" w14:textId="77777777" w:rsidR="00F4364C" w:rsidRPr="00A847D3" w:rsidRDefault="00F4364C" w:rsidP="00B631D7">
            <w:pPr>
              <w:pStyle w:val="wcpTableColHeaderSmall"/>
              <w:rPr>
                <w:b w:val="0"/>
                <w:lang w:val="en-AU"/>
              </w:rPr>
            </w:pPr>
            <w:r w:rsidRPr="00A847D3">
              <w:rPr>
                <w:b w:val="0"/>
                <w:lang w:val="en-AU"/>
              </w:rPr>
              <w:t>460/1471</w:t>
            </w:r>
          </w:p>
        </w:tc>
        <w:tc>
          <w:tcPr>
            <w:tcW w:w="1794" w:type="dxa"/>
            <w:shd w:val="clear" w:color="auto" w:fill="auto"/>
            <w:vAlign w:val="center"/>
          </w:tcPr>
          <w:p w14:paraId="7B3DFBCC" w14:textId="77777777" w:rsidR="00F4364C" w:rsidRPr="00A847D3" w:rsidRDefault="00F4364C" w:rsidP="00B631D7">
            <w:pPr>
              <w:pStyle w:val="wcpTableColHeaderSmall"/>
              <w:rPr>
                <w:b w:val="0"/>
                <w:lang w:val="en-AU"/>
              </w:rPr>
            </w:pPr>
            <w:r w:rsidRPr="00A847D3">
              <w:rPr>
                <w:b w:val="0"/>
                <w:lang w:val="en-AU"/>
              </w:rPr>
              <w:t>31.3</w:t>
            </w:r>
          </w:p>
        </w:tc>
      </w:tr>
      <w:tr w:rsidR="00F4364C" w:rsidRPr="000F1E15" w14:paraId="03A19EB7" w14:textId="77777777" w:rsidTr="00B631D7">
        <w:trPr>
          <w:trHeight w:val="452"/>
        </w:trPr>
        <w:tc>
          <w:tcPr>
            <w:tcW w:w="1794" w:type="dxa"/>
            <w:shd w:val="clear" w:color="auto" w:fill="auto"/>
            <w:vAlign w:val="center"/>
          </w:tcPr>
          <w:p w14:paraId="3BD15466" w14:textId="77777777" w:rsidR="00F4364C" w:rsidRPr="000F1E15" w:rsidRDefault="00F4364C" w:rsidP="00B631D7">
            <w:pPr>
              <w:pStyle w:val="wcpTableColHeaderSmall"/>
              <w:rPr>
                <w:lang w:val="en-AU"/>
              </w:rPr>
            </w:pPr>
            <w:r w:rsidRPr="000F1E15">
              <w:rPr>
                <w:lang w:val="en-AU"/>
              </w:rPr>
              <w:t>Fever</w:t>
            </w:r>
          </w:p>
        </w:tc>
        <w:tc>
          <w:tcPr>
            <w:tcW w:w="1794" w:type="dxa"/>
            <w:shd w:val="clear" w:color="auto" w:fill="auto"/>
            <w:vAlign w:val="center"/>
          </w:tcPr>
          <w:p w14:paraId="689FAE02" w14:textId="77777777" w:rsidR="00F4364C" w:rsidRPr="00A847D3" w:rsidRDefault="00F4364C" w:rsidP="00B631D7">
            <w:pPr>
              <w:pStyle w:val="wcpTableColHeaderSmall"/>
              <w:rPr>
                <w:b w:val="0"/>
                <w:lang w:val="en-AU"/>
              </w:rPr>
            </w:pPr>
            <w:r w:rsidRPr="00A847D3">
              <w:rPr>
                <w:b w:val="0"/>
                <w:lang w:val="en-AU"/>
              </w:rPr>
              <w:t>500/3040</w:t>
            </w:r>
          </w:p>
        </w:tc>
        <w:tc>
          <w:tcPr>
            <w:tcW w:w="1794" w:type="dxa"/>
            <w:shd w:val="clear" w:color="auto" w:fill="auto"/>
            <w:vAlign w:val="center"/>
          </w:tcPr>
          <w:p w14:paraId="50E38494" w14:textId="77777777" w:rsidR="00F4364C" w:rsidRPr="00A847D3" w:rsidRDefault="00F4364C" w:rsidP="00B631D7">
            <w:pPr>
              <w:pStyle w:val="wcpTableColHeaderSmall"/>
              <w:rPr>
                <w:b w:val="0"/>
                <w:lang w:val="en-AU"/>
              </w:rPr>
            </w:pPr>
            <w:r w:rsidRPr="00A847D3">
              <w:rPr>
                <w:b w:val="0"/>
                <w:lang w:val="en-AU"/>
              </w:rPr>
              <w:t>16.4</w:t>
            </w:r>
          </w:p>
        </w:tc>
        <w:tc>
          <w:tcPr>
            <w:tcW w:w="1794" w:type="dxa"/>
            <w:shd w:val="clear" w:color="auto" w:fill="auto"/>
            <w:vAlign w:val="center"/>
          </w:tcPr>
          <w:p w14:paraId="4361F34A" w14:textId="77777777" w:rsidR="00F4364C" w:rsidRPr="00A847D3" w:rsidRDefault="00F4364C" w:rsidP="00B631D7">
            <w:pPr>
              <w:pStyle w:val="wcpTableColHeaderSmall"/>
              <w:rPr>
                <w:b w:val="0"/>
                <w:lang w:val="en-AU"/>
              </w:rPr>
            </w:pPr>
            <w:r w:rsidRPr="00A847D3">
              <w:rPr>
                <w:b w:val="0"/>
                <w:lang w:val="en-AU"/>
              </w:rPr>
              <w:t>228/1465</w:t>
            </w:r>
          </w:p>
        </w:tc>
        <w:tc>
          <w:tcPr>
            <w:tcW w:w="1794" w:type="dxa"/>
            <w:shd w:val="clear" w:color="auto" w:fill="auto"/>
            <w:vAlign w:val="center"/>
          </w:tcPr>
          <w:p w14:paraId="1FBF2957" w14:textId="77777777" w:rsidR="00F4364C" w:rsidRPr="00A847D3" w:rsidRDefault="00F4364C" w:rsidP="00B631D7">
            <w:pPr>
              <w:pStyle w:val="wcpTableColHeaderSmall"/>
              <w:rPr>
                <w:b w:val="0"/>
                <w:lang w:val="en-AU"/>
              </w:rPr>
            </w:pPr>
            <w:r w:rsidRPr="00A847D3">
              <w:rPr>
                <w:b w:val="0"/>
                <w:lang w:val="en-AU"/>
              </w:rPr>
              <w:t>15.6</w:t>
            </w:r>
          </w:p>
        </w:tc>
      </w:tr>
      <w:tr w:rsidR="00F4364C" w:rsidRPr="000F1E15" w14:paraId="16D68F3D" w14:textId="77777777" w:rsidTr="00B631D7">
        <w:trPr>
          <w:trHeight w:val="658"/>
        </w:trPr>
        <w:tc>
          <w:tcPr>
            <w:tcW w:w="1794" w:type="dxa"/>
            <w:shd w:val="clear" w:color="auto" w:fill="auto"/>
            <w:vAlign w:val="center"/>
          </w:tcPr>
          <w:p w14:paraId="6A52771E" w14:textId="77777777" w:rsidR="00F4364C" w:rsidRPr="000F1E15" w:rsidRDefault="00F4364C" w:rsidP="00B631D7">
            <w:pPr>
              <w:pStyle w:val="wcpTableColHeaderSmall"/>
              <w:rPr>
                <w:lang w:val="en-AU"/>
              </w:rPr>
            </w:pPr>
            <w:r w:rsidRPr="000F1E15">
              <w:rPr>
                <w:lang w:val="en-AU"/>
              </w:rPr>
              <w:t>Injection site Erythema</w:t>
            </w:r>
          </w:p>
        </w:tc>
        <w:tc>
          <w:tcPr>
            <w:tcW w:w="1794" w:type="dxa"/>
            <w:shd w:val="clear" w:color="auto" w:fill="auto"/>
            <w:vAlign w:val="center"/>
          </w:tcPr>
          <w:p w14:paraId="78B0B347" w14:textId="77777777" w:rsidR="00F4364C" w:rsidRPr="00A847D3" w:rsidRDefault="00F4364C" w:rsidP="00B631D7">
            <w:pPr>
              <w:pStyle w:val="wcpTableColHeaderSmall"/>
              <w:rPr>
                <w:b w:val="0"/>
                <w:lang w:val="en-AU"/>
              </w:rPr>
            </w:pPr>
            <w:r w:rsidRPr="00A847D3">
              <w:rPr>
                <w:b w:val="0"/>
                <w:lang w:val="en-AU"/>
              </w:rPr>
              <w:t>255/3049</w:t>
            </w:r>
          </w:p>
        </w:tc>
        <w:tc>
          <w:tcPr>
            <w:tcW w:w="1794" w:type="dxa"/>
            <w:shd w:val="clear" w:color="auto" w:fill="auto"/>
            <w:vAlign w:val="center"/>
          </w:tcPr>
          <w:p w14:paraId="2DDAB4E3" w14:textId="77777777" w:rsidR="00F4364C" w:rsidRPr="00A847D3" w:rsidRDefault="00F4364C" w:rsidP="00B631D7">
            <w:pPr>
              <w:pStyle w:val="wcpTableColHeaderSmall"/>
              <w:rPr>
                <w:b w:val="0"/>
                <w:lang w:val="en-AU"/>
              </w:rPr>
            </w:pPr>
            <w:r w:rsidRPr="00A847D3">
              <w:rPr>
                <w:b w:val="0"/>
                <w:lang w:val="en-AU"/>
              </w:rPr>
              <w:t>8.4</w:t>
            </w:r>
          </w:p>
        </w:tc>
        <w:tc>
          <w:tcPr>
            <w:tcW w:w="1794" w:type="dxa"/>
            <w:shd w:val="clear" w:color="auto" w:fill="auto"/>
            <w:vAlign w:val="center"/>
          </w:tcPr>
          <w:p w14:paraId="3A5A3950" w14:textId="77777777" w:rsidR="00F4364C" w:rsidRPr="00A847D3" w:rsidRDefault="00F4364C" w:rsidP="00B631D7">
            <w:pPr>
              <w:pStyle w:val="wcpTableColHeaderSmall"/>
              <w:rPr>
                <w:b w:val="0"/>
                <w:lang w:val="en-AU"/>
              </w:rPr>
            </w:pPr>
            <w:r w:rsidRPr="00A847D3">
              <w:rPr>
                <w:b w:val="0"/>
                <w:lang w:val="en-AU"/>
              </w:rPr>
              <w:t>110/1470</w:t>
            </w:r>
          </w:p>
        </w:tc>
        <w:tc>
          <w:tcPr>
            <w:tcW w:w="1794" w:type="dxa"/>
            <w:shd w:val="clear" w:color="auto" w:fill="auto"/>
            <w:vAlign w:val="center"/>
          </w:tcPr>
          <w:p w14:paraId="32558B87" w14:textId="77777777" w:rsidR="00F4364C" w:rsidRPr="00A847D3" w:rsidRDefault="00F4364C" w:rsidP="00B631D7">
            <w:pPr>
              <w:pStyle w:val="wcpTableColHeaderSmall"/>
              <w:rPr>
                <w:b w:val="0"/>
                <w:lang w:val="en-AU"/>
              </w:rPr>
            </w:pPr>
            <w:r w:rsidRPr="00A847D3">
              <w:rPr>
                <w:b w:val="0"/>
                <w:lang w:val="en-AU"/>
              </w:rPr>
              <w:t>7.5</w:t>
            </w:r>
          </w:p>
        </w:tc>
      </w:tr>
      <w:tr w:rsidR="00F4364C" w:rsidRPr="000F1E15" w14:paraId="5C528FBD" w14:textId="77777777" w:rsidTr="00B631D7">
        <w:trPr>
          <w:trHeight w:val="668"/>
        </w:trPr>
        <w:tc>
          <w:tcPr>
            <w:tcW w:w="1794" w:type="dxa"/>
            <w:shd w:val="clear" w:color="auto" w:fill="auto"/>
            <w:vAlign w:val="center"/>
          </w:tcPr>
          <w:p w14:paraId="4041DECB" w14:textId="77777777" w:rsidR="00F4364C" w:rsidRPr="000F1E15" w:rsidRDefault="00F4364C" w:rsidP="00B631D7">
            <w:pPr>
              <w:pStyle w:val="wcpTableColHeaderSmall"/>
              <w:rPr>
                <w:lang w:val="en-AU"/>
              </w:rPr>
            </w:pPr>
            <w:r w:rsidRPr="000F1E15">
              <w:rPr>
                <w:lang w:val="en-AU"/>
              </w:rPr>
              <w:t>Injection site swelling</w:t>
            </w:r>
          </w:p>
        </w:tc>
        <w:tc>
          <w:tcPr>
            <w:tcW w:w="1794" w:type="dxa"/>
            <w:shd w:val="clear" w:color="auto" w:fill="auto"/>
            <w:vAlign w:val="center"/>
          </w:tcPr>
          <w:p w14:paraId="3A0CDE19" w14:textId="77777777" w:rsidR="00F4364C" w:rsidRPr="00A847D3" w:rsidRDefault="00F4364C" w:rsidP="00B631D7">
            <w:pPr>
              <w:pStyle w:val="wcpTableColHeaderSmall"/>
              <w:rPr>
                <w:b w:val="0"/>
                <w:lang w:val="en-AU"/>
              </w:rPr>
            </w:pPr>
            <w:r w:rsidRPr="00A847D3">
              <w:rPr>
                <w:b w:val="0"/>
                <w:lang w:val="en-AU"/>
              </w:rPr>
              <w:t>209/3050</w:t>
            </w:r>
          </w:p>
        </w:tc>
        <w:tc>
          <w:tcPr>
            <w:tcW w:w="1794" w:type="dxa"/>
            <w:shd w:val="clear" w:color="auto" w:fill="auto"/>
            <w:vAlign w:val="center"/>
          </w:tcPr>
          <w:p w14:paraId="1AB14272" w14:textId="77777777" w:rsidR="00F4364C" w:rsidRPr="00A847D3" w:rsidRDefault="00F4364C" w:rsidP="00B631D7">
            <w:pPr>
              <w:pStyle w:val="wcpTableColHeaderSmall"/>
              <w:rPr>
                <w:b w:val="0"/>
                <w:lang w:val="en-AU"/>
              </w:rPr>
            </w:pPr>
            <w:r w:rsidRPr="00A847D3">
              <w:rPr>
                <w:b w:val="0"/>
                <w:lang w:val="en-AU"/>
              </w:rPr>
              <w:t>6.9</w:t>
            </w:r>
          </w:p>
        </w:tc>
        <w:tc>
          <w:tcPr>
            <w:tcW w:w="1794" w:type="dxa"/>
            <w:shd w:val="clear" w:color="auto" w:fill="auto"/>
            <w:vAlign w:val="center"/>
          </w:tcPr>
          <w:p w14:paraId="1D4ECF55" w14:textId="77777777" w:rsidR="00F4364C" w:rsidRPr="00A847D3" w:rsidRDefault="00F4364C" w:rsidP="00B631D7">
            <w:pPr>
              <w:pStyle w:val="wcpTableColHeaderSmall"/>
              <w:rPr>
                <w:b w:val="0"/>
                <w:lang w:val="en-AU"/>
              </w:rPr>
            </w:pPr>
            <w:r w:rsidRPr="00A847D3">
              <w:rPr>
                <w:b w:val="0"/>
                <w:lang w:val="en-AU"/>
              </w:rPr>
              <w:t>75/1470</w:t>
            </w:r>
          </w:p>
        </w:tc>
        <w:tc>
          <w:tcPr>
            <w:tcW w:w="1794" w:type="dxa"/>
            <w:shd w:val="clear" w:color="auto" w:fill="auto"/>
            <w:vAlign w:val="center"/>
          </w:tcPr>
          <w:p w14:paraId="7374A107" w14:textId="77777777" w:rsidR="00F4364C" w:rsidRPr="00A847D3" w:rsidRDefault="00F4364C" w:rsidP="00B631D7">
            <w:pPr>
              <w:pStyle w:val="wcpTableColHeaderSmall"/>
              <w:rPr>
                <w:b w:val="0"/>
                <w:lang w:val="en-AU"/>
              </w:rPr>
            </w:pPr>
            <w:r w:rsidRPr="00A847D3">
              <w:rPr>
                <w:b w:val="0"/>
                <w:lang w:val="en-AU"/>
              </w:rPr>
              <w:t>5.1</w:t>
            </w:r>
          </w:p>
        </w:tc>
      </w:tr>
    </w:tbl>
    <w:p w14:paraId="66612BC9" w14:textId="77777777" w:rsidR="00F4364C" w:rsidRPr="000F1E15" w:rsidRDefault="00F4364C" w:rsidP="00F4364C">
      <w:pPr>
        <w:spacing w:before="0"/>
        <w:rPr>
          <w:color w:val="auto"/>
          <w:sz w:val="20"/>
          <w:szCs w:val="20"/>
        </w:rPr>
      </w:pPr>
      <w:proofErr w:type="gramStart"/>
      <w:r w:rsidRPr="000F1E15">
        <w:rPr>
          <w:rFonts w:eastAsia="Calibri"/>
          <w:color w:val="auto"/>
          <w:sz w:val="20"/>
          <w:szCs w:val="20"/>
        </w:rPr>
        <w:t>n</w:t>
      </w:r>
      <w:proofErr w:type="gramEnd"/>
      <w:r w:rsidRPr="000F1E15">
        <w:rPr>
          <w:rFonts w:eastAsia="Calibri"/>
          <w:color w:val="auto"/>
          <w:sz w:val="20"/>
          <w:szCs w:val="20"/>
        </w:rPr>
        <w:t>: number of subjects experiencing the endpoint</w:t>
      </w:r>
    </w:p>
    <w:p w14:paraId="38D9ADF7" w14:textId="77777777" w:rsidR="00F4364C" w:rsidRPr="000F1E15" w:rsidRDefault="00F4364C" w:rsidP="00F4364C">
      <w:pPr>
        <w:spacing w:before="0"/>
        <w:rPr>
          <w:rFonts w:eastAsia="Calibri"/>
          <w:color w:val="auto"/>
          <w:sz w:val="20"/>
          <w:szCs w:val="20"/>
        </w:rPr>
      </w:pPr>
      <w:r w:rsidRPr="000F1E15">
        <w:rPr>
          <w:rFonts w:eastAsia="Calibri"/>
          <w:color w:val="auto"/>
          <w:sz w:val="20"/>
          <w:szCs w:val="20"/>
        </w:rPr>
        <w:t>M: number of subjects with available data for the relevant endpoint/ solicited adverse events reported within 7 days for injection site reactions and within 14 days for systemic reactions</w:t>
      </w:r>
    </w:p>
    <w:p w14:paraId="11F39E72" w14:textId="77777777" w:rsidR="00F4364C" w:rsidRPr="000F1E15" w:rsidRDefault="00F4364C" w:rsidP="00F4364C">
      <w:pPr>
        <w:spacing w:before="0"/>
        <w:rPr>
          <w:color w:val="auto"/>
          <w:sz w:val="20"/>
          <w:szCs w:val="20"/>
        </w:rPr>
      </w:pPr>
      <w:r w:rsidRPr="000F1E15">
        <w:rPr>
          <w:rFonts w:eastAsia="Calibri"/>
          <w:color w:val="auto"/>
          <w:sz w:val="20"/>
          <w:szCs w:val="20"/>
        </w:rPr>
        <w:t>Injection site haematoma and pruritus were reported in subjects 9 through 17 years of age with a frequency uncommon</w:t>
      </w:r>
    </w:p>
    <w:p w14:paraId="4A123A5B" w14:textId="77777777" w:rsidR="00F4364C" w:rsidRPr="000F1E15" w:rsidRDefault="00F4364C" w:rsidP="00F4364C">
      <w:pPr>
        <w:rPr>
          <w:color w:val="auto"/>
          <w:lang w:val="en-AU"/>
        </w:rPr>
      </w:pPr>
      <w:r w:rsidRPr="000F1E15">
        <w:rPr>
          <w:color w:val="auto"/>
          <w:lang w:val="en-AU"/>
        </w:rPr>
        <w:t>The following ARs were reported during clinical studies in subjects 9 through 60 years of age within 28 days after injection of Dengvaxia with a frequency uncommon:</w:t>
      </w:r>
    </w:p>
    <w:p w14:paraId="38557EB7" w14:textId="77777777" w:rsidR="00F4364C" w:rsidRPr="000F1E15" w:rsidRDefault="00F4364C" w:rsidP="00F4364C">
      <w:pPr>
        <w:rPr>
          <w:color w:val="auto"/>
          <w:lang w:val="en-AU"/>
        </w:rPr>
      </w:pPr>
      <w:r w:rsidRPr="000F1E15">
        <w:rPr>
          <w:color w:val="auto"/>
          <w:lang w:val="en-AU"/>
        </w:rPr>
        <w:t>Infections and infestations:</w:t>
      </w:r>
    </w:p>
    <w:p w14:paraId="42EAFB29" w14:textId="77777777" w:rsidR="00F4364C" w:rsidRPr="000F1E15" w:rsidRDefault="00F4364C" w:rsidP="00F4364C">
      <w:pPr>
        <w:numPr>
          <w:ilvl w:val="0"/>
          <w:numId w:val="30"/>
        </w:numPr>
        <w:rPr>
          <w:color w:val="auto"/>
          <w:lang w:val="en-AU"/>
        </w:rPr>
      </w:pPr>
      <w:r w:rsidRPr="000F1E15">
        <w:rPr>
          <w:color w:val="auto"/>
          <w:lang w:val="en-AU"/>
        </w:rPr>
        <w:t>Upper respiratory tract infection</w:t>
      </w:r>
    </w:p>
    <w:p w14:paraId="4BB23513" w14:textId="77777777" w:rsidR="00F4364C" w:rsidRPr="000F1E15" w:rsidRDefault="00F4364C" w:rsidP="00F4364C">
      <w:pPr>
        <w:rPr>
          <w:color w:val="auto"/>
          <w:lang w:val="en-AU"/>
        </w:rPr>
      </w:pPr>
      <w:r w:rsidRPr="000F1E15">
        <w:rPr>
          <w:color w:val="auto"/>
          <w:lang w:val="en-AU"/>
        </w:rPr>
        <w:t>Blood and lymphatic tissue disorders:</w:t>
      </w:r>
    </w:p>
    <w:p w14:paraId="0EAB0A4C" w14:textId="77777777" w:rsidR="00F4364C" w:rsidRPr="000F1E15" w:rsidRDefault="00F4364C" w:rsidP="00F4364C">
      <w:pPr>
        <w:numPr>
          <w:ilvl w:val="0"/>
          <w:numId w:val="30"/>
        </w:numPr>
        <w:rPr>
          <w:color w:val="auto"/>
          <w:lang w:val="en-AU"/>
        </w:rPr>
      </w:pPr>
      <w:r w:rsidRPr="000F1E15">
        <w:rPr>
          <w:color w:val="auto"/>
          <w:lang w:val="en-AU"/>
        </w:rPr>
        <w:t>Lymphadenopathy</w:t>
      </w:r>
    </w:p>
    <w:p w14:paraId="52B6CAC4" w14:textId="77777777" w:rsidR="00F4364C" w:rsidRPr="000F1E15" w:rsidRDefault="00F4364C" w:rsidP="00F4364C">
      <w:pPr>
        <w:rPr>
          <w:color w:val="auto"/>
          <w:lang w:val="en-AU"/>
        </w:rPr>
      </w:pPr>
      <w:r w:rsidRPr="000F1E15">
        <w:rPr>
          <w:color w:val="auto"/>
          <w:lang w:val="en-AU"/>
        </w:rPr>
        <w:t>Nervous system disorders:</w:t>
      </w:r>
    </w:p>
    <w:p w14:paraId="498DB425" w14:textId="77777777" w:rsidR="00F4364C" w:rsidRPr="000F1E15" w:rsidRDefault="00F4364C" w:rsidP="00F4364C">
      <w:pPr>
        <w:numPr>
          <w:ilvl w:val="0"/>
          <w:numId w:val="30"/>
        </w:numPr>
        <w:rPr>
          <w:color w:val="auto"/>
          <w:lang w:val="en-AU"/>
        </w:rPr>
      </w:pPr>
      <w:r w:rsidRPr="000F1E15">
        <w:rPr>
          <w:color w:val="auto"/>
          <w:lang w:val="en-AU"/>
        </w:rPr>
        <w:t>Dizziness, migraine</w:t>
      </w:r>
    </w:p>
    <w:p w14:paraId="5C44BB58" w14:textId="77777777" w:rsidR="00F4364C" w:rsidRPr="000F1E15" w:rsidRDefault="00F4364C" w:rsidP="00F4364C">
      <w:pPr>
        <w:rPr>
          <w:color w:val="auto"/>
          <w:lang w:val="en-AU"/>
        </w:rPr>
      </w:pPr>
      <w:r w:rsidRPr="000F1E15">
        <w:rPr>
          <w:color w:val="auto"/>
          <w:lang w:val="en-AU"/>
        </w:rPr>
        <w:t>Respiratory, thoracic and mediastinal disorders:</w:t>
      </w:r>
    </w:p>
    <w:p w14:paraId="53D3F8E2" w14:textId="77777777" w:rsidR="00F4364C" w:rsidRPr="000F1E15" w:rsidRDefault="00F4364C" w:rsidP="00F4364C">
      <w:pPr>
        <w:numPr>
          <w:ilvl w:val="0"/>
          <w:numId w:val="30"/>
        </w:numPr>
        <w:rPr>
          <w:color w:val="auto"/>
          <w:lang w:val="en-AU"/>
        </w:rPr>
      </w:pPr>
      <w:r w:rsidRPr="000F1E15">
        <w:rPr>
          <w:color w:val="auto"/>
          <w:lang w:val="en-AU"/>
        </w:rPr>
        <w:t>Oropharyngeal pain, cough, rhinorrhoea</w:t>
      </w:r>
    </w:p>
    <w:p w14:paraId="05FFCEBF" w14:textId="77777777" w:rsidR="00F4364C" w:rsidRPr="000F1E15" w:rsidRDefault="00F4364C" w:rsidP="00F4364C">
      <w:pPr>
        <w:rPr>
          <w:color w:val="auto"/>
          <w:lang w:val="en-AU"/>
        </w:rPr>
      </w:pPr>
      <w:r w:rsidRPr="000F1E15">
        <w:rPr>
          <w:color w:val="auto"/>
          <w:lang w:val="en-AU"/>
        </w:rPr>
        <w:t>Gastrointestinal disorders:</w:t>
      </w:r>
    </w:p>
    <w:p w14:paraId="41AB244B" w14:textId="77777777" w:rsidR="00F4364C" w:rsidRPr="000F1E15" w:rsidRDefault="00F4364C" w:rsidP="00F4364C">
      <w:pPr>
        <w:numPr>
          <w:ilvl w:val="0"/>
          <w:numId w:val="30"/>
        </w:numPr>
        <w:rPr>
          <w:color w:val="auto"/>
          <w:lang w:val="en-AU"/>
        </w:rPr>
      </w:pPr>
      <w:r w:rsidRPr="000F1E15">
        <w:rPr>
          <w:color w:val="auto"/>
          <w:lang w:val="en-AU"/>
        </w:rPr>
        <w:t>Nausea</w:t>
      </w:r>
    </w:p>
    <w:p w14:paraId="5D9C1FD8" w14:textId="77777777" w:rsidR="00F4364C" w:rsidRPr="000F1E15" w:rsidRDefault="00F4364C" w:rsidP="00F4364C">
      <w:pPr>
        <w:rPr>
          <w:color w:val="auto"/>
          <w:lang w:val="en-AU"/>
        </w:rPr>
      </w:pPr>
      <w:r w:rsidRPr="000F1E15">
        <w:rPr>
          <w:color w:val="auto"/>
          <w:lang w:val="en-AU"/>
        </w:rPr>
        <w:lastRenderedPageBreak/>
        <w:t>Skin and subcutaneous tissue disorders:</w:t>
      </w:r>
    </w:p>
    <w:p w14:paraId="497E9010" w14:textId="77777777" w:rsidR="00F4364C" w:rsidRPr="000F1E15" w:rsidRDefault="00F4364C" w:rsidP="00F4364C">
      <w:pPr>
        <w:numPr>
          <w:ilvl w:val="0"/>
          <w:numId w:val="30"/>
        </w:numPr>
        <w:rPr>
          <w:color w:val="auto"/>
          <w:lang w:val="en-AU"/>
        </w:rPr>
      </w:pPr>
      <w:r w:rsidRPr="000F1E15">
        <w:rPr>
          <w:color w:val="auto"/>
          <w:lang w:val="en-AU"/>
        </w:rPr>
        <w:t>Rash, urticaria</w:t>
      </w:r>
    </w:p>
    <w:p w14:paraId="1769938D" w14:textId="77777777" w:rsidR="00F4364C" w:rsidRPr="000F1E15" w:rsidRDefault="00F4364C" w:rsidP="00F4364C">
      <w:pPr>
        <w:rPr>
          <w:color w:val="auto"/>
          <w:lang w:val="en-AU"/>
        </w:rPr>
      </w:pPr>
      <w:r w:rsidRPr="000F1E15">
        <w:rPr>
          <w:color w:val="auto"/>
          <w:lang w:val="en-AU"/>
        </w:rPr>
        <w:t>Musculoskeletal and connective tissue disorders:</w:t>
      </w:r>
    </w:p>
    <w:p w14:paraId="484E449D" w14:textId="77777777" w:rsidR="00F4364C" w:rsidRPr="000F1E15" w:rsidRDefault="00F4364C" w:rsidP="00F4364C">
      <w:pPr>
        <w:numPr>
          <w:ilvl w:val="0"/>
          <w:numId w:val="30"/>
        </w:numPr>
        <w:rPr>
          <w:color w:val="auto"/>
          <w:lang w:val="en-AU"/>
        </w:rPr>
      </w:pPr>
      <w:r w:rsidRPr="000F1E15">
        <w:rPr>
          <w:color w:val="auto"/>
          <w:lang w:val="en-AU"/>
        </w:rPr>
        <w:t>Neck pain, arthralgia</w:t>
      </w:r>
    </w:p>
    <w:p w14:paraId="7DAB244E" w14:textId="77777777" w:rsidR="00F4364C" w:rsidRPr="000F1E15" w:rsidRDefault="00F4364C" w:rsidP="00F4364C">
      <w:pPr>
        <w:rPr>
          <w:color w:val="auto"/>
          <w:lang w:val="en-AU"/>
        </w:rPr>
      </w:pPr>
      <w:r w:rsidRPr="000F1E15">
        <w:rPr>
          <w:color w:val="auto"/>
          <w:lang w:val="en-AU"/>
        </w:rPr>
        <w:t>General disorders and administration site conditions:</w:t>
      </w:r>
    </w:p>
    <w:p w14:paraId="299CCC68" w14:textId="77777777" w:rsidR="00F4364C" w:rsidRPr="000F1E15" w:rsidRDefault="00F4364C" w:rsidP="00F4364C">
      <w:pPr>
        <w:numPr>
          <w:ilvl w:val="0"/>
          <w:numId w:val="30"/>
        </w:numPr>
        <w:rPr>
          <w:color w:val="auto"/>
          <w:lang w:val="en-AU"/>
        </w:rPr>
      </w:pPr>
      <w:r w:rsidRPr="000F1E15">
        <w:rPr>
          <w:color w:val="auto"/>
          <w:lang w:val="en-AU"/>
        </w:rPr>
        <w:t xml:space="preserve">Injection site induration, influenza-like illness </w:t>
      </w:r>
    </w:p>
    <w:p w14:paraId="7F5A8639" w14:textId="77777777" w:rsidR="00F4364C" w:rsidRPr="000A7E00" w:rsidRDefault="00F4364C" w:rsidP="00F4364C">
      <w:pPr>
        <w:rPr>
          <w:lang w:val="en-AU"/>
        </w:rPr>
      </w:pPr>
      <w:r w:rsidRPr="000F1E15">
        <w:rPr>
          <w:color w:val="auto"/>
          <w:lang w:val="en-AU"/>
        </w:rPr>
        <w:t>Few of these uncommon ARs were observed with the follow</w:t>
      </w:r>
      <w:r w:rsidRPr="000A7E00">
        <w:rPr>
          <w:lang w:val="en-AU"/>
        </w:rPr>
        <w:t>ing age-group specificities:</w:t>
      </w:r>
    </w:p>
    <w:p w14:paraId="4EDC2DBF" w14:textId="77777777" w:rsidR="00F4364C" w:rsidRPr="000A7E00" w:rsidRDefault="00F4364C" w:rsidP="00F4364C">
      <w:pPr>
        <w:pStyle w:val="ListBulletLevel1"/>
        <w:numPr>
          <w:ilvl w:val="0"/>
          <w:numId w:val="29"/>
        </w:numPr>
        <w:rPr>
          <w:lang w:val="en-AU"/>
        </w:rPr>
      </w:pPr>
      <w:r w:rsidRPr="000A7E00">
        <w:rPr>
          <w:lang w:val="en-AU"/>
        </w:rPr>
        <w:t>Lymphadenopathy, migraine, arthralgia and influenza-like illness were only reported in subjects 18 through 60 years of age;</w:t>
      </w:r>
    </w:p>
    <w:p w14:paraId="6FD3C7BC" w14:textId="77777777" w:rsidR="00F4364C" w:rsidRPr="000A7E00" w:rsidRDefault="00F4364C" w:rsidP="00F4364C">
      <w:pPr>
        <w:pStyle w:val="ListBulletLevel1"/>
        <w:numPr>
          <w:ilvl w:val="0"/>
          <w:numId w:val="29"/>
        </w:numPr>
        <w:rPr>
          <w:lang w:val="en-AU"/>
        </w:rPr>
      </w:pPr>
      <w:r w:rsidRPr="000A7E00">
        <w:rPr>
          <w:lang w:val="en-AU"/>
        </w:rPr>
        <w:t>Urticaria was only reported in subjects 9 through 17 years of age;</w:t>
      </w:r>
    </w:p>
    <w:p w14:paraId="2AA25ED9" w14:textId="77777777" w:rsidR="00F4364C" w:rsidRPr="000A7E00" w:rsidRDefault="00F4364C" w:rsidP="00F4364C">
      <w:pPr>
        <w:pStyle w:val="ListBulletLevel1"/>
        <w:numPr>
          <w:ilvl w:val="0"/>
          <w:numId w:val="29"/>
        </w:numPr>
        <w:rPr>
          <w:lang w:val="en-AU"/>
        </w:rPr>
      </w:pPr>
      <w:r w:rsidRPr="000A7E00">
        <w:rPr>
          <w:lang w:val="en-AU"/>
        </w:rPr>
        <w:t>Upper respiratory tract infection, dizziness, oropharyngeal pain, cough, rhinorrhoea, nausea, rash and neck pain were less frequently reported in subjects 9 through 17 years of age (frequency: rare or very rare, i.e., with a frequency &lt; 0.1%).</w:t>
      </w:r>
    </w:p>
    <w:p w14:paraId="38E0E42E" w14:textId="390E39ED" w:rsidR="00BA3C35" w:rsidRPr="0083040A" w:rsidRDefault="00BA3C35" w:rsidP="0083040A">
      <w:pPr>
        <w:pStyle w:val="Heading4"/>
        <w:numPr>
          <w:ilvl w:val="0"/>
          <w:numId w:val="0"/>
        </w:numPr>
        <w:ind w:left="862" w:hanging="862"/>
      </w:pPr>
      <w:bookmarkStart w:id="12" w:name="_Hlk501007605"/>
      <w:proofErr w:type="spellStart"/>
      <w:r w:rsidRPr="0083040A">
        <w:t>Hospitalised</w:t>
      </w:r>
      <w:proofErr w:type="spellEnd"/>
      <w:r w:rsidRPr="0083040A">
        <w:t xml:space="preserve"> and/or clinically severe dengue fever in long-term safety follow-up data</w:t>
      </w:r>
    </w:p>
    <w:bookmarkEnd w:id="12"/>
    <w:p w14:paraId="5542FA47" w14:textId="2AA68CF4" w:rsidR="00BA3C35" w:rsidRPr="0083040A" w:rsidRDefault="00BA3C35" w:rsidP="0083040A">
      <w:r w:rsidRPr="0083040A">
        <w:t xml:space="preserve">In an exploratory analysis of up to 6 years of follow up from the first injection in three efficacy studies, an increased risk of hospitalisation for dengue including clinically severe dengue (predominantly Dengue Hemorrhagic Fever grade 1 or 2 [WHO 1997]) has been observed in vaccinees with no previous dengue infection. In subjects 9 years of age or older, it was estimated that during a 5 year follow-up about 5 additional </w:t>
      </w:r>
      <w:proofErr w:type="spellStart"/>
      <w:r w:rsidRPr="0083040A">
        <w:t>hospitalised</w:t>
      </w:r>
      <w:proofErr w:type="spellEnd"/>
      <w:r w:rsidRPr="0083040A">
        <w:t xml:space="preserve"> dengue cases or 2 additional severe dengue cases per 1000 vaccinees with no previous dengue infection could occur following vaccination. Estimates from the long-term analysis suggest the onset of increased risk was mainly during the 3rd year following the first injection.</w:t>
      </w:r>
    </w:p>
    <w:p w14:paraId="209C792C" w14:textId="4A8EFEFC" w:rsidR="00BA3C35" w:rsidRPr="0083040A" w:rsidRDefault="00BA3C35" w:rsidP="0083040A">
      <w:r w:rsidRPr="0083040A">
        <w:t xml:space="preserve">This increased risk was not observed in individuals who have been previously infected by dengue virus, where it was estimated that 15 </w:t>
      </w:r>
      <w:proofErr w:type="spellStart"/>
      <w:r w:rsidRPr="0083040A">
        <w:t>hospitalised</w:t>
      </w:r>
      <w:proofErr w:type="spellEnd"/>
      <w:r w:rsidRPr="0083040A">
        <w:t xml:space="preserve"> dengue cases or 4 severe dengue cases could be prevented per 1000 vaccinees with previous dengue infection during 5 years of follow up from the first injection.</w:t>
      </w:r>
    </w:p>
    <w:p w14:paraId="7EF03633" w14:textId="755E632C" w:rsidR="00F4364C" w:rsidRPr="00F60E93" w:rsidRDefault="00F4364C" w:rsidP="0083040A">
      <w:pPr>
        <w:pStyle w:val="Heading3"/>
        <w:numPr>
          <w:ilvl w:val="0"/>
          <w:numId w:val="0"/>
        </w:numPr>
        <w:ind w:left="680" w:hanging="680"/>
        <w:rPr>
          <w:lang w:val="en-AU"/>
        </w:rPr>
      </w:pPr>
      <w:r w:rsidRPr="00F60E93">
        <w:rPr>
          <w:lang w:val="en-AU"/>
        </w:rPr>
        <w:t>Adverse Reactions from Post-Marketing Surveillance</w:t>
      </w:r>
    </w:p>
    <w:p w14:paraId="605C4906" w14:textId="77777777" w:rsidR="00F4364C" w:rsidRPr="000F1E15" w:rsidRDefault="00F4364C" w:rsidP="00F4364C">
      <w:pPr>
        <w:rPr>
          <w:color w:val="auto"/>
        </w:rPr>
      </w:pPr>
      <w:r w:rsidRPr="000F1E15">
        <w:rPr>
          <w:color w:val="auto"/>
        </w:rPr>
        <w:t>Based on spontaneous reporting, the following additional adverse events have been reported after commercial use. These events have been very rarely reported, however exact incidence rates cannot be calculated precisely.</w:t>
      </w:r>
    </w:p>
    <w:p w14:paraId="4F6A46D1" w14:textId="77777777" w:rsidR="00F4364C" w:rsidRPr="000F1E15" w:rsidRDefault="00F4364C" w:rsidP="00F4364C">
      <w:pPr>
        <w:rPr>
          <w:color w:val="auto"/>
        </w:rPr>
      </w:pPr>
      <w:r w:rsidRPr="000F1E15">
        <w:rPr>
          <w:color w:val="auto"/>
        </w:rPr>
        <w:t xml:space="preserve">Immune system disorders </w:t>
      </w:r>
    </w:p>
    <w:p w14:paraId="3B2B9F63" w14:textId="77777777" w:rsidR="00F4364C" w:rsidRPr="000F1E15" w:rsidRDefault="00F4364C" w:rsidP="00F4364C">
      <w:pPr>
        <w:numPr>
          <w:ilvl w:val="0"/>
          <w:numId w:val="30"/>
        </w:numPr>
        <w:rPr>
          <w:strike/>
          <w:color w:val="auto"/>
          <w:lang w:val="en-AU"/>
        </w:rPr>
      </w:pPr>
      <w:r w:rsidRPr="000F1E15">
        <w:rPr>
          <w:color w:val="auto"/>
        </w:rPr>
        <w:t>Allergic including anaphylactic reactions</w:t>
      </w:r>
    </w:p>
    <w:p w14:paraId="138E5C2E" w14:textId="77777777" w:rsidR="00F4364C" w:rsidRPr="0083040A" w:rsidRDefault="00F4364C" w:rsidP="0083040A">
      <w:pPr>
        <w:pStyle w:val="Heading3"/>
        <w:numPr>
          <w:ilvl w:val="0"/>
          <w:numId w:val="0"/>
        </w:numPr>
        <w:ind w:left="680" w:hanging="680"/>
      </w:pPr>
      <w:r w:rsidRPr="0083040A">
        <w:lastRenderedPageBreak/>
        <w:t>Reporting suspected adverse reactions</w:t>
      </w:r>
    </w:p>
    <w:p w14:paraId="720FDBA2" w14:textId="0665DDAD" w:rsidR="009E4A3A" w:rsidRPr="0083040A" w:rsidRDefault="009E4A3A" w:rsidP="0083040A">
      <w:r w:rsidRPr="0083040A">
        <w:t xml:space="preserve">Reporting suspected adverse reactions after registration of the medicinal product is important. It allows continued monitoring of the benefit-risk balance of the medicinal product. Healthcare professionals are asked to report any suspected adverse reactions </w:t>
      </w:r>
      <w:proofErr w:type="gramStart"/>
      <w:r w:rsidRPr="0083040A">
        <w:t xml:space="preserve">at </w:t>
      </w:r>
      <w:r w:rsidR="00BA3C35" w:rsidRPr="0083040A">
        <w:t xml:space="preserve"> </w:t>
      </w:r>
      <w:proofErr w:type="gramEnd"/>
      <w:r w:rsidR="006B14BB">
        <w:fldChar w:fldCharType="begin"/>
      </w:r>
      <w:r w:rsidR="006B14BB">
        <w:instrText xml:space="preserve"> HYPERLINK "http://www.tga.gov.au/reporting-problems" </w:instrText>
      </w:r>
      <w:r w:rsidR="006B14BB">
        <w:fldChar w:fldCharType="separate"/>
      </w:r>
      <w:r w:rsidR="00BA3C35" w:rsidRPr="0083040A">
        <w:rPr>
          <w:rStyle w:val="Hyperlink"/>
        </w:rPr>
        <w:t>www.tga.gov.au/reporting-problems</w:t>
      </w:r>
      <w:r w:rsidR="006B14BB">
        <w:rPr>
          <w:rStyle w:val="Hyperlink"/>
        </w:rPr>
        <w:fldChar w:fldCharType="end"/>
      </w:r>
      <w:r w:rsidR="006655F9" w:rsidRPr="0083040A">
        <w:t>.</w:t>
      </w:r>
    </w:p>
    <w:p w14:paraId="6569CC63" w14:textId="77777777" w:rsidR="001A3992" w:rsidRPr="00717E34" w:rsidRDefault="001A3992" w:rsidP="00E52CA8">
      <w:pPr>
        <w:pStyle w:val="Heading2"/>
        <w:rPr>
          <w:lang w:val="en-AU"/>
        </w:rPr>
      </w:pPr>
      <w:r w:rsidRPr="00717E34">
        <w:rPr>
          <w:lang w:val="en-AU"/>
        </w:rPr>
        <w:t>Overdose</w:t>
      </w:r>
    </w:p>
    <w:p w14:paraId="26D2D998" w14:textId="77777777" w:rsidR="00F4364C" w:rsidRPr="00F4364C" w:rsidRDefault="00F4364C" w:rsidP="00F4364C">
      <w:r w:rsidRPr="00F4364C">
        <w:t xml:space="preserve">No cases of overdose have been reported in clinical studies with Dengvaxia. </w:t>
      </w:r>
    </w:p>
    <w:p w14:paraId="491BC37F" w14:textId="5C78ACD6" w:rsidR="00A62F6D" w:rsidRPr="00717E34" w:rsidRDefault="009E4A3A" w:rsidP="00024098">
      <w:pPr>
        <w:rPr>
          <w:lang w:val="en-AU"/>
        </w:rPr>
      </w:pPr>
      <w:r w:rsidRPr="00F4364C">
        <w:t>For general advice on overdose management, contact the Poisons Information Centre, telephone number 13 11 26 (Australia).</w:t>
      </w:r>
    </w:p>
    <w:p w14:paraId="4927CBEF" w14:textId="77777777" w:rsidR="001A3992" w:rsidRPr="00717E34" w:rsidRDefault="001A3992" w:rsidP="00F4364C">
      <w:pPr>
        <w:pStyle w:val="Heading1"/>
        <w:pageBreakBefore w:val="0"/>
        <w:rPr>
          <w:lang w:val="en-AU"/>
        </w:rPr>
      </w:pPr>
      <w:r w:rsidRPr="00717E34">
        <w:rPr>
          <w:lang w:val="en-AU"/>
        </w:rPr>
        <w:t>Pharmacological properties</w:t>
      </w:r>
    </w:p>
    <w:p w14:paraId="16C776C7" w14:textId="77777777" w:rsidR="001A3992" w:rsidRDefault="001A3992" w:rsidP="00E52CA8">
      <w:pPr>
        <w:pStyle w:val="Heading2"/>
        <w:rPr>
          <w:lang w:val="en-AU"/>
        </w:rPr>
      </w:pPr>
      <w:bookmarkStart w:id="13" w:name="_Ref500921272"/>
      <w:r w:rsidRPr="00717E34">
        <w:rPr>
          <w:lang w:val="en-AU"/>
        </w:rPr>
        <w:t>Pharmacodynamic properties</w:t>
      </w:r>
      <w:bookmarkEnd w:id="13"/>
    </w:p>
    <w:p w14:paraId="181E2A64" w14:textId="0044DDFF" w:rsidR="0069231B" w:rsidRPr="0083040A" w:rsidRDefault="0069231B" w:rsidP="0083040A">
      <w:r w:rsidRPr="0083040A">
        <w:t>ATC code: J07BX</w:t>
      </w:r>
    </w:p>
    <w:p w14:paraId="1EC82BCB" w14:textId="0013824C" w:rsidR="0069231B" w:rsidRPr="0083040A" w:rsidRDefault="0069231B" w:rsidP="0083040A">
      <w:r w:rsidRPr="0083040A">
        <w:t>J (ANTIINFECTIVES FOR SYSTEMIC USE) 07 (VACCINES) B (VIRAL VACCINES) X (Other viral vaccines)</w:t>
      </w:r>
    </w:p>
    <w:p w14:paraId="7B616837" w14:textId="77777777" w:rsidR="0024632F" w:rsidRDefault="0024632F" w:rsidP="00E04242">
      <w:pPr>
        <w:pStyle w:val="Heading3"/>
        <w:numPr>
          <w:ilvl w:val="0"/>
          <w:numId w:val="0"/>
        </w:numPr>
      </w:pPr>
      <w:r>
        <w:t>Mechanism of action</w:t>
      </w:r>
    </w:p>
    <w:p w14:paraId="62E7EF67" w14:textId="77777777" w:rsidR="00E04242" w:rsidRPr="00F60E93" w:rsidRDefault="00E04242" w:rsidP="00E04242">
      <w:pPr>
        <w:rPr>
          <w:lang w:val="en-AU"/>
        </w:rPr>
      </w:pPr>
      <w:r w:rsidRPr="00F60E93">
        <w:rPr>
          <w:lang w:val="en-AU"/>
        </w:rPr>
        <w:t>Dengvaxia contains live attenuated viruses. Following administration, the viruses replicate locally and elicit neutralising antibodies and cell-mediated immune responses against the four dengue virus serotypes.</w:t>
      </w:r>
    </w:p>
    <w:p w14:paraId="76D83222" w14:textId="77777777" w:rsidR="001A3992" w:rsidRDefault="001A3992" w:rsidP="00E04242">
      <w:pPr>
        <w:pStyle w:val="Heading3"/>
        <w:numPr>
          <w:ilvl w:val="0"/>
          <w:numId w:val="0"/>
        </w:numPr>
        <w:rPr>
          <w:lang w:val="en-AU"/>
        </w:rPr>
      </w:pPr>
      <w:r w:rsidRPr="00717E34">
        <w:rPr>
          <w:lang w:val="en-AU"/>
        </w:rPr>
        <w:t>Clinical trials</w:t>
      </w:r>
    </w:p>
    <w:p w14:paraId="5F083BE2" w14:textId="77777777" w:rsidR="00E04242" w:rsidRPr="001A2C91" w:rsidRDefault="00E04242" w:rsidP="00E04242">
      <w:pPr>
        <w:pStyle w:val="Heading4"/>
        <w:numPr>
          <w:ilvl w:val="0"/>
          <w:numId w:val="0"/>
        </w:numPr>
        <w:rPr>
          <w:lang w:val="en-AU"/>
        </w:rPr>
      </w:pPr>
      <w:r w:rsidRPr="001A2C91">
        <w:rPr>
          <w:lang w:val="en-AU"/>
        </w:rPr>
        <w:t>Immunogenicity</w:t>
      </w:r>
    </w:p>
    <w:p w14:paraId="59EE3EEB" w14:textId="77777777" w:rsidR="00E04242" w:rsidRPr="001A2C91" w:rsidRDefault="00E04242" w:rsidP="00E04242">
      <w:pPr>
        <w:rPr>
          <w:lang w:val="en-AU"/>
        </w:rPr>
      </w:pPr>
      <w:r w:rsidRPr="001A2C91">
        <w:rPr>
          <w:lang w:val="en-AU"/>
        </w:rPr>
        <w:t>The immunogenicity data presented correspond to the neutralising antibody titres for each serotype as measured with the plaque reduction neutralisation test (PRNT). The results are presented as geometric mean titres (GMTs), expressed in reciprocal dilutions (1/</w:t>
      </w:r>
      <w:proofErr w:type="spellStart"/>
      <w:r w:rsidRPr="001A2C91">
        <w:rPr>
          <w:lang w:val="en-AU"/>
        </w:rPr>
        <w:t>dil</w:t>
      </w:r>
      <w:proofErr w:type="spellEnd"/>
      <w:r w:rsidRPr="001A2C91">
        <w:rPr>
          <w:lang w:val="en-AU"/>
        </w:rPr>
        <w:t>), measured at baseline and 28 days after the third injection of Dengvaxia.</w:t>
      </w:r>
    </w:p>
    <w:p w14:paraId="23F093D7" w14:textId="77777777" w:rsidR="00E04242" w:rsidRPr="001A2C91" w:rsidRDefault="00E04242" w:rsidP="00E04242">
      <w:pPr>
        <w:rPr>
          <w:lang w:val="en-AU"/>
        </w:rPr>
      </w:pPr>
      <w:r w:rsidRPr="001A2C91">
        <w:rPr>
          <w:lang w:val="en-AU"/>
        </w:rPr>
        <w:t>During clinical development, immunogenicity data were collected in a total of approximately 5700 subjects 9 months through 60 years of age that received at least one injection of the vaccine.</w:t>
      </w:r>
    </w:p>
    <w:p w14:paraId="5F646A1B" w14:textId="77777777" w:rsidR="00E04242" w:rsidRPr="001A2C91" w:rsidRDefault="00E04242" w:rsidP="00E04242">
      <w:pPr>
        <w:rPr>
          <w:lang w:val="en-AU"/>
        </w:rPr>
      </w:pPr>
      <w:r w:rsidRPr="001A2C91">
        <w:rPr>
          <w:lang w:val="en-AU"/>
        </w:rPr>
        <w:t xml:space="preserve">Among these 5700 subjects, a total of approximately 3104 subjects 9 through 45 years of age from endemic areas received at least one injection </w:t>
      </w:r>
      <w:r w:rsidRPr="00911DF3">
        <w:rPr>
          <w:lang w:val="en-AU"/>
        </w:rPr>
        <w:t>of the final formulation of Dengvaxia according to the claimed vaccination schedule in 10</w:t>
      </w:r>
      <w:r w:rsidRPr="001A2C91">
        <w:rPr>
          <w:lang w:val="en-AU"/>
        </w:rPr>
        <w:t xml:space="preserve"> randomised, observer-blinded, placebo-</w:t>
      </w:r>
      <w:r w:rsidRPr="001A2C91">
        <w:rPr>
          <w:lang w:val="en-AU"/>
        </w:rPr>
        <w:lastRenderedPageBreak/>
        <w:t>controlled Phase II to Phase III clinical studies. Most of the subjects were 9 through 17 years of age (n= 2810).</w:t>
      </w:r>
    </w:p>
    <w:p w14:paraId="6F1ABFEE" w14:textId="6280782B" w:rsidR="00301F0B" w:rsidRDefault="00E04242" w:rsidP="00E04242">
      <w:pPr>
        <w:rPr>
          <w:lang w:val="en-AU"/>
        </w:rPr>
      </w:pPr>
      <w:r w:rsidRPr="001A2C91">
        <w:rPr>
          <w:lang w:val="en-AU"/>
        </w:rPr>
        <w:t xml:space="preserve">GMT data on subjects 18 through 45 years of age included in Phase II safety and immunogenicity studies conducted in endemic areas (CYD22, CYD28 and CYD47) and on subjects 9 through 17 years of age included in the 3 efficacy studies (Phase </w:t>
      </w:r>
      <w:proofErr w:type="spellStart"/>
      <w:r w:rsidRPr="001A2C91">
        <w:rPr>
          <w:lang w:val="en-AU"/>
        </w:rPr>
        <w:t>IIb</w:t>
      </w:r>
      <w:proofErr w:type="spellEnd"/>
      <w:r w:rsidRPr="001A2C91">
        <w:rPr>
          <w:lang w:val="en-AU"/>
        </w:rPr>
        <w:t xml:space="preserve"> efficacy study, CYD23, and Phase III efficacy studies, CYD14 and CYD15) are presented by study and region in </w:t>
      </w:r>
      <w:r w:rsidR="00AE7FA7" w:rsidRPr="00AE7FA7">
        <w:rPr>
          <w:color w:val="0000FF"/>
          <w:lang w:val="en-AU"/>
        </w:rPr>
        <w:fldChar w:fldCharType="begin"/>
      </w:r>
      <w:r w:rsidR="00AE7FA7" w:rsidRPr="00AE7FA7">
        <w:rPr>
          <w:color w:val="0000FF"/>
          <w:lang w:val="en-AU"/>
        </w:rPr>
        <w:instrText xml:space="preserve"> REF _Ref500849428 \h  \* MERGEFORMAT </w:instrText>
      </w:r>
      <w:r w:rsidR="00AE7FA7" w:rsidRPr="00AE7FA7">
        <w:rPr>
          <w:color w:val="0000FF"/>
          <w:lang w:val="en-AU"/>
        </w:rPr>
      </w:r>
      <w:r w:rsidR="00AE7FA7" w:rsidRPr="00AE7FA7">
        <w:rPr>
          <w:color w:val="0000FF"/>
          <w:lang w:val="en-AU"/>
        </w:rPr>
        <w:fldChar w:fldCharType="separate"/>
      </w:r>
      <w:r w:rsidR="00C16A62" w:rsidRPr="00C16A62">
        <w:rPr>
          <w:color w:val="0000FF"/>
        </w:rPr>
        <w:t>Table 3</w:t>
      </w:r>
      <w:r w:rsidR="00AE7FA7" w:rsidRPr="00AE7FA7">
        <w:rPr>
          <w:color w:val="0000FF"/>
          <w:lang w:val="en-AU"/>
        </w:rPr>
        <w:fldChar w:fldCharType="end"/>
      </w:r>
      <w:r w:rsidRPr="001A2C91">
        <w:rPr>
          <w:lang w:val="en-AU"/>
        </w:rPr>
        <w:t>.</w:t>
      </w:r>
    </w:p>
    <w:p w14:paraId="21B58B18" w14:textId="611B5795" w:rsidR="00AE7FA7" w:rsidRPr="00F60E93" w:rsidRDefault="00AE7FA7" w:rsidP="00AE7FA7">
      <w:pPr>
        <w:pStyle w:val="Caption"/>
        <w:rPr>
          <w:lang w:val="en-AU"/>
        </w:rPr>
      </w:pPr>
      <w:r>
        <w:rPr>
          <w:lang w:val="en-AU"/>
        </w:rPr>
        <w:t xml:space="preserve"> </w:t>
      </w:r>
      <w:bookmarkStart w:id="14" w:name="_Ref500849428"/>
      <w:r>
        <w:t>Table </w:t>
      </w:r>
      <w:r>
        <w:fldChar w:fldCharType="begin"/>
      </w:r>
      <w:r>
        <w:instrText xml:space="preserve"> SEQ Table \* ARABIC </w:instrText>
      </w:r>
      <w:r>
        <w:fldChar w:fldCharType="separate"/>
      </w:r>
      <w:r w:rsidR="00C16A62">
        <w:rPr>
          <w:noProof/>
        </w:rPr>
        <w:t>3</w:t>
      </w:r>
      <w:r>
        <w:fldChar w:fldCharType="end"/>
      </w:r>
      <w:bookmarkEnd w:id="14"/>
      <w:r>
        <w:t xml:space="preserve"> ­ </w:t>
      </w:r>
      <w:r w:rsidRPr="00F60E93">
        <w:rPr>
          <w:lang w:val="en-AU"/>
        </w:rPr>
        <w:t>Dengue immunogenicity data pre-injection 1 and 28 days post-injection 3 - GMTs of antibodies against each serotype (1/</w:t>
      </w:r>
      <w:proofErr w:type="spellStart"/>
      <w:r w:rsidRPr="00F60E93">
        <w:rPr>
          <w:lang w:val="en-AU"/>
        </w:rPr>
        <w:t>dil</w:t>
      </w:r>
      <w:proofErr w:type="spellEnd"/>
      <w:r w:rsidRPr="00F60E93">
        <w:rPr>
          <w:lang w:val="en-AU"/>
        </w:rPr>
        <w:t>) - Dengue PRNT – Subjects 9 through 45 years of age in endemic areas</w:t>
      </w:r>
    </w:p>
    <w:tbl>
      <w:tblPr>
        <w:tblW w:w="5053"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31"/>
        <w:gridCol w:w="761"/>
        <w:gridCol w:w="650"/>
        <w:gridCol w:w="440"/>
        <w:gridCol w:w="750"/>
        <w:gridCol w:w="750"/>
        <w:gridCol w:w="440"/>
        <w:gridCol w:w="750"/>
        <w:gridCol w:w="750"/>
        <w:gridCol w:w="440"/>
        <w:gridCol w:w="750"/>
        <w:gridCol w:w="750"/>
        <w:gridCol w:w="440"/>
        <w:gridCol w:w="750"/>
        <w:gridCol w:w="750"/>
      </w:tblGrid>
      <w:tr w:rsidR="00E04242" w:rsidRPr="00F60E93" w14:paraId="2750BF96" w14:textId="77777777" w:rsidTr="003F0D9E">
        <w:trPr>
          <w:cantSplit/>
          <w:tblHeader/>
        </w:trPr>
        <w:tc>
          <w:tcPr>
            <w:tcW w:w="1342" w:type="pct"/>
            <w:gridSpan w:val="4"/>
            <w:shd w:val="clear" w:color="auto" w:fill="FFFFFF"/>
          </w:tcPr>
          <w:p w14:paraId="2C10A02E" w14:textId="27480E91" w:rsidR="00E04242" w:rsidRPr="00F60E93" w:rsidRDefault="00E04242" w:rsidP="00B631D7">
            <w:pPr>
              <w:autoSpaceDE w:val="0"/>
              <w:autoSpaceDN w:val="0"/>
              <w:adjustRightInd w:val="0"/>
              <w:spacing w:before="40" w:after="40"/>
              <w:jc w:val="center"/>
              <w:rPr>
                <w:b/>
                <w:sz w:val="18"/>
                <w:szCs w:val="18"/>
                <w:lang w:val="en-AU"/>
              </w:rPr>
            </w:pPr>
          </w:p>
        </w:tc>
        <w:tc>
          <w:tcPr>
            <w:tcW w:w="749" w:type="pct"/>
            <w:gridSpan w:val="2"/>
            <w:shd w:val="clear" w:color="auto" w:fill="FFFFFF"/>
            <w:vAlign w:val="bottom"/>
          </w:tcPr>
          <w:p w14:paraId="14DDD736" w14:textId="77777777" w:rsidR="00E04242" w:rsidRPr="00F60E93" w:rsidRDefault="00E04242" w:rsidP="00B631D7">
            <w:pPr>
              <w:autoSpaceDE w:val="0"/>
              <w:autoSpaceDN w:val="0"/>
              <w:adjustRightInd w:val="0"/>
              <w:spacing w:before="40" w:after="40"/>
              <w:jc w:val="center"/>
              <w:rPr>
                <w:b/>
                <w:sz w:val="18"/>
                <w:szCs w:val="18"/>
                <w:lang w:val="en-AU"/>
              </w:rPr>
            </w:pPr>
            <w:r w:rsidRPr="00F60E93">
              <w:rPr>
                <w:b/>
                <w:sz w:val="18"/>
                <w:szCs w:val="18"/>
                <w:lang w:val="en-AU"/>
              </w:rPr>
              <w:t>Serotype 1</w:t>
            </w:r>
          </w:p>
        </w:tc>
        <w:tc>
          <w:tcPr>
            <w:tcW w:w="221" w:type="pct"/>
            <w:shd w:val="clear" w:color="auto" w:fill="FFFFFF"/>
            <w:vAlign w:val="bottom"/>
          </w:tcPr>
          <w:p w14:paraId="1D95E592" w14:textId="77777777" w:rsidR="00E04242" w:rsidRPr="00F60E93" w:rsidRDefault="00E04242" w:rsidP="00B631D7">
            <w:pPr>
              <w:autoSpaceDE w:val="0"/>
              <w:autoSpaceDN w:val="0"/>
              <w:adjustRightInd w:val="0"/>
              <w:spacing w:before="40" w:after="40"/>
              <w:jc w:val="center"/>
              <w:rPr>
                <w:b/>
                <w:sz w:val="18"/>
                <w:szCs w:val="18"/>
                <w:lang w:val="en-AU"/>
              </w:rPr>
            </w:pPr>
          </w:p>
        </w:tc>
        <w:tc>
          <w:tcPr>
            <w:tcW w:w="749" w:type="pct"/>
            <w:gridSpan w:val="2"/>
            <w:shd w:val="clear" w:color="auto" w:fill="FFFFFF"/>
            <w:vAlign w:val="bottom"/>
          </w:tcPr>
          <w:p w14:paraId="1A94D94C" w14:textId="77777777" w:rsidR="00E04242" w:rsidRPr="00F60E93" w:rsidRDefault="00E04242" w:rsidP="00B631D7">
            <w:pPr>
              <w:autoSpaceDE w:val="0"/>
              <w:autoSpaceDN w:val="0"/>
              <w:adjustRightInd w:val="0"/>
              <w:spacing w:before="40" w:after="40"/>
              <w:jc w:val="center"/>
              <w:rPr>
                <w:b/>
                <w:sz w:val="18"/>
                <w:szCs w:val="18"/>
                <w:lang w:val="en-AU"/>
              </w:rPr>
            </w:pPr>
            <w:r w:rsidRPr="00F60E93">
              <w:rPr>
                <w:b/>
                <w:sz w:val="18"/>
                <w:szCs w:val="18"/>
                <w:lang w:val="en-AU"/>
              </w:rPr>
              <w:t>Serotype 2</w:t>
            </w:r>
          </w:p>
        </w:tc>
        <w:tc>
          <w:tcPr>
            <w:tcW w:w="221" w:type="pct"/>
            <w:shd w:val="clear" w:color="auto" w:fill="FFFFFF"/>
            <w:vAlign w:val="bottom"/>
          </w:tcPr>
          <w:p w14:paraId="5B61087B" w14:textId="77777777" w:rsidR="00E04242" w:rsidRPr="00F60E93" w:rsidRDefault="00E04242" w:rsidP="00B631D7">
            <w:pPr>
              <w:autoSpaceDE w:val="0"/>
              <w:autoSpaceDN w:val="0"/>
              <w:adjustRightInd w:val="0"/>
              <w:spacing w:before="40" w:after="40"/>
              <w:jc w:val="center"/>
              <w:rPr>
                <w:b/>
                <w:sz w:val="18"/>
                <w:szCs w:val="18"/>
                <w:lang w:val="en-AU"/>
              </w:rPr>
            </w:pPr>
          </w:p>
        </w:tc>
        <w:tc>
          <w:tcPr>
            <w:tcW w:w="749" w:type="pct"/>
            <w:gridSpan w:val="2"/>
            <w:shd w:val="clear" w:color="auto" w:fill="FFFFFF"/>
            <w:vAlign w:val="bottom"/>
          </w:tcPr>
          <w:p w14:paraId="348F48A7" w14:textId="77777777" w:rsidR="00E04242" w:rsidRPr="00F60E93" w:rsidRDefault="00E04242" w:rsidP="00B631D7">
            <w:pPr>
              <w:autoSpaceDE w:val="0"/>
              <w:autoSpaceDN w:val="0"/>
              <w:adjustRightInd w:val="0"/>
              <w:spacing w:before="40" w:after="40"/>
              <w:jc w:val="center"/>
              <w:rPr>
                <w:b/>
                <w:sz w:val="18"/>
                <w:szCs w:val="18"/>
                <w:lang w:val="en-AU"/>
              </w:rPr>
            </w:pPr>
            <w:r w:rsidRPr="00F60E93">
              <w:rPr>
                <w:b/>
                <w:sz w:val="18"/>
                <w:szCs w:val="18"/>
                <w:lang w:val="en-AU"/>
              </w:rPr>
              <w:t>Serotype 3</w:t>
            </w:r>
          </w:p>
        </w:tc>
        <w:tc>
          <w:tcPr>
            <w:tcW w:w="221" w:type="pct"/>
            <w:shd w:val="clear" w:color="auto" w:fill="FFFFFF"/>
            <w:vAlign w:val="bottom"/>
          </w:tcPr>
          <w:p w14:paraId="77E2ECB5" w14:textId="77777777" w:rsidR="00E04242" w:rsidRPr="00F60E93" w:rsidRDefault="00E04242" w:rsidP="00B631D7">
            <w:pPr>
              <w:autoSpaceDE w:val="0"/>
              <w:autoSpaceDN w:val="0"/>
              <w:adjustRightInd w:val="0"/>
              <w:spacing w:before="40" w:after="40"/>
              <w:jc w:val="center"/>
              <w:rPr>
                <w:b/>
                <w:sz w:val="18"/>
                <w:szCs w:val="18"/>
                <w:lang w:val="en-AU"/>
              </w:rPr>
            </w:pPr>
          </w:p>
        </w:tc>
        <w:tc>
          <w:tcPr>
            <w:tcW w:w="749" w:type="pct"/>
            <w:gridSpan w:val="2"/>
            <w:shd w:val="clear" w:color="auto" w:fill="FFFFFF"/>
            <w:vAlign w:val="bottom"/>
          </w:tcPr>
          <w:p w14:paraId="579FC4E1" w14:textId="77777777" w:rsidR="00E04242" w:rsidRPr="00F60E93" w:rsidRDefault="00E04242" w:rsidP="00B631D7">
            <w:pPr>
              <w:autoSpaceDE w:val="0"/>
              <w:autoSpaceDN w:val="0"/>
              <w:adjustRightInd w:val="0"/>
              <w:spacing w:before="40" w:after="40"/>
              <w:jc w:val="center"/>
              <w:rPr>
                <w:b/>
                <w:sz w:val="18"/>
                <w:szCs w:val="18"/>
                <w:lang w:val="en-AU"/>
              </w:rPr>
            </w:pPr>
            <w:r w:rsidRPr="00F60E93">
              <w:rPr>
                <w:b/>
                <w:sz w:val="18"/>
                <w:szCs w:val="18"/>
                <w:lang w:val="en-AU"/>
              </w:rPr>
              <w:t>Serotype 4</w:t>
            </w:r>
          </w:p>
        </w:tc>
      </w:tr>
      <w:tr w:rsidR="00E04242" w:rsidRPr="00F60E93" w14:paraId="30EF68CF" w14:textId="77777777" w:rsidTr="003F0D9E">
        <w:trPr>
          <w:cantSplit/>
          <w:tblHeader/>
        </w:trPr>
        <w:tc>
          <w:tcPr>
            <w:tcW w:w="417" w:type="pct"/>
            <w:shd w:val="clear" w:color="auto" w:fill="FFFFFF"/>
            <w:vAlign w:val="center"/>
          </w:tcPr>
          <w:p w14:paraId="5FD29AC8" w14:textId="77777777" w:rsidR="00E04242" w:rsidRPr="00F60E93" w:rsidRDefault="00E04242" w:rsidP="00B631D7">
            <w:pPr>
              <w:autoSpaceDE w:val="0"/>
              <w:autoSpaceDN w:val="0"/>
              <w:adjustRightInd w:val="0"/>
              <w:spacing w:before="40" w:after="40"/>
              <w:jc w:val="center"/>
              <w:rPr>
                <w:b/>
                <w:sz w:val="18"/>
                <w:szCs w:val="18"/>
                <w:lang w:val="en-AU"/>
              </w:rPr>
            </w:pPr>
            <w:r w:rsidRPr="00F60E93">
              <w:rPr>
                <w:b/>
                <w:sz w:val="18"/>
                <w:szCs w:val="18"/>
                <w:lang w:val="en-AU"/>
              </w:rPr>
              <w:t>Age group</w:t>
            </w:r>
          </w:p>
        </w:tc>
        <w:tc>
          <w:tcPr>
            <w:tcW w:w="380" w:type="pct"/>
            <w:shd w:val="clear" w:color="auto" w:fill="FFFFFF"/>
            <w:vAlign w:val="center"/>
          </w:tcPr>
          <w:p w14:paraId="2D88DAD3" w14:textId="77777777" w:rsidR="00E04242" w:rsidRPr="00F60E93" w:rsidRDefault="00E04242" w:rsidP="00B631D7">
            <w:pPr>
              <w:autoSpaceDE w:val="0"/>
              <w:autoSpaceDN w:val="0"/>
              <w:adjustRightInd w:val="0"/>
              <w:spacing w:before="40" w:after="40"/>
              <w:jc w:val="center"/>
              <w:rPr>
                <w:b/>
                <w:sz w:val="18"/>
                <w:szCs w:val="18"/>
                <w:lang w:val="en-AU"/>
              </w:rPr>
            </w:pPr>
          </w:p>
          <w:p w14:paraId="763FA744" w14:textId="77777777" w:rsidR="00E04242" w:rsidRPr="00F60E93" w:rsidRDefault="00E04242" w:rsidP="00B631D7">
            <w:pPr>
              <w:autoSpaceDE w:val="0"/>
              <w:autoSpaceDN w:val="0"/>
              <w:adjustRightInd w:val="0"/>
              <w:spacing w:before="40" w:after="40"/>
              <w:jc w:val="center"/>
              <w:rPr>
                <w:b/>
                <w:sz w:val="18"/>
                <w:szCs w:val="18"/>
                <w:lang w:val="en-AU"/>
              </w:rPr>
            </w:pPr>
            <w:r w:rsidRPr="00F60E93">
              <w:rPr>
                <w:b/>
                <w:sz w:val="18"/>
                <w:szCs w:val="18"/>
                <w:lang w:val="en-AU"/>
              </w:rPr>
              <w:t>Region</w:t>
            </w:r>
          </w:p>
          <w:p w14:paraId="0300DB03" w14:textId="77777777" w:rsidR="00E04242" w:rsidRPr="00F60E93" w:rsidRDefault="00E04242" w:rsidP="00B631D7">
            <w:pPr>
              <w:autoSpaceDE w:val="0"/>
              <w:autoSpaceDN w:val="0"/>
              <w:adjustRightInd w:val="0"/>
              <w:spacing w:before="40" w:after="40"/>
              <w:jc w:val="center"/>
              <w:rPr>
                <w:b/>
                <w:sz w:val="18"/>
                <w:szCs w:val="18"/>
                <w:lang w:val="en-AU"/>
              </w:rPr>
            </w:pPr>
          </w:p>
        </w:tc>
        <w:tc>
          <w:tcPr>
            <w:tcW w:w="325" w:type="pct"/>
            <w:shd w:val="clear" w:color="auto" w:fill="FFFFFF"/>
            <w:vAlign w:val="center"/>
          </w:tcPr>
          <w:p w14:paraId="52DEA694" w14:textId="77777777" w:rsidR="00E04242" w:rsidRPr="00F60E93" w:rsidRDefault="00E04242" w:rsidP="00B631D7">
            <w:pPr>
              <w:autoSpaceDE w:val="0"/>
              <w:autoSpaceDN w:val="0"/>
              <w:adjustRightInd w:val="0"/>
              <w:spacing w:before="40" w:after="40"/>
              <w:jc w:val="center"/>
              <w:rPr>
                <w:b/>
                <w:sz w:val="18"/>
                <w:szCs w:val="18"/>
                <w:lang w:val="en-AU"/>
              </w:rPr>
            </w:pPr>
            <w:r w:rsidRPr="00F60E93">
              <w:rPr>
                <w:b/>
                <w:sz w:val="18"/>
                <w:szCs w:val="18"/>
                <w:lang w:val="en-AU"/>
              </w:rPr>
              <w:t>Study</w:t>
            </w:r>
          </w:p>
        </w:tc>
        <w:tc>
          <w:tcPr>
            <w:tcW w:w="221" w:type="pct"/>
            <w:shd w:val="clear" w:color="auto" w:fill="FFFFFF"/>
            <w:vAlign w:val="bottom"/>
          </w:tcPr>
          <w:p w14:paraId="42A96737" w14:textId="77777777" w:rsidR="00E04242" w:rsidRPr="00F60E93" w:rsidRDefault="00E04242" w:rsidP="00B631D7">
            <w:pPr>
              <w:autoSpaceDE w:val="0"/>
              <w:autoSpaceDN w:val="0"/>
              <w:adjustRightInd w:val="0"/>
              <w:spacing w:before="40" w:after="40"/>
              <w:jc w:val="center"/>
              <w:rPr>
                <w:b/>
                <w:sz w:val="18"/>
                <w:szCs w:val="18"/>
                <w:lang w:val="en-AU"/>
              </w:rPr>
            </w:pPr>
            <w:r w:rsidRPr="00F60E93">
              <w:rPr>
                <w:b/>
                <w:sz w:val="18"/>
                <w:szCs w:val="18"/>
                <w:lang w:val="en-AU"/>
              </w:rPr>
              <w:t>N</w:t>
            </w:r>
          </w:p>
        </w:tc>
        <w:tc>
          <w:tcPr>
            <w:tcW w:w="374" w:type="pct"/>
            <w:shd w:val="clear" w:color="auto" w:fill="FFFFFF"/>
            <w:vAlign w:val="bottom"/>
          </w:tcPr>
          <w:p w14:paraId="77E98597" w14:textId="77777777" w:rsidR="00E04242" w:rsidRPr="00F60E93" w:rsidRDefault="00E04242" w:rsidP="00B631D7">
            <w:pPr>
              <w:autoSpaceDE w:val="0"/>
              <w:autoSpaceDN w:val="0"/>
              <w:adjustRightInd w:val="0"/>
              <w:spacing w:before="40" w:after="40"/>
              <w:jc w:val="center"/>
              <w:rPr>
                <w:b/>
                <w:sz w:val="18"/>
                <w:szCs w:val="18"/>
                <w:lang w:val="en-AU"/>
              </w:rPr>
            </w:pPr>
            <w:r w:rsidRPr="00F60E93">
              <w:rPr>
                <w:b/>
                <w:sz w:val="18"/>
                <w:szCs w:val="18"/>
                <w:lang w:val="en-AU"/>
              </w:rPr>
              <w:t>Pre-injection 1</w:t>
            </w:r>
            <w:r w:rsidRPr="00F60E93">
              <w:rPr>
                <w:b/>
                <w:sz w:val="18"/>
                <w:szCs w:val="18"/>
                <w:lang w:val="en-AU"/>
              </w:rPr>
              <w:br/>
              <w:t>GM</w:t>
            </w:r>
            <w:r w:rsidRPr="00F60E93">
              <w:rPr>
                <w:b/>
                <w:sz w:val="18"/>
                <w:szCs w:val="18"/>
                <w:lang w:val="en-AU"/>
              </w:rPr>
              <w:br/>
              <w:t>(95% CI)</w:t>
            </w:r>
          </w:p>
        </w:tc>
        <w:tc>
          <w:tcPr>
            <w:tcW w:w="374" w:type="pct"/>
            <w:shd w:val="clear" w:color="auto" w:fill="FFFFFF"/>
            <w:vAlign w:val="bottom"/>
          </w:tcPr>
          <w:p w14:paraId="54B6DF2D" w14:textId="77777777" w:rsidR="00E04242" w:rsidRPr="00F60E93" w:rsidRDefault="00E04242" w:rsidP="00B631D7">
            <w:pPr>
              <w:autoSpaceDE w:val="0"/>
              <w:autoSpaceDN w:val="0"/>
              <w:adjustRightInd w:val="0"/>
              <w:spacing w:before="40" w:after="40"/>
              <w:jc w:val="center"/>
              <w:rPr>
                <w:b/>
                <w:sz w:val="18"/>
                <w:szCs w:val="18"/>
                <w:lang w:val="en-AU"/>
              </w:rPr>
            </w:pPr>
            <w:r w:rsidRPr="00F60E93">
              <w:rPr>
                <w:b/>
                <w:sz w:val="18"/>
                <w:szCs w:val="18"/>
                <w:lang w:val="en-AU"/>
              </w:rPr>
              <w:t>Post-injection 3</w:t>
            </w:r>
            <w:r w:rsidRPr="00F60E93">
              <w:rPr>
                <w:b/>
                <w:sz w:val="18"/>
                <w:szCs w:val="18"/>
                <w:lang w:val="en-AU"/>
              </w:rPr>
              <w:br/>
              <w:t>GM</w:t>
            </w:r>
            <w:r w:rsidRPr="00F60E93">
              <w:rPr>
                <w:b/>
                <w:sz w:val="18"/>
                <w:szCs w:val="18"/>
                <w:lang w:val="en-AU"/>
              </w:rPr>
              <w:br/>
              <w:t>(95% CI)</w:t>
            </w:r>
          </w:p>
        </w:tc>
        <w:tc>
          <w:tcPr>
            <w:tcW w:w="221" w:type="pct"/>
            <w:shd w:val="clear" w:color="auto" w:fill="FFFFFF"/>
            <w:vAlign w:val="bottom"/>
          </w:tcPr>
          <w:p w14:paraId="069C9BCA" w14:textId="77777777" w:rsidR="00E04242" w:rsidRPr="00F60E93" w:rsidRDefault="00E04242" w:rsidP="00B631D7">
            <w:pPr>
              <w:autoSpaceDE w:val="0"/>
              <w:autoSpaceDN w:val="0"/>
              <w:adjustRightInd w:val="0"/>
              <w:spacing w:before="40" w:after="40"/>
              <w:jc w:val="center"/>
              <w:rPr>
                <w:b/>
                <w:sz w:val="18"/>
                <w:szCs w:val="18"/>
                <w:lang w:val="en-AU"/>
              </w:rPr>
            </w:pPr>
            <w:r w:rsidRPr="00F60E93">
              <w:rPr>
                <w:b/>
                <w:sz w:val="18"/>
                <w:szCs w:val="18"/>
                <w:lang w:val="en-AU"/>
              </w:rPr>
              <w:t>N</w:t>
            </w:r>
          </w:p>
        </w:tc>
        <w:tc>
          <w:tcPr>
            <w:tcW w:w="374" w:type="pct"/>
            <w:shd w:val="clear" w:color="auto" w:fill="FFFFFF"/>
            <w:vAlign w:val="bottom"/>
          </w:tcPr>
          <w:p w14:paraId="41115113" w14:textId="77777777" w:rsidR="00E04242" w:rsidRPr="00F60E93" w:rsidRDefault="00E04242" w:rsidP="00B631D7">
            <w:pPr>
              <w:autoSpaceDE w:val="0"/>
              <w:autoSpaceDN w:val="0"/>
              <w:adjustRightInd w:val="0"/>
              <w:spacing w:before="40" w:after="40"/>
              <w:jc w:val="center"/>
              <w:rPr>
                <w:b/>
                <w:sz w:val="18"/>
                <w:szCs w:val="18"/>
                <w:lang w:val="en-AU"/>
              </w:rPr>
            </w:pPr>
            <w:r w:rsidRPr="00F60E93">
              <w:rPr>
                <w:b/>
                <w:sz w:val="18"/>
                <w:szCs w:val="18"/>
                <w:lang w:val="en-AU"/>
              </w:rPr>
              <w:t>Pre-injection 1</w:t>
            </w:r>
            <w:r w:rsidRPr="00F60E93">
              <w:rPr>
                <w:b/>
                <w:sz w:val="18"/>
                <w:szCs w:val="18"/>
                <w:lang w:val="en-AU"/>
              </w:rPr>
              <w:br/>
              <w:t>GM</w:t>
            </w:r>
            <w:r w:rsidRPr="00F60E93">
              <w:rPr>
                <w:b/>
                <w:sz w:val="18"/>
                <w:szCs w:val="18"/>
                <w:lang w:val="en-AU"/>
              </w:rPr>
              <w:br/>
              <w:t>(95% CI)</w:t>
            </w:r>
          </w:p>
        </w:tc>
        <w:tc>
          <w:tcPr>
            <w:tcW w:w="374" w:type="pct"/>
            <w:shd w:val="clear" w:color="auto" w:fill="FFFFFF"/>
            <w:vAlign w:val="bottom"/>
          </w:tcPr>
          <w:p w14:paraId="506024B0" w14:textId="77777777" w:rsidR="00E04242" w:rsidRPr="00F60E93" w:rsidRDefault="00E04242" w:rsidP="00B631D7">
            <w:pPr>
              <w:autoSpaceDE w:val="0"/>
              <w:autoSpaceDN w:val="0"/>
              <w:adjustRightInd w:val="0"/>
              <w:spacing w:before="40" w:after="40"/>
              <w:jc w:val="center"/>
              <w:rPr>
                <w:b/>
                <w:sz w:val="18"/>
                <w:szCs w:val="18"/>
                <w:lang w:val="en-AU"/>
              </w:rPr>
            </w:pPr>
            <w:r w:rsidRPr="00F60E93">
              <w:rPr>
                <w:b/>
                <w:sz w:val="18"/>
                <w:szCs w:val="18"/>
                <w:lang w:val="en-AU"/>
              </w:rPr>
              <w:t>Post-injection 3</w:t>
            </w:r>
            <w:r w:rsidRPr="00F60E93">
              <w:rPr>
                <w:b/>
                <w:sz w:val="18"/>
                <w:szCs w:val="18"/>
                <w:lang w:val="en-AU"/>
              </w:rPr>
              <w:br/>
              <w:t>GM</w:t>
            </w:r>
            <w:r w:rsidRPr="00F60E93">
              <w:rPr>
                <w:b/>
                <w:sz w:val="18"/>
                <w:szCs w:val="18"/>
                <w:lang w:val="en-AU"/>
              </w:rPr>
              <w:br/>
              <w:t>(95% CI)</w:t>
            </w:r>
          </w:p>
        </w:tc>
        <w:tc>
          <w:tcPr>
            <w:tcW w:w="221" w:type="pct"/>
            <w:shd w:val="clear" w:color="auto" w:fill="FFFFFF"/>
            <w:vAlign w:val="bottom"/>
          </w:tcPr>
          <w:p w14:paraId="136C452A" w14:textId="77777777" w:rsidR="00E04242" w:rsidRPr="00F60E93" w:rsidRDefault="00E04242" w:rsidP="00B631D7">
            <w:pPr>
              <w:autoSpaceDE w:val="0"/>
              <w:autoSpaceDN w:val="0"/>
              <w:adjustRightInd w:val="0"/>
              <w:spacing w:before="40" w:after="40"/>
              <w:jc w:val="center"/>
              <w:rPr>
                <w:b/>
                <w:sz w:val="18"/>
                <w:szCs w:val="18"/>
                <w:lang w:val="en-AU"/>
              </w:rPr>
            </w:pPr>
            <w:r w:rsidRPr="00F60E93">
              <w:rPr>
                <w:b/>
                <w:sz w:val="18"/>
                <w:szCs w:val="18"/>
                <w:lang w:val="en-AU"/>
              </w:rPr>
              <w:t>N</w:t>
            </w:r>
          </w:p>
        </w:tc>
        <w:tc>
          <w:tcPr>
            <w:tcW w:w="374" w:type="pct"/>
            <w:shd w:val="clear" w:color="auto" w:fill="FFFFFF"/>
            <w:vAlign w:val="bottom"/>
          </w:tcPr>
          <w:p w14:paraId="3BA60BD6" w14:textId="77777777" w:rsidR="00E04242" w:rsidRPr="00F60E93" w:rsidRDefault="00E04242" w:rsidP="00B631D7">
            <w:pPr>
              <w:autoSpaceDE w:val="0"/>
              <w:autoSpaceDN w:val="0"/>
              <w:adjustRightInd w:val="0"/>
              <w:spacing w:before="40" w:after="40"/>
              <w:jc w:val="center"/>
              <w:rPr>
                <w:b/>
                <w:sz w:val="18"/>
                <w:szCs w:val="18"/>
                <w:lang w:val="en-AU"/>
              </w:rPr>
            </w:pPr>
            <w:r w:rsidRPr="00F60E93">
              <w:rPr>
                <w:b/>
                <w:sz w:val="18"/>
                <w:szCs w:val="18"/>
                <w:lang w:val="en-AU"/>
              </w:rPr>
              <w:t>Pre-injection 1</w:t>
            </w:r>
            <w:r w:rsidRPr="00F60E93">
              <w:rPr>
                <w:b/>
                <w:sz w:val="18"/>
                <w:szCs w:val="18"/>
                <w:lang w:val="en-AU"/>
              </w:rPr>
              <w:br/>
              <w:t>GM</w:t>
            </w:r>
            <w:r w:rsidRPr="00F60E93">
              <w:rPr>
                <w:b/>
                <w:sz w:val="18"/>
                <w:szCs w:val="18"/>
                <w:lang w:val="en-AU"/>
              </w:rPr>
              <w:br/>
              <w:t>(95% CI)</w:t>
            </w:r>
          </w:p>
        </w:tc>
        <w:tc>
          <w:tcPr>
            <w:tcW w:w="374" w:type="pct"/>
            <w:shd w:val="clear" w:color="auto" w:fill="FFFFFF"/>
            <w:vAlign w:val="bottom"/>
          </w:tcPr>
          <w:p w14:paraId="6C20F7B1" w14:textId="77777777" w:rsidR="00E04242" w:rsidRPr="00F60E93" w:rsidRDefault="00E04242" w:rsidP="00B631D7">
            <w:pPr>
              <w:autoSpaceDE w:val="0"/>
              <w:autoSpaceDN w:val="0"/>
              <w:adjustRightInd w:val="0"/>
              <w:spacing w:before="40" w:after="40"/>
              <w:jc w:val="center"/>
              <w:rPr>
                <w:b/>
                <w:sz w:val="18"/>
                <w:szCs w:val="18"/>
                <w:lang w:val="en-AU"/>
              </w:rPr>
            </w:pPr>
            <w:r w:rsidRPr="00F60E93">
              <w:rPr>
                <w:b/>
                <w:sz w:val="18"/>
                <w:szCs w:val="18"/>
                <w:lang w:val="en-AU"/>
              </w:rPr>
              <w:t>Post-injection 3</w:t>
            </w:r>
            <w:r w:rsidRPr="00F60E93">
              <w:rPr>
                <w:b/>
                <w:sz w:val="18"/>
                <w:szCs w:val="18"/>
                <w:lang w:val="en-AU"/>
              </w:rPr>
              <w:br/>
              <w:t xml:space="preserve">GM </w:t>
            </w:r>
            <w:r w:rsidRPr="00F60E93">
              <w:rPr>
                <w:b/>
                <w:sz w:val="18"/>
                <w:szCs w:val="18"/>
                <w:lang w:val="en-AU"/>
              </w:rPr>
              <w:br/>
              <w:t>(95% CI)</w:t>
            </w:r>
          </w:p>
        </w:tc>
        <w:tc>
          <w:tcPr>
            <w:tcW w:w="221" w:type="pct"/>
            <w:shd w:val="clear" w:color="auto" w:fill="FFFFFF"/>
            <w:vAlign w:val="bottom"/>
          </w:tcPr>
          <w:p w14:paraId="47CB312B" w14:textId="77777777" w:rsidR="00E04242" w:rsidRPr="00F60E93" w:rsidRDefault="00E04242" w:rsidP="00B631D7">
            <w:pPr>
              <w:autoSpaceDE w:val="0"/>
              <w:autoSpaceDN w:val="0"/>
              <w:adjustRightInd w:val="0"/>
              <w:spacing w:before="40" w:after="40"/>
              <w:jc w:val="center"/>
              <w:rPr>
                <w:b/>
                <w:sz w:val="18"/>
                <w:szCs w:val="18"/>
                <w:lang w:val="en-AU"/>
              </w:rPr>
            </w:pPr>
            <w:r w:rsidRPr="00F60E93">
              <w:rPr>
                <w:b/>
                <w:sz w:val="18"/>
                <w:szCs w:val="18"/>
                <w:lang w:val="en-AU"/>
              </w:rPr>
              <w:t>N</w:t>
            </w:r>
          </w:p>
        </w:tc>
        <w:tc>
          <w:tcPr>
            <w:tcW w:w="374" w:type="pct"/>
            <w:shd w:val="clear" w:color="auto" w:fill="FFFFFF"/>
            <w:vAlign w:val="bottom"/>
          </w:tcPr>
          <w:p w14:paraId="592A1FCD" w14:textId="77777777" w:rsidR="00E04242" w:rsidRPr="00F60E93" w:rsidRDefault="00E04242" w:rsidP="00B631D7">
            <w:pPr>
              <w:autoSpaceDE w:val="0"/>
              <w:autoSpaceDN w:val="0"/>
              <w:adjustRightInd w:val="0"/>
              <w:spacing w:before="40" w:after="40"/>
              <w:jc w:val="center"/>
              <w:rPr>
                <w:b/>
                <w:sz w:val="18"/>
                <w:szCs w:val="18"/>
                <w:lang w:val="en-AU"/>
              </w:rPr>
            </w:pPr>
            <w:r w:rsidRPr="00F60E93">
              <w:rPr>
                <w:b/>
                <w:sz w:val="18"/>
                <w:szCs w:val="18"/>
                <w:lang w:val="en-AU"/>
              </w:rPr>
              <w:t>Pre-injection 1</w:t>
            </w:r>
            <w:r w:rsidRPr="00F60E93">
              <w:rPr>
                <w:b/>
                <w:sz w:val="18"/>
                <w:szCs w:val="18"/>
                <w:lang w:val="en-AU"/>
              </w:rPr>
              <w:br/>
              <w:t xml:space="preserve">GM </w:t>
            </w:r>
            <w:r w:rsidRPr="00F60E93">
              <w:rPr>
                <w:b/>
                <w:sz w:val="18"/>
                <w:szCs w:val="18"/>
                <w:lang w:val="en-AU"/>
              </w:rPr>
              <w:br/>
              <w:t>(95% CI)</w:t>
            </w:r>
          </w:p>
        </w:tc>
        <w:tc>
          <w:tcPr>
            <w:tcW w:w="374" w:type="pct"/>
            <w:shd w:val="clear" w:color="auto" w:fill="FFFFFF"/>
            <w:vAlign w:val="bottom"/>
          </w:tcPr>
          <w:p w14:paraId="4012EBDE" w14:textId="77777777" w:rsidR="00E04242" w:rsidRPr="00F60E93" w:rsidRDefault="00E04242" w:rsidP="00B631D7">
            <w:pPr>
              <w:autoSpaceDE w:val="0"/>
              <w:autoSpaceDN w:val="0"/>
              <w:adjustRightInd w:val="0"/>
              <w:spacing w:before="40" w:after="40"/>
              <w:jc w:val="center"/>
              <w:rPr>
                <w:b/>
                <w:sz w:val="18"/>
                <w:szCs w:val="18"/>
                <w:lang w:val="en-AU"/>
              </w:rPr>
            </w:pPr>
            <w:r w:rsidRPr="00F60E93">
              <w:rPr>
                <w:b/>
                <w:sz w:val="18"/>
                <w:szCs w:val="18"/>
                <w:lang w:val="en-AU"/>
              </w:rPr>
              <w:t>Post-injection 3</w:t>
            </w:r>
            <w:r w:rsidRPr="00F60E93">
              <w:rPr>
                <w:b/>
                <w:sz w:val="18"/>
                <w:szCs w:val="18"/>
                <w:lang w:val="en-AU"/>
              </w:rPr>
              <w:br/>
              <w:t>GM</w:t>
            </w:r>
            <w:r w:rsidRPr="00F60E93">
              <w:rPr>
                <w:b/>
                <w:sz w:val="18"/>
                <w:szCs w:val="18"/>
                <w:lang w:val="en-AU"/>
              </w:rPr>
              <w:br/>
              <w:t>(95% CI)</w:t>
            </w:r>
          </w:p>
        </w:tc>
      </w:tr>
      <w:tr w:rsidR="00E04242" w:rsidRPr="00F60E93" w14:paraId="437B9F71" w14:textId="77777777" w:rsidTr="003F0D9E">
        <w:trPr>
          <w:cantSplit/>
        </w:trPr>
        <w:tc>
          <w:tcPr>
            <w:tcW w:w="417" w:type="pct"/>
            <w:vMerge w:val="restart"/>
            <w:shd w:val="clear" w:color="auto" w:fill="FFFFFF"/>
          </w:tcPr>
          <w:p w14:paraId="6B9499C6" w14:textId="77777777" w:rsidR="00E04242" w:rsidRPr="00F60E93" w:rsidRDefault="00E04242" w:rsidP="00B631D7">
            <w:pPr>
              <w:pStyle w:val="wcpTableContentSmall"/>
              <w:rPr>
                <w:b/>
                <w:lang w:val="en-AU"/>
              </w:rPr>
            </w:pPr>
            <w:r w:rsidRPr="00F60E93">
              <w:rPr>
                <w:b/>
                <w:lang w:val="en-AU"/>
              </w:rPr>
              <w:t>Subjects 18 through 45 years of age</w:t>
            </w:r>
          </w:p>
        </w:tc>
        <w:tc>
          <w:tcPr>
            <w:tcW w:w="380" w:type="pct"/>
            <w:vMerge w:val="restart"/>
            <w:shd w:val="clear" w:color="auto" w:fill="FFFFFF"/>
          </w:tcPr>
          <w:p w14:paraId="3EDC3332" w14:textId="77777777" w:rsidR="00E04242" w:rsidRPr="00F60E93" w:rsidRDefault="00E04242" w:rsidP="00B631D7">
            <w:pPr>
              <w:pStyle w:val="wcpTableContentSmall"/>
              <w:rPr>
                <w:b/>
                <w:lang w:val="en-AU"/>
              </w:rPr>
            </w:pPr>
            <w:r w:rsidRPr="00F60E93">
              <w:rPr>
                <w:b/>
                <w:lang w:val="en-AU"/>
              </w:rPr>
              <w:t xml:space="preserve">Endemic </w:t>
            </w:r>
          </w:p>
          <w:p w14:paraId="20A4DF28" w14:textId="77777777" w:rsidR="00E04242" w:rsidRPr="00F60E93" w:rsidRDefault="00E04242" w:rsidP="00B631D7">
            <w:pPr>
              <w:pStyle w:val="wcpTableContentSmall"/>
              <w:rPr>
                <w:b/>
                <w:lang w:val="en-AU"/>
              </w:rPr>
            </w:pPr>
            <w:r w:rsidRPr="00F60E93">
              <w:rPr>
                <w:b/>
                <w:lang w:val="en-AU"/>
              </w:rPr>
              <w:t>Asia Pacific</w:t>
            </w:r>
          </w:p>
        </w:tc>
        <w:tc>
          <w:tcPr>
            <w:tcW w:w="325" w:type="pct"/>
            <w:shd w:val="clear" w:color="auto" w:fill="FFFFFF"/>
          </w:tcPr>
          <w:p w14:paraId="7011BAC6" w14:textId="77777777" w:rsidR="00E04242" w:rsidRPr="00F60E93" w:rsidRDefault="00E04242" w:rsidP="00B631D7">
            <w:pPr>
              <w:pStyle w:val="wcpTableContentSmall"/>
              <w:rPr>
                <w:b/>
                <w:lang w:val="en-AU"/>
              </w:rPr>
            </w:pPr>
            <w:r w:rsidRPr="00F60E93">
              <w:rPr>
                <w:b/>
                <w:lang w:val="en-AU"/>
              </w:rPr>
              <w:t>CYD22</w:t>
            </w:r>
          </w:p>
        </w:tc>
        <w:tc>
          <w:tcPr>
            <w:tcW w:w="221" w:type="pct"/>
            <w:shd w:val="clear" w:color="auto" w:fill="FFFFFF"/>
          </w:tcPr>
          <w:p w14:paraId="73373570" w14:textId="77777777" w:rsidR="00E04242" w:rsidRPr="00F60E93" w:rsidRDefault="00E04242" w:rsidP="00B631D7">
            <w:pPr>
              <w:pStyle w:val="wcpTableContentSmall"/>
              <w:jc w:val="center"/>
              <w:rPr>
                <w:szCs w:val="18"/>
                <w:lang w:val="en-AU"/>
              </w:rPr>
            </w:pPr>
            <w:r w:rsidRPr="00F60E93">
              <w:rPr>
                <w:szCs w:val="18"/>
                <w:lang w:val="en-AU"/>
              </w:rPr>
              <w:t>20</w:t>
            </w:r>
          </w:p>
        </w:tc>
        <w:tc>
          <w:tcPr>
            <w:tcW w:w="374" w:type="pct"/>
            <w:shd w:val="clear" w:color="auto" w:fill="FFFFFF"/>
          </w:tcPr>
          <w:p w14:paraId="2809FF1A" w14:textId="77777777" w:rsidR="00E04242" w:rsidRPr="00F60E93" w:rsidRDefault="00E04242" w:rsidP="00B631D7">
            <w:pPr>
              <w:pStyle w:val="wcpTableContentSmall"/>
              <w:jc w:val="center"/>
              <w:rPr>
                <w:szCs w:val="18"/>
                <w:lang w:val="en-AU"/>
              </w:rPr>
            </w:pPr>
            <w:r w:rsidRPr="00F60E93">
              <w:rPr>
                <w:szCs w:val="18"/>
                <w:lang w:val="en-AU"/>
              </w:rPr>
              <w:t xml:space="preserve">327 </w:t>
            </w:r>
            <w:r w:rsidRPr="00F60E93">
              <w:rPr>
                <w:szCs w:val="18"/>
                <w:lang w:val="en-AU"/>
              </w:rPr>
              <w:br/>
              <w:t>(148; 725)</w:t>
            </w:r>
          </w:p>
        </w:tc>
        <w:tc>
          <w:tcPr>
            <w:tcW w:w="374" w:type="pct"/>
            <w:shd w:val="clear" w:color="auto" w:fill="FFFFFF"/>
          </w:tcPr>
          <w:p w14:paraId="228C5433" w14:textId="77777777" w:rsidR="00E04242" w:rsidRPr="00F60E93" w:rsidRDefault="00E04242" w:rsidP="00B631D7">
            <w:pPr>
              <w:pStyle w:val="wcpTableContentSmall"/>
              <w:jc w:val="center"/>
              <w:rPr>
                <w:szCs w:val="18"/>
                <w:lang w:val="en-AU"/>
              </w:rPr>
            </w:pPr>
            <w:r w:rsidRPr="00F60E93">
              <w:rPr>
                <w:szCs w:val="18"/>
                <w:lang w:val="en-AU"/>
              </w:rPr>
              <w:t xml:space="preserve">695 </w:t>
            </w:r>
            <w:r w:rsidRPr="00F60E93">
              <w:rPr>
                <w:szCs w:val="18"/>
                <w:lang w:val="en-AU"/>
              </w:rPr>
              <w:br/>
              <w:t>(335; 1443)</w:t>
            </w:r>
          </w:p>
        </w:tc>
        <w:tc>
          <w:tcPr>
            <w:tcW w:w="221" w:type="pct"/>
            <w:shd w:val="clear" w:color="auto" w:fill="FFFFFF"/>
          </w:tcPr>
          <w:p w14:paraId="7C86F480" w14:textId="77777777" w:rsidR="00E04242" w:rsidRPr="00F60E93" w:rsidRDefault="00E04242" w:rsidP="00B631D7">
            <w:pPr>
              <w:pStyle w:val="wcpTableContentSmall"/>
              <w:jc w:val="center"/>
              <w:rPr>
                <w:szCs w:val="18"/>
                <w:lang w:val="en-AU"/>
              </w:rPr>
            </w:pPr>
            <w:r w:rsidRPr="00F60E93">
              <w:rPr>
                <w:szCs w:val="18"/>
                <w:lang w:val="en-AU"/>
              </w:rPr>
              <w:t>20</w:t>
            </w:r>
          </w:p>
        </w:tc>
        <w:tc>
          <w:tcPr>
            <w:tcW w:w="374" w:type="pct"/>
            <w:shd w:val="clear" w:color="auto" w:fill="FFFFFF"/>
          </w:tcPr>
          <w:p w14:paraId="605ED9BE" w14:textId="77777777" w:rsidR="00E04242" w:rsidRPr="00F60E93" w:rsidRDefault="00E04242" w:rsidP="00B631D7">
            <w:pPr>
              <w:pStyle w:val="wcpTableContentSmall"/>
              <w:jc w:val="center"/>
              <w:rPr>
                <w:szCs w:val="18"/>
                <w:lang w:val="en-AU"/>
              </w:rPr>
            </w:pPr>
            <w:r w:rsidRPr="00F60E93">
              <w:rPr>
                <w:szCs w:val="18"/>
                <w:lang w:val="en-AU"/>
              </w:rPr>
              <w:t xml:space="preserve">350 </w:t>
            </w:r>
            <w:r w:rsidRPr="00F60E93">
              <w:rPr>
                <w:szCs w:val="18"/>
                <w:lang w:val="en-AU"/>
              </w:rPr>
              <w:br/>
              <w:t>(168; 730)</w:t>
            </w:r>
          </w:p>
        </w:tc>
        <w:tc>
          <w:tcPr>
            <w:tcW w:w="374" w:type="pct"/>
            <w:shd w:val="clear" w:color="auto" w:fill="FFFFFF"/>
          </w:tcPr>
          <w:p w14:paraId="31D448FB" w14:textId="77777777" w:rsidR="00E04242" w:rsidRPr="00F60E93" w:rsidRDefault="00E04242" w:rsidP="00B631D7">
            <w:pPr>
              <w:pStyle w:val="wcpTableContentSmall"/>
              <w:jc w:val="center"/>
              <w:rPr>
                <w:szCs w:val="18"/>
                <w:lang w:val="en-AU"/>
              </w:rPr>
            </w:pPr>
            <w:r w:rsidRPr="00F60E93">
              <w:rPr>
                <w:szCs w:val="18"/>
                <w:lang w:val="en-AU"/>
              </w:rPr>
              <w:t xml:space="preserve">825 </w:t>
            </w:r>
            <w:r w:rsidRPr="00F60E93">
              <w:rPr>
                <w:szCs w:val="18"/>
                <w:lang w:val="en-AU"/>
              </w:rPr>
              <w:br/>
              <w:t>(493; 1383)</w:t>
            </w:r>
          </w:p>
        </w:tc>
        <w:tc>
          <w:tcPr>
            <w:tcW w:w="221" w:type="pct"/>
            <w:shd w:val="clear" w:color="auto" w:fill="FFFFFF"/>
          </w:tcPr>
          <w:p w14:paraId="3800A1CC" w14:textId="77777777" w:rsidR="00E04242" w:rsidRPr="00F60E93" w:rsidRDefault="00E04242" w:rsidP="00B631D7">
            <w:pPr>
              <w:pStyle w:val="wcpTableContentSmall"/>
              <w:jc w:val="center"/>
              <w:rPr>
                <w:szCs w:val="18"/>
                <w:lang w:val="en-AU"/>
              </w:rPr>
            </w:pPr>
            <w:r w:rsidRPr="00F60E93">
              <w:rPr>
                <w:szCs w:val="18"/>
                <w:lang w:val="en-AU"/>
              </w:rPr>
              <w:t>20</w:t>
            </w:r>
          </w:p>
        </w:tc>
        <w:tc>
          <w:tcPr>
            <w:tcW w:w="374" w:type="pct"/>
            <w:shd w:val="clear" w:color="auto" w:fill="FFFFFF"/>
          </w:tcPr>
          <w:p w14:paraId="0B4BD612" w14:textId="77777777" w:rsidR="00E04242" w:rsidRPr="00F60E93" w:rsidRDefault="00E04242" w:rsidP="00B631D7">
            <w:pPr>
              <w:pStyle w:val="wcpTableContentSmall"/>
              <w:jc w:val="center"/>
              <w:rPr>
                <w:szCs w:val="18"/>
                <w:lang w:val="en-AU"/>
              </w:rPr>
            </w:pPr>
            <w:r w:rsidRPr="00F60E93">
              <w:rPr>
                <w:szCs w:val="18"/>
                <w:lang w:val="en-AU"/>
              </w:rPr>
              <w:t xml:space="preserve">160 </w:t>
            </w:r>
            <w:r w:rsidRPr="00F60E93">
              <w:rPr>
                <w:szCs w:val="18"/>
                <w:lang w:val="en-AU"/>
              </w:rPr>
              <w:br/>
              <w:t>(87.5; 291)</w:t>
            </w:r>
          </w:p>
        </w:tc>
        <w:tc>
          <w:tcPr>
            <w:tcW w:w="374" w:type="pct"/>
            <w:shd w:val="clear" w:color="auto" w:fill="FFFFFF"/>
          </w:tcPr>
          <w:p w14:paraId="77602489" w14:textId="77777777" w:rsidR="00E04242" w:rsidRPr="00F60E93" w:rsidRDefault="00E04242" w:rsidP="00B631D7">
            <w:pPr>
              <w:pStyle w:val="wcpTableContentSmall"/>
              <w:jc w:val="center"/>
              <w:rPr>
                <w:szCs w:val="18"/>
                <w:lang w:val="en-AU"/>
              </w:rPr>
            </w:pPr>
            <w:r w:rsidRPr="00F60E93">
              <w:rPr>
                <w:szCs w:val="18"/>
                <w:lang w:val="en-AU"/>
              </w:rPr>
              <w:t xml:space="preserve">424 </w:t>
            </w:r>
            <w:r w:rsidRPr="00F60E93">
              <w:rPr>
                <w:szCs w:val="18"/>
                <w:lang w:val="en-AU"/>
              </w:rPr>
              <w:br/>
              <w:t>(286; 627)</w:t>
            </w:r>
          </w:p>
        </w:tc>
        <w:tc>
          <w:tcPr>
            <w:tcW w:w="221" w:type="pct"/>
            <w:shd w:val="clear" w:color="auto" w:fill="FFFFFF"/>
          </w:tcPr>
          <w:p w14:paraId="3E669E38" w14:textId="77777777" w:rsidR="00E04242" w:rsidRPr="00F60E93" w:rsidRDefault="00E04242" w:rsidP="00B631D7">
            <w:pPr>
              <w:pStyle w:val="wcpTableContentSmall"/>
              <w:jc w:val="center"/>
              <w:rPr>
                <w:szCs w:val="18"/>
                <w:lang w:val="en-AU"/>
              </w:rPr>
            </w:pPr>
            <w:r w:rsidRPr="00F60E93">
              <w:rPr>
                <w:szCs w:val="18"/>
                <w:lang w:val="en-AU"/>
              </w:rPr>
              <w:t>20</w:t>
            </w:r>
          </w:p>
        </w:tc>
        <w:tc>
          <w:tcPr>
            <w:tcW w:w="374" w:type="pct"/>
            <w:shd w:val="clear" w:color="auto" w:fill="FFFFFF"/>
          </w:tcPr>
          <w:p w14:paraId="01D0AD54" w14:textId="77777777" w:rsidR="00E04242" w:rsidRPr="00F60E93" w:rsidRDefault="00E04242" w:rsidP="00B631D7">
            <w:pPr>
              <w:pStyle w:val="wcpTableContentSmall"/>
              <w:jc w:val="center"/>
              <w:rPr>
                <w:szCs w:val="18"/>
                <w:lang w:val="en-AU"/>
              </w:rPr>
            </w:pPr>
            <w:r w:rsidRPr="00F60E93">
              <w:rPr>
                <w:szCs w:val="18"/>
                <w:lang w:val="en-AU"/>
              </w:rPr>
              <w:t xml:space="preserve">75.0 </w:t>
            </w:r>
            <w:r w:rsidRPr="00F60E93">
              <w:rPr>
                <w:szCs w:val="18"/>
                <w:lang w:val="en-AU"/>
              </w:rPr>
              <w:br/>
              <w:t>(35.0; 161)</w:t>
            </w:r>
          </w:p>
        </w:tc>
        <w:tc>
          <w:tcPr>
            <w:tcW w:w="374" w:type="pct"/>
            <w:shd w:val="clear" w:color="auto" w:fill="FFFFFF"/>
          </w:tcPr>
          <w:p w14:paraId="3D9620F8" w14:textId="77777777" w:rsidR="00E04242" w:rsidRPr="00F60E93" w:rsidRDefault="00E04242" w:rsidP="00B631D7">
            <w:pPr>
              <w:pStyle w:val="wcpTableContentSmall"/>
              <w:jc w:val="center"/>
              <w:rPr>
                <w:szCs w:val="18"/>
                <w:lang w:val="en-AU"/>
              </w:rPr>
            </w:pPr>
            <w:r w:rsidRPr="00F60E93">
              <w:rPr>
                <w:szCs w:val="18"/>
                <w:lang w:val="en-AU"/>
              </w:rPr>
              <w:t xml:space="preserve">375 </w:t>
            </w:r>
            <w:r w:rsidRPr="00F60E93">
              <w:rPr>
                <w:szCs w:val="18"/>
                <w:lang w:val="en-AU"/>
              </w:rPr>
              <w:br/>
              <w:t>(251; 561)</w:t>
            </w:r>
          </w:p>
        </w:tc>
      </w:tr>
      <w:tr w:rsidR="00E04242" w:rsidRPr="00F60E93" w14:paraId="16C2153D" w14:textId="77777777" w:rsidTr="003F0D9E">
        <w:trPr>
          <w:cantSplit/>
        </w:trPr>
        <w:tc>
          <w:tcPr>
            <w:tcW w:w="417" w:type="pct"/>
            <w:vMerge/>
            <w:shd w:val="clear" w:color="auto" w:fill="FFFFFF"/>
          </w:tcPr>
          <w:p w14:paraId="78A07841" w14:textId="77777777" w:rsidR="00E04242" w:rsidRPr="00F60E93" w:rsidRDefault="00E04242" w:rsidP="00B631D7">
            <w:pPr>
              <w:pStyle w:val="wcpTableContentSmall"/>
              <w:rPr>
                <w:b/>
                <w:lang w:val="en-AU"/>
              </w:rPr>
            </w:pPr>
          </w:p>
        </w:tc>
        <w:tc>
          <w:tcPr>
            <w:tcW w:w="380" w:type="pct"/>
            <w:vMerge/>
            <w:shd w:val="clear" w:color="auto" w:fill="FFFFFF"/>
          </w:tcPr>
          <w:p w14:paraId="3F325D62" w14:textId="77777777" w:rsidR="00E04242" w:rsidRPr="00F60E93" w:rsidRDefault="00E04242" w:rsidP="00B631D7">
            <w:pPr>
              <w:pStyle w:val="wcpTableContentSmall"/>
              <w:rPr>
                <w:b/>
                <w:lang w:val="en-AU"/>
              </w:rPr>
            </w:pPr>
          </w:p>
        </w:tc>
        <w:tc>
          <w:tcPr>
            <w:tcW w:w="325" w:type="pct"/>
            <w:shd w:val="clear" w:color="auto" w:fill="FFFFFF"/>
          </w:tcPr>
          <w:p w14:paraId="0A35578A" w14:textId="77777777" w:rsidR="00E04242" w:rsidRPr="00F60E93" w:rsidRDefault="00E04242" w:rsidP="00B631D7">
            <w:pPr>
              <w:pStyle w:val="wcpTableContentSmall"/>
              <w:rPr>
                <w:b/>
                <w:lang w:val="en-AU"/>
              </w:rPr>
            </w:pPr>
            <w:r w:rsidRPr="00F60E93">
              <w:rPr>
                <w:b/>
                <w:lang w:val="en-AU"/>
              </w:rPr>
              <w:t>CYD28</w:t>
            </w:r>
          </w:p>
        </w:tc>
        <w:tc>
          <w:tcPr>
            <w:tcW w:w="221" w:type="pct"/>
            <w:shd w:val="clear" w:color="auto" w:fill="FFFFFF"/>
          </w:tcPr>
          <w:p w14:paraId="3B6C01EE" w14:textId="77777777" w:rsidR="00E04242" w:rsidRPr="00F60E93" w:rsidRDefault="00E04242" w:rsidP="00B631D7">
            <w:pPr>
              <w:pStyle w:val="wcpTableContentSmall"/>
              <w:jc w:val="center"/>
              <w:rPr>
                <w:szCs w:val="18"/>
                <w:lang w:val="en-AU"/>
              </w:rPr>
            </w:pPr>
            <w:r w:rsidRPr="00F60E93">
              <w:rPr>
                <w:szCs w:val="18"/>
                <w:lang w:val="en-AU"/>
              </w:rPr>
              <w:t>148</w:t>
            </w:r>
          </w:p>
        </w:tc>
        <w:tc>
          <w:tcPr>
            <w:tcW w:w="374" w:type="pct"/>
            <w:shd w:val="clear" w:color="auto" w:fill="FFFFFF"/>
          </w:tcPr>
          <w:p w14:paraId="3992D52A" w14:textId="77777777" w:rsidR="00E04242" w:rsidRPr="00F60E93" w:rsidRDefault="00E04242" w:rsidP="00B631D7">
            <w:pPr>
              <w:pStyle w:val="wcpTableContentSmall"/>
              <w:jc w:val="center"/>
              <w:rPr>
                <w:szCs w:val="18"/>
                <w:lang w:val="en-AU"/>
              </w:rPr>
            </w:pPr>
            <w:r w:rsidRPr="00F60E93">
              <w:rPr>
                <w:szCs w:val="18"/>
                <w:lang w:val="en-AU"/>
              </w:rPr>
              <w:t xml:space="preserve">15.8 </w:t>
            </w:r>
            <w:r w:rsidRPr="00F60E93">
              <w:rPr>
                <w:szCs w:val="18"/>
                <w:lang w:val="en-AU"/>
              </w:rPr>
              <w:br/>
              <w:t>(11.7; 21.5)</w:t>
            </w:r>
          </w:p>
        </w:tc>
        <w:tc>
          <w:tcPr>
            <w:tcW w:w="374" w:type="pct"/>
            <w:shd w:val="clear" w:color="auto" w:fill="FFFFFF"/>
          </w:tcPr>
          <w:p w14:paraId="51086D98" w14:textId="77777777" w:rsidR="00E04242" w:rsidRPr="00F60E93" w:rsidRDefault="00E04242" w:rsidP="00B631D7">
            <w:pPr>
              <w:pStyle w:val="wcpTableContentSmall"/>
              <w:jc w:val="center"/>
              <w:rPr>
                <w:szCs w:val="18"/>
                <w:lang w:val="en-AU"/>
              </w:rPr>
            </w:pPr>
            <w:r w:rsidRPr="00F60E93">
              <w:rPr>
                <w:szCs w:val="18"/>
                <w:lang w:val="en-AU"/>
              </w:rPr>
              <w:t xml:space="preserve">48.7 </w:t>
            </w:r>
            <w:r w:rsidRPr="00F60E93">
              <w:rPr>
                <w:szCs w:val="18"/>
                <w:lang w:val="en-AU"/>
              </w:rPr>
              <w:br/>
              <w:t>(33.6; 70.4)</w:t>
            </w:r>
          </w:p>
        </w:tc>
        <w:tc>
          <w:tcPr>
            <w:tcW w:w="221" w:type="pct"/>
            <w:shd w:val="clear" w:color="auto" w:fill="FFFFFF"/>
          </w:tcPr>
          <w:p w14:paraId="4B61490B" w14:textId="77777777" w:rsidR="00E04242" w:rsidRPr="00F60E93" w:rsidRDefault="00E04242" w:rsidP="00B631D7">
            <w:pPr>
              <w:pStyle w:val="wcpTableContentSmall"/>
              <w:jc w:val="center"/>
              <w:rPr>
                <w:szCs w:val="18"/>
                <w:lang w:val="en-AU"/>
              </w:rPr>
            </w:pPr>
            <w:r w:rsidRPr="00F60E93">
              <w:rPr>
                <w:szCs w:val="18"/>
                <w:lang w:val="en-AU"/>
              </w:rPr>
              <w:t>148</w:t>
            </w:r>
          </w:p>
        </w:tc>
        <w:tc>
          <w:tcPr>
            <w:tcW w:w="374" w:type="pct"/>
            <w:shd w:val="clear" w:color="auto" w:fill="FFFFFF"/>
          </w:tcPr>
          <w:p w14:paraId="6E3C0941" w14:textId="77777777" w:rsidR="00E04242" w:rsidRPr="00F60E93" w:rsidRDefault="00E04242" w:rsidP="00B631D7">
            <w:pPr>
              <w:pStyle w:val="wcpTableContentSmall"/>
              <w:jc w:val="center"/>
              <w:rPr>
                <w:szCs w:val="18"/>
                <w:lang w:val="en-AU"/>
              </w:rPr>
            </w:pPr>
            <w:r w:rsidRPr="00F60E93">
              <w:rPr>
                <w:szCs w:val="18"/>
                <w:lang w:val="en-AU"/>
              </w:rPr>
              <w:t xml:space="preserve">16.9 </w:t>
            </w:r>
            <w:r w:rsidRPr="00F60E93">
              <w:rPr>
                <w:szCs w:val="18"/>
                <w:lang w:val="en-AU"/>
              </w:rPr>
              <w:br/>
              <w:t>(12.3; 23.1)</w:t>
            </w:r>
          </w:p>
        </w:tc>
        <w:tc>
          <w:tcPr>
            <w:tcW w:w="374" w:type="pct"/>
            <w:shd w:val="clear" w:color="auto" w:fill="FFFFFF"/>
          </w:tcPr>
          <w:p w14:paraId="103BEFC9" w14:textId="77777777" w:rsidR="00E04242" w:rsidRPr="00F60E93" w:rsidRDefault="00E04242" w:rsidP="00B631D7">
            <w:pPr>
              <w:pStyle w:val="wcpTableContentSmall"/>
              <w:jc w:val="center"/>
              <w:rPr>
                <w:szCs w:val="18"/>
                <w:lang w:val="en-AU"/>
              </w:rPr>
            </w:pPr>
            <w:r w:rsidRPr="00F60E93">
              <w:rPr>
                <w:szCs w:val="18"/>
                <w:lang w:val="en-AU"/>
              </w:rPr>
              <w:t xml:space="preserve">66.9 </w:t>
            </w:r>
            <w:r w:rsidRPr="00F60E93">
              <w:rPr>
                <w:szCs w:val="18"/>
                <w:lang w:val="en-AU"/>
              </w:rPr>
              <w:br/>
              <w:t>(47.9; 93.5)</w:t>
            </w:r>
          </w:p>
        </w:tc>
        <w:tc>
          <w:tcPr>
            <w:tcW w:w="221" w:type="pct"/>
            <w:shd w:val="clear" w:color="auto" w:fill="FFFFFF"/>
          </w:tcPr>
          <w:p w14:paraId="666ABE85" w14:textId="77777777" w:rsidR="00E04242" w:rsidRPr="00F60E93" w:rsidRDefault="00E04242" w:rsidP="00B631D7">
            <w:pPr>
              <w:pStyle w:val="wcpTableContentSmall"/>
              <w:jc w:val="center"/>
              <w:rPr>
                <w:szCs w:val="18"/>
                <w:lang w:val="en-AU"/>
              </w:rPr>
            </w:pPr>
            <w:r w:rsidRPr="00F60E93">
              <w:rPr>
                <w:szCs w:val="18"/>
                <w:lang w:val="en-AU"/>
              </w:rPr>
              <w:t>148</w:t>
            </w:r>
          </w:p>
        </w:tc>
        <w:tc>
          <w:tcPr>
            <w:tcW w:w="374" w:type="pct"/>
            <w:shd w:val="clear" w:color="auto" w:fill="FFFFFF"/>
          </w:tcPr>
          <w:p w14:paraId="281BDF9E" w14:textId="77777777" w:rsidR="00E04242" w:rsidRPr="00F60E93" w:rsidRDefault="00E04242" w:rsidP="00B631D7">
            <w:pPr>
              <w:pStyle w:val="wcpTableContentSmall"/>
              <w:jc w:val="center"/>
              <w:rPr>
                <w:szCs w:val="18"/>
                <w:lang w:val="en-AU"/>
              </w:rPr>
            </w:pPr>
            <w:r w:rsidRPr="00F60E93">
              <w:rPr>
                <w:szCs w:val="18"/>
                <w:lang w:val="en-AU"/>
              </w:rPr>
              <w:t xml:space="preserve">14.5 </w:t>
            </w:r>
            <w:r w:rsidRPr="00F60E93">
              <w:rPr>
                <w:szCs w:val="18"/>
                <w:lang w:val="en-AU"/>
              </w:rPr>
              <w:br/>
              <w:t>(11.2; 18.7)</w:t>
            </w:r>
          </w:p>
        </w:tc>
        <w:tc>
          <w:tcPr>
            <w:tcW w:w="374" w:type="pct"/>
            <w:shd w:val="clear" w:color="auto" w:fill="FFFFFF"/>
          </w:tcPr>
          <w:p w14:paraId="505E6812" w14:textId="77777777" w:rsidR="00E04242" w:rsidRPr="00F60E93" w:rsidRDefault="00E04242" w:rsidP="00B631D7">
            <w:pPr>
              <w:pStyle w:val="wcpTableContentSmall"/>
              <w:jc w:val="center"/>
              <w:rPr>
                <w:szCs w:val="18"/>
                <w:lang w:val="en-AU"/>
              </w:rPr>
            </w:pPr>
            <w:r w:rsidRPr="00F60E93">
              <w:rPr>
                <w:szCs w:val="18"/>
                <w:lang w:val="en-AU"/>
              </w:rPr>
              <w:t xml:space="preserve">88.4 </w:t>
            </w:r>
            <w:r w:rsidRPr="00F60E93">
              <w:rPr>
                <w:szCs w:val="18"/>
                <w:lang w:val="en-AU"/>
              </w:rPr>
              <w:br/>
              <w:t>(68.6; 114)</w:t>
            </w:r>
          </w:p>
        </w:tc>
        <w:tc>
          <w:tcPr>
            <w:tcW w:w="221" w:type="pct"/>
            <w:shd w:val="clear" w:color="auto" w:fill="FFFFFF"/>
          </w:tcPr>
          <w:p w14:paraId="50CB52CE" w14:textId="77777777" w:rsidR="00E04242" w:rsidRPr="00F60E93" w:rsidRDefault="00E04242" w:rsidP="00B631D7">
            <w:pPr>
              <w:pStyle w:val="wcpTableContentSmall"/>
              <w:jc w:val="center"/>
              <w:rPr>
                <w:szCs w:val="18"/>
                <w:lang w:val="en-AU"/>
              </w:rPr>
            </w:pPr>
            <w:r w:rsidRPr="00F60E93">
              <w:rPr>
                <w:szCs w:val="18"/>
                <w:lang w:val="en-AU"/>
              </w:rPr>
              <w:t>148</w:t>
            </w:r>
          </w:p>
        </w:tc>
        <w:tc>
          <w:tcPr>
            <w:tcW w:w="374" w:type="pct"/>
            <w:shd w:val="clear" w:color="auto" w:fill="FFFFFF"/>
          </w:tcPr>
          <w:p w14:paraId="233481A1" w14:textId="77777777" w:rsidR="00E04242" w:rsidRPr="00F60E93" w:rsidRDefault="00E04242" w:rsidP="00B631D7">
            <w:pPr>
              <w:pStyle w:val="wcpTableContentSmall"/>
              <w:jc w:val="center"/>
              <w:rPr>
                <w:szCs w:val="18"/>
                <w:lang w:val="en-AU"/>
              </w:rPr>
            </w:pPr>
            <w:r w:rsidRPr="00F60E93">
              <w:rPr>
                <w:szCs w:val="18"/>
                <w:lang w:val="en-AU"/>
              </w:rPr>
              <w:t xml:space="preserve">10.1 </w:t>
            </w:r>
            <w:r w:rsidRPr="00F60E93">
              <w:rPr>
                <w:szCs w:val="18"/>
                <w:lang w:val="en-AU"/>
              </w:rPr>
              <w:br/>
              <w:t>(8.03; 12.7)</w:t>
            </w:r>
          </w:p>
        </w:tc>
        <w:tc>
          <w:tcPr>
            <w:tcW w:w="374" w:type="pct"/>
            <w:shd w:val="clear" w:color="auto" w:fill="FFFFFF"/>
          </w:tcPr>
          <w:p w14:paraId="305DBA55" w14:textId="77777777" w:rsidR="00E04242" w:rsidRPr="00F60E93" w:rsidRDefault="00E04242" w:rsidP="00B631D7">
            <w:pPr>
              <w:pStyle w:val="wcpTableContentSmall"/>
              <w:jc w:val="center"/>
              <w:rPr>
                <w:szCs w:val="18"/>
                <w:lang w:val="en-AU"/>
              </w:rPr>
            </w:pPr>
            <w:r w:rsidRPr="00F60E93">
              <w:rPr>
                <w:szCs w:val="18"/>
                <w:lang w:val="en-AU"/>
              </w:rPr>
              <w:t xml:space="preserve">122 </w:t>
            </w:r>
            <w:r w:rsidRPr="00F60E93">
              <w:rPr>
                <w:szCs w:val="18"/>
                <w:lang w:val="en-AU"/>
              </w:rPr>
              <w:br/>
              <w:t>(96.5; 155)</w:t>
            </w:r>
          </w:p>
        </w:tc>
      </w:tr>
      <w:tr w:rsidR="00E04242" w:rsidRPr="00F60E93" w14:paraId="047C406C" w14:textId="77777777" w:rsidTr="003F0D9E">
        <w:trPr>
          <w:cantSplit/>
        </w:trPr>
        <w:tc>
          <w:tcPr>
            <w:tcW w:w="417" w:type="pct"/>
            <w:vMerge/>
            <w:shd w:val="clear" w:color="auto" w:fill="FFFFFF"/>
          </w:tcPr>
          <w:p w14:paraId="2EB58E24" w14:textId="77777777" w:rsidR="00E04242" w:rsidRPr="00F60E93" w:rsidRDefault="00E04242" w:rsidP="00B631D7">
            <w:pPr>
              <w:pStyle w:val="wcpTableContentSmall"/>
              <w:rPr>
                <w:b/>
                <w:lang w:val="en-AU"/>
              </w:rPr>
            </w:pPr>
          </w:p>
        </w:tc>
        <w:tc>
          <w:tcPr>
            <w:tcW w:w="380" w:type="pct"/>
            <w:vMerge/>
            <w:shd w:val="clear" w:color="auto" w:fill="FFFFFF"/>
          </w:tcPr>
          <w:p w14:paraId="061AD1C6" w14:textId="77777777" w:rsidR="00E04242" w:rsidRPr="00F60E93" w:rsidRDefault="00E04242" w:rsidP="00B631D7">
            <w:pPr>
              <w:pStyle w:val="wcpTableContentSmall"/>
              <w:rPr>
                <w:b/>
                <w:lang w:val="en-AU"/>
              </w:rPr>
            </w:pPr>
          </w:p>
        </w:tc>
        <w:tc>
          <w:tcPr>
            <w:tcW w:w="325" w:type="pct"/>
            <w:shd w:val="clear" w:color="auto" w:fill="FFFFFF"/>
          </w:tcPr>
          <w:p w14:paraId="4DEE5279" w14:textId="77777777" w:rsidR="00E04242" w:rsidRPr="00F60E93" w:rsidRDefault="00E04242" w:rsidP="00B631D7">
            <w:pPr>
              <w:pStyle w:val="wcpTableContentSmall"/>
              <w:rPr>
                <w:b/>
                <w:lang w:val="en-AU"/>
              </w:rPr>
            </w:pPr>
            <w:r w:rsidRPr="00F60E93">
              <w:rPr>
                <w:b/>
                <w:lang w:val="en-AU"/>
              </w:rPr>
              <w:t>CYD47</w:t>
            </w:r>
          </w:p>
        </w:tc>
        <w:tc>
          <w:tcPr>
            <w:tcW w:w="221" w:type="pct"/>
            <w:shd w:val="clear" w:color="auto" w:fill="FFFFFF"/>
          </w:tcPr>
          <w:p w14:paraId="4ADED8FA" w14:textId="77777777" w:rsidR="00E04242" w:rsidRPr="00F60E93" w:rsidRDefault="00E04242" w:rsidP="00B631D7">
            <w:pPr>
              <w:pStyle w:val="wcpTableContentSmall"/>
              <w:jc w:val="center"/>
              <w:rPr>
                <w:szCs w:val="18"/>
                <w:lang w:val="en-AU"/>
              </w:rPr>
            </w:pPr>
            <w:r w:rsidRPr="00F60E93">
              <w:rPr>
                <w:szCs w:val="18"/>
                <w:lang w:val="en-AU"/>
              </w:rPr>
              <w:t>126</w:t>
            </w:r>
          </w:p>
        </w:tc>
        <w:tc>
          <w:tcPr>
            <w:tcW w:w="374" w:type="pct"/>
            <w:shd w:val="clear" w:color="auto" w:fill="FFFFFF"/>
          </w:tcPr>
          <w:p w14:paraId="6236D3AC" w14:textId="77777777" w:rsidR="00E04242" w:rsidRPr="00F60E93" w:rsidRDefault="00E04242" w:rsidP="00B631D7">
            <w:pPr>
              <w:pStyle w:val="wcpTableContentSmall"/>
              <w:jc w:val="center"/>
              <w:rPr>
                <w:szCs w:val="18"/>
                <w:lang w:val="en-AU"/>
              </w:rPr>
            </w:pPr>
            <w:r w:rsidRPr="00F60E93">
              <w:rPr>
                <w:szCs w:val="18"/>
                <w:lang w:val="en-AU"/>
              </w:rPr>
              <w:t xml:space="preserve">184 </w:t>
            </w:r>
            <w:r w:rsidRPr="00F60E93">
              <w:rPr>
                <w:szCs w:val="18"/>
                <w:lang w:val="en-AU"/>
              </w:rPr>
              <w:br/>
              <w:t>(127; 268)</w:t>
            </w:r>
          </w:p>
        </w:tc>
        <w:tc>
          <w:tcPr>
            <w:tcW w:w="374" w:type="pct"/>
            <w:shd w:val="clear" w:color="auto" w:fill="FFFFFF"/>
          </w:tcPr>
          <w:p w14:paraId="6C635A0E" w14:textId="77777777" w:rsidR="00E04242" w:rsidRPr="00F60E93" w:rsidRDefault="00E04242" w:rsidP="00B631D7">
            <w:pPr>
              <w:pStyle w:val="wcpTableContentSmall"/>
              <w:jc w:val="center"/>
              <w:rPr>
                <w:szCs w:val="18"/>
                <w:lang w:val="en-AU"/>
              </w:rPr>
            </w:pPr>
            <w:r w:rsidRPr="00F60E93">
              <w:rPr>
                <w:szCs w:val="18"/>
                <w:lang w:val="en-AU"/>
              </w:rPr>
              <w:t>461</w:t>
            </w:r>
            <w:r w:rsidRPr="00F60E93">
              <w:rPr>
                <w:szCs w:val="18"/>
                <w:lang w:val="en-AU"/>
              </w:rPr>
              <w:br/>
              <w:t xml:space="preserve"> (340; 625)</w:t>
            </w:r>
          </w:p>
        </w:tc>
        <w:tc>
          <w:tcPr>
            <w:tcW w:w="221" w:type="pct"/>
            <w:shd w:val="clear" w:color="auto" w:fill="FFFFFF"/>
          </w:tcPr>
          <w:p w14:paraId="3A82AC7E" w14:textId="77777777" w:rsidR="00E04242" w:rsidRPr="00F60E93" w:rsidRDefault="00E04242" w:rsidP="00B631D7">
            <w:pPr>
              <w:pStyle w:val="wcpTableContentSmall"/>
              <w:jc w:val="center"/>
              <w:rPr>
                <w:szCs w:val="18"/>
                <w:lang w:val="en-AU"/>
              </w:rPr>
            </w:pPr>
            <w:r w:rsidRPr="00F60E93">
              <w:rPr>
                <w:szCs w:val="18"/>
                <w:lang w:val="en-AU"/>
              </w:rPr>
              <w:t>126</w:t>
            </w:r>
          </w:p>
        </w:tc>
        <w:tc>
          <w:tcPr>
            <w:tcW w:w="374" w:type="pct"/>
            <w:shd w:val="clear" w:color="auto" w:fill="FFFFFF"/>
          </w:tcPr>
          <w:p w14:paraId="42203CB5" w14:textId="77777777" w:rsidR="00E04242" w:rsidRPr="00F60E93" w:rsidRDefault="00E04242" w:rsidP="00B631D7">
            <w:pPr>
              <w:pStyle w:val="wcpTableContentSmall"/>
              <w:jc w:val="center"/>
              <w:rPr>
                <w:szCs w:val="18"/>
                <w:lang w:val="en-AU"/>
              </w:rPr>
            </w:pPr>
            <w:r w:rsidRPr="00F60E93">
              <w:rPr>
                <w:szCs w:val="18"/>
                <w:lang w:val="en-AU"/>
              </w:rPr>
              <w:t xml:space="preserve">204 </w:t>
            </w:r>
            <w:r w:rsidRPr="00F60E93">
              <w:rPr>
                <w:szCs w:val="18"/>
                <w:lang w:val="en-AU"/>
              </w:rPr>
              <w:br/>
              <w:t>(141; 294)</w:t>
            </w:r>
          </w:p>
        </w:tc>
        <w:tc>
          <w:tcPr>
            <w:tcW w:w="374" w:type="pct"/>
            <w:shd w:val="clear" w:color="auto" w:fill="FFFFFF"/>
          </w:tcPr>
          <w:p w14:paraId="69C5CAE9" w14:textId="77777777" w:rsidR="00E04242" w:rsidRPr="00F60E93" w:rsidRDefault="00E04242" w:rsidP="00B631D7">
            <w:pPr>
              <w:pStyle w:val="wcpTableContentSmall"/>
              <w:jc w:val="center"/>
              <w:rPr>
                <w:szCs w:val="18"/>
                <w:lang w:val="en-AU"/>
              </w:rPr>
            </w:pPr>
            <w:r w:rsidRPr="00F60E93">
              <w:rPr>
                <w:szCs w:val="18"/>
                <w:lang w:val="en-AU"/>
              </w:rPr>
              <w:t xml:space="preserve">484 </w:t>
            </w:r>
            <w:r w:rsidRPr="00F60E93">
              <w:rPr>
                <w:szCs w:val="18"/>
                <w:lang w:val="en-AU"/>
              </w:rPr>
              <w:br/>
              <w:t>(370; 634)</w:t>
            </w:r>
          </w:p>
        </w:tc>
        <w:tc>
          <w:tcPr>
            <w:tcW w:w="221" w:type="pct"/>
            <w:shd w:val="clear" w:color="auto" w:fill="FFFFFF"/>
          </w:tcPr>
          <w:p w14:paraId="640640B5" w14:textId="77777777" w:rsidR="00E04242" w:rsidRPr="00F60E93" w:rsidRDefault="00E04242" w:rsidP="00B631D7">
            <w:pPr>
              <w:pStyle w:val="wcpTableContentSmall"/>
              <w:jc w:val="center"/>
              <w:rPr>
                <w:szCs w:val="18"/>
                <w:lang w:val="en-AU"/>
              </w:rPr>
            </w:pPr>
            <w:r w:rsidRPr="00F60E93">
              <w:rPr>
                <w:szCs w:val="18"/>
                <w:lang w:val="en-AU"/>
              </w:rPr>
              <w:t>126</w:t>
            </w:r>
          </w:p>
        </w:tc>
        <w:tc>
          <w:tcPr>
            <w:tcW w:w="374" w:type="pct"/>
            <w:shd w:val="clear" w:color="auto" w:fill="FFFFFF"/>
          </w:tcPr>
          <w:p w14:paraId="5EED4774" w14:textId="77777777" w:rsidR="00E04242" w:rsidRPr="00F60E93" w:rsidRDefault="00E04242" w:rsidP="00B631D7">
            <w:pPr>
              <w:pStyle w:val="wcpTableContentSmall"/>
              <w:jc w:val="center"/>
              <w:rPr>
                <w:szCs w:val="18"/>
                <w:lang w:val="en-AU"/>
              </w:rPr>
            </w:pPr>
            <w:r w:rsidRPr="00F60E93">
              <w:rPr>
                <w:szCs w:val="18"/>
                <w:lang w:val="en-AU"/>
              </w:rPr>
              <w:t xml:space="preserve">219 </w:t>
            </w:r>
            <w:r w:rsidRPr="00F60E93">
              <w:rPr>
                <w:szCs w:val="18"/>
                <w:lang w:val="en-AU"/>
              </w:rPr>
              <w:br/>
              <w:t>(153; 312)</w:t>
            </w:r>
          </w:p>
        </w:tc>
        <w:tc>
          <w:tcPr>
            <w:tcW w:w="374" w:type="pct"/>
            <w:shd w:val="clear" w:color="auto" w:fill="FFFFFF"/>
          </w:tcPr>
          <w:p w14:paraId="4FDB15F7" w14:textId="77777777" w:rsidR="00E04242" w:rsidRPr="00F60E93" w:rsidRDefault="00E04242" w:rsidP="00B631D7">
            <w:pPr>
              <w:pStyle w:val="wcpTableContentSmall"/>
              <w:jc w:val="center"/>
              <w:rPr>
                <w:szCs w:val="18"/>
                <w:lang w:val="en-AU"/>
              </w:rPr>
            </w:pPr>
            <w:r w:rsidRPr="00F60E93">
              <w:rPr>
                <w:szCs w:val="18"/>
                <w:lang w:val="en-AU"/>
              </w:rPr>
              <w:t xml:space="preserve">709 </w:t>
            </w:r>
            <w:r w:rsidRPr="00F60E93">
              <w:rPr>
                <w:szCs w:val="18"/>
                <w:lang w:val="en-AU"/>
              </w:rPr>
              <w:br/>
              <w:t>(552; 911)</w:t>
            </w:r>
          </w:p>
        </w:tc>
        <w:tc>
          <w:tcPr>
            <w:tcW w:w="221" w:type="pct"/>
            <w:shd w:val="clear" w:color="auto" w:fill="FFFFFF"/>
          </w:tcPr>
          <w:p w14:paraId="22E682FE" w14:textId="77777777" w:rsidR="00E04242" w:rsidRPr="00F60E93" w:rsidRDefault="00E04242" w:rsidP="00B631D7">
            <w:pPr>
              <w:pStyle w:val="wcpTableContentSmall"/>
              <w:jc w:val="center"/>
              <w:rPr>
                <w:szCs w:val="18"/>
                <w:lang w:val="en-AU"/>
              </w:rPr>
            </w:pPr>
            <w:r w:rsidRPr="00F60E93">
              <w:rPr>
                <w:szCs w:val="18"/>
                <w:lang w:val="en-AU"/>
              </w:rPr>
              <w:t>126</w:t>
            </w:r>
          </w:p>
        </w:tc>
        <w:tc>
          <w:tcPr>
            <w:tcW w:w="374" w:type="pct"/>
            <w:shd w:val="clear" w:color="auto" w:fill="FFFFFF"/>
          </w:tcPr>
          <w:p w14:paraId="003C1116" w14:textId="77777777" w:rsidR="00E04242" w:rsidRPr="00F60E93" w:rsidRDefault="00E04242" w:rsidP="00B631D7">
            <w:pPr>
              <w:pStyle w:val="wcpTableContentSmall"/>
              <w:jc w:val="center"/>
              <w:rPr>
                <w:szCs w:val="18"/>
                <w:lang w:val="en-AU"/>
              </w:rPr>
            </w:pPr>
            <w:r w:rsidRPr="00F60E93">
              <w:rPr>
                <w:szCs w:val="18"/>
                <w:lang w:val="en-AU"/>
              </w:rPr>
              <w:t xml:space="preserve">55.4 </w:t>
            </w:r>
            <w:r w:rsidRPr="00F60E93">
              <w:rPr>
                <w:szCs w:val="18"/>
                <w:lang w:val="en-AU"/>
              </w:rPr>
              <w:br/>
              <w:t>(41.4; 74.2)</w:t>
            </w:r>
          </w:p>
        </w:tc>
        <w:tc>
          <w:tcPr>
            <w:tcW w:w="374" w:type="pct"/>
            <w:shd w:val="clear" w:color="auto" w:fill="FFFFFF"/>
          </w:tcPr>
          <w:p w14:paraId="1B681F0F" w14:textId="77777777" w:rsidR="00E04242" w:rsidRPr="00F60E93" w:rsidRDefault="00E04242" w:rsidP="00B631D7">
            <w:pPr>
              <w:pStyle w:val="wcpTableContentSmall"/>
              <w:jc w:val="center"/>
              <w:rPr>
                <w:szCs w:val="18"/>
                <w:lang w:val="en-AU"/>
              </w:rPr>
            </w:pPr>
            <w:r w:rsidRPr="00F60E93">
              <w:rPr>
                <w:szCs w:val="18"/>
                <w:lang w:val="en-AU"/>
              </w:rPr>
              <w:t xml:space="preserve">336 </w:t>
            </w:r>
            <w:r w:rsidRPr="00F60E93">
              <w:rPr>
                <w:szCs w:val="18"/>
                <w:lang w:val="en-AU"/>
              </w:rPr>
              <w:br/>
              <w:t>(271; 417)</w:t>
            </w:r>
          </w:p>
        </w:tc>
      </w:tr>
      <w:tr w:rsidR="00E04242" w:rsidRPr="00F60E93" w14:paraId="5D66AED4" w14:textId="77777777" w:rsidTr="003F0D9E">
        <w:trPr>
          <w:cantSplit/>
        </w:trPr>
        <w:tc>
          <w:tcPr>
            <w:tcW w:w="417" w:type="pct"/>
            <w:vMerge w:val="restart"/>
            <w:shd w:val="clear" w:color="auto" w:fill="FFFFFF"/>
          </w:tcPr>
          <w:p w14:paraId="2DC0130D" w14:textId="77777777" w:rsidR="00E04242" w:rsidRPr="00F60E93" w:rsidRDefault="00E04242" w:rsidP="00B631D7">
            <w:pPr>
              <w:pStyle w:val="wcpTableContentSmall"/>
              <w:rPr>
                <w:b/>
                <w:lang w:val="en-AU"/>
              </w:rPr>
            </w:pPr>
            <w:r w:rsidRPr="00F60E93">
              <w:rPr>
                <w:b/>
                <w:lang w:val="en-AU"/>
              </w:rPr>
              <w:t>Subjects 9 through 17 years of age</w:t>
            </w:r>
          </w:p>
        </w:tc>
        <w:tc>
          <w:tcPr>
            <w:tcW w:w="380" w:type="pct"/>
            <w:vMerge w:val="restart"/>
            <w:shd w:val="clear" w:color="auto" w:fill="FFFFFF"/>
          </w:tcPr>
          <w:p w14:paraId="3CA7ACD2" w14:textId="77777777" w:rsidR="00E04242" w:rsidRPr="00F60E93" w:rsidRDefault="00E04242" w:rsidP="00B631D7">
            <w:pPr>
              <w:pStyle w:val="wcpTableContentSmall"/>
              <w:rPr>
                <w:b/>
                <w:lang w:val="en-AU"/>
              </w:rPr>
            </w:pPr>
            <w:r w:rsidRPr="00F60E93">
              <w:rPr>
                <w:b/>
                <w:lang w:val="en-AU"/>
              </w:rPr>
              <w:t xml:space="preserve">Endemic </w:t>
            </w:r>
          </w:p>
          <w:p w14:paraId="079DB8A1" w14:textId="77777777" w:rsidR="00E04242" w:rsidRPr="00F60E93" w:rsidRDefault="00E04242" w:rsidP="00B631D7">
            <w:pPr>
              <w:pStyle w:val="wcpTableContentSmall"/>
              <w:rPr>
                <w:b/>
                <w:lang w:val="en-AU"/>
              </w:rPr>
            </w:pPr>
            <w:r w:rsidRPr="00F60E93">
              <w:rPr>
                <w:b/>
                <w:lang w:val="en-AU"/>
              </w:rPr>
              <w:t>Asia Pacific</w:t>
            </w:r>
          </w:p>
        </w:tc>
        <w:tc>
          <w:tcPr>
            <w:tcW w:w="325" w:type="pct"/>
            <w:shd w:val="clear" w:color="auto" w:fill="FFFFFF"/>
          </w:tcPr>
          <w:p w14:paraId="48C09EC7" w14:textId="77777777" w:rsidR="00E04242" w:rsidRPr="00F60E93" w:rsidRDefault="00E04242" w:rsidP="00B631D7">
            <w:pPr>
              <w:pStyle w:val="wcpTableContentSmall"/>
              <w:rPr>
                <w:b/>
                <w:lang w:val="en-AU"/>
              </w:rPr>
            </w:pPr>
            <w:r w:rsidRPr="00F60E93">
              <w:rPr>
                <w:b/>
                <w:lang w:val="en-AU"/>
              </w:rPr>
              <w:t>CYD14</w:t>
            </w:r>
          </w:p>
        </w:tc>
        <w:tc>
          <w:tcPr>
            <w:tcW w:w="221" w:type="pct"/>
            <w:shd w:val="clear" w:color="auto" w:fill="FFFFFF"/>
          </w:tcPr>
          <w:p w14:paraId="20980B2A"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615</w:t>
            </w:r>
          </w:p>
        </w:tc>
        <w:tc>
          <w:tcPr>
            <w:tcW w:w="374" w:type="pct"/>
            <w:shd w:val="clear" w:color="auto" w:fill="FFFFFF"/>
          </w:tcPr>
          <w:p w14:paraId="03F1200E"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79.5</w:t>
            </w:r>
            <w:r w:rsidRPr="00F60E93">
              <w:rPr>
                <w:rFonts w:ascii="Times" w:hAnsi="Times" w:cs="Times"/>
                <w:sz w:val="18"/>
                <w:szCs w:val="18"/>
                <w:lang w:val="en-AU"/>
              </w:rPr>
              <w:br/>
              <w:t>(65.9; 96.0)</w:t>
            </w:r>
          </w:p>
        </w:tc>
        <w:tc>
          <w:tcPr>
            <w:tcW w:w="374" w:type="pct"/>
            <w:shd w:val="clear" w:color="auto" w:fill="FFFFFF"/>
          </w:tcPr>
          <w:p w14:paraId="54676BBD"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 xml:space="preserve">255 </w:t>
            </w:r>
            <w:r w:rsidRPr="00F60E93">
              <w:rPr>
                <w:rFonts w:ascii="Times" w:hAnsi="Times" w:cs="Times"/>
                <w:sz w:val="18"/>
                <w:szCs w:val="18"/>
                <w:lang w:val="en-AU"/>
              </w:rPr>
              <w:br/>
              <w:t>(217; 299)</w:t>
            </w:r>
          </w:p>
        </w:tc>
        <w:tc>
          <w:tcPr>
            <w:tcW w:w="221" w:type="pct"/>
            <w:shd w:val="clear" w:color="auto" w:fill="FFFFFF"/>
          </w:tcPr>
          <w:p w14:paraId="1E9D0369"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615</w:t>
            </w:r>
          </w:p>
        </w:tc>
        <w:tc>
          <w:tcPr>
            <w:tcW w:w="374" w:type="pct"/>
            <w:shd w:val="clear" w:color="auto" w:fill="FFFFFF"/>
          </w:tcPr>
          <w:p w14:paraId="08988D25"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133</w:t>
            </w:r>
            <w:r w:rsidRPr="00F60E93">
              <w:rPr>
                <w:rFonts w:ascii="Times" w:hAnsi="Times" w:cs="Times"/>
                <w:sz w:val="18"/>
                <w:szCs w:val="18"/>
                <w:lang w:val="en-AU"/>
              </w:rPr>
              <w:br/>
              <w:t>(111; 159)</w:t>
            </w:r>
          </w:p>
        </w:tc>
        <w:tc>
          <w:tcPr>
            <w:tcW w:w="374" w:type="pct"/>
            <w:shd w:val="clear" w:color="auto" w:fill="FFFFFF"/>
          </w:tcPr>
          <w:p w14:paraId="5F6B682E"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530</w:t>
            </w:r>
            <w:r w:rsidRPr="00F60E93">
              <w:rPr>
                <w:rFonts w:ascii="Times" w:hAnsi="Times" w:cs="Times"/>
                <w:sz w:val="18"/>
                <w:szCs w:val="18"/>
                <w:lang w:val="en-AU"/>
              </w:rPr>
              <w:br/>
              <w:t>(469; 600)</w:t>
            </w:r>
          </w:p>
        </w:tc>
        <w:tc>
          <w:tcPr>
            <w:tcW w:w="221" w:type="pct"/>
            <w:shd w:val="clear" w:color="auto" w:fill="FFFFFF"/>
          </w:tcPr>
          <w:p w14:paraId="36889F34"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615</w:t>
            </w:r>
          </w:p>
        </w:tc>
        <w:tc>
          <w:tcPr>
            <w:tcW w:w="374" w:type="pct"/>
            <w:shd w:val="clear" w:color="auto" w:fill="FFFFFF"/>
          </w:tcPr>
          <w:p w14:paraId="32505659"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77.0</w:t>
            </w:r>
            <w:r w:rsidRPr="00F60E93">
              <w:rPr>
                <w:rFonts w:ascii="Times" w:hAnsi="Times" w:cs="Times"/>
                <w:sz w:val="18"/>
                <w:szCs w:val="18"/>
                <w:lang w:val="en-AU"/>
              </w:rPr>
              <w:br/>
              <w:t>(64.6; 91.8)</w:t>
            </w:r>
          </w:p>
        </w:tc>
        <w:tc>
          <w:tcPr>
            <w:tcW w:w="374" w:type="pct"/>
            <w:shd w:val="clear" w:color="auto" w:fill="FFFFFF"/>
          </w:tcPr>
          <w:p w14:paraId="4F0D609C"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289</w:t>
            </w:r>
            <w:r w:rsidRPr="00F60E93">
              <w:rPr>
                <w:rFonts w:ascii="Times" w:hAnsi="Times" w:cs="Times"/>
                <w:sz w:val="18"/>
                <w:szCs w:val="18"/>
                <w:lang w:val="en-AU"/>
              </w:rPr>
              <w:br/>
              <w:t>(253; 331)</w:t>
            </w:r>
          </w:p>
        </w:tc>
        <w:tc>
          <w:tcPr>
            <w:tcW w:w="221" w:type="pct"/>
            <w:shd w:val="clear" w:color="auto" w:fill="FFFFFF"/>
          </w:tcPr>
          <w:p w14:paraId="4F401710"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615</w:t>
            </w:r>
          </w:p>
        </w:tc>
        <w:tc>
          <w:tcPr>
            <w:tcW w:w="374" w:type="pct"/>
            <w:shd w:val="clear" w:color="auto" w:fill="FFFFFF"/>
          </w:tcPr>
          <w:p w14:paraId="68C1AB35"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46.3</w:t>
            </w:r>
            <w:r w:rsidRPr="00F60E93">
              <w:rPr>
                <w:rFonts w:ascii="Times" w:hAnsi="Times" w:cs="Times"/>
                <w:sz w:val="18"/>
                <w:szCs w:val="18"/>
                <w:lang w:val="en-AU"/>
              </w:rPr>
              <w:br/>
              <w:t>(39.8; 53.8)</w:t>
            </w:r>
          </w:p>
        </w:tc>
        <w:tc>
          <w:tcPr>
            <w:tcW w:w="374" w:type="pct"/>
            <w:shd w:val="clear" w:color="auto" w:fill="FFFFFF"/>
          </w:tcPr>
          <w:p w14:paraId="68D20DC2"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201</w:t>
            </w:r>
            <w:r w:rsidRPr="00F60E93">
              <w:rPr>
                <w:rFonts w:ascii="Times" w:hAnsi="Times" w:cs="Times"/>
                <w:sz w:val="18"/>
                <w:szCs w:val="18"/>
                <w:lang w:val="en-AU"/>
              </w:rPr>
              <w:br/>
              <w:t>(181; 223)</w:t>
            </w:r>
          </w:p>
        </w:tc>
      </w:tr>
      <w:tr w:rsidR="00E04242" w:rsidRPr="00F60E93" w14:paraId="1454156D" w14:textId="77777777" w:rsidTr="003F0D9E">
        <w:trPr>
          <w:cantSplit/>
        </w:trPr>
        <w:tc>
          <w:tcPr>
            <w:tcW w:w="417" w:type="pct"/>
            <w:vMerge/>
            <w:shd w:val="clear" w:color="auto" w:fill="FFFFFF"/>
          </w:tcPr>
          <w:p w14:paraId="474DF5AC" w14:textId="77777777" w:rsidR="00E04242" w:rsidRPr="00F60E93" w:rsidRDefault="00E04242" w:rsidP="00B631D7">
            <w:pPr>
              <w:pStyle w:val="wcpTableContentSmall"/>
              <w:rPr>
                <w:b/>
                <w:lang w:val="en-AU"/>
              </w:rPr>
            </w:pPr>
          </w:p>
        </w:tc>
        <w:tc>
          <w:tcPr>
            <w:tcW w:w="380" w:type="pct"/>
            <w:vMerge/>
            <w:shd w:val="clear" w:color="auto" w:fill="FFFFFF"/>
          </w:tcPr>
          <w:p w14:paraId="14D6AE97" w14:textId="77777777" w:rsidR="00E04242" w:rsidRPr="00F60E93" w:rsidRDefault="00E04242" w:rsidP="00B631D7">
            <w:pPr>
              <w:pStyle w:val="wcpTableContentSmall"/>
              <w:rPr>
                <w:b/>
                <w:lang w:val="en-AU"/>
              </w:rPr>
            </w:pPr>
          </w:p>
        </w:tc>
        <w:tc>
          <w:tcPr>
            <w:tcW w:w="325" w:type="pct"/>
            <w:shd w:val="clear" w:color="auto" w:fill="FFFFFF"/>
          </w:tcPr>
          <w:p w14:paraId="0AF487F0" w14:textId="77777777" w:rsidR="00E04242" w:rsidRPr="00F60E93" w:rsidRDefault="00E04242" w:rsidP="00B631D7">
            <w:pPr>
              <w:pStyle w:val="wcpTableContentSmall"/>
              <w:rPr>
                <w:b/>
                <w:lang w:val="en-AU"/>
              </w:rPr>
            </w:pPr>
            <w:r w:rsidRPr="00F60E93">
              <w:rPr>
                <w:b/>
                <w:lang w:val="en-AU"/>
              </w:rPr>
              <w:t>CYD23</w:t>
            </w:r>
          </w:p>
        </w:tc>
        <w:tc>
          <w:tcPr>
            <w:tcW w:w="221" w:type="pct"/>
            <w:shd w:val="clear" w:color="auto" w:fill="FFFFFF"/>
          </w:tcPr>
          <w:p w14:paraId="620FB4B0"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73</w:t>
            </w:r>
          </w:p>
        </w:tc>
        <w:tc>
          <w:tcPr>
            <w:tcW w:w="374" w:type="pct"/>
            <w:shd w:val="clear" w:color="auto" w:fill="FFFFFF"/>
          </w:tcPr>
          <w:p w14:paraId="0F93AE1D"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 xml:space="preserve">98.8 </w:t>
            </w:r>
            <w:r w:rsidRPr="00F60E93">
              <w:rPr>
                <w:rFonts w:ascii="Times" w:hAnsi="Times" w:cs="Times"/>
                <w:sz w:val="18"/>
                <w:szCs w:val="18"/>
                <w:lang w:val="en-AU"/>
              </w:rPr>
              <w:br/>
              <w:t>(54.9; 178)</w:t>
            </w:r>
          </w:p>
        </w:tc>
        <w:tc>
          <w:tcPr>
            <w:tcW w:w="374" w:type="pct"/>
            <w:shd w:val="clear" w:color="auto" w:fill="FFFFFF"/>
          </w:tcPr>
          <w:p w14:paraId="2F8B50C6"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 xml:space="preserve">276 </w:t>
            </w:r>
            <w:r w:rsidRPr="00F60E93">
              <w:rPr>
                <w:rFonts w:ascii="Times" w:hAnsi="Times" w:cs="Times"/>
                <w:sz w:val="18"/>
                <w:szCs w:val="18"/>
                <w:lang w:val="en-AU"/>
              </w:rPr>
              <w:br/>
              <w:t>(162; 471)</w:t>
            </w:r>
          </w:p>
        </w:tc>
        <w:tc>
          <w:tcPr>
            <w:tcW w:w="221" w:type="pct"/>
            <w:shd w:val="clear" w:color="auto" w:fill="FFFFFF"/>
          </w:tcPr>
          <w:p w14:paraId="0EA6854A"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73</w:t>
            </w:r>
          </w:p>
        </w:tc>
        <w:tc>
          <w:tcPr>
            <w:tcW w:w="374" w:type="pct"/>
            <w:shd w:val="clear" w:color="auto" w:fill="FFFFFF"/>
          </w:tcPr>
          <w:p w14:paraId="255414B1"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 xml:space="preserve">123 </w:t>
            </w:r>
            <w:r w:rsidRPr="00F60E93">
              <w:rPr>
                <w:rFonts w:ascii="Times" w:hAnsi="Times" w:cs="Times"/>
                <w:sz w:val="18"/>
                <w:szCs w:val="18"/>
                <w:lang w:val="en-AU"/>
              </w:rPr>
              <w:br/>
              <w:t>(69.4; 217)</w:t>
            </w:r>
          </w:p>
        </w:tc>
        <w:tc>
          <w:tcPr>
            <w:tcW w:w="374" w:type="pct"/>
            <w:shd w:val="clear" w:color="auto" w:fill="FFFFFF"/>
          </w:tcPr>
          <w:p w14:paraId="25AA959B"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 xml:space="preserve">490 </w:t>
            </w:r>
            <w:r w:rsidRPr="00F60E93">
              <w:rPr>
                <w:rFonts w:ascii="Times" w:hAnsi="Times" w:cs="Times"/>
                <w:sz w:val="18"/>
                <w:szCs w:val="18"/>
                <w:lang w:val="en-AU"/>
              </w:rPr>
              <w:br/>
              <w:t>(333; 721)</w:t>
            </w:r>
          </w:p>
        </w:tc>
        <w:tc>
          <w:tcPr>
            <w:tcW w:w="221" w:type="pct"/>
            <w:shd w:val="clear" w:color="auto" w:fill="FFFFFF"/>
          </w:tcPr>
          <w:p w14:paraId="1C3A23D7"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73</w:t>
            </w:r>
          </w:p>
        </w:tc>
        <w:tc>
          <w:tcPr>
            <w:tcW w:w="374" w:type="pct"/>
            <w:shd w:val="clear" w:color="auto" w:fill="FFFFFF"/>
          </w:tcPr>
          <w:p w14:paraId="7D7DC259"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 xml:space="preserve">61.2 </w:t>
            </w:r>
            <w:r w:rsidRPr="00F60E93">
              <w:rPr>
                <w:rFonts w:ascii="Times" w:hAnsi="Times" w:cs="Times"/>
                <w:sz w:val="18"/>
                <w:szCs w:val="18"/>
                <w:lang w:val="en-AU"/>
              </w:rPr>
              <w:br/>
              <w:t>(37.5; 100)</w:t>
            </w:r>
          </w:p>
        </w:tc>
        <w:tc>
          <w:tcPr>
            <w:tcW w:w="374" w:type="pct"/>
            <w:shd w:val="clear" w:color="auto" w:fill="FFFFFF"/>
          </w:tcPr>
          <w:p w14:paraId="5C95C8F7"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 xml:space="preserve">457 </w:t>
            </w:r>
            <w:r w:rsidRPr="00F60E93">
              <w:rPr>
                <w:rFonts w:ascii="Times" w:hAnsi="Times" w:cs="Times"/>
                <w:sz w:val="18"/>
                <w:szCs w:val="18"/>
                <w:lang w:val="en-AU"/>
              </w:rPr>
              <w:br/>
              <w:t>(320; 651)</w:t>
            </w:r>
          </w:p>
        </w:tc>
        <w:tc>
          <w:tcPr>
            <w:tcW w:w="221" w:type="pct"/>
            <w:shd w:val="clear" w:color="auto" w:fill="FFFFFF"/>
          </w:tcPr>
          <w:p w14:paraId="794B96A6"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73</w:t>
            </w:r>
          </w:p>
        </w:tc>
        <w:tc>
          <w:tcPr>
            <w:tcW w:w="374" w:type="pct"/>
            <w:shd w:val="clear" w:color="auto" w:fill="FFFFFF"/>
          </w:tcPr>
          <w:p w14:paraId="63DF6639"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 xml:space="preserve">45.8 </w:t>
            </w:r>
            <w:r w:rsidRPr="00F60E93">
              <w:rPr>
                <w:rFonts w:ascii="Times" w:hAnsi="Times" w:cs="Times"/>
                <w:sz w:val="18"/>
                <w:szCs w:val="18"/>
                <w:lang w:val="en-AU"/>
              </w:rPr>
              <w:br/>
              <w:t>(29.1; 72.0)</w:t>
            </w:r>
          </w:p>
        </w:tc>
        <w:tc>
          <w:tcPr>
            <w:tcW w:w="374" w:type="pct"/>
            <w:shd w:val="clear" w:color="auto" w:fill="FFFFFF"/>
          </w:tcPr>
          <w:p w14:paraId="0C6185BB"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 xml:space="preserve">197 </w:t>
            </w:r>
            <w:r w:rsidRPr="00F60E93">
              <w:rPr>
                <w:rFonts w:ascii="Times" w:hAnsi="Times" w:cs="Times"/>
                <w:sz w:val="18"/>
                <w:szCs w:val="18"/>
                <w:lang w:val="en-AU"/>
              </w:rPr>
              <w:br/>
              <w:t>(157; 249)</w:t>
            </w:r>
          </w:p>
        </w:tc>
      </w:tr>
      <w:tr w:rsidR="00E04242" w:rsidRPr="00F60E93" w14:paraId="21CCF1BF" w14:textId="77777777" w:rsidTr="003F0D9E">
        <w:trPr>
          <w:cantSplit/>
        </w:trPr>
        <w:tc>
          <w:tcPr>
            <w:tcW w:w="417" w:type="pct"/>
            <w:vMerge/>
            <w:shd w:val="clear" w:color="auto" w:fill="FFFFFF"/>
          </w:tcPr>
          <w:p w14:paraId="78C6BCCD" w14:textId="77777777" w:rsidR="00E04242" w:rsidRPr="00F60E93" w:rsidRDefault="00E04242" w:rsidP="00B631D7">
            <w:pPr>
              <w:pStyle w:val="wcpTableContentSmall"/>
              <w:rPr>
                <w:b/>
                <w:lang w:val="en-AU"/>
              </w:rPr>
            </w:pPr>
          </w:p>
        </w:tc>
        <w:tc>
          <w:tcPr>
            <w:tcW w:w="380" w:type="pct"/>
            <w:shd w:val="clear" w:color="auto" w:fill="FFFFFF"/>
          </w:tcPr>
          <w:p w14:paraId="7B460C3D" w14:textId="77777777" w:rsidR="00E04242" w:rsidRPr="00F60E93" w:rsidRDefault="00E04242" w:rsidP="00B631D7">
            <w:pPr>
              <w:pStyle w:val="wcpTableContentSmall"/>
              <w:rPr>
                <w:b/>
                <w:lang w:val="en-AU"/>
              </w:rPr>
            </w:pPr>
            <w:r w:rsidRPr="00F60E93">
              <w:rPr>
                <w:b/>
                <w:lang w:val="en-AU"/>
              </w:rPr>
              <w:t xml:space="preserve">Endemic </w:t>
            </w:r>
          </w:p>
          <w:p w14:paraId="49508575" w14:textId="77777777" w:rsidR="00E04242" w:rsidRPr="00F60E93" w:rsidRDefault="00E04242" w:rsidP="00B631D7">
            <w:pPr>
              <w:pStyle w:val="wcpTableContentSmall"/>
              <w:rPr>
                <w:b/>
                <w:lang w:val="en-AU"/>
              </w:rPr>
            </w:pPr>
            <w:r w:rsidRPr="00F60E93">
              <w:rPr>
                <w:b/>
                <w:lang w:val="en-AU"/>
              </w:rPr>
              <w:t>Latin America</w:t>
            </w:r>
          </w:p>
        </w:tc>
        <w:tc>
          <w:tcPr>
            <w:tcW w:w="325" w:type="pct"/>
            <w:shd w:val="clear" w:color="auto" w:fill="FFFFFF"/>
          </w:tcPr>
          <w:p w14:paraId="311CB8BD" w14:textId="77777777" w:rsidR="00E04242" w:rsidRPr="00F60E93" w:rsidRDefault="00E04242" w:rsidP="00B631D7">
            <w:pPr>
              <w:pStyle w:val="wcpTableContentSmall"/>
              <w:rPr>
                <w:b/>
                <w:lang w:val="en-AU"/>
              </w:rPr>
            </w:pPr>
            <w:r w:rsidRPr="00F60E93">
              <w:rPr>
                <w:b/>
                <w:lang w:val="en-AU"/>
              </w:rPr>
              <w:t>CYD15</w:t>
            </w:r>
          </w:p>
        </w:tc>
        <w:tc>
          <w:tcPr>
            <w:tcW w:w="221" w:type="pct"/>
            <w:shd w:val="clear" w:color="auto" w:fill="FFFFFF"/>
          </w:tcPr>
          <w:p w14:paraId="35E7FF54"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1301</w:t>
            </w:r>
          </w:p>
        </w:tc>
        <w:tc>
          <w:tcPr>
            <w:tcW w:w="374" w:type="pct"/>
            <w:shd w:val="clear" w:color="auto" w:fill="FFFFFF"/>
          </w:tcPr>
          <w:p w14:paraId="203B1D19"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 xml:space="preserve">128 </w:t>
            </w:r>
            <w:r w:rsidRPr="00F60E93">
              <w:rPr>
                <w:rFonts w:ascii="Times" w:hAnsi="Times" w:cs="Times"/>
                <w:sz w:val="18"/>
                <w:szCs w:val="18"/>
                <w:lang w:val="en-AU"/>
              </w:rPr>
              <w:br/>
              <w:t>(112; 145)</w:t>
            </w:r>
          </w:p>
        </w:tc>
        <w:tc>
          <w:tcPr>
            <w:tcW w:w="374" w:type="pct"/>
            <w:shd w:val="clear" w:color="auto" w:fill="FFFFFF"/>
          </w:tcPr>
          <w:p w14:paraId="16D80AEC"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 xml:space="preserve">395 </w:t>
            </w:r>
            <w:r w:rsidRPr="00F60E93">
              <w:rPr>
                <w:rFonts w:ascii="Times" w:hAnsi="Times" w:cs="Times"/>
                <w:sz w:val="18"/>
                <w:szCs w:val="18"/>
                <w:lang w:val="en-AU"/>
              </w:rPr>
              <w:br/>
              <w:t>(353; 441)</w:t>
            </w:r>
          </w:p>
        </w:tc>
        <w:tc>
          <w:tcPr>
            <w:tcW w:w="221" w:type="pct"/>
            <w:shd w:val="clear" w:color="auto" w:fill="FFFFFF"/>
          </w:tcPr>
          <w:p w14:paraId="7927B41B"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1301</w:t>
            </w:r>
          </w:p>
        </w:tc>
        <w:tc>
          <w:tcPr>
            <w:tcW w:w="374" w:type="pct"/>
            <w:shd w:val="clear" w:color="auto" w:fill="FFFFFF"/>
          </w:tcPr>
          <w:p w14:paraId="03356EBE"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 xml:space="preserve">138 </w:t>
            </w:r>
            <w:r w:rsidRPr="00F60E93">
              <w:rPr>
                <w:rFonts w:ascii="Times" w:hAnsi="Times" w:cs="Times"/>
                <w:sz w:val="18"/>
                <w:szCs w:val="18"/>
                <w:lang w:val="en-AU"/>
              </w:rPr>
              <w:br/>
              <w:t>(123; 156)</w:t>
            </w:r>
          </w:p>
        </w:tc>
        <w:tc>
          <w:tcPr>
            <w:tcW w:w="374" w:type="pct"/>
            <w:shd w:val="clear" w:color="auto" w:fill="FFFFFF"/>
          </w:tcPr>
          <w:p w14:paraId="33E6171C"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 xml:space="preserve">574 </w:t>
            </w:r>
            <w:r w:rsidRPr="00F60E93">
              <w:rPr>
                <w:rFonts w:ascii="Times" w:hAnsi="Times" w:cs="Times"/>
                <w:sz w:val="18"/>
                <w:szCs w:val="18"/>
                <w:lang w:val="en-AU"/>
              </w:rPr>
              <w:br/>
              <w:t>(528; 624)</w:t>
            </w:r>
          </w:p>
        </w:tc>
        <w:tc>
          <w:tcPr>
            <w:tcW w:w="221" w:type="pct"/>
            <w:shd w:val="clear" w:color="auto" w:fill="FFFFFF"/>
          </w:tcPr>
          <w:p w14:paraId="1D116DD6"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1301</w:t>
            </w:r>
          </w:p>
        </w:tc>
        <w:tc>
          <w:tcPr>
            <w:tcW w:w="374" w:type="pct"/>
            <w:shd w:val="clear" w:color="auto" w:fill="FFFFFF"/>
          </w:tcPr>
          <w:p w14:paraId="40AF5AFF"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 xml:space="preserve">121 </w:t>
            </w:r>
            <w:r w:rsidRPr="00F60E93">
              <w:rPr>
                <w:rFonts w:ascii="Times" w:hAnsi="Times" w:cs="Times"/>
                <w:sz w:val="18"/>
                <w:szCs w:val="18"/>
                <w:lang w:val="en-AU"/>
              </w:rPr>
              <w:br/>
              <w:t>(108; 136)</w:t>
            </w:r>
          </w:p>
        </w:tc>
        <w:tc>
          <w:tcPr>
            <w:tcW w:w="374" w:type="pct"/>
            <w:shd w:val="clear" w:color="auto" w:fill="FFFFFF"/>
          </w:tcPr>
          <w:p w14:paraId="2242C194"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508</w:t>
            </w:r>
            <w:r w:rsidRPr="00F60E93">
              <w:rPr>
                <w:rFonts w:ascii="Times" w:hAnsi="Times" w:cs="Times"/>
                <w:sz w:val="18"/>
                <w:szCs w:val="18"/>
                <w:lang w:val="en-AU"/>
              </w:rPr>
              <w:br/>
              <w:t>(465; 555)</w:t>
            </w:r>
          </w:p>
        </w:tc>
        <w:tc>
          <w:tcPr>
            <w:tcW w:w="221" w:type="pct"/>
            <w:shd w:val="clear" w:color="auto" w:fill="FFFFFF"/>
          </w:tcPr>
          <w:p w14:paraId="7609158B"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1301</w:t>
            </w:r>
          </w:p>
        </w:tc>
        <w:tc>
          <w:tcPr>
            <w:tcW w:w="374" w:type="pct"/>
            <w:shd w:val="clear" w:color="auto" w:fill="FFFFFF"/>
          </w:tcPr>
          <w:p w14:paraId="558C59F9"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43.6</w:t>
            </w:r>
            <w:r w:rsidRPr="00F60E93">
              <w:rPr>
                <w:rFonts w:ascii="Times" w:hAnsi="Times" w:cs="Times"/>
                <w:sz w:val="18"/>
                <w:szCs w:val="18"/>
                <w:lang w:val="en-AU"/>
              </w:rPr>
              <w:br/>
              <w:t>(39.6; 48.0)</w:t>
            </w:r>
          </w:p>
        </w:tc>
        <w:tc>
          <w:tcPr>
            <w:tcW w:w="374" w:type="pct"/>
            <w:shd w:val="clear" w:color="auto" w:fill="FFFFFF"/>
          </w:tcPr>
          <w:p w14:paraId="046495A1" w14:textId="77777777" w:rsidR="00E04242" w:rsidRPr="00F60E93" w:rsidRDefault="00E04242" w:rsidP="00B631D7">
            <w:pPr>
              <w:adjustRightInd w:val="0"/>
              <w:spacing w:before="20" w:after="20"/>
              <w:jc w:val="center"/>
              <w:rPr>
                <w:rFonts w:ascii="Times" w:hAnsi="Times" w:cs="Times"/>
                <w:sz w:val="18"/>
                <w:szCs w:val="18"/>
                <w:lang w:val="en-AU"/>
              </w:rPr>
            </w:pPr>
            <w:r w:rsidRPr="00F60E93">
              <w:rPr>
                <w:rFonts w:ascii="Times" w:hAnsi="Times" w:cs="Times"/>
                <w:sz w:val="18"/>
                <w:szCs w:val="18"/>
                <w:lang w:val="en-AU"/>
              </w:rPr>
              <w:t>241</w:t>
            </w:r>
            <w:r w:rsidRPr="00F60E93">
              <w:rPr>
                <w:rFonts w:ascii="Times" w:hAnsi="Times" w:cs="Times"/>
                <w:sz w:val="18"/>
                <w:szCs w:val="18"/>
                <w:lang w:val="en-AU"/>
              </w:rPr>
              <w:br/>
              <w:t>(226; 258)</w:t>
            </w:r>
          </w:p>
        </w:tc>
      </w:tr>
    </w:tbl>
    <w:p w14:paraId="4E62DEF6" w14:textId="77777777" w:rsidR="00E04242" w:rsidRPr="003C63AE" w:rsidRDefault="00E04242" w:rsidP="00E04242">
      <w:pPr>
        <w:spacing w:before="0"/>
        <w:rPr>
          <w:sz w:val="20"/>
          <w:szCs w:val="20"/>
          <w:lang w:val="en-AU"/>
        </w:rPr>
      </w:pPr>
      <w:r w:rsidRPr="003C63AE">
        <w:rPr>
          <w:sz w:val="20"/>
          <w:szCs w:val="20"/>
          <w:lang w:val="en-AU"/>
        </w:rPr>
        <w:t>The lower limit of quantification for dengue neutralising antibodies is 10 (1/</w:t>
      </w:r>
      <w:proofErr w:type="spellStart"/>
      <w:r w:rsidRPr="003C63AE">
        <w:rPr>
          <w:sz w:val="20"/>
          <w:szCs w:val="20"/>
          <w:lang w:val="en-AU"/>
        </w:rPr>
        <w:t>dil</w:t>
      </w:r>
      <w:proofErr w:type="spellEnd"/>
      <w:r w:rsidRPr="003C63AE">
        <w:rPr>
          <w:sz w:val="20"/>
          <w:szCs w:val="20"/>
          <w:lang w:val="en-AU"/>
        </w:rPr>
        <w:t>).</w:t>
      </w:r>
    </w:p>
    <w:p w14:paraId="42107482" w14:textId="77777777" w:rsidR="00E04242" w:rsidRPr="003C63AE" w:rsidRDefault="00E04242" w:rsidP="00E04242">
      <w:pPr>
        <w:spacing w:before="0"/>
        <w:rPr>
          <w:sz w:val="20"/>
          <w:szCs w:val="20"/>
          <w:lang w:val="en-AU"/>
        </w:rPr>
      </w:pPr>
      <w:r w:rsidRPr="003C63AE">
        <w:rPr>
          <w:sz w:val="20"/>
          <w:szCs w:val="20"/>
          <w:lang w:val="en-AU"/>
        </w:rPr>
        <w:t xml:space="preserve">Endemic areas are defined as areas where the disease has been continuously present in the native population with documented outbreaks or epidemics. </w:t>
      </w:r>
    </w:p>
    <w:p w14:paraId="0C5283B5" w14:textId="77777777" w:rsidR="00E04242" w:rsidRPr="003C63AE" w:rsidRDefault="00E04242" w:rsidP="00E04242">
      <w:pPr>
        <w:spacing w:before="0"/>
        <w:rPr>
          <w:sz w:val="20"/>
          <w:szCs w:val="20"/>
          <w:lang w:val="en-AU"/>
        </w:rPr>
      </w:pPr>
      <w:r w:rsidRPr="003C63AE">
        <w:rPr>
          <w:sz w:val="20"/>
          <w:szCs w:val="20"/>
          <w:lang w:val="en-AU"/>
        </w:rPr>
        <w:t>CYD22: Vietnam; CYD28: Singapore; CYD47: India; CYD14: Indonesia, Malaysia, the Philippines, Thailand, Vietnam; CYD23: Thailand; CYD15: Brazil, Colombia, Honduras, Mexico, Puerto Rico.</w:t>
      </w:r>
    </w:p>
    <w:p w14:paraId="5493807B" w14:textId="77777777" w:rsidR="00E04242" w:rsidRPr="00F60E93" w:rsidRDefault="00E04242" w:rsidP="00E04242">
      <w:pPr>
        <w:rPr>
          <w:lang w:val="en-AU"/>
        </w:rPr>
      </w:pPr>
      <w:r w:rsidRPr="00F60E93">
        <w:rPr>
          <w:lang w:val="en-AU"/>
        </w:rPr>
        <w:t>In all age groups in all studies, an increase in GMTs was observed for each of the 4 serotypes 28 days after the third injection of Dengvaxia as compared to baseline, regardless of the region, i.e., Asia Pacific or Latin America</w:t>
      </w:r>
      <w:r>
        <w:rPr>
          <w:lang w:val="en-AU"/>
        </w:rPr>
        <w:t>.</w:t>
      </w:r>
    </w:p>
    <w:p w14:paraId="39B4E4B2" w14:textId="0EF70566" w:rsidR="00E04242" w:rsidRDefault="00E04242" w:rsidP="00E04242">
      <w:pPr>
        <w:rPr>
          <w:lang w:val="en-AU"/>
        </w:rPr>
      </w:pPr>
      <w:r w:rsidRPr="000A3248">
        <w:rPr>
          <w:lang w:val="en-AU"/>
        </w:rPr>
        <w:t>Differences in GMTs 28 days after the third injection were observed depending on dengue immune status</w:t>
      </w:r>
      <w:r w:rsidRPr="000A3248">
        <w:rPr>
          <w:rStyle w:val="FootnoteReference"/>
          <w:lang w:val="en-AU"/>
        </w:rPr>
        <w:footnoteReference w:id="1"/>
      </w:r>
      <w:r w:rsidRPr="000A3248">
        <w:rPr>
          <w:lang w:val="en-AU"/>
        </w:rPr>
        <w:t xml:space="preserve"> before the first injection, the age and the region. Overall:</w:t>
      </w:r>
    </w:p>
    <w:p w14:paraId="6BB65DB9" w14:textId="77777777" w:rsidR="00E04242" w:rsidRPr="000A3248" w:rsidRDefault="00E04242" w:rsidP="00E04242">
      <w:pPr>
        <w:pStyle w:val="ListBulletLevel1"/>
        <w:numPr>
          <w:ilvl w:val="0"/>
          <w:numId w:val="17"/>
        </w:numPr>
        <w:rPr>
          <w:lang w:val="en-AU"/>
        </w:rPr>
      </w:pPr>
      <w:r w:rsidRPr="000A3248">
        <w:rPr>
          <w:lang w:val="en-AU"/>
        </w:rPr>
        <w:lastRenderedPageBreak/>
        <w:t>The higher the GMTs before the first injection, the higher the GMTs 28 days after the third injection;</w:t>
      </w:r>
    </w:p>
    <w:p w14:paraId="4E3672F9" w14:textId="6D910056" w:rsidR="00E04242" w:rsidRDefault="00E04242" w:rsidP="00FF581C">
      <w:pPr>
        <w:pStyle w:val="ListBulletLevel1"/>
        <w:numPr>
          <w:ilvl w:val="0"/>
          <w:numId w:val="17"/>
        </w:numPr>
        <w:rPr>
          <w:lang w:val="en-AU"/>
        </w:rPr>
      </w:pPr>
      <w:r w:rsidRPr="00FF581C">
        <w:rPr>
          <w:lang w:val="en-AU"/>
        </w:rPr>
        <w:t xml:space="preserve">GMTs 28 days after the third injection were higher in subjects </w:t>
      </w:r>
      <w:r w:rsidR="00FF581C" w:rsidRPr="0083040A">
        <w:rPr>
          <w:lang w:val="en-AU"/>
        </w:rPr>
        <w:t>with neutralising antibodies against dengue virus</w:t>
      </w:r>
      <w:r w:rsidR="00FF581C">
        <w:rPr>
          <w:lang w:val="en-AU"/>
        </w:rPr>
        <w:t xml:space="preserve"> </w:t>
      </w:r>
      <w:r w:rsidRPr="00FF581C">
        <w:rPr>
          <w:lang w:val="en-AU"/>
        </w:rPr>
        <w:t xml:space="preserve">before the first injection compared to subjects </w:t>
      </w:r>
      <w:r w:rsidR="00FF581C" w:rsidRPr="0083040A">
        <w:rPr>
          <w:lang w:val="en-AU"/>
        </w:rPr>
        <w:t>with no detectable neutralising antibodies against dengue virus</w:t>
      </w:r>
      <w:r w:rsidR="00FF581C">
        <w:rPr>
          <w:lang w:val="en-AU"/>
        </w:rPr>
        <w:t xml:space="preserve"> </w:t>
      </w:r>
      <w:r w:rsidRPr="00FF581C">
        <w:rPr>
          <w:lang w:val="en-AU"/>
        </w:rPr>
        <w:t>before the first injection;</w:t>
      </w:r>
    </w:p>
    <w:p w14:paraId="19E5A289" w14:textId="77777777" w:rsidR="00E04242" w:rsidRPr="00F60E93" w:rsidRDefault="00E04242" w:rsidP="00E04242">
      <w:pPr>
        <w:pStyle w:val="ListBulletLevel1"/>
        <w:numPr>
          <w:ilvl w:val="0"/>
          <w:numId w:val="17"/>
        </w:numPr>
        <w:rPr>
          <w:lang w:val="en-AU"/>
        </w:rPr>
      </w:pPr>
      <w:r w:rsidRPr="00F60E93">
        <w:rPr>
          <w:lang w:val="en-AU"/>
        </w:rPr>
        <w:t>Dengue immune status before the first injection is a confounding factor of age: the older the subject, the higher the GMTs before the first injection and the higher the GMTs 28 days after the third injection, i.e., the immune response in terms of GMTs 28 days after the third injection increases with age.</w:t>
      </w:r>
    </w:p>
    <w:p w14:paraId="199920B6" w14:textId="7FDE3D86" w:rsidR="00E04242" w:rsidRPr="00E106F7" w:rsidRDefault="00E04242" w:rsidP="00E04242">
      <w:pPr>
        <w:rPr>
          <w:i/>
          <w:lang w:val="en-AU"/>
        </w:rPr>
      </w:pPr>
      <w:r w:rsidRPr="00E106F7">
        <w:rPr>
          <w:i/>
          <w:lang w:val="en-AU"/>
        </w:rPr>
        <w:t>Data on long-term persistence of antibodies</w:t>
      </w:r>
    </w:p>
    <w:p w14:paraId="2288AFC6" w14:textId="77777777" w:rsidR="00E04242" w:rsidRPr="00F60E93" w:rsidRDefault="00E04242" w:rsidP="00E04242">
      <w:pPr>
        <w:rPr>
          <w:lang w:val="en-AU"/>
        </w:rPr>
      </w:pPr>
      <w:r w:rsidRPr="00F60E93">
        <w:rPr>
          <w:lang w:val="en-AU"/>
        </w:rPr>
        <w:t>In subjects 9 years of age and older in endemic areas, a decrease in the GMTs against all 4 serotypes was observed one year after the third injection and then a trend toward stabilisation was observed in the subsequent years. The decrease in GMTs was variable depending on age and the dengue immune status of subjects before the first injection. Long-term GMTs for each serotype remained higher than GMTs before the first injection.</w:t>
      </w:r>
    </w:p>
    <w:p w14:paraId="70CC079C" w14:textId="77777777" w:rsidR="00E04242" w:rsidRPr="00E04242" w:rsidRDefault="00E04242" w:rsidP="00E04242">
      <w:pPr>
        <w:pStyle w:val="Heading4"/>
        <w:numPr>
          <w:ilvl w:val="0"/>
          <w:numId w:val="0"/>
        </w:numPr>
        <w:rPr>
          <w:lang w:val="en-AU"/>
        </w:rPr>
      </w:pPr>
      <w:r w:rsidRPr="00E04242">
        <w:rPr>
          <w:lang w:val="en-AU"/>
        </w:rPr>
        <w:t>Efficacy</w:t>
      </w:r>
    </w:p>
    <w:p w14:paraId="5E4CCCDA" w14:textId="77777777" w:rsidR="00E04242" w:rsidRPr="00F60E93" w:rsidRDefault="00E04242" w:rsidP="00E04242">
      <w:pPr>
        <w:rPr>
          <w:lang w:val="en-AU"/>
        </w:rPr>
      </w:pPr>
      <w:r w:rsidRPr="00F60E93">
        <w:rPr>
          <w:lang w:val="en-AU"/>
        </w:rPr>
        <w:t xml:space="preserve">The efficacy of Dengvaxia was assessed in 3 randomised, observer-blinded, placebo-controlled efficacy studies: one supportive Phase </w:t>
      </w:r>
      <w:proofErr w:type="spellStart"/>
      <w:r w:rsidRPr="00F60E93">
        <w:rPr>
          <w:lang w:val="en-AU"/>
        </w:rPr>
        <w:t>IIb</w:t>
      </w:r>
      <w:proofErr w:type="spellEnd"/>
      <w:r w:rsidRPr="00F60E93">
        <w:rPr>
          <w:lang w:val="en-AU"/>
        </w:rPr>
        <w:t xml:space="preserve"> efficacy study (CYD23), and 2 pivotal large-scale Phase III efficacy studies conducted in 5 countries each, CYD14 in Asia and CYD15 in Latin America.</w:t>
      </w:r>
    </w:p>
    <w:p w14:paraId="435BB7AA" w14:textId="77777777" w:rsidR="00E04242" w:rsidRPr="00F60E93" w:rsidRDefault="00E04242" w:rsidP="00E04242">
      <w:pPr>
        <w:rPr>
          <w:lang w:val="en-AU"/>
        </w:rPr>
      </w:pPr>
      <w:r w:rsidRPr="00F60E93">
        <w:rPr>
          <w:lang w:val="en-AU"/>
        </w:rPr>
        <w:t>In the 2 pivotal Phase III studies, efficacy was assessed in a total of 17,230 subjects 9 through 16 years of age who received at least one injection of Dengvaxia: 3316 subjects 9 through 14 years of age in CYD14 and the entire study population in CYD15, i.e., 13,914 subjects 9 through 16 years of age. A time window of +/- 20 days was applied for the second and third injections. More than 70% of subjects were dengue immune at baseline.</w:t>
      </w:r>
    </w:p>
    <w:p w14:paraId="30A1C0E3" w14:textId="77777777" w:rsidR="00E04242" w:rsidRPr="00F60E93" w:rsidRDefault="00E04242" w:rsidP="00E04242">
      <w:pPr>
        <w:rPr>
          <w:lang w:val="en-AU"/>
        </w:rPr>
      </w:pPr>
      <w:r w:rsidRPr="00F60E93">
        <w:rPr>
          <w:lang w:val="en-AU"/>
        </w:rPr>
        <w:t xml:space="preserve">In subjects 9 through 16 years of age, the efficacy of Dengvaxia against symptomatic virologically confirmed dengue (VCD) cases due to any and each of the 4 serotypes was demonstrated in both studies, CYD14 and CYD15, and in the meta-analysis. The assessment period extended from the first injection to the end of the active phase, i.e. over the 25-month period after the first injection. </w:t>
      </w:r>
    </w:p>
    <w:p w14:paraId="48718CEC" w14:textId="53D7014D" w:rsidR="00E04242" w:rsidRDefault="00E04242" w:rsidP="00E04242">
      <w:pPr>
        <w:rPr>
          <w:lang w:val="en-AU"/>
        </w:rPr>
      </w:pPr>
      <w:r w:rsidRPr="00F60E93">
        <w:rPr>
          <w:lang w:val="en-AU"/>
        </w:rPr>
        <w:t xml:space="preserve">The efficacy of Dengvaxia against severe VCD cases and against hospitalised VCD cases (i.e., hospital admission due to dengue, whatever the severity) were also evaluated. For severe VCD cases, two types of endpoints were considered: clinically severe VCD cases and VCD </w:t>
      </w:r>
      <w:r w:rsidRPr="00F60E93">
        <w:rPr>
          <w:lang w:val="en-AU"/>
        </w:rPr>
        <w:lastRenderedPageBreak/>
        <w:t xml:space="preserve">cases that met WHO criteria for </w:t>
      </w:r>
      <w:r w:rsidR="00443853" w:rsidRPr="0083040A">
        <w:rPr>
          <w:lang w:val="en-AU"/>
        </w:rPr>
        <w:t>D</w:t>
      </w:r>
      <w:r w:rsidRPr="00F60E93">
        <w:rPr>
          <w:lang w:val="en-AU"/>
        </w:rPr>
        <w:t xml:space="preserve">engue </w:t>
      </w:r>
      <w:r w:rsidR="00443853" w:rsidRPr="0083040A">
        <w:rPr>
          <w:lang w:val="en-AU"/>
        </w:rPr>
        <w:t>H</w:t>
      </w:r>
      <w:r w:rsidRPr="00F60E93">
        <w:rPr>
          <w:lang w:val="en-AU"/>
        </w:rPr>
        <w:t xml:space="preserve">aemorrhagic </w:t>
      </w:r>
      <w:r w:rsidR="00443853" w:rsidRPr="0083040A">
        <w:rPr>
          <w:lang w:val="en-AU"/>
        </w:rPr>
        <w:t>F</w:t>
      </w:r>
      <w:r w:rsidRPr="00F60E93">
        <w:rPr>
          <w:lang w:val="en-AU"/>
        </w:rPr>
        <w:t xml:space="preserve">ever (DHF). Vaccine efficacy was demonstrated for these three endpoints in both studies and in the meta-analysis. </w:t>
      </w:r>
    </w:p>
    <w:p w14:paraId="47380603" w14:textId="3A2751F7" w:rsidR="00E04242" w:rsidRDefault="00E04242" w:rsidP="00524988">
      <w:r w:rsidRPr="004F4EBF">
        <w:t xml:space="preserve">The efficacy results were also analysed according to covariates, i.e., age at the time of the first injection and dengue immune status before the first injection. In subjects 9 through 16 years of age, no significant effect of age on vaccine efficacy was observed, while a higher efficacy </w:t>
      </w:r>
      <w:r w:rsidR="00443853" w:rsidRPr="0083040A">
        <w:t xml:space="preserve">against VCD (any serotype and any severity) </w:t>
      </w:r>
      <w:r w:rsidRPr="004F4EBF">
        <w:t>was observed in subjects</w:t>
      </w:r>
      <w:r w:rsidR="00443853" w:rsidRPr="004F4EBF">
        <w:t xml:space="preserve"> </w:t>
      </w:r>
      <w:r w:rsidR="00443853" w:rsidRPr="0083040A">
        <w:t xml:space="preserve">with prior dengue infection (i.e. subjects with </w:t>
      </w:r>
      <w:proofErr w:type="spellStart"/>
      <w:r w:rsidR="00443853" w:rsidRPr="0083040A">
        <w:t>neutralising</w:t>
      </w:r>
      <w:proofErr w:type="spellEnd"/>
      <w:r w:rsidR="00443853" w:rsidRPr="0083040A">
        <w:t xml:space="preserve"> antibodies against any of the 4 dengue serotypes prior vaccination)</w:t>
      </w:r>
      <w:r w:rsidR="00443853" w:rsidRPr="004F4EBF">
        <w:t xml:space="preserve"> </w:t>
      </w:r>
      <w:r w:rsidR="007B6C00" w:rsidRPr="0083040A">
        <w:t>compared to the overall population</w:t>
      </w:r>
      <w:r w:rsidRPr="004F4EBF">
        <w:t xml:space="preserve">. In CYD14 and CYD15, combined vaccine efficacy was 81.9% (95% CI: 61.7; 90) for any serotype in subjects </w:t>
      </w:r>
      <w:r w:rsidR="00524988" w:rsidRPr="0083040A">
        <w:t>with</w:t>
      </w:r>
      <w:r w:rsidR="00524988" w:rsidRPr="004F4EBF">
        <w:t xml:space="preserve"> </w:t>
      </w:r>
      <w:r w:rsidR="00524988" w:rsidRPr="0083040A">
        <w:t xml:space="preserve">prior dengue infection (i.e. subjects with </w:t>
      </w:r>
      <w:proofErr w:type="spellStart"/>
      <w:r w:rsidR="00524988" w:rsidRPr="0083040A">
        <w:t>neutralising</w:t>
      </w:r>
      <w:proofErr w:type="spellEnd"/>
      <w:r w:rsidR="00524988" w:rsidRPr="0083040A">
        <w:t xml:space="preserve"> antibodies against any of the 4 dengue serotypes prior vaccination)</w:t>
      </w:r>
      <w:r w:rsidR="00524988" w:rsidRPr="004F4EBF">
        <w:t xml:space="preserve"> </w:t>
      </w:r>
      <w:r w:rsidRPr="004F4EBF">
        <w:t xml:space="preserve">compared to </w:t>
      </w:r>
      <w:r w:rsidR="004F4EBF" w:rsidRPr="0083040A">
        <w:t>65.6% (95% CI: 60.7; 69.9)</w:t>
      </w:r>
      <w:r w:rsidR="004F4EBF" w:rsidRPr="00DD4919">
        <w:t xml:space="preserve"> </w:t>
      </w:r>
      <w:r w:rsidR="00262C9C" w:rsidRPr="0083040A">
        <w:t xml:space="preserve">for </w:t>
      </w:r>
      <w:r w:rsidR="004F4EBF" w:rsidRPr="0083040A">
        <w:t>the overall population</w:t>
      </w:r>
      <w:r w:rsidR="00524988" w:rsidRPr="00DD4919">
        <w:t xml:space="preserve"> </w:t>
      </w:r>
      <w:r w:rsidRPr="004F4EBF">
        <w:t xml:space="preserve">(see </w:t>
      </w:r>
      <w:r w:rsidR="00443853" w:rsidRPr="004F4EBF">
        <w:fldChar w:fldCharType="begin"/>
      </w:r>
      <w:r w:rsidR="00443853" w:rsidRPr="004F4EBF">
        <w:instrText xml:space="preserve"> REF _Ref500849468 \h  \* MERGEFORMAT </w:instrText>
      </w:r>
      <w:r w:rsidR="00443853" w:rsidRPr="004F4EBF">
        <w:fldChar w:fldCharType="separate"/>
      </w:r>
      <w:r w:rsidR="00C16A62">
        <w:t>Table 4</w:t>
      </w:r>
      <w:r w:rsidR="00443853" w:rsidRPr="004F4EBF">
        <w:fldChar w:fldCharType="end"/>
      </w:r>
      <w:r w:rsidRPr="004F4EBF">
        <w:t>).</w:t>
      </w:r>
    </w:p>
    <w:p w14:paraId="4B4B777B" w14:textId="6EF2C911" w:rsidR="00E04242" w:rsidRPr="00F60E93" w:rsidRDefault="00E04242" w:rsidP="00E04242">
      <w:pPr>
        <w:rPr>
          <w:lang w:val="en-AU"/>
        </w:rPr>
      </w:pPr>
      <w:r w:rsidRPr="00F60E93">
        <w:rPr>
          <w:lang w:val="en-AU"/>
        </w:rPr>
        <w:t xml:space="preserve">The efficacy results in subjects 9 through 16 years of </w:t>
      </w:r>
      <w:r w:rsidRPr="00AA21D9">
        <w:rPr>
          <w:lang w:val="en-AU"/>
        </w:rPr>
        <w:t xml:space="preserve">age are presented in </w:t>
      </w:r>
      <w:r w:rsidR="00AE7FA7" w:rsidRPr="00AE7FA7">
        <w:rPr>
          <w:color w:val="0000FF"/>
          <w:lang w:val="en-AU"/>
        </w:rPr>
        <w:fldChar w:fldCharType="begin"/>
      </w:r>
      <w:r w:rsidR="00AE7FA7" w:rsidRPr="00AE7FA7">
        <w:rPr>
          <w:color w:val="0000FF"/>
          <w:lang w:val="en-AU"/>
        </w:rPr>
        <w:instrText xml:space="preserve"> REF _Ref500849468 \h  \* MERGEFORMAT </w:instrText>
      </w:r>
      <w:r w:rsidR="00AE7FA7" w:rsidRPr="00AE7FA7">
        <w:rPr>
          <w:color w:val="0000FF"/>
          <w:lang w:val="en-AU"/>
        </w:rPr>
      </w:r>
      <w:r w:rsidR="00AE7FA7" w:rsidRPr="00AE7FA7">
        <w:rPr>
          <w:color w:val="0000FF"/>
          <w:lang w:val="en-AU"/>
        </w:rPr>
        <w:fldChar w:fldCharType="separate"/>
      </w:r>
      <w:r w:rsidR="00C16A62" w:rsidRPr="00C16A62">
        <w:rPr>
          <w:color w:val="0000FF"/>
        </w:rPr>
        <w:t>Table 4</w:t>
      </w:r>
      <w:r w:rsidR="00AE7FA7" w:rsidRPr="00AE7FA7">
        <w:rPr>
          <w:color w:val="0000FF"/>
          <w:lang w:val="en-AU"/>
        </w:rPr>
        <w:fldChar w:fldCharType="end"/>
      </w:r>
      <w:r w:rsidRPr="00AA21D9">
        <w:rPr>
          <w:lang w:val="en-AU"/>
        </w:rPr>
        <w:t xml:space="preserve"> for each of the two phase III efficacy studies and in the meta-analysis. The results are presented for the entire active phase of 25 months.</w:t>
      </w:r>
      <w:r>
        <w:rPr>
          <w:lang w:val="en-AU"/>
        </w:rPr>
        <w:t xml:space="preserve"> </w:t>
      </w:r>
    </w:p>
    <w:p w14:paraId="29339415" w14:textId="1E45BBEF" w:rsidR="00E04242" w:rsidRPr="00F60E93" w:rsidRDefault="00AE7FA7" w:rsidP="00AE7FA7">
      <w:pPr>
        <w:pStyle w:val="Caption"/>
        <w:rPr>
          <w:i/>
          <w:lang w:val="en-AU"/>
        </w:rPr>
      </w:pPr>
      <w:bookmarkStart w:id="15" w:name="Table_20150319_222123SNPH"/>
      <w:bookmarkStart w:id="16" w:name="_Toc436751774"/>
      <w:r>
        <w:rPr>
          <w:lang w:val="en-AU"/>
        </w:rPr>
        <w:t xml:space="preserve"> </w:t>
      </w:r>
      <w:bookmarkStart w:id="17" w:name="_Ref500849468"/>
      <w:r>
        <w:t>Table </w:t>
      </w:r>
      <w:r>
        <w:fldChar w:fldCharType="begin"/>
      </w:r>
      <w:r>
        <w:instrText xml:space="preserve"> SEQ Table \* ARABIC </w:instrText>
      </w:r>
      <w:r>
        <w:fldChar w:fldCharType="separate"/>
      </w:r>
      <w:r w:rsidR="00C16A62">
        <w:rPr>
          <w:noProof/>
        </w:rPr>
        <w:t>4</w:t>
      </w:r>
      <w:r>
        <w:fldChar w:fldCharType="end"/>
      </w:r>
      <w:bookmarkEnd w:id="17"/>
      <w:r>
        <w:t xml:space="preserve"> ­ </w:t>
      </w:r>
      <w:bookmarkEnd w:id="15"/>
      <w:r w:rsidRPr="00F60E93">
        <w:rPr>
          <w:lang w:val="en-AU"/>
        </w:rPr>
        <w:t>Vaccine efficacy estimates in subjects 9 through 16 years of age from a meta-analysis of phase III efficacy study data over the 25-month period after the first injection</w:t>
      </w:r>
      <w:bookmarkEnd w:id="16"/>
    </w:p>
    <w:tbl>
      <w:tblPr>
        <w:tblW w:w="0" w:type="auto"/>
        <w:tblCellMar>
          <w:left w:w="0" w:type="dxa"/>
          <w:right w:w="0" w:type="dxa"/>
        </w:tblCellMar>
        <w:tblLook w:val="04A0" w:firstRow="1" w:lastRow="0" w:firstColumn="1" w:lastColumn="0" w:noHBand="0" w:noVBand="1"/>
      </w:tblPr>
      <w:tblGrid>
        <w:gridCol w:w="2275"/>
        <w:gridCol w:w="2164"/>
        <w:gridCol w:w="2164"/>
        <w:gridCol w:w="2403"/>
      </w:tblGrid>
      <w:tr w:rsidR="00E04242" w:rsidRPr="00F60E93" w14:paraId="41FEE262" w14:textId="77777777" w:rsidTr="00DA28AC">
        <w:trPr>
          <w:tblHeader/>
        </w:trPr>
        <w:tc>
          <w:tcPr>
            <w:tcW w:w="227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3AC4C0C5" w14:textId="77777777" w:rsidR="00E04242" w:rsidRPr="00F60E93" w:rsidRDefault="00E04242" w:rsidP="00B631D7">
            <w:pPr>
              <w:pStyle w:val="wcpTableColHeaderSmall"/>
              <w:rPr>
                <w:lang w:val="en-AU"/>
              </w:rPr>
            </w:pPr>
          </w:p>
        </w:tc>
        <w:tc>
          <w:tcPr>
            <w:tcW w:w="216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92428EC" w14:textId="77777777" w:rsidR="00E04242" w:rsidRPr="00F60E93" w:rsidRDefault="00E04242" w:rsidP="00B631D7">
            <w:pPr>
              <w:pStyle w:val="wcpTableColHeaderSmall"/>
              <w:rPr>
                <w:lang w:val="en-AU"/>
              </w:rPr>
            </w:pPr>
            <w:r w:rsidRPr="00F60E93">
              <w:rPr>
                <w:lang w:val="en-AU"/>
              </w:rPr>
              <w:t>CYD14</w:t>
            </w:r>
            <w:r w:rsidRPr="00F60E93">
              <w:rPr>
                <w:lang w:val="en-AU"/>
              </w:rPr>
              <w:br/>
              <w:t>VE % (95%CI)*</w:t>
            </w:r>
          </w:p>
        </w:tc>
        <w:tc>
          <w:tcPr>
            <w:tcW w:w="216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B42BA07" w14:textId="77777777" w:rsidR="00E04242" w:rsidRPr="00F60E93" w:rsidRDefault="00E04242" w:rsidP="00B631D7">
            <w:pPr>
              <w:pStyle w:val="wcpTableColHeaderSmall"/>
              <w:rPr>
                <w:lang w:val="en-AU"/>
              </w:rPr>
            </w:pPr>
            <w:r w:rsidRPr="00F60E93">
              <w:rPr>
                <w:lang w:val="en-AU"/>
              </w:rPr>
              <w:t>CYD15</w:t>
            </w:r>
            <w:r w:rsidRPr="00F60E93">
              <w:rPr>
                <w:lang w:val="en-AU"/>
              </w:rPr>
              <w:br/>
              <w:t>VE % (95%CI)*</w:t>
            </w:r>
          </w:p>
        </w:tc>
        <w:tc>
          <w:tcPr>
            <w:tcW w:w="240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9E785A4" w14:textId="77777777" w:rsidR="00E04242" w:rsidRPr="00F60E93" w:rsidRDefault="00E04242" w:rsidP="00B631D7">
            <w:pPr>
              <w:pStyle w:val="wcpTableColHeaderSmall"/>
              <w:rPr>
                <w:lang w:val="en-AU"/>
              </w:rPr>
            </w:pPr>
            <w:r w:rsidRPr="00F60E93">
              <w:rPr>
                <w:lang w:val="en-AU"/>
              </w:rPr>
              <w:t>CYD14+CYD15</w:t>
            </w:r>
            <w:r w:rsidRPr="00F60E93">
              <w:rPr>
                <w:lang w:val="en-AU"/>
              </w:rPr>
              <w:br/>
              <w:t>VE % (95%CI)*</w:t>
            </w:r>
          </w:p>
        </w:tc>
      </w:tr>
      <w:tr w:rsidR="00E04242" w:rsidRPr="00F60E93" w14:paraId="68211C86" w14:textId="77777777" w:rsidTr="00DA28AC">
        <w:tc>
          <w:tcPr>
            <w:tcW w:w="22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A3FA28A" w14:textId="77777777" w:rsidR="00E04242" w:rsidRPr="00F60E93" w:rsidRDefault="00E04242" w:rsidP="00B631D7">
            <w:pPr>
              <w:pStyle w:val="wcpTableRowHeaderSmall"/>
              <w:rPr>
                <w:lang w:val="en-AU"/>
              </w:rPr>
            </w:pPr>
            <w:r w:rsidRPr="00F60E93">
              <w:rPr>
                <w:lang w:val="en-AU"/>
              </w:rPr>
              <w:t>Any serotype</w:t>
            </w:r>
          </w:p>
        </w:tc>
        <w:tc>
          <w:tcPr>
            <w:tcW w:w="2164" w:type="dxa"/>
            <w:tcBorders>
              <w:top w:val="nil"/>
              <w:left w:val="nil"/>
              <w:bottom w:val="single" w:sz="8" w:space="0" w:color="auto"/>
              <w:right w:val="single" w:sz="8" w:space="0" w:color="auto"/>
            </w:tcBorders>
            <w:tcMar>
              <w:top w:w="0" w:type="dxa"/>
              <w:left w:w="70" w:type="dxa"/>
              <w:bottom w:w="0" w:type="dxa"/>
              <w:right w:w="70" w:type="dxa"/>
            </w:tcMar>
            <w:hideMark/>
          </w:tcPr>
          <w:p w14:paraId="264B7947" w14:textId="77777777" w:rsidR="00E04242" w:rsidRPr="00F60E93" w:rsidRDefault="00E04242" w:rsidP="00B631D7">
            <w:pPr>
              <w:pStyle w:val="wcpTableContentSmall"/>
              <w:jc w:val="center"/>
              <w:rPr>
                <w:lang w:val="en-AU"/>
              </w:rPr>
            </w:pPr>
            <w:r w:rsidRPr="00F60E93">
              <w:rPr>
                <w:lang w:val="en-AU"/>
              </w:rPr>
              <w:t>67.8 (57.7; 75.6)</w:t>
            </w:r>
          </w:p>
        </w:tc>
        <w:tc>
          <w:tcPr>
            <w:tcW w:w="2164" w:type="dxa"/>
            <w:tcBorders>
              <w:top w:val="nil"/>
              <w:left w:val="nil"/>
              <w:bottom w:val="single" w:sz="8" w:space="0" w:color="auto"/>
              <w:right w:val="single" w:sz="8" w:space="0" w:color="auto"/>
            </w:tcBorders>
            <w:tcMar>
              <w:top w:w="0" w:type="dxa"/>
              <w:left w:w="70" w:type="dxa"/>
              <w:bottom w:w="0" w:type="dxa"/>
              <w:right w:w="70" w:type="dxa"/>
            </w:tcMar>
            <w:hideMark/>
          </w:tcPr>
          <w:p w14:paraId="387856E9" w14:textId="77777777" w:rsidR="00E04242" w:rsidRPr="00F60E93" w:rsidRDefault="00E04242" w:rsidP="00B631D7">
            <w:pPr>
              <w:pStyle w:val="wcpTableContentSmall"/>
              <w:jc w:val="center"/>
              <w:rPr>
                <w:lang w:val="en-AU"/>
              </w:rPr>
            </w:pPr>
            <w:r w:rsidRPr="00F60E93">
              <w:rPr>
                <w:lang w:val="en-AU"/>
              </w:rPr>
              <w:t xml:space="preserve">64.7 </w:t>
            </w:r>
            <w:r w:rsidRPr="00F60E93">
              <w:rPr>
                <w:color w:val="000000"/>
                <w:lang w:val="en-AU"/>
              </w:rPr>
              <w:t>(58.7; 69.8)</w:t>
            </w:r>
          </w:p>
        </w:tc>
        <w:tc>
          <w:tcPr>
            <w:tcW w:w="2403" w:type="dxa"/>
            <w:tcBorders>
              <w:top w:val="nil"/>
              <w:left w:val="nil"/>
              <w:bottom w:val="single" w:sz="8" w:space="0" w:color="auto"/>
              <w:right w:val="single" w:sz="8" w:space="0" w:color="auto"/>
            </w:tcBorders>
            <w:tcMar>
              <w:top w:w="0" w:type="dxa"/>
              <w:left w:w="70" w:type="dxa"/>
              <w:bottom w:w="0" w:type="dxa"/>
              <w:right w:w="70" w:type="dxa"/>
            </w:tcMar>
            <w:hideMark/>
          </w:tcPr>
          <w:p w14:paraId="7BAAF25F" w14:textId="77777777" w:rsidR="00E04242" w:rsidRPr="00F60E93" w:rsidRDefault="00E04242" w:rsidP="00B631D7">
            <w:pPr>
              <w:pStyle w:val="wcpTableContentSmall"/>
              <w:jc w:val="center"/>
              <w:rPr>
                <w:lang w:val="en-AU"/>
              </w:rPr>
            </w:pPr>
            <w:r w:rsidRPr="00F60E93">
              <w:rPr>
                <w:lang w:val="en-AU"/>
              </w:rPr>
              <w:t>65.6 (60.7; 69.9)</w:t>
            </w:r>
          </w:p>
        </w:tc>
      </w:tr>
      <w:tr w:rsidR="00E04242" w:rsidRPr="00F60E93" w14:paraId="742D5C75" w14:textId="77777777" w:rsidTr="00DA28AC">
        <w:tc>
          <w:tcPr>
            <w:tcW w:w="22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9501DD0" w14:textId="77777777" w:rsidR="00E04242" w:rsidRPr="00F60E93" w:rsidRDefault="00E04242" w:rsidP="00B631D7">
            <w:pPr>
              <w:pStyle w:val="wcpTableRowHeaderSmall"/>
              <w:rPr>
                <w:lang w:val="en-AU"/>
              </w:rPr>
            </w:pPr>
            <w:r w:rsidRPr="00F60E93">
              <w:rPr>
                <w:lang w:val="en-AU"/>
              </w:rPr>
              <w:t>    Serotype 1</w:t>
            </w:r>
          </w:p>
        </w:tc>
        <w:tc>
          <w:tcPr>
            <w:tcW w:w="2164" w:type="dxa"/>
            <w:tcBorders>
              <w:top w:val="nil"/>
              <w:left w:val="nil"/>
              <w:bottom w:val="single" w:sz="8" w:space="0" w:color="auto"/>
              <w:right w:val="single" w:sz="8" w:space="0" w:color="auto"/>
            </w:tcBorders>
            <w:tcMar>
              <w:top w:w="0" w:type="dxa"/>
              <w:left w:w="70" w:type="dxa"/>
              <w:bottom w:w="0" w:type="dxa"/>
              <w:right w:w="70" w:type="dxa"/>
            </w:tcMar>
            <w:hideMark/>
          </w:tcPr>
          <w:p w14:paraId="7194AC4C" w14:textId="77777777" w:rsidR="00E04242" w:rsidRPr="00F60E93" w:rsidRDefault="00E04242" w:rsidP="00B631D7">
            <w:pPr>
              <w:pStyle w:val="wcpTableContentSmall"/>
              <w:jc w:val="center"/>
              <w:rPr>
                <w:lang w:val="en-AU"/>
              </w:rPr>
            </w:pPr>
            <w:r w:rsidRPr="00F60E93">
              <w:rPr>
                <w:lang w:val="en-AU"/>
              </w:rPr>
              <w:t>65.7 (46.6; 78.2)</w:t>
            </w:r>
          </w:p>
        </w:tc>
        <w:tc>
          <w:tcPr>
            <w:tcW w:w="2164" w:type="dxa"/>
            <w:tcBorders>
              <w:top w:val="nil"/>
              <w:left w:val="nil"/>
              <w:bottom w:val="single" w:sz="8" w:space="0" w:color="auto"/>
              <w:right w:val="single" w:sz="8" w:space="0" w:color="auto"/>
            </w:tcBorders>
            <w:tcMar>
              <w:top w:w="0" w:type="dxa"/>
              <w:left w:w="70" w:type="dxa"/>
              <w:bottom w:w="0" w:type="dxa"/>
              <w:right w:w="70" w:type="dxa"/>
            </w:tcMar>
            <w:hideMark/>
          </w:tcPr>
          <w:p w14:paraId="6FA2C37C" w14:textId="77777777" w:rsidR="00E04242" w:rsidRPr="00F60E93" w:rsidRDefault="00E04242" w:rsidP="00B631D7">
            <w:pPr>
              <w:pStyle w:val="wcpTableContentSmall"/>
              <w:jc w:val="center"/>
              <w:rPr>
                <w:lang w:val="en-AU"/>
              </w:rPr>
            </w:pPr>
            <w:r w:rsidRPr="00F60E93">
              <w:rPr>
                <w:lang w:val="en-AU"/>
              </w:rPr>
              <w:t>54.8 (40.2; 65.9)</w:t>
            </w:r>
          </w:p>
        </w:tc>
        <w:tc>
          <w:tcPr>
            <w:tcW w:w="2403" w:type="dxa"/>
            <w:tcBorders>
              <w:top w:val="nil"/>
              <w:left w:val="nil"/>
              <w:bottom w:val="single" w:sz="8" w:space="0" w:color="auto"/>
              <w:right w:val="single" w:sz="8" w:space="0" w:color="auto"/>
            </w:tcBorders>
            <w:tcMar>
              <w:top w:w="0" w:type="dxa"/>
              <w:left w:w="70" w:type="dxa"/>
              <w:bottom w:w="0" w:type="dxa"/>
              <w:right w:w="70" w:type="dxa"/>
            </w:tcMar>
            <w:hideMark/>
          </w:tcPr>
          <w:p w14:paraId="52327132" w14:textId="77777777" w:rsidR="00E04242" w:rsidRPr="00F60E93" w:rsidRDefault="00E04242" w:rsidP="00B631D7">
            <w:pPr>
              <w:pStyle w:val="wcpTableContentSmall"/>
              <w:jc w:val="center"/>
              <w:rPr>
                <w:lang w:val="en-AU"/>
              </w:rPr>
            </w:pPr>
            <w:r w:rsidRPr="00F60E93">
              <w:rPr>
                <w:lang w:val="en-AU"/>
              </w:rPr>
              <w:t>58.4 (47.7; 66.9)</w:t>
            </w:r>
          </w:p>
        </w:tc>
      </w:tr>
      <w:tr w:rsidR="00E04242" w:rsidRPr="00F60E93" w14:paraId="6BB36798" w14:textId="77777777" w:rsidTr="00DA28AC">
        <w:tc>
          <w:tcPr>
            <w:tcW w:w="22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B40F7C8" w14:textId="77777777" w:rsidR="00E04242" w:rsidRPr="00F60E93" w:rsidRDefault="00E04242" w:rsidP="00B631D7">
            <w:pPr>
              <w:pStyle w:val="wcpTableRowHeaderSmall"/>
              <w:rPr>
                <w:lang w:val="en-AU"/>
              </w:rPr>
            </w:pPr>
            <w:r w:rsidRPr="00F60E93">
              <w:rPr>
                <w:lang w:val="en-AU"/>
              </w:rPr>
              <w:t>    Serotype 2</w:t>
            </w:r>
          </w:p>
        </w:tc>
        <w:tc>
          <w:tcPr>
            <w:tcW w:w="2164" w:type="dxa"/>
            <w:tcBorders>
              <w:top w:val="nil"/>
              <w:left w:val="nil"/>
              <w:bottom w:val="single" w:sz="8" w:space="0" w:color="auto"/>
              <w:right w:val="single" w:sz="8" w:space="0" w:color="auto"/>
            </w:tcBorders>
            <w:tcMar>
              <w:top w:w="0" w:type="dxa"/>
              <w:left w:w="70" w:type="dxa"/>
              <w:bottom w:w="0" w:type="dxa"/>
              <w:right w:w="70" w:type="dxa"/>
            </w:tcMar>
            <w:hideMark/>
          </w:tcPr>
          <w:p w14:paraId="566E701F" w14:textId="77777777" w:rsidR="00E04242" w:rsidRPr="00F60E93" w:rsidRDefault="00E04242" w:rsidP="00B631D7">
            <w:pPr>
              <w:pStyle w:val="wcpTableContentSmall"/>
              <w:jc w:val="center"/>
              <w:rPr>
                <w:lang w:val="en-AU"/>
              </w:rPr>
            </w:pPr>
            <w:r w:rsidRPr="00F60E93">
              <w:rPr>
                <w:lang w:val="en-AU"/>
              </w:rPr>
              <w:t>36.8 (-10.1; 63.3)</w:t>
            </w:r>
          </w:p>
        </w:tc>
        <w:tc>
          <w:tcPr>
            <w:tcW w:w="2164" w:type="dxa"/>
            <w:tcBorders>
              <w:top w:val="nil"/>
              <w:left w:val="nil"/>
              <w:bottom w:val="single" w:sz="8" w:space="0" w:color="auto"/>
              <w:right w:val="single" w:sz="8" w:space="0" w:color="auto"/>
            </w:tcBorders>
            <w:tcMar>
              <w:top w:w="0" w:type="dxa"/>
              <w:left w:w="70" w:type="dxa"/>
              <w:bottom w:w="0" w:type="dxa"/>
              <w:right w:w="70" w:type="dxa"/>
            </w:tcMar>
            <w:hideMark/>
          </w:tcPr>
          <w:p w14:paraId="65D04581" w14:textId="77777777" w:rsidR="00E04242" w:rsidRPr="00F60E93" w:rsidRDefault="00E04242" w:rsidP="00B631D7">
            <w:pPr>
              <w:pStyle w:val="wcpTableContentSmall"/>
              <w:jc w:val="center"/>
              <w:rPr>
                <w:lang w:val="en-AU"/>
              </w:rPr>
            </w:pPr>
            <w:r w:rsidRPr="00F60E93">
              <w:rPr>
                <w:lang w:val="en-AU"/>
              </w:rPr>
              <w:t>50.2 (31.8; 63.6)</w:t>
            </w:r>
          </w:p>
        </w:tc>
        <w:tc>
          <w:tcPr>
            <w:tcW w:w="2403" w:type="dxa"/>
            <w:tcBorders>
              <w:top w:val="nil"/>
              <w:left w:val="nil"/>
              <w:bottom w:val="single" w:sz="8" w:space="0" w:color="auto"/>
              <w:right w:val="single" w:sz="8" w:space="0" w:color="auto"/>
            </w:tcBorders>
            <w:tcMar>
              <w:top w:w="0" w:type="dxa"/>
              <w:left w:w="70" w:type="dxa"/>
              <w:bottom w:w="0" w:type="dxa"/>
              <w:right w:w="70" w:type="dxa"/>
            </w:tcMar>
            <w:hideMark/>
          </w:tcPr>
          <w:p w14:paraId="02074374" w14:textId="77777777" w:rsidR="00E04242" w:rsidRPr="00F60E93" w:rsidRDefault="00E04242" w:rsidP="00B631D7">
            <w:pPr>
              <w:pStyle w:val="wcpTableContentSmall"/>
              <w:jc w:val="center"/>
              <w:rPr>
                <w:lang w:val="en-AU"/>
              </w:rPr>
            </w:pPr>
            <w:r w:rsidRPr="00F60E93">
              <w:rPr>
                <w:lang w:val="en-AU"/>
              </w:rPr>
              <w:t>47.1 (31.3; 59.2)</w:t>
            </w:r>
          </w:p>
        </w:tc>
      </w:tr>
      <w:tr w:rsidR="00E04242" w:rsidRPr="00F60E93" w14:paraId="496036CC" w14:textId="77777777" w:rsidTr="00DA28AC">
        <w:tc>
          <w:tcPr>
            <w:tcW w:w="22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C9A23BC" w14:textId="77777777" w:rsidR="00E04242" w:rsidRPr="00F60E93" w:rsidRDefault="00E04242" w:rsidP="00B631D7">
            <w:pPr>
              <w:pStyle w:val="wcpTableRowHeaderSmall"/>
              <w:rPr>
                <w:lang w:val="en-AU"/>
              </w:rPr>
            </w:pPr>
            <w:r w:rsidRPr="00F60E93">
              <w:rPr>
                <w:lang w:val="en-AU"/>
              </w:rPr>
              <w:t>    Serotype 3</w:t>
            </w:r>
          </w:p>
        </w:tc>
        <w:tc>
          <w:tcPr>
            <w:tcW w:w="2164" w:type="dxa"/>
            <w:tcBorders>
              <w:top w:val="nil"/>
              <w:left w:val="nil"/>
              <w:bottom w:val="single" w:sz="8" w:space="0" w:color="auto"/>
              <w:right w:val="single" w:sz="8" w:space="0" w:color="auto"/>
            </w:tcBorders>
            <w:tcMar>
              <w:top w:w="0" w:type="dxa"/>
              <w:left w:w="70" w:type="dxa"/>
              <w:bottom w:w="0" w:type="dxa"/>
              <w:right w:w="70" w:type="dxa"/>
            </w:tcMar>
            <w:hideMark/>
          </w:tcPr>
          <w:p w14:paraId="2059DB42" w14:textId="77777777" w:rsidR="00E04242" w:rsidRPr="00F60E93" w:rsidRDefault="00E04242" w:rsidP="00B631D7">
            <w:pPr>
              <w:pStyle w:val="wcpTableContentSmall"/>
              <w:jc w:val="center"/>
              <w:rPr>
                <w:lang w:val="en-AU"/>
              </w:rPr>
            </w:pPr>
            <w:r w:rsidRPr="00F60E93">
              <w:rPr>
                <w:lang w:val="en-AU"/>
              </w:rPr>
              <w:t>69.5 (31.9; 87.0)</w:t>
            </w:r>
          </w:p>
        </w:tc>
        <w:tc>
          <w:tcPr>
            <w:tcW w:w="2164" w:type="dxa"/>
            <w:tcBorders>
              <w:top w:val="nil"/>
              <w:left w:val="nil"/>
              <w:bottom w:val="single" w:sz="8" w:space="0" w:color="auto"/>
              <w:right w:val="single" w:sz="8" w:space="0" w:color="auto"/>
            </w:tcBorders>
            <w:tcMar>
              <w:top w:w="0" w:type="dxa"/>
              <w:left w:w="70" w:type="dxa"/>
              <w:bottom w:w="0" w:type="dxa"/>
              <w:right w:w="70" w:type="dxa"/>
            </w:tcMar>
            <w:hideMark/>
          </w:tcPr>
          <w:p w14:paraId="323D4566" w14:textId="77777777" w:rsidR="00E04242" w:rsidRPr="00F60E93" w:rsidRDefault="00E04242" w:rsidP="00B631D7">
            <w:pPr>
              <w:pStyle w:val="wcpTableContentSmall"/>
              <w:jc w:val="center"/>
              <w:rPr>
                <w:lang w:val="en-AU"/>
              </w:rPr>
            </w:pPr>
            <w:r w:rsidRPr="00F60E93">
              <w:rPr>
                <w:lang w:val="en-AU"/>
              </w:rPr>
              <w:t>74.2 (63.9; 81.7)</w:t>
            </w:r>
          </w:p>
        </w:tc>
        <w:tc>
          <w:tcPr>
            <w:tcW w:w="2403" w:type="dxa"/>
            <w:tcBorders>
              <w:top w:val="nil"/>
              <w:left w:val="nil"/>
              <w:bottom w:val="single" w:sz="8" w:space="0" w:color="auto"/>
              <w:right w:val="single" w:sz="8" w:space="0" w:color="auto"/>
            </w:tcBorders>
            <w:tcMar>
              <w:top w:w="0" w:type="dxa"/>
              <w:left w:w="70" w:type="dxa"/>
              <w:bottom w:w="0" w:type="dxa"/>
              <w:right w:w="70" w:type="dxa"/>
            </w:tcMar>
            <w:hideMark/>
          </w:tcPr>
          <w:p w14:paraId="739C2C66" w14:textId="77777777" w:rsidR="00E04242" w:rsidRPr="00F60E93" w:rsidRDefault="00E04242" w:rsidP="00B631D7">
            <w:pPr>
              <w:pStyle w:val="wcpTableContentSmall"/>
              <w:jc w:val="center"/>
              <w:rPr>
                <w:lang w:val="en-AU"/>
              </w:rPr>
            </w:pPr>
            <w:r w:rsidRPr="00F60E93">
              <w:rPr>
                <w:lang w:val="en-AU"/>
              </w:rPr>
              <w:t>73.6 (64.4; 80.4)</w:t>
            </w:r>
          </w:p>
        </w:tc>
      </w:tr>
      <w:tr w:rsidR="00E04242" w:rsidRPr="00F60E93" w14:paraId="4B5DC8E7" w14:textId="77777777" w:rsidTr="00DA28AC">
        <w:tc>
          <w:tcPr>
            <w:tcW w:w="22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B22FFC3" w14:textId="77777777" w:rsidR="00E04242" w:rsidRPr="00F60E93" w:rsidRDefault="00E04242" w:rsidP="00B631D7">
            <w:pPr>
              <w:pStyle w:val="wcpTableRowHeaderSmall"/>
              <w:rPr>
                <w:lang w:val="en-AU"/>
              </w:rPr>
            </w:pPr>
            <w:r w:rsidRPr="00F60E93">
              <w:rPr>
                <w:lang w:val="en-AU"/>
              </w:rPr>
              <w:t>    Serotype 4</w:t>
            </w:r>
          </w:p>
        </w:tc>
        <w:tc>
          <w:tcPr>
            <w:tcW w:w="2164" w:type="dxa"/>
            <w:tcBorders>
              <w:top w:val="nil"/>
              <w:left w:val="nil"/>
              <w:bottom w:val="single" w:sz="8" w:space="0" w:color="auto"/>
              <w:right w:val="single" w:sz="8" w:space="0" w:color="auto"/>
            </w:tcBorders>
            <w:tcMar>
              <w:top w:w="0" w:type="dxa"/>
              <w:left w:w="70" w:type="dxa"/>
              <w:bottom w:w="0" w:type="dxa"/>
              <w:right w:w="70" w:type="dxa"/>
            </w:tcMar>
            <w:hideMark/>
          </w:tcPr>
          <w:p w14:paraId="58BA9289" w14:textId="77777777" w:rsidR="00E04242" w:rsidRPr="00F60E93" w:rsidRDefault="00E04242" w:rsidP="00B631D7">
            <w:pPr>
              <w:pStyle w:val="wcpTableContentSmall"/>
              <w:jc w:val="center"/>
              <w:rPr>
                <w:lang w:val="en-AU"/>
              </w:rPr>
            </w:pPr>
            <w:r w:rsidRPr="00F60E93">
              <w:rPr>
                <w:lang w:val="en-AU"/>
              </w:rPr>
              <w:t>87.9 (75.5; 94.6)</w:t>
            </w:r>
          </w:p>
        </w:tc>
        <w:tc>
          <w:tcPr>
            <w:tcW w:w="2164" w:type="dxa"/>
            <w:tcBorders>
              <w:top w:val="nil"/>
              <w:left w:val="nil"/>
              <w:bottom w:val="single" w:sz="8" w:space="0" w:color="auto"/>
              <w:right w:val="single" w:sz="8" w:space="0" w:color="auto"/>
            </w:tcBorders>
            <w:tcMar>
              <w:top w:w="0" w:type="dxa"/>
              <w:left w:w="70" w:type="dxa"/>
              <w:bottom w:w="0" w:type="dxa"/>
              <w:right w:w="70" w:type="dxa"/>
            </w:tcMar>
            <w:hideMark/>
          </w:tcPr>
          <w:p w14:paraId="0894828A" w14:textId="77777777" w:rsidR="00E04242" w:rsidRPr="00F60E93" w:rsidRDefault="00E04242" w:rsidP="00B631D7">
            <w:pPr>
              <w:pStyle w:val="wcpTableContentSmall"/>
              <w:jc w:val="center"/>
              <w:rPr>
                <w:lang w:val="en-AU"/>
              </w:rPr>
            </w:pPr>
            <w:r w:rsidRPr="00F60E93">
              <w:rPr>
                <w:lang w:val="en-AU"/>
              </w:rPr>
              <w:t>80.9 (70.9; 87.7)</w:t>
            </w:r>
          </w:p>
        </w:tc>
        <w:tc>
          <w:tcPr>
            <w:tcW w:w="2403" w:type="dxa"/>
            <w:tcBorders>
              <w:top w:val="nil"/>
              <w:left w:val="nil"/>
              <w:bottom w:val="single" w:sz="8" w:space="0" w:color="auto"/>
              <w:right w:val="single" w:sz="8" w:space="0" w:color="auto"/>
            </w:tcBorders>
            <w:tcMar>
              <w:top w:w="0" w:type="dxa"/>
              <w:left w:w="70" w:type="dxa"/>
              <w:bottom w:w="0" w:type="dxa"/>
              <w:right w:w="70" w:type="dxa"/>
            </w:tcMar>
            <w:hideMark/>
          </w:tcPr>
          <w:p w14:paraId="4460A9C5" w14:textId="77777777" w:rsidR="00E04242" w:rsidRPr="00F60E93" w:rsidRDefault="00E04242" w:rsidP="00B631D7">
            <w:pPr>
              <w:pStyle w:val="wcpTableContentSmall"/>
              <w:jc w:val="center"/>
              <w:rPr>
                <w:lang w:val="en-AU"/>
              </w:rPr>
            </w:pPr>
            <w:r w:rsidRPr="00F60E93">
              <w:rPr>
                <w:lang w:val="en-AU"/>
              </w:rPr>
              <w:t>83.2 (76.2; 88.2)</w:t>
            </w:r>
            <w:r w:rsidRPr="00F60E93">
              <w:rPr>
                <w:rStyle w:val="CommentReference"/>
                <w:lang w:val="en-AU"/>
              </w:rPr>
              <w:t> </w:t>
            </w:r>
          </w:p>
        </w:tc>
      </w:tr>
      <w:tr w:rsidR="00E04242" w:rsidRPr="00F60E93" w14:paraId="5E0ED7AC" w14:textId="77777777" w:rsidTr="00DA28AC">
        <w:tc>
          <w:tcPr>
            <w:tcW w:w="22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7F113B1" w14:textId="77777777" w:rsidR="00E04242" w:rsidRPr="00F60E93" w:rsidRDefault="00E04242" w:rsidP="00B631D7">
            <w:pPr>
              <w:pStyle w:val="wcpTableRowHeaderSmall"/>
              <w:rPr>
                <w:lang w:val="en-AU"/>
              </w:rPr>
            </w:pPr>
            <w:r w:rsidRPr="00F60E93">
              <w:rPr>
                <w:lang w:val="en-AU"/>
              </w:rPr>
              <w:t>Clinically severe VCD cases</w:t>
            </w:r>
          </w:p>
        </w:tc>
        <w:tc>
          <w:tcPr>
            <w:tcW w:w="2164" w:type="dxa"/>
            <w:tcBorders>
              <w:top w:val="nil"/>
              <w:left w:val="nil"/>
              <w:bottom w:val="single" w:sz="8" w:space="0" w:color="auto"/>
              <w:right w:val="single" w:sz="8" w:space="0" w:color="auto"/>
            </w:tcBorders>
            <w:tcMar>
              <w:top w:w="0" w:type="dxa"/>
              <w:left w:w="70" w:type="dxa"/>
              <w:bottom w:w="0" w:type="dxa"/>
              <w:right w:w="70" w:type="dxa"/>
            </w:tcMar>
            <w:hideMark/>
          </w:tcPr>
          <w:p w14:paraId="268D5BF9" w14:textId="77777777" w:rsidR="00E04242" w:rsidRPr="00F60E93" w:rsidRDefault="00E04242" w:rsidP="00B631D7">
            <w:pPr>
              <w:pStyle w:val="wcpTableContentSmall"/>
              <w:jc w:val="center"/>
              <w:rPr>
                <w:lang w:val="en-AU"/>
              </w:rPr>
            </w:pPr>
            <w:r w:rsidRPr="00F60E93">
              <w:rPr>
                <w:color w:val="000000"/>
                <w:lang w:val="en-AU" w:eastAsia="zh-CN"/>
              </w:rPr>
              <w:t>90.9 (58.4; 99.0)</w:t>
            </w:r>
          </w:p>
        </w:tc>
        <w:tc>
          <w:tcPr>
            <w:tcW w:w="2164" w:type="dxa"/>
            <w:tcBorders>
              <w:top w:val="nil"/>
              <w:left w:val="nil"/>
              <w:bottom w:val="single" w:sz="8" w:space="0" w:color="auto"/>
              <w:right w:val="single" w:sz="8" w:space="0" w:color="auto"/>
            </w:tcBorders>
            <w:tcMar>
              <w:top w:w="0" w:type="dxa"/>
              <w:left w:w="70" w:type="dxa"/>
              <w:bottom w:w="0" w:type="dxa"/>
              <w:right w:w="70" w:type="dxa"/>
            </w:tcMar>
            <w:hideMark/>
          </w:tcPr>
          <w:p w14:paraId="180E1DCD" w14:textId="77777777" w:rsidR="00E04242" w:rsidRPr="00F60E93" w:rsidRDefault="00E04242" w:rsidP="00B631D7">
            <w:pPr>
              <w:pStyle w:val="wcpTableContentSmall"/>
              <w:jc w:val="center"/>
              <w:rPr>
                <w:lang w:val="en-AU"/>
              </w:rPr>
            </w:pPr>
            <w:r w:rsidRPr="00F60E93">
              <w:rPr>
                <w:color w:val="000000"/>
                <w:lang w:val="en-AU" w:eastAsia="zh-CN"/>
              </w:rPr>
              <w:t>95.5 (68.8; 99.9)</w:t>
            </w:r>
          </w:p>
        </w:tc>
        <w:tc>
          <w:tcPr>
            <w:tcW w:w="2403" w:type="dxa"/>
            <w:tcBorders>
              <w:top w:val="nil"/>
              <w:left w:val="nil"/>
              <w:bottom w:val="single" w:sz="8" w:space="0" w:color="auto"/>
              <w:right w:val="single" w:sz="8" w:space="0" w:color="auto"/>
            </w:tcBorders>
            <w:tcMar>
              <w:top w:w="0" w:type="dxa"/>
              <w:left w:w="70" w:type="dxa"/>
              <w:bottom w:w="0" w:type="dxa"/>
              <w:right w:w="70" w:type="dxa"/>
            </w:tcMar>
            <w:hideMark/>
          </w:tcPr>
          <w:p w14:paraId="7099F9BE" w14:textId="77777777" w:rsidR="00E04242" w:rsidRPr="00F60E93" w:rsidRDefault="00E04242" w:rsidP="00B631D7">
            <w:pPr>
              <w:pStyle w:val="wcpTableContentSmall"/>
              <w:jc w:val="center"/>
              <w:rPr>
                <w:lang w:val="en-AU"/>
              </w:rPr>
            </w:pPr>
            <w:r w:rsidRPr="00F60E93">
              <w:rPr>
                <w:lang w:val="en-AU"/>
              </w:rPr>
              <w:t>93.2 (77.3; 98.0)</w:t>
            </w:r>
          </w:p>
        </w:tc>
      </w:tr>
      <w:tr w:rsidR="00E04242" w:rsidRPr="00F60E93" w14:paraId="5721D040" w14:textId="77777777" w:rsidTr="00DA28AC">
        <w:tc>
          <w:tcPr>
            <w:tcW w:w="22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A74BFD1" w14:textId="77777777" w:rsidR="00E04242" w:rsidRPr="00F60E93" w:rsidRDefault="00E04242" w:rsidP="00B631D7">
            <w:pPr>
              <w:pStyle w:val="wcpTableRowHeaderSmall"/>
              <w:rPr>
                <w:lang w:val="en-AU"/>
              </w:rPr>
            </w:pPr>
            <w:r w:rsidRPr="00F60E93">
              <w:rPr>
                <w:lang w:val="en-AU"/>
              </w:rPr>
              <w:t>DHF meeting any WHO criteria</w:t>
            </w:r>
          </w:p>
        </w:tc>
        <w:tc>
          <w:tcPr>
            <w:tcW w:w="2164" w:type="dxa"/>
            <w:tcBorders>
              <w:top w:val="nil"/>
              <w:left w:val="nil"/>
              <w:bottom w:val="single" w:sz="8" w:space="0" w:color="auto"/>
              <w:right w:val="single" w:sz="8" w:space="0" w:color="auto"/>
            </w:tcBorders>
            <w:tcMar>
              <w:top w:w="0" w:type="dxa"/>
              <w:left w:w="70" w:type="dxa"/>
              <w:bottom w:w="0" w:type="dxa"/>
              <w:right w:w="70" w:type="dxa"/>
            </w:tcMar>
            <w:hideMark/>
          </w:tcPr>
          <w:p w14:paraId="6BEFA910" w14:textId="77777777" w:rsidR="00E04242" w:rsidRPr="00F60E93" w:rsidRDefault="00E04242" w:rsidP="00B631D7">
            <w:pPr>
              <w:pStyle w:val="wcpTableContentSmall"/>
              <w:jc w:val="center"/>
              <w:rPr>
                <w:lang w:val="en-AU"/>
              </w:rPr>
            </w:pPr>
            <w:r w:rsidRPr="00F60E93">
              <w:rPr>
                <w:lang w:val="en-AU"/>
              </w:rPr>
              <w:t>90.9 (58.4; 99.0)</w:t>
            </w:r>
          </w:p>
        </w:tc>
        <w:tc>
          <w:tcPr>
            <w:tcW w:w="2164" w:type="dxa"/>
            <w:tcBorders>
              <w:top w:val="nil"/>
              <w:left w:val="nil"/>
              <w:bottom w:val="single" w:sz="8" w:space="0" w:color="auto"/>
              <w:right w:val="single" w:sz="8" w:space="0" w:color="auto"/>
            </w:tcBorders>
            <w:tcMar>
              <w:top w:w="0" w:type="dxa"/>
              <w:left w:w="70" w:type="dxa"/>
              <w:bottom w:w="0" w:type="dxa"/>
              <w:right w:w="70" w:type="dxa"/>
            </w:tcMar>
            <w:hideMark/>
          </w:tcPr>
          <w:p w14:paraId="6435B9A1" w14:textId="77777777" w:rsidR="00E04242" w:rsidRPr="00F60E93" w:rsidRDefault="00E04242" w:rsidP="00B631D7">
            <w:pPr>
              <w:pStyle w:val="wcpTableContentSmall"/>
              <w:jc w:val="center"/>
              <w:rPr>
                <w:lang w:val="en-AU"/>
              </w:rPr>
            </w:pPr>
            <w:r w:rsidRPr="00F60E93">
              <w:rPr>
                <w:color w:val="000000"/>
                <w:lang w:val="en-AU" w:eastAsia="zh-CN"/>
              </w:rPr>
              <w:t>95.0 (64.9; 99.9)</w:t>
            </w:r>
          </w:p>
        </w:tc>
        <w:tc>
          <w:tcPr>
            <w:tcW w:w="2403" w:type="dxa"/>
            <w:tcBorders>
              <w:top w:val="nil"/>
              <w:left w:val="nil"/>
              <w:bottom w:val="single" w:sz="8" w:space="0" w:color="auto"/>
              <w:right w:val="single" w:sz="8" w:space="0" w:color="auto"/>
            </w:tcBorders>
            <w:tcMar>
              <w:top w:w="0" w:type="dxa"/>
              <w:left w:w="70" w:type="dxa"/>
              <w:bottom w:w="0" w:type="dxa"/>
              <w:right w:w="70" w:type="dxa"/>
            </w:tcMar>
            <w:hideMark/>
          </w:tcPr>
          <w:p w14:paraId="7C1F4833" w14:textId="77777777" w:rsidR="00E04242" w:rsidRPr="00F60E93" w:rsidRDefault="00E04242" w:rsidP="00B631D7">
            <w:pPr>
              <w:pStyle w:val="wcpTableContentSmall"/>
              <w:jc w:val="center"/>
              <w:rPr>
                <w:lang w:val="en-AU"/>
              </w:rPr>
            </w:pPr>
            <w:r w:rsidRPr="00F60E93">
              <w:rPr>
                <w:lang w:val="en-AU"/>
              </w:rPr>
              <w:t>92.9 (76.1; 97.9)</w:t>
            </w:r>
          </w:p>
        </w:tc>
      </w:tr>
      <w:tr w:rsidR="00E04242" w:rsidRPr="00F60E93" w14:paraId="5421C977" w14:textId="77777777" w:rsidTr="00DA28AC">
        <w:tc>
          <w:tcPr>
            <w:tcW w:w="22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73F0DAD" w14:textId="77777777" w:rsidR="00E04242" w:rsidRPr="00F60E93" w:rsidRDefault="00E04242" w:rsidP="00B631D7">
            <w:pPr>
              <w:pStyle w:val="wcpTableRowHeaderSmall"/>
              <w:rPr>
                <w:lang w:val="en-AU"/>
              </w:rPr>
            </w:pPr>
            <w:r w:rsidRPr="00F60E93">
              <w:rPr>
                <w:lang w:val="en-AU"/>
              </w:rPr>
              <w:t>Hospitalised VCD</w:t>
            </w:r>
          </w:p>
        </w:tc>
        <w:tc>
          <w:tcPr>
            <w:tcW w:w="2164" w:type="dxa"/>
            <w:tcBorders>
              <w:top w:val="nil"/>
              <w:left w:val="nil"/>
              <w:bottom w:val="single" w:sz="8" w:space="0" w:color="auto"/>
              <w:right w:val="single" w:sz="8" w:space="0" w:color="auto"/>
            </w:tcBorders>
            <w:tcMar>
              <w:top w:w="0" w:type="dxa"/>
              <w:left w:w="70" w:type="dxa"/>
              <w:bottom w:w="0" w:type="dxa"/>
              <w:right w:w="70" w:type="dxa"/>
            </w:tcMar>
            <w:hideMark/>
          </w:tcPr>
          <w:p w14:paraId="58FC8B4D" w14:textId="77777777" w:rsidR="00E04242" w:rsidRPr="00F60E93" w:rsidRDefault="00E04242" w:rsidP="00B631D7">
            <w:pPr>
              <w:pStyle w:val="wcpTableContentSmall"/>
              <w:jc w:val="center"/>
              <w:rPr>
                <w:lang w:val="en-AU"/>
              </w:rPr>
            </w:pPr>
            <w:r w:rsidRPr="00F60E93">
              <w:rPr>
                <w:lang w:val="en-AU"/>
              </w:rPr>
              <w:t>81.6 (60.7; 92.0)</w:t>
            </w:r>
          </w:p>
        </w:tc>
        <w:tc>
          <w:tcPr>
            <w:tcW w:w="2164" w:type="dxa"/>
            <w:tcBorders>
              <w:top w:val="nil"/>
              <w:left w:val="nil"/>
              <w:bottom w:val="single" w:sz="8" w:space="0" w:color="auto"/>
              <w:right w:val="single" w:sz="8" w:space="0" w:color="auto"/>
            </w:tcBorders>
            <w:tcMar>
              <w:top w:w="0" w:type="dxa"/>
              <w:left w:w="70" w:type="dxa"/>
              <w:bottom w:w="0" w:type="dxa"/>
              <w:right w:w="70" w:type="dxa"/>
            </w:tcMar>
            <w:hideMark/>
          </w:tcPr>
          <w:p w14:paraId="6B78E090" w14:textId="77777777" w:rsidR="00E04242" w:rsidRPr="00F60E93" w:rsidRDefault="00E04242" w:rsidP="00B631D7">
            <w:pPr>
              <w:pStyle w:val="wcpTableContentSmall"/>
              <w:jc w:val="center"/>
              <w:rPr>
                <w:lang w:val="en-AU"/>
              </w:rPr>
            </w:pPr>
            <w:r w:rsidRPr="00F60E93">
              <w:rPr>
                <w:lang w:val="en-AU"/>
              </w:rPr>
              <w:t>80.3 (64.7; 89.5)</w:t>
            </w:r>
          </w:p>
        </w:tc>
        <w:tc>
          <w:tcPr>
            <w:tcW w:w="2403" w:type="dxa"/>
            <w:tcBorders>
              <w:top w:val="nil"/>
              <w:left w:val="nil"/>
              <w:bottom w:val="single" w:sz="8" w:space="0" w:color="auto"/>
              <w:right w:val="single" w:sz="8" w:space="0" w:color="auto"/>
            </w:tcBorders>
            <w:tcMar>
              <w:top w:w="0" w:type="dxa"/>
              <w:left w:w="70" w:type="dxa"/>
              <w:bottom w:w="0" w:type="dxa"/>
              <w:right w:w="70" w:type="dxa"/>
            </w:tcMar>
            <w:hideMark/>
          </w:tcPr>
          <w:p w14:paraId="174BDB1E" w14:textId="77777777" w:rsidR="00E04242" w:rsidRPr="00F60E93" w:rsidRDefault="00E04242" w:rsidP="00B631D7">
            <w:pPr>
              <w:pStyle w:val="wcpTableContentSmall"/>
              <w:jc w:val="center"/>
              <w:rPr>
                <w:lang w:val="en-AU"/>
              </w:rPr>
            </w:pPr>
            <w:r w:rsidRPr="00F60E93">
              <w:rPr>
                <w:lang w:val="en-AU"/>
              </w:rPr>
              <w:t>80.8 (70.1; 87.7)</w:t>
            </w:r>
          </w:p>
        </w:tc>
      </w:tr>
      <w:tr w:rsidR="00E04242" w:rsidRPr="00F60E93" w14:paraId="6502B4C6" w14:textId="77777777" w:rsidTr="00DA28AC">
        <w:tc>
          <w:tcPr>
            <w:tcW w:w="22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F3AC395" w14:textId="17B04884" w:rsidR="00E04242" w:rsidRPr="00F60E93" w:rsidRDefault="00524988" w:rsidP="00524988">
            <w:pPr>
              <w:pStyle w:val="wcpTableRowHeaderSmall"/>
              <w:rPr>
                <w:lang w:val="en-AU"/>
              </w:rPr>
            </w:pPr>
            <w:r w:rsidRPr="0083040A">
              <w:rPr>
                <w:lang w:val="en-AU"/>
              </w:rPr>
              <w:t>VCD any serotype in subjects with neutralising antibodies against dengue prior vaccination **</w:t>
            </w:r>
          </w:p>
        </w:tc>
        <w:tc>
          <w:tcPr>
            <w:tcW w:w="2164" w:type="dxa"/>
            <w:tcBorders>
              <w:top w:val="nil"/>
              <w:left w:val="nil"/>
              <w:bottom w:val="single" w:sz="8" w:space="0" w:color="auto"/>
              <w:right w:val="single" w:sz="8" w:space="0" w:color="auto"/>
            </w:tcBorders>
            <w:tcMar>
              <w:top w:w="0" w:type="dxa"/>
              <w:left w:w="70" w:type="dxa"/>
              <w:bottom w:w="0" w:type="dxa"/>
              <w:right w:w="70" w:type="dxa"/>
            </w:tcMar>
            <w:hideMark/>
          </w:tcPr>
          <w:p w14:paraId="7C6DED70" w14:textId="77777777" w:rsidR="00E04242" w:rsidRPr="00F60E93" w:rsidRDefault="00E04242" w:rsidP="00B631D7">
            <w:pPr>
              <w:pStyle w:val="wcpTableContentSmall"/>
              <w:jc w:val="center"/>
              <w:rPr>
                <w:lang w:val="en-AU"/>
              </w:rPr>
            </w:pPr>
            <w:r w:rsidRPr="00F60E93">
              <w:rPr>
                <w:lang w:val="en-AU"/>
              </w:rPr>
              <w:t>79.2 (47.2; 92.7)</w:t>
            </w:r>
          </w:p>
        </w:tc>
        <w:tc>
          <w:tcPr>
            <w:tcW w:w="2164" w:type="dxa"/>
            <w:tcBorders>
              <w:top w:val="nil"/>
              <w:left w:val="nil"/>
              <w:bottom w:val="single" w:sz="8" w:space="0" w:color="auto"/>
              <w:right w:val="single" w:sz="8" w:space="0" w:color="auto"/>
            </w:tcBorders>
            <w:tcMar>
              <w:top w:w="0" w:type="dxa"/>
              <w:left w:w="70" w:type="dxa"/>
              <w:bottom w:w="0" w:type="dxa"/>
              <w:right w:w="70" w:type="dxa"/>
            </w:tcMar>
            <w:hideMark/>
          </w:tcPr>
          <w:p w14:paraId="203AD860" w14:textId="77777777" w:rsidR="00E04242" w:rsidRPr="00F60E93" w:rsidRDefault="00E04242" w:rsidP="00B631D7">
            <w:pPr>
              <w:pStyle w:val="wcpTableContentSmall"/>
              <w:jc w:val="center"/>
              <w:rPr>
                <w:lang w:val="en-AU"/>
              </w:rPr>
            </w:pPr>
            <w:r w:rsidRPr="00F60E93">
              <w:rPr>
                <w:lang w:val="en-AU"/>
              </w:rPr>
              <w:t>83.7 (62.2; 93.7)</w:t>
            </w:r>
          </w:p>
        </w:tc>
        <w:tc>
          <w:tcPr>
            <w:tcW w:w="2403" w:type="dxa"/>
            <w:tcBorders>
              <w:top w:val="nil"/>
              <w:left w:val="nil"/>
              <w:bottom w:val="single" w:sz="8" w:space="0" w:color="auto"/>
              <w:right w:val="single" w:sz="8" w:space="0" w:color="auto"/>
            </w:tcBorders>
            <w:tcMar>
              <w:top w:w="0" w:type="dxa"/>
              <w:left w:w="70" w:type="dxa"/>
              <w:bottom w:w="0" w:type="dxa"/>
              <w:right w:w="70" w:type="dxa"/>
            </w:tcMar>
            <w:hideMark/>
          </w:tcPr>
          <w:p w14:paraId="0C8BA9EE" w14:textId="77777777" w:rsidR="00E04242" w:rsidRPr="00F60E93" w:rsidRDefault="00E04242" w:rsidP="00B631D7">
            <w:pPr>
              <w:pStyle w:val="wcpTableContentSmall"/>
              <w:jc w:val="center"/>
              <w:rPr>
                <w:lang w:val="en-AU"/>
              </w:rPr>
            </w:pPr>
            <w:r w:rsidRPr="00F60E93">
              <w:rPr>
                <w:lang w:val="en-AU"/>
              </w:rPr>
              <w:t>81.9 (67.2; 90.0)</w:t>
            </w:r>
          </w:p>
        </w:tc>
      </w:tr>
    </w:tbl>
    <w:p w14:paraId="6FDEF43B" w14:textId="77777777" w:rsidR="00E04242" w:rsidRPr="00AA21D9" w:rsidRDefault="00E04242" w:rsidP="00E04242">
      <w:pPr>
        <w:autoSpaceDE w:val="0"/>
        <w:autoSpaceDN w:val="0"/>
        <w:spacing w:before="0"/>
        <w:rPr>
          <w:sz w:val="20"/>
          <w:szCs w:val="20"/>
          <w:lang w:val="en-AU"/>
        </w:rPr>
      </w:pPr>
      <w:r w:rsidRPr="00AA21D9">
        <w:rPr>
          <w:sz w:val="20"/>
          <w:szCs w:val="20"/>
          <w:lang w:val="en-AU"/>
        </w:rPr>
        <w:t>* The efficacy of Dengvaxia is considered as significant if the lower bound of the 95% CI is greater than 0.</w:t>
      </w:r>
    </w:p>
    <w:p w14:paraId="574C6468" w14:textId="77777777" w:rsidR="00E04242" w:rsidRPr="00AA21D9" w:rsidRDefault="00E04242" w:rsidP="00E04242">
      <w:pPr>
        <w:autoSpaceDE w:val="0"/>
        <w:autoSpaceDN w:val="0"/>
        <w:spacing w:before="0"/>
        <w:rPr>
          <w:sz w:val="20"/>
          <w:szCs w:val="20"/>
          <w:lang w:val="en-AU"/>
        </w:rPr>
      </w:pPr>
      <w:r w:rsidRPr="00AA21D9">
        <w:rPr>
          <w:sz w:val="20"/>
          <w:szCs w:val="20"/>
          <w:lang w:val="en-AU"/>
        </w:rPr>
        <w:t>CI: confidence interval.</w:t>
      </w:r>
    </w:p>
    <w:p w14:paraId="28B4D60E" w14:textId="1F36D4C1" w:rsidR="00E04242" w:rsidRDefault="00E04242" w:rsidP="00E04242">
      <w:pPr>
        <w:autoSpaceDE w:val="0"/>
        <w:autoSpaceDN w:val="0"/>
        <w:spacing w:before="0"/>
        <w:rPr>
          <w:sz w:val="20"/>
          <w:szCs w:val="20"/>
          <w:lang w:val="en-AU"/>
        </w:rPr>
      </w:pPr>
      <w:r w:rsidRPr="00AA21D9">
        <w:rPr>
          <w:sz w:val="20"/>
          <w:szCs w:val="20"/>
          <w:lang w:val="en-AU"/>
        </w:rPr>
        <w:t>**Vaccine efficacy analyses according to dengue immune status</w:t>
      </w:r>
      <w:r w:rsidR="00524988">
        <w:rPr>
          <w:sz w:val="20"/>
          <w:szCs w:val="20"/>
          <w:lang w:val="en-AU"/>
        </w:rPr>
        <w:t xml:space="preserve"> </w:t>
      </w:r>
      <w:r w:rsidR="00524988" w:rsidRPr="0083040A">
        <w:rPr>
          <w:sz w:val="20"/>
          <w:szCs w:val="20"/>
          <w:lang w:val="en-AU"/>
        </w:rPr>
        <w:t>and PRNT test</w:t>
      </w:r>
      <w:r w:rsidRPr="0083040A">
        <w:rPr>
          <w:sz w:val="20"/>
          <w:szCs w:val="20"/>
          <w:lang w:val="en-AU"/>
        </w:rPr>
        <w:t xml:space="preserve"> </w:t>
      </w:r>
      <w:r w:rsidRPr="00AA21D9">
        <w:rPr>
          <w:sz w:val="20"/>
          <w:szCs w:val="20"/>
          <w:lang w:val="en-AU"/>
        </w:rPr>
        <w:t>before the first injection were performed in the immunogenicity subset of 2,000 subjects per study</w:t>
      </w:r>
      <w:r w:rsidR="00524988" w:rsidRPr="0083040A">
        <w:rPr>
          <w:sz w:val="20"/>
          <w:szCs w:val="20"/>
          <w:lang w:val="en-AU"/>
        </w:rPr>
        <w:t>:</w:t>
      </w:r>
      <w:r w:rsidRPr="00AA21D9">
        <w:rPr>
          <w:sz w:val="20"/>
          <w:szCs w:val="20"/>
          <w:lang w:val="en-AU"/>
        </w:rPr>
        <w:t xml:space="preserve"> </w:t>
      </w:r>
    </w:p>
    <w:p w14:paraId="1531C1BD" w14:textId="177FBF21" w:rsidR="00524988" w:rsidRPr="0083040A" w:rsidRDefault="00524988" w:rsidP="004F4EBF">
      <w:pPr>
        <w:pStyle w:val="ListParagraph"/>
        <w:numPr>
          <w:ilvl w:val="0"/>
          <w:numId w:val="2"/>
        </w:numPr>
        <w:autoSpaceDE w:val="0"/>
        <w:autoSpaceDN w:val="0"/>
        <w:adjustRightInd w:val="0"/>
        <w:spacing w:before="0"/>
        <w:rPr>
          <w:rFonts w:ascii="Times New Roman" w:hAnsi="Times New Roman"/>
          <w:sz w:val="20"/>
          <w:szCs w:val="20"/>
          <w:lang w:val="en-AU"/>
        </w:rPr>
      </w:pPr>
      <w:r w:rsidRPr="0083040A">
        <w:rPr>
          <w:rFonts w:ascii="Times New Roman" w:hAnsi="Times New Roman"/>
          <w:sz w:val="20"/>
          <w:szCs w:val="20"/>
          <w:lang w:val="en-AU"/>
        </w:rPr>
        <w:t>Subjects with quantified (≥ 10 [1/</w:t>
      </w:r>
      <w:proofErr w:type="spellStart"/>
      <w:r w:rsidRPr="0083040A">
        <w:rPr>
          <w:rFonts w:ascii="Times New Roman" w:hAnsi="Times New Roman"/>
          <w:sz w:val="20"/>
          <w:szCs w:val="20"/>
          <w:lang w:val="en-AU"/>
        </w:rPr>
        <w:t>dil</w:t>
      </w:r>
      <w:proofErr w:type="spellEnd"/>
      <w:r w:rsidRPr="0083040A">
        <w:rPr>
          <w:rFonts w:ascii="Times New Roman" w:hAnsi="Times New Roman"/>
          <w:sz w:val="20"/>
          <w:szCs w:val="20"/>
          <w:lang w:val="en-AU"/>
        </w:rPr>
        <w:t>], the lower limit of quantitation) neutralising antibodies against at least one dengue serotype in the baseline sample</w:t>
      </w:r>
      <w:r w:rsidR="007D3BE4">
        <w:rPr>
          <w:rFonts w:ascii="Times New Roman" w:hAnsi="Times New Roman"/>
          <w:sz w:val="20"/>
          <w:szCs w:val="20"/>
          <w:lang w:val="en-AU"/>
        </w:rPr>
        <w:t>.</w:t>
      </w:r>
    </w:p>
    <w:p w14:paraId="3C849C9F" w14:textId="56248BC9" w:rsidR="00E04242" w:rsidRPr="00E106F7" w:rsidRDefault="00E04242" w:rsidP="00E04242">
      <w:pPr>
        <w:rPr>
          <w:i/>
          <w:lang w:val="en-AU"/>
        </w:rPr>
      </w:pPr>
      <w:r w:rsidRPr="00E106F7">
        <w:rPr>
          <w:i/>
          <w:lang w:val="en-AU"/>
        </w:rPr>
        <w:t xml:space="preserve">Bridging of efficacy data to individuals 17 through </w:t>
      </w:r>
      <w:r>
        <w:rPr>
          <w:i/>
          <w:lang w:val="en-AU"/>
        </w:rPr>
        <w:t>45</w:t>
      </w:r>
      <w:r w:rsidRPr="00E106F7">
        <w:rPr>
          <w:i/>
          <w:lang w:val="en-AU"/>
        </w:rPr>
        <w:t xml:space="preserve"> years of age in endemic areas</w:t>
      </w:r>
    </w:p>
    <w:p w14:paraId="467948D1" w14:textId="77777777" w:rsidR="00E04242" w:rsidRPr="00E96058" w:rsidRDefault="00E04242" w:rsidP="00E04242">
      <w:pPr>
        <w:rPr>
          <w:lang w:val="en-AU"/>
        </w:rPr>
      </w:pPr>
      <w:r w:rsidRPr="00E96058">
        <w:rPr>
          <w:lang w:val="en-AU"/>
        </w:rPr>
        <w:t xml:space="preserve">The 2 pivotal efficacy studies showed that higher post-injection 3 GMTs were associated with higher protection. </w:t>
      </w:r>
    </w:p>
    <w:p w14:paraId="35EB5796" w14:textId="77777777" w:rsidR="00E04242" w:rsidRPr="00E96058" w:rsidRDefault="00E04242" w:rsidP="00E04242">
      <w:pPr>
        <w:rPr>
          <w:lang w:val="en-AU"/>
        </w:rPr>
      </w:pPr>
      <w:r w:rsidRPr="00E96058">
        <w:rPr>
          <w:lang w:val="en-AU"/>
        </w:rPr>
        <w:lastRenderedPageBreak/>
        <w:t>Based on immunogenicity data from Phase II studies conducted in Asia (CYD22 conducted in Vietnam in 180 subjects 2 through 45 years of age including 30 adults, and CYD47, conducted in India in 189 subjects 18 through 45 years of age), similar or higher neutralising antibody levels after the third injection are anticipated in adults from endemic areas, and thus a similar or higher level of protection after the third injection of the vaccine is expected in individuals 17 through 45 years of age in endemic areas compared to the vaccine efficacy observed in the CYD14 and CYD15 studies.</w:t>
      </w:r>
    </w:p>
    <w:p w14:paraId="208BF148" w14:textId="77777777" w:rsidR="00E04242" w:rsidRPr="00E04242" w:rsidRDefault="00E04242" w:rsidP="00E04242">
      <w:pPr>
        <w:rPr>
          <w:lang w:val="en-AU"/>
        </w:rPr>
      </w:pPr>
      <w:r w:rsidRPr="00E96058">
        <w:rPr>
          <w:lang w:val="en-AU"/>
        </w:rPr>
        <w:t>Data from a Phase III study conducted in non-endemic areas (CYD17, conducted in Australia in 715 subjects 18 through 60 years of age including 241 subjects above 45 years of age) showed that the immunogenicity profile of the individuals 46 through 60 years of age is similar to the one of the individuals 18 through 45 years of age in the same region.</w:t>
      </w:r>
    </w:p>
    <w:p w14:paraId="33B41E30" w14:textId="7B31965F" w:rsidR="001A3992" w:rsidRDefault="001A3992" w:rsidP="00E52CA8">
      <w:pPr>
        <w:pStyle w:val="Heading2"/>
        <w:rPr>
          <w:lang w:val="en-AU"/>
        </w:rPr>
      </w:pPr>
      <w:bookmarkStart w:id="18" w:name="_Hlk501008419"/>
      <w:r w:rsidRPr="00717E34">
        <w:rPr>
          <w:lang w:val="en-AU"/>
        </w:rPr>
        <w:t>Pharmacokinetic properties</w:t>
      </w:r>
    </w:p>
    <w:p w14:paraId="36A12007" w14:textId="42E06433" w:rsidR="00B631D7" w:rsidRPr="00E0149B" w:rsidRDefault="00B631D7" w:rsidP="00B631D7">
      <w:pPr>
        <w:rPr>
          <w:lang w:val="en-AU"/>
        </w:rPr>
      </w:pPr>
      <w:r w:rsidRPr="00E0149B">
        <w:rPr>
          <w:lang w:val="en-AU"/>
        </w:rPr>
        <w:t>No pharmacokinetic studies have been performed on Dengvaxia.</w:t>
      </w:r>
    </w:p>
    <w:bookmarkEnd w:id="18"/>
    <w:p w14:paraId="1F36FB91" w14:textId="77777777" w:rsidR="001A3992" w:rsidRPr="00717E34" w:rsidRDefault="001A3992" w:rsidP="00E52CA8">
      <w:pPr>
        <w:pStyle w:val="Heading2"/>
        <w:rPr>
          <w:lang w:val="en-AU"/>
        </w:rPr>
      </w:pPr>
      <w:r w:rsidRPr="00717E34">
        <w:rPr>
          <w:lang w:val="en-AU"/>
        </w:rPr>
        <w:t>Preclinical safety data</w:t>
      </w:r>
    </w:p>
    <w:p w14:paraId="1B5D9A62" w14:textId="77777777" w:rsidR="001A3992" w:rsidRDefault="001A3992" w:rsidP="00FF1143">
      <w:pPr>
        <w:pStyle w:val="Heading3"/>
        <w:numPr>
          <w:ilvl w:val="0"/>
          <w:numId w:val="0"/>
        </w:numPr>
        <w:rPr>
          <w:lang w:val="en-AU"/>
        </w:rPr>
      </w:pPr>
      <w:r w:rsidRPr="00717E34">
        <w:rPr>
          <w:lang w:val="en-AU"/>
        </w:rPr>
        <w:t>Genotoxicity</w:t>
      </w:r>
    </w:p>
    <w:p w14:paraId="70F8579F" w14:textId="77777777" w:rsidR="00E04242" w:rsidRPr="00E04242" w:rsidRDefault="00E04242" w:rsidP="00E04242">
      <w:r w:rsidRPr="00E04242">
        <w:t xml:space="preserve">Dengvaxia has not been evaluated for genotoxic potential. </w:t>
      </w:r>
    </w:p>
    <w:p w14:paraId="02466D8B" w14:textId="77777777" w:rsidR="001A3992" w:rsidRDefault="001A3992" w:rsidP="00FF1143">
      <w:pPr>
        <w:pStyle w:val="Heading3"/>
        <w:numPr>
          <w:ilvl w:val="0"/>
          <w:numId w:val="0"/>
        </w:numPr>
        <w:rPr>
          <w:lang w:val="en-AU"/>
        </w:rPr>
      </w:pPr>
      <w:r w:rsidRPr="00717E34">
        <w:rPr>
          <w:lang w:val="en-AU"/>
        </w:rPr>
        <w:t>Carcinogenicity</w:t>
      </w:r>
    </w:p>
    <w:p w14:paraId="62E52DDC" w14:textId="77777777" w:rsidR="00E04242" w:rsidRPr="00E04242" w:rsidRDefault="00E04242" w:rsidP="00E04242">
      <w:r w:rsidRPr="00E04242">
        <w:t>Dengvaxia has not been evaluated for carcinogenic potential.</w:t>
      </w:r>
    </w:p>
    <w:p w14:paraId="0D1D2BE4" w14:textId="77777777" w:rsidR="001A3992" w:rsidRPr="00717E34" w:rsidRDefault="001A3992" w:rsidP="00E04242">
      <w:pPr>
        <w:pStyle w:val="Heading1"/>
        <w:pageBreakBefore w:val="0"/>
        <w:rPr>
          <w:lang w:val="en-AU"/>
        </w:rPr>
      </w:pPr>
      <w:r w:rsidRPr="00717E34">
        <w:rPr>
          <w:lang w:val="en-AU"/>
        </w:rPr>
        <w:t>Pharmaceutical particulars</w:t>
      </w:r>
    </w:p>
    <w:p w14:paraId="33298193" w14:textId="77777777" w:rsidR="001A3992" w:rsidRDefault="001A3992" w:rsidP="00E52CA8">
      <w:pPr>
        <w:pStyle w:val="Heading2"/>
        <w:rPr>
          <w:lang w:val="en-AU"/>
        </w:rPr>
      </w:pPr>
      <w:bookmarkStart w:id="19" w:name="_Ref500843904"/>
      <w:r w:rsidRPr="00717E34">
        <w:rPr>
          <w:lang w:val="en-AU"/>
        </w:rPr>
        <w:t>List of excipients</w:t>
      </w:r>
      <w:bookmarkEnd w:id="19"/>
    </w:p>
    <w:p w14:paraId="395EEFB6" w14:textId="5796C769" w:rsidR="005B5414" w:rsidRPr="00E0149B" w:rsidRDefault="005B5414" w:rsidP="005B5414">
      <w:pPr>
        <w:pStyle w:val="Heading3"/>
        <w:numPr>
          <w:ilvl w:val="0"/>
          <w:numId w:val="0"/>
        </w:numPr>
        <w:rPr>
          <w:lang w:val="en-AU"/>
        </w:rPr>
      </w:pPr>
      <w:r w:rsidRPr="00E0149B">
        <w:rPr>
          <w:lang w:val="en-AU"/>
        </w:rPr>
        <w:t>Powder</w:t>
      </w:r>
      <w:r w:rsidR="00E04242" w:rsidRPr="00E0149B">
        <w:rPr>
          <w:lang w:val="en-AU"/>
        </w:rPr>
        <w:t>:</w:t>
      </w:r>
    </w:p>
    <w:p w14:paraId="61F56703" w14:textId="4749C220" w:rsidR="005B5414" w:rsidRPr="00E0149B" w:rsidRDefault="005B5414" w:rsidP="005B5414">
      <w:pPr>
        <w:pStyle w:val="ListBulletLevel1"/>
        <w:numPr>
          <w:ilvl w:val="0"/>
          <w:numId w:val="0"/>
        </w:numPr>
        <w:ind w:left="363"/>
        <w:rPr>
          <w:color w:val="auto"/>
          <w:lang w:val="en-AU"/>
        </w:rPr>
      </w:pPr>
      <w:r w:rsidRPr="00E0149B">
        <w:rPr>
          <w:color w:val="auto"/>
          <w:lang w:val="en-AU"/>
        </w:rPr>
        <w:t>E</w:t>
      </w:r>
      <w:r w:rsidR="00E04242" w:rsidRPr="00E0149B">
        <w:rPr>
          <w:color w:val="auto"/>
          <w:lang w:val="en-AU"/>
        </w:rPr>
        <w:t>ssential amino acids (</w:t>
      </w:r>
      <w:proofErr w:type="spellStart"/>
      <w:r w:rsidR="00E04242" w:rsidRPr="00E0149B">
        <w:rPr>
          <w:color w:val="auto"/>
          <w:lang w:val="en-AU"/>
        </w:rPr>
        <w:t>cystine</w:t>
      </w:r>
      <w:proofErr w:type="spellEnd"/>
      <w:r w:rsidR="00E04242" w:rsidRPr="00E0149B">
        <w:rPr>
          <w:color w:val="auto"/>
          <w:lang w:val="en-AU"/>
        </w:rPr>
        <w:t>, tyrosine, arginine hydrochloride, histidine, isoleucine, leucine, lysine hydrochloride, methionine, phenylalanine, threonine, tryptophan and valine)</w:t>
      </w:r>
    </w:p>
    <w:p w14:paraId="4FBF3C72" w14:textId="49C8B30D" w:rsidR="005B5414" w:rsidRPr="00E0149B" w:rsidRDefault="005B5414" w:rsidP="005B5414">
      <w:pPr>
        <w:pStyle w:val="ListBulletLevel1"/>
        <w:numPr>
          <w:ilvl w:val="0"/>
          <w:numId w:val="0"/>
        </w:numPr>
        <w:ind w:left="363"/>
        <w:rPr>
          <w:color w:val="auto"/>
          <w:lang w:val="en-AU"/>
        </w:rPr>
      </w:pPr>
      <w:r w:rsidRPr="00E0149B">
        <w:rPr>
          <w:color w:val="auto"/>
          <w:lang w:val="en-AU"/>
        </w:rPr>
        <w:t>N</w:t>
      </w:r>
      <w:r w:rsidR="00E04242" w:rsidRPr="00E0149B">
        <w:rPr>
          <w:color w:val="auto"/>
          <w:lang w:val="en-AU"/>
        </w:rPr>
        <w:t>on-essential amino acids (alanine, asparagine, aspartic acid, glutamic acid, proline, serine and glycine)</w:t>
      </w:r>
    </w:p>
    <w:p w14:paraId="5C94BF62" w14:textId="6FF945A5" w:rsidR="005B5414" w:rsidRPr="00E0149B" w:rsidRDefault="005B5414" w:rsidP="005B5414">
      <w:pPr>
        <w:pStyle w:val="ListBulletLevel1"/>
        <w:numPr>
          <w:ilvl w:val="0"/>
          <w:numId w:val="0"/>
        </w:numPr>
        <w:ind w:left="363"/>
        <w:rPr>
          <w:color w:val="auto"/>
          <w:lang w:val="en-AU"/>
        </w:rPr>
      </w:pPr>
      <w:r w:rsidRPr="00E0149B">
        <w:rPr>
          <w:color w:val="auto"/>
          <w:lang w:val="en-AU"/>
        </w:rPr>
        <w:t>A</w:t>
      </w:r>
      <w:r w:rsidR="00E04242" w:rsidRPr="00E0149B">
        <w:rPr>
          <w:color w:val="auto"/>
          <w:lang w:val="en-AU"/>
        </w:rPr>
        <w:t>rginine hydrochloride</w:t>
      </w:r>
    </w:p>
    <w:p w14:paraId="6D31633C" w14:textId="40B921FB" w:rsidR="005B5414" w:rsidRPr="00E0149B" w:rsidRDefault="005B5414" w:rsidP="005B5414">
      <w:pPr>
        <w:pStyle w:val="ListBulletLevel1"/>
        <w:numPr>
          <w:ilvl w:val="0"/>
          <w:numId w:val="0"/>
        </w:numPr>
        <w:ind w:left="363"/>
        <w:rPr>
          <w:color w:val="auto"/>
          <w:lang w:val="en-AU"/>
        </w:rPr>
      </w:pPr>
      <w:r w:rsidRPr="00E0149B">
        <w:rPr>
          <w:color w:val="auto"/>
          <w:lang w:val="en-AU"/>
        </w:rPr>
        <w:t>S</w:t>
      </w:r>
      <w:r w:rsidR="00E04242" w:rsidRPr="00E0149B">
        <w:rPr>
          <w:color w:val="auto"/>
          <w:lang w:val="en-AU"/>
        </w:rPr>
        <w:t>ucrose</w:t>
      </w:r>
    </w:p>
    <w:p w14:paraId="5D55C051" w14:textId="696F2B61" w:rsidR="005B5414" w:rsidRPr="00E0149B" w:rsidRDefault="005B5414" w:rsidP="005B5414">
      <w:pPr>
        <w:pStyle w:val="ListBulletLevel1"/>
        <w:numPr>
          <w:ilvl w:val="0"/>
          <w:numId w:val="0"/>
        </w:numPr>
        <w:ind w:left="363"/>
        <w:rPr>
          <w:color w:val="auto"/>
          <w:lang w:val="en-AU"/>
        </w:rPr>
      </w:pPr>
      <w:r w:rsidRPr="00E0149B">
        <w:rPr>
          <w:color w:val="auto"/>
          <w:lang w:val="en-AU"/>
        </w:rPr>
        <w:t>T</w:t>
      </w:r>
      <w:r w:rsidR="00E04242" w:rsidRPr="00E0149B">
        <w:rPr>
          <w:color w:val="auto"/>
          <w:lang w:val="en-AU"/>
        </w:rPr>
        <w:t>rehalose dihydrate</w:t>
      </w:r>
    </w:p>
    <w:p w14:paraId="3E0D5260" w14:textId="7B13AB1A" w:rsidR="005B5414" w:rsidRPr="00E0149B" w:rsidRDefault="005B5414" w:rsidP="005B5414">
      <w:pPr>
        <w:pStyle w:val="ListBulletLevel1"/>
        <w:numPr>
          <w:ilvl w:val="0"/>
          <w:numId w:val="0"/>
        </w:numPr>
        <w:ind w:left="363"/>
        <w:rPr>
          <w:color w:val="auto"/>
          <w:lang w:val="en-AU"/>
        </w:rPr>
      </w:pPr>
      <w:r w:rsidRPr="00E0149B">
        <w:rPr>
          <w:color w:val="auto"/>
          <w:lang w:val="en-AU"/>
        </w:rPr>
        <w:t>S</w:t>
      </w:r>
      <w:r w:rsidR="00E04242" w:rsidRPr="00E0149B">
        <w:rPr>
          <w:color w:val="auto"/>
          <w:lang w:val="en-AU"/>
        </w:rPr>
        <w:t>orbitol</w:t>
      </w:r>
    </w:p>
    <w:p w14:paraId="6786636C" w14:textId="3B843A22" w:rsidR="005B5414" w:rsidRPr="00E0149B" w:rsidRDefault="005B5414" w:rsidP="005B5414">
      <w:pPr>
        <w:pStyle w:val="ListBulletLevel1"/>
        <w:numPr>
          <w:ilvl w:val="0"/>
          <w:numId w:val="0"/>
        </w:numPr>
        <w:ind w:left="363"/>
        <w:rPr>
          <w:color w:val="auto"/>
          <w:lang w:val="en-AU"/>
        </w:rPr>
      </w:pPr>
      <w:r w:rsidRPr="00E0149B">
        <w:rPr>
          <w:color w:val="auto"/>
          <w:lang w:val="en-AU"/>
        </w:rPr>
        <w:lastRenderedPageBreak/>
        <w:t>T</w:t>
      </w:r>
      <w:r w:rsidR="00E04242" w:rsidRPr="00E0149B">
        <w:rPr>
          <w:color w:val="auto"/>
          <w:lang w:val="en-AU"/>
        </w:rPr>
        <w:t>rometamol</w:t>
      </w:r>
    </w:p>
    <w:p w14:paraId="3699091C" w14:textId="139E373A" w:rsidR="005B5414" w:rsidRPr="00E0149B" w:rsidRDefault="005B5414" w:rsidP="005B5414">
      <w:pPr>
        <w:pStyle w:val="ListBulletLevel1"/>
        <w:numPr>
          <w:ilvl w:val="0"/>
          <w:numId w:val="0"/>
        </w:numPr>
        <w:ind w:left="363"/>
        <w:rPr>
          <w:color w:val="auto"/>
          <w:lang w:val="en-AU"/>
        </w:rPr>
      </w:pPr>
      <w:r w:rsidRPr="00E0149B">
        <w:rPr>
          <w:color w:val="auto"/>
          <w:lang w:val="en-AU"/>
        </w:rPr>
        <w:t>U</w:t>
      </w:r>
      <w:r w:rsidR="00E04242" w:rsidRPr="00E0149B">
        <w:rPr>
          <w:color w:val="auto"/>
          <w:lang w:val="en-AU"/>
        </w:rPr>
        <w:t>rea</w:t>
      </w:r>
    </w:p>
    <w:p w14:paraId="68AC3CDF" w14:textId="77777777" w:rsidR="005B5414" w:rsidRPr="00E0149B" w:rsidRDefault="005B5414" w:rsidP="005B5414">
      <w:pPr>
        <w:pStyle w:val="Heading3"/>
        <w:numPr>
          <w:ilvl w:val="0"/>
          <w:numId w:val="0"/>
        </w:numPr>
        <w:rPr>
          <w:lang w:val="en-AU"/>
        </w:rPr>
      </w:pPr>
      <w:r w:rsidRPr="00E0149B">
        <w:rPr>
          <w:lang w:val="en-AU"/>
        </w:rPr>
        <w:t>Diluent:</w:t>
      </w:r>
    </w:p>
    <w:p w14:paraId="2E1E6D7B" w14:textId="252FBAED" w:rsidR="005B5414" w:rsidRPr="00E0149B" w:rsidRDefault="005B5414" w:rsidP="005B5414">
      <w:pPr>
        <w:pStyle w:val="ListBulletLevel1"/>
        <w:numPr>
          <w:ilvl w:val="0"/>
          <w:numId w:val="0"/>
        </w:numPr>
        <w:ind w:left="363"/>
        <w:rPr>
          <w:color w:val="auto"/>
          <w:lang w:val="en-AU"/>
        </w:rPr>
      </w:pPr>
      <w:r w:rsidRPr="00E0149B">
        <w:rPr>
          <w:color w:val="auto"/>
          <w:lang w:val="en-AU"/>
        </w:rPr>
        <w:t>S</w:t>
      </w:r>
      <w:r w:rsidR="00E04242" w:rsidRPr="00E0149B">
        <w:rPr>
          <w:color w:val="auto"/>
          <w:lang w:val="en-AU"/>
        </w:rPr>
        <w:t xml:space="preserve">odium chloride </w:t>
      </w:r>
    </w:p>
    <w:p w14:paraId="5A5CC3A3" w14:textId="0124EFA7" w:rsidR="00E04242" w:rsidRPr="00E0149B" w:rsidRDefault="005B5414" w:rsidP="005B5414">
      <w:pPr>
        <w:pStyle w:val="ListBulletLevel1"/>
        <w:numPr>
          <w:ilvl w:val="0"/>
          <w:numId w:val="0"/>
        </w:numPr>
        <w:ind w:left="363"/>
        <w:rPr>
          <w:color w:val="auto"/>
          <w:lang w:val="en-AU"/>
        </w:rPr>
      </w:pPr>
      <w:r w:rsidRPr="00E0149B">
        <w:rPr>
          <w:color w:val="auto"/>
          <w:lang w:val="en-AU"/>
        </w:rPr>
        <w:t>W</w:t>
      </w:r>
      <w:r w:rsidR="00E04242" w:rsidRPr="00E0149B">
        <w:rPr>
          <w:color w:val="auto"/>
          <w:lang w:val="en-AU"/>
        </w:rPr>
        <w:t>ater for injection</w:t>
      </w:r>
    </w:p>
    <w:p w14:paraId="407AB439" w14:textId="77777777" w:rsidR="0098468E" w:rsidRPr="006E23CE" w:rsidRDefault="0098468E" w:rsidP="0098468E">
      <w:pPr>
        <w:pStyle w:val="ListBulletLevel1"/>
        <w:numPr>
          <w:ilvl w:val="0"/>
          <w:numId w:val="0"/>
        </w:numPr>
        <w:rPr>
          <w:color w:val="00B0F0"/>
          <w:u w:val="double"/>
          <w:lang w:val="en-AU"/>
        </w:rPr>
      </w:pPr>
    </w:p>
    <w:p w14:paraId="1F31949B" w14:textId="7DD685E1" w:rsidR="0098468E" w:rsidRPr="00B631D7" w:rsidRDefault="0098468E" w:rsidP="0098468E">
      <w:r w:rsidRPr="00B326E5">
        <w:rPr>
          <w:i/>
          <w:color w:val="00B050"/>
          <w:lang w:val="en-AU"/>
        </w:rPr>
        <w:t>.</w:t>
      </w:r>
      <w:r>
        <w:rPr>
          <w:i/>
          <w:color w:val="00B050"/>
          <w:lang w:val="en-AU"/>
        </w:rPr>
        <w:t xml:space="preserve"> </w:t>
      </w:r>
    </w:p>
    <w:p w14:paraId="6B2979AE" w14:textId="77777777" w:rsidR="001A3992" w:rsidRDefault="001A3992" w:rsidP="00E52CA8">
      <w:pPr>
        <w:pStyle w:val="Heading2"/>
        <w:rPr>
          <w:lang w:val="en-AU"/>
        </w:rPr>
      </w:pPr>
      <w:r w:rsidRPr="00717E34">
        <w:rPr>
          <w:lang w:val="en-AU"/>
        </w:rPr>
        <w:t>Incompatibilities</w:t>
      </w:r>
    </w:p>
    <w:p w14:paraId="312DF169" w14:textId="7E838E79" w:rsidR="00E04242" w:rsidRPr="00E0149B" w:rsidRDefault="00E04242" w:rsidP="00E04242">
      <w:pPr>
        <w:rPr>
          <w:color w:val="auto"/>
          <w:lang w:val="en-AU"/>
        </w:rPr>
      </w:pPr>
      <w:r w:rsidRPr="00F60E93">
        <w:rPr>
          <w:lang w:val="en-AU"/>
        </w:rPr>
        <w:t>Dengvaxia must not be mixed with any other injectable vaccine(s) or medicinal product(s</w:t>
      </w:r>
      <w:proofErr w:type="gramStart"/>
      <w:r w:rsidRPr="00F60E93">
        <w:rPr>
          <w:lang w:val="en-AU"/>
        </w:rPr>
        <w:t>)</w:t>
      </w:r>
      <w:r>
        <w:rPr>
          <w:lang w:val="en-AU"/>
        </w:rPr>
        <w:t>,</w:t>
      </w:r>
      <w:proofErr w:type="gramEnd"/>
      <w:r>
        <w:rPr>
          <w:lang w:val="en-AU"/>
        </w:rPr>
        <w:t xml:space="preserve"> see </w:t>
      </w:r>
      <w:r w:rsidRPr="00E0149B">
        <w:rPr>
          <w:color w:val="auto"/>
          <w:lang w:val="en-AU"/>
        </w:rPr>
        <w:t xml:space="preserve">Section </w:t>
      </w:r>
      <w:r w:rsidRPr="00E0149B">
        <w:rPr>
          <w:color w:val="auto"/>
          <w:lang w:val="en-AU"/>
        </w:rPr>
        <w:fldChar w:fldCharType="begin"/>
      </w:r>
      <w:r w:rsidRPr="00E0149B">
        <w:rPr>
          <w:color w:val="auto"/>
          <w:lang w:val="en-AU"/>
        </w:rPr>
        <w:instrText xml:space="preserve"> REF _Ref500842883 \r \h  \* MERGEFORMAT </w:instrText>
      </w:r>
      <w:r w:rsidRPr="00E0149B">
        <w:rPr>
          <w:color w:val="auto"/>
          <w:lang w:val="en-AU"/>
        </w:rPr>
      </w:r>
      <w:r w:rsidRPr="00E0149B">
        <w:rPr>
          <w:color w:val="auto"/>
          <w:lang w:val="en-AU"/>
        </w:rPr>
        <w:fldChar w:fldCharType="separate"/>
      </w:r>
      <w:r w:rsidR="00C16A62" w:rsidRPr="00E0149B">
        <w:rPr>
          <w:color w:val="auto"/>
          <w:lang w:val="en-AU"/>
        </w:rPr>
        <w:t>4.5</w:t>
      </w:r>
      <w:r w:rsidRPr="00E0149B">
        <w:rPr>
          <w:color w:val="auto"/>
          <w:lang w:val="en-AU"/>
        </w:rPr>
        <w:fldChar w:fldCharType="end"/>
      </w:r>
      <w:r w:rsidRPr="00E0149B">
        <w:rPr>
          <w:color w:val="auto"/>
          <w:lang w:val="en-AU"/>
        </w:rPr>
        <w:t xml:space="preserve"> </w:t>
      </w:r>
      <w:r w:rsidR="00EB2FA7" w:rsidRPr="00E0149B">
        <w:rPr>
          <w:color w:val="auto"/>
          <w:lang w:val="en-AU"/>
        </w:rPr>
        <w:t>Interactions with other medicines and other forms of interactions</w:t>
      </w:r>
      <w:r w:rsidRPr="00E0149B">
        <w:rPr>
          <w:color w:val="auto"/>
          <w:lang w:val="en-AU"/>
        </w:rPr>
        <w:t>.</w:t>
      </w:r>
    </w:p>
    <w:p w14:paraId="4A9323E2" w14:textId="77777777" w:rsidR="001A3992" w:rsidRPr="00717E34" w:rsidRDefault="001A3992" w:rsidP="00E52CA8">
      <w:pPr>
        <w:pStyle w:val="Heading2"/>
        <w:rPr>
          <w:lang w:val="en-AU"/>
        </w:rPr>
      </w:pPr>
      <w:r w:rsidRPr="00717E34">
        <w:rPr>
          <w:lang w:val="en-AU"/>
        </w:rPr>
        <w:t>Shelf life</w:t>
      </w:r>
    </w:p>
    <w:p w14:paraId="09D46DAC" w14:textId="4905C391" w:rsidR="0024632F" w:rsidRPr="00E0149B" w:rsidRDefault="00EA7CFD" w:rsidP="00194D6E">
      <w:pPr>
        <w:rPr>
          <w:color w:val="auto"/>
          <w:lang w:val="en-AU"/>
        </w:rPr>
      </w:pPr>
      <w:r w:rsidRPr="00E0149B">
        <w:rPr>
          <w:color w:val="auto"/>
          <w:lang w:val="en-AU"/>
        </w:rPr>
        <w:t>36 months</w:t>
      </w:r>
    </w:p>
    <w:p w14:paraId="7AE6253E" w14:textId="023AC0B9" w:rsidR="00D00D69" w:rsidRDefault="00D00D69" w:rsidP="00D00D69">
      <w:pPr>
        <w:rPr>
          <w:lang w:val="en-AU"/>
        </w:rPr>
      </w:pPr>
      <w:r w:rsidRPr="00F60E93">
        <w:rPr>
          <w:lang w:val="en-AU"/>
        </w:rPr>
        <w:t>Dengvaxia should be used immediately after reconstitution with the diluent provided</w:t>
      </w:r>
      <w:r w:rsidRPr="008B5D2B">
        <w:rPr>
          <w:lang w:val="en-AU"/>
        </w:rPr>
        <w:t xml:space="preserve">. However, in-use stability studies showed that the reconstituted product can be kept for up to 6 hours </w:t>
      </w:r>
      <w:r>
        <w:rPr>
          <w:lang w:val="en-AU"/>
        </w:rPr>
        <w:t>at</w:t>
      </w:r>
      <w:r w:rsidRPr="008B5D2B">
        <w:rPr>
          <w:lang w:val="en-AU"/>
        </w:rPr>
        <w:t xml:space="preserve"> 2°C </w:t>
      </w:r>
      <w:r>
        <w:rPr>
          <w:lang w:val="en-AU"/>
        </w:rPr>
        <w:t>to</w:t>
      </w:r>
      <w:r w:rsidRPr="008B5D2B">
        <w:rPr>
          <w:lang w:val="en-AU"/>
        </w:rPr>
        <w:t xml:space="preserve"> 8°C (i.e., in a refrigerator).</w:t>
      </w:r>
    </w:p>
    <w:p w14:paraId="3580076C" w14:textId="77777777" w:rsidR="001A3992" w:rsidRDefault="001A3992" w:rsidP="00E52CA8">
      <w:pPr>
        <w:pStyle w:val="Heading2"/>
        <w:rPr>
          <w:lang w:val="en-AU"/>
        </w:rPr>
      </w:pPr>
      <w:r w:rsidRPr="00717E34">
        <w:rPr>
          <w:lang w:val="en-AU"/>
        </w:rPr>
        <w:t>S</w:t>
      </w:r>
      <w:r w:rsidRPr="00E04242">
        <w:t xml:space="preserve">pecial precautions for storage </w:t>
      </w:r>
    </w:p>
    <w:p w14:paraId="0BA98CF5" w14:textId="77777777" w:rsidR="00E04242" w:rsidRPr="00E04242" w:rsidRDefault="00E04242" w:rsidP="00E04242">
      <w:proofErr w:type="gramStart"/>
      <w:r w:rsidRPr="00E04242">
        <w:t>Store in a refrigerator (2°C–8°C).</w:t>
      </w:r>
      <w:proofErr w:type="gramEnd"/>
      <w:r w:rsidRPr="00E04242">
        <w:t xml:space="preserve"> Do not freeze. Protect from light.</w:t>
      </w:r>
    </w:p>
    <w:p w14:paraId="02915ADD" w14:textId="77777777" w:rsidR="001A3992" w:rsidRPr="00717E34" w:rsidRDefault="001A3992" w:rsidP="00E52CA8">
      <w:pPr>
        <w:pStyle w:val="Heading2"/>
        <w:rPr>
          <w:lang w:val="en-AU"/>
        </w:rPr>
      </w:pPr>
      <w:r w:rsidRPr="00717E34">
        <w:rPr>
          <w:lang w:val="en-AU"/>
        </w:rPr>
        <w:t xml:space="preserve">Nature and contents of container </w:t>
      </w:r>
    </w:p>
    <w:p w14:paraId="1D578B2E" w14:textId="77777777" w:rsidR="00582403" w:rsidRPr="00F60E93" w:rsidRDefault="00582403" w:rsidP="00582403">
      <w:pPr>
        <w:rPr>
          <w:lang w:val="en-AU"/>
        </w:rPr>
      </w:pPr>
      <w:r w:rsidRPr="00F60E93">
        <w:rPr>
          <w:lang w:val="en-AU"/>
        </w:rPr>
        <w:t>Dengvaxia is supplied in:</w:t>
      </w:r>
    </w:p>
    <w:p w14:paraId="428334B6" w14:textId="77777777" w:rsidR="00582403" w:rsidRPr="00F60E93" w:rsidRDefault="00582403" w:rsidP="00582403">
      <w:pPr>
        <w:pStyle w:val="ListBulletLevel1"/>
        <w:numPr>
          <w:ilvl w:val="0"/>
          <w:numId w:val="29"/>
        </w:numPr>
        <w:rPr>
          <w:lang w:val="en-AU"/>
        </w:rPr>
      </w:pPr>
      <w:r w:rsidRPr="00F60E93">
        <w:rPr>
          <w:lang w:val="en-AU"/>
        </w:rPr>
        <w:t xml:space="preserve">Powder (1 dose) in vial + 0.5 mL of diluent in a pre-filled syringe with 2 separate needles </w:t>
      </w:r>
    </w:p>
    <w:p w14:paraId="3E8A0229" w14:textId="77777777" w:rsidR="00582403" w:rsidRPr="00DD33E7" w:rsidRDefault="00582403" w:rsidP="00582403">
      <w:pPr>
        <w:pStyle w:val="ListBulletLevel1"/>
        <w:numPr>
          <w:ilvl w:val="0"/>
          <w:numId w:val="0"/>
        </w:numPr>
        <w:rPr>
          <w:lang w:val="en-AU"/>
        </w:rPr>
      </w:pPr>
      <w:r w:rsidRPr="00DD33E7">
        <w:rPr>
          <w:lang w:val="en-AU"/>
        </w:rPr>
        <w:t>Pack size of 1 or 10. Not all pack sizes may be marketed.</w:t>
      </w:r>
    </w:p>
    <w:p w14:paraId="4F81A2C7" w14:textId="77777777" w:rsidR="001A3992" w:rsidRPr="00717E34" w:rsidRDefault="001A3992" w:rsidP="00E52CA8">
      <w:pPr>
        <w:pStyle w:val="Heading2"/>
        <w:rPr>
          <w:lang w:val="en-AU"/>
        </w:rPr>
      </w:pPr>
      <w:r w:rsidRPr="00717E34">
        <w:rPr>
          <w:lang w:val="en-AU"/>
        </w:rPr>
        <w:t xml:space="preserve">Special precautions for disposal </w:t>
      </w:r>
    </w:p>
    <w:p w14:paraId="1876BCA6" w14:textId="582BB7B1" w:rsidR="00656D69" w:rsidRPr="00E0149B" w:rsidRDefault="00656D69" w:rsidP="00656D69">
      <w:pPr>
        <w:rPr>
          <w:color w:val="auto"/>
        </w:rPr>
      </w:pPr>
      <w:r w:rsidRPr="00E0149B">
        <w:rPr>
          <w:color w:val="auto"/>
        </w:rPr>
        <w:t>After use, any remaining vaccine and container must be disposed of safely, preferably by heat inactivation or incineration, according to locally agreed procedures.</w:t>
      </w:r>
    </w:p>
    <w:p w14:paraId="51BE3285" w14:textId="2E83852A" w:rsidR="001A3992" w:rsidRDefault="001A3992" w:rsidP="00E52CA8">
      <w:pPr>
        <w:pStyle w:val="Heading2"/>
        <w:rPr>
          <w:lang w:val="en-AU"/>
        </w:rPr>
      </w:pPr>
      <w:r w:rsidRPr="00717E34">
        <w:rPr>
          <w:lang w:val="en-AU"/>
        </w:rPr>
        <w:t>Physicochemical properties</w:t>
      </w:r>
    </w:p>
    <w:p w14:paraId="2BBAAD8E" w14:textId="2BEE4580" w:rsidR="00522E0E" w:rsidRPr="00E0149B" w:rsidRDefault="00522E0E" w:rsidP="00522E0E">
      <w:pPr>
        <w:rPr>
          <w:color w:val="auto"/>
        </w:rPr>
      </w:pPr>
      <w:r w:rsidRPr="00E0149B">
        <w:rPr>
          <w:color w:val="auto"/>
        </w:rPr>
        <w:t>Not applicable</w:t>
      </w:r>
    </w:p>
    <w:p w14:paraId="2ADB7777" w14:textId="77777777" w:rsidR="001A3992" w:rsidRPr="00717E34" w:rsidRDefault="001A3992" w:rsidP="00582403">
      <w:pPr>
        <w:pStyle w:val="Heading1"/>
        <w:pageBreakBefore w:val="0"/>
        <w:rPr>
          <w:lang w:val="en-AU"/>
        </w:rPr>
      </w:pPr>
      <w:r w:rsidRPr="00717E34">
        <w:rPr>
          <w:lang w:val="en-AU"/>
        </w:rPr>
        <w:lastRenderedPageBreak/>
        <w:t>Medicine schedule (Poisons Standard)</w:t>
      </w:r>
    </w:p>
    <w:p w14:paraId="4082E559" w14:textId="77777777" w:rsidR="00582403" w:rsidRPr="00F60E93" w:rsidRDefault="00582403" w:rsidP="00582403">
      <w:pPr>
        <w:rPr>
          <w:lang w:val="en-AU"/>
        </w:rPr>
      </w:pPr>
      <w:r w:rsidRPr="00F60E93">
        <w:rPr>
          <w:lang w:val="en-AU"/>
        </w:rPr>
        <w:t>Schedule 4 (Prescription Only Medicine)</w:t>
      </w:r>
    </w:p>
    <w:p w14:paraId="78A56E5B" w14:textId="77777777" w:rsidR="001A3992" w:rsidRPr="00717E34" w:rsidRDefault="001A3992" w:rsidP="00582403">
      <w:pPr>
        <w:pStyle w:val="Heading1"/>
        <w:pageBreakBefore w:val="0"/>
        <w:rPr>
          <w:lang w:val="en-AU"/>
        </w:rPr>
      </w:pPr>
      <w:r w:rsidRPr="00717E34">
        <w:rPr>
          <w:lang w:val="en-AU"/>
        </w:rPr>
        <w:t>Sponsor</w:t>
      </w:r>
    </w:p>
    <w:p w14:paraId="7D878FE4" w14:textId="70840AB2" w:rsidR="00582403" w:rsidRDefault="00582403" w:rsidP="00582403">
      <w:pPr>
        <w:rPr>
          <w:color w:val="00B0F0"/>
          <w:u w:val="double"/>
          <w:lang w:val="en-AU"/>
        </w:rPr>
      </w:pPr>
      <w:proofErr w:type="spellStart"/>
      <w:proofErr w:type="gramStart"/>
      <w:r w:rsidRPr="00F60E93">
        <w:rPr>
          <w:lang w:val="en-AU"/>
        </w:rPr>
        <w:t>sanofi-aventis</w:t>
      </w:r>
      <w:proofErr w:type="spellEnd"/>
      <w:proofErr w:type="gramEnd"/>
      <w:r w:rsidRPr="00F60E93">
        <w:rPr>
          <w:lang w:val="en-AU"/>
        </w:rPr>
        <w:t xml:space="preserve"> </w:t>
      </w:r>
      <w:proofErr w:type="spellStart"/>
      <w:r w:rsidRPr="00F60E93">
        <w:rPr>
          <w:lang w:val="en-AU"/>
        </w:rPr>
        <w:t>australia</w:t>
      </w:r>
      <w:proofErr w:type="spellEnd"/>
      <w:r w:rsidRPr="00F60E93">
        <w:rPr>
          <w:lang w:val="en-AU"/>
        </w:rPr>
        <w:t xml:space="preserve"> </w:t>
      </w:r>
      <w:proofErr w:type="spellStart"/>
      <w:r w:rsidRPr="00F60E93">
        <w:rPr>
          <w:lang w:val="en-AU"/>
        </w:rPr>
        <w:t>pty</w:t>
      </w:r>
      <w:proofErr w:type="spellEnd"/>
      <w:r w:rsidRPr="00F60E93">
        <w:rPr>
          <w:lang w:val="en-AU"/>
        </w:rPr>
        <w:t xml:space="preserve"> ltd</w:t>
      </w:r>
      <w:r w:rsidRPr="00F60E93">
        <w:rPr>
          <w:lang w:val="en-AU"/>
        </w:rPr>
        <w:br/>
        <w:t>12-24 Talavera Road</w:t>
      </w:r>
      <w:r w:rsidRPr="00F60E93">
        <w:rPr>
          <w:lang w:val="en-AU"/>
        </w:rPr>
        <w:br/>
        <w:t>Macquarie Park NSW 2113</w:t>
      </w:r>
      <w:r w:rsidRPr="00F60E93">
        <w:rPr>
          <w:lang w:val="en-AU"/>
        </w:rPr>
        <w:br/>
        <w:t>Australia</w:t>
      </w:r>
      <w:r w:rsidRPr="00F60E93">
        <w:rPr>
          <w:lang w:val="en-AU"/>
        </w:rPr>
        <w:br/>
        <w:t xml:space="preserve">Tel: 1800 </w:t>
      </w:r>
      <w:r w:rsidR="00A848AC" w:rsidRPr="00E0149B">
        <w:rPr>
          <w:color w:val="auto"/>
          <w:lang w:val="en-AU"/>
        </w:rPr>
        <w:t>818 806</w:t>
      </w:r>
    </w:p>
    <w:p w14:paraId="54A82154" w14:textId="77777777" w:rsidR="001A3992" w:rsidRDefault="001A3992" w:rsidP="00582403">
      <w:pPr>
        <w:pStyle w:val="Heading1"/>
        <w:pageBreakBefore w:val="0"/>
        <w:rPr>
          <w:lang w:val="en-AU"/>
        </w:rPr>
      </w:pPr>
      <w:r w:rsidRPr="00717E34">
        <w:rPr>
          <w:lang w:val="en-AU"/>
        </w:rPr>
        <w:t>Date of first approval</w:t>
      </w:r>
    </w:p>
    <w:p w14:paraId="511364F6" w14:textId="77777777" w:rsidR="00582403" w:rsidRPr="00F60E93" w:rsidRDefault="00582403" w:rsidP="00582403">
      <w:pPr>
        <w:rPr>
          <w:lang w:val="en-AU"/>
        </w:rPr>
      </w:pPr>
      <w:r>
        <w:rPr>
          <w:lang w:val="en-AU"/>
        </w:rPr>
        <w:t>20 July 2017</w:t>
      </w:r>
    </w:p>
    <w:p w14:paraId="70151C36" w14:textId="77777777" w:rsidR="001A3992" w:rsidRDefault="001A3992" w:rsidP="00582403">
      <w:pPr>
        <w:pStyle w:val="Heading1"/>
        <w:pageBreakBefore w:val="0"/>
        <w:rPr>
          <w:lang w:val="en-AU"/>
        </w:rPr>
      </w:pPr>
      <w:r w:rsidRPr="00717E34">
        <w:rPr>
          <w:lang w:val="en-AU"/>
        </w:rPr>
        <w:t>Date of revision</w:t>
      </w:r>
    </w:p>
    <w:p w14:paraId="74E84491" w14:textId="206C76B6" w:rsidR="00582403" w:rsidRDefault="00397CCC" w:rsidP="00582403">
      <w:r>
        <w:t>06 September 2018</w:t>
      </w:r>
    </w:p>
    <w:p w14:paraId="4AF58642" w14:textId="77777777" w:rsidR="00301F0B" w:rsidRPr="00582403" w:rsidRDefault="00301F0B" w:rsidP="00582403"/>
    <w:p w14:paraId="3D943399" w14:textId="77777777" w:rsidR="00E0149B" w:rsidRDefault="00E0149B">
      <w:pPr>
        <w:spacing w:before="0" w:after="200" w:line="276" w:lineRule="auto"/>
        <w:rPr>
          <w:rFonts w:ascii="Arial" w:eastAsia="MS Gothic" w:hAnsi="Arial" w:cs="Arial"/>
          <w:b/>
          <w:iCs/>
          <w:caps/>
          <w:color w:val="auto"/>
          <w:kern w:val="32"/>
          <w:sz w:val="22"/>
          <w:szCs w:val="28"/>
          <w:lang w:val="en-AU"/>
        </w:rPr>
      </w:pPr>
      <w:r>
        <w:rPr>
          <w:lang w:val="en-AU"/>
        </w:rPr>
        <w:br w:type="page"/>
      </w:r>
    </w:p>
    <w:p w14:paraId="0D9B5FBF" w14:textId="4C5A419E" w:rsidR="001A3992" w:rsidRDefault="001A3992" w:rsidP="00E52CA8">
      <w:pPr>
        <w:pStyle w:val="Heading2"/>
        <w:numPr>
          <w:ilvl w:val="0"/>
          <w:numId w:val="0"/>
        </w:numPr>
        <w:rPr>
          <w:lang w:val="en-AU"/>
        </w:rPr>
      </w:pPr>
      <w:r w:rsidRPr="00717E34">
        <w:rPr>
          <w:lang w:val="en-AU"/>
        </w:rPr>
        <w:lastRenderedPageBreak/>
        <w:t>Summary table of changes</w:t>
      </w:r>
    </w:p>
    <w:p w14:paraId="1CB4D99D" w14:textId="77777777" w:rsidR="00582403" w:rsidRPr="00582403" w:rsidRDefault="00582403" w:rsidP="00582403">
      <w:pPr>
        <w:rPr>
          <w:lang w:val="en-AU"/>
        </w:rPr>
      </w:pPr>
    </w:p>
    <w:tbl>
      <w:tblPr>
        <w:tblStyle w:val="LightGrid"/>
        <w:tblW w:w="0" w:type="auto"/>
        <w:jc w:val="center"/>
        <w:tblBorders>
          <w:top w:val="single" w:sz="2" w:space="0" w:color="000000"/>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462"/>
        <w:gridCol w:w="7564"/>
      </w:tblGrid>
      <w:tr w:rsidR="00FD6570" w:rsidRPr="00717E34" w14:paraId="72D8BB0D" w14:textId="77777777" w:rsidTr="00FD6570">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1462" w:type="dxa"/>
            <w:tcBorders>
              <w:top w:val="single" w:sz="4" w:space="0" w:color="000000"/>
              <w:left w:val="nil"/>
              <w:bottom w:val="single" w:sz="4" w:space="0" w:color="000000"/>
              <w:right w:val="single" w:sz="4" w:space="0" w:color="auto"/>
            </w:tcBorders>
            <w:shd w:val="clear" w:color="auto" w:fill="auto"/>
            <w:vAlign w:val="center"/>
          </w:tcPr>
          <w:p w14:paraId="610D0A7D" w14:textId="77777777" w:rsidR="00ED0937" w:rsidRPr="00717E34" w:rsidRDefault="00ED0937" w:rsidP="005F2741">
            <w:pPr>
              <w:pStyle w:val="TblHeadingCenter"/>
            </w:pPr>
            <w:r w:rsidRPr="00717E34">
              <w:t>Section Changed</w:t>
            </w:r>
          </w:p>
        </w:tc>
        <w:tc>
          <w:tcPr>
            <w:tcW w:w="7564" w:type="dxa"/>
            <w:tcBorders>
              <w:top w:val="single" w:sz="4" w:space="0" w:color="000000"/>
              <w:left w:val="single" w:sz="4" w:space="0" w:color="auto"/>
              <w:bottom w:val="single" w:sz="4" w:space="0" w:color="000000"/>
              <w:right w:val="nil"/>
            </w:tcBorders>
            <w:shd w:val="clear" w:color="auto" w:fill="auto"/>
            <w:vAlign w:val="center"/>
          </w:tcPr>
          <w:p w14:paraId="4C584EED" w14:textId="77777777" w:rsidR="00ED0937" w:rsidRPr="00717E34" w:rsidRDefault="00ED0937" w:rsidP="005F2741">
            <w:pPr>
              <w:pStyle w:val="TblHeadingCenter"/>
              <w:cnfStyle w:val="100000000000" w:firstRow="1" w:lastRow="0" w:firstColumn="0" w:lastColumn="0" w:oddVBand="0" w:evenVBand="0" w:oddHBand="0" w:evenHBand="0" w:firstRowFirstColumn="0" w:firstRowLastColumn="0" w:lastRowFirstColumn="0" w:lastRowLastColumn="0"/>
            </w:pPr>
            <w:r w:rsidRPr="00717E34">
              <w:t>Summary of new information</w:t>
            </w:r>
          </w:p>
        </w:tc>
      </w:tr>
      <w:tr w:rsidR="00FD6570" w:rsidRPr="005F2741" w14:paraId="67801100" w14:textId="27D9FAB6" w:rsidTr="00DD75F6">
        <w:trPr>
          <w:cantSplit/>
          <w:jc w:val="center"/>
        </w:trPr>
        <w:tc>
          <w:tcPr>
            <w:cnfStyle w:val="001000000000" w:firstRow="0" w:lastRow="0" w:firstColumn="1" w:lastColumn="0" w:oddVBand="0" w:evenVBand="0" w:oddHBand="0" w:evenHBand="0" w:firstRowFirstColumn="0" w:firstRowLastColumn="0" w:lastRowFirstColumn="0" w:lastRowLastColumn="0"/>
            <w:tcW w:w="1462" w:type="dxa"/>
            <w:tcBorders>
              <w:top w:val="single" w:sz="4" w:space="0" w:color="000000"/>
              <w:bottom w:val="nil"/>
              <w:right w:val="single" w:sz="4" w:space="0" w:color="auto"/>
            </w:tcBorders>
            <w:shd w:val="clear" w:color="auto" w:fill="auto"/>
            <w:vAlign w:val="center"/>
          </w:tcPr>
          <w:p w14:paraId="6D9DFB73" w14:textId="6C754720" w:rsidR="00ED0937" w:rsidRPr="00E0149B" w:rsidRDefault="00936379" w:rsidP="00DD75F6">
            <w:pPr>
              <w:pStyle w:val="TblTextCenter"/>
            </w:pPr>
            <w:bookmarkStart w:id="20" w:name="_Hlk501015119"/>
            <w:r w:rsidRPr="00E0149B">
              <w:t>4.</w:t>
            </w:r>
            <w:r w:rsidR="00DD75F6">
              <w:t>1</w:t>
            </w:r>
          </w:p>
        </w:tc>
        <w:tc>
          <w:tcPr>
            <w:tcW w:w="7564" w:type="dxa"/>
            <w:tcBorders>
              <w:top w:val="single" w:sz="4" w:space="0" w:color="000000"/>
              <w:left w:val="single" w:sz="4" w:space="0" w:color="auto"/>
              <w:bottom w:val="nil"/>
            </w:tcBorders>
            <w:shd w:val="clear" w:color="auto" w:fill="auto"/>
            <w:vAlign w:val="center"/>
          </w:tcPr>
          <w:p w14:paraId="60C45865" w14:textId="631AB5C8" w:rsidR="00ED0937" w:rsidRPr="00E0149B" w:rsidRDefault="00DD75F6" w:rsidP="00FD6570">
            <w:pPr>
              <w:pStyle w:val="TblTextCenter"/>
              <w:cnfStyle w:val="000000000000" w:firstRow="0" w:lastRow="0" w:firstColumn="0" w:lastColumn="0" w:oddVBand="0" w:evenVBand="0" w:oddHBand="0" w:evenHBand="0" w:firstRowFirstColumn="0" w:firstRowLastColumn="0" w:lastRowFirstColumn="0" w:lastRowLastColumn="0"/>
            </w:pPr>
            <w:r>
              <w:t>Amended indication to include confirmation on seropositivity prior to vaccination</w:t>
            </w:r>
          </w:p>
        </w:tc>
      </w:tr>
      <w:tr w:rsidR="00DD75F6" w:rsidRPr="005F2741" w14:paraId="7E82B4CF" w14:textId="77777777" w:rsidTr="00DD75F6">
        <w:trPr>
          <w:cantSplit/>
          <w:jc w:val="center"/>
        </w:trPr>
        <w:tc>
          <w:tcPr>
            <w:cnfStyle w:val="001000000000" w:firstRow="0" w:lastRow="0" w:firstColumn="1" w:lastColumn="0" w:oddVBand="0" w:evenVBand="0" w:oddHBand="0" w:evenHBand="0" w:firstRowFirstColumn="0" w:firstRowLastColumn="0" w:lastRowFirstColumn="0" w:lastRowLastColumn="0"/>
            <w:tcW w:w="1462" w:type="dxa"/>
            <w:tcBorders>
              <w:top w:val="nil"/>
              <w:right w:val="single" w:sz="4" w:space="0" w:color="auto"/>
            </w:tcBorders>
            <w:shd w:val="clear" w:color="auto" w:fill="auto"/>
            <w:vAlign w:val="center"/>
          </w:tcPr>
          <w:p w14:paraId="6F3AE8D2" w14:textId="2BD15FF4" w:rsidR="00DD75F6" w:rsidRPr="00E0149B" w:rsidRDefault="00DD75F6" w:rsidP="00DD75F6">
            <w:pPr>
              <w:pStyle w:val="TblTextCenter"/>
            </w:pPr>
            <w:r>
              <w:t>4.2</w:t>
            </w:r>
          </w:p>
        </w:tc>
        <w:tc>
          <w:tcPr>
            <w:tcW w:w="7564" w:type="dxa"/>
            <w:tcBorders>
              <w:top w:val="nil"/>
              <w:left w:val="single" w:sz="4" w:space="0" w:color="auto"/>
            </w:tcBorders>
            <w:shd w:val="clear" w:color="auto" w:fill="auto"/>
            <w:vAlign w:val="center"/>
          </w:tcPr>
          <w:p w14:paraId="4202BFBE" w14:textId="1A5AE89D" w:rsidR="00DD75F6" w:rsidRDefault="00DD75F6" w:rsidP="00FD6570">
            <w:pPr>
              <w:pStyle w:val="TblTextCenter"/>
              <w:cnfStyle w:val="000000000000" w:firstRow="0" w:lastRow="0" w:firstColumn="0" w:lastColumn="0" w:oddVBand="0" w:evenVBand="0" w:oddHBand="0" w:evenHBand="0" w:firstRowFirstColumn="0" w:firstRowLastColumn="0" w:lastRowFirstColumn="0" w:lastRowLastColumn="0"/>
            </w:pPr>
            <w:r>
              <w:t>Addition of WHO recommendations</w:t>
            </w:r>
          </w:p>
        </w:tc>
      </w:tr>
      <w:tr w:rsidR="00FD6570" w:rsidRPr="005F2741" w14:paraId="3ABF8A83" w14:textId="77777777" w:rsidTr="00FD6570">
        <w:trPr>
          <w:cantSplit/>
          <w:jc w:val="center"/>
        </w:trPr>
        <w:tc>
          <w:tcPr>
            <w:cnfStyle w:val="001000000000" w:firstRow="0" w:lastRow="0" w:firstColumn="1" w:lastColumn="0" w:oddVBand="0" w:evenVBand="0" w:oddHBand="0" w:evenHBand="0" w:firstRowFirstColumn="0" w:firstRowLastColumn="0" w:lastRowFirstColumn="0" w:lastRowLastColumn="0"/>
            <w:tcW w:w="1462" w:type="dxa"/>
            <w:tcBorders>
              <w:right w:val="single" w:sz="4" w:space="0" w:color="auto"/>
            </w:tcBorders>
            <w:shd w:val="clear" w:color="auto" w:fill="auto"/>
            <w:vAlign w:val="center"/>
          </w:tcPr>
          <w:p w14:paraId="54FF7338" w14:textId="6131A90B" w:rsidR="00FD6570" w:rsidRPr="00E0149B" w:rsidRDefault="00FD6570" w:rsidP="005F2741">
            <w:pPr>
              <w:pStyle w:val="TblTextCenter"/>
            </w:pPr>
            <w:r>
              <w:t>4.4</w:t>
            </w:r>
          </w:p>
        </w:tc>
        <w:tc>
          <w:tcPr>
            <w:tcW w:w="7564" w:type="dxa"/>
            <w:tcBorders>
              <w:left w:val="single" w:sz="4" w:space="0" w:color="auto"/>
            </w:tcBorders>
            <w:shd w:val="clear" w:color="auto" w:fill="auto"/>
            <w:vAlign w:val="center"/>
          </w:tcPr>
          <w:p w14:paraId="66F4070E" w14:textId="0814E92E" w:rsidR="00FD6570" w:rsidRPr="00E0149B" w:rsidRDefault="00FD6570" w:rsidP="005F2741">
            <w:pPr>
              <w:pStyle w:val="TblTextCenter"/>
              <w:cnfStyle w:val="000000000000" w:firstRow="0" w:lastRow="0" w:firstColumn="0" w:lastColumn="0" w:oddVBand="0" w:evenVBand="0" w:oddHBand="0" w:evenHBand="0" w:firstRowFirstColumn="0" w:firstRowLastColumn="0" w:lastRowFirstColumn="0" w:lastRowLastColumn="0"/>
            </w:pPr>
            <w:r>
              <w:t>Addition of WHO recommendation</w:t>
            </w:r>
            <w:r w:rsidR="007D3BE4">
              <w:t>s</w:t>
            </w:r>
            <w:r>
              <w:t xml:space="preserve"> and associated precaution</w:t>
            </w:r>
            <w:r w:rsidR="007D3BE4">
              <w:t>s</w:t>
            </w:r>
          </w:p>
        </w:tc>
      </w:tr>
      <w:tr w:rsidR="00FD6570" w:rsidRPr="005F2741" w14:paraId="119CADAE" w14:textId="77777777" w:rsidTr="00FD6570">
        <w:trPr>
          <w:cantSplit/>
          <w:jc w:val="center"/>
        </w:trPr>
        <w:tc>
          <w:tcPr>
            <w:cnfStyle w:val="001000000000" w:firstRow="0" w:lastRow="0" w:firstColumn="1" w:lastColumn="0" w:oddVBand="0" w:evenVBand="0" w:oddHBand="0" w:evenHBand="0" w:firstRowFirstColumn="0" w:firstRowLastColumn="0" w:lastRowFirstColumn="0" w:lastRowLastColumn="0"/>
            <w:tcW w:w="1462" w:type="dxa"/>
            <w:tcBorders>
              <w:right w:val="single" w:sz="4" w:space="0" w:color="auto"/>
            </w:tcBorders>
            <w:shd w:val="clear" w:color="auto" w:fill="auto"/>
            <w:vAlign w:val="center"/>
          </w:tcPr>
          <w:p w14:paraId="5A173551" w14:textId="3F463BDE" w:rsidR="00936379" w:rsidRPr="00E0149B" w:rsidRDefault="00936379" w:rsidP="005F2741">
            <w:pPr>
              <w:pStyle w:val="TblTextCenter"/>
            </w:pPr>
            <w:r w:rsidRPr="00E0149B">
              <w:t>4.</w:t>
            </w:r>
            <w:r w:rsidR="00D34DD9" w:rsidRPr="00E0149B">
              <w:t>7</w:t>
            </w:r>
          </w:p>
        </w:tc>
        <w:tc>
          <w:tcPr>
            <w:tcW w:w="7564" w:type="dxa"/>
            <w:tcBorders>
              <w:left w:val="single" w:sz="4" w:space="0" w:color="auto"/>
            </w:tcBorders>
            <w:shd w:val="clear" w:color="auto" w:fill="auto"/>
            <w:vAlign w:val="center"/>
          </w:tcPr>
          <w:p w14:paraId="47653B31" w14:textId="04FC9FDC" w:rsidR="00936379" w:rsidRPr="00E0149B" w:rsidRDefault="00D34DD9" w:rsidP="005F2741">
            <w:pPr>
              <w:pStyle w:val="TblTextCenter"/>
              <w:cnfStyle w:val="000000000000" w:firstRow="0" w:lastRow="0" w:firstColumn="0" w:lastColumn="0" w:oddVBand="0" w:evenVBand="0" w:oddHBand="0" w:evenHBand="0" w:firstRowFirstColumn="0" w:firstRowLastColumn="0" w:lastRowFirstColumn="0" w:lastRowLastColumn="0"/>
            </w:pPr>
            <w:r w:rsidRPr="00E0149B">
              <w:t>Statement on the ability to drive or to use machines added</w:t>
            </w:r>
          </w:p>
        </w:tc>
      </w:tr>
      <w:tr w:rsidR="00FD6570" w:rsidRPr="005F2741" w14:paraId="46FE0442" w14:textId="77777777" w:rsidTr="00FD6570">
        <w:trPr>
          <w:cantSplit/>
          <w:jc w:val="center"/>
        </w:trPr>
        <w:tc>
          <w:tcPr>
            <w:cnfStyle w:val="001000000000" w:firstRow="0" w:lastRow="0" w:firstColumn="1" w:lastColumn="0" w:oddVBand="0" w:evenVBand="0" w:oddHBand="0" w:evenHBand="0" w:firstRowFirstColumn="0" w:firstRowLastColumn="0" w:lastRowFirstColumn="0" w:lastRowLastColumn="0"/>
            <w:tcW w:w="1462" w:type="dxa"/>
            <w:tcBorders>
              <w:right w:val="single" w:sz="4" w:space="0" w:color="auto"/>
            </w:tcBorders>
            <w:shd w:val="clear" w:color="auto" w:fill="auto"/>
            <w:vAlign w:val="center"/>
          </w:tcPr>
          <w:p w14:paraId="380C8B6E" w14:textId="6125B90A" w:rsidR="00D34DD9" w:rsidRPr="00E0149B" w:rsidRDefault="00D34DD9" w:rsidP="005F2741">
            <w:pPr>
              <w:pStyle w:val="TblTextCenter"/>
            </w:pPr>
            <w:r w:rsidRPr="00E0149B">
              <w:t>4.8</w:t>
            </w:r>
          </w:p>
        </w:tc>
        <w:tc>
          <w:tcPr>
            <w:tcW w:w="7564" w:type="dxa"/>
            <w:tcBorders>
              <w:left w:val="single" w:sz="4" w:space="0" w:color="auto"/>
            </w:tcBorders>
            <w:shd w:val="clear" w:color="auto" w:fill="auto"/>
            <w:vAlign w:val="center"/>
          </w:tcPr>
          <w:p w14:paraId="544DC7FC" w14:textId="4B9C9EA1" w:rsidR="00D34DD9" w:rsidRPr="00E0149B" w:rsidRDefault="00D34DD9" w:rsidP="005F2741">
            <w:pPr>
              <w:pStyle w:val="TblTextCenter"/>
              <w:cnfStyle w:val="000000000000" w:firstRow="0" w:lastRow="0" w:firstColumn="0" w:lastColumn="0" w:oddVBand="0" w:evenVBand="0" w:oddHBand="0" w:evenHBand="0" w:firstRowFirstColumn="0" w:firstRowLastColumn="0" w:lastRowFirstColumn="0" w:lastRowLastColumn="0"/>
            </w:pPr>
            <w:r w:rsidRPr="00E0149B">
              <w:t>Heading added for clarity, long-term safety follow-up data updated</w:t>
            </w:r>
          </w:p>
        </w:tc>
      </w:tr>
      <w:tr w:rsidR="00FD6570" w:rsidRPr="005F2741" w14:paraId="0204A9C4" w14:textId="77777777" w:rsidTr="00FD6570">
        <w:trPr>
          <w:cantSplit/>
          <w:jc w:val="center"/>
        </w:trPr>
        <w:tc>
          <w:tcPr>
            <w:cnfStyle w:val="001000000000" w:firstRow="0" w:lastRow="0" w:firstColumn="1" w:lastColumn="0" w:oddVBand="0" w:evenVBand="0" w:oddHBand="0" w:evenHBand="0" w:firstRowFirstColumn="0" w:firstRowLastColumn="0" w:lastRowFirstColumn="0" w:lastRowLastColumn="0"/>
            <w:tcW w:w="1462" w:type="dxa"/>
            <w:tcBorders>
              <w:right w:val="single" w:sz="4" w:space="0" w:color="auto"/>
            </w:tcBorders>
            <w:shd w:val="clear" w:color="auto" w:fill="auto"/>
            <w:vAlign w:val="center"/>
          </w:tcPr>
          <w:p w14:paraId="5B1688CA" w14:textId="267EA087" w:rsidR="00D34DD9" w:rsidRPr="00E0149B" w:rsidRDefault="00D34DD9" w:rsidP="005F2741">
            <w:pPr>
              <w:pStyle w:val="TblTextCenter"/>
            </w:pPr>
            <w:r w:rsidRPr="00E0149B">
              <w:t>5.1</w:t>
            </w:r>
          </w:p>
        </w:tc>
        <w:tc>
          <w:tcPr>
            <w:tcW w:w="7564" w:type="dxa"/>
            <w:tcBorders>
              <w:left w:val="single" w:sz="4" w:space="0" w:color="auto"/>
            </w:tcBorders>
            <w:shd w:val="clear" w:color="auto" w:fill="auto"/>
            <w:vAlign w:val="center"/>
          </w:tcPr>
          <w:p w14:paraId="0A8A9862" w14:textId="00536F32" w:rsidR="00D34DD9" w:rsidRPr="00E0149B" w:rsidRDefault="00883A36" w:rsidP="005F2741">
            <w:pPr>
              <w:pStyle w:val="TblTextCenter"/>
              <w:cnfStyle w:val="000000000000" w:firstRow="0" w:lastRow="0" w:firstColumn="0" w:lastColumn="0" w:oddVBand="0" w:evenVBand="0" w:oddHBand="0" w:evenHBand="0" w:firstRowFirstColumn="0" w:firstRowLastColumn="0" w:lastRowFirstColumn="0" w:lastRowLastColumn="0"/>
            </w:pPr>
            <w:bookmarkStart w:id="21" w:name="_Hlk501447511"/>
            <w:r w:rsidRPr="00E0149B">
              <w:t xml:space="preserve">Addition of </w:t>
            </w:r>
            <w:proofErr w:type="spellStart"/>
            <w:r w:rsidRPr="00E0149B">
              <w:t>pharmacotherapeutic</w:t>
            </w:r>
            <w:proofErr w:type="spellEnd"/>
            <w:r w:rsidRPr="00E0149B">
              <w:t xml:space="preserve"> group and ATC details. </w:t>
            </w:r>
            <w:bookmarkEnd w:id="21"/>
            <w:r w:rsidR="00D34DD9" w:rsidRPr="00E0149B">
              <w:t>Clinical trials section updated to remove the terms “immune subjects” and “non-immune subjects”.</w:t>
            </w:r>
          </w:p>
        </w:tc>
      </w:tr>
      <w:tr w:rsidR="00FD6570" w:rsidRPr="005F2741" w14:paraId="2398AEE5" w14:textId="77777777" w:rsidTr="00FD6570">
        <w:trPr>
          <w:cantSplit/>
          <w:jc w:val="center"/>
        </w:trPr>
        <w:tc>
          <w:tcPr>
            <w:cnfStyle w:val="001000000000" w:firstRow="0" w:lastRow="0" w:firstColumn="1" w:lastColumn="0" w:oddVBand="0" w:evenVBand="0" w:oddHBand="0" w:evenHBand="0" w:firstRowFirstColumn="0" w:firstRowLastColumn="0" w:lastRowFirstColumn="0" w:lastRowLastColumn="0"/>
            <w:tcW w:w="1462" w:type="dxa"/>
            <w:tcBorders>
              <w:right w:val="single" w:sz="4" w:space="0" w:color="auto"/>
            </w:tcBorders>
            <w:shd w:val="clear" w:color="auto" w:fill="auto"/>
            <w:vAlign w:val="center"/>
          </w:tcPr>
          <w:p w14:paraId="4A4B80E9" w14:textId="02BB4993" w:rsidR="00883A36" w:rsidRPr="00E0149B" w:rsidRDefault="00883A36" w:rsidP="00883A36">
            <w:pPr>
              <w:pStyle w:val="TblTextCenter"/>
            </w:pPr>
            <w:bookmarkStart w:id="22" w:name="_Hlk501447530"/>
            <w:bookmarkEnd w:id="20"/>
            <w:r w:rsidRPr="00E0149B">
              <w:t>5.2</w:t>
            </w:r>
          </w:p>
        </w:tc>
        <w:tc>
          <w:tcPr>
            <w:tcW w:w="7564" w:type="dxa"/>
            <w:tcBorders>
              <w:left w:val="single" w:sz="4" w:space="0" w:color="auto"/>
            </w:tcBorders>
            <w:shd w:val="clear" w:color="auto" w:fill="auto"/>
            <w:vAlign w:val="center"/>
          </w:tcPr>
          <w:p w14:paraId="4D9D38CB" w14:textId="660245DF" w:rsidR="00883A36" w:rsidRPr="00E0149B" w:rsidRDefault="00883A36" w:rsidP="00883A36">
            <w:pPr>
              <w:pStyle w:val="TblTextCenter"/>
              <w:cnfStyle w:val="000000000000" w:firstRow="0" w:lastRow="0" w:firstColumn="0" w:lastColumn="0" w:oddVBand="0" w:evenVBand="0" w:oddHBand="0" w:evenHBand="0" w:firstRowFirstColumn="0" w:firstRowLastColumn="0" w:lastRowFirstColumn="0" w:lastRowLastColumn="0"/>
            </w:pPr>
            <w:r w:rsidRPr="00E0149B">
              <w:t>Statement on pharmacokinetic studies added</w:t>
            </w:r>
          </w:p>
        </w:tc>
      </w:tr>
      <w:tr w:rsidR="00FD6570" w:rsidRPr="005F2741" w14:paraId="6F1E479E" w14:textId="77777777" w:rsidTr="00FD6570">
        <w:trPr>
          <w:cantSplit/>
          <w:jc w:val="center"/>
        </w:trPr>
        <w:tc>
          <w:tcPr>
            <w:cnfStyle w:val="001000000000" w:firstRow="0" w:lastRow="0" w:firstColumn="1" w:lastColumn="0" w:oddVBand="0" w:evenVBand="0" w:oddHBand="0" w:evenHBand="0" w:firstRowFirstColumn="0" w:firstRowLastColumn="0" w:lastRowFirstColumn="0" w:lastRowLastColumn="0"/>
            <w:tcW w:w="1462" w:type="dxa"/>
            <w:tcBorders>
              <w:right w:val="single" w:sz="4" w:space="0" w:color="auto"/>
            </w:tcBorders>
            <w:shd w:val="clear" w:color="auto" w:fill="auto"/>
            <w:vAlign w:val="center"/>
          </w:tcPr>
          <w:p w14:paraId="312EA9F3" w14:textId="395FAE60" w:rsidR="00883A36" w:rsidRPr="00E0149B" w:rsidRDefault="00883A36" w:rsidP="00883A36">
            <w:pPr>
              <w:pStyle w:val="TblTextCenter"/>
            </w:pPr>
            <w:r w:rsidRPr="00E0149B">
              <w:t>6.6</w:t>
            </w:r>
          </w:p>
        </w:tc>
        <w:tc>
          <w:tcPr>
            <w:tcW w:w="7564" w:type="dxa"/>
            <w:tcBorders>
              <w:left w:val="single" w:sz="4" w:space="0" w:color="auto"/>
            </w:tcBorders>
            <w:shd w:val="clear" w:color="auto" w:fill="auto"/>
            <w:vAlign w:val="center"/>
          </w:tcPr>
          <w:p w14:paraId="663A8C1E" w14:textId="26B16A40" w:rsidR="00883A36" w:rsidRPr="00E0149B" w:rsidRDefault="00883A36" w:rsidP="00883A36">
            <w:pPr>
              <w:pStyle w:val="TblTextCenter"/>
              <w:cnfStyle w:val="000000000000" w:firstRow="0" w:lastRow="0" w:firstColumn="0" w:lastColumn="0" w:oddVBand="0" w:evenVBand="0" w:oddHBand="0" w:evenHBand="0" w:firstRowFirstColumn="0" w:firstRowLastColumn="0" w:lastRowFirstColumn="0" w:lastRowLastColumn="0"/>
            </w:pPr>
            <w:r w:rsidRPr="00E0149B">
              <w:t>Special precautions for disposal added</w:t>
            </w:r>
          </w:p>
        </w:tc>
      </w:tr>
      <w:tr w:rsidR="00FD6570" w:rsidRPr="005F2741" w14:paraId="2E7F9C8A" w14:textId="77777777" w:rsidTr="00FD6570">
        <w:trPr>
          <w:cantSplit/>
          <w:jc w:val="center"/>
        </w:trPr>
        <w:tc>
          <w:tcPr>
            <w:cnfStyle w:val="001000000000" w:firstRow="0" w:lastRow="0" w:firstColumn="1" w:lastColumn="0" w:oddVBand="0" w:evenVBand="0" w:oddHBand="0" w:evenHBand="0" w:firstRowFirstColumn="0" w:firstRowLastColumn="0" w:lastRowFirstColumn="0" w:lastRowLastColumn="0"/>
            <w:tcW w:w="1462" w:type="dxa"/>
            <w:tcBorders>
              <w:bottom w:val="single" w:sz="12" w:space="0" w:color="auto"/>
              <w:right w:val="single" w:sz="4" w:space="0" w:color="auto"/>
            </w:tcBorders>
            <w:shd w:val="clear" w:color="auto" w:fill="auto"/>
            <w:vAlign w:val="center"/>
          </w:tcPr>
          <w:p w14:paraId="072C5F31" w14:textId="1971B2C2" w:rsidR="00883A36" w:rsidRPr="00E0149B" w:rsidRDefault="00883A36" w:rsidP="00883A36">
            <w:pPr>
              <w:pStyle w:val="TblTextCenter"/>
            </w:pPr>
            <w:r w:rsidRPr="00E0149B">
              <w:t>8</w:t>
            </w:r>
          </w:p>
        </w:tc>
        <w:tc>
          <w:tcPr>
            <w:tcW w:w="7564" w:type="dxa"/>
            <w:tcBorders>
              <w:left w:val="single" w:sz="4" w:space="0" w:color="auto"/>
              <w:bottom w:val="single" w:sz="12" w:space="0" w:color="auto"/>
            </w:tcBorders>
            <w:shd w:val="clear" w:color="auto" w:fill="auto"/>
            <w:vAlign w:val="center"/>
          </w:tcPr>
          <w:p w14:paraId="4C4C8463" w14:textId="45AC06BA" w:rsidR="00883A36" w:rsidRPr="00E0149B" w:rsidRDefault="00883A36" w:rsidP="00883A36">
            <w:pPr>
              <w:pStyle w:val="TblTextCenter"/>
              <w:cnfStyle w:val="000000000000" w:firstRow="0" w:lastRow="0" w:firstColumn="0" w:lastColumn="0" w:oddVBand="0" w:evenVBand="0" w:oddHBand="0" w:evenHBand="0" w:firstRowFirstColumn="0" w:firstRowLastColumn="0" w:lastRowFirstColumn="0" w:lastRowLastColumn="0"/>
            </w:pPr>
            <w:r w:rsidRPr="00E0149B">
              <w:t>Change of Sponsor contact phone number</w:t>
            </w:r>
          </w:p>
        </w:tc>
      </w:tr>
      <w:bookmarkEnd w:id="22"/>
      <w:tr w:rsidR="00883A36" w:rsidRPr="00717E34" w14:paraId="5AA0875B" w14:textId="77777777" w:rsidTr="005F2741">
        <w:trPr>
          <w:cantSplit/>
          <w:jc w:val="center"/>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12" w:space="0" w:color="auto"/>
            </w:tcBorders>
            <w:shd w:val="clear" w:color="auto" w:fill="auto"/>
            <w:vAlign w:val="center"/>
          </w:tcPr>
          <w:p w14:paraId="06ED59F4" w14:textId="77777777" w:rsidR="00883A36" w:rsidRPr="00717E34" w:rsidRDefault="00883A36" w:rsidP="00883A36">
            <w:pPr>
              <w:pStyle w:val="TblFigFootnote"/>
              <w:rPr>
                <w:lang w:val="en-AU"/>
              </w:rPr>
            </w:pPr>
          </w:p>
        </w:tc>
      </w:tr>
    </w:tbl>
    <w:p w14:paraId="5B75A438" w14:textId="77777777" w:rsidR="00960CD5" w:rsidRPr="00717E34" w:rsidRDefault="00960CD5" w:rsidP="00E52CA8">
      <w:pPr>
        <w:spacing w:after="120"/>
        <w:rPr>
          <w:lang w:val="en-AU"/>
        </w:rPr>
      </w:pPr>
    </w:p>
    <w:sectPr w:rsidR="00960CD5" w:rsidRPr="00717E3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730A3" w14:textId="77777777" w:rsidR="006B14BB" w:rsidRDefault="006B14BB" w:rsidP="001A3992">
      <w:r>
        <w:separator/>
      </w:r>
    </w:p>
  </w:endnote>
  <w:endnote w:type="continuationSeparator" w:id="0">
    <w:p w14:paraId="5B22BA8B" w14:textId="77777777" w:rsidR="006B14BB" w:rsidRDefault="006B14BB" w:rsidP="001A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814CA" w14:textId="7219EC40" w:rsidR="00492CC0" w:rsidRDefault="00492CC0">
    <w:pPr>
      <w:pStyle w:val="Footer"/>
    </w:pPr>
    <w:proofErr w:type="gramStart"/>
    <w:r>
      <w:t>deng-ccdsv4-piv2-</w:t>
    </w:r>
    <w:r w:rsidR="00086AC7">
      <w:t>06sep</w:t>
    </w:r>
    <w:r>
      <w:t>18</w:t>
    </w:r>
    <w:proofErr w:type="gramEnd"/>
    <w:r>
      <w:tab/>
      <w:t xml:space="preserve">Page </w:t>
    </w:r>
    <w:r>
      <w:fldChar w:fldCharType="begin"/>
    </w:r>
    <w:r>
      <w:instrText xml:space="preserve"> PAGE  \* MERGEFORMAT </w:instrText>
    </w:r>
    <w:r>
      <w:fldChar w:fldCharType="separate"/>
    </w:r>
    <w:r w:rsidR="00575C0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66DA4" w14:textId="77777777" w:rsidR="006B14BB" w:rsidRDefault="006B14BB" w:rsidP="001A3992">
      <w:r>
        <w:separator/>
      </w:r>
    </w:p>
  </w:footnote>
  <w:footnote w:type="continuationSeparator" w:id="0">
    <w:p w14:paraId="36BCB395" w14:textId="77777777" w:rsidR="006B14BB" w:rsidRDefault="006B14BB" w:rsidP="001A3992">
      <w:r>
        <w:continuationSeparator/>
      </w:r>
    </w:p>
  </w:footnote>
  <w:footnote w:id="1">
    <w:p w14:paraId="051CFBEA" w14:textId="77777777" w:rsidR="00492CC0" w:rsidRPr="00555A2D" w:rsidRDefault="00492CC0" w:rsidP="00E04242">
      <w:pPr>
        <w:pStyle w:val="FootnoteText"/>
        <w:rPr>
          <w:i/>
          <w:lang w:val="en-AU"/>
        </w:rPr>
      </w:pPr>
      <w:r>
        <w:rPr>
          <w:rStyle w:val="FootnoteReference"/>
        </w:rPr>
        <w:footnoteRef/>
      </w:r>
      <w:r>
        <w:t xml:space="preserve"> </w:t>
      </w:r>
      <w:r w:rsidRPr="00555A2D">
        <w:rPr>
          <w:i/>
          <w:lang w:val="en-AU"/>
        </w:rPr>
        <w:t>Dengue immune status at baseline (i.e., before the first injection) measured by PRNT is defined as:</w:t>
      </w:r>
    </w:p>
    <w:p w14:paraId="43F8E16D" w14:textId="7B2407B8" w:rsidR="00492CC0" w:rsidRPr="0083040A" w:rsidRDefault="00492CC0" w:rsidP="00E04242">
      <w:pPr>
        <w:pStyle w:val="FootnoteText"/>
        <w:rPr>
          <w:i/>
          <w:color w:val="auto"/>
          <w:lang w:val="en-AU"/>
        </w:rPr>
      </w:pPr>
      <w:r w:rsidRPr="00555A2D">
        <w:rPr>
          <w:i/>
          <w:lang w:val="en-AU"/>
        </w:rPr>
        <w:t>•</w:t>
      </w:r>
      <w:r w:rsidRPr="00555A2D">
        <w:rPr>
          <w:i/>
          <w:lang w:val="en-AU"/>
        </w:rPr>
        <w:tab/>
      </w:r>
      <w:r w:rsidRPr="0083040A">
        <w:rPr>
          <w:i/>
          <w:color w:val="auto"/>
          <w:lang w:val="en-AU"/>
        </w:rPr>
        <w:t>Subjects with quantified (≥ 10 [1/</w:t>
      </w:r>
      <w:proofErr w:type="spellStart"/>
      <w:r w:rsidRPr="0083040A">
        <w:rPr>
          <w:i/>
          <w:color w:val="auto"/>
          <w:lang w:val="en-AU"/>
        </w:rPr>
        <w:t>dil</w:t>
      </w:r>
      <w:proofErr w:type="spellEnd"/>
      <w:r w:rsidRPr="0083040A">
        <w:rPr>
          <w:i/>
          <w:color w:val="auto"/>
          <w:lang w:val="en-AU"/>
        </w:rPr>
        <w:t xml:space="preserve">], the lower limit of quantitation) neutralising antibodies against at least one dengue serotype in the baseline sample, </w:t>
      </w:r>
    </w:p>
    <w:p w14:paraId="45489595" w14:textId="4F6C1DEB" w:rsidR="00492CC0" w:rsidRPr="0083040A" w:rsidRDefault="00492CC0" w:rsidP="0083040A">
      <w:pPr>
        <w:pStyle w:val="FootnoteText"/>
        <w:rPr>
          <w:i/>
          <w:color w:val="auto"/>
          <w:lang w:val="en-AU"/>
        </w:rPr>
      </w:pPr>
      <w:r w:rsidRPr="0083040A">
        <w:rPr>
          <w:i/>
          <w:color w:val="auto"/>
          <w:lang w:val="en-AU"/>
        </w:rPr>
        <w:t>•</w:t>
      </w:r>
      <w:r w:rsidRPr="0083040A">
        <w:rPr>
          <w:i/>
          <w:color w:val="auto"/>
          <w:lang w:val="en-AU"/>
        </w:rPr>
        <w:tab/>
        <w:t xml:space="preserve">Subjects without quantified (&lt; the lower limit of quantitation) neutralising antibodies against any of the 4 dengue serotypes in the baseline sample.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A242F7" w:rsidRPr="002E7F61" w14:paraId="5CDDDFB4" w14:textId="77777777" w:rsidTr="00002E89">
      <w:trPr>
        <w:trHeight w:val="590"/>
      </w:trPr>
      <w:tc>
        <w:tcPr>
          <w:tcW w:w="8720" w:type="dxa"/>
          <w:shd w:val="clear" w:color="auto" w:fill="E4F2E0"/>
        </w:tcPr>
        <w:p w14:paraId="4C6F174E" w14:textId="77777777" w:rsidR="00A242F7" w:rsidRPr="002E7F61" w:rsidRDefault="00A242F7" w:rsidP="00002E89">
          <w:pPr>
            <w:pStyle w:val="Footer"/>
            <w:rPr>
              <w:b/>
              <w:szCs w:val="18"/>
            </w:rPr>
          </w:pPr>
          <w:r w:rsidRPr="002E7F61">
            <w:rPr>
              <w:b/>
              <w:szCs w:val="18"/>
            </w:rPr>
            <w:t xml:space="preserve">Attachment 1: Product information </w:t>
          </w:r>
          <w:r w:rsidRPr="0019337E">
            <w:rPr>
              <w:b/>
              <w:szCs w:val="18"/>
            </w:rPr>
            <w:t xml:space="preserve">AusPAR </w:t>
          </w:r>
          <w:proofErr w:type="spellStart"/>
          <w:r w:rsidRPr="0019337E">
            <w:rPr>
              <w:b/>
              <w:szCs w:val="18"/>
            </w:rPr>
            <w:t>Dengvaxia</w:t>
          </w:r>
          <w:proofErr w:type="spellEnd"/>
          <w:r w:rsidRPr="0019337E">
            <w:rPr>
              <w:b/>
              <w:szCs w:val="18"/>
            </w:rPr>
            <w:t xml:space="preserve"> Sanofi-Aventis Australia Pty Ltd PM-2016-01679-1-2 / PM-2017-04923-1-2 / PM-2017-04924-1-2 FINAL 23 November 2018</w:t>
          </w:r>
          <w:r>
            <w:rPr>
              <w:b/>
              <w:szCs w:val="18"/>
            </w:rPr>
            <w:t xml:space="preserve">. </w:t>
          </w:r>
          <w:r w:rsidRPr="00FF2AA4">
            <w:rPr>
              <w:b/>
              <w:szCs w:val="18"/>
            </w:rPr>
            <w:t>This is the Product Information that was approved with the submission described in this AusPAR. It may have been superseded. For the most recent PI, please refer to the TGA website at &lt;</w:t>
          </w:r>
          <w:hyperlink r:id="rId1" w:history="1">
            <w:r w:rsidRPr="00FF2AA4">
              <w:rPr>
                <w:rStyle w:val="Hyperlink"/>
                <w:b/>
                <w:szCs w:val="18"/>
              </w:rPr>
              <w:t>https://www.tga.gov.au/product-information-pi</w:t>
            </w:r>
          </w:hyperlink>
          <w:r w:rsidRPr="00FF2AA4">
            <w:rPr>
              <w:b/>
              <w:szCs w:val="18"/>
              <w:u w:val="single"/>
            </w:rPr>
            <w:t>&gt;</w:t>
          </w:r>
        </w:p>
      </w:tc>
    </w:tr>
  </w:tbl>
  <w:p w14:paraId="47769B5B" w14:textId="418CF516" w:rsidR="00A242F7" w:rsidRDefault="00A242F7">
    <w:pPr>
      <w:pStyle w:val="Header"/>
    </w:pPr>
  </w:p>
  <w:p w14:paraId="163F038B" w14:textId="13874534" w:rsidR="00492CC0" w:rsidRDefault="00492CC0" w:rsidP="007F12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F3E"/>
    <w:multiLevelType w:val="hybridMultilevel"/>
    <w:tmpl w:val="5AB64ADE"/>
    <w:lvl w:ilvl="0" w:tplc="FFFFFFFF">
      <w:start w:val="1"/>
      <w:numFmt w:val="bullet"/>
      <w:pStyle w:val="ListAlphabeticalLevel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B7660B4"/>
    <w:multiLevelType w:val="hybridMultilevel"/>
    <w:tmpl w:val="C7023E6E"/>
    <w:lvl w:ilvl="0" w:tplc="0C090001">
      <w:start w:val="1"/>
      <w:numFmt w:val="bullet"/>
      <w:lvlText w:val=""/>
      <w:lvlJc w:val="left"/>
      <w:pPr>
        <w:ind w:left="720" w:hanging="360"/>
      </w:pPr>
      <w:rPr>
        <w:rFonts w:ascii="Symbol" w:hAnsi="Symbol" w:hint="default"/>
      </w:rPr>
    </w:lvl>
    <w:lvl w:ilvl="1" w:tplc="6D8041E4">
      <w:numFmt w:val="bullet"/>
      <w:lvlText w:val="•"/>
      <w:lvlJc w:val="left"/>
      <w:pPr>
        <w:ind w:left="1440" w:hanging="360"/>
      </w:pPr>
      <w:rPr>
        <w:rFonts w:ascii="SymbolMT" w:eastAsiaTheme="minorHAnsi" w:hAnsi="SymbolMT" w:cs="SymbolM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0268D4"/>
    <w:multiLevelType w:val="multilevel"/>
    <w:tmpl w:val="6FE40360"/>
    <w:name w:val="LT_Heading"/>
    <w:lvl w:ilvl="0">
      <w:start w:val="1"/>
      <w:numFmt w:val="decimal"/>
      <w:lvlRestart w:val="0"/>
      <w:pStyle w:val="Heading1"/>
      <w:lvlText w:val="%1"/>
      <w:lvlJc w:val="left"/>
      <w:pPr>
        <w:tabs>
          <w:tab w:val="num" w:pos="680"/>
        </w:tabs>
        <w:ind w:left="680" w:hanging="680"/>
      </w:pPr>
    </w:lvl>
    <w:lvl w:ilvl="1">
      <w:start w:val="1"/>
      <w:numFmt w:val="decimal"/>
      <w:pStyle w:val="Heading2"/>
      <w:lvlText w:val="%1.%2"/>
      <w:lvlJc w:val="left"/>
      <w:pPr>
        <w:tabs>
          <w:tab w:val="num" w:pos="680"/>
        </w:tabs>
        <w:ind w:left="680" w:hanging="680"/>
      </w:pPr>
    </w:lvl>
    <w:lvl w:ilvl="2">
      <w:start w:val="1"/>
      <w:numFmt w:val="decimal"/>
      <w:pStyle w:val="Heading3"/>
      <w:lvlText w:val="%1.%2.%3"/>
      <w:lvlJc w:val="left"/>
      <w:pPr>
        <w:tabs>
          <w:tab w:val="num" w:pos="680"/>
        </w:tabs>
        <w:ind w:left="680" w:hanging="680"/>
      </w:pPr>
    </w:lvl>
    <w:lvl w:ilvl="3">
      <w:start w:val="1"/>
      <w:numFmt w:val="decimal"/>
      <w:pStyle w:val="Heading4"/>
      <w:lvlText w:val="%1.%2.%3.%4"/>
      <w:lvlJc w:val="left"/>
      <w:pPr>
        <w:tabs>
          <w:tab w:val="num" w:pos="862"/>
        </w:tabs>
        <w:ind w:left="862" w:hanging="862"/>
      </w:pPr>
    </w:lvl>
    <w:lvl w:ilvl="4">
      <w:start w:val="1"/>
      <w:numFmt w:val="decimal"/>
      <w:pStyle w:val="Heading5"/>
      <w:lvlText w:val="%1.%2.%3.%4.%5"/>
      <w:lvlJc w:val="left"/>
      <w:pPr>
        <w:tabs>
          <w:tab w:val="num" w:pos="1009"/>
        </w:tabs>
        <w:ind w:left="1009" w:hanging="1009"/>
      </w:pPr>
    </w:lvl>
    <w:lvl w:ilvl="5">
      <w:start w:val="1"/>
      <w:numFmt w:val="decimal"/>
      <w:pStyle w:val="Heading6"/>
      <w:lvlText w:val="%1.%2.%3.%4.%5.%6"/>
      <w:lvlJc w:val="left"/>
      <w:pPr>
        <w:tabs>
          <w:tab w:val="num" w:pos="1151"/>
        </w:tabs>
        <w:ind w:left="1151" w:hanging="1151"/>
      </w:pPr>
    </w:lvl>
    <w:lvl w:ilvl="6">
      <w:start w:val="1"/>
      <w:numFmt w:val="decimal"/>
      <w:pStyle w:val="Heading7"/>
      <w:lvlText w:val="%1.%2.%3.%4.%5.%6.%7"/>
      <w:lvlJc w:val="left"/>
      <w:pPr>
        <w:tabs>
          <w:tab w:val="num" w:pos="1298"/>
        </w:tabs>
        <w:ind w:left="1298" w:hanging="1298"/>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2"/>
        </w:tabs>
        <w:ind w:left="1582" w:hanging="1582"/>
      </w:pPr>
    </w:lvl>
  </w:abstractNum>
  <w:abstractNum w:abstractNumId="3">
    <w:nsid w:val="0E563DE3"/>
    <w:multiLevelType w:val="multilevel"/>
    <w:tmpl w:val="EA961A4C"/>
    <w:lvl w:ilvl="0">
      <w:start w:val="1"/>
      <w:numFmt w:val="lowerLetter"/>
      <w:lvlRestart w:val="0"/>
      <w:lvlText w:val="%1)"/>
      <w:lvlJc w:val="left"/>
      <w:pPr>
        <w:tabs>
          <w:tab w:val="num" w:pos="1083"/>
        </w:tabs>
        <w:ind w:left="1083" w:hanging="363"/>
      </w:pPr>
    </w:lvl>
    <w:lvl w:ilvl="1">
      <w:start w:val="1"/>
      <w:numFmt w:val="lowerLetter"/>
      <w:lvlText w:val="%2)"/>
      <w:lvlJc w:val="left"/>
      <w:pPr>
        <w:tabs>
          <w:tab w:val="num" w:pos="1440"/>
        </w:tabs>
        <w:ind w:left="1440" w:hanging="357"/>
      </w:pPr>
    </w:lvl>
    <w:lvl w:ilvl="2">
      <w:start w:val="1"/>
      <w:numFmt w:val="lowerLetter"/>
      <w:lvlText w:val="%3)"/>
      <w:lvlJc w:val="left"/>
      <w:pPr>
        <w:tabs>
          <w:tab w:val="num" w:pos="1803"/>
        </w:tabs>
        <w:ind w:left="1803" w:hanging="363"/>
      </w:pPr>
    </w:lvl>
    <w:lvl w:ilvl="3">
      <w:start w:val="1"/>
      <w:numFmt w:val="lowerLetter"/>
      <w:lvlText w:val="%4)"/>
      <w:lvlJc w:val="left"/>
      <w:pPr>
        <w:tabs>
          <w:tab w:val="num" w:pos="2160"/>
        </w:tabs>
        <w:ind w:left="2160" w:hanging="357"/>
      </w:pPr>
    </w:lvl>
    <w:lvl w:ilvl="4">
      <w:start w:val="1"/>
      <w:numFmt w:val="lowerLetter"/>
      <w:lvlText w:val="%5)"/>
      <w:lvlJc w:val="left"/>
      <w:pPr>
        <w:tabs>
          <w:tab w:val="num" w:pos="2523"/>
        </w:tabs>
        <w:ind w:left="2523" w:hanging="363"/>
      </w:pPr>
    </w:lvl>
    <w:lvl w:ilvl="5">
      <w:start w:val="1"/>
      <w:numFmt w:val="lowerLetter"/>
      <w:lvlText w:val="%6)"/>
      <w:lvlJc w:val="left"/>
      <w:pPr>
        <w:tabs>
          <w:tab w:val="num" w:pos="2880"/>
        </w:tabs>
        <w:ind w:left="2880" w:hanging="357"/>
      </w:pPr>
    </w:lvl>
    <w:lvl w:ilvl="6">
      <w:start w:val="1"/>
      <w:numFmt w:val="lowerLetter"/>
      <w:lvlText w:val="%7)"/>
      <w:lvlJc w:val="left"/>
      <w:pPr>
        <w:tabs>
          <w:tab w:val="num" w:pos="3243"/>
        </w:tabs>
        <w:ind w:left="3243" w:hanging="363"/>
      </w:pPr>
    </w:lvl>
    <w:lvl w:ilvl="7">
      <w:start w:val="1"/>
      <w:numFmt w:val="lowerLetter"/>
      <w:lvlText w:val="%8)"/>
      <w:lvlJc w:val="left"/>
      <w:pPr>
        <w:tabs>
          <w:tab w:val="num" w:pos="3600"/>
        </w:tabs>
        <w:ind w:left="3600" w:hanging="357"/>
      </w:pPr>
    </w:lvl>
    <w:lvl w:ilvl="8">
      <w:start w:val="1"/>
      <w:numFmt w:val="lowerLetter"/>
      <w:lvlText w:val="%9)"/>
      <w:lvlJc w:val="left"/>
      <w:pPr>
        <w:tabs>
          <w:tab w:val="num" w:pos="3957"/>
        </w:tabs>
        <w:ind w:left="3957" w:hanging="357"/>
      </w:pPr>
    </w:lvl>
  </w:abstractNum>
  <w:abstractNum w:abstractNumId="4">
    <w:nsid w:val="13CF1C02"/>
    <w:multiLevelType w:val="multilevel"/>
    <w:tmpl w:val="EC448D7A"/>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556394F"/>
    <w:multiLevelType w:val="hybridMultilevel"/>
    <w:tmpl w:val="5D8EA97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86C1CF0"/>
    <w:multiLevelType w:val="multilevel"/>
    <w:tmpl w:val="A058C1BE"/>
    <w:name w:val="List_numbered"/>
    <w:lvl w:ilvl="0">
      <w:start w:val="1"/>
      <w:numFmt w:val="decimal"/>
      <w:lvlRestart w:val="0"/>
      <w:lvlText w:val="%1."/>
      <w:lvlJc w:val="left"/>
      <w:pPr>
        <w:tabs>
          <w:tab w:val="num" w:pos="720"/>
        </w:tabs>
        <w:ind w:left="720" w:hanging="357"/>
      </w:pPr>
    </w:lvl>
    <w:lvl w:ilvl="1">
      <w:start w:val="1"/>
      <w:numFmt w:val="decimal"/>
      <w:lvlText w:val="%2."/>
      <w:lvlJc w:val="left"/>
      <w:pPr>
        <w:tabs>
          <w:tab w:val="num" w:pos="1083"/>
        </w:tabs>
        <w:ind w:left="1083" w:hanging="363"/>
      </w:pPr>
    </w:lvl>
    <w:lvl w:ilvl="2">
      <w:start w:val="1"/>
      <w:numFmt w:val="decimal"/>
      <w:lvlText w:val="%3."/>
      <w:lvlJc w:val="left"/>
      <w:pPr>
        <w:tabs>
          <w:tab w:val="num" w:pos="1440"/>
        </w:tabs>
        <w:ind w:left="1440" w:hanging="357"/>
      </w:pPr>
    </w:lvl>
    <w:lvl w:ilvl="3">
      <w:start w:val="1"/>
      <w:numFmt w:val="decimal"/>
      <w:lvlText w:val="%4."/>
      <w:lvlJc w:val="left"/>
      <w:pPr>
        <w:tabs>
          <w:tab w:val="num" w:pos="1803"/>
        </w:tabs>
        <w:ind w:left="1803" w:hanging="363"/>
      </w:pPr>
    </w:lvl>
    <w:lvl w:ilvl="4">
      <w:start w:val="1"/>
      <w:numFmt w:val="decimal"/>
      <w:lvlText w:val="%5."/>
      <w:lvlJc w:val="left"/>
      <w:pPr>
        <w:tabs>
          <w:tab w:val="num" w:pos="2160"/>
        </w:tabs>
        <w:ind w:left="2160" w:hanging="357"/>
      </w:pPr>
    </w:lvl>
    <w:lvl w:ilvl="5">
      <w:start w:val="1"/>
      <w:numFmt w:val="decimal"/>
      <w:lvlText w:val="%6."/>
      <w:lvlJc w:val="left"/>
      <w:pPr>
        <w:tabs>
          <w:tab w:val="num" w:pos="2523"/>
        </w:tabs>
        <w:ind w:left="2523" w:hanging="363"/>
      </w:pPr>
    </w:lvl>
    <w:lvl w:ilvl="6">
      <w:start w:val="1"/>
      <w:numFmt w:val="decimal"/>
      <w:lvlText w:val="%7."/>
      <w:lvlJc w:val="left"/>
      <w:pPr>
        <w:tabs>
          <w:tab w:val="num" w:pos="2880"/>
        </w:tabs>
        <w:ind w:left="2880" w:hanging="357"/>
      </w:pPr>
    </w:lvl>
    <w:lvl w:ilvl="7">
      <w:start w:val="1"/>
      <w:numFmt w:val="decimal"/>
      <w:lvlText w:val="%8."/>
      <w:lvlJc w:val="left"/>
      <w:pPr>
        <w:tabs>
          <w:tab w:val="num" w:pos="3243"/>
        </w:tabs>
        <w:ind w:left="3243" w:hanging="363"/>
      </w:pPr>
    </w:lvl>
    <w:lvl w:ilvl="8">
      <w:start w:val="1"/>
      <w:numFmt w:val="decimal"/>
      <w:lvlText w:val="%9."/>
      <w:lvlJc w:val="left"/>
      <w:pPr>
        <w:tabs>
          <w:tab w:val="num" w:pos="3600"/>
        </w:tabs>
        <w:ind w:left="3600" w:hanging="357"/>
      </w:pPr>
    </w:lvl>
  </w:abstractNum>
  <w:abstractNum w:abstractNumId="7">
    <w:nsid w:val="1DC41614"/>
    <w:multiLevelType w:val="multilevel"/>
    <w:tmpl w:val="56767712"/>
    <w:lvl w:ilvl="0">
      <w:start w:val="1"/>
      <w:numFmt w:val="decimal"/>
      <w:lvlRestart w:val="0"/>
      <w:pStyle w:val="Heading1NoNumbering"/>
      <w:lvlText w:val="%1."/>
      <w:lvlJc w:val="left"/>
      <w:pPr>
        <w:tabs>
          <w:tab w:val="num" w:pos="720"/>
        </w:tabs>
        <w:ind w:left="720" w:hanging="357"/>
      </w:pPr>
      <w:rPr>
        <w:rFonts w:hint="default"/>
      </w:rPr>
    </w:lvl>
    <w:lvl w:ilvl="1">
      <w:start w:val="1"/>
      <w:numFmt w:val="decimal"/>
      <w:lvlText w:val="%2."/>
      <w:lvlJc w:val="left"/>
      <w:pPr>
        <w:tabs>
          <w:tab w:val="num" w:pos="1083"/>
        </w:tabs>
        <w:ind w:left="1083" w:hanging="363"/>
      </w:pPr>
      <w:rPr>
        <w:rFonts w:hint="default"/>
      </w:rPr>
    </w:lvl>
    <w:lvl w:ilvl="2">
      <w:start w:val="1"/>
      <w:numFmt w:val="decimal"/>
      <w:lvlText w:val="%3."/>
      <w:lvlJc w:val="left"/>
      <w:pPr>
        <w:tabs>
          <w:tab w:val="num" w:pos="1440"/>
        </w:tabs>
        <w:ind w:left="1440" w:hanging="357"/>
      </w:pPr>
      <w:rPr>
        <w:rFonts w:hint="default"/>
      </w:rPr>
    </w:lvl>
    <w:lvl w:ilvl="3">
      <w:start w:val="1"/>
      <w:numFmt w:val="decimal"/>
      <w:lvlText w:val="%4."/>
      <w:lvlJc w:val="left"/>
      <w:pPr>
        <w:tabs>
          <w:tab w:val="num" w:pos="1803"/>
        </w:tabs>
        <w:ind w:left="1803" w:hanging="363"/>
      </w:pPr>
      <w:rPr>
        <w:rFonts w:hint="default"/>
      </w:rPr>
    </w:lvl>
    <w:lvl w:ilvl="4">
      <w:start w:val="1"/>
      <w:numFmt w:val="decimal"/>
      <w:lvlText w:val="%5."/>
      <w:lvlJc w:val="left"/>
      <w:pPr>
        <w:tabs>
          <w:tab w:val="num" w:pos="2160"/>
        </w:tabs>
        <w:ind w:left="2160" w:hanging="357"/>
      </w:pPr>
      <w:rPr>
        <w:rFonts w:hint="default"/>
      </w:rPr>
    </w:lvl>
    <w:lvl w:ilvl="5">
      <w:start w:val="1"/>
      <w:numFmt w:val="decimal"/>
      <w:lvlText w:val="%6."/>
      <w:lvlJc w:val="left"/>
      <w:pPr>
        <w:tabs>
          <w:tab w:val="num" w:pos="2523"/>
        </w:tabs>
        <w:ind w:left="2523" w:hanging="363"/>
      </w:pPr>
      <w:rPr>
        <w:rFonts w:hint="default"/>
      </w:rPr>
    </w:lvl>
    <w:lvl w:ilvl="6">
      <w:start w:val="1"/>
      <w:numFmt w:val="decimal"/>
      <w:lvlText w:val="%7."/>
      <w:lvlJc w:val="left"/>
      <w:pPr>
        <w:tabs>
          <w:tab w:val="num" w:pos="2880"/>
        </w:tabs>
        <w:ind w:left="2880" w:hanging="357"/>
      </w:pPr>
      <w:rPr>
        <w:rFonts w:hint="default"/>
      </w:rPr>
    </w:lvl>
    <w:lvl w:ilvl="7">
      <w:start w:val="1"/>
      <w:numFmt w:val="decimal"/>
      <w:lvlText w:val="%8."/>
      <w:lvlJc w:val="left"/>
      <w:pPr>
        <w:tabs>
          <w:tab w:val="num" w:pos="3243"/>
        </w:tabs>
        <w:ind w:left="3243" w:hanging="363"/>
      </w:pPr>
      <w:rPr>
        <w:rFonts w:hint="default"/>
      </w:rPr>
    </w:lvl>
    <w:lvl w:ilvl="8">
      <w:start w:val="1"/>
      <w:numFmt w:val="decimal"/>
      <w:lvlText w:val="%9."/>
      <w:lvlJc w:val="left"/>
      <w:pPr>
        <w:tabs>
          <w:tab w:val="num" w:pos="3600"/>
        </w:tabs>
        <w:ind w:left="3600" w:hanging="357"/>
      </w:pPr>
      <w:rPr>
        <w:rFonts w:hint="default"/>
      </w:rPr>
    </w:lvl>
  </w:abstractNum>
  <w:abstractNum w:abstractNumId="8">
    <w:nsid w:val="227D59DE"/>
    <w:multiLevelType w:val="multilevel"/>
    <w:tmpl w:val="EC5ACAA6"/>
    <w:lvl w:ilvl="0">
      <w:start w:val="1"/>
      <w:numFmt w:val="bullet"/>
      <w:lvlRestart w:val="0"/>
      <w:pStyle w:val="ListBulletLevel1"/>
      <w:lvlText w:val=""/>
      <w:lvlJc w:val="left"/>
      <w:pPr>
        <w:tabs>
          <w:tab w:val="num" w:pos="720"/>
        </w:tabs>
        <w:ind w:left="720" w:hanging="357"/>
      </w:pPr>
      <w:rPr>
        <w:rFonts w:ascii="Symbol" w:hAnsi="Symbol" w:hint="default"/>
      </w:rPr>
    </w:lvl>
    <w:lvl w:ilvl="1">
      <w:start w:val="1"/>
      <w:numFmt w:val="bullet"/>
      <w:lvlText w:val=""/>
      <w:lvlJc w:val="left"/>
      <w:pPr>
        <w:tabs>
          <w:tab w:val="num" w:pos="1083"/>
        </w:tabs>
        <w:ind w:left="1083" w:hanging="363"/>
      </w:pPr>
      <w:rPr>
        <w:rFonts w:ascii="Symbol" w:hAnsi="Symbol" w:hint="default"/>
      </w:rPr>
    </w:lvl>
    <w:lvl w:ilvl="2">
      <w:start w:val="1"/>
      <w:numFmt w:val="bullet"/>
      <w:lvlText w:val=""/>
      <w:lvlJc w:val="left"/>
      <w:pPr>
        <w:tabs>
          <w:tab w:val="num" w:pos="1440"/>
        </w:tabs>
        <w:ind w:left="1440" w:hanging="357"/>
      </w:pPr>
      <w:rPr>
        <w:rFonts w:ascii="Symbol" w:hAnsi="Symbol" w:hint="default"/>
      </w:rPr>
    </w:lvl>
    <w:lvl w:ilvl="3">
      <w:start w:val="1"/>
      <w:numFmt w:val="bullet"/>
      <w:lvlText w:val=""/>
      <w:lvlJc w:val="left"/>
      <w:pPr>
        <w:tabs>
          <w:tab w:val="num" w:pos="1803"/>
        </w:tabs>
        <w:ind w:left="1803" w:hanging="363"/>
      </w:pPr>
      <w:rPr>
        <w:rFonts w:ascii="Symbol" w:hAnsi="Symbol" w:hint="default"/>
      </w:rPr>
    </w:lvl>
    <w:lvl w:ilvl="4">
      <w:start w:val="1"/>
      <w:numFmt w:val="bullet"/>
      <w:lvlText w:val=""/>
      <w:lvlJc w:val="left"/>
      <w:pPr>
        <w:tabs>
          <w:tab w:val="num" w:pos="2160"/>
        </w:tabs>
        <w:ind w:left="2160" w:hanging="357"/>
      </w:pPr>
      <w:rPr>
        <w:rFonts w:ascii="Symbol" w:hAnsi="Symbol" w:hint="default"/>
      </w:rPr>
    </w:lvl>
    <w:lvl w:ilvl="5">
      <w:start w:val="1"/>
      <w:numFmt w:val="bullet"/>
      <w:lvlText w:val=""/>
      <w:lvlJc w:val="left"/>
      <w:pPr>
        <w:tabs>
          <w:tab w:val="num" w:pos="2523"/>
        </w:tabs>
        <w:ind w:left="2523" w:hanging="363"/>
      </w:pPr>
      <w:rPr>
        <w:rFonts w:ascii="Symbol" w:hAnsi="Symbol" w:hint="default"/>
      </w:rPr>
    </w:lvl>
    <w:lvl w:ilvl="6">
      <w:start w:val="1"/>
      <w:numFmt w:val="bullet"/>
      <w:lvlText w:val=""/>
      <w:lvlJc w:val="left"/>
      <w:pPr>
        <w:tabs>
          <w:tab w:val="num" w:pos="2880"/>
        </w:tabs>
        <w:ind w:left="2880" w:hanging="357"/>
      </w:pPr>
      <w:rPr>
        <w:rFonts w:ascii="Symbol" w:hAnsi="Symbol" w:hint="default"/>
      </w:rPr>
    </w:lvl>
    <w:lvl w:ilvl="7">
      <w:start w:val="1"/>
      <w:numFmt w:val="bullet"/>
      <w:lvlText w:val=""/>
      <w:lvlJc w:val="left"/>
      <w:pPr>
        <w:tabs>
          <w:tab w:val="num" w:pos="3243"/>
        </w:tabs>
        <w:ind w:left="3243" w:hanging="363"/>
      </w:pPr>
      <w:rPr>
        <w:rFonts w:ascii="Symbol" w:hAnsi="Symbol" w:hint="default"/>
      </w:rPr>
    </w:lvl>
    <w:lvl w:ilvl="8">
      <w:start w:val="1"/>
      <w:numFmt w:val="bullet"/>
      <w:lvlText w:val=""/>
      <w:lvlJc w:val="left"/>
      <w:pPr>
        <w:tabs>
          <w:tab w:val="num" w:pos="3600"/>
        </w:tabs>
        <w:ind w:left="3600" w:hanging="357"/>
      </w:pPr>
      <w:rPr>
        <w:rFonts w:ascii="Symbol" w:hAnsi="Symbol" w:hint="default"/>
      </w:rPr>
    </w:lvl>
  </w:abstractNum>
  <w:abstractNum w:abstractNumId="9">
    <w:nsid w:val="24435439"/>
    <w:multiLevelType w:val="hybridMultilevel"/>
    <w:tmpl w:val="D23AB816"/>
    <w:lvl w:ilvl="0" w:tplc="CF929A3C">
      <w:start w:val="1"/>
      <w:numFmt w:val="bullet"/>
      <w:pStyle w:val="TblTextbulletedlist"/>
      <w:lvlText w:val=""/>
      <w:lvlJc w:val="left"/>
      <w:pPr>
        <w:ind w:left="720" w:hanging="360"/>
      </w:pPr>
      <w:rPr>
        <w:rFonts w:ascii="Symbol" w:hAnsi="Symbol" w:hint="default"/>
      </w:rPr>
    </w:lvl>
    <w:lvl w:ilvl="1" w:tplc="9028C36C" w:tentative="1">
      <w:start w:val="1"/>
      <w:numFmt w:val="bullet"/>
      <w:lvlText w:val="o"/>
      <w:lvlJc w:val="left"/>
      <w:pPr>
        <w:ind w:left="1440" w:hanging="360"/>
      </w:pPr>
      <w:rPr>
        <w:rFonts w:ascii="Courier New" w:hAnsi="Courier New" w:cs="Courier New" w:hint="default"/>
      </w:rPr>
    </w:lvl>
    <w:lvl w:ilvl="2" w:tplc="8DE2A990" w:tentative="1">
      <w:start w:val="1"/>
      <w:numFmt w:val="bullet"/>
      <w:lvlText w:val=""/>
      <w:lvlJc w:val="left"/>
      <w:pPr>
        <w:ind w:left="2160" w:hanging="360"/>
      </w:pPr>
      <w:rPr>
        <w:rFonts w:ascii="Wingdings" w:hAnsi="Wingdings" w:hint="default"/>
      </w:rPr>
    </w:lvl>
    <w:lvl w:ilvl="3" w:tplc="A042A23A" w:tentative="1">
      <w:start w:val="1"/>
      <w:numFmt w:val="bullet"/>
      <w:lvlText w:val=""/>
      <w:lvlJc w:val="left"/>
      <w:pPr>
        <w:ind w:left="2880" w:hanging="360"/>
      </w:pPr>
      <w:rPr>
        <w:rFonts w:ascii="Symbol" w:hAnsi="Symbol" w:hint="default"/>
      </w:rPr>
    </w:lvl>
    <w:lvl w:ilvl="4" w:tplc="3D58A812" w:tentative="1">
      <w:start w:val="1"/>
      <w:numFmt w:val="bullet"/>
      <w:lvlText w:val="o"/>
      <w:lvlJc w:val="left"/>
      <w:pPr>
        <w:ind w:left="3600" w:hanging="360"/>
      </w:pPr>
      <w:rPr>
        <w:rFonts w:ascii="Courier New" w:hAnsi="Courier New" w:cs="Courier New" w:hint="default"/>
      </w:rPr>
    </w:lvl>
    <w:lvl w:ilvl="5" w:tplc="6054CC7A" w:tentative="1">
      <w:start w:val="1"/>
      <w:numFmt w:val="bullet"/>
      <w:lvlText w:val=""/>
      <w:lvlJc w:val="left"/>
      <w:pPr>
        <w:ind w:left="4320" w:hanging="360"/>
      </w:pPr>
      <w:rPr>
        <w:rFonts w:ascii="Wingdings" w:hAnsi="Wingdings" w:hint="default"/>
      </w:rPr>
    </w:lvl>
    <w:lvl w:ilvl="6" w:tplc="F5DED78E" w:tentative="1">
      <w:start w:val="1"/>
      <w:numFmt w:val="bullet"/>
      <w:lvlText w:val=""/>
      <w:lvlJc w:val="left"/>
      <w:pPr>
        <w:ind w:left="5040" w:hanging="360"/>
      </w:pPr>
      <w:rPr>
        <w:rFonts w:ascii="Symbol" w:hAnsi="Symbol" w:hint="default"/>
      </w:rPr>
    </w:lvl>
    <w:lvl w:ilvl="7" w:tplc="1712719A" w:tentative="1">
      <w:start w:val="1"/>
      <w:numFmt w:val="bullet"/>
      <w:lvlText w:val="o"/>
      <w:lvlJc w:val="left"/>
      <w:pPr>
        <w:ind w:left="5760" w:hanging="360"/>
      </w:pPr>
      <w:rPr>
        <w:rFonts w:ascii="Courier New" w:hAnsi="Courier New" w:cs="Courier New" w:hint="default"/>
      </w:rPr>
    </w:lvl>
    <w:lvl w:ilvl="8" w:tplc="8922831E" w:tentative="1">
      <w:start w:val="1"/>
      <w:numFmt w:val="bullet"/>
      <w:lvlText w:val=""/>
      <w:lvlJc w:val="left"/>
      <w:pPr>
        <w:ind w:left="6480" w:hanging="360"/>
      </w:pPr>
      <w:rPr>
        <w:rFonts w:ascii="Wingdings" w:hAnsi="Wingdings" w:hint="default"/>
      </w:rPr>
    </w:lvl>
  </w:abstractNum>
  <w:abstractNum w:abstractNumId="10">
    <w:nsid w:val="2E4D086B"/>
    <w:multiLevelType w:val="multilevel"/>
    <w:tmpl w:val="98FEE14A"/>
    <w:lvl w:ilvl="0">
      <w:start w:val="1"/>
      <w:numFmt w:val="upperLetter"/>
      <w:lvlRestart w:val="0"/>
      <w:lvlText w:val="%1)"/>
      <w:lvlJc w:val="left"/>
      <w:pPr>
        <w:tabs>
          <w:tab w:val="num" w:pos="720"/>
        </w:tabs>
        <w:ind w:left="720" w:hanging="357"/>
      </w:pPr>
    </w:lvl>
    <w:lvl w:ilvl="1">
      <w:start w:val="1"/>
      <w:numFmt w:val="upperLetter"/>
      <w:lvlText w:val="%2)"/>
      <w:lvlJc w:val="left"/>
      <w:pPr>
        <w:tabs>
          <w:tab w:val="num" w:pos="1083"/>
        </w:tabs>
        <w:ind w:left="1083" w:hanging="363"/>
      </w:pPr>
    </w:lvl>
    <w:lvl w:ilvl="2">
      <w:start w:val="1"/>
      <w:numFmt w:val="upperLetter"/>
      <w:lvlText w:val="%3)"/>
      <w:lvlJc w:val="left"/>
      <w:pPr>
        <w:tabs>
          <w:tab w:val="num" w:pos="1440"/>
        </w:tabs>
        <w:ind w:left="1440" w:hanging="357"/>
      </w:pPr>
    </w:lvl>
    <w:lvl w:ilvl="3">
      <w:start w:val="1"/>
      <w:numFmt w:val="upperLetter"/>
      <w:lvlText w:val="%4)"/>
      <w:lvlJc w:val="left"/>
      <w:pPr>
        <w:tabs>
          <w:tab w:val="num" w:pos="1803"/>
        </w:tabs>
        <w:ind w:left="1803" w:hanging="363"/>
      </w:pPr>
    </w:lvl>
    <w:lvl w:ilvl="4">
      <w:start w:val="1"/>
      <w:numFmt w:val="upperLetter"/>
      <w:lvlText w:val="%5)"/>
      <w:lvlJc w:val="left"/>
      <w:pPr>
        <w:tabs>
          <w:tab w:val="num" w:pos="2160"/>
        </w:tabs>
        <w:ind w:left="2160" w:hanging="357"/>
      </w:pPr>
    </w:lvl>
    <w:lvl w:ilvl="5">
      <w:start w:val="1"/>
      <w:numFmt w:val="upperLetter"/>
      <w:lvlText w:val="%6)"/>
      <w:lvlJc w:val="left"/>
      <w:pPr>
        <w:tabs>
          <w:tab w:val="num" w:pos="2523"/>
        </w:tabs>
        <w:ind w:left="2523" w:hanging="363"/>
      </w:pPr>
    </w:lvl>
    <w:lvl w:ilvl="6">
      <w:start w:val="1"/>
      <w:numFmt w:val="upperLetter"/>
      <w:lvlText w:val="%7)"/>
      <w:lvlJc w:val="left"/>
      <w:pPr>
        <w:tabs>
          <w:tab w:val="num" w:pos="2880"/>
        </w:tabs>
        <w:ind w:left="2880" w:hanging="357"/>
      </w:pPr>
    </w:lvl>
    <w:lvl w:ilvl="7">
      <w:start w:val="1"/>
      <w:numFmt w:val="upperLetter"/>
      <w:lvlText w:val="%8)"/>
      <w:lvlJc w:val="left"/>
      <w:pPr>
        <w:tabs>
          <w:tab w:val="num" w:pos="3243"/>
        </w:tabs>
        <w:ind w:left="3243" w:hanging="363"/>
      </w:pPr>
    </w:lvl>
    <w:lvl w:ilvl="8">
      <w:start w:val="1"/>
      <w:numFmt w:val="upperLetter"/>
      <w:lvlText w:val="%8)"/>
      <w:lvlJc w:val="left"/>
      <w:pPr>
        <w:tabs>
          <w:tab w:val="num" w:pos="3600"/>
        </w:tabs>
        <w:ind w:left="3600" w:hanging="357"/>
      </w:pPr>
    </w:lvl>
  </w:abstractNum>
  <w:abstractNum w:abstractNumId="11">
    <w:nsid w:val="36A76F60"/>
    <w:multiLevelType w:val="multilevel"/>
    <w:tmpl w:val="C71ABB6C"/>
    <w:lvl w:ilvl="0">
      <w:start w:val="1"/>
      <w:numFmt w:val="bullet"/>
      <w:lvlRestart w:val="0"/>
      <w:lvlText w:val="-"/>
      <w:lvlJc w:val="left"/>
      <w:pPr>
        <w:tabs>
          <w:tab w:val="num" w:pos="1083"/>
        </w:tabs>
        <w:ind w:left="1083" w:hanging="363"/>
      </w:pPr>
      <w:rPr>
        <w:rFonts w:ascii="Times New Roman" w:hAnsi="Times New Roman" w:cs="Times New Roman" w:hint="default"/>
      </w:rPr>
    </w:lvl>
    <w:lvl w:ilvl="1">
      <w:start w:val="1"/>
      <w:numFmt w:val="bullet"/>
      <w:lvlText w:val="-"/>
      <w:lvlJc w:val="left"/>
      <w:pPr>
        <w:tabs>
          <w:tab w:val="num" w:pos="1440"/>
        </w:tabs>
        <w:ind w:left="1440" w:hanging="357"/>
      </w:pPr>
      <w:rPr>
        <w:rFonts w:ascii="Times New Roman" w:hAnsi="Times New Roman" w:cs="Times New Roman" w:hint="default"/>
      </w:rPr>
    </w:lvl>
    <w:lvl w:ilvl="2">
      <w:start w:val="1"/>
      <w:numFmt w:val="bullet"/>
      <w:lvlText w:val="-"/>
      <w:lvlJc w:val="left"/>
      <w:pPr>
        <w:tabs>
          <w:tab w:val="num" w:pos="1803"/>
        </w:tabs>
        <w:ind w:left="1803" w:hanging="363"/>
      </w:pPr>
      <w:rPr>
        <w:rFonts w:ascii="Times New Roman" w:hAnsi="Times New Roman" w:cs="Times New Roman" w:hint="default"/>
      </w:rPr>
    </w:lvl>
    <w:lvl w:ilvl="3">
      <w:start w:val="1"/>
      <w:numFmt w:val="bullet"/>
      <w:lvlText w:val="-"/>
      <w:lvlJc w:val="left"/>
      <w:pPr>
        <w:tabs>
          <w:tab w:val="num" w:pos="2160"/>
        </w:tabs>
        <w:ind w:left="2160" w:hanging="357"/>
      </w:pPr>
      <w:rPr>
        <w:rFonts w:ascii="Times New Roman" w:hAnsi="Times New Roman" w:cs="Times New Roman" w:hint="default"/>
      </w:rPr>
    </w:lvl>
    <w:lvl w:ilvl="4">
      <w:start w:val="1"/>
      <w:numFmt w:val="bullet"/>
      <w:lvlText w:val="-"/>
      <w:lvlJc w:val="left"/>
      <w:pPr>
        <w:tabs>
          <w:tab w:val="num" w:pos="2523"/>
        </w:tabs>
        <w:ind w:left="2523" w:hanging="363"/>
      </w:pPr>
      <w:rPr>
        <w:rFonts w:ascii="Times New Roman" w:hAnsi="Times New Roman" w:cs="Times New Roman" w:hint="default"/>
      </w:rPr>
    </w:lvl>
    <w:lvl w:ilvl="5">
      <w:start w:val="1"/>
      <w:numFmt w:val="bullet"/>
      <w:lvlText w:val="-"/>
      <w:lvlJc w:val="left"/>
      <w:pPr>
        <w:tabs>
          <w:tab w:val="num" w:pos="2880"/>
        </w:tabs>
        <w:ind w:left="2880" w:hanging="357"/>
      </w:pPr>
      <w:rPr>
        <w:rFonts w:ascii="Times New Roman" w:hAnsi="Times New Roman" w:cs="Times New Roman" w:hint="default"/>
      </w:rPr>
    </w:lvl>
    <w:lvl w:ilvl="6">
      <w:start w:val="1"/>
      <w:numFmt w:val="bullet"/>
      <w:lvlText w:val="-"/>
      <w:lvlJc w:val="left"/>
      <w:pPr>
        <w:tabs>
          <w:tab w:val="num" w:pos="3243"/>
        </w:tabs>
        <w:ind w:left="3243" w:hanging="363"/>
      </w:pPr>
      <w:rPr>
        <w:rFonts w:ascii="Times New Roman" w:hAnsi="Times New Roman" w:cs="Times New Roman" w:hint="default"/>
      </w:rPr>
    </w:lvl>
    <w:lvl w:ilvl="7">
      <w:start w:val="1"/>
      <w:numFmt w:val="bullet"/>
      <w:lvlText w:val="-"/>
      <w:lvlJc w:val="left"/>
      <w:pPr>
        <w:tabs>
          <w:tab w:val="num" w:pos="3600"/>
        </w:tabs>
        <w:ind w:left="3600" w:hanging="357"/>
      </w:pPr>
      <w:rPr>
        <w:rFonts w:ascii="Times New Roman" w:hAnsi="Times New Roman" w:cs="Times New Roman" w:hint="default"/>
      </w:rPr>
    </w:lvl>
    <w:lvl w:ilvl="8">
      <w:start w:val="1"/>
      <w:numFmt w:val="bullet"/>
      <w:lvlText w:val="-"/>
      <w:lvlJc w:val="left"/>
      <w:pPr>
        <w:tabs>
          <w:tab w:val="num" w:pos="3957"/>
        </w:tabs>
        <w:ind w:left="3957" w:hanging="357"/>
      </w:pPr>
      <w:rPr>
        <w:rFonts w:ascii="Times New Roman" w:hAnsi="Times New Roman" w:cs="Times New Roman" w:hint="default"/>
      </w:rPr>
    </w:lvl>
  </w:abstractNum>
  <w:abstractNum w:abstractNumId="12">
    <w:nsid w:val="398B4D5B"/>
    <w:multiLevelType w:val="hybridMultilevel"/>
    <w:tmpl w:val="AC0E0E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B3A4EB6"/>
    <w:multiLevelType w:val="hybridMultilevel"/>
    <w:tmpl w:val="E89EB3E4"/>
    <w:lvl w:ilvl="0" w:tplc="5DBE9EB4">
      <w:numFmt w:val="bullet"/>
      <w:lvlText w:val=""/>
      <w:lvlJc w:val="left"/>
      <w:pPr>
        <w:ind w:left="720" w:hanging="360"/>
      </w:pPr>
      <w:rPr>
        <w:rFonts w:ascii="Wingdings" w:eastAsia="MS Mincho"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7507084"/>
    <w:multiLevelType w:val="multilevel"/>
    <w:tmpl w:val="732CC2B2"/>
    <w:lvl w:ilvl="0">
      <w:start w:val="1"/>
      <w:numFmt w:val="decimal"/>
      <w:lvlRestart w:val="0"/>
      <w:pStyle w:val="ListNumbered"/>
      <w:lvlText w:val="%1."/>
      <w:lvlJc w:val="left"/>
      <w:pPr>
        <w:tabs>
          <w:tab w:val="num" w:pos="720"/>
        </w:tabs>
        <w:ind w:left="720" w:hanging="357"/>
      </w:pPr>
      <w:rPr>
        <w:rFonts w:hint="default"/>
      </w:rPr>
    </w:lvl>
    <w:lvl w:ilvl="1">
      <w:start w:val="1"/>
      <w:numFmt w:val="decimal"/>
      <w:lvlText w:val="%2."/>
      <w:lvlJc w:val="left"/>
      <w:pPr>
        <w:tabs>
          <w:tab w:val="num" w:pos="1083"/>
        </w:tabs>
        <w:ind w:left="1083" w:hanging="363"/>
      </w:pPr>
      <w:rPr>
        <w:rFonts w:hint="default"/>
      </w:rPr>
    </w:lvl>
    <w:lvl w:ilvl="2">
      <w:start w:val="1"/>
      <w:numFmt w:val="decimal"/>
      <w:lvlText w:val="%3."/>
      <w:lvlJc w:val="left"/>
      <w:pPr>
        <w:tabs>
          <w:tab w:val="num" w:pos="1440"/>
        </w:tabs>
        <w:ind w:left="1440" w:hanging="357"/>
      </w:pPr>
      <w:rPr>
        <w:rFonts w:hint="default"/>
      </w:rPr>
    </w:lvl>
    <w:lvl w:ilvl="3">
      <w:start w:val="1"/>
      <w:numFmt w:val="decimal"/>
      <w:lvlText w:val="%4."/>
      <w:lvlJc w:val="left"/>
      <w:pPr>
        <w:tabs>
          <w:tab w:val="num" w:pos="1803"/>
        </w:tabs>
        <w:ind w:left="1803" w:hanging="363"/>
      </w:pPr>
      <w:rPr>
        <w:rFonts w:hint="default"/>
      </w:rPr>
    </w:lvl>
    <w:lvl w:ilvl="4">
      <w:start w:val="1"/>
      <w:numFmt w:val="decimal"/>
      <w:lvlText w:val="%5."/>
      <w:lvlJc w:val="left"/>
      <w:pPr>
        <w:tabs>
          <w:tab w:val="num" w:pos="2160"/>
        </w:tabs>
        <w:ind w:left="2160" w:hanging="357"/>
      </w:pPr>
      <w:rPr>
        <w:rFonts w:hint="default"/>
      </w:rPr>
    </w:lvl>
    <w:lvl w:ilvl="5">
      <w:start w:val="1"/>
      <w:numFmt w:val="decimal"/>
      <w:lvlText w:val="%6."/>
      <w:lvlJc w:val="left"/>
      <w:pPr>
        <w:tabs>
          <w:tab w:val="num" w:pos="2523"/>
        </w:tabs>
        <w:ind w:left="2523" w:hanging="363"/>
      </w:pPr>
      <w:rPr>
        <w:rFonts w:hint="default"/>
      </w:rPr>
    </w:lvl>
    <w:lvl w:ilvl="6">
      <w:start w:val="1"/>
      <w:numFmt w:val="decimal"/>
      <w:lvlText w:val="%7."/>
      <w:lvlJc w:val="left"/>
      <w:pPr>
        <w:tabs>
          <w:tab w:val="num" w:pos="2880"/>
        </w:tabs>
        <w:ind w:left="2880" w:hanging="357"/>
      </w:pPr>
      <w:rPr>
        <w:rFonts w:hint="default"/>
      </w:rPr>
    </w:lvl>
    <w:lvl w:ilvl="7">
      <w:start w:val="1"/>
      <w:numFmt w:val="decimal"/>
      <w:lvlText w:val="%8."/>
      <w:lvlJc w:val="left"/>
      <w:pPr>
        <w:tabs>
          <w:tab w:val="num" w:pos="3243"/>
        </w:tabs>
        <w:ind w:left="3243" w:hanging="363"/>
      </w:pPr>
      <w:rPr>
        <w:rFonts w:hint="default"/>
      </w:rPr>
    </w:lvl>
    <w:lvl w:ilvl="8">
      <w:start w:val="1"/>
      <w:numFmt w:val="decimal"/>
      <w:lvlText w:val="%9."/>
      <w:lvlJc w:val="left"/>
      <w:pPr>
        <w:tabs>
          <w:tab w:val="num" w:pos="3600"/>
        </w:tabs>
        <w:ind w:left="3600" w:hanging="357"/>
      </w:pPr>
      <w:rPr>
        <w:rFonts w:hint="default"/>
      </w:rPr>
    </w:lvl>
  </w:abstractNum>
  <w:abstractNum w:abstractNumId="15">
    <w:nsid w:val="5C225032"/>
    <w:multiLevelType w:val="hybridMultilevel"/>
    <w:tmpl w:val="87D8CF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2331808"/>
    <w:multiLevelType w:val="multilevel"/>
    <w:tmpl w:val="F1BEA42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2EF3CBF"/>
    <w:multiLevelType w:val="hybridMultilevel"/>
    <w:tmpl w:val="326235DA"/>
    <w:lvl w:ilvl="0" w:tplc="4C7C8224">
      <w:numFmt w:val="bullet"/>
      <w:lvlText w:val="-"/>
      <w:lvlJc w:val="left"/>
      <w:pPr>
        <w:ind w:left="720" w:hanging="360"/>
      </w:pPr>
      <w:rPr>
        <w:rFonts w:ascii="Cambria" w:eastAsia="MS Mincho"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74B7771"/>
    <w:multiLevelType w:val="multilevel"/>
    <w:tmpl w:val="EE64F4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676F49FC"/>
    <w:multiLevelType w:val="hybridMultilevel"/>
    <w:tmpl w:val="76C6F65E"/>
    <w:lvl w:ilvl="0" w:tplc="87DA40DA">
      <w:start w:val="1"/>
      <w:numFmt w:val="bullet"/>
      <w:lvlText w:val=""/>
      <w:lvlJc w:val="left"/>
      <w:pPr>
        <w:ind w:left="720" w:hanging="360"/>
      </w:pPr>
      <w:rPr>
        <w:rFonts w:ascii="Symbol" w:hAnsi="Symbol" w:hint="default"/>
      </w:rPr>
    </w:lvl>
    <w:lvl w:ilvl="1" w:tplc="7AF6BD92" w:tentative="1">
      <w:start w:val="1"/>
      <w:numFmt w:val="bullet"/>
      <w:lvlText w:val="o"/>
      <w:lvlJc w:val="left"/>
      <w:pPr>
        <w:ind w:left="1440" w:hanging="360"/>
      </w:pPr>
      <w:rPr>
        <w:rFonts w:ascii="Courier New" w:hAnsi="Courier New" w:cs="Courier New" w:hint="default"/>
      </w:rPr>
    </w:lvl>
    <w:lvl w:ilvl="2" w:tplc="0D72309A" w:tentative="1">
      <w:start w:val="1"/>
      <w:numFmt w:val="bullet"/>
      <w:lvlText w:val=""/>
      <w:lvlJc w:val="left"/>
      <w:pPr>
        <w:ind w:left="2160" w:hanging="360"/>
      </w:pPr>
      <w:rPr>
        <w:rFonts w:ascii="Wingdings" w:hAnsi="Wingdings" w:hint="default"/>
      </w:rPr>
    </w:lvl>
    <w:lvl w:ilvl="3" w:tplc="CEF2914E" w:tentative="1">
      <w:start w:val="1"/>
      <w:numFmt w:val="bullet"/>
      <w:lvlText w:val=""/>
      <w:lvlJc w:val="left"/>
      <w:pPr>
        <w:ind w:left="2880" w:hanging="360"/>
      </w:pPr>
      <w:rPr>
        <w:rFonts w:ascii="Symbol" w:hAnsi="Symbol" w:hint="default"/>
      </w:rPr>
    </w:lvl>
    <w:lvl w:ilvl="4" w:tplc="F1EA4E70" w:tentative="1">
      <w:start w:val="1"/>
      <w:numFmt w:val="bullet"/>
      <w:lvlText w:val="o"/>
      <w:lvlJc w:val="left"/>
      <w:pPr>
        <w:ind w:left="3600" w:hanging="360"/>
      </w:pPr>
      <w:rPr>
        <w:rFonts w:ascii="Courier New" w:hAnsi="Courier New" w:cs="Courier New" w:hint="default"/>
      </w:rPr>
    </w:lvl>
    <w:lvl w:ilvl="5" w:tplc="B69270E2" w:tentative="1">
      <w:start w:val="1"/>
      <w:numFmt w:val="bullet"/>
      <w:lvlText w:val=""/>
      <w:lvlJc w:val="left"/>
      <w:pPr>
        <w:ind w:left="4320" w:hanging="360"/>
      </w:pPr>
      <w:rPr>
        <w:rFonts w:ascii="Wingdings" w:hAnsi="Wingdings" w:hint="default"/>
      </w:rPr>
    </w:lvl>
    <w:lvl w:ilvl="6" w:tplc="2124E1E4" w:tentative="1">
      <w:start w:val="1"/>
      <w:numFmt w:val="bullet"/>
      <w:lvlText w:val=""/>
      <w:lvlJc w:val="left"/>
      <w:pPr>
        <w:ind w:left="5040" w:hanging="360"/>
      </w:pPr>
      <w:rPr>
        <w:rFonts w:ascii="Symbol" w:hAnsi="Symbol" w:hint="default"/>
      </w:rPr>
    </w:lvl>
    <w:lvl w:ilvl="7" w:tplc="A5482536" w:tentative="1">
      <w:start w:val="1"/>
      <w:numFmt w:val="bullet"/>
      <w:lvlText w:val="o"/>
      <w:lvlJc w:val="left"/>
      <w:pPr>
        <w:ind w:left="5760" w:hanging="360"/>
      </w:pPr>
      <w:rPr>
        <w:rFonts w:ascii="Courier New" w:hAnsi="Courier New" w:cs="Courier New" w:hint="default"/>
      </w:rPr>
    </w:lvl>
    <w:lvl w:ilvl="8" w:tplc="EADEDCB4" w:tentative="1">
      <w:start w:val="1"/>
      <w:numFmt w:val="bullet"/>
      <w:lvlText w:val=""/>
      <w:lvlJc w:val="left"/>
      <w:pPr>
        <w:ind w:left="6480" w:hanging="360"/>
      </w:pPr>
      <w:rPr>
        <w:rFonts w:ascii="Wingdings" w:hAnsi="Wingdings" w:hint="default"/>
      </w:rPr>
    </w:lvl>
  </w:abstractNum>
  <w:abstractNum w:abstractNumId="21">
    <w:nsid w:val="6A9A63BD"/>
    <w:multiLevelType w:val="hybridMultilevel"/>
    <w:tmpl w:val="1326ED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0332797"/>
    <w:multiLevelType w:val="multilevel"/>
    <w:tmpl w:val="D3D42D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71CE414F"/>
    <w:multiLevelType w:val="hybridMultilevel"/>
    <w:tmpl w:val="99F61858"/>
    <w:lvl w:ilvl="0" w:tplc="6F6C16CA">
      <w:start w:val="1"/>
      <w:numFmt w:val="bullet"/>
      <w:lvlText w:val=""/>
      <w:lvlJc w:val="left"/>
      <w:pPr>
        <w:tabs>
          <w:tab w:val="num" w:pos="360"/>
        </w:tabs>
        <w:ind w:left="360" w:hanging="360"/>
      </w:pPr>
      <w:rPr>
        <w:rFonts w:ascii="Symbol" w:hAnsi="Symbol" w:hint="default"/>
      </w:rPr>
    </w:lvl>
    <w:lvl w:ilvl="1" w:tplc="B8922B62" w:tentative="1">
      <w:start w:val="1"/>
      <w:numFmt w:val="bullet"/>
      <w:lvlText w:val="o"/>
      <w:lvlJc w:val="left"/>
      <w:pPr>
        <w:tabs>
          <w:tab w:val="num" w:pos="1080"/>
        </w:tabs>
        <w:ind w:left="1080" w:hanging="360"/>
      </w:pPr>
      <w:rPr>
        <w:rFonts w:ascii="Courier New" w:hAnsi="Courier New" w:cs="Courier New" w:hint="default"/>
      </w:rPr>
    </w:lvl>
    <w:lvl w:ilvl="2" w:tplc="C58E8BA8" w:tentative="1">
      <w:start w:val="1"/>
      <w:numFmt w:val="bullet"/>
      <w:lvlText w:val=""/>
      <w:lvlJc w:val="left"/>
      <w:pPr>
        <w:tabs>
          <w:tab w:val="num" w:pos="1800"/>
        </w:tabs>
        <w:ind w:left="1800" w:hanging="360"/>
      </w:pPr>
      <w:rPr>
        <w:rFonts w:ascii="Wingdings" w:hAnsi="Wingdings" w:hint="default"/>
      </w:rPr>
    </w:lvl>
    <w:lvl w:ilvl="3" w:tplc="33CA5928" w:tentative="1">
      <w:start w:val="1"/>
      <w:numFmt w:val="bullet"/>
      <w:lvlText w:val=""/>
      <w:lvlJc w:val="left"/>
      <w:pPr>
        <w:tabs>
          <w:tab w:val="num" w:pos="2520"/>
        </w:tabs>
        <w:ind w:left="2520" w:hanging="360"/>
      </w:pPr>
      <w:rPr>
        <w:rFonts w:ascii="Symbol" w:hAnsi="Symbol" w:hint="default"/>
      </w:rPr>
    </w:lvl>
    <w:lvl w:ilvl="4" w:tplc="DAF22FB4" w:tentative="1">
      <w:start w:val="1"/>
      <w:numFmt w:val="bullet"/>
      <w:lvlText w:val="o"/>
      <w:lvlJc w:val="left"/>
      <w:pPr>
        <w:tabs>
          <w:tab w:val="num" w:pos="3240"/>
        </w:tabs>
        <w:ind w:left="3240" w:hanging="360"/>
      </w:pPr>
      <w:rPr>
        <w:rFonts w:ascii="Courier New" w:hAnsi="Courier New" w:cs="Courier New" w:hint="default"/>
      </w:rPr>
    </w:lvl>
    <w:lvl w:ilvl="5" w:tplc="7B5AA198" w:tentative="1">
      <w:start w:val="1"/>
      <w:numFmt w:val="bullet"/>
      <w:lvlText w:val=""/>
      <w:lvlJc w:val="left"/>
      <w:pPr>
        <w:tabs>
          <w:tab w:val="num" w:pos="3960"/>
        </w:tabs>
        <w:ind w:left="3960" w:hanging="360"/>
      </w:pPr>
      <w:rPr>
        <w:rFonts w:ascii="Wingdings" w:hAnsi="Wingdings" w:hint="default"/>
      </w:rPr>
    </w:lvl>
    <w:lvl w:ilvl="6" w:tplc="E4786EF6" w:tentative="1">
      <w:start w:val="1"/>
      <w:numFmt w:val="bullet"/>
      <w:lvlText w:val=""/>
      <w:lvlJc w:val="left"/>
      <w:pPr>
        <w:tabs>
          <w:tab w:val="num" w:pos="4680"/>
        </w:tabs>
        <w:ind w:left="4680" w:hanging="360"/>
      </w:pPr>
      <w:rPr>
        <w:rFonts w:ascii="Symbol" w:hAnsi="Symbol" w:hint="default"/>
      </w:rPr>
    </w:lvl>
    <w:lvl w:ilvl="7" w:tplc="4E3EF3C2" w:tentative="1">
      <w:start w:val="1"/>
      <w:numFmt w:val="bullet"/>
      <w:lvlText w:val="o"/>
      <w:lvlJc w:val="left"/>
      <w:pPr>
        <w:tabs>
          <w:tab w:val="num" w:pos="5400"/>
        </w:tabs>
        <w:ind w:left="5400" w:hanging="360"/>
      </w:pPr>
      <w:rPr>
        <w:rFonts w:ascii="Courier New" w:hAnsi="Courier New" w:cs="Courier New" w:hint="default"/>
      </w:rPr>
    </w:lvl>
    <w:lvl w:ilvl="8" w:tplc="043CEB2C" w:tentative="1">
      <w:start w:val="1"/>
      <w:numFmt w:val="bullet"/>
      <w:lvlText w:val=""/>
      <w:lvlJc w:val="left"/>
      <w:pPr>
        <w:tabs>
          <w:tab w:val="num" w:pos="6120"/>
        </w:tabs>
        <w:ind w:left="6120" w:hanging="360"/>
      </w:pPr>
      <w:rPr>
        <w:rFonts w:ascii="Wingdings" w:hAnsi="Wingdings" w:hint="default"/>
      </w:rPr>
    </w:lvl>
  </w:abstractNum>
  <w:abstractNum w:abstractNumId="24">
    <w:nsid w:val="72613446"/>
    <w:multiLevelType w:val="hybridMultilevel"/>
    <w:tmpl w:val="D384F4F4"/>
    <w:lvl w:ilvl="0" w:tplc="ED465E08">
      <w:start w:val="1"/>
      <w:numFmt w:val="bullet"/>
      <w:pStyle w:val="List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311220D"/>
    <w:multiLevelType w:val="hybridMultilevel"/>
    <w:tmpl w:val="E814E93A"/>
    <w:lvl w:ilvl="0" w:tplc="0C090001">
      <w:start w:val="1"/>
      <w:numFmt w:val="bullet"/>
      <w:pStyle w:val="ListBulletLevel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D6C59A9"/>
    <w:multiLevelType w:val="multilevel"/>
    <w:tmpl w:val="5B240ADE"/>
    <w:lvl w:ilvl="0">
      <w:start w:val="1"/>
      <w:numFmt w:val="bullet"/>
      <w:lvlRestart w:val="0"/>
      <w:lvlText w:val=""/>
      <w:lvlJc w:val="left"/>
      <w:pPr>
        <w:tabs>
          <w:tab w:val="num" w:pos="720"/>
        </w:tabs>
        <w:ind w:left="720" w:hanging="357"/>
      </w:pPr>
      <w:rPr>
        <w:rFonts w:ascii="Symbol" w:hAnsi="Symbol" w:hint="default"/>
        <w:sz w:val="24"/>
      </w:rPr>
    </w:lvl>
    <w:lvl w:ilvl="1">
      <w:start w:val="1"/>
      <w:numFmt w:val="bullet"/>
      <w:lvlText w:val=""/>
      <w:lvlJc w:val="left"/>
      <w:pPr>
        <w:tabs>
          <w:tab w:val="num" w:pos="1083"/>
        </w:tabs>
        <w:ind w:left="1083" w:hanging="363"/>
      </w:pPr>
      <w:rPr>
        <w:rFonts w:ascii="Symbol" w:hAnsi="Symbol" w:cs="Times New Roman" w:hint="default"/>
        <w:sz w:val="21"/>
      </w:rPr>
    </w:lvl>
    <w:lvl w:ilvl="2">
      <w:start w:val="1"/>
      <w:numFmt w:val="bullet"/>
      <w:lvlText w:val=""/>
      <w:lvlJc w:val="left"/>
      <w:pPr>
        <w:tabs>
          <w:tab w:val="num" w:pos="1440"/>
        </w:tabs>
        <w:ind w:left="1440" w:hanging="357"/>
      </w:pPr>
      <w:rPr>
        <w:rFonts w:ascii="Symbol" w:hAnsi="Symbol" w:cs="Times New Roman" w:hint="default"/>
        <w:sz w:val="21"/>
      </w:rPr>
    </w:lvl>
    <w:lvl w:ilvl="3">
      <w:start w:val="1"/>
      <w:numFmt w:val="bullet"/>
      <w:lvlText w:val=""/>
      <w:lvlJc w:val="left"/>
      <w:pPr>
        <w:tabs>
          <w:tab w:val="num" w:pos="1803"/>
        </w:tabs>
        <w:ind w:left="1803" w:hanging="363"/>
      </w:pPr>
      <w:rPr>
        <w:rFonts w:ascii="Symbol" w:hAnsi="Symbol" w:hint="default"/>
      </w:rPr>
    </w:lvl>
    <w:lvl w:ilvl="4">
      <w:start w:val="1"/>
      <w:numFmt w:val="bullet"/>
      <w:lvlText w:val=""/>
      <w:lvlJc w:val="left"/>
      <w:pPr>
        <w:tabs>
          <w:tab w:val="num" w:pos="2160"/>
        </w:tabs>
        <w:ind w:left="2160" w:hanging="357"/>
      </w:pPr>
      <w:rPr>
        <w:rFonts w:ascii="Symbol" w:hAnsi="Symbol" w:hint="default"/>
      </w:rPr>
    </w:lvl>
    <w:lvl w:ilvl="5">
      <w:start w:val="1"/>
      <w:numFmt w:val="bullet"/>
      <w:lvlText w:val=""/>
      <w:lvlJc w:val="left"/>
      <w:pPr>
        <w:tabs>
          <w:tab w:val="num" w:pos="2523"/>
        </w:tabs>
        <w:ind w:left="2523" w:hanging="363"/>
      </w:pPr>
      <w:rPr>
        <w:rFonts w:ascii="Symbol" w:hAnsi="Symbol" w:hint="default"/>
      </w:rPr>
    </w:lvl>
    <w:lvl w:ilvl="6">
      <w:start w:val="1"/>
      <w:numFmt w:val="bullet"/>
      <w:lvlText w:val=""/>
      <w:lvlJc w:val="left"/>
      <w:pPr>
        <w:tabs>
          <w:tab w:val="num" w:pos="2880"/>
        </w:tabs>
        <w:ind w:left="2880" w:hanging="357"/>
      </w:pPr>
      <w:rPr>
        <w:rFonts w:ascii="Symbol" w:hAnsi="Symbol" w:hint="default"/>
      </w:rPr>
    </w:lvl>
    <w:lvl w:ilvl="7">
      <w:start w:val="1"/>
      <w:numFmt w:val="bullet"/>
      <w:lvlText w:val=""/>
      <w:lvlJc w:val="left"/>
      <w:pPr>
        <w:tabs>
          <w:tab w:val="num" w:pos="3243"/>
        </w:tabs>
        <w:ind w:left="3243" w:hanging="363"/>
      </w:pPr>
      <w:rPr>
        <w:rFonts w:ascii="Symbol" w:hAnsi="Symbol" w:hint="default"/>
      </w:rPr>
    </w:lvl>
    <w:lvl w:ilvl="8">
      <w:start w:val="1"/>
      <w:numFmt w:val="bullet"/>
      <w:lvlText w:val=""/>
      <w:lvlJc w:val="left"/>
      <w:pPr>
        <w:tabs>
          <w:tab w:val="num" w:pos="3600"/>
        </w:tabs>
        <w:ind w:left="3600" w:hanging="357"/>
      </w:pPr>
      <w:rPr>
        <w:rFonts w:ascii="Symbol" w:hAnsi="Symbol" w:hint="default"/>
      </w:rPr>
    </w:lvl>
  </w:abstractNum>
  <w:abstractNum w:abstractNumId="27">
    <w:nsid w:val="7FB401D6"/>
    <w:multiLevelType w:val="hybridMultilevel"/>
    <w:tmpl w:val="270C463E"/>
    <w:lvl w:ilvl="0" w:tplc="FFFFFFFF">
      <w:start w:val="1"/>
      <w:numFmt w:val="bullet"/>
      <w:pStyle w:val="ListAlphabeticalLevel2"/>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0"/>
  </w:num>
  <w:num w:numId="4">
    <w:abstractNumId w:val="14"/>
  </w:num>
  <w:num w:numId="5">
    <w:abstractNumId w:val="27"/>
  </w:num>
  <w:num w:numId="6">
    <w:abstractNumId w:val="24"/>
  </w:num>
  <w:num w:numId="7">
    <w:abstractNumId w:val="20"/>
  </w:num>
  <w:num w:numId="8">
    <w:abstractNumId w:val="25"/>
  </w:num>
  <w:num w:numId="9">
    <w:abstractNumId w:val="9"/>
  </w:num>
  <w:num w:numId="10">
    <w:abstractNumId w:val="18"/>
  </w:num>
  <w:num w:numId="11">
    <w:abstractNumId w:val="4"/>
  </w:num>
  <w:num w:numId="12">
    <w:abstractNumId w:val="16"/>
  </w:num>
  <w:num w:numId="13">
    <w:abstractNumId w:val="10"/>
  </w:num>
  <w:num w:numId="14">
    <w:abstractNumId w:val="7"/>
  </w:num>
  <w:num w:numId="15">
    <w:abstractNumId w:val="3"/>
  </w:num>
  <w:num w:numId="16">
    <w:abstractNumId w:val="8"/>
  </w:num>
  <w:num w:numId="17">
    <w:abstractNumId w:val="26"/>
  </w:num>
  <w:num w:numId="18">
    <w:abstractNumId w:val="11"/>
  </w:num>
  <w:num w:numId="19">
    <w:abstractNumId w:val="23"/>
  </w:num>
  <w:num w:numId="20">
    <w:abstractNumId w:val="12"/>
  </w:num>
  <w:num w:numId="21">
    <w:abstractNumId w:val="15"/>
  </w:num>
  <w:num w:numId="22">
    <w:abstractNumId w:val="2"/>
  </w:num>
  <w:num w:numId="23">
    <w:abstractNumId w:val="21"/>
  </w:num>
  <w:num w:numId="24">
    <w:abstractNumId w:val="2"/>
  </w:num>
  <w:num w:numId="25">
    <w:abstractNumId w:val="2"/>
  </w:num>
  <w:num w:numId="26">
    <w:abstractNumId w:val="6"/>
  </w:num>
  <w:num w:numId="27">
    <w:abstractNumId w:val="2"/>
  </w:num>
  <w:num w:numId="28">
    <w:abstractNumId w:val="2"/>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
  </w:num>
  <w:num w:numId="32">
    <w:abstractNumId w:val="19"/>
  </w:num>
  <w:num w:numId="33">
    <w:abstractNumId w:val="22"/>
  </w:num>
  <w:num w:numId="34">
    <w:abstractNumId w:val="8"/>
  </w:num>
  <w:num w:numId="35">
    <w:abstractNumId w:val="17"/>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E5"/>
    <w:rsid w:val="00000FA1"/>
    <w:rsid w:val="00004AE3"/>
    <w:rsid w:val="000236B9"/>
    <w:rsid w:val="00024098"/>
    <w:rsid w:val="00035B60"/>
    <w:rsid w:val="000423D7"/>
    <w:rsid w:val="000478EA"/>
    <w:rsid w:val="00050D02"/>
    <w:rsid w:val="00086AC7"/>
    <w:rsid w:val="000911AA"/>
    <w:rsid w:val="00091B2B"/>
    <w:rsid w:val="0009265C"/>
    <w:rsid w:val="000963A8"/>
    <w:rsid w:val="00097241"/>
    <w:rsid w:val="000C5DA7"/>
    <w:rsid w:val="000C7B2D"/>
    <w:rsid w:val="000E1A58"/>
    <w:rsid w:val="00117DC4"/>
    <w:rsid w:val="0012230A"/>
    <w:rsid w:val="0012593C"/>
    <w:rsid w:val="00125BD1"/>
    <w:rsid w:val="00126F68"/>
    <w:rsid w:val="00137F2C"/>
    <w:rsid w:val="001467EE"/>
    <w:rsid w:val="00162CBD"/>
    <w:rsid w:val="00172805"/>
    <w:rsid w:val="001733CE"/>
    <w:rsid w:val="00176726"/>
    <w:rsid w:val="00194D6E"/>
    <w:rsid w:val="001A0247"/>
    <w:rsid w:val="001A3992"/>
    <w:rsid w:val="001A613B"/>
    <w:rsid w:val="001C54CF"/>
    <w:rsid w:val="001E4382"/>
    <w:rsid w:val="001F690A"/>
    <w:rsid w:val="00201B71"/>
    <w:rsid w:val="002030E2"/>
    <w:rsid w:val="002122BB"/>
    <w:rsid w:val="002245D3"/>
    <w:rsid w:val="0024632F"/>
    <w:rsid w:val="00262C9C"/>
    <w:rsid w:val="00280654"/>
    <w:rsid w:val="00286E79"/>
    <w:rsid w:val="00292D82"/>
    <w:rsid w:val="00294243"/>
    <w:rsid w:val="002E277D"/>
    <w:rsid w:val="0030087B"/>
    <w:rsid w:val="00301E6D"/>
    <w:rsid w:val="00301F0B"/>
    <w:rsid w:val="0030596F"/>
    <w:rsid w:val="00307108"/>
    <w:rsid w:val="00335B55"/>
    <w:rsid w:val="00347D8E"/>
    <w:rsid w:val="00361CAC"/>
    <w:rsid w:val="003848CD"/>
    <w:rsid w:val="00384D39"/>
    <w:rsid w:val="00397CCC"/>
    <w:rsid w:val="003B7E40"/>
    <w:rsid w:val="003C3FB2"/>
    <w:rsid w:val="003D3DE8"/>
    <w:rsid w:val="003D7723"/>
    <w:rsid w:val="003E3F40"/>
    <w:rsid w:val="003E7952"/>
    <w:rsid w:val="003F0D9E"/>
    <w:rsid w:val="004032BD"/>
    <w:rsid w:val="00407FF3"/>
    <w:rsid w:val="00417FE3"/>
    <w:rsid w:val="004258A9"/>
    <w:rsid w:val="00425F6F"/>
    <w:rsid w:val="0042748B"/>
    <w:rsid w:val="00431ACD"/>
    <w:rsid w:val="004331E7"/>
    <w:rsid w:val="00443853"/>
    <w:rsid w:val="004538A0"/>
    <w:rsid w:val="00466BF1"/>
    <w:rsid w:val="00470A20"/>
    <w:rsid w:val="00477BD3"/>
    <w:rsid w:val="00492CC0"/>
    <w:rsid w:val="004A05C7"/>
    <w:rsid w:val="004A2142"/>
    <w:rsid w:val="004D0FD8"/>
    <w:rsid w:val="004D6A25"/>
    <w:rsid w:val="004F0E4A"/>
    <w:rsid w:val="004F27E6"/>
    <w:rsid w:val="004F4EBF"/>
    <w:rsid w:val="005125A3"/>
    <w:rsid w:val="00512BA0"/>
    <w:rsid w:val="00514ED3"/>
    <w:rsid w:val="00522E0E"/>
    <w:rsid w:val="00524988"/>
    <w:rsid w:val="00531299"/>
    <w:rsid w:val="0053486E"/>
    <w:rsid w:val="00541F5B"/>
    <w:rsid w:val="005522EC"/>
    <w:rsid w:val="005528DB"/>
    <w:rsid w:val="00560D82"/>
    <w:rsid w:val="00572638"/>
    <w:rsid w:val="00575C0A"/>
    <w:rsid w:val="00582403"/>
    <w:rsid w:val="005966FA"/>
    <w:rsid w:val="00597B41"/>
    <w:rsid w:val="005A37E7"/>
    <w:rsid w:val="005B5414"/>
    <w:rsid w:val="005C5456"/>
    <w:rsid w:val="005C550E"/>
    <w:rsid w:val="005F2741"/>
    <w:rsid w:val="005F71CF"/>
    <w:rsid w:val="006128BA"/>
    <w:rsid w:val="0061485A"/>
    <w:rsid w:val="0062272E"/>
    <w:rsid w:val="006300D9"/>
    <w:rsid w:val="006465E8"/>
    <w:rsid w:val="00647D0A"/>
    <w:rsid w:val="00656D69"/>
    <w:rsid w:val="006655F9"/>
    <w:rsid w:val="00674360"/>
    <w:rsid w:val="00687172"/>
    <w:rsid w:val="0069231B"/>
    <w:rsid w:val="006B14BB"/>
    <w:rsid w:val="006B335D"/>
    <w:rsid w:val="006C7C81"/>
    <w:rsid w:val="006D0FCD"/>
    <w:rsid w:val="006D4218"/>
    <w:rsid w:val="006E23CE"/>
    <w:rsid w:val="00703FA3"/>
    <w:rsid w:val="00706561"/>
    <w:rsid w:val="00717E34"/>
    <w:rsid w:val="0072593C"/>
    <w:rsid w:val="00734065"/>
    <w:rsid w:val="007421C8"/>
    <w:rsid w:val="00744556"/>
    <w:rsid w:val="00797087"/>
    <w:rsid w:val="007B6C00"/>
    <w:rsid w:val="007C0EA2"/>
    <w:rsid w:val="007C4C57"/>
    <w:rsid w:val="007D03C7"/>
    <w:rsid w:val="007D3BE4"/>
    <w:rsid w:val="007E0FFC"/>
    <w:rsid w:val="007E1BFE"/>
    <w:rsid w:val="007F12CD"/>
    <w:rsid w:val="007F5866"/>
    <w:rsid w:val="00815FD1"/>
    <w:rsid w:val="0081701B"/>
    <w:rsid w:val="0082432C"/>
    <w:rsid w:val="0083040A"/>
    <w:rsid w:val="00852066"/>
    <w:rsid w:val="00882EEE"/>
    <w:rsid w:val="0088392B"/>
    <w:rsid w:val="00883A36"/>
    <w:rsid w:val="00885AE9"/>
    <w:rsid w:val="008A3704"/>
    <w:rsid w:val="008A7BFD"/>
    <w:rsid w:val="008B1CE2"/>
    <w:rsid w:val="00925CCA"/>
    <w:rsid w:val="00936379"/>
    <w:rsid w:val="0094099A"/>
    <w:rsid w:val="00944434"/>
    <w:rsid w:val="009466D4"/>
    <w:rsid w:val="00960CD5"/>
    <w:rsid w:val="00974A9B"/>
    <w:rsid w:val="0098468E"/>
    <w:rsid w:val="0099290D"/>
    <w:rsid w:val="009E2C0B"/>
    <w:rsid w:val="009E36AF"/>
    <w:rsid w:val="009E4A3A"/>
    <w:rsid w:val="009F2E1F"/>
    <w:rsid w:val="009F70C5"/>
    <w:rsid w:val="00A14EB8"/>
    <w:rsid w:val="00A242F7"/>
    <w:rsid w:val="00A2729D"/>
    <w:rsid w:val="00A43074"/>
    <w:rsid w:val="00A53147"/>
    <w:rsid w:val="00A62F6D"/>
    <w:rsid w:val="00A63548"/>
    <w:rsid w:val="00A642AD"/>
    <w:rsid w:val="00A65DF5"/>
    <w:rsid w:val="00A7598B"/>
    <w:rsid w:val="00A8114B"/>
    <w:rsid w:val="00A848AC"/>
    <w:rsid w:val="00AB1978"/>
    <w:rsid w:val="00AB440E"/>
    <w:rsid w:val="00AB4B92"/>
    <w:rsid w:val="00AD220E"/>
    <w:rsid w:val="00AE5799"/>
    <w:rsid w:val="00AE7FA7"/>
    <w:rsid w:val="00B02FC6"/>
    <w:rsid w:val="00B03BD3"/>
    <w:rsid w:val="00B05491"/>
    <w:rsid w:val="00B149EF"/>
    <w:rsid w:val="00B14C17"/>
    <w:rsid w:val="00B17C4C"/>
    <w:rsid w:val="00B631D7"/>
    <w:rsid w:val="00B647C8"/>
    <w:rsid w:val="00B67788"/>
    <w:rsid w:val="00BA3C35"/>
    <w:rsid w:val="00BC364A"/>
    <w:rsid w:val="00BF29A6"/>
    <w:rsid w:val="00C06693"/>
    <w:rsid w:val="00C07789"/>
    <w:rsid w:val="00C16A62"/>
    <w:rsid w:val="00C301BA"/>
    <w:rsid w:val="00C32EE3"/>
    <w:rsid w:val="00C3512A"/>
    <w:rsid w:val="00C41A5C"/>
    <w:rsid w:val="00C42DCC"/>
    <w:rsid w:val="00C43229"/>
    <w:rsid w:val="00C50225"/>
    <w:rsid w:val="00C95448"/>
    <w:rsid w:val="00C971E9"/>
    <w:rsid w:val="00CA5894"/>
    <w:rsid w:val="00CA5C63"/>
    <w:rsid w:val="00CA6CCF"/>
    <w:rsid w:val="00CD34F7"/>
    <w:rsid w:val="00CD52E2"/>
    <w:rsid w:val="00CF2D86"/>
    <w:rsid w:val="00D00D69"/>
    <w:rsid w:val="00D12464"/>
    <w:rsid w:val="00D15232"/>
    <w:rsid w:val="00D25025"/>
    <w:rsid w:val="00D34DD9"/>
    <w:rsid w:val="00D44BA0"/>
    <w:rsid w:val="00D537AC"/>
    <w:rsid w:val="00D70EC1"/>
    <w:rsid w:val="00D86276"/>
    <w:rsid w:val="00D93431"/>
    <w:rsid w:val="00DA1E1F"/>
    <w:rsid w:val="00DA2850"/>
    <w:rsid w:val="00DA28AC"/>
    <w:rsid w:val="00DA608F"/>
    <w:rsid w:val="00DD1FB2"/>
    <w:rsid w:val="00DD75F6"/>
    <w:rsid w:val="00DE2723"/>
    <w:rsid w:val="00DF381F"/>
    <w:rsid w:val="00DF5E99"/>
    <w:rsid w:val="00E000BB"/>
    <w:rsid w:val="00E0149B"/>
    <w:rsid w:val="00E04242"/>
    <w:rsid w:val="00E25D6F"/>
    <w:rsid w:val="00E52CA8"/>
    <w:rsid w:val="00E53688"/>
    <w:rsid w:val="00E71F4B"/>
    <w:rsid w:val="00E74A56"/>
    <w:rsid w:val="00E80022"/>
    <w:rsid w:val="00EA21BA"/>
    <w:rsid w:val="00EA7CFD"/>
    <w:rsid w:val="00EB2FA7"/>
    <w:rsid w:val="00EC454C"/>
    <w:rsid w:val="00EC6573"/>
    <w:rsid w:val="00ED0937"/>
    <w:rsid w:val="00ED2051"/>
    <w:rsid w:val="00F4364C"/>
    <w:rsid w:val="00F43A04"/>
    <w:rsid w:val="00F455AA"/>
    <w:rsid w:val="00F62DCB"/>
    <w:rsid w:val="00F73ECC"/>
    <w:rsid w:val="00F77B7A"/>
    <w:rsid w:val="00FA1F15"/>
    <w:rsid w:val="00FA5C14"/>
    <w:rsid w:val="00FA7297"/>
    <w:rsid w:val="00FB23E5"/>
    <w:rsid w:val="00FC22D1"/>
    <w:rsid w:val="00FD3E22"/>
    <w:rsid w:val="00FD4041"/>
    <w:rsid w:val="00FD4643"/>
    <w:rsid w:val="00FD6570"/>
    <w:rsid w:val="00FE43D5"/>
    <w:rsid w:val="00FF1143"/>
    <w:rsid w:val="00FF581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72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Title" w:semiHidden="0" w:uiPriority="0" w:unhideWhenUsed="0" w:qFormat="1"/>
    <w:lsdException w:name="Default Paragraph Fo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CF2D86"/>
    <w:pPr>
      <w:spacing w:before="240" w:after="0" w:line="240" w:lineRule="auto"/>
    </w:pPr>
    <w:rPr>
      <w:rFonts w:ascii="Times New Roman" w:eastAsia="MS Mincho" w:hAnsi="Times New Roman" w:cs="Times New Roman"/>
      <w:color w:val="000000"/>
      <w:sz w:val="24"/>
      <w:szCs w:val="24"/>
      <w:lang w:val="en-US"/>
    </w:rPr>
  </w:style>
  <w:style w:type="paragraph" w:styleId="Heading1">
    <w:name w:val="heading 1"/>
    <w:next w:val="Normal"/>
    <w:link w:val="Heading1Char"/>
    <w:qFormat/>
    <w:rsid w:val="00C16A62"/>
    <w:pPr>
      <w:keepNext/>
      <w:pageBreakBefore/>
      <w:numPr>
        <w:numId w:val="22"/>
      </w:numPr>
      <w:spacing w:before="480" w:after="0" w:line="240" w:lineRule="auto"/>
      <w:outlineLvl w:val="0"/>
    </w:pPr>
    <w:rPr>
      <w:rFonts w:ascii="Arial" w:eastAsia="MS Gothic" w:hAnsi="Arial" w:cs="Arial"/>
      <w:b/>
      <w:bCs/>
      <w:caps/>
      <w:kern w:val="32"/>
      <w:sz w:val="28"/>
      <w:szCs w:val="32"/>
      <w:lang w:val="en-US"/>
    </w:rPr>
  </w:style>
  <w:style w:type="paragraph" w:styleId="Heading2">
    <w:name w:val="heading 2"/>
    <w:basedOn w:val="Heading1"/>
    <w:next w:val="Normal"/>
    <w:link w:val="Heading2Char"/>
    <w:autoRedefine/>
    <w:qFormat/>
    <w:rsid w:val="00C16A62"/>
    <w:pPr>
      <w:pageBreakBefore w:val="0"/>
      <w:numPr>
        <w:ilvl w:val="1"/>
      </w:numPr>
      <w:outlineLvl w:val="1"/>
    </w:pPr>
    <w:rPr>
      <w:bCs w:val="0"/>
      <w:iCs/>
      <w:sz w:val="22"/>
      <w:szCs w:val="28"/>
    </w:rPr>
  </w:style>
  <w:style w:type="paragraph" w:styleId="Heading3">
    <w:name w:val="heading 3"/>
    <w:basedOn w:val="Heading1"/>
    <w:next w:val="Normal"/>
    <w:link w:val="Heading3Char"/>
    <w:qFormat/>
    <w:rsid w:val="00C16A62"/>
    <w:pPr>
      <w:pageBreakBefore w:val="0"/>
      <w:numPr>
        <w:ilvl w:val="2"/>
      </w:numPr>
      <w:spacing w:before="360"/>
      <w:outlineLvl w:val="2"/>
    </w:pPr>
    <w:rPr>
      <w:bCs w:val="0"/>
      <w:caps w:val="0"/>
      <w:sz w:val="22"/>
      <w:szCs w:val="26"/>
    </w:rPr>
  </w:style>
  <w:style w:type="paragraph" w:styleId="Heading4">
    <w:name w:val="heading 4"/>
    <w:basedOn w:val="Heading1"/>
    <w:next w:val="Normal"/>
    <w:link w:val="Heading4Char"/>
    <w:qFormat/>
    <w:rsid w:val="00C16A62"/>
    <w:pPr>
      <w:pageBreakBefore w:val="0"/>
      <w:numPr>
        <w:ilvl w:val="3"/>
      </w:numPr>
      <w:spacing w:before="360"/>
      <w:outlineLvl w:val="3"/>
    </w:pPr>
    <w:rPr>
      <w:bCs w:val="0"/>
      <w:i/>
      <w:caps w:val="0"/>
      <w:sz w:val="22"/>
      <w:szCs w:val="28"/>
    </w:rPr>
  </w:style>
  <w:style w:type="paragraph" w:styleId="Heading5">
    <w:name w:val="heading 5"/>
    <w:basedOn w:val="Heading1"/>
    <w:next w:val="Normal"/>
    <w:link w:val="Heading5Char"/>
    <w:qFormat/>
    <w:rsid w:val="00C16A62"/>
    <w:pPr>
      <w:pageBreakBefore w:val="0"/>
      <w:numPr>
        <w:ilvl w:val="4"/>
      </w:numPr>
      <w:spacing w:before="360"/>
      <w:outlineLvl w:val="4"/>
    </w:pPr>
    <w:rPr>
      <w:b w:val="0"/>
      <w:bCs w:val="0"/>
      <w:i/>
      <w:iCs/>
      <w:caps w:val="0"/>
      <w:sz w:val="22"/>
      <w:szCs w:val="26"/>
    </w:rPr>
  </w:style>
  <w:style w:type="paragraph" w:styleId="Heading6">
    <w:name w:val="heading 6"/>
    <w:basedOn w:val="Heading1"/>
    <w:next w:val="Normal"/>
    <w:link w:val="Heading6Char"/>
    <w:qFormat/>
    <w:rsid w:val="00C16A62"/>
    <w:pPr>
      <w:pageBreakBefore w:val="0"/>
      <w:numPr>
        <w:ilvl w:val="5"/>
      </w:numPr>
      <w:spacing w:before="360"/>
      <w:outlineLvl w:val="5"/>
    </w:pPr>
    <w:rPr>
      <w:b w:val="0"/>
      <w:bCs w:val="0"/>
      <w:caps w:val="0"/>
      <w:sz w:val="22"/>
      <w:szCs w:val="22"/>
    </w:rPr>
  </w:style>
  <w:style w:type="paragraph" w:styleId="Heading7">
    <w:name w:val="heading 7"/>
    <w:basedOn w:val="Heading6"/>
    <w:next w:val="Normal"/>
    <w:link w:val="Heading7Char"/>
    <w:qFormat/>
    <w:rsid w:val="00C16A62"/>
    <w:pPr>
      <w:numPr>
        <w:ilvl w:val="6"/>
      </w:numPr>
      <w:outlineLvl w:val="6"/>
    </w:pPr>
  </w:style>
  <w:style w:type="paragraph" w:styleId="Heading8">
    <w:name w:val="heading 8"/>
    <w:basedOn w:val="Heading6"/>
    <w:next w:val="Normal"/>
    <w:link w:val="Heading8Char"/>
    <w:qFormat/>
    <w:rsid w:val="00C16A62"/>
    <w:pPr>
      <w:numPr>
        <w:ilvl w:val="7"/>
      </w:numPr>
      <w:outlineLvl w:val="7"/>
    </w:pPr>
    <w:rPr>
      <w:iCs/>
    </w:rPr>
  </w:style>
  <w:style w:type="paragraph" w:styleId="Heading9">
    <w:name w:val="heading 9"/>
    <w:basedOn w:val="Heading6"/>
    <w:next w:val="Normal"/>
    <w:link w:val="Heading9Char"/>
    <w:qFormat/>
    <w:rsid w:val="00C16A62"/>
    <w:pPr>
      <w:numPr>
        <w:ilvl w:val="8"/>
      </w:numPr>
      <w:tabs>
        <w:tab w:val="left" w:pos="1797"/>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992"/>
    <w:rPr>
      <w:rFonts w:ascii="Arial" w:eastAsia="MS Gothic" w:hAnsi="Arial" w:cs="Arial"/>
      <w:b/>
      <w:bCs/>
      <w:caps/>
      <w:kern w:val="32"/>
      <w:sz w:val="28"/>
      <w:szCs w:val="32"/>
      <w:lang w:val="en-US"/>
    </w:rPr>
  </w:style>
  <w:style w:type="character" w:customStyle="1" w:styleId="Heading2Char">
    <w:name w:val="Heading 2 Char"/>
    <w:basedOn w:val="DefaultParagraphFont"/>
    <w:link w:val="Heading2"/>
    <w:rsid w:val="00E52CA8"/>
    <w:rPr>
      <w:rFonts w:ascii="Arial" w:eastAsia="MS Gothic" w:hAnsi="Arial" w:cs="Arial"/>
      <w:b/>
      <w:iCs/>
      <w:caps/>
      <w:kern w:val="32"/>
      <w:szCs w:val="28"/>
      <w:lang w:val="en-US"/>
    </w:rPr>
  </w:style>
  <w:style w:type="character" w:customStyle="1" w:styleId="Heading3Char">
    <w:name w:val="Heading 3 Char"/>
    <w:basedOn w:val="DefaultParagraphFont"/>
    <w:link w:val="Heading3"/>
    <w:rsid w:val="001A3992"/>
    <w:rPr>
      <w:rFonts w:ascii="Arial" w:eastAsia="MS Gothic" w:hAnsi="Arial" w:cs="Arial"/>
      <w:b/>
      <w:kern w:val="32"/>
      <w:szCs w:val="26"/>
      <w:lang w:val="en-US"/>
    </w:rPr>
  </w:style>
  <w:style w:type="character" w:customStyle="1" w:styleId="Heading4Char">
    <w:name w:val="Heading 4 Char"/>
    <w:basedOn w:val="DefaultParagraphFont"/>
    <w:link w:val="Heading4"/>
    <w:rsid w:val="001A3992"/>
    <w:rPr>
      <w:rFonts w:ascii="Arial" w:eastAsia="MS Gothic" w:hAnsi="Arial" w:cs="Arial"/>
      <w:b/>
      <w:i/>
      <w:kern w:val="32"/>
      <w:szCs w:val="28"/>
      <w:lang w:val="en-US"/>
    </w:rPr>
  </w:style>
  <w:style w:type="character" w:customStyle="1" w:styleId="Heading5Char">
    <w:name w:val="Heading 5 Char"/>
    <w:basedOn w:val="DefaultParagraphFont"/>
    <w:link w:val="Heading5"/>
    <w:rsid w:val="001A3992"/>
    <w:rPr>
      <w:rFonts w:ascii="Arial" w:eastAsia="MS Gothic" w:hAnsi="Arial" w:cs="Arial"/>
      <w:i/>
      <w:iCs/>
      <w:kern w:val="32"/>
      <w:szCs w:val="26"/>
      <w:lang w:val="en-US"/>
    </w:rPr>
  </w:style>
  <w:style w:type="character" w:customStyle="1" w:styleId="Heading6Char">
    <w:name w:val="Heading 6 Char"/>
    <w:basedOn w:val="DefaultParagraphFont"/>
    <w:link w:val="Heading6"/>
    <w:rsid w:val="001A3992"/>
    <w:rPr>
      <w:rFonts w:ascii="Arial" w:eastAsia="MS Gothic" w:hAnsi="Arial" w:cs="Arial"/>
      <w:kern w:val="32"/>
      <w:lang w:val="en-US"/>
    </w:rPr>
  </w:style>
  <w:style w:type="character" w:customStyle="1" w:styleId="Heading7Char">
    <w:name w:val="Heading 7 Char"/>
    <w:basedOn w:val="DefaultParagraphFont"/>
    <w:link w:val="Heading7"/>
    <w:rsid w:val="001A3992"/>
    <w:rPr>
      <w:rFonts w:ascii="Arial" w:eastAsia="MS Gothic" w:hAnsi="Arial" w:cs="Arial"/>
      <w:kern w:val="32"/>
      <w:lang w:val="en-US"/>
    </w:rPr>
  </w:style>
  <w:style w:type="character" w:customStyle="1" w:styleId="Heading8Char">
    <w:name w:val="Heading 8 Char"/>
    <w:basedOn w:val="DefaultParagraphFont"/>
    <w:link w:val="Heading8"/>
    <w:rsid w:val="001A3992"/>
    <w:rPr>
      <w:rFonts w:ascii="Arial" w:eastAsia="MS Gothic" w:hAnsi="Arial" w:cs="Arial"/>
      <w:iCs/>
      <w:kern w:val="32"/>
      <w:lang w:val="en-US"/>
    </w:rPr>
  </w:style>
  <w:style w:type="character" w:customStyle="1" w:styleId="Heading9Char">
    <w:name w:val="Heading 9 Char"/>
    <w:basedOn w:val="DefaultParagraphFont"/>
    <w:link w:val="Heading9"/>
    <w:rsid w:val="001A3992"/>
    <w:rPr>
      <w:rFonts w:ascii="Arial" w:eastAsia="MS Gothic" w:hAnsi="Arial" w:cs="Arial"/>
      <w:kern w:val="32"/>
      <w:lang w:val="en-US"/>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nhideWhenUsed/>
    <w:rsid w:val="001A3992"/>
    <w:rPr>
      <w:sz w:val="16"/>
      <w:szCs w:val="16"/>
    </w:rPr>
  </w:style>
  <w:style w:type="paragraph" w:styleId="CommentText">
    <w:name w:val="annotation text"/>
    <w:basedOn w:val="Normal"/>
    <w:link w:val="CommentTextChar"/>
    <w:uiPriority w:val="99"/>
    <w:unhideWhenUsed/>
    <w:rsid w:val="001A3992"/>
    <w:rPr>
      <w:rFonts w:ascii="Cambria" w:hAnsi="Cambria"/>
      <w:sz w:val="20"/>
      <w:szCs w:val="20"/>
    </w:rPr>
  </w:style>
  <w:style w:type="character" w:customStyle="1" w:styleId="CommentTextChar">
    <w:name w:val="Comment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rsid w:val="00CF2D86"/>
    <w:pPr>
      <w:spacing w:before="20"/>
      <w:ind w:left="113" w:hanging="113"/>
    </w:pPr>
    <w:rPr>
      <w:sz w:val="22"/>
      <w:szCs w:val="20"/>
    </w:rPr>
  </w:style>
  <w:style w:type="character" w:customStyle="1" w:styleId="FootnoteTextChar">
    <w:name w:val="Footnote Text Char"/>
    <w:basedOn w:val="DefaultParagraphFont"/>
    <w:link w:val="FootnoteText"/>
    <w:rsid w:val="001A3992"/>
    <w:rPr>
      <w:rFonts w:ascii="Times New Roman" w:eastAsia="MS Mincho" w:hAnsi="Times New Roman" w:cs="Times New Roman"/>
      <w:color w:val="000000"/>
      <w:szCs w:val="20"/>
      <w:lang w:val="en-US"/>
    </w:rPr>
  </w:style>
  <w:style w:type="character" w:styleId="FootnoteReference">
    <w:name w:val="footnote reference"/>
    <w:rsid w:val="00CF2D86"/>
    <w:rPr>
      <w:rFonts w:ascii="Times New Roman" w:eastAsia="MS Mincho" w:hAnsi="Times New Roman"/>
      <w:color w:val="0000FF"/>
      <w:sz w:val="18"/>
      <w:vertAlign w:val="superscript"/>
    </w:rPr>
  </w:style>
  <w:style w:type="paragraph" w:styleId="ListBullet">
    <w:name w:val="List Bullet"/>
    <w:basedOn w:val="Normal"/>
    <w:rsid w:val="00CF2D86"/>
    <w:pPr>
      <w:numPr>
        <w:numId w:val="6"/>
      </w:numPr>
    </w:pPr>
  </w:style>
  <w:style w:type="character" w:styleId="Hyperlink">
    <w:name w:val="Hyperlink"/>
    <w:uiPriority w:val="99"/>
    <w:rsid w:val="00CF2D86"/>
    <w:rPr>
      <w:color w:val="0000FF"/>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aliases w:val="wcp_Footer,Footer_Pied Page"/>
    <w:link w:val="FooterChar"/>
    <w:rsid w:val="00CF2D86"/>
    <w:pPr>
      <w:tabs>
        <w:tab w:val="right" w:pos="9469"/>
      </w:tabs>
      <w:spacing w:after="0" w:line="240" w:lineRule="auto"/>
    </w:pPr>
    <w:rPr>
      <w:rFonts w:ascii="Arial" w:eastAsia="MS Gothic" w:hAnsi="Arial" w:cs="Times New Roman"/>
      <w:sz w:val="18"/>
      <w:szCs w:val="20"/>
      <w:lang w:val="en-US"/>
    </w:rPr>
  </w:style>
  <w:style w:type="character" w:customStyle="1" w:styleId="FooterChar">
    <w:name w:val="Footer Char"/>
    <w:aliases w:val="wcp_Footer Char,Footer_Pied Page Char"/>
    <w:basedOn w:val="DefaultParagraphFont"/>
    <w:link w:val="Footer"/>
    <w:rsid w:val="001A3992"/>
    <w:rPr>
      <w:rFonts w:ascii="Arial" w:eastAsia="MS Gothic" w:hAnsi="Arial" w:cs="Times New Roman"/>
      <w:sz w:val="18"/>
      <w:szCs w:val="20"/>
      <w:lang w:val="en-US"/>
    </w:rPr>
  </w:style>
  <w:style w:type="paragraph" w:styleId="BalloonText">
    <w:name w:val="Balloon Text"/>
    <w:basedOn w:val="Normal"/>
    <w:link w:val="BalloonTextChar"/>
    <w:uiPriority w:val="99"/>
    <w:semiHidden/>
    <w:unhideWhenUsed/>
    <w:rsid w:val="001A3992"/>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link w:val="HeaderChar"/>
    <w:uiPriority w:val="99"/>
    <w:rsid w:val="00CF2D86"/>
    <w:pPr>
      <w:tabs>
        <w:tab w:val="left" w:pos="4536"/>
        <w:tab w:val="right" w:pos="9480"/>
      </w:tabs>
      <w:spacing w:after="0" w:line="240" w:lineRule="auto"/>
    </w:pPr>
    <w:rPr>
      <w:rFonts w:ascii="Arial" w:eastAsia="MS Gothic" w:hAnsi="Arial" w:cs="Times New Roman"/>
      <w:sz w:val="18"/>
      <w:szCs w:val="20"/>
      <w:lang w:val="en-US"/>
    </w:rPr>
  </w:style>
  <w:style w:type="character" w:customStyle="1" w:styleId="HeaderChar">
    <w:name w:val="Header Char"/>
    <w:basedOn w:val="DefaultParagraphFont"/>
    <w:link w:val="Header"/>
    <w:uiPriority w:val="99"/>
    <w:rsid w:val="00CA6CCF"/>
    <w:rPr>
      <w:rFonts w:ascii="Arial" w:eastAsia="MS Gothic" w:hAnsi="Arial" w:cs="Times New Roman"/>
      <w:sz w:val="18"/>
      <w:szCs w:val="20"/>
      <w:lang w:val="en-US"/>
    </w:rPr>
  </w:style>
  <w:style w:type="paragraph" w:customStyle="1" w:styleId="wcpTableContent">
    <w:name w:val="wcp_TableContent"/>
    <w:basedOn w:val="Normal"/>
    <w:rsid w:val="00C301BA"/>
    <w:pPr>
      <w:spacing w:before="40" w:after="40"/>
    </w:pPr>
    <w:rPr>
      <w:rFonts w:eastAsia="Times New Roman"/>
      <w:szCs w:val="20"/>
    </w:rPr>
  </w:style>
  <w:style w:type="paragraph" w:styleId="BodyTextIndent2">
    <w:name w:val="Body Text Indent 2"/>
    <w:basedOn w:val="Normal"/>
    <w:link w:val="BodyTextIndent2Char"/>
    <w:rsid w:val="000E1A58"/>
    <w:pPr>
      <w:ind w:left="567"/>
      <w:jc w:val="both"/>
    </w:pPr>
    <w:rPr>
      <w:rFonts w:ascii="Arial" w:eastAsia="Times New Roman" w:hAnsi="Arial"/>
      <w:szCs w:val="20"/>
      <w:lang w:val="en-GB"/>
    </w:rPr>
  </w:style>
  <w:style w:type="character" w:customStyle="1" w:styleId="BodyTextIndent2Char">
    <w:name w:val="Body Text Indent 2 Char"/>
    <w:basedOn w:val="DefaultParagraphFont"/>
    <w:link w:val="BodyTextIndent2"/>
    <w:rsid w:val="000E1A58"/>
    <w:rPr>
      <w:rFonts w:ascii="Arial" w:eastAsia="Times New Roman" w:hAnsi="Arial" w:cs="Times New Roman"/>
      <w:sz w:val="24"/>
      <w:szCs w:val="20"/>
      <w:lang w:val="en-GB"/>
    </w:rPr>
  </w:style>
  <w:style w:type="paragraph" w:styleId="BodyText">
    <w:name w:val="Body Text"/>
    <w:basedOn w:val="Normal"/>
    <w:link w:val="BodyTextChar"/>
    <w:uiPriority w:val="99"/>
    <w:semiHidden/>
    <w:unhideWhenUsed/>
    <w:rsid w:val="000E1A58"/>
    <w:pPr>
      <w:spacing w:after="120"/>
    </w:pPr>
  </w:style>
  <w:style w:type="character" w:customStyle="1" w:styleId="BodyTextChar">
    <w:name w:val="Body Text Char"/>
    <w:basedOn w:val="DefaultParagraphFont"/>
    <w:link w:val="BodyText"/>
    <w:uiPriority w:val="99"/>
    <w:semiHidden/>
    <w:rsid w:val="000E1A58"/>
  </w:style>
  <w:style w:type="paragraph" w:styleId="BodyText3">
    <w:name w:val="Body Text 3"/>
    <w:basedOn w:val="Normal"/>
    <w:link w:val="BodyText3Char"/>
    <w:uiPriority w:val="99"/>
    <w:semiHidden/>
    <w:unhideWhenUsed/>
    <w:rsid w:val="00514ED3"/>
    <w:pPr>
      <w:spacing w:after="120"/>
    </w:pPr>
    <w:rPr>
      <w:sz w:val="16"/>
      <w:szCs w:val="16"/>
    </w:rPr>
  </w:style>
  <w:style w:type="character" w:customStyle="1" w:styleId="BodyText3Char">
    <w:name w:val="Body Text 3 Char"/>
    <w:basedOn w:val="DefaultParagraphFont"/>
    <w:link w:val="BodyText3"/>
    <w:uiPriority w:val="99"/>
    <w:semiHidden/>
    <w:rsid w:val="00514ED3"/>
    <w:rPr>
      <w:sz w:val="16"/>
      <w:szCs w:val="16"/>
    </w:rPr>
  </w:style>
  <w:style w:type="paragraph" w:customStyle="1" w:styleId="Heading1NoTOC">
    <w:name w:val="Heading 1 NoTOC"/>
    <w:basedOn w:val="Heading1"/>
    <w:rsid w:val="00CF2D86"/>
    <w:pPr>
      <w:numPr>
        <w:numId w:val="0"/>
      </w:numPr>
      <w:outlineLvl w:val="9"/>
    </w:pPr>
  </w:style>
  <w:style w:type="paragraph" w:styleId="Title">
    <w:name w:val="Title"/>
    <w:next w:val="Normal"/>
    <w:link w:val="TitleChar"/>
    <w:qFormat/>
    <w:rsid w:val="00CF2D86"/>
    <w:pPr>
      <w:keepNext/>
      <w:spacing w:before="600" w:after="480" w:line="240" w:lineRule="auto"/>
      <w:jc w:val="center"/>
      <w:outlineLvl w:val="0"/>
    </w:pPr>
    <w:rPr>
      <w:rFonts w:ascii="Arial" w:eastAsia="MS Gothic" w:hAnsi="Arial" w:cs="Arial"/>
      <w:b/>
      <w:bCs/>
      <w:caps/>
      <w:szCs w:val="32"/>
      <w:lang w:val="en-US"/>
    </w:rPr>
  </w:style>
  <w:style w:type="character" w:customStyle="1" w:styleId="TitleChar">
    <w:name w:val="Title Char"/>
    <w:basedOn w:val="DefaultParagraphFont"/>
    <w:link w:val="Title"/>
    <w:rsid w:val="00C971E9"/>
    <w:rPr>
      <w:rFonts w:ascii="Arial" w:eastAsia="MS Gothic" w:hAnsi="Arial" w:cs="Arial"/>
      <w:b/>
      <w:bCs/>
      <w:caps/>
      <w:szCs w:val="32"/>
      <w:lang w:val="en-US"/>
    </w:rPr>
  </w:style>
  <w:style w:type="paragraph" w:customStyle="1" w:styleId="TitleNoToc">
    <w:name w:val="Title NoToc"/>
    <w:basedOn w:val="Title"/>
    <w:next w:val="Normal"/>
    <w:rsid w:val="00CF2D86"/>
    <w:pPr>
      <w:outlineLvl w:val="9"/>
    </w:pPr>
  </w:style>
  <w:style w:type="character" w:customStyle="1" w:styleId="InstructionsTextChar">
    <w:name w:val="Instructions Text Char"/>
    <w:link w:val="InstructionsText"/>
    <w:rsid w:val="00CF2D86"/>
    <w:rPr>
      <w:rFonts w:eastAsia="MS Mincho"/>
      <w:color w:val="000000"/>
      <w:sz w:val="24"/>
      <w:szCs w:val="24"/>
      <w:shd w:val="clear" w:color="auto" w:fill="FFCC66"/>
      <w:lang w:val="en-US"/>
    </w:rPr>
  </w:style>
  <w:style w:type="paragraph" w:customStyle="1" w:styleId="ListNumbered">
    <w:name w:val="List Numbered"/>
    <w:basedOn w:val="Normal"/>
    <w:rsid w:val="00CF2D86"/>
    <w:pPr>
      <w:numPr>
        <w:numId w:val="4"/>
      </w:numPr>
      <w:spacing w:before="120"/>
    </w:pPr>
  </w:style>
  <w:style w:type="paragraph" w:customStyle="1" w:styleId="ListBulletLevel1">
    <w:name w:val="List Bullet Level 1"/>
    <w:basedOn w:val="Normal"/>
    <w:rsid w:val="00CF2D86"/>
    <w:pPr>
      <w:numPr>
        <w:numId w:val="16"/>
      </w:numPr>
      <w:spacing w:before="120"/>
    </w:pPr>
  </w:style>
  <w:style w:type="paragraph" w:customStyle="1" w:styleId="ListAlphabeticalLevel1">
    <w:name w:val="List Alphabetical Level 1"/>
    <w:basedOn w:val="Normal"/>
    <w:rsid w:val="00CF2D86"/>
    <w:pPr>
      <w:numPr>
        <w:numId w:val="3"/>
      </w:numPr>
      <w:spacing w:before="120"/>
    </w:pPr>
  </w:style>
  <w:style w:type="paragraph" w:styleId="Bibliography">
    <w:name w:val="Bibliography"/>
    <w:basedOn w:val="Normal"/>
    <w:next w:val="Normal"/>
    <w:rsid w:val="00CF2D86"/>
    <w:pPr>
      <w:ind w:left="357" w:hanging="357"/>
    </w:pPr>
  </w:style>
  <w:style w:type="paragraph" w:customStyle="1" w:styleId="ListBulletLevel2">
    <w:name w:val="List Bullet Level 2"/>
    <w:basedOn w:val="Normal"/>
    <w:rsid w:val="00CF2D86"/>
    <w:pPr>
      <w:numPr>
        <w:numId w:val="8"/>
      </w:numPr>
      <w:spacing w:before="120"/>
    </w:pPr>
    <w:rPr>
      <w:szCs w:val="20"/>
    </w:rPr>
  </w:style>
  <w:style w:type="paragraph" w:styleId="Caption">
    <w:name w:val="caption"/>
    <w:aliases w:val="wcp_Caption,Légende_Legend,Legend_Légende"/>
    <w:next w:val="Normal"/>
    <w:link w:val="CaptionChar"/>
    <w:qFormat/>
    <w:rsid w:val="00CF2D86"/>
    <w:pPr>
      <w:keepNext/>
      <w:spacing w:before="360" w:after="120" w:line="240" w:lineRule="auto"/>
      <w:jc w:val="center"/>
    </w:pPr>
    <w:rPr>
      <w:rFonts w:ascii="Arial" w:eastAsia="MS Gothic" w:hAnsi="Arial" w:cs="Arial"/>
      <w:b/>
      <w:bCs/>
      <w:sz w:val="20"/>
      <w:szCs w:val="20"/>
      <w:lang w:val="en-US"/>
    </w:rPr>
  </w:style>
  <w:style w:type="paragraph" w:customStyle="1" w:styleId="InstructionsText">
    <w:name w:val="Instructions Text"/>
    <w:basedOn w:val="Normal"/>
    <w:next w:val="Normal"/>
    <w:link w:val="InstructionsTextChar"/>
    <w:rsid w:val="00CF2D86"/>
    <w:pPr>
      <w:shd w:val="clear" w:color="auto" w:fill="FFCC66"/>
      <w:spacing w:before="40" w:after="40"/>
    </w:pPr>
    <w:rPr>
      <w:rFonts w:asciiTheme="minorHAnsi" w:hAnsiTheme="minorHAnsi" w:cstheme="minorBidi"/>
    </w:rPr>
  </w:style>
  <w:style w:type="paragraph" w:customStyle="1" w:styleId="Heading1NoNumbering">
    <w:name w:val="Heading 1 NoNumbering"/>
    <w:basedOn w:val="Heading1"/>
    <w:next w:val="Normal"/>
    <w:rsid w:val="00CF2D86"/>
    <w:pPr>
      <w:numPr>
        <w:numId w:val="14"/>
      </w:numPr>
    </w:pPr>
  </w:style>
  <w:style w:type="paragraph" w:customStyle="1" w:styleId="TblTextCenter">
    <w:name w:val="Tbl Text Center"/>
    <w:basedOn w:val="TblTextLeft"/>
    <w:rsid w:val="00CF2D86"/>
    <w:pPr>
      <w:jc w:val="center"/>
    </w:pPr>
  </w:style>
  <w:style w:type="paragraph" w:customStyle="1" w:styleId="TblTextLeft">
    <w:name w:val="Tbl Text Left"/>
    <w:rsid w:val="00CF2D86"/>
    <w:pPr>
      <w:spacing w:before="60" w:after="60" w:line="240" w:lineRule="auto"/>
    </w:pPr>
    <w:rPr>
      <w:rFonts w:ascii="Arial Narrow" w:eastAsia="MS Gothic" w:hAnsi="Arial Narrow" w:cs="Times New Roman"/>
      <w:sz w:val="20"/>
      <w:szCs w:val="20"/>
      <w:lang w:val="en-US"/>
    </w:rPr>
  </w:style>
  <w:style w:type="paragraph" w:customStyle="1" w:styleId="TblHeadingLeft">
    <w:name w:val="Tbl Heading Left"/>
    <w:rsid w:val="00CF2D86"/>
    <w:pPr>
      <w:spacing w:before="60" w:after="60" w:line="240" w:lineRule="auto"/>
    </w:pPr>
    <w:rPr>
      <w:rFonts w:ascii="Arial" w:eastAsia="MS Gothic" w:hAnsi="Arial" w:cs="Arial"/>
      <w:b/>
      <w:noProof/>
      <w:sz w:val="20"/>
      <w:szCs w:val="20"/>
      <w:lang w:val="de-DE"/>
    </w:rPr>
  </w:style>
  <w:style w:type="paragraph" w:customStyle="1" w:styleId="TblFigFootnote">
    <w:name w:val="Tbl Fig Footnote"/>
    <w:rsid w:val="00CF2D86"/>
    <w:pPr>
      <w:keepLines/>
      <w:adjustRightInd w:val="0"/>
      <w:snapToGrid w:val="0"/>
      <w:spacing w:before="20" w:after="20" w:line="240" w:lineRule="auto"/>
    </w:pPr>
    <w:rPr>
      <w:rFonts w:ascii="Arial Narrow" w:eastAsia="MS Gothic" w:hAnsi="Arial Narrow" w:cs="Times New Roman"/>
      <w:sz w:val="18"/>
      <w:szCs w:val="20"/>
      <w:lang w:val="en-US"/>
    </w:rPr>
  </w:style>
  <w:style w:type="paragraph" w:customStyle="1" w:styleId="TblHeadingCenter">
    <w:name w:val="Tbl Heading Center"/>
    <w:basedOn w:val="TblHeadingLeft"/>
    <w:rsid w:val="00CF2D86"/>
    <w:pPr>
      <w:jc w:val="center"/>
    </w:pPr>
  </w:style>
  <w:style w:type="paragraph" w:customStyle="1" w:styleId="HeaderLandscape">
    <w:name w:val="Header Landscape"/>
    <w:basedOn w:val="Header"/>
    <w:rsid w:val="00CF2D86"/>
    <w:pPr>
      <w:tabs>
        <w:tab w:val="clear" w:pos="4536"/>
        <w:tab w:val="clear" w:pos="9480"/>
        <w:tab w:val="left" w:pos="6804"/>
        <w:tab w:val="right" w:pos="14118"/>
      </w:tabs>
    </w:pPr>
  </w:style>
  <w:style w:type="paragraph" w:customStyle="1" w:styleId="FooterLandscape">
    <w:name w:val="Footer Landscape"/>
    <w:basedOn w:val="Footer"/>
    <w:rsid w:val="00CF2D86"/>
    <w:pPr>
      <w:tabs>
        <w:tab w:val="clear" w:pos="9469"/>
        <w:tab w:val="right" w:pos="14118"/>
      </w:tabs>
    </w:pPr>
  </w:style>
  <w:style w:type="character" w:customStyle="1" w:styleId="TblFigFootnoteReference">
    <w:name w:val="Tbl Fig Footnote Reference"/>
    <w:rsid w:val="00CF2D86"/>
    <w:rPr>
      <w:rFonts w:ascii="Arial Narrow" w:eastAsia="MS Gothic" w:hAnsi="Arial Narrow"/>
      <w:i/>
      <w:dstrike w:val="0"/>
      <w:noProof w:val="0"/>
      <w:position w:val="6"/>
      <w:sz w:val="18"/>
      <w:vertAlign w:val="baseline"/>
      <w:lang w:val="en-US"/>
    </w:rPr>
  </w:style>
  <w:style w:type="paragraph" w:customStyle="1" w:styleId="xCover">
    <w:name w:val="xCover"/>
    <w:rsid w:val="00CF2D86"/>
    <w:pPr>
      <w:spacing w:before="120" w:after="0" w:line="240" w:lineRule="auto"/>
    </w:pPr>
    <w:rPr>
      <w:rFonts w:ascii="Arial" w:eastAsia="MS Gothic" w:hAnsi="Arial" w:cs="Times New Roman"/>
      <w:sz w:val="20"/>
      <w:szCs w:val="20"/>
      <w:lang w:val="en-US"/>
    </w:rPr>
  </w:style>
  <w:style w:type="paragraph" w:customStyle="1" w:styleId="xCoverAddress">
    <w:name w:val="xCoverAddress"/>
    <w:basedOn w:val="xCover"/>
    <w:rsid w:val="00CF2D86"/>
    <w:pPr>
      <w:spacing w:before="0"/>
    </w:pPr>
  </w:style>
  <w:style w:type="paragraph" w:customStyle="1" w:styleId="xCoverDocType">
    <w:name w:val="xCoverDocType"/>
    <w:basedOn w:val="xCover"/>
    <w:rsid w:val="00CF2D86"/>
    <w:pPr>
      <w:spacing w:before="360"/>
      <w:jc w:val="center"/>
    </w:pPr>
    <w:rPr>
      <w:b/>
      <w:caps/>
      <w:sz w:val="28"/>
    </w:rPr>
  </w:style>
  <w:style w:type="paragraph" w:customStyle="1" w:styleId="xCoverDocTitle">
    <w:name w:val="xCoverDocTitle"/>
    <w:basedOn w:val="xCover"/>
    <w:rsid w:val="00CF2D86"/>
    <w:pPr>
      <w:spacing w:before="240"/>
      <w:jc w:val="center"/>
    </w:pPr>
    <w:rPr>
      <w:b/>
      <w:sz w:val="24"/>
    </w:rPr>
  </w:style>
  <w:style w:type="paragraph" w:styleId="EndnoteText">
    <w:name w:val="endnote text"/>
    <w:basedOn w:val="Normal"/>
    <w:link w:val="EndnoteTextChar"/>
    <w:semiHidden/>
    <w:rsid w:val="00CF2D86"/>
    <w:rPr>
      <w:sz w:val="22"/>
      <w:szCs w:val="20"/>
    </w:rPr>
  </w:style>
  <w:style w:type="character" w:customStyle="1" w:styleId="EndnoteTextChar">
    <w:name w:val="Endnote Text Char"/>
    <w:basedOn w:val="DefaultParagraphFont"/>
    <w:link w:val="EndnoteText"/>
    <w:semiHidden/>
    <w:rsid w:val="00C971E9"/>
    <w:rPr>
      <w:rFonts w:ascii="Times New Roman" w:eastAsia="MS Mincho" w:hAnsi="Times New Roman" w:cs="Times New Roman"/>
      <w:color w:val="000000"/>
      <w:szCs w:val="20"/>
      <w:lang w:val="en-US"/>
    </w:rPr>
  </w:style>
  <w:style w:type="character" w:styleId="EndnoteReference">
    <w:name w:val="endnote reference"/>
    <w:semiHidden/>
    <w:rsid w:val="00CF2D86"/>
    <w:rPr>
      <w:vertAlign w:val="superscript"/>
    </w:rPr>
  </w:style>
  <w:style w:type="paragraph" w:styleId="MacroText">
    <w:name w:val="macro"/>
    <w:link w:val="MacroTextChar"/>
    <w:semiHidden/>
    <w:rsid w:val="00CF2D8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US"/>
    </w:rPr>
  </w:style>
  <w:style w:type="character" w:customStyle="1" w:styleId="MacroTextChar">
    <w:name w:val="Macro Text Char"/>
    <w:basedOn w:val="DefaultParagraphFont"/>
    <w:link w:val="MacroText"/>
    <w:semiHidden/>
    <w:rsid w:val="00C971E9"/>
    <w:rPr>
      <w:rFonts w:ascii="Courier New" w:eastAsia="Times New Roman" w:hAnsi="Courier New" w:cs="Times New Roman"/>
      <w:sz w:val="20"/>
      <w:szCs w:val="20"/>
      <w:lang w:val="en-US"/>
    </w:rPr>
  </w:style>
  <w:style w:type="paragraph" w:styleId="TableofFigures">
    <w:name w:val="table of figures"/>
    <w:next w:val="Normal"/>
    <w:semiHidden/>
    <w:rsid w:val="00CF2D86"/>
    <w:pPr>
      <w:tabs>
        <w:tab w:val="right" w:leader="dot" w:pos="9468"/>
      </w:tabs>
      <w:spacing w:before="120" w:after="0" w:line="240" w:lineRule="auto"/>
    </w:pPr>
    <w:rPr>
      <w:rFonts w:ascii="Arial" w:eastAsia="Times New Roman" w:hAnsi="Arial" w:cs="Times New Roman"/>
      <w:sz w:val="20"/>
      <w:szCs w:val="20"/>
      <w:lang w:val="en-US"/>
    </w:rPr>
  </w:style>
  <w:style w:type="paragraph" w:styleId="TableofAuthorities">
    <w:name w:val="table of authorities"/>
    <w:basedOn w:val="Normal"/>
    <w:next w:val="Normal"/>
    <w:semiHidden/>
    <w:rsid w:val="00CF2D86"/>
    <w:pPr>
      <w:ind w:left="240" w:hanging="240"/>
    </w:pPr>
  </w:style>
  <w:style w:type="character" w:customStyle="1" w:styleId="ReplaceText">
    <w:name w:val="Replace Text"/>
    <w:rsid w:val="00CF2D86"/>
    <w:rPr>
      <w:color w:val="FF00FF"/>
    </w:rPr>
  </w:style>
  <w:style w:type="paragraph" w:styleId="TOC1">
    <w:name w:val="toc 1"/>
    <w:next w:val="Normal"/>
    <w:rsid w:val="00CF2D86"/>
    <w:pPr>
      <w:tabs>
        <w:tab w:val="right" w:leader="dot" w:pos="9468"/>
      </w:tabs>
      <w:spacing w:before="240" w:after="0" w:line="240" w:lineRule="auto"/>
      <w:ind w:left="851" w:right="567" w:hanging="851"/>
    </w:pPr>
    <w:rPr>
      <w:rFonts w:ascii="Arial" w:eastAsia="Times New Roman" w:hAnsi="Arial" w:cs="Times New Roman"/>
      <w:b/>
      <w:caps/>
      <w:sz w:val="20"/>
      <w:szCs w:val="20"/>
      <w:lang w:val="en-US"/>
    </w:rPr>
  </w:style>
  <w:style w:type="paragraph" w:customStyle="1" w:styleId="ListAlphabeticalLevel2">
    <w:name w:val="List Alphabetical Level 2"/>
    <w:basedOn w:val="ListNumbered"/>
    <w:rsid w:val="00CF2D86"/>
    <w:pPr>
      <w:numPr>
        <w:numId w:val="5"/>
      </w:numPr>
    </w:pPr>
  </w:style>
  <w:style w:type="paragraph" w:styleId="Index1">
    <w:name w:val="index 1"/>
    <w:basedOn w:val="Normal"/>
    <w:next w:val="Normal"/>
    <w:semiHidden/>
    <w:rsid w:val="00CF2D86"/>
    <w:pPr>
      <w:tabs>
        <w:tab w:val="left" w:pos="1701"/>
        <w:tab w:val="left" w:pos="3402"/>
        <w:tab w:val="left" w:pos="5103"/>
      </w:tabs>
      <w:spacing w:before="0"/>
      <w:ind w:left="1701" w:hanging="1701"/>
    </w:pPr>
  </w:style>
  <w:style w:type="paragraph" w:styleId="TOAHeading">
    <w:name w:val="toa heading"/>
    <w:basedOn w:val="Normal"/>
    <w:next w:val="Normal"/>
    <w:semiHidden/>
    <w:rsid w:val="00CF2D86"/>
    <w:pPr>
      <w:spacing w:before="120"/>
    </w:pPr>
    <w:rPr>
      <w:rFonts w:ascii="Arial" w:hAnsi="Arial" w:cs="Arial"/>
      <w:b/>
      <w:bCs/>
    </w:rPr>
  </w:style>
  <w:style w:type="character" w:customStyle="1" w:styleId="Reference">
    <w:name w:val="Reference"/>
    <w:rsid w:val="00CF2D86"/>
    <w:rPr>
      <w:color w:val="0000FF"/>
    </w:rPr>
  </w:style>
  <w:style w:type="paragraph" w:customStyle="1" w:styleId="TblTextbulletedlist">
    <w:name w:val="Tbl Text bulleted list"/>
    <w:basedOn w:val="TblTextLeft"/>
    <w:rsid w:val="00CF2D86"/>
    <w:pPr>
      <w:numPr>
        <w:numId w:val="9"/>
      </w:numPr>
      <w:tabs>
        <w:tab w:val="left" w:pos="216"/>
      </w:tabs>
      <w:spacing w:before="0" w:after="0"/>
      <w:ind w:left="216" w:hanging="216"/>
    </w:pPr>
  </w:style>
  <w:style w:type="paragraph" w:styleId="TOC2">
    <w:name w:val="toc 2"/>
    <w:basedOn w:val="TOC1"/>
    <w:next w:val="Normal"/>
    <w:semiHidden/>
    <w:rsid w:val="00CF2D86"/>
    <w:rPr>
      <w:b w:val="0"/>
    </w:rPr>
  </w:style>
  <w:style w:type="character" w:styleId="PageNumber">
    <w:name w:val="page number"/>
    <w:basedOn w:val="DefaultParagraphFont"/>
    <w:rsid w:val="00CF2D86"/>
  </w:style>
  <w:style w:type="paragraph" w:styleId="TOC3">
    <w:name w:val="toc 3"/>
    <w:basedOn w:val="TOC1"/>
    <w:next w:val="Normal"/>
    <w:semiHidden/>
    <w:rsid w:val="00CF2D86"/>
    <w:pPr>
      <w:spacing w:before="120"/>
    </w:pPr>
    <w:rPr>
      <w:b w:val="0"/>
      <w:caps w:val="0"/>
    </w:rPr>
  </w:style>
  <w:style w:type="paragraph" w:styleId="TOC4">
    <w:name w:val="toc 4"/>
    <w:basedOn w:val="TOC1"/>
    <w:next w:val="Normal"/>
    <w:semiHidden/>
    <w:rsid w:val="00CF2D86"/>
    <w:pPr>
      <w:spacing w:before="40"/>
    </w:pPr>
    <w:rPr>
      <w:b w:val="0"/>
      <w:caps w:val="0"/>
      <w:szCs w:val="22"/>
    </w:rPr>
  </w:style>
  <w:style w:type="paragraph" w:styleId="TOC5">
    <w:name w:val="toc 5"/>
    <w:basedOn w:val="TOC1"/>
    <w:next w:val="Normal"/>
    <w:semiHidden/>
    <w:rsid w:val="00CF2D86"/>
    <w:pPr>
      <w:spacing w:before="0"/>
    </w:pPr>
    <w:rPr>
      <w:b w:val="0"/>
      <w:caps w:val="0"/>
    </w:rPr>
  </w:style>
  <w:style w:type="paragraph" w:styleId="TOC6">
    <w:name w:val="toc 6"/>
    <w:basedOn w:val="TOC1"/>
    <w:next w:val="Normal"/>
    <w:semiHidden/>
    <w:rsid w:val="00CF2D86"/>
    <w:pPr>
      <w:spacing w:before="0"/>
    </w:pPr>
    <w:rPr>
      <w:b w:val="0"/>
      <w:caps w:val="0"/>
    </w:rPr>
  </w:style>
  <w:style w:type="paragraph" w:styleId="TOC7">
    <w:name w:val="toc 7"/>
    <w:basedOn w:val="TOC6"/>
    <w:next w:val="Normal"/>
    <w:semiHidden/>
    <w:rsid w:val="00CF2D86"/>
  </w:style>
  <w:style w:type="paragraph" w:styleId="TOC8">
    <w:name w:val="toc 8"/>
    <w:basedOn w:val="TOC6"/>
    <w:next w:val="Normal"/>
    <w:semiHidden/>
    <w:rsid w:val="00CF2D86"/>
  </w:style>
  <w:style w:type="paragraph" w:styleId="TOC9">
    <w:name w:val="toc 9"/>
    <w:basedOn w:val="TOC6"/>
    <w:next w:val="Normal"/>
    <w:semiHidden/>
    <w:rsid w:val="00CF2D86"/>
  </w:style>
  <w:style w:type="character" w:customStyle="1" w:styleId="TblFigFootnoteChar">
    <w:name w:val="Tbl Fig Footnote Char"/>
    <w:rsid w:val="00CF2D86"/>
    <w:rPr>
      <w:rFonts w:ascii="Arial Narrow" w:eastAsia="MS Gothic" w:hAnsi="Arial Narrow"/>
      <w:sz w:val="18"/>
      <w:lang w:val="en-US" w:eastAsia="en-US" w:bidi="ar-SA"/>
    </w:rPr>
  </w:style>
  <w:style w:type="character" w:styleId="FollowedHyperlink">
    <w:name w:val="FollowedHyperlink"/>
    <w:rsid w:val="00CF2D86"/>
    <w:rPr>
      <w:color w:val="800080"/>
      <w:u w:val="single"/>
    </w:rPr>
  </w:style>
  <w:style w:type="paragraph" w:styleId="BodyText2">
    <w:name w:val="Body Text 2"/>
    <w:basedOn w:val="Normal"/>
    <w:link w:val="BodyText2Char"/>
    <w:uiPriority w:val="99"/>
    <w:unhideWhenUsed/>
    <w:rsid w:val="00BC364A"/>
    <w:pPr>
      <w:spacing w:after="120" w:line="480" w:lineRule="auto"/>
    </w:pPr>
  </w:style>
  <w:style w:type="character" w:customStyle="1" w:styleId="BodyText2Char">
    <w:name w:val="Body Text 2 Char"/>
    <w:basedOn w:val="DefaultParagraphFont"/>
    <w:link w:val="BodyText2"/>
    <w:uiPriority w:val="99"/>
    <w:rsid w:val="00BC364A"/>
    <w:rPr>
      <w:rFonts w:ascii="Times New Roman" w:eastAsia="MS Mincho" w:hAnsi="Times New Roman" w:cs="Times New Roman"/>
      <w:color w:val="000000"/>
      <w:sz w:val="24"/>
      <w:szCs w:val="24"/>
      <w:lang w:val="en-US"/>
    </w:rPr>
  </w:style>
  <w:style w:type="paragraph" w:customStyle="1" w:styleId="wcpTableColHeader">
    <w:name w:val="wcp_TableColHeader"/>
    <w:basedOn w:val="Normal"/>
    <w:rsid w:val="000911AA"/>
    <w:pPr>
      <w:keepNext/>
      <w:spacing w:before="120" w:after="120"/>
      <w:jc w:val="center"/>
    </w:pPr>
    <w:rPr>
      <w:rFonts w:eastAsia="Times New Roman"/>
      <w:b/>
      <w:color w:val="auto"/>
      <w:sz w:val="22"/>
      <w:szCs w:val="20"/>
    </w:rPr>
  </w:style>
  <w:style w:type="paragraph" w:styleId="CommentSubject">
    <w:name w:val="annotation subject"/>
    <w:basedOn w:val="CommentText"/>
    <w:next w:val="CommentText"/>
    <w:link w:val="CommentSubjectChar"/>
    <w:uiPriority w:val="99"/>
    <w:semiHidden/>
    <w:unhideWhenUsed/>
    <w:rsid w:val="00A8114B"/>
    <w:rPr>
      <w:rFonts w:ascii="Times New Roman" w:hAnsi="Times New Roman"/>
      <w:b/>
      <w:bCs/>
    </w:rPr>
  </w:style>
  <w:style w:type="character" w:customStyle="1" w:styleId="CommentSubjectChar">
    <w:name w:val="Comment Subject Char"/>
    <w:basedOn w:val="CommentTextChar"/>
    <w:link w:val="CommentSubject"/>
    <w:uiPriority w:val="99"/>
    <w:semiHidden/>
    <w:rsid w:val="00A8114B"/>
    <w:rPr>
      <w:rFonts w:ascii="Times New Roman" w:eastAsia="MS Mincho" w:hAnsi="Times New Roman" w:cs="Times New Roman"/>
      <w:b/>
      <w:bCs/>
      <w:color w:val="000000"/>
      <w:sz w:val="20"/>
      <w:szCs w:val="20"/>
      <w:lang w:val="en-US"/>
    </w:rPr>
  </w:style>
  <w:style w:type="character" w:customStyle="1" w:styleId="CaptionChar">
    <w:name w:val="Caption Char"/>
    <w:aliases w:val="wcp_Caption Char,Légende_Legend Char,Legend_Légende Char"/>
    <w:link w:val="Caption"/>
    <w:locked/>
    <w:rsid w:val="00F4364C"/>
    <w:rPr>
      <w:rFonts w:ascii="Arial" w:eastAsia="MS Gothic" w:hAnsi="Arial" w:cs="Arial"/>
      <w:b/>
      <w:bCs/>
      <w:sz w:val="20"/>
      <w:szCs w:val="20"/>
      <w:lang w:val="en-US"/>
    </w:rPr>
  </w:style>
  <w:style w:type="paragraph" w:customStyle="1" w:styleId="wcpTableColHeaderSmall">
    <w:name w:val="wcp_TableColHeaderSmall"/>
    <w:basedOn w:val="Normal"/>
    <w:rsid w:val="00F4364C"/>
    <w:pPr>
      <w:keepNext/>
      <w:spacing w:before="120" w:after="120"/>
      <w:jc w:val="center"/>
    </w:pPr>
    <w:rPr>
      <w:rFonts w:eastAsia="Times New Roman"/>
      <w:b/>
      <w:color w:val="auto"/>
      <w:sz w:val="18"/>
      <w:szCs w:val="20"/>
      <w:lang w:val="fr-FR"/>
    </w:rPr>
  </w:style>
  <w:style w:type="paragraph" w:customStyle="1" w:styleId="wcpTableContentSmall">
    <w:name w:val="wcp_TableContentSmall"/>
    <w:basedOn w:val="Normal"/>
    <w:link w:val="wcpTableContentSmallCar"/>
    <w:rsid w:val="00E04242"/>
    <w:pPr>
      <w:spacing w:before="40" w:after="40"/>
    </w:pPr>
    <w:rPr>
      <w:rFonts w:eastAsia="Times New Roman"/>
      <w:color w:val="auto"/>
      <w:sz w:val="18"/>
      <w:szCs w:val="20"/>
      <w:lang w:val="fr-FR"/>
    </w:rPr>
  </w:style>
  <w:style w:type="character" w:customStyle="1" w:styleId="wcpTableContentSmallCar">
    <w:name w:val="wcp_TableContentSmall Car"/>
    <w:link w:val="wcpTableContentSmall"/>
    <w:locked/>
    <w:rsid w:val="00E04242"/>
    <w:rPr>
      <w:rFonts w:ascii="Times New Roman" w:eastAsia="Times New Roman" w:hAnsi="Times New Roman" w:cs="Times New Roman"/>
      <w:sz w:val="18"/>
      <w:szCs w:val="20"/>
      <w:lang w:val="fr-FR"/>
    </w:rPr>
  </w:style>
  <w:style w:type="paragraph" w:customStyle="1" w:styleId="wcpTableRowHeaderSmall">
    <w:name w:val="wcp_TableRowHeaderSmall"/>
    <w:basedOn w:val="Normal"/>
    <w:link w:val="wcpTableRowHeaderSmallCar"/>
    <w:rsid w:val="00E04242"/>
    <w:pPr>
      <w:spacing w:before="40" w:after="40"/>
    </w:pPr>
    <w:rPr>
      <w:rFonts w:eastAsia="Times New Roman"/>
      <w:b/>
      <w:color w:val="auto"/>
      <w:sz w:val="18"/>
      <w:szCs w:val="20"/>
      <w:lang w:val="fr-FR"/>
    </w:rPr>
  </w:style>
  <w:style w:type="character" w:customStyle="1" w:styleId="wcpTableRowHeaderSmallCar">
    <w:name w:val="wcp_TableRowHeaderSmall Car"/>
    <w:link w:val="wcpTableRowHeaderSmall"/>
    <w:rsid w:val="00E04242"/>
    <w:rPr>
      <w:rFonts w:ascii="Times New Roman" w:eastAsia="Times New Roman" w:hAnsi="Times New Roman" w:cs="Times New Roman"/>
      <w:b/>
      <w:sz w:val="18"/>
      <w:szCs w:val="20"/>
      <w:lang w:val="fr-FR"/>
    </w:rPr>
  </w:style>
  <w:style w:type="paragraph" w:styleId="Revision">
    <w:name w:val="Revision"/>
    <w:hidden/>
    <w:uiPriority w:val="99"/>
    <w:semiHidden/>
    <w:rsid w:val="00706561"/>
    <w:pPr>
      <w:spacing w:after="0" w:line="240" w:lineRule="auto"/>
    </w:pPr>
    <w:rPr>
      <w:rFonts w:ascii="Times New Roman" w:eastAsia="MS Mincho" w:hAnsi="Times New Roman" w:cs="Times New Roman"/>
      <w:color w:val="000000"/>
      <w:sz w:val="24"/>
      <w:szCs w:val="24"/>
      <w:lang w:val="en-US"/>
    </w:rPr>
  </w:style>
  <w:style w:type="table" w:styleId="TableGrid">
    <w:name w:val="Table Grid"/>
    <w:basedOn w:val="TableNormal"/>
    <w:uiPriority w:val="59"/>
    <w:rsid w:val="00A242F7"/>
    <w:pPr>
      <w:spacing w:after="0" w:line="240" w:lineRule="auto"/>
    </w:pPr>
    <w:rPr>
      <w:rFonts w:ascii="Times New Roman" w:eastAsiaTheme="minorHAnsi"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Title" w:semiHidden="0" w:uiPriority="0" w:unhideWhenUsed="0" w:qFormat="1"/>
    <w:lsdException w:name="Default Paragraph Fo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CF2D86"/>
    <w:pPr>
      <w:spacing w:before="240" w:after="0" w:line="240" w:lineRule="auto"/>
    </w:pPr>
    <w:rPr>
      <w:rFonts w:ascii="Times New Roman" w:eastAsia="MS Mincho" w:hAnsi="Times New Roman" w:cs="Times New Roman"/>
      <w:color w:val="000000"/>
      <w:sz w:val="24"/>
      <w:szCs w:val="24"/>
      <w:lang w:val="en-US"/>
    </w:rPr>
  </w:style>
  <w:style w:type="paragraph" w:styleId="Heading1">
    <w:name w:val="heading 1"/>
    <w:next w:val="Normal"/>
    <w:link w:val="Heading1Char"/>
    <w:qFormat/>
    <w:rsid w:val="00C16A62"/>
    <w:pPr>
      <w:keepNext/>
      <w:pageBreakBefore/>
      <w:numPr>
        <w:numId w:val="22"/>
      </w:numPr>
      <w:spacing w:before="480" w:after="0" w:line="240" w:lineRule="auto"/>
      <w:outlineLvl w:val="0"/>
    </w:pPr>
    <w:rPr>
      <w:rFonts w:ascii="Arial" w:eastAsia="MS Gothic" w:hAnsi="Arial" w:cs="Arial"/>
      <w:b/>
      <w:bCs/>
      <w:caps/>
      <w:kern w:val="32"/>
      <w:sz w:val="28"/>
      <w:szCs w:val="32"/>
      <w:lang w:val="en-US"/>
    </w:rPr>
  </w:style>
  <w:style w:type="paragraph" w:styleId="Heading2">
    <w:name w:val="heading 2"/>
    <w:basedOn w:val="Heading1"/>
    <w:next w:val="Normal"/>
    <w:link w:val="Heading2Char"/>
    <w:autoRedefine/>
    <w:qFormat/>
    <w:rsid w:val="00C16A62"/>
    <w:pPr>
      <w:pageBreakBefore w:val="0"/>
      <w:numPr>
        <w:ilvl w:val="1"/>
      </w:numPr>
      <w:outlineLvl w:val="1"/>
    </w:pPr>
    <w:rPr>
      <w:bCs w:val="0"/>
      <w:iCs/>
      <w:sz w:val="22"/>
      <w:szCs w:val="28"/>
    </w:rPr>
  </w:style>
  <w:style w:type="paragraph" w:styleId="Heading3">
    <w:name w:val="heading 3"/>
    <w:basedOn w:val="Heading1"/>
    <w:next w:val="Normal"/>
    <w:link w:val="Heading3Char"/>
    <w:qFormat/>
    <w:rsid w:val="00C16A62"/>
    <w:pPr>
      <w:pageBreakBefore w:val="0"/>
      <w:numPr>
        <w:ilvl w:val="2"/>
      </w:numPr>
      <w:spacing w:before="360"/>
      <w:outlineLvl w:val="2"/>
    </w:pPr>
    <w:rPr>
      <w:bCs w:val="0"/>
      <w:caps w:val="0"/>
      <w:sz w:val="22"/>
      <w:szCs w:val="26"/>
    </w:rPr>
  </w:style>
  <w:style w:type="paragraph" w:styleId="Heading4">
    <w:name w:val="heading 4"/>
    <w:basedOn w:val="Heading1"/>
    <w:next w:val="Normal"/>
    <w:link w:val="Heading4Char"/>
    <w:qFormat/>
    <w:rsid w:val="00C16A62"/>
    <w:pPr>
      <w:pageBreakBefore w:val="0"/>
      <w:numPr>
        <w:ilvl w:val="3"/>
      </w:numPr>
      <w:spacing w:before="360"/>
      <w:outlineLvl w:val="3"/>
    </w:pPr>
    <w:rPr>
      <w:bCs w:val="0"/>
      <w:i/>
      <w:caps w:val="0"/>
      <w:sz w:val="22"/>
      <w:szCs w:val="28"/>
    </w:rPr>
  </w:style>
  <w:style w:type="paragraph" w:styleId="Heading5">
    <w:name w:val="heading 5"/>
    <w:basedOn w:val="Heading1"/>
    <w:next w:val="Normal"/>
    <w:link w:val="Heading5Char"/>
    <w:qFormat/>
    <w:rsid w:val="00C16A62"/>
    <w:pPr>
      <w:pageBreakBefore w:val="0"/>
      <w:numPr>
        <w:ilvl w:val="4"/>
      </w:numPr>
      <w:spacing w:before="360"/>
      <w:outlineLvl w:val="4"/>
    </w:pPr>
    <w:rPr>
      <w:b w:val="0"/>
      <w:bCs w:val="0"/>
      <w:i/>
      <w:iCs/>
      <w:caps w:val="0"/>
      <w:sz w:val="22"/>
      <w:szCs w:val="26"/>
    </w:rPr>
  </w:style>
  <w:style w:type="paragraph" w:styleId="Heading6">
    <w:name w:val="heading 6"/>
    <w:basedOn w:val="Heading1"/>
    <w:next w:val="Normal"/>
    <w:link w:val="Heading6Char"/>
    <w:qFormat/>
    <w:rsid w:val="00C16A62"/>
    <w:pPr>
      <w:pageBreakBefore w:val="0"/>
      <w:numPr>
        <w:ilvl w:val="5"/>
      </w:numPr>
      <w:spacing w:before="360"/>
      <w:outlineLvl w:val="5"/>
    </w:pPr>
    <w:rPr>
      <w:b w:val="0"/>
      <w:bCs w:val="0"/>
      <w:caps w:val="0"/>
      <w:sz w:val="22"/>
      <w:szCs w:val="22"/>
    </w:rPr>
  </w:style>
  <w:style w:type="paragraph" w:styleId="Heading7">
    <w:name w:val="heading 7"/>
    <w:basedOn w:val="Heading6"/>
    <w:next w:val="Normal"/>
    <w:link w:val="Heading7Char"/>
    <w:qFormat/>
    <w:rsid w:val="00C16A62"/>
    <w:pPr>
      <w:numPr>
        <w:ilvl w:val="6"/>
      </w:numPr>
      <w:outlineLvl w:val="6"/>
    </w:pPr>
  </w:style>
  <w:style w:type="paragraph" w:styleId="Heading8">
    <w:name w:val="heading 8"/>
    <w:basedOn w:val="Heading6"/>
    <w:next w:val="Normal"/>
    <w:link w:val="Heading8Char"/>
    <w:qFormat/>
    <w:rsid w:val="00C16A62"/>
    <w:pPr>
      <w:numPr>
        <w:ilvl w:val="7"/>
      </w:numPr>
      <w:outlineLvl w:val="7"/>
    </w:pPr>
    <w:rPr>
      <w:iCs/>
    </w:rPr>
  </w:style>
  <w:style w:type="paragraph" w:styleId="Heading9">
    <w:name w:val="heading 9"/>
    <w:basedOn w:val="Heading6"/>
    <w:next w:val="Normal"/>
    <w:link w:val="Heading9Char"/>
    <w:qFormat/>
    <w:rsid w:val="00C16A62"/>
    <w:pPr>
      <w:numPr>
        <w:ilvl w:val="8"/>
      </w:numPr>
      <w:tabs>
        <w:tab w:val="left" w:pos="1797"/>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992"/>
    <w:rPr>
      <w:rFonts w:ascii="Arial" w:eastAsia="MS Gothic" w:hAnsi="Arial" w:cs="Arial"/>
      <w:b/>
      <w:bCs/>
      <w:caps/>
      <w:kern w:val="32"/>
      <w:sz w:val="28"/>
      <w:szCs w:val="32"/>
      <w:lang w:val="en-US"/>
    </w:rPr>
  </w:style>
  <w:style w:type="character" w:customStyle="1" w:styleId="Heading2Char">
    <w:name w:val="Heading 2 Char"/>
    <w:basedOn w:val="DefaultParagraphFont"/>
    <w:link w:val="Heading2"/>
    <w:rsid w:val="00E52CA8"/>
    <w:rPr>
      <w:rFonts w:ascii="Arial" w:eastAsia="MS Gothic" w:hAnsi="Arial" w:cs="Arial"/>
      <w:b/>
      <w:iCs/>
      <w:caps/>
      <w:kern w:val="32"/>
      <w:szCs w:val="28"/>
      <w:lang w:val="en-US"/>
    </w:rPr>
  </w:style>
  <w:style w:type="character" w:customStyle="1" w:styleId="Heading3Char">
    <w:name w:val="Heading 3 Char"/>
    <w:basedOn w:val="DefaultParagraphFont"/>
    <w:link w:val="Heading3"/>
    <w:rsid w:val="001A3992"/>
    <w:rPr>
      <w:rFonts w:ascii="Arial" w:eastAsia="MS Gothic" w:hAnsi="Arial" w:cs="Arial"/>
      <w:b/>
      <w:kern w:val="32"/>
      <w:szCs w:val="26"/>
      <w:lang w:val="en-US"/>
    </w:rPr>
  </w:style>
  <w:style w:type="character" w:customStyle="1" w:styleId="Heading4Char">
    <w:name w:val="Heading 4 Char"/>
    <w:basedOn w:val="DefaultParagraphFont"/>
    <w:link w:val="Heading4"/>
    <w:rsid w:val="001A3992"/>
    <w:rPr>
      <w:rFonts w:ascii="Arial" w:eastAsia="MS Gothic" w:hAnsi="Arial" w:cs="Arial"/>
      <w:b/>
      <w:i/>
      <w:kern w:val="32"/>
      <w:szCs w:val="28"/>
      <w:lang w:val="en-US"/>
    </w:rPr>
  </w:style>
  <w:style w:type="character" w:customStyle="1" w:styleId="Heading5Char">
    <w:name w:val="Heading 5 Char"/>
    <w:basedOn w:val="DefaultParagraphFont"/>
    <w:link w:val="Heading5"/>
    <w:rsid w:val="001A3992"/>
    <w:rPr>
      <w:rFonts w:ascii="Arial" w:eastAsia="MS Gothic" w:hAnsi="Arial" w:cs="Arial"/>
      <w:i/>
      <w:iCs/>
      <w:kern w:val="32"/>
      <w:szCs w:val="26"/>
      <w:lang w:val="en-US"/>
    </w:rPr>
  </w:style>
  <w:style w:type="character" w:customStyle="1" w:styleId="Heading6Char">
    <w:name w:val="Heading 6 Char"/>
    <w:basedOn w:val="DefaultParagraphFont"/>
    <w:link w:val="Heading6"/>
    <w:rsid w:val="001A3992"/>
    <w:rPr>
      <w:rFonts w:ascii="Arial" w:eastAsia="MS Gothic" w:hAnsi="Arial" w:cs="Arial"/>
      <w:kern w:val="32"/>
      <w:lang w:val="en-US"/>
    </w:rPr>
  </w:style>
  <w:style w:type="character" w:customStyle="1" w:styleId="Heading7Char">
    <w:name w:val="Heading 7 Char"/>
    <w:basedOn w:val="DefaultParagraphFont"/>
    <w:link w:val="Heading7"/>
    <w:rsid w:val="001A3992"/>
    <w:rPr>
      <w:rFonts w:ascii="Arial" w:eastAsia="MS Gothic" w:hAnsi="Arial" w:cs="Arial"/>
      <w:kern w:val="32"/>
      <w:lang w:val="en-US"/>
    </w:rPr>
  </w:style>
  <w:style w:type="character" w:customStyle="1" w:styleId="Heading8Char">
    <w:name w:val="Heading 8 Char"/>
    <w:basedOn w:val="DefaultParagraphFont"/>
    <w:link w:val="Heading8"/>
    <w:rsid w:val="001A3992"/>
    <w:rPr>
      <w:rFonts w:ascii="Arial" w:eastAsia="MS Gothic" w:hAnsi="Arial" w:cs="Arial"/>
      <w:iCs/>
      <w:kern w:val="32"/>
      <w:lang w:val="en-US"/>
    </w:rPr>
  </w:style>
  <w:style w:type="character" w:customStyle="1" w:styleId="Heading9Char">
    <w:name w:val="Heading 9 Char"/>
    <w:basedOn w:val="DefaultParagraphFont"/>
    <w:link w:val="Heading9"/>
    <w:rsid w:val="001A3992"/>
    <w:rPr>
      <w:rFonts w:ascii="Arial" w:eastAsia="MS Gothic" w:hAnsi="Arial" w:cs="Arial"/>
      <w:kern w:val="32"/>
      <w:lang w:val="en-US"/>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nhideWhenUsed/>
    <w:rsid w:val="001A3992"/>
    <w:rPr>
      <w:sz w:val="16"/>
      <w:szCs w:val="16"/>
    </w:rPr>
  </w:style>
  <w:style w:type="paragraph" w:styleId="CommentText">
    <w:name w:val="annotation text"/>
    <w:basedOn w:val="Normal"/>
    <w:link w:val="CommentTextChar"/>
    <w:uiPriority w:val="99"/>
    <w:unhideWhenUsed/>
    <w:rsid w:val="001A3992"/>
    <w:rPr>
      <w:rFonts w:ascii="Cambria" w:hAnsi="Cambria"/>
      <w:sz w:val="20"/>
      <w:szCs w:val="20"/>
    </w:rPr>
  </w:style>
  <w:style w:type="character" w:customStyle="1" w:styleId="CommentTextChar">
    <w:name w:val="Comment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rsid w:val="00CF2D86"/>
    <w:pPr>
      <w:spacing w:before="20"/>
      <w:ind w:left="113" w:hanging="113"/>
    </w:pPr>
    <w:rPr>
      <w:sz w:val="22"/>
      <w:szCs w:val="20"/>
    </w:rPr>
  </w:style>
  <w:style w:type="character" w:customStyle="1" w:styleId="FootnoteTextChar">
    <w:name w:val="Footnote Text Char"/>
    <w:basedOn w:val="DefaultParagraphFont"/>
    <w:link w:val="FootnoteText"/>
    <w:rsid w:val="001A3992"/>
    <w:rPr>
      <w:rFonts w:ascii="Times New Roman" w:eastAsia="MS Mincho" w:hAnsi="Times New Roman" w:cs="Times New Roman"/>
      <w:color w:val="000000"/>
      <w:szCs w:val="20"/>
      <w:lang w:val="en-US"/>
    </w:rPr>
  </w:style>
  <w:style w:type="character" w:styleId="FootnoteReference">
    <w:name w:val="footnote reference"/>
    <w:rsid w:val="00CF2D86"/>
    <w:rPr>
      <w:rFonts w:ascii="Times New Roman" w:eastAsia="MS Mincho" w:hAnsi="Times New Roman"/>
      <w:color w:val="0000FF"/>
      <w:sz w:val="18"/>
      <w:vertAlign w:val="superscript"/>
    </w:rPr>
  </w:style>
  <w:style w:type="paragraph" w:styleId="ListBullet">
    <w:name w:val="List Bullet"/>
    <w:basedOn w:val="Normal"/>
    <w:rsid w:val="00CF2D86"/>
    <w:pPr>
      <w:numPr>
        <w:numId w:val="6"/>
      </w:numPr>
    </w:pPr>
  </w:style>
  <w:style w:type="character" w:styleId="Hyperlink">
    <w:name w:val="Hyperlink"/>
    <w:uiPriority w:val="99"/>
    <w:rsid w:val="00CF2D86"/>
    <w:rPr>
      <w:color w:val="0000FF"/>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aliases w:val="wcp_Footer,Footer_Pied Page"/>
    <w:link w:val="FooterChar"/>
    <w:rsid w:val="00CF2D86"/>
    <w:pPr>
      <w:tabs>
        <w:tab w:val="right" w:pos="9469"/>
      </w:tabs>
      <w:spacing w:after="0" w:line="240" w:lineRule="auto"/>
    </w:pPr>
    <w:rPr>
      <w:rFonts w:ascii="Arial" w:eastAsia="MS Gothic" w:hAnsi="Arial" w:cs="Times New Roman"/>
      <w:sz w:val="18"/>
      <w:szCs w:val="20"/>
      <w:lang w:val="en-US"/>
    </w:rPr>
  </w:style>
  <w:style w:type="character" w:customStyle="1" w:styleId="FooterChar">
    <w:name w:val="Footer Char"/>
    <w:aliases w:val="wcp_Footer Char,Footer_Pied Page Char"/>
    <w:basedOn w:val="DefaultParagraphFont"/>
    <w:link w:val="Footer"/>
    <w:rsid w:val="001A3992"/>
    <w:rPr>
      <w:rFonts w:ascii="Arial" w:eastAsia="MS Gothic" w:hAnsi="Arial" w:cs="Times New Roman"/>
      <w:sz w:val="18"/>
      <w:szCs w:val="20"/>
      <w:lang w:val="en-US"/>
    </w:rPr>
  </w:style>
  <w:style w:type="paragraph" w:styleId="BalloonText">
    <w:name w:val="Balloon Text"/>
    <w:basedOn w:val="Normal"/>
    <w:link w:val="BalloonTextChar"/>
    <w:uiPriority w:val="99"/>
    <w:semiHidden/>
    <w:unhideWhenUsed/>
    <w:rsid w:val="001A3992"/>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link w:val="HeaderChar"/>
    <w:uiPriority w:val="99"/>
    <w:rsid w:val="00CF2D86"/>
    <w:pPr>
      <w:tabs>
        <w:tab w:val="left" w:pos="4536"/>
        <w:tab w:val="right" w:pos="9480"/>
      </w:tabs>
      <w:spacing w:after="0" w:line="240" w:lineRule="auto"/>
    </w:pPr>
    <w:rPr>
      <w:rFonts w:ascii="Arial" w:eastAsia="MS Gothic" w:hAnsi="Arial" w:cs="Times New Roman"/>
      <w:sz w:val="18"/>
      <w:szCs w:val="20"/>
      <w:lang w:val="en-US"/>
    </w:rPr>
  </w:style>
  <w:style w:type="character" w:customStyle="1" w:styleId="HeaderChar">
    <w:name w:val="Header Char"/>
    <w:basedOn w:val="DefaultParagraphFont"/>
    <w:link w:val="Header"/>
    <w:uiPriority w:val="99"/>
    <w:rsid w:val="00CA6CCF"/>
    <w:rPr>
      <w:rFonts w:ascii="Arial" w:eastAsia="MS Gothic" w:hAnsi="Arial" w:cs="Times New Roman"/>
      <w:sz w:val="18"/>
      <w:szCs w:val="20"/>
      <w:lang w:val="en-US"/>
    </w:rPr>
  </w:style>
  <w:style w:type="paragraph" w:customStyle="1" w:styleId="wcpTableContent">
    <w:name w:val="wcp_TableContent"/>
    <w:basedOn w:val="Normal"/>
    <w:rsid w:val="00C301BA"/>
    <w:pPr>
      <w:spacing w:before="40" w:after="40"/>
    </w:pPr>
    <w:rPr>
      <w:rFonts w:eastAsia="Times New Roman"/>
      <w:szCs w:val="20"/>
    </w:rPr>
  </w:style>
  <w:style w:type="paragraph" w:styleId="BodyTextIndent2">
    <w:name w:val="Body Text Indent 2"/>
    <w:basedOn w:val="Normal"/>
    <w:link w:val="BodyTextIndent2Char"/>
    <w:rsid w:val="000E1A58"/>
    <w:pPr>
      <w:ind w:left="567"/>
      <w:jc w:val="both"/>
    </w:pPr>
    <w:rPr>
      <w:rFonts w:ascii="Arial" w:eastAsia="Times New Roman" w:hAnsi="Arial"/>
      <w:szCs w:val="20"/>
      <w:lang w:val="en-GB"/>
    </w:rPr>
  </w:style>
  <w:style w:type="character" w:customStyle="1" w:styleId="BodyTextIndent2Char">
    <w:name w:val="Body Text Indent 2 Char"/>
    <w:basedOn w:val="DefaultParagraphFont"/>
    <w:link w:val="BodyTextIndent2"/>
    <w:rsid w:val="000E1A58"/>
    <w:rPr>
      <w:rFonts w:ascii="Arial" w:eastAsia="Times New Roman" w:hAnsi="Arial" w:cs="Times New Roman"/>
      <w:sz w:val="24"/>
      <w:szCs w:val="20"/>
      <w:lang w:val="en-GB"/>
    </w:rPr>
  </w:style>
  <w:style w:type="paragraph" w:styleId="BodyText">
    <w:name w:val="Body Text"/>
    <w:basedOn w:val="Normal"/>
    <w:link w:val="BodyTextChar"/>
    <w:uiPriority w:val="99"/>
    <w:semiHidden/>
    <w:unhideWhenUsed/>
    <w:rsid w:val="000E1A58"/>
    <w:pPr>
      <w:spacing w:after="120"/>
    </w:pPr>
  </w:style>
  <w:style w:type="character" w:customStyle="1" w:styleId="BodyTextChar">
    <w:name w:val="Body Text Char"/>
    <w:basedOn w:val="DefaultParagraphFont"/>
    <w:link w:val="BodyText"/>
    <w:uiPriority w:val="99"/>
    <w:semiHidden/>
    <w:rsid w:val="000E1A58"/>
  </w:style>
  <w:style w:type="paragraph" w:styleId="BodyText3">
    <w:name w:val="Body Text 3"/>
    <w:basedOn w:val="Normal"/>
    <w:link w:val="BodyText3Char"/>
    <w:uiPriority w:val="99"/>
    <w:semiHidden/>
    <w:unhideWhenUsed/>
    <w:rsid w:val="00514ED3"/>
    <w:pPr>
      <w:spacing w:after="120"/>
    </w:pPr>
    <w:rPr>
      <w:sz w:val="16"/>
      <w:szCs w:val="16"/>
    </w:rPr>
  </w:style>
  <w:style w:type="character" w:customStyle="1" w:styleId="BodyText3Char">
    <w:name w:val="Body Text 3 Char"/>
    <w:basedOn w:val="DefaultParagraphFont"/>
    <w:link w:val="BodyText3"/>
    <w:uiPriority w:val="99"/>
    <w:semiHidden/>
    <w:rsid w:val="00514ED3"/>
    <w:rPr>
      <w:sz w:val="16"/>
      <w:szCs w:val="16"/>
    </w:rPr>
  </w:style>
  <w:style w:type="paragraph" w:customStyle="1" w:styleId="Heading1NoTOC">
    <w:name w:val="Heading 1 NoTOC"/>
    <w:basedOn w:val="Heading1"/>
    <w:rsid w:val="00CF2D86"/>
    <w:pPr>
      <w:numPr>
        <w:numId w:val="0"/>
      </w:numPr>
      <w:outlineLvl w:val="9"/>
    </w:pPr>
  </w:style>
  <w:style w:type="paragraph" w:styleId="Title">
    <w:name w:val="Title"/>
    <w:next w:val="Normal"/>
    <w:link w:val="TitleChar"/>
    <w:qFormat/>
    <w:rsid w:val="00CF2D86"/>
    <w:pPr>
      <w:keepNext/>
      <w:spacing w:before="600" w:after="480" w:line="240" w:lineRule="auto"/>
      <w:jc w:val="center"/>
      <w:outlineLvl w:val="0"/>
    </w:pPr>
    <w:rPr>
      <w:rFonts w:ascii="Arial" w:eastAsia="MS Gothic" w:hAnsi="Arial" w:cs="Arial"/>
      <w:b/>
      <w:bCs/>
      <w:caps/>
      <w:szCs w:val="32"/>
      <w:lang w:val="en-US"/>
    </w:rPr>
  </w:style>
  <w:style w:type="character" w:customStyle="1" w:styleId="TitleChar">
    <w:name w:val="Title Char"/>
    <w:basedOn w:val="DefaultParagraphFont"/>
    <w:link w:val="Title"/>
    <w:rsid w:val="00C971E9"/>
    <w:rPr>
      <w:rFonts w:ascii="Arial" w:eastAsia="MS Gothic" w:hAnsi="Arial" w:cs="Arial"/>
      <w:b/>
      <w:bCs/>
      <w:caps/>
      <w:szCs w:val="32"/>
      <w:lang w:val="en-US"/>
    </w:rPr>
  </w:style>
  <w:style w:type="paragraph" w:customStyle="1" w:styleId="TitleNoToc">
    <w:name w:val="Title NoToc"/>
    <w:basedOn w:val="Title"/>
    <w:next w:val="Normal"/>
    <w:rsid w:val="00CF2D86"/>
    <w:pPr>
      <w:outlineLvl w:val="9"/>
    </w:pPr>
  </w:style>
  <w:style w:type="character" w:customStyle="1" w:styleId="InstructionsTextChar">
    <w:name w:val="Instructions Text Char"/>
    <w:link w:val="InstructionsText"/>
    <w:rsid w:val="00CF2D86"/>
    <w:rPr>
      <w:rFonts w:eastAsia="MS Mincho"/>
      <w:color w:val="000000"/>
      <w:sz w:val="24"/>
      <w:szCs w:val="24"/>
      <w:shd w:val="clear" w:color="auto" w:fill="FFCC66"/>
      <w:lang w:val="en-US"/>
    </w:rPr>
  </w:style>
  <w:style w:type="paragraph" w:customStyle="1" w:styleId="ListNumbered">
    <w:name w:val="List Numbered"/>
    <w:basedOn w:val="Normal"/>
    <w:rsid w:val="00CF2D86"/>
    <w:pPr>
      <w:numPr>
        <w:numId w:val="4"/>
      </w:numPr>
      <w:spacing w:before="120"/>
    </w:pPr>
  </w:style>
  <w:style w:type="paragraph" w:customStyle="1" w:styleId="ListBulletLevel1">
    <w:name w:val="List Bullet Level 1"/>
    <w:basedOn w:val="Normal"/>
    <w:rsid w:val="00CF2D86"/>
    <w:pPr>
      <w:numPr>
        <w:numId w:val="16"/>
      </w:numPr>
      <w:spacing w:before="120"/>
    </w:pPr>
  </w:style>
  <w:style w:type="paragraph" w:customStyle="1" w:styleId="ListAlphabeticalLevel1">
    <w:name w:val="List Alphabetical Level 1"/>
    <w:basedOn w:val="Normal"/>
    <w:rsid w:val="00CF2D86"/>
    <w:pPr>
      <w:numPr>
        <w:numId w:val="3"/>
      </w:numPr>
      <w:spacing w:before="120"/>
    </w:pPr>
  </w:style>
  <w:style w:type="paragraph" w:styleId="Bibliography">
    <w:name w:val="Bibliography"/>
    <w:basedOn w:val="Normal"/>
    <w:next w:val="Normal"/>
    <w:rsid w:val="00CF2D86"/>
    <w:pPr>
      <w:ind w:left="357" w:hanging="357"/>
    </w:pPr>
  </w:style>
  <w:style w:type="paragraph" w:customStyle="1" w:styleId="ListBulletLevel2">
    <w:name w:val="List Bullet Level 2"/>
    <w:basedOn w:val="Normal"/>
    <w:rsid w:val="00CF2D86"/>
    <w:pPr>
      <w:numPr>
        <w:numId w:val="8"/>
      </w:numPr>
      <w:spacing w:before="120"/>
    </w:pPr>
    <w:rPr>
      <w:szCs w:val="20"/>
    </w:rPr>
  </w:style>
  <w:style w:type="paragraph" w:styleId="Caption">
    <w:name w:val="caption"/>
    <w:aliases w:val="wcp_Caption,Légende_Legend,Legend_Légende"/>
    <w:next w:val="Normal"/>
    <w:link w:val="CaptionChar"/>
    <w:qFormat/>
    <w:rsid w:val="00CF2D86"/>
    <w:pPr>
      <w:keepNext/>
      <w:spacing w:before="360" w:after="120" w:line="240" w:lineRule="auto"/>
      <w:jc w:val="center"/>
    </w:pPr>
    <w:rPr>
      <w:rFonts w:ascii="Arial" w:eastAsia="MS Gothic" w:hAnsi="Arial" w:cs="Arial"/>
      <w:b/>
      <w:bCs/>
      <w:sz w:val="20"/>
      <w:szCs w:val="20"/>
      <w:lang w:val="en-US"/>
    </w:rPr>
  </w:style>
  <w:style w:type="paragraph" w:customStyle="1" w:styleId="InstructionsText">
    <w:name w:val="Instructions Text"/>
    <w:basedOn w:val="Normal"/>
    <w:next w:val="Normal"/>
    <w:link w:val="InstructionsTextChar"/>
    <w:rsid w:val="00CF2D86"/>
    <w:pPr>
      <w:shd w:val="clear" w:color="auto" w:fill="FFCC66"/>
      <w:spacing w:before="40" w:after="40"/>
    </w:pPr>
    <w:rPr>
      <w:rFonts w:asciiTheme="minorHAnsi" w:hAnsiTheme="minorHAnsi" w:cstheme="minorBidi"/>
    </w:rPr>
  </w:style>
  <w:style w:type="paragraph" w:customStyle="1" w:styleId="Heading1NoNumbering">
    <w:name w:val="Heading 1 NoNumbering"/>
    <w:basedOn w:val="Heading1"/>
    <w:next w:val="Normal"/>
    <w:rsid w:val="00CF2D86"/>
    <w:pPr>
      <w:numPr>
        <w:numId w:val="14"/>
      </w:numPr>
    </w:pPr>
  </w:style>
  <w:style w:type="paragraph" w:customStyle="1" w:styleId="TblTextCenter">
    <w:name w:val="Tbl Text Center"/>
    <w:basedOn w:val="TblTextLeft"/>
    <w:rsid w:val="00CF2D86"/>
    <w:pPr>
      <w:jc w:val="center"/>
    </w:pPr>
  </w:style>
  <w:style w:type="paragraph" w:customStyle="1" w:styleId="TblTextLeft">
    <w:name w:val="Tbl Text Left"/>
    <w:rsid w:val="00CF2D86"/>
    <w:pPr>
      <w:spacing w:before="60" w:after="60" w:line="240" w:lineRule="auto"/>
    </w:pPr>
    <w:rPr>
      <w:rFonts w:ascii="Arial Narrow" w:eastAsia="MS Gothic" w:hAnsi="Arial Narrow" w:cs="Times New Roman"/>
      <w:sz w:val="20"/>
      <w:szCs w:val="20"/>
      <w:lang w:val="en-US"/>
    </w:rPr>
  </w:style>
  <w:style w:type="paragraph" w:customStyle="1" w:styleId="TblHeadingLeft">
    <w:name w:val="Tbl Heading Left"/>
    <w:rsid w:val="00CF2D86"/>
    <w:pPr>
      <w:spacing w:before="60" w:after="60" w:line="240" w:lineRule="auto"/>
    </w:pPr>
    <w:rPr>
      <w:rFonts w:ascii="Arial" w:eastAsia="MS Gothic" w:hAnsi="Arial" w:cs="Arial"/>
      <w:b/>
      <w:noProof/>
      <w:sz w:val="20"/>
      <w:szCs w:val="20"/>
      <w:lang w:val="de-DE"/>
    </w:rPr>
  </w:style>
  <w:style w:type="paragraph" w:customStyle="1" w:styleId="TblFigFootnote">
    <w:name w:val="Tbl Fig Footnote"/>
    <w:rsid w:val="00CF2D86"/>
    <w:pPr>
      <w:keepLines/>
      <w:adjustRightInd w:val="0"/>
      <w:snapToGrid w:val="0"/>
      <w:spacing w:before="20" w:after="20" w:line="240" w:lineRule="auto"/>
    </w:pPr>
    <w:rPr>
      <w:rFonts w:ascii="Arial Narrow" w:eastAsia="MS Gothic" w:hAnsi="Arial Narrow" w:cs="Times New Roman"/>
      <w:sz w:val="18"/>
      <w:szCs w:val="20"/>
      <w:lang w:val="en-US"/>
    </w:rPr>
  </w:style>
  <w:style w:type="paragraph" w:customStyle="1" w:styleId="TblHeadingCenter">
    <w:name w:val="Tbl Heading Center"/>
    <w:basedOn w:val="TblHeadingLeft"/>
    <w:rsid w:val="00CF2D86"/>
    <w:pPr>
      <w:jc w:val="center"/>
    </w:pPr>
  </w:style>
  <w:style w:type="paragraph" w:customStyle="1" w:styleId="HeaderLandscape">
    <w:name w:val="Header Landscape"/>
    <w:basedOn w:val="Header"/>
    <w:rsid w:val="00CF2D86"/>
    <w:pPr>
      <w:tabs>
        <w:tab w:val="clear" w:pos="4536"/>
        <w:tab w:val="clear" w:pos="9480"/>
        <w:tab w:val="left" w:pos="6804"/>
        <w:tab w:val="right" w:pos="14118"/>
      </w:tabs>
    </w:pPr>
  </w:style>
  <w:style w:type="paragraph" w:customStyle="1" w:styleId="FooterLandscape">
    <w:name w:val="Footer Landscape"/>
    <w:basedOn w:val="Footer"/>
    <w:rsid w:val="00CF2D86"/>
    <w:pPr>
      <w:tabs>
        <w:tab w:val="clear" w:pos="9469"/>
        <w:tab w:val="right" w:pos="14118"/>
      </w:tabs>
    </w:pPr>
  </w:style>
  <w:style w:type="character" w:customStyle="1" w:styleId="TblFigFootnoteReference">
    <w:name w:val="Tbl Fig Footnote Reference"/>
    <w:rsid w:val="00CF2D86"/>
    <w:rPr>
      <w:rFonts w:ascii="Arial Narrow" w:eastAsia="MS Gothic" w:hAnsi="Arial Narrow"/>
      <w:i/>
      <w:dstrike w:val="0"/>
      <w:noProof w:val="0"/>
      <w:position w:val="6"/>
      <w:sz w:val="18"/>
      <w:vertAlign w:val="baseline"/>
      <w:lang w:val="en-US"/>
    </w:rPr>
  </w:style>
  <w:style w:type="paragraph" w:customStyle="1" w:styleId="xCover">
    <w:name w:val="xCover"/>
    <w:rsid w:val="00CF2D86"/>
    <w:pPr>
      <w:spacing w:before="120" w:after="0" w:line="240" w:lineRule="auto"/>
    </w:pPr>
    <w:rPr>
      <w:rFonts w:ascii="Arial" w:eastAsia="MS Gothic" w:hAnsi="Arial" w:cs="Times New Roman"/>
      <w:sz w:val="20"/>
      <w:szCs w:val="20"/>
      <w:lang w:val="en-US"/>
    </w:rPr>
  </w:style>
  <w:style w:type="paragraph" w:customStyle="1" w:styleId="xCoverAddress">
    <w:name w:val="xCoverAddress"/>
    <w:basedOn w:val="xCover"/>
    <w:rsid w:val="00CF2D86"/>
    <w:pPr>
      <w:spacing w:before="0"/>
    </w:pPr>
  </w:style>
  <w:style w:type="paragraph" w:customStyle="1" w:styleId="xCoverDocType">
    <w:name w:val="xCoverDocType"/>
    <w:basedOn w:val="xCover"/>
    <w:rsid w:val="00CF2D86"/>
    <w:pPr>
      <w:spacing w:before="360"/>
      <w:jc w:val="center"/>
    </w:pPr>
    <w:rPr>
      <w:b/>
      <w:caps/>
      <w:sz w:val="28"/>
    </w:rPr>
  </w:style>
  <w:style w:type="paragraph" w:customStyle="1" w:styleId="xCoverDocTitle">
    <w:name w:val="xCoverDocTitle"/>
    <w:basedOn w:val="xCover"/>
    <w:rsid w:val="00CF2D86"/>
    <w:pPr>
      <w:spacing w:before="240"/>
      <w:jc w:val="center"/>
    </w:pPr>
    <w:rPr>
      <w:b/>
      <w:sz w:val="24"/>
    </w:rPr>
  </w:style>
  <w:style w:type="paragraph" w:styleId="EndnoteText">
    <w:name w:val="endnote text"/>
    <w:basedOn w:val="Normal"/>
    <w:link w:val="EndnoteTextChar"/>
    <w:semiHidden/>
    <w:rsid w:val="00CF2D86"/>
    <w:rPr>
      <w:sz w:val="22"/>
      <w:szCs w:val="20"/>
    </w:rPr>
  </w:style>
  <w:style w:type="character" w:customStyle="1" w:styleId="EndnoteTextChar">
    <w:name w:val="Endnote Text Char"/>
    <w:basedOn w:val="DefaultParagraphFont"/>
    <w:link w:val="EndnoteText"/>
    <w:semiHidden/>
    <w:rsid w:val="00C971E9"/>
    <w:rPr>
      <w:rFonts w:ascii="Times New Roman" w:eastAsia="MS Mincho" w:hAnsi="Times New Roman" w:cs="Times New Roman"/>
      <w:color w:val="000000"/>
      <w:szCs w:val="20"/>
      <w:lang w:val="en-US"/>
    </w:rPr>
  </w:style>
  <w:style w:type="character" w:styleId="EndnoteReference">
    <w:name w:val="endnote reference"/>
    <w:semiHidden/>
    <w:rsid w:val="00CF2D86"/>
    <w:rPr>
      <w:vertAlign w:val="superscript"/>
    </w:rPr>
  </w:style>
  <w:style w:type="paragraph" w:styleId="MacroText">
    <w:name w:val="macro"/>
    <w:link w:val="MacroTextChar"/>
    <w:semiHidden/>
    <w:rsid w:val="00CF2D8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US"/>
    </w:rPr>
  </w:style>
  <w:style w:type="character" w:customStyle="1" w:styleId="MacroTextChar">
    <w:name w:val="Macro Text Char"/>
    <w:basedOn w:val="DefaultParagraphFont"/>
    <w:link w:val="MacroText"/>
    <w:semiHidden/>
    <w:rsid w:val="00C971E9"/>
    <w:rPr>
      <w:rFonts w:ascii="Courier New" w:eastAsia="Times New Roman" w:hAnsi="Courier New" w:cs="Times New Roman"/>
      <w:sz w:val="20"/>
      <w:szCs w:val="20"/>
      <w:lang w:val="en-US"/>
    </w:rPr>
  </w:style>
  <w:style w:type="paragraph" w:styleId="TableofFigures">
    <w:name w:val="table of figures"/>
    <w:next w:val="Normal"/>
    <w:semiHidden/>
    <w:rsid w:val="00CF2D86"/>
    <w:pPr>
      <w:tabs>
        <w:tab w:val="right" w:leader="dot" w:pos="9468"/>
      </w:tabs>
      <w:spacing w:before="120" w:after="0" w:line="240" w:lineRule="auto"/>
    </w:pPr>
    <w:rPr>
      <w:rFonts w:ascii="Arial" w:eastAsia="Times New Roman" w:hAnsi="Arial" w:cs="Times New Roman"/>
      <w:sz w:val="20"/>
      <w:szCs w:val="20"/>
      <w:lang w:val="en-US"/>
    </w:rPr>
  </w:style>
  <w:style w:type="paragraph" w:styleId="TableofAuthorities">
    <w:name w:val="table of authorities"/>
    <w:basedOn w:val="Normal"/>
    <w:next w:val="Normal"/>
    <w:semiHidden/>
    <w:rsid w:val="00CF2D86"/>
    <w:pPr>
      <w:ind w:left="240" w:hanging="240"/>
    </w:pPr>
  </w:style>
  <w:style w:type="character" w:customStyle="1" w:styleId="ReplaceText">
    <w:name w:val="Replace Text"/>
    <w:rsid w:val="00CF2D86"/>
    <w:rPr>
      <w:color w:val="FF00FF"/>
    </w:rPr>
  </w:style>
  <w:style w:type="paragraph" w:styleId="TOC1">
    <w:name w:val="toc 1"/>
    <w:next w:val="Normal"/>
    <w:rsid w:val="00CF2D86"/>
    <w:pPr>
      <w:tabs>
        <w:tab w:val="right" w:leader="dot" w:pos="9468"/>
      </w:tabs>
      <w:spacing w:before="240" w:after="0" w:line="240" w:lineRule="auto"/>
      <w:ind w:left="851" w:right="567" w:hanging="851"/>
    </w:pPr>
    <w:rPr>
      <w:rFonts w:ascii="Arial" w:eastAsia="Times New Roman" w:hAnsi="Arial" w:cs="Times New Roman"/>
      <w:b/>
      <w:caps/>
      <w:sz w:val="20"/>
      <w:szCs w:val="20"/>
      <w:lang w:val="en-US"/>
    </w:rPr>
  </w:style>
  <w:style w:type="paragraph" w:customStyle="1" w:styleId="ListAlphabeticalLevel2">
    <w:name w:val="List Alphabetical Level 2"/>
    <w:basedOn w:val="ListNumbered"/>
    <w:rsid w:val="00CF2D86"/>
    <w:pPr>
      <w:numPr>
        <w:numId w:val="5"/>
      </w:numPr>
    </w:pPr>
  </w:style>
  <w:style w:type="paragraph" w:styleId="Index1">
    <w:name w:val="index 1"/>
    <w:basedOn w:val="Normal"/>
    <w:next w:val="Normal"/>
    <w:semiHidden/>
    <w:rsid w:val="00CF2D86"/>
    <w:pPr>
      <w:tabs>
        <w:tab w:val="left" w:pos="1701"/>
        <w:tab w:val="left" w:pos="3402"/>
        <w:tab w:val="left" w:pos="5103"/>
      </w:tabs>
      <w:spacing w:before="0"/>
      <w:ind w:left="1701" w:hanging="1701"/>
    </w:pPr>
  </w:style>
  <w:style w:type="paragraph" w:styleId="TOAHeading">
    <w:name w:val="toa heading"/>
    <w:basedOn w:val="Normal"/>
    <w:next w:val="Normal"/>
    <w:semiHidden/>
    <w:rsid w:val="00CF2D86"/>
    <w:pPr>
      <w:spacing w:before="120"/>
    </w:pPr>
    <w:rPr>
      <w:rFonts w:ascii="Arial" w:hAnsi="Arial" w:cs="Arial"/>
      <w:b/>
      <w:bCs/>
    </w:rPr>
  </w:style>
  <w:style w:type="character" w:customStyle="1" w:styleId="Reference">
    <w:name w:val="Reference"/>
    <w:rsid w:val="00CF2D86"/>
    <w:rPr>
      <w:color w:val="0000FF"/>
    </w:rPr>
  </w:style>
  <w:style w:type="paragraph" w:customStyle="1" w:styleId="TblTextbulletedlist">
    <w:name w:val="Tbl Text bulleted list"/>
    <w:basedOn w:val="TblTextLeft"/>
    <w:rsid w:val="00CF2D86"/>
    <w:pPr>
      <w:numPr>
        <w:numId w:val="9"/>
      </w:numPr>
      <w:tabs>
        <w:tab w:val="left" w:pos="216"/>
      </w:tabs>
      <w:spacing w:before="0" w:after="0"/>
      <w:ind w:left="216" w:hanging="216"/>
    </w:pPr>
  </w:style>
  <w:style w:type="paragraph" w:styleId="TOC2">
    <w:name w:val="toc 2"/>
    <w:basedOn w:val="TOC1"/>
    <w:next w:val="Normal"/>
    <w:semiHidden/>
    <w:rsid w:val="00CF2D86"/>
    <w:rPr>
      <w:b w:val="0"/>
    </w:rPr>
  </w:style>
  <w:style w:type="character" w:styleId="PageNumber">
    <w:name w:val="page number"/>
    <w:basedOn w:val="DefaultParagraphFont"/>
    <w:rsid w:val="00CF2D86"/>
  </w:style>
  <w:style w:type="paragraph" w:styleId="TOC3">
    <w:name w:val="toc 3"/>
    <w:basedOn w:val="TOC1"/>
    <w:next w:val="Normal"/>
    <w:semiHidden/>
    <w:rsid w:val="00CF2D86"/>
    <w:pPr>
      <w:spacing w:before="120"/>
    </w:pPr>
    <w:rPr>
      <w:b w:val="0"/>
      <w:caps w:val="0"/>
    </w:rPr>
  </w:style>
  <w:style w:type="paragraph" w:styleId="TOC4">
    <w:name w:val="toc 4"/>
    <w:basedOn w:val="TOC1"/>
    <w:next w:val="Normal"/>
    <w:semiHidden/>
    <w:rsid w:val="00CF2D86"/>
    <w:pPr>
      <w:spacing w:before="40"/>
    </w:pPr>
    <w:rPr>
      <w:b w:val="0"/>
      <w:caps w:val="0"/>
      <w:szCs w:val="22"/>
    </w:rPr>
  </w:style>
  <w:style w:type="paragraph" w:styleId="TOC5">
    <w:name w:val="toc 5"/>
    <w:basedOn w:val="TOC1"/>
    <w:next w:val="Normal"/>
    <w:semiHidden/>
    <w:rsid w:val="00CF2D86"/>
    <w:pPr>
      <w:spacing w:before="0"/>
    </w:pPr>
    <w:rPr>
      <w:b w:val="0"/>
      <w:caps w:val="0"/>
    </w:rPr>
  </w:style>
  <w:style w:type="paragraph" w:styleId="TOC6">
    <w:name w:val="toc 6"/>
    <w:basedOn w:val="TOC1"/>
    <w:next w:val="Normal"/>
    <w:semiHidden/>
    <w:rsid w:val="00CF2D86"/>
    <w:pPr>
      <w:spacing w:before="0"/>
    </w:pPr>
    <w:rPr>
      <w:b w:val="0"/>
      <w:caps w:val="0"/>
    </w:rPr>
  </w:style>
  <w:style w:type="paragraph" w:styleId="TOC7">
    <w:name w:val="toc 7"/>
    <w:basedOn w:val="TOC6"/>
    <w:next w:val="Normal"/>
    <w:semiHidden/>
    <w:rsid w:val="00CF2D86"/>
  </w:style>
  <w:style w:type="paragraph" w:styleId="TOC8">
    <w:name w:val="toc 8"/>
    <w:basedOn w:val="TOC6"/>
    <w:next w:val="Normal"/>
    <w:semiHidden/>
    <w:rsid w:val="00CF2D86"/>
  </w:style>
  <w:style w:type="paragraph" w:styleId="TOC9">
    <w:name w:val="toc 9"/>
    <w:basedOn w:val="TOC6"/>
    <w:next w:val="Normal"/>
    <w:semiHidden/>
    <w:rsid w:val="00CF2D86"/>
  </w:style>
  <w:style w:type="character" w:customStyle="1" w:styleId="TblFigFootnoteChar">
    <w:name w:val="Tbl Fig Footnote Char"/>
    <w:rsid w:val="00CF2D86"/>
    <w:rPr>
      <w:rFonts w:ascii="Arial Narrow" w:eastAsia="MS Gothic" w:hAnsi="Arial Narrow"/>
      <w:sz w:val="18"/>
      <w:lang w:val="en-US" w:eastAsia="en-US" w:bidi="ar-SA"/>
    </w:rPr>
  </w:style>
  <w:style w:type="character" w:styleId="FollowedHyperlink">
    <w:name w:val="FollowedHyperlink"/>
    <w:rsid w:val="00CF2D86"/>
    <w:rPr>
      <w:color w:val="800080"/>
      <w:u w:val="single"/>
    </w:rPr>
  </w:style>
  <w:style w:type="paragraph" w:styleId="BodyText2">
    <w:name w:val="Body Text 2"/>
    <w:basedOn w:val="Normal"/>
    <w:link w:val="BodyText2Char"/>
    <w:uiPriority w:val="99"/>
    <w:unhideWhenUsed/>
    <w:rsid w:val="00BC364A"/>
    <w:pPr>
      <w:spacing w:after="120" w:line="480" w:lineRule="auto"/>
    </w:pPr>
  </w:style>
  <w:style w:type="character" w:customStyle="1" w:styleId="BodyText2Char">
    <w:name w:val="Body Text 2 Char"/>
    <w:basedOn w:val="DefaultParagraphFont"/>
    <w:link w:val="BodyText2"/>
    <w:uiPriority w:val="99"/>
    <w:rsid w:val="00BC364A"/>
    <w:rPr>
      <w:rFonts w:ascii="Times New Roman" w:eastAsia="MS Mincho" w:hAnsi="Times New Roman" w:cs="Times New Roman"/>
      <w:color w:val="000000"/>
      <w:sz w:val="24"/>
      <w:szCs w:val="24"/>
      <w:lang w:val="en-US"/>
    </w:rPr>
  </w:style>
  <w:style w:type="paragraph" w:customStyle="1" w:styleId="wcpTableColHeader">
    <w:name w:val="wcp_TableColHeader"/>
    <w:basedOn w:val="Normal"/>
    <w:rsid w:val="000911AA"/>
    <w:pPr>
      <w:keepNext/>
      <w:spacing w:before="120" w:after="120"/>
      <w:jc w:val="center"/>
    </w:pPr>
    <w:rPr>
      <w:rFonts w:eastAsia="Times New Roman"/>
      <w:b/>
      <w:color w:val="auto"/>
      <w:sz w:val="22"/>
      <w:szCs w:val="20"/>
    </w:rPr>
  </w:style>
  <w:style w:type="paragraph" w:styleId="CommentSubject">
    <w:name w:val="annotation subject"/>
    <w:basedOn w:val="CommentText"/>
    <w:next w:val="CommentText"/>
    <w:link w:val="CommentSubjectChar"/>
    <w:uiPriority w:val="99"/>
    <w:semiHidden/>
    <w:unhideWhenUsed/>
    <w:rsid w:val="00A8114B"/>
    <w:rPr>
      <w:rFonts w:ascii="Times New Roman" w:hAnsi="Times New Roman"/>
      <w:b/>
      <w:bCs/>
    </w:rPr>
  </w:style>
  <w:style w:type="character" w:customStyle="1" w:styleId="CommentSubjectChar">
    <w:name w:val="Comment Subject Char"/>
    <w:basedOn w:val="CommentTextChar"/>
    <w:link w:val="CommentSubject"/>
    <w:uiPriority w:val="99"/>
    <w:semiHidden/>
    <w:rsid w:val="00A8114B"/>
    <w:rPr>
      <w:rFonts w:ascii="Times New Roman" w:eastAsia="MS Mincho" w:hAnsi="Times New Roman" w:cs="Times New Roman"/>
      <w:b/>
      <w:bCs/>
      <w:color w:val="000000"/>
      <w:sz w:val="20"/>
      <w:szCs w:val="20"/>
      <w:lang w:val="en-US"/>
    </w:rPr>
  </w:style>
  <w:style w:type="character" w:customStyle="1" w:styleId="CaptionChar">
    <w:name w:val="Caption Char"/>
    <w:aliases w:val="wcp_Caption Char,Légende_Legend Char,Legend_Légende Char"/>
    <w:link w:val="Caption"/>
    <w:locked/>
    <w:rsid w:val="00F4364C"/>
    <w:rPr>
      <w:rFonts w:ascii="Arial" w:eastAsia="MS Gothic" w:hAnsi="Arial" w:cs="Arial"/>
      <w:b/>
      <w:bCs/>
      <w:sz w:val="20"/>
      <w:szCs w:val="20"/>
      <w:lang w:val="en-US"/>
    </w:rPr>
  </w:style>
  <w:style w:type="paragraph" w:customStyle="1" w:styleId="wcpTableColHeaderSmall">
    <w:name w:val="wcp_TableColHeaderSmall"/>
    <w:basedOn w:val="Normal"/>
    <w:rsid w:val="00F4364C"/>
    <w:pPr>
      <w:keepNext/>
      <w:spacing w:before="120" w:after="120"/>
      <w:jc w:val="center"/>
    </w:pPr>
    <w:rPr>
      <w:rFonts w:eastAsia="Times New Roman"/>
      <w:b/>
      <w:color w:val="auto"/>
      <w:sz w:val="18"/>
      <w:szCs w:val="20"/>
      <w:lang w:val="fr-FR"/>
    </w:rPr>
  </w:style>
  <w:style w:type="paragraph" w:customStyle="1" w:styleId="wcpTableContentSmall">
    <w:name w:val="wcp_TableContentSmall"/>
    <w:basedOn w:val="Normal"/>
    <w:link w:val="wcpTableContentSmallCar"/>
    <w:rsid w:val="00E04242"/>
    <w:pPr>
      <w:spacing w:before="40" w:after="40"/>
    </w:pPr>
    <w:rPr>
      <w:rFonts w:eastAsia="Times New Roman"/>
      <w:color w:val="auto"/>
      <w:sz w:val="18"/>
      <w:szCs w:val="20"/>
      <w:lang w:val="fr-FR"/>
    </w:rPr>
  </w:style>
  <w:style w:type="character" w:customStyle="1" w:styleId="wcpTableContentSmallCar">
    <w:name w:val="wcp_TableContentSmall Car"/>
    <w:link w:val="wcpTableContentSmall"/>
    <w:locked/>
    <w:rsid w:val="00E04242"/>
    <w:rPr>
      <w:rFonts w:ascii="Times New Roman" w:eastAsia="Times New Roman" w:hAnsi="Times New Roman" w:cs="Times New Roman"/>
      <w:sz w:val="18"/>
      <w:szCs w:val="20"/>
      <w:lang w:val="fr-FR"/>
    </w:rPr>
  </w:style>
  <w:style w:type="paragraph" w:customStyle="1" w:styleId="wcpTableRowHeaderSmall">
    <w:name w:val="wcp_TableRowHeaderSmall"/>
    <w:basedOn w:val="Normal"/>
    <w:link w:val="wcpTableRowHeaderSmallCar"/>
    <w:rsid w:val="00E04242"/>
    <w:pPr>
      <w:spacing w:before="40" w:after="40"/>
    </w:pPr>
    <w:rPr>
      <w:rFonts w:eastAsia="Times New Roman"/>
      <w:b/>
      <w:color w:val="auto"/>
      <w:sz w:val="18"/>
      <w:szCs w:val="20"/>
      <w:lang w:val="fr-FR"/>
    </w:rPr>
  </w:style>
  <w:style w:type="character" w:customStyle="1" w:styleId="wcpTableRowHeaderSmallCar">
    <w:name w:val="wcp_TableRowHeaderSmall Car"/>
    <w:link w:val="wcpTableRowHeaderSmall"/>
    <w:rsid w:val="00E04242"/>
    <w:rPr>
      <w:rFonts w:ascii="Times New Roman" w:eastAsia="Times New Roman" w:hAnsi="Times New Roman" w:cs="Times New Roman"/>
      <w:b/>
      <w:sz w:val="18"/>
      <w:szCs w:val="20"/>
      <w:lang w:val="fr-FR"/>
    </w:rPr>
  </w:style>
  <w:style w:type="paragraph" w:styleId="Revision">
    <w:name w:val="Revision"/>
    <w:hidden/>
    <w:uiPriority w:val="99"/>
    <w:semiHidden/>
    <w:rsid w:val="00706561"/>
    <w:pPr>
      <w:spacing w:after="0" w:line="240" w:lineRule="auto"/>
    </w:pPr>
    <w:rPr>
      <w:rFonts w:ascii="Times New Roman" w:eastAsia="MS Mincho" w:hAnsi="Times New Roman" w:cs="Times New Roman"/>
      <w:color w:val="000000"/>
      <w:sz w:val="24"/>
      <w:szCs w:val="24"/>
      <w:lang w:val="en-US"/>
    </w:rPr>
  </w:style>
  <w:style w:type="table" w:styleId="TableGrid">
    <w:name w:val="Table Grid"/>
    <w:basedOn w:val="TableNormal"/>
    <w:uiPriority w:val="59"/>
    <w:rsid w:val="00A242F7"/>
    <w:pPr>
      <w:spacing w:after="0" w:line="240" w:lineRule="auto"/>
    </w:pPr>
    <w:rPr>
      <w:rFonts w:ascii="Times New Roman" w:eastAsiaTheme="minorHAnsi"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7D4C7-765C-4FA1-A761-AB381B5E6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5470</Words>
  <Characters>31180</Characters>
  <Application>Microsoft Office Word</Application>
  <DocSecurity>0</DocSecurity>
  <Lines>259</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Attachment: Product Information: live, attenuated, chimeric yellow fever dengue virus (serotypes 1, 2, 3 and 4)</vt:lpstr>
      <vt:lpstr/>
    </vt:vector>
  </TitlesOfParts>
  <Company/>
  <LinksUpToDate>false</LinksUpToDate>
  <CharactersWithSpaces>36577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live, attenuated, chimeric yellow fever dengue virus (serotypes 1, 2, 3 and 4)</dc:title>
  <dc:subject>prescription medicines</dc:subject>
  <dc:creator/>
  <cp:keywords>AusPARs</cp:keywords>
  <cp:lastPrinted>2017-12-19T02:04:00Z</cp:lastPrinted>
  <dcterms:created xsi:type="dcterms:W3CDTF">2019-03-12T01:38:00Z</dcterms:created>
  <dcterms:modified xsi:type="dcterms:W3CDTF">2019-03-20T02:57:00Z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Type of Document</vt:lpwstr>
  </property>
  <property fmtid="{D5CDD505-2E9C-101B-9397-08002B2CF9AE}" pid="3" name="INN">
    <vt:lpwstr>INN</vt:lpwstr>
  </property>
  <property fmtid="{D5CDD505-2E9C-101B-9397-08002B2CF9AE}" pid="4" name="Date">
    <vt:lpwstr>Date</vt:lpwstr>
  </property>
  <property fmtid="{D5CDD505-2E9C-101B-9397-08002B2CF9AE}" pid="5" name="Product Code">
    <vt:lpwstr>Product Code / Study Number</vt:lpwstr>
  </property>
  <property fmtid="{D5CDD505-2E9C-101B-9397-08002B2CF9AE}" pid="6" name="LastRefNum">
    <vt:i4>0</vt:i4>
  </property>
  <property fmtid="{D5CDD505-2E9C-101B-9397-08002B2CF9AE}" pid="7" name="https">
    <vt:lpwstr>1</vt:lpwstr>
  </property>
  <property fmtid="{D5CDD505-2E9C-101B-9397-08002B2CF9AE}" pid="8" name="REFLIST_SORT">
    <vt:bool>false</vt:bool>
  </property>
  <property fmtid="{D5CDD505-2E9C-101B-9397-08002B2CF9AE}" pid="9" name="Custom1">
    <vt:lpwstr/>
  </property>
  <property fmtid="{D5CDD505-2E9C-101B-9397-08002B2CF9AE}" pid="10" name="Custom2">
    <vt:lpwstr/>
  </property>
  <property fmtid="{D5CDD505-2E9C-101B-9397-08002B2CF9AE}" pid="11" name="Custom3">
    <vt:lpwstr/>
  </property>
  <property fmtid="{D5CDD505-2E9C-101B-9397-08002B2CF9AE}" pid="12" name="Custom4">
    <vt:lpwstr/>
  </property>
  <property fmtid="{D5CDD505-2E9C-101B-9397-08002B2CF9AE}" pid="13" name="_NewReviewCycle">
    <vt:lpwstr/>
  </property>
</Properties>
</file>